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BB206CE" w14:textId="77777777" w:rsidTr="00BF1190">
        <w:trPr>
          <w:trHeight w:val="1863"/>
        </w:trPr>
        <w:tc>
          <w:tcPr>
            <w:tcW w:w="3652" w:type="dxa"/>
            <w:tcBorders>
              <w:top w:val="nil"/>
              <w:left w:val="nil"/>
              <w:bottom w:val="nil"/>
              <w:right w:val="nil"/>
            </w:tcBorders>
          </w:tcPr>
          <w:p w14:paraId="5F5A711B" w14:textId="51016EF3" w:rsidR="008E7846" w:rsidRPr="00096AA7" w:rsidRDefault="008D4710" w:rsidP="00096AA7">
            <w:pPr>
              <w:rPr>
                <w:rFonts w:ascii="Arial" w:hAnsi="Arial" w:cs="Arial"/>
                <w:b/>
                <w:color w:val="002C47"/>
                <w:sz w:val="36"/>
                <w:szCs w:val="36"/>
              </w:rPr>
            </w:pPr>
            <w:r>
              <w:rPr>
                <w:rFonts w:ascii="Arial" w:hAnsi="Arial" w:cs="Arial"/>
                <w:b/>
                <w:color w:val="002C47"/>
                <w:sz w:val="36"/>
                <w:szCs w:val="36"/>
              </w:rPr>
              <w:t xml:space="preserve">November </w:t>
            </w:r>
            <w:r w:rsidR="00E4688B">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C87E3CD" w14:textId="77777777" w:rsidTr="0032583B">
        <w:trPr>
          <w:trHeight w:val="868"/>
        </w:trPr>
        <w:tc>
          <w:tcPr>
            <w:tcW w:w="9079" w:type="dxa"/>
          </w:tcPr>
          <w:p w14:paraId="67BBD930" w14:textId="77777777" w:rsidR="0032583B" w:rsidRPr="00A964D1" w:rsidRDefault="0032583B" w:rsidP="00E4688B">
            <w:pPr>
              <w:pStyle w:val="Title"/>
              <w:rPr>
                <w:color w:val="FFFFFF" w:themeColor="background1"/>
              </w:rPr>
            </w:pPr>
            <w:r w:rsidRPr="00A964D1">
              <w:rPr>
                <w:color w:val="FFFFFF" w:themeColor="background1"/>
              </w:rPr>
              <w:t xml:space="preserve">Australian Public Assessment Report for </w:t>
            </w:r>
            <w:r w:rsidR="0097238C">
              <w:rPr>
                <w:color w:val="FFFFFF" w:themeColor="background1"/>
              </w:rPr>
              <w:t>Nitric o</w:t>
            </w:r>
            <w:r w:rsidR="00E4688B">
              <w:rPr>
                <w:color w:val="FFFFFF" w:themeColor="background1"/>
              </w:rPr>
              <w:t>xide</w:t>
            </w:r>
          </w:p>
        </w:tc>
      </w:tr>
      <w:tr w:rsidR="0032583B" w:rsidRPr="00B64760" w14:paraId="13FE807C" w14:textId="77777777" w:rsidTr="0032583B">
        <w:tc>
          <w:tcPr>
            <w:tcW w:w="9079" w:type="dxa"/>
          </w:tcPr>
          <w:p w14:paraId="743AEF62" w14:textId="77777777" w:rsidR="0032583B" w:rsidRPr="008E7846" w:rsidRDefault="0032583B" w:rsidP="0097238C">
            <w:pPr>
              <w:pStyle w:val="Subtitle"/>
              <w:rPr>
                <w:color w:val="FFFFFF" w:themeColor="background1"/>
              </w:rPr>
            </w:pPr>
            <w:r w:rsidRPr="008E7846">
              <w:rPr>
                <w:color w:val="FFFFFF" w:themeColor="background1"/>
              </w:rPr>
              <w:t xml:space="preserve">Proprietary Product Name: </w:t>
            </w:r>
            <w:proofErr w:type="spellStart"/>
            <w:r w:rsidR="00DC7D20">
              <w:rPr>
                <w:color w:val="FFFFFF" w:themeColor="background1"/>
              </w:rPr>
              <w:t>I</w:t>
            </w:r>
            <w:r w:rsidR="0097238C">
              <w:rPr>
                <w:color w:val="FFFFFF" w:themeColor="background1"/>
              </w:rPr>
              <w:t>NO</w:t>
            </w:r>
            <w:r w:rsidR="00E4688B">
              <w:rPr>
                <w:color w:val="FFFFFF" w:themeColor="background1"/>
              </w:rPr>
              <w:t>max</w:t>
            </w:r>
            <w:proofErr w:type="spellEnd"/>
          </w:p>
        </w:tc>
      </w:tr>
      <w:tr w:rsidR="0032583B" w:rsidRPr="00B64760" w14:paraId="32668402" w14:textId="77777777" w:rsidTr="0032583B">
        <w:trPr>
          <w:trHeight w:val="486"/>
        </w:trPr>
        <w:tc>
          <w:tcPr>
            <w:tcW w:w="9079" w:type="dxa"/>
          </w:tcPr>
          <w:p w14:paraId="2593CE85" w14:textId="77777777" w:rsidR="0032583B" w:rsidRPr="008E7846" w:rsidRDefault="0032583B" w:rsidP="00E4688B">
            <w:pPr>
              <w:pStyle w:val="Subtitle"/>
              <w:rPr>
                <w:color w:val="FFFFFF" w:themeColor="background1"/>
              </w:rPr>
            </w:pPr>
            <w:r w:rsidRPr="008E7846">
              <w:rPr>
                <w:color w:val="FFFFFF" w:themeColor="background1"/>
              </w:rPr>
              <w:t xml:space="preserve">Sponsor: </w:t>
            </w:r>
            <w:r w:rsidR="00E4688B">
              <w:rPr>
                <w:color w:val="FFFFFF" w:themeColor="background1"/>
              </w:rPr>
              <w:t>Ikaria Australia Pty. Ltd.</w:t>
            </w:r>
          </w:p>
        </w:tc>
      </w:tr>
    </w:tbl>
    <w:p w14:paraId="21E30357" w14:textId="77777777" w:rsidR="008E7846" w:rsidRPr="0085156D" w:rsidRDefault="008E7846" w:rsidP="0085156D">
      <w:r w:rsidRPr="0085156D">
        <w:br w:type="page"/>
      </w:r>
    </w:p>
    <w:p w14:paraId="1D03E671" w14:textId="77777777" w:rsidR="008E7846" w:rsidRPr="001F6CBA" w:rsidRDefault="008E7846" w:rsidP="008E7846">
      <w:pPr>
        <w:pStyle w:val="NonTOCHeading2"/>
      </w:pPr>
      <w:r w:rsidRPr="001F6CBA">
        <w:lastRenderedPageBreak/>
        <w:t>About the Therapeutic Goods Administration (TGA)</w:t>
      </w:r>
    </w:p>
    <w:p w14:paraId="39AC3B9E"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F77E994"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64889B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7D7043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ECAC086"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5348B423" w14:textId="77777777" w:rsidR="008E7846" w:rsidRDefault="008E7846" w:rsidP="00875A6B">
      <w:pPr>
        <w:pStyle w:val="NonTOCHeading2"/>
      </w:pPr>
      <w:r>
        <w:t>About AusPARs</w:t>
      </w:r>
    </w:p>
    <w:p w14:paraId="27338C4A"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F99CA19" w14:textId="77777777" w:rsidR="008E7846" w:rsidRDefault="008E7846" w:rsidP="008E7846">
      <w:pPr>
        <w:pStyle w:val="ListBullet"/>
        <w:numPr>
          <w:ilvl w:val="0"/>
          <w:numId w:val="3"/>
        </w:numPr>
        <w:ind w:left="357" w:hanging="357"/>
      </w:pPr>
      <w:r>
        <w:t>AusPARs are prepared and published by the TGA.</w:t>
      </w:r>
    </w:p>
    <w:p w14:paraId="49EB0B68"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9216507"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12DABF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02BD8B7" w14:textId="77777777" w:rsidR="00924482" w:rsidRPr="00DF1D7F" w:rsidRDefault="00924482" w:rsidP="00F54B65">
      <w:pPr>
        <w:pStyle w:val="LegalSubheading"/>
        <w:spacing w:before="3120"/>
      </w:pPr>
      <w:r w:rsidRPr="00DF1D7F">
        <w:t>Copyright</w:t>
      </w:r>
    </w:p>
    <w:p w14:paraId="2D2582D4"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1318C826"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8C32675" w14:textId="77777777" w:rsidR="0089635C" w:rsidRPr="0089635C" w:rsidRDefault="0089635C" w:rsidP="0010788A">
          <w:pPr>
            <w:pStyle w:val="Contents"/>
          </w:pPr>
          <w:r w:rsidRPr="0010788A">
            <w:t>Con</w:t>
          </w:r>
          <w:bookmarkStart w:id="2" w:name="_GoBack"/>
          <w:bookmarkEnd w:id="2"/>
          <w:r w:rsidRPr="0010788A">
            <w:t>tents</w:t>
          </w:r>
        </w:p>
        <w:p w14:paraId="597483A8" w14:textId="62D40005" w:rsidR="00EE41F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8009934" w:history="1">
            <w:r w:rsidR="00EE41FA" w:rsidRPr="00070190">
              <w:rPr>
                <w:rStyle w:val="Hyperlink"/>
                <w:noProof/>
              </w:rPr>
              <w:t>Common abbreviations</w:t>
            </w:r>
            <w:r w:rsidR="00EE41FA">
              <w:rPr>
                <w:noProof/>
                <w:webHidden/>
              </w:rPr>
              <w:tab/>
            </w:r>
            <w:r w:rsidR="00EE41FA">
              <w:rPr>
                <w:noProof/>
                <w:webHidden/>
              </w:rPr>
              <w:fldChar w:fldCharType="begin"/>
            </w:r>
            <w:r w:rsidR="00EE41FA">
              <w:rPr>
                <w:noProof/>
                <w:webHidden/>
              </w:rPr>
              <w:instrText xml:space="preserve"> PAGEREF _Toc28009934 \h </w:instrText>
            </w:r>
            <w:r w:rsidR="00EE41FA">
              <w:rPr>
                <w:noProof/>
                <w:webHidden/>
              </w:rPr>
            </w:r>
            <w:r w:rsidR="00EE41FA">
              <w:rPr>
                <w:noProof/>
                <w:webHidden/>
              </w:rPr>
              <w:fldChar w:fldCharType="separate"/>
            </w:r>
            <w:r w:rsidR="00EE41FA">
              <w:rPr>
                <w:noProof/>
                <w:webHidden/>
              </w:rPr>
              <w:t>4</w:t>
            </w:r>
            <w:r w:rsidR="00EE41FA">
              <w:rPr>
                <w:noProof/>
                <w:webHidden/>
              </w:rPr>
              <w:fldChar w:fldCharType="end"/>
            </w:r>
          </w:hyperlink>
        </w:p>
        <w:p w14:paraId="65EB9A7F" w14:textId="0F0C822F" w:rsidR="00EE41FA" w:rsidRDefault="00EE41FA">
          <w:pPr>
            <w:pStyle w:val="TOC2"/>
            <w:rPr>
              <w:rFonts w:asciiTheme="minorHAnsi" w:eastAsiaTheme="minorEastAsia" w:hAnsiTheme="minorHAnsi" w:cstheme="minorBidi"/>
              <w:b w:val="0"/>
              <w:noProof/>
              <w:sz w:val="22"/>
              <w:lang w:eastAsia="en-AU"/>
            </w:rPr>
          </w:pPr>
          <w:hyperlink w:anchor="_Toc28009935" w:history="1">
            <w:r w:rsidRPr="00070190">
              <w:rPr>
                <w:rStyle w:val="Hyperlink"/>
                <w:noProof/>
              </w:rPr>
              <w:t>I. Introduction to product submission</w:t>
            </w:r>
            <w:r>
              <w:rPr>
                <w:noProof/>
                <w:webHidden/>
              </w:rPr>
              <w:tab/>
            </w:r>
            <w:r>
              <w:rPr>
                <w:noProof/>
                <w:webHidden/>
              </w:rPr>
              <w:fldChar w:fldCharType="begin"/>
            </w:r>
            <w:r>
              <w:rPr>
                <w:noProof/>
                <w:webHidden/>
              </w:rPr>
              <w:instrText xml:space="preserve"> PAGEREF _Toc28009935 \h </w:instrText>
            </w:r>
            <w:r>
              <w:rPr>
                <w:noProof/>
                <w:webHidden/>
              </w:rPr>
            </w:r>
            <w:r>
              <w:rPr>
                <w:noProof/>
                <w:webHidden/>
              </w:rPr>
              <w:fldChar w:fldCharType="separate"/>
            </w:r>
            <w:r>
              <w:rPr>
                <w:noProof/>
                <w:webHidden/>
              </w:rPr>
              <w:t>6</w:t>
            </w:r>
            <w:r>
              <w:rPr>
                <w:noProof/>
                <w:webHidden/>
              </w:rPr>
              <w:fldChar w:fldCharType="end"/>
            </w:r>
          </w:hyperlink>
        </w:p>
        <w:p w14:paraId="1A92EB81" w14:textId="46244E9A" w:rsidR="00EE41FA" w:rsidRDefault="00EE41FA">
          <w:pPr>
            <w:pStyle w:val="TOC3"/>
            <w:rPr>
              <w:rFonts w:asciiTheme="minorHAnsi" w:eastAsiaTheme="minorEastAsia" w:hAnsiTheme="minorHAnsi" w:cstheme="minorBidi"/>
              <w:noProof/>
              <w:lang w:eastAsia="en-AU"/>
            </w:rPr>
          </w:pPr>
          <w:hyperlink w:anchor="_Toc28009936" w:history="1">
            <w:r w:rsidRPr="00070190">
              <w:rPr>
                <w:rStyle w:val="Hyperlink"/>
                <w:noProof/>
                <w:lang w:eastAsia="en-AU"/>
              </w:rPr>
              <w:t>Submission details</w:t>
            </w:r>
            <w:r>
              <w:rPr>
                <w:noProof/>
                <w:webHidden/>
              </w:rPr>
              <w:tab/>
            </w:r>
            <w:r>
              <w:rPr>
                <w:noProof/>
                <w:webHidden/>
              </w:rPr>
              <w:fldChar w:fldCharType="begin"/>
            </w:r>
            <w:r>
              <w:rPr>
                <w:noProof/>
                <w:webHidden/>
              </w:rPr>
              <w:instrText xml:space="preserve"> PAGEREF _Toc28009936 \h </w:instrText>
            </w:r>
            <w:r>
              <w:rPr>
                <w:noProof/>
                <w:webHidden/>
              </w:rPr>
            </w:r>
            <w:r>
              <w:rPr>
                <w:noProof/>
                <w:webHidden/>
              </w:rPr>
              <w:fldChar w:fldCharType="separate"/>
            </w:r>
            <w:r>
              <w:rPr>
                <w:noProof/>
                <w:webHidden/>
              </w:rPr>
              <w:t>6</w:t>
            </w:r>
            <w:r>
              <w:rPr>
                <w:noProof/>
                <w:webHidden/>
              </w:rPr>
              <w:fldChar w:fldCharType="end"/>
            </w:r>
          </w:hyperlink>
        </w:p>
        <w:p w14:paraId="116186E3" w14:textId="07EAC68D" w:rsidR="00EE41FA" w:rsidRDefault="00EE41FA">
          <w:pPr>
            <w:pStyle w:val="TOC3"/>
            <w:rPr>
              <w:rFonts w:asciiTheme="minorHAnsi" w:eastAsiaTheme="minorEastAsia" w:hAnsiTheme="minorHAnsi" w:cstheme="minorBidi"/>
              <w:noProof/>
              <w:lang w:eastAsia="en-AU"/>
            </w:rPr>
          </w:pPr>
          <w:hyperlink w:anchor="_Toc28009937" w:history="1">
            <w:r w:rsidRPr="00070190">
              <w:rPr>
                <w:rStyle w:val="Hyperlink"/>
                <w:noProof/>
              </w:rPr>
              <w:t>Product background</w:t>
            </w:r>
            <w:r>
              <w:rPr>
                <w:noProof/>
                <w:webHidden/>
              </w:rPr>
              <w:tab/>
            </w:r>
            <w:r>
              <w:rPr>
                <w:noProof/>
                <w:webHidden/>
              </w:rPr>
              <w:fldChar w:fldCharType="begin"/>
            </w:r>
            <w:r>
              <w:rPr>
                <w:noProof/>
                <w:webHidden/>
              </w:rPr>
              <w:instrText xml:space="preserve"> PAGEREF _Toc28009937 \h </w:instrText>
            </w:r>
            <w:r>
              <w:rPr>
                <w:noProof/>
                <w:webHidden/>
              </w:rPr>
            </w:r>
            <w:r>
              <w:rPr>
                <w:noProof/>
                <w:webHidden/>
              </w:rPr>
              <w:fldChar w:fldCharType="separate"/>
            </w:r>
            <w:r>
              <w:rPr>
                <w:noProof/>
                <w:webHidden/>
              </w:rPr>
              <w:t>7</w:t>
            </w:r>
            <w:r>
              <w:rPr>
                <w:noProof/>
                <w:webHidden/>
              </w:rPr>
              <w:fldChar w:fldCharType="end"/>
            </w:r>
          </w:hyperlink>
        </w:p>
        <w:p w14:paraId="65806FD4" w14:textId="3343E31F" w:rsidR="00EE41FA" w:rsidRDefault="00EE41FA">
          <w:pPr>
            <w:pStyle w:val="TOC3"/>
            <w:rPr>
              <w:rFonts w:asciiTheme="minorHAnsi" w:eastAsiaTheme="minorEastAsia" w:hAnsiTheme="minorHAnsi" w:cstheme="minorBidi"/>
              <w:noProof/>
              <w:lang w:eastAsia="en-AU"/>
            </w:rPr>
          </w:pPr>
          <w:hyperlink w:anchor="_Toc28009938" w:history="1">
            <w:r w:rsidRPr="00070190">
              <w:rPr>
                <w:rStyle w:val="Hyperlink"/>
                <w:noProof/>
              </w:rPr>
              <w:t>Regulatory status</w:t>
            </w:r>
            <w:r>
              <w:rPr>
                <w:noProof/>
                <w:webHidden/>
              </w:rPr>
              <w:tab/>
            </w:r>
            <w:r>
              <w:rPr>
                <w:noProof/>
                <w:webHidden/>
              </w:rPr>
              <w:fldChar w:fldCharType="begin"/>
            </w:r>
            <w:r>
              <w:rPr>
                <w:noProof/>
                <w:webHidden/>
              </w:rPr>
              <w:instrText xml:space="preserve"> PAGEREF _Toc28009938 \h </w:instrText>
            </w:r>
            <w:r>
              <w:rPr>
                <w:noProof/>
                <w:webHidden/>
              </w:rPr>
            </w:r>
            <w:r>
              <w:rPr>
                <w:noProof/>
                <w:webHidden/>
              </w:rPr>
              <w:fldChar w:fldCharType="separate"/>
            </w:r>
            <w:r>
              <w:rPr>
                <w:noProof/>
                <w:webHidden/>
              </w:rPr>
              <w:t>8</w:t>
            </w:r>
            <w:r>
              <w:rPr>
                <w:noProof/>
                <w:webHidden/>
              </w:rPr>
              <w:fldChar w:fldCharType="end"/>
            </w:r>
          </w:hyperlink>
        </w:p>
        <w:p w14:paraId="0B4F0F28" w14:textId="6E92CC18" w:rsidR="00EE41FA" w:rsidRDefault="00EE41FA">
          <w:pPr>
            <w:pStyle w:val="TOC3"/>
            <w:rPr>
              <w:rFonts w:asciiTheme="minorHAnsi" w:eastAsiaTheme="minorEastAsia" w:hAnsiTheme="minorHAnsi" w:cstheme="minorBidi"/>
              <w:noProof/>
              <w:lang w:eastAsia="en-AU"/>
            </w:rPr>
          </w:pPr>
          <w:hyperlink w:anchor="_Toc28009939" w:history="1">
            <w:r w:rsidRPr="00070190">
              <w:rPr>
                <w:rStyle w:val="Hyperlink"/>
                <w:noProof/>
              </w:rPr>
              <w:t>Product Information</w:t>
            </w:r>
            <w:r>
              <w:rPr>
                <w:noProof/>
                <w:webHidden/>
              </w:rPr>
              <w:tab/>
            </w:r>
            <w:r>
              <w:rPr>
                <w:noProof/>
                <w:webHidden/>
              </w:rPr>
              <w:fldChar w:fldCharType="begin"/>
            </w:r>
            <w:r>
              <w:rPr>
                <w:noProof/>
                <w:webHidden/>
              </w:rPr>
              <w:instrText xml:space="preserve"> PAGEREF _Toc28009939 \h </w:instrText>
            </w:r>
            <w:r>
              <w:rPr>
                <w:noProof/>
                <w:webHidden/>
              </w:rPr>
            </w:r>
            <w:r>
              <w:rPr>
                <w:noProof/>
                <w:webHidden/>
              </w:rPr>
              <w:fldChar w:fldCharType="separate"/>
            </w:r>
            <w:r>
              <w:rPr>
                <w:noProof/>
                <w:webHidden/>
              </w:rPr>
              <w:t>8</w:t>
            </w:r>
            <w:r>
              <w:rPr>
                <w:noProof/>
                <w:webHidden/>
              </w:rPr>
              <w:fldChar w:fldCharType="end"/>
            </w:r>
          </w:hyperlink>
        </w:p>
        <w:p w14:paraId="73051DA9" w14:textId="4DF60618" w:rsidR="00EE41FA" w:rsidRDefault="00EE41FA">
          <w:pPr>
            <w:pStyle w:val="TOC2"/>
            <w:rPr>
              <w:rFonts w:asciiTheme="minorHAnsi" w:eastAsiaTheme="minorEastAsia" w:hAnsiTheme="minorHAnsi" w:cstheme="minorBidi"/>
              <w:b w:val="0"/>
              <w:noProof/>
              <w:sz w:val="22"/>
              <w:lang w:eastAsia="en-AU"/>
            </w:rPr>
          </w:pPr>
          <w:hyperlink w:anchor="_Toc28009940" w:history="1">
            <w:r w:rsidRPr="00070190">
              <w:rPr>
                <w:rStyle w:val="Hyperlink"/>
                <w:noProof/>
              </w:rPr>
              <w:t>II. Registration time line</w:t>
            </w:r>
            <w:r>
              <w:rPr>
                <w:noProof/>
                <w:webHidden/>
              </w:rPr>
              <w:tab/>
            </w:r>
            <w:r>
              <w:rPr>
                <w:noProof/>
                <w:webHidden/>
              </w:rPr>
              <w:fldChar w:fldCharType="begin"/>
            </w:r>
            <w:r>
              <w:rPr>
                <w:noProof/>
                <w:webHidden/>
              </w:rPr>
              <w:instrText xml:space="preserve"> PAGEREF _Toc28009940 \h </w:instrText>
            </w:r>
            <w:r>
              <w:rPr>
                <w:noProof/>
                <w:webHidden/>
              </w:rPr>
            </w:r>
            <w:r>
              <w:rPr>
                <w:noProof/>
                <w:webHidden/>
              </w:rPr>
              <w:fldChar w:fldCharType="separate"/>
            </w:r>
            <w:r>
              <w:rPr>
                <w:noProof/>
                <w:webHidden/>
              </w:rPr>
              <w:t>8</w:t>
            </w:r>
            <w:r>
              <w:rPr>
                <w:noProof/>
                <w:webHidden/>
              </w:rPr>
              <w:fldChar w:fldCharType="end"/>
            </w:r>
          </w:hyperlink>
        </w:p>
        <w:p w14:paraId="264FDC13" w14:textId="78DA51CE" w:rsidR="00EE41FA" w:rsidRDefault="00EE41FA">
          <w:pPr>
            <w:pStyle w:val="TOC2"/>
            <w:rPr>
              <w:rFonts w:asciiTheme="minorHAnsi" w:eastAsiaTheme="minorEastAsia" w:hAnsiTheme="minorHAnsi" w:cstheme="minorBidi"/>
              <w:b w:val="0"/>
              <w:noProof/>
              <w:sz w:val="22"/>
              <w:lang w:eastAsia="en-AU"/>
            </w:rPr>
          </w:pPr>
          <w:hyperlink w:anchor="_Toc28009941" w:history="1">
            <w:r w:rsidRPr="00070190">
              <w:rPr>
                <w:rStyle w:val="Hyperlink"/>
                <w:noProof/>
              </w:rPr>
              <w:t>III. Quality findings</w:t>
            </w:r>
            <w:r>
              <w:rPr>
                <w:noProof/>
                <w:webHidden/>
              </w:rPr>
              <w:tab/>
            </w:r>
            <w:r>
              <w:rPr>
                <w:noProof/>
                <w:webHidden/>
              </w:rPr>
              <w:fldChar w:fldCharType="begin"/>
            </w:r>
            <w:r>
              <w:rPr>
                <w:noProof/>
                <w:webHidden/>
              </w:rPr>
              <w:instrText xml:space="preserve"> PAGEREF _Toc28009941 \h </w:instrText>
            </w:r>
            <w:r>
              <w:rPr>
                <w:noProof/>
                <w:webHidden/>
              </w:rPr>
            </w:r>
            <w:r>
              <w:rPr>
                <w:noProof/>
                <w:webHidden/>
              </w:rPr>
              <w:fldChar w:fldCharType="separate"/>
            </w:r>
            <w:r>
              <w:rPr>
                <w:noProof/>
                <w:webHidden/>
              </w:rPr>
              <w:t>9</w:t>
            </w:r>
            <w:r>
              <w:rPr>
                <w:noProof/>
                <w:webHidden/>
              </w:rPr>
              <w:fldChar w:fldCharType="end"/>
            </w:r>
          </w:hyperlink>
        </w:p>
        <w:p w14:paraId="60BA8C28" w14:textId="48C3F683" w:rsidR="00EE41FA" w:rsidRDefault="00EE41FA">
          <w:pPr>
            <w:pStyle w:val="TOC2"/>
            <w:rPr>
              <w:rFonts w:asciiTheme="minorHAnsi" w:eastAsiaTheme="minorEastAsia" w:hAnsiTheme="minorHAnsi" w:cstheme="minorBidi"/>
              <w:b w:val="0"/>
              <w:noProof/>
              <w:sz w:val="22"/>
              <w:lang w:eastAsia="en-AU"/>
            </w:rPr>
          </w:pPr>
          <w:hyperlink w:anchor="_Toc28009942" w:history="1">
            <w:r w:rsidRPr="00070190">
              <w:rPr>
                <w:rStyle w:val="Hyperlink"/>
                <w:noProof/>
              </w:rPr>
              <w:t>IV. Nonclinical findings</w:t>
            </w:r>
            <w:r>
              <w:rPr>
                <w:noProof/>
                <w:webHidden/>
              </w:rPr>
              <w:tab/>
            </w:r>
            <w:r>
              <w:rPr>
                <w:noProof/>
                <w:webHidden/>
              </w:rPr>
              <w:fldChar w:fldCharType="begin"/>
            </w:r>
            <w:r>
              <w:rPr>
                <w:noProof/>
                <w:webHidden/>
              </w:rPr>
              <w:instrText xml:space="preserve"> PAGEREF _Toc28009942 \h </w:instrText>
            </w:r>
            <w:r>
              <w:rPr>
                <w:noProof/>
                <w:webHidden/>
              </w:rPr>
            </w:r>
            <w:r>
              <w:rPr>
                <w:noProof/>
                <w:webHidden/>
              </w:rPr>
              <w:fldChar w:fldCharType="separate"/>
            </w:r>
            <w:r>
              <w:rPr>
                <w:noProof/>
                <w:webHidden/>
              </w:rPr>
              <w:t>9</w:t>
            </w:r>
            <w:r>
              <w:rPr>
                <w:noProof/>
                <w:webHidden/>
              </w:rPr>
              <w:fldChar w:fldCharType="end"/>
            </w:r>
          </w:hyperlink>
        </w:p>
        <w:p w14:paraId="6F9FD0C4" w14:textId="746E20B3" w:rsidR="00EE41FA" w:rsidRDefault="00EE41FA">
          <w:pPr>
            <w:pStyle w:val="TOC2"/>
            <w:rPr>
              <w:rFonts w:asciiTheme="minorHAnsi" w:eastAsiaTheme="minorEastAsia" w:hAnsiTheme="minorHAnsi" w:cstheme="minorBidi"/>
              <w:b w:val="0"/>
              <w:noProof/>
              <w:sz w:val="22"/>
              <w:lang w:eastAsia="en-AU"/>
            </w:rPr>
          </w:pPr>
          <w:hyperlink w:anchor="_Toc28009943" w:history="1">
            <w:r w:rsidRPr="00070190">
              <w:rPr>
                <w:rStyle w:val="Hyperlink"/>
                <w:noProof/>
              </w:rPr>
              <w:t>V. Clinical findings</w:t>
            </w:r>
            <w:r>
              <w:rPr>
                <w:noProof/>
                <w:webHidden/>
              </w:rPr>
              <w:tab/>
            </w:r>
            <w:r>
              <w:rPr>
                <w:noProof/>
                <w:webHidden/>
              </w:rPr>
              <w:fldChar w:fldCharType="begin"/>
            </w:r>
            <w:r>
              <w:rPr>
                <w:noProof/>
                <w:webHidden/>
              </w:rPr>
              <w:instrText xml:space="preserve"> PAGEREF _Toc28009943 \h </w:instrText>
            </w:r>
            <w:r>
              <w:rPr>
                <w:noProof/>
                <w:webHidden/>
              </w:rPr>
            </w:r>
            <w:r>
              <w:rPr>
                <w:noProof/>
                <w:webHidden/>
              </w:rPr>
              <w:fldChar w:fldCharType="separate"/>
            </w:r>
            <w:r>
              <w:rPr>
                <w:noProof/>
                <w:webHidden/>
              </w:rPr>
              <w:t>9</w:t>
            </w:r>
            <w:r>
              <w:rPr>
                <w:noProof/>
                <w:webHidden/>
              </w:rPr>
              <w:fldChar w:fldCharType="end"/>
            </w:r>
          </w:hyperlink>
        </w:p>
        <w:p w14:paraId="6118E12B" w14:textId="2CD1099E" w:rsidR="00EE41FA" w:rsidRDefault="00EE41FA">
          <w:pPr>
            <w:pStyle w:val="TOC3"/>
            <w:rPr>
              <w:rFonts w:asciiTheme="minorHAnsi" w:eastAsiaTheme="minorEastAsia" w:hAnsiTheme="minorHAnsi" w:cstheme="minorBidi"/>
              <w:noProof/>
              <w:lang w:eastAsia="en-AU"/>
            </w:rPr>
          </w:pPr>
          <w:hyperlink w:anchor="_Toc28009944" w:history="1">
            <w:r w:rsidRPr="00070190">
              <w:rPr>
                <w:rStyle w:val="Hyperlink"/>
                <w:noProof/>
              </w:rPr>
              <w:t>Introduction</w:t>
            </w:r>
            <w:r>
              <w:rPr>
                <w:noProof/>
                <w:webHidden/>
              </w:rPr>
              <w:tab/>
            </w:r>
            <w:r>
              <w:rPr>
                <w:noProof/>
                <w:webHidden/>
              </w:rPr>
              <w:fldChar w:fldCharType="begin"/>
            </w:r>
            <w:r>
              <w:rPr>
                <w:noProof/>
                <w:webHidden/>
              </w:rPr>
              <w:instrText xml:space="preserve"> PAGEREF _Toc28009944 \h </w:instrText>
            </w:r>
            <w:r>
              <w:rPr>
                <w:noProof/>
                <w:webHidden/>
              </w:rPr>
            </w:r>
            <w:r>
              <w:rPr>
                <w:noProof/>
                <w:webHidden/>
              </w:rPr>
              <w:fldChar w:fldCharType="separate"/>
            </w:r>
            <w:r>
              <w:rPr>
                <w:noProof/>
                <w:webHidden/>
              </w:rPr>
              <w:t>9</w:t>
            </w:r>
            <w:r>
              <w:rPr>
                <w:noProof/>
                <w:webHidden/>
              </w:rPr>
              <w:fldChar w:fldCharType="end"/>
            </w:r>
          </w:hyperlink>
        </w:p>
        <w:p w14:paraId="1283131A" w14:textId="5DDDAE72" w:rsidR="00EE41FA" w:rsidRDefault="00EE41FA">
          <w:pPr>
            <w:pStyle w:val="TOC3"/>
            <w:rPr>
              <w:rFonts w:asciiTheme="minorHAnsi" w:eastAsiaTheme="minorEastAsia" w:hAnsiTheme="minorHAnsi" w:cstheme="minorBidi"/>
              <w:noProof/>
              <w:lang w:eastAsia="en-AU"/>
            </w:rPr>
          </w:pPr>
          <w:hyperlink w:anchor="_Toc28009945" w:history="1">
            <w:r w:rsidRPr="00070190">
              <w:rPr>
                <w:rStyle w:val="Hyperlink"/>
                <w:noProof/>
              </w:rPr>
              <w:t>Pharmacokinetics</w:t>
            </w:r>
            <w:r>
              <w:rPr>
                <w:noProof/>
                <w:webHidden/>
              </w:rPr>
              <w:tab/>
            </w:r>
            <w:r>
              <w:rPr>
                <w:noProof/>
                <w:webHidden/>
              </w:rPr>
              <w:fldChar w:fldCharType="begin"/>
            </w:r>
            <w:r>
              <w:rPr>
                <w:noProof/>
                <w:webHidden/>
              </w:rPr>
              <w:instrText xml:space="preserve"> PAGEREF _Toc28009945 \h </w:instrText>
            </w:r>
            <w:r>
              <w:rPr>
                <w:noProof/>
                <w:webHidden/>
              </w:rPr>
            </w:r>
            <w:r>
              <w:rPr>
                <w:noProof/>
                <w:webHidden/>
              </w:rPr>
              <w:fldChar w:fldCharType="separate"/>
            </w:r>
            <w:r>
              <w:rPr>
                <w:noProof/>
                <w:webHidden/>
              </w:rPr>
              <w:t>10</w:t>
            </w:r>
            <w:r>
              <w:rPr>
                <w:noProof/>
                <w:webHidden/>
              </w:rPr>
              <w:fldChar w:fldCharType="end"/>
            </w:r>
          </w:hyperlink>
        </w:p>
        <w:p w14:paraId="4980962D" w14:textId="52A8F076" w:rsidR="00EE41FA" w:rsidRDefault="00EE41FA">
          <w:pPr>
            <w:pStyle w:val="TOC3"/>
            <w:rPr>
              <w:rFonts w:asciiTheme="minorHAnsi" w:eastAsiaTheme="minorEastAsia" w:hAnsiTheme="minorHAnsi" w:cstheme="minorBidi"/>
              <w:noProof/>
              <w:lang w:eastAsia="en-AU"/>
            </w:rPr>
          </w:pPr>
          <w:hyperlink w:anchor="_Toc28009946" w:history="1">
            <w:r w:rsidRPr="00070190">
              <w:rPr>
                <w:rStyle w:val="Hyperlink"/>
                <w:noProof/>
              </w:rPr>
              <w:t>Pharmacodynamics</w:t>
            </w:r>
            <w:r>
              <w:rPr>
                <w:noProof/>
                <w:webHidden/>
              </w:rPr>
              <w:tab/>
            </w:r>
            <w:r>
              <w:rPr>
                <w:noProof/>
                <w:webHidden/>
              </w:rPr>
              <w:fldChar w:fldCharType="begin"/>
            </w:r>
            <w:r>
              <w:rPr>
                <w:noProof/>
                <w:webHidden/>
              </w:rPr>
              <w:instrText xml:space="preserve"> PAGEREF _Toc28009946 \h </w:instrText>
            </w:r>
            <w:r>
              <w:rPr>
                <w:noProof/>
                <w:webHidden/>
              </w:rPr>
            </w:r>
            <w:r>
              <w:rPr>
                <w:noProof/>
                <w:webHidden/>
              </w:rPr>
              <w:fldChar w:fldCharType="separate"/>
            </w:r>
            <w:r>
              <w:rPr>
                <w:noProof/>
                <w:webHidden/>
              </w:rPr>
              <w:t>10</w:t>
            </w:r>
            <w:r>
              <w:rPr>
                <w:noProof/>
                <w:webHidden/>
              </w:rPr>
              <w:fldChar w:fldCharType="end"/>
            </w:r>
          </w:hyperlink>
        </w:p>
        <w:p w14:paraId="650E0BFF" w14:textId="73715F22" w:rsidR="00EE41FA" w:rsidRDefault="00EE41FA">
          <w:pPr>
            <w:pStyle w:val="TOC3"/>
            <w:rPr>
              <w:rFonts w:asciiTheme="minorHAnsi" w:eastAsiaTheme="minorEastAsia" w:hAnsiTheme="minorHAnsi" w:cstheme="minorBidi"/>
              <w:noProof/>
              <w:lang w:eastAsia="en-AU"/>
            </w:rPr>
          </w:pPr>
          <w:hyperlink w:anchor="_Toc28009947" w:history="1">
            <w:r w:rsidRPr="00070190">
              <w:rPr>
                <w:rStyle w:val="Hyperlink"/>
                <w:noProof/>
              </w:rPr>
              <w:t>Dosage selection for the pivotal studies</w:t>
            </w:r>
            <w:r>
              <w:rPr>
                <w:noProof/>
                <w:webHidden/>
              </w:rPr>
              <w:tab/>
            </w:r>
            <w:r>
              <w:rPr>
                <w:noProof/>
                <w:webHidden/>
              </w:rPr>
              <w:fldChar w:fldCharType="begin"/>
            </w:r>
            <w:r>
              <w:rPr>
                <w:noProof/>
                <w:webHidden/>
              </w:rPr>
              <w:instrText xml:space="preserve"> PAGEREF _Toc28009947 \h </w:instrText>
            </w:r>
            <w:r>
              <w:rPr>
                <w:noProof/>
                <w:webHidden/>
              </w:rPr>
            </w:r>
            <w:r>
              <w:rPr>
                <w:noProof/>
                <w:webHidden/>
              </w:rPr>
              <w:fldChar w:fldCharType="separate"/>
            </w:r>
            <w:r>
              <w:rPr>
                <w:noProof/>
                <w:webHidden/>
              </w:rPr>
              <w:t>11</w:t>
            </w:r>
            <w:r>
              <w:rPr>
                <w:noProof/>
                <w:webHidden/>
              </w:rPr>
              <w:fldChar w:fldCharType="end"/>
            </w:r>
          </w:hyperlink>
        </w:p>
        <w:p w14:paraId="66EF12B2" w14:textId="22B6C751" w:rsidR="00EE41FA" w:rsidRDefault="00EE41FA">
          <w:pPr>
            <w:pStyle w:val="TOC3"/>
            <w:rPr>
              <w:rFonts w:asciiTheme="minorHAnsi" w:eastAsiaTheme="minorEastAsia" w:hAnsiTheme="minorHAnsi" w:cstheme="minorBidi"/>
              <w:noProof/>
              <w:lang w:eastAsia="en-AU"/>
            </w:rPr>
          </w:pPr>
          <w:hyperlink w:anchor="_Toc28009948" w:history="1">
            <w:r w:rsidRPr="00070190">
              <w:rPr>
                <w:rStyle w:val="Hyperlink"/>
                <w:noProof/>
              </w:rPr>
              <w:t>Efficacy</w:t>
            </w:r>
            <w:r>
              <w:rPr>
                <w:noProof/>
                <w:webHidden/>
              </w:rPr>
              <w:tab/>
            </w:r>
            <w:r>
              <w:rPr>
                <w:noProof/>
                <w:webHidden/>
              </w:rPr>
              <w:fldChar w:fldCharType="begin"/>
            </w:r>
            <w:r>
              <w:rPr>
                <w:noProof/>
                <w:webHidden/>
              </w:rPr>
              <w:instrText xml:space="preserve"> PAGEREF _Toc28009948 \h </w:instrText>
            </w:r>
            <w:r>
              <w:rPr>
                <w:noProof/>
                <w:webHidden/>
              </w:rPr>
            </w:r>
            <w:r>
              <w:rPr>
                <w:noProof/>
                <w:webHidden/>
              </w:rPr>
              <w:fldChar w:fldCharType="separate"/>
            </w:r>
            <w:r>
              <w:rPr>
                <w:noProof/>
                <w:webHidden/>
              </w:rPr>
              <w:t>13</w:t>
            </w:r>
            <w:r>
              <w:rPr>
                <w:noProof/>
                <w:webHidden/>
              </w:rPr>
              <w:fldChar w:fldCharType="end"/>
            </w:r>
          </w:hyperlink>
        </w:p>
        <w:p w14:paraId="7CAD276E" w14:textId="395D80D8" w:rsidR="00EE41FA" w:rsidRDefault="00EE41FA">
          <w:pPr>
            <w:pStyle w:val="TOC3"/>
            <w:rPr>
              <w:rFonts w:asciiTheme="minorHAnsi" w:eastAsiaTheme="minorEastAsia" w:hAnsiTheme="minorHAnsi" w:cstheme="minorBidi"/>
              <w:noProof/>
              <w:lang w:eastAsia="en-AU"/>
            </w:rPr>
          </w:pPr>
          <w:hyperlink w:anchor="_Toc28009949" w:history="1">
            <w:r w:rsidRPr="00070190">
              <w:rPr>
                <w:rStyle w:val="Hyperlink"/>
                <w:noProof/>
              </w:rPr>
              <w:t>Safety</w:t>
            </w:r>
            <w:r>
              <w:rPr>
                <w:noProof/>
                <w:webHidden/>
              </w:rPr>
              <w:tab/>
            </w:r>
            <w:r>
              <w:rPr>
                <w:noProof/>
                <w:webHidden/>
              </w:rPr>
              <w:fldChar w:fldCharType="begin"/>
            </w:r>
            <w:r>
              <w:rPr>
                <w:noProof/>
                <w:webHidden/>
              </w:rPr>
              <w:instrText xml:space="preserve"> PAGEREF _Toc28009949 \h </w:instrText>
            </w:r>
            <w:r>
              <w:rPr>
                <w:noProof/>
                <w:webHidden/>
              </w:rPr>
            </w:r>
            <w:r>
              <w:rPr>
                <w:noProof/>
                <w:webHidden/>
              </w:rPr>
              <w:fldChar w:fldCharType="separate"/>
            </w:r>
            <w:r>
              <w:rPr>
                <w:noProof/>
                <w:webHidden/>
              </w:rPr>
              <w:t>24</w:t>
            </w:r>
            <w:r>
              <w:rPr>
                <w:noProof/>
                <w:webHidden/>
              </w:rPr>
              <w:fldChar w:fldCharType="end"/>
            </w:r>
          </w:hyperlink>
        </w:p>
        <w:p w14:paraId="19CE8EF7" w14:textId="4710D494" w:rsidR="00EE41FA" w:rsidRDefault="00EE41FA">
          <w:pPr>
            <w:pStyle w:val="TOC3"/>
            <w:rPr>
              <w:rFonts w:asciiTheme="minorHAnsi" w:eastAsiaTheme="minorEastAsia" w:hAnsiTheme="minorHAnsi" w:cstheme="minorBidi"/>
              <w:noProof/>
              <w:lang w:eastAsia="en-AU"/>
            </w:rPr>
          </w:pPr>
          <w:hyperlink w:anchor="_Toc28009950" w:history="1">
            <w:r w:rsidRPr="00070190">
              <w:rPr>
                <w:rStyle w:val="Hyperlink"/>
                <w:noProof/>
              </w:rPr>
              <w:t>First round benefit-risk assessment</w:t>
            </w:r>
            <w:r>
              <w:rPr>
                <w:noProof/>
                <w:webHidden/>
              </w:rPr>
              <w:tab/>
            </w:r>
            <w:r>
              <w:rPr>
                <w:noProof/>
                <w:webHidden/>
              </w:rPr>
              <w:fldChar w:fldCharType="begin"/>
            </w:r>
            <w:r>
              <w:rPr>
                <w:noProof/>
                <w:webHidden/>
              </w:rPr>
              <w:instrText xml:space="preserve"> PAGEREF _Toc28009950 \h </w:instrText>
            </w:r>
            <w:r>
              <w:rPr>
                <w:noProof/>
                <w:webHidden/>
              </w:rPr>
            </w:r>
            <w:r>
              <w:rPr>
                <w:noProof/>
                <w:webHidden/>
              </w:rPr>
              <w:fldChar w:fldCharType="separate"/>
            </w:r>
            <w:r>
              <w:rPr>
                <w:noProof/>
                <w:webHidden/>
              </w:rPr>
              <w:t>36</w:t>
            </w:r>
            <w:r>
              <w:rPr>
                <w:noProof/>
                <w:webHidden/>
              </w:rPr>
              <w:fldChar w:fldCharType="end"/>
            </w:r>
          </w:hyperlink>
        </w:p>
        <w:p w14:paraId="244F51B4" w14:textId="70A88E63" w:rsidR="00EE41FA" w:rsidRDefault="00EE41FA">
          <w:pPr>
            <w:pStyle w:val="TOC3"/>
            <w:rPr>
              <w:rFonts w:asciiTheme="minorHAnsi" w:eastAsiaTheme="minorEastAsia" w:hAnsiTheme="minorHAnsi" w:cstheme="minorBidi"/>
              <w:noProof/>
              <w:lang w:eastAsia="en-AU"/>
            </w:rPr>
          </w:pPr>
          <w:hyperlink w:anchor="_Toc28009951" w:history="1">
            <w:r w:rsidRPr="00070190">
              <w:rPr>
                <w:rStyle w:val="Hyperlink"/>
                <w:noProof/>
              </w:rPr>
              <w:t>First round recommendation regarding authorisation</w:t>
            </w:r>
            <w:r>
              <w:rPr>
                <w:noProof/>
                <w:webHidden/>
              </w:rPr>
              <w:tab/>
            </w:r>
            <w:r>
              <w:rPr>
                <w:noProof/>
                <w:webHidden/>
              </w:rPr>
              <w:fldChar w:fldCharType="begin"/>
            </w:r>
            <w:r>
              <w:rPr>
                <w:noProof/>
                <w:webHidden/>
              </w:rPr>
              <w:instrText xml:space="preserve"> PAGEREF _Toc28009951 \h </w:instrText>
            </w:r>
            <w:r>
              <w:rPr>
                <w:noProof/>
                <w:webHidden/>
              </w:rPr>
            </w:r>
            <w:r>
              <w:rPr>
                <w:noProof/>
                <w:webHidden/>
              </w:rPr>
              <w:fldChar w:fldCharType="separate"/>
            </w:r>
            <w:r>
              <w:rPr>
                <w:noProof/>
                <w:webHidden/>
              </w:rPr>
              <w:t>40</w:t>
            </w:r>
            <w:r>
              <w:rPr>
                <w:noProof/>
                <w:webHidden/>
              </w:rPr>
              <w:fldChar w:fldCharType="end"/>
            </w:r>
          </w:hyperlink>
        </w:p>
        <w:p w14:paraId="11FE342B" w14:textId="1D311EA7" w:rsidR="00EE41FA" w:rsidRDefault="00EE41FA">
          <w:pPr>
            <w:pStyle w:val="TOC3"/>
            <w:rPr>
              <w:rFonts w:asciiTheme="minorHAnsi" w:eastAsiaTheme="minorEastAsia" w:hAnsiTheme="minorHAnsi" w:cstheme="minorBidi"/>
              <w:noProof/>
              <w:lang w:eastAsia="en-AU"/>
            </w:rPr>
          </w:pPr>
          <w:hyperlink w:anchor="_Toc28009952" w:history="1">
            <w:r w:rsidRPr="00070190">
              <w:rPr>
                <w:rStyle w:val="Hyperlink"/>
                <w:noProof/>
              </w:rPr>
              <w:t>Clinical questions and second round evaluation</w:t>
            </w:r>
            <w:r>
              <w:rPr>
                <w:noProof/>
                <w:webHidden/>
              </w:rPr>
              <w:tab/>
            </w:r>
            <w:r>
              <w:rPr>
                <w:noProof/>
                <w:webHidden/>
              </w:rPr>
              <w:fldChar w:fldCharType="begin"/>
            </w:r>
            <w:r>
              <w:rPr>
                <w:noProof/>
                <w:webHidden/>
              </w:rPr>
              <w:instrText xml:space="preserve"> PAGEREF _Toc28009952 \h </w:instrText>
            </w:r>
            <w:r>
              <w:rPr>
                <w:noProof/>
                <w:webHidden/>
              </w:rPr>
            </w:r>
            <w:r>
              <w:rPr>
                <w:noProof/>
                <w:webHidden/>
              </w:rPr>
              <w:fldChar w:fldCharType="separate"/>
            </w:r>
            <w:r>
              <w:rPr>
                <w:noProof/>
                <w:webHidden/>
              </w:rPr>
              <w:t>40</w:t>
            </w:r>
            <w:r>
              <w:rPr>
                <w:noProof/>
                <w:webHidden/>
              </w:rPr>
              <w:fldChar w:fldCharType="end"/>
            </w:r>
          </w:hyperlink>
        </w:p>
        <w:p w14:paraId="60241DED" w14:textId="6E2AC433" w:rsidR="00EE41FA" w:rsidRDefault="00EE41FA">
          <w:pPr>
            <w:pStyle w:val="TOC3"/>
            <w:rPr>
              <w:rFonts w:asciiTheme="minorHAnsi" w:eastAsiaTheme="minorEastAsia" w:hAnsiTheme="minorHAnsi" w:cstheme="minorBidi"/>
              <w:noProof/>
              <w:lang w:eastAsia="en-AU"/>
            </w:rPr>
          </w:pPr>
          <w:hyperlink w:anchor="_Toc28009953" w:history="1">
            <w:r w:rsidRPr="00070190">
              <w:rPr>
                <w:rStyle w:val="Hyperlink"/>
                <w:noProof/>
              </w:rPr>
              <w:t>Second round benefit-risk assessment</w:t>
            </w:r>
            <w:r>
              <w:rPr>
                <w:noProof/>
                <w:webHidden/>
              </w:rPr>
              <w:tab/>
            </w:r>
            <w:r>
              <w:rPr>
                <w:noProof/>
                <w:webHidden/>
              </w:rPr>
              <w:fldChar w:fldCharType="begin"/>
            </w:r>
            <w:r>
              <w:rPr>
                <w:noProof/>
                <w:webHidden/>
              </w:rPr>
              <w:instrText xml:space="preserve"> PAGEREF _Toc28009953 \h </w:instrText>
            </w:r>
            <w:r>
              <w:rPr>
                <w:noProof/>
                <w:webHidden/>
              </w:rPr>
            </w:r>
            <w:r>
              <w:rPr>
                <w:noProof/>
                <w:webHidden/>
              </w:rPr>
              <w:fldChar w:fldCharType="separate"/>
            </w:r>
            <w:r>
              <w:rPr>
                <w:noProof/>
                <w:webHidden/>
              </w:rPr>
              <w:t>48</w:t>
            </w:r>
            <w:r>
              <w:rPr>
                <w:noProof/>
                <w:webHidden/>
              </w:rPr>
              <w:fldChar w:fldCharType="end"/>
            </w:r>
          </w:hyperlink>
        </w:p>
        <w:p w14:paraId="649CF1CD" w14:textId="247D6603" w:rsidR="00EE41FA" w:rsidRDefault="00EE41FA">
          <w:pPr>
            <w:pStyle w:val="TOC2"/>
            <w:rPr>
              <w:rFonts w:asciiTheme="minorHAnsi" w:eastAsiaTheme="minorEastAsia" w:hAnsiTheme="minorHAnsi" w:cstheme="minorBidi"/>
              <w:b w:val="0"/>
              <w:noProof/>
              <w:sz w:val="22"/>
              <w:lang w:eastAsia="en-AU"/>
            </w:rPr>
          </w:pPr>
          <w:hyperlink w:anchor="_Toc28009954" w:history="1">
            <w:r w:rsidRPr="00070190">
              <w:rPr>
                <w:rStyle w:val="Hyperlink"/>
                <w:noProof/>
              </w:rPr>
              <w:t>VI. Pharmacovigilance findings</w:t>
            </w:r>
            <w:r>
              <w:rPr>
                <w:noProof/>
                <w:webHidden/>
              </w:rPr>
              <w:tab/>
            </w:r>
            <w:r>
              <w:rPr>
                <w:noProof/>
                <w:webHidden/>
              </w:rPr>
              <w:fldChar w:fldCharType="begin"/>
            </w:r>
            <w:r>
              <w:rPr>
                <w:noProof/>
                <w:webHidden/>
              </w:rPr>
              <w:instrText xml:space="preserve"> PAGEREF _Toc28009954 \h </w:instrText>
            </w:r>
            <w:r>
              <w:rPr>
                <w:noProof/>
                <w:webHidden/>
              </w:rPr>
            </w:r>
            <w:r>
              <w:rPr>
                <w:noProof/>
                <w:webHidden/>
              </w:rPr>
              <w:fldChar w:fldCharType="separate"/>
            </w:r>
            <w:r>
              <w:rPr>
                <w:noProof/>
                <w:webHidden/>
              </w:rPr>
              <w:t>49</w:t>
            </w:r>
            <w:r>
              <w:rPr>
                <w:noProof/>
                <w:webHidden/>
              </w:rPr>
              <w:fldChar w:fldCharType="end"/>
            </w:r>
          </w:hyperlink>
        </w:p>
        <w:p w14:paraId="73F5241B" w14:textId="4F2C84CE" w:rsidR="00EE41FA" w:rsidRDefault="00EE41FA">
          <w:pPr>
            <w:pStyle w:val="TOC3"/>
            <w:rPr>
              <w:rFonts w:asciiTheme="minorHAnsi" w:eastAsiaTheme="minorEastAsia" w:hAnsiTheme="minorHAnsi" w:cstheme="minorBidi"/>
              <w:noProof/>
              <w:lang w:eastAsia="en-AU"/>
            </w:rPr>
          </w:pPr>
          <w:hyperlink w:anchor="_Toc28009955" w:history="1">
            <w:r w:rsidRPr="00070190">
              <w:rPr>
                <w:rStyle w:val="Hyperlink"/>
                <w:noProof/>
                <w:lang w:eastAsia="en-AU"/>
              </w:rPr>
              <w:t>Summary of RMP evaluation</w:t>
            </w:r>
            <w:r>
              <w:rPr>
                <w:noProof/>
                <w:webHidden/>
              </w:rPr>
              <w:tab/>
            </w:r>
            <w:r>
              <w:rPr>
                <w:noProof/>
                <w:webHidden/>
              </w:rPr>
              <w:fldChar w:fldCharType="begin"/>
            </w:r>
            <w:r>
              <w:rPr>
                <w:noProof/>
                <w:webHidden/>
              </w:rPr>
              <w:instrText xml:space="preserve"> PAGEREF _Toc28009955 \h </w:instrText>
            </w:r>
            <w:r>
              <w:rPr>
                <w:noProof/>
                <w:webHidden/>
              </w:rPr>
            </w:r>
            <w:r>
              <w:rPr>
                <w:noProof/>
                <w:webHidden/>
              </w:rPr>
              <w:fldChar w:fldCharType="separate"/>
            </w:r>
            <w:r>
              <w:rPr>
                <w:noProof/>
                <w:webHidden/>
              </w:rPr>
              <w:t>49</w:t>
            </w:r>
            <w:r>
              <w:rPr>
                <w:noProof/>
                <w:webHidden/>
              </w:rPr>
              <w:fldChar w:fldCharType="end"/>
            </w:r>
          </w:hyperlink>
        </w:p>
        <w:p w14:paraId="1E770976" w14:textId="2CE8A9E3" w:rsidR="00EE41FA" w:rsidRDefault="00EE41FA">
          <w:pPr>
            <w:pStyle w:val="TOC3"/>
            <w:rPr>
              <w:rFonts w:asciiTheme="minorHAnsi" w:eastAsiaTheme="minorEastAsia" w:hAnsiTheme="minorHAnsi" w:cstheme="minorBidi"/>
              <w:noProof/>
              <w:lang w:eastAsia="en-AU"/>
            </w:rPr>
          </w:pPr>
          <w:hyperlink w:anchor="_Toc28009956" w:history="1">
            <w:r w:rsidRPr="00070190">
              <w:rPr>
                <w:rStyle w:val="Hyperlink"/>
                <w:noProof/>
                <w:lang w:eastAsia="en-AU"/>
              </w:rPr>
              <w:t>Risk management plan</w:t>
            </w:r>
            <w:r>
              <w:rPr>
                <w:noProof/>
                <w:webHidden/>
              </w:rPr>
              <w:tab/>
            </w:r>
            <w:r>
              <w:rPr>
                <w:noProof/>
                <w:webHidden/>
              </w:rPr>
              <w:fldChar w:fldCharType="begin"/>
            </w:r>
            <w:r>
              <w:rPr>
                <w:noProof/>
                <w:webHidden/>
              </w:rPr>
              <w:instrText xml:space="preserve"> PAGEREF _Toc28009956 \h </w:instrText>
            </w:r>
            <w:r>
              <w:rPr>
                <w:noProof/>
                <w:webHidden/>
              </w:rPr>
            </w:r>
            <w:r>
              <w:rPr>
                <w:noProof/>
                <w:webHidden/>
              </w:rPr>
              <w:fldChar w:fldCharType="separate"/>
            </w:r>
            <w:r>
              <w:rPr>
                <w:noProof/>
                <w:webHidden/>
              </w:rPr>
              <w:t>50</w:t>
            </w:r>
            <w:r>
              <w:rPr>
                <w:noProof/>
                <w:webHidden/>
              </w:rPr>
              <w:fldChar w:fldCharType="end"/>
            </w:r>
          </w:hyperlink>
        </w:p>
        <w:p w14:paraId="57B2ABD6" w14:textId="1F73E3D9" w:rsidR="00EE41FA" w:rsidRDefault="00EE41FA">
          <w:pPr>
            <w:pStyle w:val="TOC2"/>
            <w:rPr>
              <w:rFonts w:asciiTheme="minorHAnsi" w:eastAsiaTheme="minorEastAsia" w:hAnsiTheme="minorHAnsi" w:cstheme="minorBidi"/>
              <w:b w:val="0"/>
              <w:noProof/>
              <w:sz w:val="22"/>
              <w:lang w:eastAsia="en-AU"/>
            </w:rPr>
          </w:pPr>
          <w:hyperlink w:anchor="_Toc28009957" w:history="1">
            <w:r w:rsidRPr="00070190">
              <w:rPr>
                <w:rStyle w:val="Hyperlink"/>
                <w:noProof/>
              </w:rPr>
              <w:t>VII. Overall conclusion and risk/benefit assessment</w:t>
            </w:r>
            <w:r>
              <w:rPr>
                <w:noProof/>
                <w:webHidden/>
              </w:rPr>
              <w:tab/>
            </w:r>
            <w:r>
              <w:rPr>
                <w:noProof/>
                <w:webHidden/>
              </w:rPr>
              <w:fldChar w:fldCharType="begin"/>
            </w:r>
            <w:r>
              <w:rPr>
                <w:noProof/>
                <w:webHidden/>
              </w:rPr>
              <w:instrText xml:space="preserve"> PAGEREF _Toc28009957 \h </w:instrText>
            </w:r>
            <w:r>
              <w:rPr>
                <w:noProof/>
                <w:webHidden/>
              </w:rPr>
            </w:r>
            <w:r>
              <w:rPr>
                <w:noProof/>
                <w:webHidden/>
              </w:rPr>
              <w:fldChar w:fldCharType="separate"/>
            </w:r>
            <w:r>
              <w:rPr>
                <w:noProof/>
                <w:webHidden/>
              </w:rPr>
              <w:t>52</w:t>
            </w:r>
            <w:r>
              <w:rPr>
                <w:noProof/>
                <w:webHidden/>
              </w:rPr>
              <w:fldChar w:fldCharType="end"/>
            </w:r>
          </w:hyperlink>
        </w:p>
        <w:p w14:paraId="7C7724E1" w14:textId="324AB252" w:rsidR="00EE41FA" w:rsidRDefault="00EE41FA">
          <w:pPr>
            <w:pStyle w:val="TOC3"/>
            <w:rPr>
              <w:rFonts w:asciiTheme="minorHAnsi" w:eastAsiaTheme="minorEastAsia" w:hAnsiTheme="minorHAnsi" w:cstheme="minorBidi"/>
              <w:noProof/>
              <w:lang w:eastAsia="en-AU"/>
            </w:rPr>
          </w:pPr>
          <w:hyperlink w:anchor="_Toc28009958" w:history="1">
            <w:r w:rsidRPr="00070190">
              <w:rPr>
                <w:rStyle w:val="Hyperlink"/>
                <w:noProof/>
              </w:rPr>
              <w:t>Quality</w:t>
            </w:r>
            <w:r>
              <w:rPr>
                <w:noProof/>
                <w:webHidden/>
              </w:rPr>
              <w:tab/>
            </w:r>
            <w:r>
              <w:rPr>
                <w:noProof/>
                <w:webHidden/>
              </w:rPr>
              <w:fldChar w:fldCharType="begin"/>
            </w:r>
            <w:r>
              <w:rPr>
                <w:noProof/>
                <w:webHidden/>
              </w:rPr>
              <w:instrText xml:space="preserve"> PAGEREF _Toc28009958 \h </w:instrText>
            </w:r>
            <w:r>
              <w:rPr>
                <w:noProof/>
                <w:webHidden/>
              </w:rPr>
            </w:r>
            <w:r>
              <w:rPr>
                <w:noProof/>
                <w:webHidden/>
              </w:rPr>
              <w:fldChar w:fldCharType="separate"/>
            </w:r>
            <w:r>
              <w:rPr>
                <w:noProof/>
                <w:webHidden/>
              </w:rPr>
              <w:t>52</w:t>
            </w:r>
            <w:r>
              <w:rPr>
                <w:noProof/>
                <w:webHidden/>
              </w:rPr>
              <w:fldChar w:fldCharType="end"/>
            </w:r>
          </w:hyperlink>
        </w:p>
        <w:p w14:paraId="01CEBA69" w14:textId="61AD38D3" w:rsidR="00EE41FA" w:rsidRDefault="00EE41FA">
          <w:pPr>
            <w:pStyle w:val="TOC3"/>
            <w:rPr>
              <w:rFonts w:asciiTheme="minorHAnsi" w:eastAsiaTheme="minorEastAsia" w:hAnsiTheme="minorHAnsi" w:cstheme="minorBidi"/>
              <w:noProof/>
              <w:lang w:eastAsia="en-AU"/>
            </w:rPr>
          </w:pPr>
          <w:hyperlink w:anchor="_Toc28009959" w:history="1">
            <w:r w:rsidRPr="00070190">
              <w:rPr>
                <w:rStyle w:val="Hyperlink"/>
                <w:noProof/>
              </w:rPr>
              <w:t>Nonclinical</w:t>
            </w:r>
            <w:r>
              <w:rPr>
                <w:noProof/>
                <w:webHidden/>
              </w:rPr>
              <w:tab/>
            </w:r>
            <w:r>
              <w:rPr>
                <w:noProof/>
                <w:webHidden/>
              </w:rPr>
              <w:fldChar w:fldCharType="begin"/>
            </w:r>
            <w:r>
              <w:rPr>
                <w:noProof/>
                <w:webHidden/>
              </w:rPr>
              <w:instrText xml:space="preserve"> PAGEREF _Toc28009959 \h </w:instrText>
            </w:r>
            <w:r>
              <w:rPr>
                <w:noProof/>
                <w:webHidden/>
              </w:rPr>
            </w:r>
            <w:r>
              <w:rPr>
                <w:noProof/>
                <w:webHidden/>
              </w:rPr>
              <w:fldChar w:fldCharType="separate"/>
            </w:r>
            <w:r>
              <w:rPr>
                <w:noProof/>
                <w:webHidden/>
              </w:rPr>
              <w:t>52</w:t>
            </w:r>
            <w:r>
              <w:rPr>
                <w:noProof/>
                <w:webHidden/>
              </w:rPr>
              <w:fldChar w:fldCharType="end"/>
            </w:r>
          </w:hyperlink>
        </w:p>
        <w:p w14:paraId="72D20C8F" w14:textId="3D796233" w:rsidR="00EE41FA" w:rsidRDefault="00EE41FA">
          <w:pPr>
            <w:pStyle w:val="TOC3"/>
            <w:rPr>
              <w:rFonts w:asciiTheme="minorHAnsi" w:eastAsiaTheme="minorEastAsia" w:hAnsiTheme="minorHAnsi" w:cstheme="minorBidi"/>
              <w:noProof/>
              <w:lang w:eastAsia="en-AU"/>
            </w:rPr>
          </w:pPr>
          <w:hyperlink w:anchor="_Toc28009960" w:history="1">
            <w:r w:rsidRPr="00070190">
              <w:rPr>
                <w:rStyle w:val="Hyperlink"/>
                <w:noProof/>
              </w:rPr>
              <w:t>Clinical</w:t>
            </w:r>
            <w:r>
              <w:rPr>
                <w:noProof/>
                <w:webHidden/>
              </w:rPr>
              <w:tab/>
            </w:r>
            <w:r>
              <w:rPr>
                <w:noProof/>
                <w:webHidden/>
              </w:rPr>
              <w:fldChar w:fldCharType="begin"/>
            </w:r>
            <w:r>
              <w:rPr>
                <w:noProof/>
                <w:webHidden/>
              </w:rPr>
              <w:instrText xml:space="preserve"> PAGEREF _Toc28009960 \h </w:instrText>
            </w:r>
            <w:r>
              <w:rPr>
                <w:noProof/>
                <w:webHidden/>
              </w:rPr>
            </w:r>
            <w:r>
              <w:rPr>
                <w:noProof/>
                <w:webHidden/>
              </w:rPr>
              <w:fldChar w:fldCharType="separate"/>
            </w:r>
            <w:r>
              <w:rPr>
                <w:noProof/>
                <w:webHidden/>
              </w:rPr>
              <w:t>52</w:t>
            </w:r>
            <w:r>
              <w:rPr>
                <w:noProof/>
                <w:webHidden/>
              </w:rPr>
              <w:fldChar w:fldCharType="end"/>
            </w:r>
          </w:hyperlink>
        </w:p>
        <w:p w14:paraId="7F38AF8D" w14:textId="290A3F0C" w:rsidR="00EE41FA" w:rsidRDefault="00EE41FA">
          <w:pPr>
            <w:pStyle w:val="TOC3"/>
            <w:rPr>
              <w:rFonts w:asciiTheme="minorHAnsi" w:eastAsiaTheme="minorEastAsia" w:hAnsiTheme="minorHAnsi" w:cstheme="minorBidi"/>
              <w:noProof/>
              <w:lang w:eastAsia="en-AU"/>
            </w:rPr>
          </w:pPr>
          <w:hyperlink w:anchor="_Toc28009961" w:history="1">
            <w:r w:rsidRPr="00070190">
              <w:rPr>
                <w:rStyle w:val="Hyperlink"/>
                <w:noProof/>
                <w:lang w:eastAsia="en-AU"/>
              </w:rPr>
              <w:t>Risk management plan</w:t>
            </w:r>
            <w:r>
              <w:rPr>
                <w:noProof/>
                <w:webHidden/>
              </w:rPr>
              <w:tab/>
            </w:r>
            <w:r>
              <w:rPr>
                <w:noProof/>
                <w:webHidden/>
              </w:rPr>
              <w:fldChar w:fldCharType="begin"/>
            </w:r>
            <w:r>
              <w:rPr>
                <w:noProof/>
                <w:webHidden/>
              </w:rPr>
              <w:instrText xml:space="preserve"> PAGEREF _Toc28009961 \h </w:instrText>
            </w:r>
            <w:r>
              <w:rPr>
                <w:noProof/>
                <w:webHidden/>
              </w:rPr>
            </w:r>
            <w:r>
              <w:rPr>
                <w:noProof/>
                <w:webHidden/>
              </w:rPr>
              <w:fldChar w:fldCharType="separate"/>
            </w:r>
            <w:r>
              <w:rPr>
                <w:noProof/>
                <w:webHidden/>
              </w:rPr>
              <w:t>61</w:t>
            </w:r>
            <w:r>
              <w:rPr>
                <w:noProof/>
                <w:webHidden/>
              </w:rPr>
              <w:fldChar w:fldCharType="end"/>
            </w:r>
          </w:hyperlink>
        </w:p>
        <w:p w14:paraId="3CB3B0D4" w14:textId="5A6C7B9D" w:rsidR="00EE41FA" w:rsidRDefault="00EE41FA">
          <w:pPr>
            <w:pStyle w:val="TOC3"/>
            <w:rPr>
              <w:rFonts w:asciiTheme="minorHAnsi" w:eastAsiaTheme="minorEastAsia" w:hAnsiTheme="minorHAnsi" w:cstheme="minorBidi"/>
              <w:noProof/>
              <w:lang w:eastAsia="en-AU"/>
            </w:rPr>
          </w:pPr>
          <w:hyperlink w:anchor="_Toc28009962" w:history="1">
            <w:r w:rsidRPr="00070190">
              <w:rPr>
                <w:rStyle w:val="Hyperlink"/>
                <w:noProof/>
              </w:rPr>
              <w:t>Risk-benefit analysis</w:t>
            </w:r>
            <w:r>
              <w:rPr>
                <w:noProof/>
                <w:webHidden/>
              </w:rPr>
              <w:tab/>
            </w:r>
            <w:r>
              <w:rPr>
                <w:noProof/>
                <w:webHidden/>
              </w:rPr>
              <w:fldChar w:fldCharType="begin"/>
            </w:r>
            <w:r>
              <w:rPr>
                <w:noProof/>
                <w:webHidden/>
              </w:rPr>
              <w:instrText xml:space="preserve"> PAGEREF _Toc28009962 \h </w:instrText>
            </w:r>
            <w:r>
              <w:rPr>
                <w:noProof/>
                <w:webHidden/>
              </w:rPr>
            </w:r>
            <w:r>
              <w:rPr>
                <w:noProof/>
                <w:webHidden/>
              </w:rPr>
              <w:fldChar w:fldCharType="separate"/>
            </w:r>
            <w:r>
              <w:rPr>
                <w:noProof/>
                <w:webHidden/>
              </w:rPr>
              <w:t>62</w:t>
            </w:r>
            <w:r>
              <w:rPr>
                <w:noProof/>
                <w:webHidden/>
              </w:rPr>
              <w:fldChar w:fldCharType="end"/>
            </w:r>
          </w:hyperlink>
        </w:p>
        <w:p w14:paraId="5493918D" w14:textId="5B31A1E3" w:rsidR="00EE41FA" w:rsidRDefault="00EE41FA">
          <w:pPr>
            <w:pStyle w:val="TOC3"/>
            <w:rPr>
              <w:rFonts w:asciiTheme="minorHAnsi" w:eastAsiaTheme="minorEastAsia" w:hAnsiTheme="minorHAnsi" w:cstheme="minorBidi"/>
              <w:noProof/>
              <w:lang w:eastAsia="en-AU"/>
            </w:rPr>
          </w:pPr>
          <w:hyperlink w:anchor="_Toc28009963" w:history="1">
            <w:r w:rsidRPr="00070190">
              <w:rPr>
                <w:rStyle w:val="Hyperlink"/>
                <w:noProof/>
              </w:rPr>
              <w:t>Outcome</w:t>
            </w:r>
            <w:r>
              <w:rPr>
                <w:noProof/>
                <w:webHidden/>
              </w:rPr>
              <w:tab/>
            </w:r>
            <w:r>
              <w:rPr>
                <w:noProof/>
                <w:webHidden/>
              </w:rPr>
              <w:fldChar w:fldCharType="begin"/>
            </w:r>
            <w:r>
              <w:rPr>
                <w:noProof/>
                <w:webHidden/>
              </w:rPr>
              <w:instrText xml:space="preserve"> PAGEREF _Toc28009963 \h </w:instrText>
            </w:r>
            <w:r>
              <w:rPr>
                <w:noProof/>
                <w:webHidden/>
              </w:rPr>
            </w:r>
            <w:r>
              <w:rPr>
                <w:noProof/>
                <w:webHidden/>
              </w:rPr>
              <w:fldChar w:fldCharType="separate"/>
            </w:r>
            <w:r>
              <w:rPr>
                <w:noProof/>
                <w:webHidden/>
              </w:rPr>
              <w:t>74</w:t>
            </w:r>
            <w:r>
              <w:rPr>
                <w:noProof/>
                <w:webHidden/>
              </w:rPr>
              <w:fldChar w:fldCharType="end"/>
            </w:r>
          </w:hyperlink>
        </w:p>
        <w:p w14:paraId="3C43B493" w14:textId="581F5D43" w:rsidR="00EE41FA" w:rsidRDefault="00EE41FA">
          <w:pPr>
            <w:pStyle w:val="TOC2"/>
            <w:rPr>
              <w:rFonts w:asciiTheme="minorHAnsi" w:eastAsiaTheme="minorEastAsia" w:hAnsiTheme="minorHAnsi" w:cstheme="minorBidi"/>
              <w:b w:val="0"/>
              <w:noProof/>
              <w:sz w:val="22"/>
              <w:lang w:eastAsia="en-AU"/>
            </w:rPr>
          </w:pPr>
          <w:hyperlink w:anchor="_Toc28009964" w:history="1">
            <w:r w:rsidRPr="00070190">
              <w:rPr>
                <w:rStyle w:val="Hyperlink"/>
                <w:noProof/>
              </w:rPr>
              <w:t>Attachment 1. Product Information</w:t>
            </w:r>
            <w:r>
              <w:rPr>
                <w:noProof/>
                <w:webHidden/>
              </w:rPr>
              <w:tab/>
            </w:r>
            <w:r>
              <w:rPr>
                <w:noProof/>
                <w:webHidden/>
              </w:rPr>
              <w:fldChar w:fldCharType="begin"/>
            </w:r>
            <w:r>
              <w:rPr>
                <w:noProof/>
                <w:webHidden/>
              </w:rPr>
              <w:instrText xml:space="preserve"> PAGEREF _Toc28009964 \h </w:instrText>
            </w:r>
            <w:r>
              <w:rPr>
                <w:noProof/>
                <w:webHidden/>
              </w:rPr>
            </w:r>
            <w:r>
              <w:rPr>
                <w:noProof/>
                <w:webHidden/>
              </w:rPr>
              <w:fldChar w:fldCharType="separate"/>
            </w:r>
            <w:r>
              <w:rPr>
                <w:noProof/>
                <w:webHidden/>
              </w:rPr>
              <w:t>75</w:t>
            </w:r>
            <w:r>
              <w:rPr>
                <w:noProof/>
                <w:webHidden/>
              </w:rPr>
              <w:fldChar w:fldCharType="end"/>
            </w:r>
          </w:hyperlink>
        </w:p>
        <w:p w14:paraId="65498F29" w14:textId="04FC2DC5" w:rsidR="003A7F6C" w:rsidRPr="00B811C6" w:rsidRDefault="00DB6124" w:rsidP="00B811C6">
          <w:pPr>
            <w:pStyle w:val="TOC2"/>
          </w:pPr>
          <w:r>
            <w:fldChar w:fldCharType="end"/>
          </w:r>
        </w:p>
      </w:sdtContent>
    </w:sdt>
    <w:bookmarkStart w:id="3" w:name="_Toc314842482" w:displacedByCustomXml="prev"/>
    <w:p w14:paraId="5205F7F4" w14:textId="77777777" w:rsidR="00FD119B" w:rsidRDefault="00FD119B">
      <w:pPr>
        <w:spacing w:before="0" w:after="200" w:line="0" w:lineRule="auto"/>
      </w:pPr>
      <w:r>
        <w:br w:type="page"/>
      </w:r>
    </w:p>
    <w:p w14:paraId="4A06203C"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2800993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0A0" w:firstRow="1" w:lastRow="0" w:firstColumn="1" w:lastColumn="0" w:noHBand="0" w:noVBand="0"/>
      </w:tblPr>
      <w:tblGrid>
        <w:gridCol w:w="1890"/>
        <w:gridCol w:w="6830"/>
      </w:tblGrid>
      <w:tr w:rsidR="00546B8A" w:rsidRPr="002F1E61" w14:paraId="571720CF" w14:textId="77777777" w:rsidTr="00D431C6">
        <w:trPr>
          <w:cnfStyle w:val="100000000000" w:firstRow="1" w:lastRow="0" w:firstColumn="0" w:lastColumn="0" w:oddVBand="0" w:evenVBand="0" w:oddHBand="0" w:evenHBand="0" w:firstRowFirstColumn="0" w:firstRowLastColumn="0" w:lastRowFirstColumn="0" w:lastRowLastColumn="0"/>
        </w:trPr>
        <w:tc>
          <w:tcPr>
            <w:tcW w:w="1890" w:type="dxa"/>
          </w:tcPr>
          <w:p w14:paraId="680F7A68" w14:textId="77777777" w:rsidR="00546B8A" w:rsidRPr="002F1E61" w:rsidRDefault="00546B8A" w:rsidP="00827612">
            <w:pPr>
              <w:rPr>
                <w:sz w:val="20"/>
                <w:szCs w:val="20"/>
              </w:rPr>
            </w:pPr>
            <w:r w:rsidRPr="002F1E61">
              <w:rPr>
                <w:sz w:val="20"/>
                <w:szCs w:val="20"/>
              </w:rPr>
              <w:t>Abbreviation</w:t>
            </w:r>
          </w:p>
        </w:tc>
        <w:tc>
          <w:tcPr>
            <w:tcW w:w="6830" w:type="dxa"/>
          </w:tcPr>
          <w:p w14:paraId="34D7D51A" w14:textId="77777777" w:rsidR="00546B8A" w:rsidRPr="002F1E61" w:rsidRDefault="00546B8A" w:rsidP="00827612">
            <w:pPr>
              <w:rPr>
                <w:sz w:val="20"/>
                <w:szCs w:val="20"/>
              </w:rPr>
            </w:pPr>
            <w:r w:rsidRPr="002F1E61">
              <w:rPr>
                <w:sz w:val="20"/>
                <w:szCs w:val="20"/>
              </w:rPr>
              <w:t>Meaning</w:t>
            </w:r>
          </w:p>
        </w:tc>
      </w:tr>
      <w:tr w:rsidR="00546B8A" w:rsidRPr="002F1E61" w14:paraId="3A1B1672" w14:textId="77777777" w:rsidTr="00D431C6">
        <w:tc>
          <w:tcPr>
            <w:tcW w:w="1890" w:type="dxa"/>
          </w:tcPr>
          <w:p w14:paraId="2D52814A" w14:textId="77777777" w:rsidR="00546B8A" w:rsidRPr="002F1E61" w:rsidRDefault="00546B8A" w:rsidP="00D431C6">
            <w:pPr>
              <w:rPr>
                <w:sz w:val="20"/>
                <w:szCs w:val="20"/>
              </w:rPr>
            </w:pPr>
            <w:r w:rsidRPr="002F1E61">
              <w:rPr>
                <w:sz w:val="20"/>
                <w:szCs w:val="20"/>
              </w:rPr>
              <w:t>ACCF</w:t>
            </w:r>
          </w:p>
        </w:tc>
        <w:tc>
          <w:tcPr>
            <w:tcW w:w="6830" w:type="dxa"/>
          </w:tcPr>
          <w:p w14:paraId="5136B06D" w14:textId="77777777" w:rsidR="00546B8A" w:rsidRPr="002F1E61" w:rsidRDefault="00546B8A" w:rsidP="00827612">
            <w:pPr>
              <w:rPr>
                <w:sz w:val="20"/>
                <w:szCs w:val="20"/>
              </w:rPr>
            </w:pPr>
            <w:r w:rsidRPr="002F1E61">
              <w:rPr>
                <w:sz w:val="20"/>
                <w:szCs w:val="20"/>
              </w:rPr>
              <w:t>American College of Cardiology Foundation</w:t>
            </w:r>
          </w:p>
        </w:tc>
      </w:tr>
      <w:tr w:rsidR="00827612" w:rsidRPr="002F1E61" w14:paraId="613BCD53" w14:textId="77777777" w:rsidTr="00827612">
        <w:tc>
          <w:tcPr>
            <w:tcW w:w="1890" w:type="dxa"/>
          </w:tcPr>
          <w:p w14:paraId="74BAE52E" w14:textId="4E40C790" w:rsidR="00827612" w:rsidRPr="002F1E61" w:rsidRDefault="00827612" w:rsidP="00827612">
            <w:pPr>
              <w:rPr>
                <w:sz w:val="20"/>
                <w:szCs w:val="20"/>
              </w:rPr>
            </w:pPr>
            <w:r w:rsidRPr="002F1E61">
              <w:rPr>
                <w:sz w:val="20"/>
                <w:szCs w:val="20"/>
              </w:rPr>
              <w:t>ACM</w:t>
            </w:r>
          </w:p>
        </w:tc>
        <w:tc>
          <w:tcPr>
            <w:tcW w:w="6830" w:type="dxa"/>
          </w:tcPr>
          <w:p w14:paraId="40F7105E" w14:textId="2634B40F" w:rsidR="00827612" w:rsidRPr="002F1E61" w:rsidRDefault="00827612" w:rsidP="00827612">
            <w:pPr>
              <w:rPr>
                <w:sz w:val="20"/>
                <w:szCs w:val="20"/>
              </w:rPr>
            </w:pPr>
            <w:r w:rsidRPr="002F1E61">
              <w:rPr>
                <w:sz w:val="20"/>
                <w:szCs w:val="20"/>
              </w:rPr>
              <w:t>Advisory Committee on Medicines</w:t>
            </w:r>
          </w:p>
        </w:tc>
      </w:tr>
      <w:tr w:rsidR="00546B8A" w:rsidRPr="002F1E61" w14:paraId="46CEC075" w14:textId="77777777" w:rsidTr="00D431C6">
        <w:tc>
          <w:tcPr>
            <w:tcW w:w="1890" w:type="dxa"/>
          </w:tcPr>
          <w:p w14:paraId="3C38ECE1" w14:textId="77777777" w:rsidR="00546B8A" w:rsidRPr="002F1E61" w:rsidRDefault="00546B8A" w:rsidP="00827612">
            <w:pPr>
              <w:rPr>
                <w:sz w:val="20"/>
                <w:szCs w:val="20"/>
              </w:rPr>
            </w:pPr>
            <w:r w:rsidRPr="002F1E61">
              <w:rPr>
                <w:color w:val="auto"/>
                <w:sz w:val="20"/>
                <w:szCs w:val="20"/>
              </w:rPr>
              <w:t>ACPM</w:t>
            </w:r>
          </w:p>
        </w:tc>
        <w:tc>
          <w:tcPr>
            <w:tcW w:w="6830" w:type="dxa"/>
          </w:tcPr>
          <w:p w14:paraId="6EE448EE" w14:textId="77777777" w:rsidR="00546B8A" w:rsidRPr="002F1E61" w:rsidRDefault="00546B8A" w:rsidP="004F47DC">
            <w:pPr>
              <w:rPr>
                <w:sz w:val="20"/>
                <w:szCs w:val="20"/>
              </w:rPr>
            </w:pPr>
            <w:r w:rsidRPr="002F1E61">
              <w:rPr>
                <w:color w:val="auto"/>
                <w:sz w:val="20"/>
                <w:szCs w:val="20"/>
              </w:rPr>
              <w:t>Advisory Committee on Prescription Medicines</w:t>
            </w:r>
          </w:p>
        </w:tc>
      </w:tr>
      <w:tr w:rsidR="00546B8A" w:rsidRPr="002F1E61" w14:paraId="457A07A6" w14:textId="77777777" w:rsidTr="00D431C6">
        <w:tc>
          <w:tcPr>
            <w:tcW w:w="1890" w:type="dxa"/>
          </w:tcPr>
          <w:p w14:paraId="04BA14DC" w14:textId="77777777" w:rsidR="00546B8A" w:rsidRPr="002F1E61" w:rsidRDefault="00546B8A" w:rsidP="00D431C6">
            <w:pPr>
              <w:rPr>
                <w:sz w:val="20"/>
                <w:szCs w:val="20"/>
              </w:rPr>
            </w:pPr>
            <w:r w:rsidRPr="002F1E61">
              <w:rPr>
                <w:sz w:val="20"/>
                <w:szCs w:val="20"/>
              </w:rPr>
              <w:t>AE</w:t>
            </w:r>
          </w:p>
        </w:tc>
        <w:tc>
          <w:tcPr>
            <w:tcW w:w="6830" w:type="dxa"/>
          </w:tcPr>
          <w:p w14:paraId="71BEF2EB" w14:textId="77777777" w:rsidR="00546B8A" w:rsidRPr="002F1E61" w:rsidRDefault="00546B8A" w:rsidP="00827612">
            <w:pPr>
              <w:rPr>
                <w:sz w:val="20"/>
                <w:szCs w:val="20"/>
              </w:rPr>
            </w:pPr>
            <w:r w:rsidRPr="002F1E61">
              <w:rPr>
                <w:sz w:val="20"/>
                <w:szCs w:val="20"/>
              </w:rPr>
              <w:t xml:space="preserve">Adverse </w:t>
            </w:r>
            <w:r w:rsidR="00931948" w:rsidRPr="002F1E61">
              <w:rPr>
                <w:sz w:val="20"/>
                <w:szCs w:val="20"/>
              </w:rPr>
              <w:t>e</w:t>
            </w:r>
            <w:r w:rsidRPr="002F1E61">
              <w:rPr>
                <w:sz w:val="20"/>
                <w:szCs w:val="20"/>
              </w:rPr>
              <w:t>vent</w:t>
            </w:r>
          </w:p>
        </w:tc>
      </w:tr>
      <w:tr w:rsidR="00546B8A" w:rsidRPr="002F1E61" w14:paraId="2515BF35" w14:textId="77777777" w:rsidTr="00D431C6">
        <w:tc>
          <w:tcPr>
            <w:tcW w:w="1890" w:type="dxa"/>
          </w:tcPr>
          <w:p w14:paraId="758442E5" w14:textId="77777777" w:rsidR="00546B8A" w:rsidRPr="002F1E61" w:rsidRDefault="00546B8A" w:rsidP="00D431C6">
            <w:pPr>
              <w:rPr>
                <w:sz w:val="20"/>
                <w:szCs w:val="20"/>
              </w:rPr>
            </w:pPr>
            <w:r w:rsidRPr="002F1E61">
              <w:rPr>
                <w:sz w:val="20"/>
                <w:szCs w:val="20"/>
              </w:rPr>
              <w:t>AHA</w:t>
            </w:r>
          </w:p>
        </w:tc>
        <w:tc>
          <w:tcPr>
            <w:tcW w:w="6830" w:type="dxa"/>
          </w:tcPr>
          <w:p w14:paraId="6E0731FE" w14:textId="77777777" w:rsidR="00546B8A" w:rsidRPr="002F1E61" w:rsidRDefault="00546B8A" w:rsidP="00827612">
            <w:pPr>
              <w:rPr>
                <w:sz w:val="20"/>
                <w:szCs w:val="20"/>
              </w:rPr>
            </w:pPr>
            <w:r w:rsidRPr="002F1E61">
              <w:rPr>
                <w:sz w:val="20"/>
                <w:szCs w:val="20"/>
              </w:rPr>
              <w:t>American Heart Association</w:t>
            </w:r>
          </w:p>
        </w:tc>
      </w:tr>
      <w:tr w:rsidR="00827612" w:rsidRPr="002F1E61" w14:paraId="791E4AF8" w14:textId="77777777" w:rsidTr="00827612">
        <w:tc>
          <w:tcPr>
            <w:tcW w:w="1890" w:type="dxa"/>
          </w:tcPr>
          <w:p w14:paraId="17EAD0D7" w14:textId="1A2F058E" w:rsidR="00827612" w:rsidRPr="002F1E61" w:rsidRDefault="00827612" w:rsidP="00827612">
            <w:pPr>
              <w:rPr>
                <w:sz w:val="20"/>
                <w:szCs w:val="20"/>
              </w:rPr>
            </w:pPr>
            <w:r w:rsidRPr="002F1E61">
              <w:rPr>
                <w:sz w:val="20"/>
                <w:szCs w:val="20"/>
              </w:rPr>
              <w:t>ARTG</w:t>
            </w:r>
          </w:p>
        </w:tc>
        <w:tc>
          <w:tcPr>
            <w:tcW w:w="6830" w:type="dxa"/>
          </w:tcPr>
          <w:p w14:paraId="265A8147" w14:textId="18F4DD00" w:rsidR="00827612" w:rsidRPr="002F1E61" w:rsidRDefault="00827612" w:rsidP="00827612">
            <w:pPr>
              <w:rPr>
                <w:sz w:val="20"/>
                <w:szCs w:val="20"/>
              </w:rPr>
            </w:pPr>
            <w:r w:rsidRPr="002F1E61">
              <w:rPr>
                <w:sz w:val="20"/>
                <w:szCs w:val="20"/>
              </w:rPr>
              <w:t>Australian Register of Therapeutic Goods</w:t>
            </w:r>
          </w:p>
        </w:tc>
      </w:tr>
      <w:tr w:rsidR="00546B8A" w:rsidRPr="002F1E61" w14:paraId="2207B6F5" w14:textId="77777777" w:rsidTr="00D431C6">
        <w:tc>
          <w:tcPr>
            <w:tcW w:w="1890" w:type="dxa"/>
          </w:tcPr>
          <w:p w14:paraId="4E551750" w14:textId="77777777" w:rsidR="00546B8A" w:rsidRPr="002F1E61" w:rsidRDefault="00546B8A" w:rsidP="00827612">
            <w:pPr>
              <w:rPr>
                <w:sz w:val="20"/>
                <w:szCs w:val="20"/>
              </w:rPr>
            </w:pPr>
            <w:r w:rsidRPr="002F1E61">
              <w:rPr>
                <w:sz w:val="20"/>
                <w:szCs w:val="20"/>
              </w:rPr>
              <w:t>CABG</w:t>
            </w:r>
          </w:p>
        </w:tc>
        <w:tc>
          <w:tcPr>
            <w:tcW w:w="6830" w:type="dxa"/>
          </w:tcPr>
          <w:p w14:paraId="316C47B5" w14:textId="77777777" w:rsidR="00546B8A" w:rsidRPr="002F1E61" w:rsidRDefault="00546B8A" w:rsidP="00827612">
            <w:pPr>
              <w:rPr>
                <w:sz w:val="20"/>
                <w:szCs w:val="20"/>
              </w:rPr>
            </w:pPr>
            <w:r w:rsidRPr="002F1E61">
              <w:rPr>
                <w:sz w:val="20"/>
                <w:szCs w:val="20"/>
              </w:rPr>
              <w:t xml:space="preserve">Coronary </w:t>
            </w:r>
            <w:r w:rsidR="00931948" w:rsidRPr="002F1E61">
              <w:rPr>
                <w:sz w:val="20"/>
                <w:szCs w:val="20"/>
              </w:rPr>
              <w:t>artery bypass grafting</w:t>
            </w:r>
          </w:p>
        </w:tc>
      </w:tr>
      <w:tr w:rsidR="00546B8A" w:rsidRPr="002F1E61" w14:paraId="62F1CDAA" w14:textId="77777777" w:rsidTr="00D431C6">
        <w:tc>
          <w:tcPr>
            <w:tcW w:w="1890" w:type="dxa"/>
          </w:tcPr>
          <w:p w14:paraId="1D02A46E" w14:textId="77777777" w:rsidR="00546B8A" w:rsidRPr="002F1E61" w:rsidRDefault="00546B8A" w:rsidP="00827612">
            <w:pPr>
              <w:rPr>
                <w:sz w:val="20"/>
                <w:szCs w:val="20"/>
              </w:rPr>
            </w:pPr>
            <w:r w:rsidRPr="002F1E61">
              <w:rPr>
                <w:sz w:val="20"/>
                <w:szCs w:val="20"/>
              </w:rPr>
              <w:t>cGMP</w:t>
            </w:r>
          </w:p>
        </w:tc>
        <w:tc>
          <w:tcPr>
            <w:tcW w:w="6830" w:type="dxa"/>
          </w:tcPr>
          <w:p w14:paraId="096AD81F" w14:textId="77777777" w:rsidR="00546B8A" w:rsidRPr="002F1E61" w:rsidRDefault="00546B8A" w:rsidP="00827612">
            <w:pPr>
              <w:rPr>
                <w:sz w:val="20"/>
                <w:szCs w:val="20"/>
              </w:rPr>
            </w:pPr>
            <w:r w:rsidRPr="002F1E61">
              <w:rPr>
                <w:sz w:val="20"/>
                <w:szCs w:val="20"/>
              </w:rPr>
              <w:t xml:space="preserve">Cyclic </w:t>
            </w:r>
            <w:r w:rsidR="00931948" w:rsidRPr="002F1E61">
              <w:rPr>
                <w:sz w:val="20"/>
                <w:szCs w:val="20"/>
              </w:rPr>
              <w:t>guanosine monophosphate</w:t>
            </w:r>
          </w:p>
        </w:tc>
      </w:tr>
      <w:tr w:rsidR="00546B8A" w:rsidRPr="002F1E61" w14:paraId="10881EFB" w14:textId="77777777" w:rsidTr="00D431C6">
        <w:tc>
          <w:tcPr>
            <w:tcW w:w="1890" w:type="dxa"/>
          </w:tcPr>
          <w:p w14:paraId="716BD9A2" w14:textId="77777777" w:rsidR="00546B8A" w:rsidRPr="002F1E61" w:rsidRDefault="00546B8A" w:rsidP="00D431C6">
            <w:pPr>
              <w:rPr>
                <w:sz w:val="20"/>
                <w:szCs w:val="20"/>
              </w:rPr>
            </w:pPr>
            <w:r w:rsidRPr="002F1E61">
              <w:rPr>
                <w:sz w:val="20"/>
                <w:szCs w:val="20"/>
              </w:rPr>
              <w:t>CHMP</w:t>
            </w:r>
          </w:p>
        </w:tc>
        <w:tc>
          <w:tcPr>
            <w:tcW w:w="6830" w:type="dxa"/>
          </w:tcPr>
          <w:p w14:paraId="518904C0" w14:textId="77777777" w:rsidR="00546B8A" w:rsidRPr="002F1E61" w:rsidRDefault="00546B8A" w:rsidP="00827612">
            <w:pPr>
              <w:rPr>
                <w:sz w:val="20"/>
                <w:szCs w:val="20"/>
              </w:rPr>
            </w:pPr>
            <w:r w:rsidRPr="002F1E61">
              <w:rPr>
                <w:sz w:val="20"/>
                <w:szCs w:val="20"/>
              </w:rPr>
              <w:t>Committee for Medicinal Products for Human Use</w:t>
            </w:r>
          </w:p>
        </w:tc>
      </w:tr>
      <w:tr w:rsidR="00546B8A" w:rsidRPr="002F1E61" w14:paraId="26E8345F" w14:textId="77777777" w:rsidTr="00D431C6">
        <w:tc>
          <w:tcPr>
            <w:tcW w:w="1890" w:type="dxa"/>
          </w:tcPr>
          <w:p w14:paraId="511945DE" w14:textId="77777777" w:rsidR="00546B8A" w:rsidRPr="002F1E61" w:rsidRDefault="00546B8A" w:rsidP="00D431C6">
            <w:pPr>
              <w:rPr>
                <w:sz w:val="20"/>
                <w:szCs w:val="20"/>
              </w:rPr>
            </w:pPr>
            <w:r w:rsidRPr="002F1E61">
              <w:rPr>
                <w:sz w:val="20"/>
                <w:szCs w:val="20"/>
              </w:rPr>
              <w:t>CI</w:t>
            </w:r>
          </w:p>
        </w:tc>
        <w:tc>
          <w:tcPr>
            <w:tcW w:w="6830" w:type="dxa"/>
          </w:tcPr>
          <w:p w14:paraId="519A48D0" w14:textId="77777777" w:rsidR="00546B8A" w:rsidRPr="002F1E61" w:rsidRDefault="00546B8A" w:rsidP="00827612">
            <w:pPr>
              <w:rPr>
                <w:sz w:val="20"/>
                <w:szCs w:val="20"/>
              </w:rPr>
            </w:pPr>
            <w:r w:rsidRPr="002F1E61">
              <w:rPr>
                <w:sz w:val="20"/>
                <w:szCs w:val="20"/>
              </w:rPr>
              <w:t xml:space="preserve">Cardiac </w:t>
            </w:r>
            <w:r w:rsidR="00931948" w:rsidRPr="002F1E61">
              <w:rPr>
                <w:sz w:val="20"/>
                <w:szCs w:val="20"/>
              </w:rPr>
              <w:t>i</w:t>
            </w:r>
            <w:r w:rsidRPr="002F1E61">
              <w:rPr>
                <w:sz w:val="20"/>
                <w:szCs w:val="20"/>
              </w:rPr>
              <w:t>ndex</w:t>
            </w:r>
            <w:r w:rsidR="00931948" w:rsidRPr="002F1E61">
              <w:rPr>
                <w:sz w:val="20"/>
                <w:szCs w:val="20"/>
              </w:rPr>
              <w:t xml:space="preserve"> or confidence interval</w:t>
            </w:r>
          </w:p>
        </w:tc>
      </w:tr>
      <w:tr w:rsidR="00546B8A" w:rsidRPr="002F1E61" w14:paraId="6ECCB977" w14:textId="77777777" w:rsidTr="00D431C6">
        <w:tc>
          <w:tcPr>
            <w:tcW w:w="1890" w:type="dxa"/>
          </w:tcPr>
          <w:p w14:paraId="352DEE10" w14:textId="77777777" w:rsidR="00546B8A" w:rsidRPr="002F1E61" w:rsidRDefault="00546B8A" w:rsidP="00D431C6">
            <w:pPr>
              <w:rPr>
                <w:sz w:val="20"/>
                <w:szCs w:val="20"/>
              </w:rPr>
            </w:pPr>
            <w:r w:rsidRPr="002F1E61">
              <w:rPr>
                <w:sz w:val="20"/>
                <w:szCs w:val="20"/>
              </w:rPr>
              <w:t>CO</w:t>
            </w:r>
          </w:p>
        </w:tc>
        <w:tc>
          <w:tcPr>
            <w:tcW w:w="6830" w:type="dxa"/>
          </w:tcPr>
          <w:p w14:paraId="3E12B594" w14:textId="074676C4" w:rsidR="00546B8A" w:rsidRPr="002F1E61" w:rsidRDefault="00546B8A" w:rsidP="00827612">
            <w:pPr>
              <w:rPr>
                <w:sz w:val="20"/>
                <w:szCs w:val="20"/>
              </w:rPr>
            </w:pPr>
            <w:r w:rsidRPr="002F1E61">
              <w:rPr>
                <w:sz w:val="20"/>
                <w:szCs w:val="20"/>
              </w:rPr>
              <w:t xml:space="preserve">Cardiac </w:t>
            </w:r>
            <w:r w:rsidR="00827612" w:rsidRPr="002F1E61">
              <w:rPr>
                <w:sz w:val="20"/>
                <w:szCs w:val="20"/>
              </w:rPr>
              <w:t>output</w:t>
            </w:r>
          </w:p>
        </w:tc>
      </w:tr>
      <w:tr w:rsidR="00546B8A" w:rsidRPr="002F1E61" w14:paraId="7E6FF5AA" w14:textId="77777777" w:rsidTr="00D431C6">
        <w:tc>
          <w:tcPr>
            <w:tcW w:w="1890" w:type="dxa"/>
          </w:tcPr>
          <w:p w14:paraId="3EF40E1B" w14:textId="77777777" w:rsidR="00546B8A" w:rsidRPr="002F1E61" w:rsidRDefault="00546B8A" w:rsidP="00D431C6">
            <w:pPr>
              <w:rPr>
                <w:sz w:val="20"/>
                <w:szCs w:val="20"/>
              </w:rPr>
            </w:pPr>
            <w:r w:rsidRPr="002F1E61">
              <w:rPr>
                <w:sz w:val="20"/>
                <w:szCs w:val="20"/>
              </w:rPr>
              <w:t>CPB</w:t>
            </w:r>
          </w:p>
        </w:tc>
        <w:tc>
          <w:tcPr>
            <w:tcW w:w="6830" w:type="dxa"/>
          </w:tcPr>
          <w:p w14:paraId="33CDEFA9" w14:textId="77777777" w:rsidR="00546B8A" w:rsidRPr="002F1E61" w:rsidRDefault="00546B8A" w:rsidP="00827612">
            <w:pPr>
              <w:rPr>
                <w:sz w:val="20"/>
                <w:szCs w:val="20"/>
              </w:rPr>
            </w:pPr>
            <w:r w:rsidRPr="002F1E61">
              <w:rPr>
                <w:sz w:val="20"/>
                <w:szCs w:val="20"/>
              </w:rPr>
              <w:t>Cardio-</w:t>
            </w:r>
            <w:r w:rsidR="00931948" w:rsidRPr="002F1E61">
              <w:rPr>
                <w:sz w:val="20"/>
                <w:szCs w:val="20"/>
              </w:rPr>
              <w:t>pulmonary b</w:t>
            </w:r>
            <w:r w:rsidRPr="002F1E61">
              <w:rPr>
                <w:sz w:val="20"/>
                <w:szCs w:val="20"/>
              </w:rPr>
              <w:t>ypass</w:t>
            </w:r>
          </w:p>
        </w:tc>
      </w:tr>
      <w:tr w:rsidR="00546B8A" w:rsidRPr="002F1E61" w14:paraId="7EFAD00D" w14:textId="77777777" w:rsidTr="00D431C6">
        <w:tc>
          <w:tcPr>
            <w:tcW w:w="1890" w:type="dxa"/>
          </w:tcPr>
          <w:p w14:paraId="283081B5" w14:textId="77777777" w:rsidR="00546B8A" w:rsidRPr="002F1E61" w:rsidRDefault="00546B8A" w:rsidP="00D431C6">
            <w:pPr>
              <w:rPr>
                <w:sz w:val="20"/>
                <w:szCs w:val="20"/>
              </w:rPr>
            </w:pPr>
            <w:r w:rsidRPr="002F1E61">
              <w:rPr>
                <w:sz w:val="20"/>
                <w:szCs w:val="20"/>
              </w:rPr>
              <w:t>DB</w:t>
            </w:r>
          </w:p>
        </w:tc>
        <w:tc>
          <w:tcPr>
            <w:tcW w:w="6830" w:type="dxa"/>
          </w:tcPr>
          <w:p w14:paraId="67ECB579" w14:textId="77777777" w:rsidR="00546B8A" w:rsidRPr="002F1E61" w:rsidRDefault="00546B8A" w:rsidP="00827612">
            <w:pPr>
              <w:rPr>
                <w:sz w:val="20"/>
                <w:szCs w:val="20"/>
              </w:rPr>
            </w:pPr>
            <w:r w:rsidRPr="002F1E61">
              <w:rPr>
                <w:sz w:val="20"/>
                <w:szCs w:val="20"/>
              </w:rPr>
              <w:t xml:space="preserve">Double </w:t>
            </w:r>
            <w:r w:rsidR="00931948" w:rsidRPr="002F1E61">
              <w:rPr>
                <w:sz w:val="20"/>
                <w:szCs w:val="20"/>
              </w:rPr>
              <w:t>b</w:t>
            </w:r>
            <w:r w:rsidRPr="002F1E61">
              <w:rPr>
                <w:sz w:val="20"/>
                <w:szCs w:val="20"/>
              </w:rPr>
              <w:t>lind</w:t>
            </w:r>
          </w:p>
        </w:tc>
      </w:tr>
      <w:tr w:rsidR="00546B8A" w:rsidRPr="002F1E61" w14:paraId="3055AFA4" w14:textId="77777777" w:rsidTr="00D431C6">
        <w:tc>
          <w:tcPr>
            <w:tcW w:w="1890" w:type="dxa"/>
          </w:tcPr>
          <w:p w14:paraId="770C6E8B" w14:textId="77777777" w:rsidR="00546B8A" w:rsidRPr="002F1E61" w:rsidRDefault="00546B8A" w:rsidP="00D431C6">
            <w:pPr>
              <w:rPr>
                <w:sz w:val="20"/>
                <w:szCs w:val="20"/>
              </w:rPr>
            </w:pPr>
            <w:r w:rsidRPr="002F1E61">
              <w:rPr>
                <w:sz w:val="20"/>
                <w:szCs w:val="20"/>
              </w:rPr>
              <w:t>ECG</w:t>
            </w:r>
          </w:p>
        </w:tc>
        <w:tc>
          <w:tcPr>
            <w:tcW w:w="6830" w:type="dxa"/>
          </w:tcPr>
          <w:p w14:paraId="32F9B306" w14:textId="77777777" w:rsidR="00546B8A" w:rsidRPr="002F1E61" w:rsidRDefault="00546B8A" w:rsidP="00827612">
            <w:pPr>
              <w:rPr>
                <w:sz w:val="20"/>
                <w:szCs w:val="20"/>
              </w:rPr>
            </w:pPr>
            <w:r w:rsidRPr="002F1E61">
              <w:rPr>
                <w:sz w:val="20"/>
                <w:szCs w:val="20"/>
              </w:rPr>
              <w:t>Electrocardiogram</w:t>
            </w:r>
          </w:p>
        </w:tc>
      </w:tr>
      <w:tr w:rsidR="00827612" w:rsidRPr="002F1E61" w14:paraId="13321B8B" w14:textId="77777777" w:rsidTr="00827612">
        <w:tc>
          <w:tcPr>
            <w:tcW w:w="1890" w:type="dxa"/>
          </w:tcPr>
          <w:p w14:paraId="3000149F" w14:textId="04576656" w:rsidR="00827612" w:rsidRPr="002F1E61" w:rsidRDefault="00827612" w:rsidP="00827612">
            <w:pPr>
              <w:rPr>
                <w:sz w:val="20"/>
                <w:szCs w:val="20"/>
              </w:rPr>
            </w:pPr>
            <w:r w:rsidRPr="002F1E61">
              <w:rPr>
                <w:sz w:val="20"/>
                <w:szCs w:val="20"/>
              </w:rPr>
              <w:t>EU</w:t>
            </w:r>
          </w:p>
        </w:tc>
        <w:tc>
          <w:tcPr>
            <w:tcW w:w="6830" w:type="dxa"/>
          </w:tcPr>
          <w:p w14:paraId="0E23EC6F" w14:textId="27FDA59E" w:rsidR="00827612" w:rsidRPr="002F1E61" w:rsidRDefault="00827612" w:rsidP="00827612">
            <w:pPr>
              <w:rPr>
                <w:sz w:val="20"/>
                <w:szCs w:val="20"/>
              </w:rPr>
            </w:pPr>
            <w:r w:rsidRPr="002F1E61">
              <w:rPr>
                <w:sz w:val="20"/>
                <w:szCs w:val="20"/>
              </w:rPr>
              <w:t>European Union</w:t>
            </w:r>
          </w:p>
        </w:tc>
      </w:tr>
      <w:tr w:rsidR="00546B8A" w:rsidRPr="002F1E61" w14:paraId="704145C9" w14:textId="77777777" w:rsidTr="00D431C6">
        <w:tc>
          <w:tcPr>
            <w:tcW w:w="1890" w:type="dxa"/>
          </w:tcPr>
          <w:p w14:paraId="1DC94BCF" w14:textId="77777777" w:rsidR="00546B8A" w:rsidRPr="002F1E61" w:rsidRDefault="00546B8A" w:rsidP="00D431C6">
            <w:pPr>
              <w:rPr>
                <w:sz w:val="20"/>
                <w:szCs w:val="20"/>
              </w:rPr>
            </w:pPr>
            <w:r w:rsidRPr="002F1E61">
              <w:rPr>
                <w:sz w:val="20"/>
                <w:szCs w:val="20"/>
              </w:rPr>
              <w:t>GCP</w:t>
            </w:r>
          </w:p>
        </w:tc>
        <w:tc>
          <w:tcPr>
            <w:tcW w:w="6830" w:type="dxa"/>
          </w:tcPr>
          <w:p w14:paraId="4E6E15A5" w14:textId="4D971503" w:rsidR="00546B8A" w:rsidRPr="002F1E61" w:rsidRDefault="00546B8A" w:rsidP="00827612">
            <w:pPr>
              <w:rPr>
                <w:sz w:val="20"/>
                <w:szCs w:val="20"/>
              </w:rPr>
            </w:pPr>
            <w:r w:rsidRPr="002F1E61">
              <w:rPr>
                <w:sz w:val="20"/>
                <w:szCs w:val="20"/>
              </w:rPr>
              <w:t xml:space="preserve">Good </w:t>
            </w:r>
            <w:r w:rsidR="00827612" w:rsidRPr="002F1E61">
              <w:rPr>
                <w:sz w:val="20"/>
                <w:szCs w:val="20"/>
              </w:rPr>
              <w:t>C</w:t>
            </w:r>
            <w:r w:rsidR="00931948" w:rsidRPr="002F1E61">
              <w:rPr>
                <w:sz w:val="20"/>
                <w:szCs w:val="20"/>
              </w:rPr>
              <w:t xml:space="preserve">linical </w:t>
            </w:r>
            <w:r w:rsidR="00827612" w:rsidRPr="002F1E61">
              <w:rPr>
                <w:sz w:val="20"/>
                <w:szCs w:val="20"/>
              </w:rPr>
              <w:t>P</w:t>
            </w:r>
            <w:r w:rsidR="00931948" w:rsidRPr="002F1E61">
              <w:rPr>
                <w:sz w:val="20"/>
                <w:szCs w:val="20"/>
              </w:rPr>
              <w:t>ractice</w:t>
            </w:r>
          </w:p>
        </w:tc>
      </w:tr>
      <w:tr w:rsidR="008A05B9" w:rsidRPr="002F1E61" w14:paraId="46358168" w14:textId="77777777" w:rsidTr="00D431C6">
        <w:tc>
          <w:tcPr>
            <w:tcW w:w="1890" w:type="dxa"/>
          </w:tcPr>
          <w:p w14:paraId="131F30F9" w14:textId="77777777" w:rsidR="008A05B9" w:rsidRPr="002F1E61" w:rsidRDefault="008A05B9" w:rsidP="00D431C6">
            <w:pPr>
              <w:rPr>
                <w:sz w:val="20"/>
                <w:szCs w:val="20"/>
              </w:rPr>
            </w:pPr>
            <w:r w:rsidRPr="002F1E61">
              <w:rPr>
                <w:sz w:val="20"/>
                <w:szCs w:val="20"/>
              </w:rPr>
              <w:t>GTN</w:t>
            </w:r>
          </w:p>
        </w:tc>
        <w:tc>
          <w:tcPr>
            <w:tcW w:w="6830" w:type="dxa"/>
          </w:tcPr>
          <w:p w14:paraId="2EA68B29" w14:textId="77777777" w:rsidR="008A05B9" w:rsidRPr="002F1E61" w:rsidRDefault="008A05B9" w:rsidP="00827612">
            <w:pPr>
              <w:rPr>
                <w:sz w:val="20"/>
                <w:szCs w:val="20"/>
              </w:rPr>
            </w:pPr>
            <w:r w:rsidRPr="002F1E61">
              <w:rPr>
                <w:sz w:val="20"/>
                <w:szCs w:val="20"/>
              </w:rPr>
              <w:t>Glyceryl trinitrate</w:t>
            </w:r>
          </w:p>
        </w:tc>
      </w:tr>
      <w:tr w:rsidR="00546B8A" w:rsidRPr="002F1E61" w14:paraId="1302EA36" w14:textId="77777777" w:rsidTr="00D431C6">
        <w:tc>
          <w:tcPr>
            <w:tcW w:w="1890" w:type="dxa"/>
          </w:tcPr>
          <w:p w14:paraId="0DB240A3" w14:textId="77777777" w:rsidR="00546B8A" w:rsidRPr="002F1E61" w:rsidRDefault="00546B8A" w:rsidP="00D431C6">
            <w:pPr>
              <w:rPr>
                <w:sz w:val="20"/>
                <w:szCs w:val="20"/>
              </w:rPr>
            </w:pPr>
            <w:r w:rsidRPr="002F1E61">
              <w:rPr>
                <w:sz w:val="20"/>
                <w:szCs w:val="20"/>
              </w:rPr>
              <w:t>HR</w:t>
            </w:r>
          </w:p>
        </w:tc>
        <w:tc>
          <w:tcPr>
            <w:tcW w:w="6830" w:type="dxa"/>
          </w:tcPr>
          <w:p w14:paraId="0A665621" w14:textId="77777777" w:rsidR="00546B8A" w:rsidRPr="002F1E61" w:rsidRDefault="00546B8A" w:rsidP="00827612">
            <w:pPr>
              <w:rPr>
                <w:sz w:val="20"/>
                <w:szCs w:val="20"/>
              </w:rPr>
            </w:pPr>
            <w:r w:rsidRPr="002F1E61">
              <w:rPr>
                <w:sz w:val="20"/>
                <w:szCs w:val="20"/>
              </w:rPr>
              <w:t xml:space="preserve">Heart </w:t>
            </w:r>
            <w:r w:rsidR="00931948" w:rsidRPr="002F1E61">
              <w:rPr>
                <w:sz w:val="20"/>
                <w:szCs w:val="20"/>
              </w:rPr>
              <w:t>r</w:t>
            </w:r>
            <w:r w:rsidRPr="002F1E61">
              <w:rPr>
                <w:sz w:val="20"/>
                <w:szCs w:val="20"/>
              </w:rPr>
              <w:t>ate</w:t>
            </w:r>
          </w:p>
        </w:tc>
      </w:tr>
      <w:tr w:rsidR="00546B8A" w:rsidRPr="002F1E61" w14:paraId="2ED9D740" w14:textId="77777777" w:rsidTr="00D431C6">
        <w:tc>
          <w:tcPr>
            <w:tcW w:w="1890" w:type="dxa"/>
          </w:tcPr>
          <w:p w14:paraId="71DFD243" w14:textId="77777777" w:rsidR="00546B8A" w:rsidRPr="002F1E61" w:rsidRDefault="00546B8A" w:rsidP="00D431C6">
            <w:pPr>
              <w:rPr>
                <w:sz w:val="20"/>
                <w:szCs w:val="20"/>
              </w:rPr>
            </w:pPr>
            <w:r w:rsidRPr="002F1E61">
              <w:rPr>
                <w:sz w:val="20"/>
                <w:szCs w:val="20"/>
              </w:rPr>
              <w:t>IBD</w:t>
            </w:r>
          </w:p>
        </w:tc>
        <w:tc>
          <w:tcPr>
            <w:tcW w:w="6830" w:type="dxa"/>
          </w:tcPr>
          <w:p w14:paraId="32923A78" w14:textId="77777777" w:rsidR="00546B8A" w:rsidRPr="002F1E61" w:rsidRDefault="00546B8A" w:rsidP="00827612">
            <w:pPr>
              <w:rPr>
                <w:sz w:val="20"/>
                <w:szCs w:val="20"/>
              </w:rPr>
            </w:pPr>
            <w:r w:rsidRPr="002F1E61">
              <w:rPr>
                <w:sz w:val="20"/>
                <w:szCs w:val="20"/>
              </w:rPr>
              <w:t xml:space="preserve">International </w:t>
            </w:r>
            <w:r w:rsidR="00931948" w:rsidRPr="002F1E61">
              <w:rPr>
                <w:sz w:val="20"/>
                <w:szCs w:val="20"/>
              </w:rPr>
              <w:t>birth d</w:t>
            </w:r>
            <w:r w:rsidRPr="002F1E61">
              <w:rPr>
                <w:sz w:val="20"/>
                <w:szCs w:val="20"/>
              </w:rPr>
              <w:t>ate</w:t>
            </w:r>
          </w:p>
        </w:tc>
      </w:tr>
      <w:tr w:rsidR="00546B8A" w:rsidRPr="002F1E61" w14:paraId="2956CD0C" w14:textId="77777777" w:rsidTr="00D431C6">
        <w:tc>
          <w:tcPr>
            <w:tcW w:w="1890" w:type="dxa"/>
          </w:tcPr>
          <w:p w14:paraId="76237AED" w14:textId="77777777" w:rsidR="00546B8A" w:rsidRPr="002F1E61" w:rsidRDefault="00546B8A" w:rsidP="00D431C6">
            <w:pPr>
              <w:rPr>
                <w:sz w:val="20"/>
                <w:szCs w:val="20"/>
              </w:rPr>
            </w:pPr>
            <w:r w:rsidRPr="002F1E61">
              <w:rPr>
                <w:sz w:val="20"/>
                <w:szCs w:val="20"/>
              </w:rPr>
              <w:t>ICU</w:t>
            </w:r>
          </w:p>
        </w:tc>
        <w:tc>
          <w:tcPr>
            <w:tcW w:w="6830" w:type="dxa"/>
          </w:tcPr>
          <w:p w14:paraId="4A2FDDA5" w14:textId="77777777" w:rsidR="00546B8A" w:rsidRPr="002F1E61" w:rsidRDefault="00546B8A" w:rsidP="00827612">
            <w:pPr>
              <w:rPr>
                <w:sz w:val="20"/>
                <w:szCs w:val="20"/>
              </w:rPr>
            </w:pPr>
            <w:r w:rsidRPr="002F1E61">
              <w:rPr>
                <w:sz w:val="20"/>
                <w:szCs w:val="20"/>
              </w:rPr>
              <w:t xml:space="preserve">Intensive </w:t>
            </w:r>
            <w:r w:rsidR="00931948" w:rsidRPr="002F1E61">
              <w:rPr>
                <w:sz w:val="20"/>
                <w:szCs w:val="20"/>
              </w:rPr>
              <w:t>care u</w:t>
            </w:r>
            <w:r w:rsidRPr="002F1E61">
              <w:rPr>
                <w:sz w:val="20"/>
                <w:szCs w:val="20"/>
              </w:rPr>
              <w:t>nit</w:t>
            </w:r>
          </w:p>
        </w:tc>
      </w:tr>
      <w:tr w:rsidR="00546B8A" w:rsidRPr="002F1E61" w14:paraId="259A00EE" w14:textId="77777777" w:rsidTr="00D431C6">
        <w:tc>
          <w:tcPr>
            <w:tcW w:w="1890" w:type="dxa"/>
          </w:tcPr>
          <w:p w14:paraId="0205117E" w14:textId="77777777" w:rsidR="00546B8A" w:rsidRPr="002F1E61" w:rsidRDefault="00546B8A" w:rsidP="00D431C6">
            <w:pPr>
              <w:rPr>
                <w:sz w:val="20"/>
                <w:szCs w:val="20"/>
              </w:rPr>
            </w:pPr>
            <w:r w:rsidRPr="002F1E61">
              <w:rPr>
                <w:sz w:val="20"/>
                <w:szCs w:val="20"/>
              </w:rPr>
              <w:t>ICH</w:t>
            </w:r>
          </w:p>
        </w:tc>
        <w:tc>
          <w:tcPr>
            <w:tcW w:w="6830" w:type="dxa"/>
          </w:tcPr>
          <w:p w14:paraId="177CB0DE" w14:textId="77777777" w:rsidR="00546B8A" w:rsidRPr="002F1E61" w:rsidRDefault="00546B8A" w:rsidP="00827612">
            <w:pPr>
              <w:rPr>
                <w:sz w:val="20"/>
                <w:szCs w:val="20"/>
              </w:rPr>
            </w:pPr>
            <w:r w:rsidRPr="002F1E61">
              <w:rPr>
                <w:sz w:val="20"/>
                <w:szCs w:val="20"/>
              </w:rPr>
              <w:t>International Council for Harmonisation</w:t>
            </w:r>
          </w:p>
        </w:tc>
      </w:tr>
      <w:tr w:rsidR="00546B8A" w:rsidRPr="002F1E61" w14:paraId="240473C7" w14:textId="77777777" w:rsidTr="00D431C6">
        <w:tc>
          <w:tcPr>
            <w:tcW w:w="1890" w:type="dxa"/>
          </w:tcPr>
          <w:p w14:paraId="2022717F" w14:textId="77777777" w:rsidR="00546B8A" w:rsidRPr="002F1E61" w:rsidRDefault="00546B8A" w:rsidP="00D431C6">
            <w:pPr>
              <w:rPr>
                <w:sz w:val="20"/>
                <w:szCs w:val="20"/>
              </w:rPr>
            </w:pPr>
            <w:proofErr w:type="spellStart"/>
            <w:r w:rsidRPr="002F1E61">
              <w:rPr>
                <w:sz w:val="20"/>
                <w:szCs w:val="20"/>
              </w:rPr>
              <w:t>iNO</w:t>
            </w:r>
            <w:proofErr w:type="spellEnd"/>
          </w:p>
        </w:tc>
        <w:tc>
          <w:tcPr>
            <w:tcW w:w="6830" w:type="dxa"/>
          </w:tcPr>
          <w:p w14:paraId="6468D01A" w14:textId="74363710" w:rsidR="00546B8A" w:rsidRPr="002F1E61" w:rsidRDefault="00827612" w:rsidP="00827612">
            <w:pPr>
              <w:rPr>
                <w:sz w:val="20"/>
                <w:szCs w:val="20"/>
              </w:rPr>
            </w:pPr>
            <w:r w:rsidRPr="002F1E61">
              <w:rPr>
                <w:sz w:val="20"/>
                <w:szCs w:val="20"/>
              </w:rPr>
              <w:t>I</w:t>
            </w:r>
            <w:r w:rsidR="00546B8A" w:rsidRPr="002F1E61">
              <w:rPr>
                <w:sz w:val="20"/>
                <w:szCs w:val="20"/>
              </w:rPr>
              <w:t xml:space="preserve">nhaled </w:t>
            </w:r>
            <w:r w:rsidR="00931948" w:rsidRPr="002F1E61">
              <w:rPr>
                <w:sz w:val="20"/>
                <w:szCs w:val="20"/>
              </w:rPr>
              <w:t>nitric oxide</w:t>
            </w:r>
          </w:p>
        </w:tc>
      </w:tr>
      <w:tr w:rsidR="00546B8A" w:rsidRPr="002F1E61" w14:paraId="738B62C5" w14:textId="77777777" w:rsidTr="00D431C6">
        <w:tc>
          <w:tcPr>
            <w:tcW w:w="1890" w:type="dxa"/>
          </w:tcPr>
          <w:p w14:paraId="59DA5635" w14:textId="77777777" w:rsidR="00546B8A" w:rsidRPr="002F1E61" w:rsidRDefault="00546B8A" w:rsidP="00D431C6">
            <w:pPr>
              <w:rPr>
                <w:sz w:val="20"/>
                <w:szCs w:val="20"/>
              </w:rPr>
            </w:pPr>
            <w:r w:rsidRPr="002F1E61">
              <w:rPr>
                <w:sz w:val="20"/>
                <w:szCs w:val="20"/>
              </w:rPr>
              <w:t>iPG</w:t>
            </w:r>
            <w:r w:rsidR="008A05B9" w:rsidRPr="002F1E61">
              <w:rPr>
                <w:sz w:val="20"/>
                <w:szCs w:val="20"/>
              </w:rPr>
              <w:t>I</w:t>
            </w:r>
            <w:r w:rsidRPr="002F1E61">
              <w:rPr>
                <w:sz w:val="20"/>
                <w:szCs w:val="20"/>
              </w:rPr>
              <w:t>2</w:t>
            </w:r>
          </w:p>
        </w:tc>
        <w:tc>
          <w:tcPr>
            <w:tcW w:w="6830" w:type="dxa"/>
          </w:tcPr>
          <w:p w14:paraId="282A22F2" w14:textId="6393E12F" w:rsidR="00546B8A" w:rsidRPr="002F1E61" w:rsidRDefault="00827612" w:rsidP="00827612">
            <w:pPr>
              <w:rPr>
                <w:sz w:val="20"/>
                <w:szCs w:val="20"/>
              </w:rPr>
            </w:pPr>
            <w:r w:rsidRPr="002F1E61">
              <w:rPr>
                <w:sz w:val="20"/>
                <w:szCs w:val="20"/>
              </w:rPr>
              <w:t>I</w:t>
            </w:r>
            <w:r w:rsidR="00931948" w:rsidRPr="002F1E61">
              <w:rPr>
                <w:sz w:val="20"/>
                <w:szCs w:val="20"/>
              </w:rPr>
              <w:t>nhaled p</w:t>
            </w:r>
            <w:r w:rsidR="00546B8A" w:rsidRPr="002F1E61">
              <w:rPr>
                <w:sz w:val="20"/>
                <w:szCs w:val="20"/>
              </w:rPr>
              <w:t>rostacyclin</w:t>
            </w:r>
          </w:p>
        </w:tc>
      </w:tr>
      <w:tr w:rsidR="00931948" w:rsidRPr="002F1E61" w14:paraId="32166156" w14:textId="77777777" w:rsidTr="00D431C6">
        <w:tc>
          <w:tcPr>
            <w:tcW w:w="1890" w:type="dxa"/>
          </w:tcPr>
          <w:p w14:paraId="45591CFF" w14:textId="77777777" w:rsidR="00931948" w:rsidRPr="002F1E61" w:rsidRDefault="00931948" w:rsidP="00D431C6">
            <w:pPr>
              <w:rPr>
                <w:sz w:val="20"/>
                <w:szCs w:val="20"/>
              </w:rPr>
            </w:pPr>
            <w:r w:rsidRPr="002F1E61">
              <w:rPr>
                <w:sz w:val="20"/>
                <w:szCs w:val="20"/>
              </w:rPr>
              <w:t>IV</w:t>
            </w:r>
          </w:p>
        </w:tc>
        <w:tc>
          <w:tcPr>
            <w:tcW w:w="6830" w:type="dxa"/>
          </w:tcPr>
          <w:p w14:paraId="06BA3F2D" w14:textId="77777777" w:rsidR="00931948" w:rsidRPr="002F1E61" w:rsidRDefault="00931948" w:rsidP="00827612">
            <w:pPr>
              <w:rPr>
                <w:sz w:val="20"/>
                <w:szCs w:val="20"/>
              </w:rPr>
            </w:pPr>
            <w:r w:rsidRPr="002F1E61">
              <w:rPr>
                <w:sz w:val="20"/>
                <w:szCs w:val="20"/>
              </w:rPr>
              <w:t>Intravenous</w:t>
            </w:r>
          </w:p>
        </w:tc>
      </w:tr>
      <w:tr w:rsidR="00546B8A" w:rsidRPr="002F1E61" w14:paraId="37930D96" w14:textId="77777777" w:rsidTr="00D431C6">
        <w:tc>
          <w:tcPr>
            <w:tcW w:w="1890" w:type="dxa"/>
          </w:tcPr>
          <w:p w14:paraId="1FA0FEBB" w14:textId="77777777" w:rsidR="00546B8A" w:rsidRPr="002F1E61" w:rsidRDefault="00546B8A" w:rsidP="00D431C6">
            <w:pPr>
              <w:rPr>
                <w:sz w:val="20"/>
                <w:szCs w:val="20"/>
              </w:rPr>
            </w:pPr>
            <w:r w:rsidRPr="002F1E61">
              <w:rPr>
                <w:sz w:val="20"/>
                <w:szCs w:val="20"/>
              </w:rPr>
              <w:t>LVAD</w:t>
            </w:r>
          </w:p>
        </w:tc>
        <w:tc>
          <w:tcPr>
            <w:tcW w:w="6830" w:type="dxa"/>
          </w:tcPr>
          <w:p w14:paraId="7E590147" w14:textId="77777777" w:rsidR="00546B8A" w:rsidRPr="002F1E61" w:rsidRDefault="00546B8A" w:rsidP="00827612">
            <w:pPr>
              <w:rPr>
                <w:sz w:val="20"/>
                <w:szCs w:val="20"/>
              </w:rPr>
            </w:pPr>
            <w:r w:rsidRPr="002F1E61">
              <w:rPr>
                <w:sz w:val="20"/>
                <w:szCs w:val="20"/>
              </w:rPr>
              <w:t xml:space="preserve">Left </w:t>
            </w:r>
            <w:r w:rsidR="00931948" w:rsidRPr="002F1E61">
              <w:rPr>
                <w:sz w:val="20"/>
                <w:szCs w:val="20"/>
              </w:rPr>
              <w:t>ventricular assist device</w:t>
            </w:r>
          </w:p>
        </w:tc>
      </w:tr>
      <w:tr w:rsidR="00546B8A" w:rsidRPr="002F1E61" w14:paraId="235B848A" w14:textId="77777777" w:rsidTr="00D431C6">
        <w:tc>
          <w:tcPr>
            <w:tcW w:w="1890" w:type="dxa"/>
          </w:tcPr>
          <w:p w14:paraId="1F7CF2A9" w14:textId="6506C13E" w:rsidR="00546B8A" w:rsidRPr="002F1E61" w:rsidRDefault="006F789A" w:rsidP="00D431C6">
            <w:pPr>
              <w:rPr>
                <w:sz w:val="20"/>
                <w:szCs w:val="20"/>
              </w:rPr>
            </w:pPr>
            <w:proofErr w:type="spellStart"/>
            <w:r w:rsidRPr="002F1E61">
              <w:rPr>
                <w:sz w:val="20"/>
                <w:szCs w:val="20"/>
              </w:rPr>
              <w:t>m</w:t>
            </w:r>
            <w:r w:rsidR="00546B8A" w:rsidRPr="002F1E61">
              <w:rPr>
                <w:sz w:val="20"/>
                <w:szCs w:val="20"/>
              </w:rPr>
              <w:t>etHB</w:t>
            </w:r>
            <w:proofErr w:type="spellEnd"/>
          </w:p>
        </w:tc>
        <w:tc>
          <w:tcPr>
            <w:tcW w:w="6830" w:type="dxa"/>
          </w:tcPr>
          <w:p w14:paraId="1775F598" w14:textId="77777777" w:rsidR="00546B8A" w:rsidRPr="002F1E61" w:rsidRDefault="00931948" w:rsidP="00827612">
            <w:pPr>
              <w:rPr>
                <w:sz w:val="20"/>
                <w:szCs w:val="20"/>
              </w:rPr>
            </w:pPr>
            <w:r w:rsidRPr="002F1E61">
              <w:rPr>
                <w:sz w:val="20"/>
                <w:szCs w:val="20"/>
              </w:rPr>
              <w:t>Met</w:t>
            </w:r>
            <w:r w:rsidR="00546B8A" w:rsidRPr="002F1E61">
              <w:rPr>
                <w:sz w:val="20"/>
                <w:szCs w:val="20"/>
              </w:rPr>
              <w:t>haemoglobin</w:t>
            </w:r>
          </w:p>
        </w:tc>
      </w:tr>
      <w:tr w:rsidR="00546B8A" w:rsidRPr="002F1E61" w14:paraId="507CAE01" w14:textId="77777777" w:rsidTr="00D431C6">
        <w:tc>
          <w:tcPr>
            <w:tcW w:w="1890" w:type="dxa"/>
          </w:tcPr>
          <w:p w14:paraId="08F85E14" w14:textId="77777777" w:rsidR="00546B8A" w:rsidRPr="002F1E61" w:rsidRDefault="00546B8A" w:rsidP="00D431C6">
            <w:pPr>
              <w:rPr>
                <w:sz w:val="20"/>
                <w:szCs w:val="20"/>
              </w:rPr>
            </w:pPr>
            <w:r w:rsidRPr="002F1E61">
              <w:rPr>
                <w:sz w:val="20"/>
                <w:szCs w:val="20"/>
              </w:rPr>
              <w:lastRenderedPageBreak/>
              <w:t>mmHg</w:t>
            </w:r>
          </w:p>
        </w:tc>
        <w:tc>
          <w:tcPr>
            <w:tcW w:w="6830" w:type="dxa"/>
          </w:tcPr>
          <w:p w14:paraId="3B3DE4BB" w14:textId="04AD168E" w:rsidR="00546B8A" w:rsidRPr="002F1E61" w:rsidRDefault="00827612" w:rsidP="00827612">
            <w:pPr>
              <w:rPr>
                <w:sz w:val="20"/>
                <w:szCs w:val="20"/>
              </w:rPr>
            </w:pPr>
            <w:r w:rsidRPr="002F1E61">
              <w:rPr>
                <w:sz w:val="20"/>
                <w:szCs w:val="20"/>
              </w:rPr>
              <w:t xml:space="preserve">Millimetres </w:t>
            </w:r>
            <w:r w:rsidR="00546B8A" w:rsidRPr="002F1E61">
              <w:rPr>
                <w:sz w:val="20"/>
                <w:szCs w:val="20"/>
              </w:rPr>
              <w:t xml:space="preserve">of </w:t>
            </w:r>
            <w:r w:rsidR="00931948" w:rsidRPr="002F1E61">
              <w:rPr>
                <w:sz w:val="20"/>
                <w:szCs w:val="20"/>
              </w:rPr>
              <w:t>m</w:t>
            </w:r>
            <w:r w:rsidR="00546B8A" w:rsidRPr="002F1E61">
              <w:rPr>
                <w:sz w:val="20"/>
                <w:szCs w:val="20"/>
              </w:rPr>
              <w:t>ercury</w:t>
            </w:r>
          </w:p>
        </w:tc>
      </w:tr>
      <w:tr w:rsidR="00546B8A" w:rsidRPr="002F1E61" w14:paraId="4B4D4EDB" w14:textId="77777777" w:rsidTr="00D431C6">
        <w:tc>
          <w:tcPr>
            <w:tcW w:w="1890" w:type="dxa"/>
          </w:tcPr>
          <w:p w14:paraId="5A2C2E8F" w14:textId="77777777" w:rsidR="00546B8A" w:rsidRPr="002F1E61" w:rsidRDefault="00546B8A" w:rsidP="00D431C6">
            <w:pPr>
              <w:rPr>
                <w:sz w:val="20"/>
                <w:szCs w:val="20"/>
              </w:rPr>
            </w:pPr>
            <w:r w:rsidRPr="002F1E61">
              <w:rPr>
                <w:sz w:val="20"/>
                <w:szCs w:val="20"/>
              </w:rPr>
              <w:t xml:space="preserve">MPAP, </w:t>
            </w:r>
            <w:proofErr w:type="spellStart"/>
            <w:r w:rsidRPr="002F1E61">
              <w:rPr>
                <w:sz w:val="20"/>
                <w:szCs w:val="20"/>
              </w:rPr>
              <w:t>mPAP</w:t>
            </w:r>
            <w:proofErr w:type="spellEnd"/>
          </w:p>
        </w:tc>
        <w:tc>
          <w:tcPr>
            <w:tcW w:w="6830" w:type="dxa"/>
          </w:tcPr>
          <w:p w14:paraId="6C0307C0" w14:textId="0CF1664E" w:rsidR="00546B8A" w:rsidRPr="002F1E61" w:rsidRDefault="00827612" w:rsidP="00827612">
            <w:pPr>
              <w:rPr>
                <w:sz w:val="20"/>
                <w:szCs w:val="20"/>
              </w:rPr>
            </w:pPr>
            <w:r w:rsidRPr="002F1E61">
              <w:rPr>
                <w:sz w:val="20"/>
                <w:szCs w:val="20"/>
              </w:rPr>
              <w:t>M</w:t>
            </w:r>
            <w:r w:rsidR="00546B8A" w:rsidRPr="002F1E61">
              <w:rPr>
                <w:sz w:val="20"/>
                <w:szCs w:val="20"/>
              </w:rPr>
              <w:t xml:space="preserve">ean </w:t>
            </w:r>
            <w:r w:rsidR="00931948" w:rsidRPr="002F1E61">
              <w:rPr>
                <w:sz w:val="20"/>
                <w:szCs w:val="20"/>
              </w:rPr>
              <w:t>pulmonary artery pressure</w:t>
            </w:r>
          </w:p>
        </w:tc>
      </w:tr>
      <w:tr w:rsidR="00546B8A" w:rsidRPr="002F1E61" w14:paraId="2FA9CEE1" w14:textId="77777777" w:rsidTr="00D431C6">
        <w:tc>
          <w:tcPr>
            <w:tcW w:w="1890" w:type="dxa"/>
          </w:tcPr>
          <w:p w14:paraId="78401383" w14:textId="77777777" w:rsidR="00546B8A" w:rsidRPr="002F1E61" w:rsidRDefault="00546B8A" w:rsidP="00D431C6">
            <w:pPr>
              <w:rPr>
                <w:sz w:val="20"/>
                <w:szCs w:val="20"/>
              </w:rPr>
            </w:pPr>
            <w:r w:rsidRPr="002F1E61">
              <w:rPr>
                <w:sz w:val="20"/>
                <w:szCs w:val="20"/>
              </w:rPr>
              <w:t>NO</w:t>
            </w:r>
          </w:p>
        </w:tc>
        <w:tc>
          <w:tcPr>
            <w:tcW w:w="6830" w:type="dxa"/>
          </w:tcPr>
          <w:p w14:paraId="4D3970D1" w14:textId="77777777" w:rsidR="00546B8A" w:rsidRPr="002F1E61" w:rsidRDefault="00931948" w:rsidP="00827612">
            <w:pPr>
              <w:rPr>
                <w:sz w:val="20"/>
                <w:szCs w:val="20"/>
              </w:rPr>
            </w:pPr>
            <w:r w:rsidRPr="002F1E61">
              <w:rPr>
                <w:sz w:val="20"/>
                <w:szCs w:val="20"/>
              </w:rPr>
              <w:t>Nitric o</w:t>
            </w:r>
            <w:r w:rsidR="00546B8A" w:rsidRPr="002F1E61">
              <w:rPr>
                <w:sz w:val="20"/>
                <w:szCs w:val="20"/>
              </w:rPr>
              <w:t>xide</w:t>
            </w:r>
          </w:p>
        </w:tc>
      </w:tr>
      <w:tr w:rsidR="00546B8A" w:rsidRPr="002F1E61" w14:paraId="1375C38E" w14:textId="77777777" w:rsidTr="00D431C6">
        <w:tc>
          <w:tcPr>
            <w:tcW w:w="1890" w:type="dxa"/>
          </w:tcPr>
          <w:p w14:paraId="2072561F" w14:textId="77777777" w:rsidR="00546B8A" w:rsidRPr="002F1E61" w:rsidRDefault="00546B8A" w:rsidP="00D431C6">
            <w:pPr>
              <w:rPr>
                <w:sz w:val="20"/>
                <w:szCs w:val="20"/>
              </w:rPr>
            </w:pPr>
            <w:r w:rsidRPr="002F1E61">
              <w:rPr>
                <w:sz w:val="20"/>
                <w:szCs w:val="20"/>
              </w:rPr>
              <w:t>NO2</w:t>
            </w:r>
          </w:p>
        </w:tc>
        <w:tc>
          <w:tcPr>
            <w:tcW w:w="6830" w:type="dxa"/>
          </w:tcPr>
          <w:p w14:paraId="5D5EA892" w14:textId="77777777" w:rsidR="00546B8A" w:rsidRPr="002F1E61" w:rsidRDefault="00931948" w:rsidP="00827612">
            <w:pPr>
              <w:rPr>
                <w:sz w:val="20"/>
                <w:szCs w:val="20"/>
              </w:rPr>
            </w:pPr>
            <w:r w:rsidRPr="002F1E61">
              <w:rPr>
                <w:sz w:val="20"/>
                <w:szCs w:val="20"/>
              </w:rPr>
              <w:t>Nitrogen d</w:t>
            </w:r>
            <w:r w:rsidR="00546B8A" w:rsidRPr="002F1E61">
              <w:rPr>
                <w:sz w:val="20"/>
                <w:szCs w:val="20"/>
              </w:rPr>
              <w:t>ioxide</w:t>
            </w:r>
          </w:p>
        </w:tc>
      </w:tr>
      <w:tr w:rsidR="00546B8A" w:rsidRPr="002F1E61" w14:paraId="00DBA3D3" w14:textId="77777777" w:rsidTr="00D431C6">
        <w:tc>
          <w:tcPr>
            <w:tcW w:w="1890" w:type="dxa"/>
          </w:tcPr>
          <w:p w14:paraId="27DBE23F" w14:textId="77777777" w:rsidR="00546B8A" w:rsidRPr="002F1E61" w:rsidRDefault="00546B8A" w:rsidP="00D431C6">
            <w:pPr>
              <w:rPr>
                <w:sz w:val="20"/>
                <w:szCs w:val="20"/>
              </w:rPr>
            </w:pPr>
            <w:r w:rsidRPr="002F1E61">
              <w:rPr>
                <w:sz w:val="20"/>
                <w:szCs w:val="20"/>
              </w:rPr>
              <w:t>NYHA</w:t>
            </w:r>
          </w:p>
        </w:tc>
        <w:tc>
          <w:tcPr>
            <w:tcW w:w="6830" w:type="dxa"/>
          </w:tcPr>
          <w:p w14:paraId="3983658D" w14:textId="77777777" w:rsidR="00546B8A" w:rsidRPr="002F1E61" w:rsidRDefault="00546B8A" w:rsidP="00827612">
            <w:pPr>
              <w:rPr>
                <w:sz w:val="20"/>
                <w:szCs w:val="20"/>
              </w:rPr>
            </w:pPr>
            <w:r w:rsidRPr="002F1E61">
              <w:rPr>
                <w:sz w:val="20"/>
                <w:szCs w:val="20"/>
              </w:rPr>
              <w:t>New York Heart Association</w:t>
            </w:r>
          </w:p>
        </w:tc>
      </w:tr>
      <w:tr w:rsidR="00546B8A" w:rsidRPr="002F1E61" w14:paraId="72FC9805" w14:textId="77777777" w:rsidTr="00D431C6">
        <w:tc>
          <w:tcPr>
            <w:tcW w:w="1890" w:type="dxa"/>
          </w:tcPr>
          <w:p w14:paraId="6882BB59" w14:textId="77777777" w:rsidR="00546B8A" w:rsidRPr="002F1E61" w:rsidRDefault="00546B8A" w:rsidP="00D431C6">
            <w:pPr>
              <w:rPr>
                <w:sz w:val="20"/>
                <w:szCs w:val="20"/>
              </w:rPr>
            </w:pPr>
            <w:r w:rsidRPr="002F1E61">
              <w:rPr>
                <w:sz w:val="20"/>
                <w:szCs w:val="20"/>
              </w:rPr>
              <w:t>PAH</w:t>
            </w:r>
          </w:p>
        </w:tc>
        <w:tc>
          <w:tcPr>
            <w:tcW w:w="6830" w:type="dxa"/>
          </w:tcPr>
          <w:p w14:paraId="7A5A3DAA" w14:textId="77777777" w:rsidR="00546B8A" w:rsidRPr="002F1E61" w:rsidRDefault="00546B8A" w:rsidP="00827612">
            <w:pPr>
              <w:rPr>
                <w:sz w:val="20"/>
                <w:szCs w:val="20"/>
              </w:rPr>
            </w:pPr>
            <w:r w:rsidRPr="002F1E61">
              <w:rPr>
                <w:sz w:val="20"/>
                <w:szCs w:val="20"/>
              </w:rPr>
              <w:t xml:space="preserve">Pulmonary </w:t>
            </w:r>
            <w:r w:rsidR="008E64F9" w:rsidRPr="002F1E61">
              <w:rPr>
                <w:sz w:val="20"/>
                <w:szCs w:val="20"/>
              </w:rPr>
              <w:t>artery hypertension</w:t>
            </w:r>
          </w:p>
        </w:tc>
      </w:tr>
      <w:tr w:rsidR="00546B8A" w:rsidRPr="002F1E61" w14:paraId="59F22690" w14:textId="77777777" w:rsidTr="00D431C6">
        <w:tc>
          <w:tcPr>
            <w:tcW w:w="1890" w:type="dxa"/>
          </w:tcPr>
          <w:p w14:paraId="5F60DBFE" w14:textId="77777777" w:rsidR="00546B8A" w:rsidRPr="002F1E61" w:rsidRDefault="00546B8A" w:rsidP="00D431C6">
            <w:pPr>
              <w:rPr>
                <w:sz w:val="20"/>
                <w:szCs w:val="20"/>
              </w:rPr>
            </w:pPr>
            <w:r w:rsidRPr="002F1E61">
              <w:rPr>
                <w:sz w:val="20"/>
                <w:szCs w:val="20"/>
              </w:rPr>
              <w:t>PAP</w:t>
            </w:r>
          </w:p>
        </w:tc>
        <w:tc>
          <w:tcPr>
            <w:tcW w:w="6830" w:type="dxa"/>
          </w:tcPr>
          <w:p w14:paraId="21E499EF" w14:textId="77777777" w:rsidR="00546B8A" w:rsidRPr="002F1E61" w:rsidRDefault="00546B8A" w:rsidP="00827612">
            <w:pPr>
              <w:rPr>
                <w:sz w:val="20"/>
                <w:szCs w:val="20"/>
              </w:rPr>
            </w:pPr>
            <w:r w:rsidRPr="002F1E61">
              <w:rPr>
                <w:sz w:val="20"/>
                <w:szCs w:val="20"/>
              </w:rPr>
              <w:t xml:space="preserve">Pulmonary </w:t>
            </w:r>
            <w:r w:rsidR="008E64F9" w:rsidRPr="002F1E61">
              <w:rPr>
                <w:sz w:val="20"/>
                <w:szCs w:val="20"/>
              </w:rPr>
              <w:t>artery pressure</w:t>
            </w:r>
          </w:p>
        </w:tc>
      </w:tr>
      <w:tr w:rsidR="00546B8A" w:rsidRPr="002F1E61" w14:paraId="79E655FE" w14:textId="77777777" w:rsidTr="00D431C6">
        <w:tc>
          <w:tcPr>
            <w:tcW w:w="1890" w:type="dxa"/>
          </w:tcPr>
          <w:p w14:paraId="39BE39C1" w14:textId="77777777" w:rsidR="00546B8A" w:rsidRPr="002F1E61" w:rsidRDefault="00546B8A" w:rsidP="00D431C6">
            <w:pPr>
              <w:rPr>
                <w:sz w:val="20"/>
                <w:szCs w:val="20"/>
              </w:rPr>
            </w:pPr>
            <w:r w:rsidRPr="002F1E61">
              <w:rPr>
                <w:sz w:val="20"/>
                <w:szCs w:val="20"/>
              </w:rPr>
              <w:t>PCWP</w:t>
            </w:r>
          </w:p>
        </w:tc>
        <w:tc>
          <w:tcPr>
            <w:tcW w:w="6830" w:type="dxa"/>
          </w:tcPr>
          <w:p w14:paraId="51BA79FA" w14:textId="77777777" w:rsidR="00546B8A" w:rsidRPr="002F1E61" w:rsidRDefault="00546B8A" w:rsidP="00827612">
            <w:pPr>
              <w:rPr>
                <w:sz w:val="20"/>
                <w:szCs w:val="20"/>
              </w:rPr>
            </w:pPr>
            <w:r w:rsidRPr="002F1E61">
              <w:rPr>
                <w:sz w:val="20"/>
                <w:szCs w:val="20"/>
              </w:rPr>
              <w:t xml:space="preserve">Pulmonary </w:t>
            </w:r>
            <w:r w:rsidR="008E64F9" w:rsidRPr="002F1E61">
              <w:rPr>
                <w:sz w:val="20"/>
                <w:szCs w:val="20"/>
              </w:rPr>
              <w:t>capillary wedge pressure</w:t>
            </w:r>
          </w:p>
        </w:tc>
      </w:tr>
      <w:tr w:rsidR="00546B8A" w:rsidRPr="002F1E61" w14:paraId="435FEC1B" w14:textId="77777777" w:rsidTr="00D431C6">
        <w:tc>
          <w:tcPr>
            <w:tcW w:w="1890" w:type="dxa"/>
          </w:tcPr>
          <w:p w14:paraId="147DD9E0" w14:textId="77777777" w:rsidR="00546B8A" w:rsidRPr="002F1E61" w:rsidRDefault="00546B8A" w:rsidP="00D431C6">
            <w:pPr>
              <w:rPr>
                <w:sz w:val="20"/>
                <w:szCs w:val="20"/>
              </w:rPr>
            </w:pPr>
            <w:r w:rsidRPr="002F1E61">
              <w:rPr>
                <w:sz w:val="20"/>
                <w:szCs w:val="20"/>
              </w:rPr>
              <w:t>PGE1</w:t>
            </w:r>
          </w:p>
        </w:tc>
        <w:tc>
          <w:tcPr>
            <w:tcW w:w="6830" w:type="dxa"/>
          </w:tcPr>
          <w:p w14:paraId="3B1C2FBB" w14:textId="77777777" w:rsidR="00546B8A" w:rsidRPr="002F1E61" w:rsidRDefault="00546B8A" w:rsidP="00827612">
            <w:pPr>
              <w:rPr>
                <w:sz w:val="20"/>
                <w:szCs w:val="20"/>
              </w:rPr>
            </w:pPr>
            <w:r w:rsidRPr="002F1E61">
              <w:rPr>
                <w:sz w:val="20"/>
                <w:szCs w:val="20"/>
              </w:rPr>
              <w:t>Prostaglandin E1</w:t>
            </w:r>
          </w:p>
        </w:tc>
      </w:tr>
      <w:tr w:rsidR="00546B8A" w:rsidRPr="002F1E61" w14:paraId="5861C76C" w14:textId="77777777" w:rsidTr="00D431C6">
        <w:tc>
          <w:tcPr>
            <w:tcW w:w="1890" w:type="dxa"/>
          </w:tcPr>
          <w:p w14:paraId="51F1931C" w14:textId="77777777" w:rsidR="00546B8A" w:rsidRPr="002F1E61" w:rsidRDefault="00546B8A" w:rsidP="00D431C6">
            <w:pPr>
              <w:rPr>
                <w:sz w:val="20"/>
                <w:szCs w:val="20"/>
              </w:rPr>
            </w:pPr>
            <w:r w:rsidRPr="002F1E61">
              <w:rPr>
                <w:sz w:val="20"/>
                <w:szCs w:val="20"/>
              </w:rPr>
              <w:t>PH</w:t>
            </w:r>
          </w:p>
        </w:tc>
        <w:tc>
          <w:tcPr>
            <w:tcW w:w="6830" w:type="dxa"/>
          </w:tcPr>
          <w:p w14:paraId="3BA58811" w14:textId="77777777" w:rsidR="00546B8A" w:rsidRPr="002F1E61" w:rsidRDefault="00546B8A" w:rsidP="00827612">
            <w:pPr>
              <w:rPr>
                <w:sz w:val="20"/>
                <w:szCs w:val="20"/>
              </w:rPr>
            </w:pPr>
            <w:r w:rsidRPr="002F1E61">
              <w:rPr>
                <w:sz w:val="20"/>
                <w:szCs w:val="20"/>
              </w:rPr>
              <w:t xml:space="preserve">Pulmonary </w:t>
            </w:r>
            <w:r w:rsidR="008E64F9" w:rsidRPr="002F1E61">
              <w:rPr>
                <w:sz w:val="20"/>
                <w:szCs w:val="20"/>
              </w:rPr>
              <w:t>h</w:t>
            </w:r>
            <w:r w:rsidRPr="002F1E61">
              <w:rPr>
                <w:sz w:val="20"/>
                <w:szCs w:val="20"/>
              </w:rPr>
              <w:t>ypertension</w:t>
            </w:r>
          </w:p>
        </w:tc>
      </w:tr>
      <w:tr w:rsidR="00546B8A" w:rsidRPr="002F1E61" w14:paraId="5419CFD5" w14:textId="77777777" w:rsidTr="00D431C6">
        <w:tc>
          <w:tcPr>
            <w:tcW w:w="1890" w:type="dxa"/>
          </w:tcPr>
          <w:p w14:paraId="3A2C4C82" w14:textId="77777777" w:rsidR="00546B8A" w:rsidRPr="002F1E61" w:rsidRDefault="00546B8A" w:rsidP="00D431C6">
            <w:pPr>
              <w:rPr>
                <w:sz w:val="20"/>
                <w:szCs w:val="20"/>
              </w:rPr>
            </w:pPr>
            <w:r w:rsidRPr="002F1E61">
              <w:rPr>
                <w:sz w:val="20"/>
                <w:szCs w:val="20"/>
              </w:rPr>
              <w:t>PI</w:t>
            </w:r>
          </w:p>
        </w:tc>
        <w:tc>
          <w:tcPr>
            <w:tcW w:w="6830" w:type="dxa"/>
          </w:tcPr>
          <w:p w14:paraId="507FDBA3" w14:textId="77777777" w:rsidR="00546B8A" w:rsidRPr="002F1E61" w:rsidRDefault="00546B8A" w:rsidP="00827612">
            <w:pPr>
              <w:rPr>
                <w:sz w:val="20"/>
                <w:szCs w:val="20"/>
              </w:rPr>
            </w:pPr>
            <w:r w:rsidRPr="002F1E61">
              <w:rPr>
                <w:sz w:val="20"/>
                <w:szCs w:val="20"/>
              </w:rPr>
              <w:t>Product Information</w:t>
            </w:r>
          </w:p>
        </w:tc>
      </w:tr>
      <w:tr w:rsidR="00546B8A" w:rsidRPr="002F1E61" w14:paraId="2DB55932" w14:textId="77777777" w:rsidTr="00D431C6">
        <w:tc>
          <w:tcPr>
            <w:tcW w:w="1890" w:type="dxa"/>
          </w:tcPr>
          <w:p w14:paraId="7D47137D" w14:textId="77777777" w:rsidR="00546B8A" w:rsidRPr="002F1E61" w:rsidRDefault="00546B8A" w:rsidP="00D431C6">
            <w:pPr>
              <w:rPr>
                <w:sz w:val="20"/>
                <w:szCs w:val="20"/>
              </w:rPr>
            </w:pPr>
            <w:r w:rsidRPr="002F1E61">
              <w:rPr>
                <w:sz w:val="20"/>
                <w:szCs w:val="20"/>
              </w:rPr>
              <w:t>PPHN</w:t>
            </w:r>
          </w:p>
        </w:tc>
        <w:tc>
          <w:tcPr>
            <w:tcW w:w="6830" w:type="dxa"/>
          </w:tcPr>
          <w:p w14:paraId="2AC39EF1" w14:textId="77777777" w:rsidR="00546B8A" w:rsidRPr="002F1E61" w:rsidRDefault="00546B8A" w:rsidP="00827612">
            <w:pPr>
              <w:rPr>
                <w:sz w:val="20"/>
                <w:szCs w:val="20"/>
              </w:rPr>
            </w:pPr>
            <w:r w:rsidRPr="002F1E61">
              <w:rPr>
                <w:sz w:val="20"/>
                <w:szCs w:val="20"/>
              </w:rPr>
              <w:t xml:space="preserve">Persistent </w:t>
            </w:r>
            <w:r w:rsidR="008E64F9" w:rsidRPr="002F1E61">
              <w:rPr>
                <w:sz w:val="20"/>
                <w:szCs w:val="20"/>
              </w:rPr>
              <w:t>pulmonary hypertension of the newborn</w:t>
            </w:r>
          </w:p>
        </w:tc>
      </w:tr>
      <w:tr w:rsidR="00546B8A" w:rsidRPr="002F1E61" w14:paraId="5C68A332" w14:textId="77777777" w:rsidTr="00D431C6">
        <w:tc>
          <w:tcPr>
            <w:tcW w:w="1890" w:type="dxa"/>
          </w:tcPr>
          <w:p w14:paraId="212B9E3F" w14:textId="77777777" w:rsidR="00546B8A" w:rsidRPr="002F1E61" w:rsidRDefault="008E64F9" w:rsidP="00D431C6">
            <w:pPr>
              <w:rPr>
                <w:sz w:val="20"/>
                <w:szCs w:val="20"/>
              </w:rPr>
            </w:pPr>
            <w:r w:rsidRPr="002F1E61">
              <w:rPr>
                <w:sz w:val="20"/>
                <w:szCs w:val="20"/>
              </w:rPr>
              <w:t>p</w:t>
            </w:r>
            <w:r w:rsidR="00546B8A" w:rsidRPr="002F1E61">
              <w:rPr>
                <w:sz w:val="20"/>
                <w:szCs w:val="20"/>
              </w:rPr>
              <w:t>pm</w:t>
            </w:r>
          </w:p>
        </w:tc>
        <w:tc>
          <w:tcPr>
            <w:tcW w:w="6830" w:type="dxa"/>
          </w:tcPr>
          <w:p w14:paraId="21628A84" w14:textId="51F49947" w:rsidR="00546B8A" w:rsidRPr="002F1E61" w:rsidRDefault="00827612" w:rsidP="00827612">
            <w:pPr>
              <w:rPr>
                <w:sz w:val="20"/>
                <w:szCs w:val="20"/>
              </w:rPr>
            </w:pPr>
            <w:r w:rsidRPr="002F1E61">
              <w:rPr>
                <w:sz w:val="20"/>
                <w:szCs w:val="20"/>
              </w:rPr>
              <w:t xml:space="preserve">Parts </w:t>
            </w:r>
            <w:r w:rsidR="00546B8A" w:rsidRPr="002F1E61">
              <w:rPr>
                <w:sz w:val="20"/>
                <w:szCs w:val="20"/>
              </w:rPr>
              <w:t>per million</w:t>
            </w:r>
          </w:p>
        </w:tc>
      </w:tr>
      <w:tr w:rsidR="00546B8A" w:rsidRPr="002F1E61" w14:paraId="46D45E5D" w14:textId="77777777" w:rsidTr="00D431C6">
        <w:tc>
          <w:tcPr>
            <w:tcW w:w="1890" w:type="dxa"/>
          </w:tcPr>
          <w:p w14:paraId="3549ACAD" w14:textId="77777777" w:rsidR="00546B8A" w:rsidRPr="002F1E61" w:rsidRDefault="00546B8A" w:rsidP="00D431C6">
            <w:pPr>
              <w:rPr>
                <w:sz w:val="20"/>
                <w:szCs w:val="20"/>
              </w:rPr>
            </w:pPr>
            <w:r w:rsidRPr="002F1E61">
              <w:rPr>
                <w:sz w:val="20"/>
                <w:szCs w:val="20"/>
              </w:rPr>
              <w:t>PSUR</w:t>
            </w:r>
          </w:p>
        </w:tc>
        <w:tc>
          <w:tcPr>
            <w:tcW w:w="6830" w:type="dxa"/>
          </w:tcPr>
          <w:p w14:paraId="667237D2" w14:textId="79B66996" w:rsidR="00546B8A" w:rsidRPr="002F1E61" w:rsidRDefault="00546B8A" w:rsidP="00827612">
            <w:pPr>
              <w:rPr>
                <w:sz w:val="20"/>
                <w:szCs w:val="20"/>
              </w:rPr>
            </w:pPr>
            <w:r w:rsidRPr="002F1E61">
              <w:rPr>
                <w:sz w:val="20"/>
                <w:szCs w:val="20"/>
              </w:rPr>
              <w:t xml:space="preserve">Periodic </w:t>
            </w:r>
            <w:r w:rsidR="00827612" w:rsidRPr="002F1E61">
              <w:rPr>
                <w:sz w:val="20"/>
                <w:szCs w:val="20"/>
              </w:rPr>
              <w:t>safety update report</w:t>
            </w:r>
          </w:p>
        </w:tc>
      </w:tr>
      <w:tr w:rsidR="00546B8A" w:rsidRPr="002F1E61" w14:paraId="295793E2" w14:textId="77777777" w:rsidTr="00D431C6">
        <w:tc>
          <w:tcPr>
            <w:tcW w:w="1890" w:type="dxa"/>
          </w:tcPr>
          <w:p w14:paraId="5C34DEEA" w14:textId="77777777" w:rsidR="00546B8A" w:rsidRPr="002F1E61" w:rsidRDefault="00546B8A" w:rsidP="00D431C6">
            <w:pPr>
              <w:rPr>
                <w:sz w:val="20"/>
                <w:szCs w:val="20"/>
              </w:rPr>
            </w:pPr>
            <w:r w:rsidRPr="002F1E61">
              <w:rPr>
                <w:sz w:val="20"/>
                <w:szCs w:val="20"/>
              </w:rPr>
              <w:t>PVR</w:t>
            </w:r>
          </w:p>
        </w:tc>
        <w:tc>
          <w:tcPr>
            <w:tcW w:w="6830" w:type="dxa"/>
          </w:tcPr>
          <w:p w14:paraId="73589BA2" w14:textId="77777777" w:rsidR="00546B8A" w:rsidRPr="002F1E61" w:rsidRDefault="00546B8A" w:rsidP="00827612">
            <w:pPr>
              <w:rPr>
                <w:sz w:val="20"/>
                <w:szCs w:val="20"/>
              </w:rPr>
            </w:pPr>
            <w:r w:rsidRPr="002F1E61">
              <w:rPr>
                <w:sz w:val="20"/>
                <w:szCs w:val="20"/>
              </w:rPr>
              <w:t xml:space="preserve">Pulmonary </w:t>
            </w:r>
            <w:r w:rsidR="008E64F9" w:rsidRPr="002F1E61">
              <w:rPr>
                <w:sz w:val="20"/>
                <w:szCs w:val="20"/>
              </w:rPr>
              <w:t>vascular resistance</w:t>
            </w:r>
          </w:p>
        </w:tc>
      </w:tr>
      <w:tr w:rsidR="00827612" w:rsidRPr="002F1E61" w14:paraId="6AFFB0BF" w14:textId="77777777" w:rsidTr="00827612">
        <w:tc>
          <w:tcPr>
            <w:tcW w:w="1890" w:type="dxa"/>
          </w:tcPr>
          <w:p w14:paraId="6CF085BC" w14:textId="6E2C7895" w:rsidR="00827612" w:rsidRPr="002F1E61" w:rsidRDefault="00827612" w:rsidP="00827612">
            <w:pPr>
              <w:rPr>
                <w:sz w:val="20"/>
                <w:szCs w:val="20"/>
              </w:rPr>
            </w:pPr>
            <w:r w:rsidRPr="002F1E61">
              <w:rPr>
                <w:sz w:val="20"/>
                <w:szCs w:val="20"/>
              </w:rPr>
              <w:t>RMP</w:t>
            </w:r>
          </w:p>
        </w:tc>
        <w:tc>
          <w:tcPr>
            <w:tcW w:w="6830" w:type="dxa"/>
          </w:tcPr>
          <w:p w14:paraId="62477927" w14:textId="3B1AED3B" w:rsidR="00827612" w:rsidRPr="002F1E61" w:rsidRDefault="00827612" w:rsidP="00827612">
            <w:pPr>
              <w:rPr>
                <w:sz w:val="20"/>
                <w:szCs w:val="20"/>
              </w:rPr>
            </w:pPr>
            <w:r w:rsidRPr="002F1E61">
              <w:rPr>
                <w:sz w:val="20"/>
                <w:szCs w:val="20"/>
              </w:rPr>
              <w:t>Risk management plan</w:t>
            </w:r>
          </w:p>
        </w:tc>
      </w:tr>
      <w:tr w:rsidR="00546B8A" w:rsidRPr="002F1E61" w14:paraId="648FD7C6" w14:textId="77777777" w:rsidTr="00D431C6">
        <w:tc>
          <w:tcPr>
            <w:tcW w:w="1890" w:type="dxa"/>
          </w:tcPr>
          <w:p w14:paraId="1FD10CA9" w14:textId="77777777" w:rsidR="00546B8A" w:rsidRPr="002F1E61" w:rsidRDefault="00546B8A" w:rsidP="00D431C6">
            <w:pPr>
              <w:rPr>
                <w:sz w:val="20"/>
                <w:szCs w:val="20"/>
              </w:rPr>
            </w:pPr>
            <w:r w:rsidRPr="002F1E61">
              <w:rPr>
                <w:sz w:val="20"/>
                <w:szCs w:val="20"/>
              </w:rPr>
              <w:t>RV</w:t>
            </w:r>
          </w:p>
        </w:tc>
        <w:tc>
          <w:tcPr>
            <w:tcW w:w="6830" w:type="dxa"/>
          </w:tcPr>
          <w:p w14:paraId="31DF74C8" w14:textId="77777777" w:rsidR="00546B8A" w:rsidRPr="002F1E61" w:rsidRDefault="00546B8A" w:rsidP="00827612">
            <w:pPr>
              <w:rPr>
                <w:sz w:val="20"/>
                <w:szCs w:val="20"/>
              </w:rPr>
            </w:pPr>
            <w:r w:rsidRPr="002F1E61">
              <w:rPr>
                <w:sz w:val="20"/>
                <w:szCs w:val="20"/>
              </w:rPr>
              <w:t xml:space="preserve">Right </w:t>
            </w:r>
            <w:r w:rsidR="008E64F9" w:rsidRPr="002F1E61">
              <w:rPr>
                <w:sz w:val="20"/>
                <w:szCs w:val="20"/>
              </w:rPr>
              <w:t>v</w:t>
            </w:r>
            <w:r w:rsidRPr="002F1E61">
              <w:rPr>
                <w:sz w:val="20"/>
                <w:szCs w:val="20"/>
              </w:rPr>
              <w:t>entricular</w:t>
            </w:r>
          </w:p>
        </w:tc>
      </w:tr>
      <w:tr w:rsidR="00546B8A" w:rsidRPr="002F1E61" w14:paraId="1C04D106" w14:textId="77777777" w:rsidTr="00D431C6">
        <w:tc>
          <w:tcPr>
            <w:tcW w:w="1890" w:type="dxa"/>
          </w:tcPr>
          <w:p w14:paraId="7D55ACD4" w14:textId="77777777" w:rsidR="00546B8A" w:rsidRPr="002F1E61" w:rsidRDefault="00546B8A" w:rsidP="00D431C6">
            <w:pPr>
              <w:rPr>
                <w:sz w:val="20"/>
                <w:szCs w:val="20"/>
              </w:rPr>
            </w:pPr>
            <w:r w:rsidRPr="002F1E61">
              <w:rPr>
                <w:sz w:val="20"/>
                <w:szCs w:val="20"/>
              </w:rPr>
              <w:t>RVEF</w:t>
            </w:r>
          </w:p>
        </w:tc>
        <w:tc>
          <w:tcPr>
            <w:tcW w:w="6830" w:type="dxa"/>
          </w:tcPr>
          <w:p w14:paraId="5AD4426A" w14:textId="77777777" w:rsidR="00546B8A" w:rsidRPr="002F1E61" w:rsidRDefault="00546B8A" w:rsidP="00827612">
            <w:pPr>
              <w:rPr>
                <w:sz w:val="20"/>
                <w:szCs w:val="20"/>
              </w:rPr>
            </w:pPr>
            <w:r w:rsidRPr="002F1E61">
              <w:rPr>
                <w:sz w:val="20"/>
                <w:szCs w:val="20"/>
              </w:rPr>
              <w:t xml:space="preserve">Right </w:t>
            </w:r>
            <w:r w:rsidR="008E64F9" w:rsidRPr="002F1E61">
              <w:rPr>
                <w:sz w:val="20"/>
                <w:szCs w:val="20"/>
              </w:rPr>
              <w:t>ventricular ejection fraction</w:t>
            </w:r>
          </w:p>
        </w:tc>
      </w:tr>
      <w:tr w:rsidR="00546B8A" w:rsidRPr="002F1E61" w14:paraId="1E34DB9A" w14:textId="77777777" w:rsidTr="00D431C6">
        <w:tc>
          <w:tcPr>
            <w:tcW w:w="1890" w:type="dxa"/>
          </w:tcPr>
          <w:p w14:paraId="7FD397F6" w14:textId="77777777" w:rsidR="00546B8A" w:rsidRPr="002F1E61" w:rsidRDefault="00546B8A" w:rsidP="00D431C6">
            <w:pPr>
              <w:rPr>
                <w:sz w:val="20"/>
                <w:szCs w:val="20"/>
              </w:rPr>
            </w:pPr>
            <w:r w:rsidRPr="002F1E61">
              <w:rPr>
                <w:sz w:val="20"/>
                <w:szCs w:val="20"/>
              </w:rPr>
              <w:t>RVF</w:t>
            </w:r>
          </w:p>
        </w:tc>
        <w:tc>
          <w:tcPr>
            <w:tcW w:w="6830" w:type="dxa"/>
          </w:tcPr>
          <w:p w14:paraId="7379AED3" w14:textId="77777777" w:rsidR="00546B8A" w:rsidRPr="002F1E61" w:rsidRDefault="00546B8A" w:rsidP="00827612">
            <w:pPr>
              <w:rPr>
                <w:sz w:val="20"/>
                <w:szCs w:val="20"/>
              </w:rPr>
            </w:pPr>
            <w:r w:rsidRPr="002F1E61">
              <w:rPr>
                <w:sz w:val="20"/>
                <w:szCs w:val="20"/>
              </w:rPr>
              <w:t xml:space="preserve">Right </w:t>
            </w:r>
            <w:r w:rsidR="008E64F9" w:rsidRPr="002F1E61">
              <w:rPr>
                <w:sz w:val="20"/>
                <w:szCs w:val="20"/>
              </w:rPr>
              <w:t>ventricular f</w:t>
            </w:r>
            <w:r w:rsidRPr="002F1E61">
              <w:rPr>
                <w:sz w:val="20"/>
                <w:szCs w:val="20"/>
              </w:rPr>
              <w:t>ailure</w:t>
            </w:r>
          </w:p>
        </w:tc>
      </w:tr>
      <w:tr w:rsidR="00546B8A" w:rsidRPr="002F1E61" w14:paraId="7F1C1803" w14:textId="77777777" w:rsidTr="00D431C6">
        <w:tc>
          <w:tcPr>
            <w:tcW w:w="1890" w:type="dxa"/>
          </w:tcPr>
          <w:p w14:paraId="6CD95BAA" w14:textId="77777777" w:rsidR="00546B8A" w:rsidRPr="002F1E61" w:rsidRDefault="00546B8A" w:rsidP="00D431C6">
            <w:pPr>
              <w:rPr>
                <w:sz w:val="20"/>
                <w:szCs w:val="20"/>
              </w:rPr>
            </w:pPr>
            <w:r w:rsidRPr="002F1E61">
              <w:rPr>
                <w:sz w:val="20"/>
                <w:szCs w:val="20"/>
              </w:rPr>
              <w:t>SAE</w:t>
            </w:r>
          </w:p>
        </w:tc>
        <w:tc>
          <w:tcPr>
            <w:tcW w:w="6830" w:type="dxa"/>
          </w:tcPr>
          <w:p w14:paraId="699E75DA" w14:textId="77777777" w:rsidR="00546B8A" w:rsidRPr="002F1E61" w:rsidRDefault="00546B8A" w:rsidP="00827612">
            <w:pPr>
              <w:rPr>
                <w:sz w:val="20"/>
                <w:szCs w:val="20"/>
              </w:rPr>
            </w:pPr>
            <w:r w:rsidRPr="002F1E61">
              <w:rPr>
                <w:sz w:val="20"/>
                <w:szCs w:val="20"/>
              </w:rPr>
              <w:t xml:space="preserve">Serious </w:t>
            </w:r>
            <w:r w:rsidR="008E64F9" w:rsidRPr="002F1E61">
              <w:rPr>
                <w:sz w:val="20"/>
                <w:szCs w:val="20"/>
              </w:rPr>
              <w:t>adverse event</w:t>
            </w:r>
          </w:p>
        </w:tc>
      </w:tr>
      <w:tr w:rsidR="00546B8A" w:rsidRPr="002F1E61" w14:paraId="336C5242" w14:textId="77777777" w:rsidTr="00D431C6">
        <w:tc>
          <w:tcPr>
            <w:tcW w:w="1890" w:type="dxa"/>
          </w:tcPr>
          <w:p w14:paraId="73D239E6" w14:textId="77777777" w:rsidR="00546B8A" w:rsidRPr="002F1E61" w:rsidRDefault="00546B8A" w:rsidP="00D431C6">
            <w:pPr>
              <w:rPr>
                <w:sz w:val="20"/>
                <w:szCs w:val="20"/>
              </w:rPr>
            </w:pPr>
            <w:r w:rsidRPr="002F1E61">
              <w:rPr>
                <w:sz w:val="20"/>
                <w:szCs w:val="20"/>
              </w:rPr>
              <w:t>SAP</w:t>
            </w:r>
          </w:p>
        </w:tc>
        <w:tc>
          <w:tcPr>
            <w:tcW w:w="6830" w:type="dxa"/>
          </w:tcPr>
          <w:p w14:paraId="630434D9" w14:textId="77777777" w:rsidR="00546B8A" w:rsidRPr="002F1E61" w:rsidRDefault="00546B8A" w:rsidP="00827612">
            <w:pPr>
              <w:rPr>
                <w:sz w:val="20"/>
                <w:szCs w:val="20"/>
              </w:rPr>
            </w:pPr>
            <w:r w:rsidRPr="002F1E61">
              <w:rPr>
                <w:sz w:val="20"/>
                <w:szCs w:val="20"/>
              </w:rPr>
              <w:t xml:space="preserve">Systemic </w:t>
            </w:r>
            <w:r w:rsidR="008E64F9" w:rsidRPr="002F1E61">
              <w:rPr>
                <w:sz w:val="20"/>
                <w:szCs w:val="20"/>
              </w:rPr>
              <w:t>arterial pressure</w:t>
            </w:r>
          </w:p>
        </w:tc>
      </w:tr>
      <w:tr w:rsidR="00546B8A" w:rsidRPr="002F1E61" w14:paraId="1D261323" w14:textId="77777777" w:rsidTr="00D431C6">
        <w:tc>
          <w:tcPr>
            <w:tcW w:w="1890" w:type="dxa"/>
          </w:tcPr>
          <w:p w14:paraId="5D9C7741" w14:textId="77777777" w:rsidR="00546B8A" w:rsidRPr="002F1E61" w:rsidRDefault="00546B8A" w:rsidP="00D431C6">
            <w:pPr>
              <w:rPr>
                <w:sz w:val="20"/>
                <w:szCs w:val="20"/>
              </w:rPr>
            </w:pPr>
            <w:r w:rsidRPr="002F1E61">
              <w:rPr>
                <w:sz w:val="20"/>
                <w:szCs w:val="20"/>
              </w:rPr>
              <w:t>SD</w:t>
            </w:r>
          </w:p>
        </w:tc>
        <w:tc>
          <w:tcPr>
            <w:tcW w:w="6830" w:type="dxa"/>
          </w:tcPr>
          <w:p w14:paraId="5697EB2D" w14:textId="77777777" w:rsidR="00546B8A" w:rsidRPr="002F1E61" w:rsidRDefault="00546B8A" w:rsidP="00827612">
            <w:pPr>
              <w:rPr>
                <w:sz w:val="20"/>
                <w:szCs w:val="20"/>
              </w:rPr>
            </w:pPr>
            <w:r w:rsidRPr="002F1E61">
              <w:rPr>
                <w:sz w:val="20"/>
                <w:szCs w:val="20"/>
              </w:rPr>
              <w:t>Standard Deviation</w:t>
            </w:r>
          </w:p>
        </w:tc>
      </w:tr>
      <w:tr w:rsidR="00546B8A" w:rsidRPr="002F1E61" w14:paraId="5BC96B2B" w14:textId="77777777" w:rsidTr="00D431C6">
        <w:tc>
          <w:tcPr>
            <w:tcW w:w="1890" w:type="dxa"/>
          </w:tcPr>
          <w:p w14:paraId="58B8EDDF" w14:textId="77777777" w:rsidR="00546B8A" w:rsidRPr="002F1E61" w:rsidRDefault="00546B8A" w:rsidP="00D431C6">
            <w:pPr>
              <w:rPr>
                <w:sz w:val="20"/>
                <w:szCs w:val="20"/>
              </w:rPr>
            </w:pPr>
            <w:r w:rsidRPr="002F1E61">
              <w:rPr>
                <w:sz w:val="20"/>
                <w:szCs w:val="20"/>
              </w:rPr>
              <w:t>SPC</w:t>
            </w:r>
          </w:p>
        </w:tc>
        <w:tc>
          <w:tcPr>
            <w:tcW w:w="6830" w:type="dxa"/>
          </w:tcPr>
          <w:p w14:paraId="498A5AC7" w14:textId="77777777" w:rsidR="00546B8A" w:rsidRPr="002F1E61" w:rsidRDefault="00546B8A" w:rsidP="00827612">
            <w:pPr>
              <w:rPr>
                <w:sz w:val="20"/>
                <w:szCs w:val="20"/>
              </w:rPr>
            </w:pPr>
            <w:r w:rsidRPr="002F1E61">
              <w:rPr>
                <w:sz w:val="20"/>
                <w:szCs w:val="20"/>
              </w:rPr>
              <w:t>Summary of Product Characteristics</w:t>
            </w:r>
          </w:p>
        </w:tc>
      </w:tr>
      <w:tr w:rsidR="00546B8A" w:rsidRPr="002F1E61" w14:paraId="5E8B258B" w14:textId="77777777" w:rsidTr="00D431C6">
        <w:tc>
          <w:tcPr>
            <w:tcW w:w="1890" w:type="dxa"/>
          </w:tcPr>
          <w:p w14:paraId="59213985" w14:textId="77777777" w:rsidR="00546B8A" w:rsidRPr="002F1E61" w:rsidRDefault="00546B8A" w:rsidP="00D431C6">
            <w:pPr>
              <w:rPr>
                <w:sz w:val="20"/>
                <w:szCs w:val="20"/>
              </w:rPr>
            </w:pPr>
            <w:r w:rsidRPr="002F1E61">
              <w:rPr>
                <w:sz w:val="20"/>
                <w:szCs w:val="20"/>
              </w:rPr>
              <w:t>TGA</w:t>
            </w:r>
          </w:p>
        </w:tc>
        <w:tc>
          <w:tcPr>
            <w:tcW w:w="6830" w:type="dxa"/>
          </w:tcPr>
          <w:p w14:paraId="6AA8888B" w14:textId="77777777" w:rsidR="00546B8A" w:rsidRPr="002F1E61" w:rsidRDefault="00546B8A" w:rsidP="00827612">
            <w:pPr>
              <w:rPr>
                <w:sz w:val="20"/>
                <w:szCs w:val="20"/>
              </w:rPr>
            </w:pPr>
            <w:r w:rsidRPr="002F1E61">
              <w:rPr>
                <w:sz w:val="20"/>
                <w:szCs w:val="20"/>
              </w:rPr>
              <w:t>Therapeutic Goods Administration</w:t>
            </w:r>
          </w:p>
        </w:tc>
      </w:tr>
      <w:tr w:rsidR="00546B8A" w:rsidRPr="002F1E61" w14:paraId="66BD7470" w14:textId="77777777" w:rsidTr="00D431C6">
        <w:tc>
          <w:tcPr>
            <w:tcW w:w="1890" w:type="dxa"/>
          </w:tcPr>
          <w:p w14:paraId="1B2C38AA" w14:textId="77777777" w:rsidR="00546B8A" w:rsidRPr="002F1E61" w:rsidRDefault="00546B8A" w:rsidP="00D431C6">
            <w:pPr>
              <w:rPr>
                <w:sz w:val="20"/>
                <w:szCs w:val="20"/>
              </w:rPr>
            </w:pPr>
            <w:r w:rsidRPr="002F1E61">
              <w:rPr>
                <w:sz w:val="20"/>
                <w:szCs w:val="20"/>
              </w:rPr>
              <w:t>TPG</w:t>
            </w:r>
          </w:p>
        </w:tc>
        <w:tc>
          <w:tcPr>
            <w:tcW w:w="6830" w:type="dxa"/>
          </w:tcPr>
          <w:p w14:paraId="0A868C35" w14:textId="77777777" w:rsidR="00546B8A" w:rsidRPr="002F1E61" w:rsidRDefault="00546B8A" w:rsidP="00827612">
            <w:pPr>
              <w:rPr>
                <w:sz w:val="20"/>
                <w:szCs w:val="20"/>
              </w:rPr>
            </w:pPr>
            <w:proofErr w:type="spellStart"/>
            <w:r w:rsidRPr="002F1E61">
              <w:rPr>
                <w:sz w:val="20"/>
                <w:szCs w:val="20"/>
              </w:rPr>
              <w:t>Transpulmonary</w:t>
            </w:r>
            <w:proofErr w:type="spellEnd"/>
            <w:r w:rsidRPr="002F1E61">
              <w:rPr>
                <w:sz w:val="20"/>
                <w:szCs w:val="20"/>
              </w:rPr>
              <w:t xml:space="preserve"> pressure gradient</w:t>
            </w:r>
          </w:p>
        </w:tc>
      </w:tr>
      <w:tr w:rsidR="00546B8A" w:rsidRPr="002F1E61" w14:paraId="25B07600" w14:textId="77777777" w:rsidTr="00D431C6">
        <w:tc>
          <w:tcPr>
            <w:tcW w:w="1890" w:type="dxa"/>
          </w:tcPr>
          <w:p w14:paraId="0D28ECD1" w14:textId="77777777" w:rsidR="00546B8A" w:rsidRPr="002F1E61" w:rsidRDefault="00546B8A" w:rsidP="00D431C6">
            <w:pPr>
              <w:rPr>
                <w:sz w:val="20"/>
                <w:szCs w:val="20"/>
              </w:rPr>
            </w:pPr>
            <w:r w:rsidRPr="002F1E61">
              <w:rPr>
                <w:sz w:val="20"/>
                <w:szCs w:val="20"/>
              </w:rPr>
              <w:t>VAD</w:t>
            </w:r>
          </w:p>
        </w:tc>
        <w:tc>
          <w:tcPr>
            <w:tcW w:w="6830" w:type="dxa"/>
          </w:tcPr>
          <w:p w14:paraId="7611D8A0" w14:textId="77777777" w:rsidR="00546B8A" w:rsidRPr="002F1E61" w:rsidRDefault="00546B8A" w:rsidP="00827612">
            <w:pPr>
              <w:rPr>
                <w:sz w:val="20"/>
                <w:szCs w:val="20"/>
              </w:rPr>
            </w:pPr>
            <w:r w:rsidRPr="002F1E61">
              <w:rPr>
                <w:sz w:val="20"/>
                <w:szCs w:val="20"/>
              </w:rPr>
              <w:t xml:space="preserve">Ventricular </w:t>
            </w:r>
            <w:r w:rsidR="008E64F9" w:rsidRPr="002F1E61">
              <w:rPr>
                <w:sz w:val="20"/>
                <w:szCs w:val="20"/>
              </w:rPr>
              <w:t>assist d</w:t>
            </w:r>
            <w:r w:rsidRPr="002F1E61">
              <w:rPr>
                <w:sz w:val="20"/>
                <w:szCs w:val="20"/>
              </w:rPr>
              <w:t>evice</w:t>
            </w:r>
          </w:p>
        </w:tc>
      </w:tr>
    </w:tbl>
    <w:p w14:paraId="7DABABD9" w14:textId="77777777" w:rsidR="00FD119B" w:rsidRDefault="00FD119B" w:rsidP="00FD119B"/>
    <w:p w14:paraId="3DEC9978" w14:textId="77777777" w:rsidR="008E7846" w:rsidRDefault="00F53C07" w:rsidP="008E64F9">
      <w:pPr>
        <w:pStyle w:val="Heading2"/>
        <w:pageBreakBefore/>
      </w:pPr>
      <w:bookmarkStart w:id="9" w:name="_Toc28009935"/>
      <w:r>
        <w:lastRenderedPageBreak/>
        <w:t>I.</w:t>
      </w:r>
      <w:r w:rsidR="008E7846">
        <w:t xml:space="preserve"> Introduction to product submission</w:t>
      </w:r>
      <w:bookmarkEnd w:id="0"/>
      <w:bookmarkEnd w:id="3"/>
      <w:bookmarkEnd w:id="9"/>
    </w:p>
    <w:p w14:paraId="38C87154" w14:textId="77777777" w:rsidR="008E7846" w:rsidRDefault="008E7846" w:rsidP="008E7846">
      <w:pPr>
        <w:pStyle w:val="Heading3"/>
        <w:rPr>
          <w:lang w:eastAsia="en-AU"/>
        </w:rPr>
      </w:pPr>
      <w:bookmarkStart w:id="10" w:name="_Toc247691502"/>
      <w:bookmarkStart w:id="11" w:name="_Toc314842483"/>
      <w:bookmarkStart w:id="12" w:name="_Toc2800993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227DA80" w14:textId="77777777" w:rsidTr="003735BC">
        <w:tc>
          <w:tcPr>
            <w:tcW w:w="2907" w:type="dxa"/>
          </w:tcPr>
          <w:p w14:paraId="7CB06A18"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6E31EF8" w14:textId="77777777" w:rsidR="008E7846" w:rsidRPr="003D1E62" w:rsidRDefault="003B08F8" w:rsidP="00E4688B">
            <w:r>
              <w:t>M</w:t>
            </w:r>
            <w:r w:rsidR="008E7846" w:rsidRPr="003D1E62">
              <w:t xml:space="preserve">ajor </w:t>
            </w:r>
            <w:r w:rsidR="001B5C90">
              <w:t>v</w:t>
            </w:r>
            <w:r w:rsidR="00E4688B">
              <w:t>ariation</w:t>
            </w:r>
            <w:r w:rsidR="0097238C">
              <w:t>, extension of indications</w:t>
            </w:r>
          </w:p>
        </w:tc>
      </w:tr>
      <w:tr w:rsidR="008E7846" w:rsidRPr="003D1E62" w14:paraId="0C4BFB94" w14:textId="77777777" w:rsidTr="003735BC">
        <w:tc>
          <w:tcPr>
            <w:tcW w:w="2907" w:type="dxa"/>
          </w:tcPr>
          <w:p w14:paraId="6DF62222" w14:textId="77777777" w:rsidR="008E7846" w:rsidRPr="003D1E62" w:rsidRDefault="008E7846" w:rsidP="003D1E62">
            <w:r w:rsidRPr="003D1E62">
              <w:rPr>
                <w:i/>
              </w:rPr>
              <w:t>Decision</w:t>
            </w:r>
            <w:r w:rsidRPr="003D1E62">
              <w:t>:</w:t>
            </w:r>
          </w:p>
        </w:tc>
        <w:tc>
          <w:tcPr>
            <w:tcW w:w="6307" w:type="dxa"/>
          </w:tcPr>
          <w:p w14:paraId="1688770D" w14:textId="77777777" w:rsidR="008E7846" w:rsidRPr="003D1E62" w:rsidRDefault="00E4688B" w:rsidP="00E4688B">
            <w:r>
              <w:t>Approved</w:t>
            </w:r>
          </w:p>
        </w:tc>
      </w:tr>
      <w:tr w:rsidR="008E7846" w:rsidRPr="003D1E62" w14:paraId="658FC0F8" w14:textId="77777777" w:rsidTr="003735BC">
        <w:tc>
          <w:tcPr>
            <w:tcW w:w="2907" w:type="dxa"/>
          </w:tcPr>
          <w:p w14:paraId="59FF05AD"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7899E6F" w14:textId="77777777" w:rsidR="008E7846" w:rsidRPr="003D1E62" w:rsidRDefault="00E4688B" w:rsidP="00E4688B">
            <w:r>
              <w:t>30 April 2019</w:t>
            </w:r>
          </w:p>
        </w:tc>
      </w:tr>
      <w:tr w:rsidR="00ED2922" w:rsidRPr="003D1E62" w14:paraId="663CAC98" w14:textId="77777777" w:rsidTr="003735BC">
        <w:tc>
          <w:tcPr>
            <w:tcW w:w="2907" w:type="dxa"/>
          </w:tcPr>
          <w:p w14:paraId="56EAD038" w14:textId="77777777" w:rsidR="00ED2922" w:rsidRPr="00441C3F" w:rsidRDefault="00ED2922" w:rsidP="001B5C90">
            <w:pPr>
              <w:rPr>
                <w:i/>
              </w:rPr>
            </w:pPr>
            <w:r w:rsidRPr="00441C3F">
              <w:rPr>
                <w:i/>
              </w:rPr>
              <w:t>Date of entry onto ARTG</w:t>
            </w:r>
            <w:r w:rsidR="00500337">
              <w:rPr>
                <w:i/>
              </w:rPr>
              <w:t>:</w:t>
            </w:r>
          </w:p>
        </w:tc>
        <w:tc>
          <w:tcPr>
            <w:tcW w:w="6307" w:type="dxa"/>
          </w:tcPr>
          <w:p w14:paraId="0942E44A" w14:textId="77777777" w:rsidR="00ED2922" w:rsidRPr="00441C3F" w:rsidRDefault="00E4688B" w:rsidP="00D153D8">
            <w:pPr>
              <w:rPr>
                <w:i/>
              </w:rPr>
            </w:pPr>
            <w:r>
              <w:t>13 May 2019</w:t>
            </w:r>
          </w:p>
        </w:tc>
      </w:tr>
      <w:tr w:rsidR="00500337" w:rsidRPr="003D1E62" w14:paraId="798BB9EB" w14:textId="77777777" w:rsidTr="003735BC">
        <w:tc>
          <w:tcPr>
            <w:tcW w:w="2907" w:type="dxa"/>
          </w:tcPr>
          <w:p w14:paraId="40B62886" w14:textId="77777777" w:rsidR="00500337" w:rsidRPr="00441C3F" w:rsidRDefault="0097238C" w:rsidP="001B5C90">
            <w:pPr>
              <w:rPr>
                <w:i/>
              </w:rPr>
            </w:pPr>
            <w:r>
              <w:rPr>
                <w:i/>
              </w:rPr>
              <w:t>ARTG number</w:t>
            </w:r>
            <w:r w:rsidR="00500337">
              <w:rPr>
                <w:i/>
              </w:rPr>
              <w:t>:</w:t>
            </w:r>
          </w:p>
        </w:tc>
        <w:tc>
          <w:tcPr>
            <w:tcW w:w="6307" w:type="dxa"/>
          </w:tcPr>
          <w:p w14:paraId="273D6656" w14:textId="77777777" w:rsidR="00500337" w:rsidRPr="00441C3F" w:rsidRDefault="00E4688B" w:rsidP="00E4688B">
            <w:r>
              <w:t>128136</w:t>
            </w:r>
          </w:p>
        </w:tc>
      </w:tr>
      <w:tr w:rsidR="003735BC" w:rsidRPr="003D1E62" w14:paraId="579EBC73" w14:textId="77777777" w:rsidTr="003735BC">
        <w:tc>
          <w:tcPr>
            <w:tcW w:w="2907" w:type="dxa"/>
          </w:tcPr>
          <w:p w14:paraId="006873EC"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4233C87A" w14:textId="77777777" w:rsidR="003735BC" w:rsidRPr="00487162" w:rsidRDefault="00E4688B" w:rsidP="003735BC">
            <w:r>
              <w:t>No</w:t>
            </w:r>
          </w:p>
        </w:tc>
      </w:tr>
      <w:tr w:rsidR="008E7846" w:rsidRPr="00487162" w14:paraId="7A35CB50" w14:textId="77777777" w:rsidTr="00BF1190">
        <w:tc>
          <w:tcPr>
            <w:tcW w:w="2907" w:type="dxa"/>
          </w:tcPr>
          <w:p w14:paraId="2C2AC13F" w14:textId="77777777" w:rsidR="008E7846" w:rsidRPr="00487162" w:rsidRDefault="0097238C" w:rsidP="00E45619">
            <w:pPr>
              <w:rPr>
                <w:i/>
              </w:rPr>
            </w:pPr>
            <w:r>
              <w:rPr>
                <w:i/>
              </w:rPr>
              <w:t>Active ingredient</w:t>
            </w:r>
            <w:r w:rsidR="001B5C90">
              <w:rPr>
                <w:i/>
              </w:rPr>
              <w:t>:</w:t>
            </w:r>
          </w:p>
        </w:tc>
        <w:tc>
          <w:tcPr>
            <w:tcW w:w="6307" w:type="dxa"/>
          </w:tcPr>
          <w:p w14:paraId="7F444C73" w14:textId="77777777" w:rsidR="008E7846" w:rsidRPr="00487162" w:rsidRDefault="00E4688B" w:rsidP="00E55CB0">
            <w:r>
              <w:t>Nitric oxide</w:t>
            </w:r>
          </w:p>
        </w:tc>
      </w:tr>
      <w:tr w:rsidR="008E7846" w:rsidRPr="00487162" w14:paraId="41064CF6" w14:textId="77777777" w:rsidTr="00BF1190">
        <w:tc>
          <w:tcPr>
            <w:tcW w:w="2907" w:type="dxa"/>
          </w:tcPr>
          <w:p w14:paraId="7CC5BFDC" w14:textId="77777777" w:rsidR="008E7846" w:rsidRPr="00487162" w:rsidRDefault="008E7846" w:rsidP="001B5C90">
            <w:pPr>
              <w:rPr>
                <w:i/>
              </w:rPr>
            </w:pPr>
            <w:r w:rsidRPr="00487162">
              <w:rPr>
                <w:i/>
              </w:rPr>
              <w:t>Product</w:t>
            </w:r>
            <w:r w:rsidR="0097238C">
              <w:rPr>
                <w:i/>
              </w:rPr>
              <w:t xml:space="preserve"> name</w:t>
            </w:r>
            <w:r w:rsidR="001B5C90">
              <w:rPr>
                <w:i/>
              </w:rPr>
              <w:t>:</w:t>
            </w:r>
          </w:p>
        </w:tc>
        <w:tc>
          <w:tcPr>
            <w:tcW w:w="6307" w:type="dxa"/>
          </w:tcPr>
          <w:p w14:paraId="495E483E" w14:textId="77777777" w:rsidR="008E7846" w:rsidRPr="00487162" w:rsidRDefault="00DC7D20" w:rsidP="0097238C">
            <w:proofErr w:type="spellStart"/>
            <w:r>
              <w:t>I</w:t>
            </w:r>
            <w:r w:rsidR="0097238C">
              <w:t>NO</w:t>
            </w:r>
            <w:r w:rsidR="00E4688B">
              <w:t>max</w:t>
            </w:r>
            <w:proofErr w:type="spellEnd"/>
          </w:p>
        </w:tc>
      </w:tr>
      <w:tr w:rsidR="008E7846" w:rsidRPr="00487162" w14:paraId="77AD0A6D" w14:textId="77777777" w:rsidTr="00BF1190">
        <w:tc>
          <w:tcPr>
            <w:tcW w:w="2907" w:type="dxa"/>
          </w:tcPr>
          <w:p w14:paraId="29C35C6D"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6BD7A05" w14:textId="77777777" w:rsidR="0097238C" w:rsidRDefault="00E4688B" w:rsidP="00974613">
            <w:pPr>
              <w:tabs>
                <w:tab w:val="center" w:pos="3045"/>
              </w:tabs>
            </w:pPr>
            <w:r>
              <w:t xml:space="preserve">Ikaria Australia </w:t>
            </w:r>
            <w:r w:rsidR="00974613">
              <w:t>P</w:t>
            </w:r>
            <w:r w:rsidR="00473611">
              <w:t>ty</w:t>
            </w:r>
            <w:r>
              <w:t xml:space="preserve"> </w:t>
            </w:r>
            <w:r w:rsidR="00974613">
              <w:t>L</w:t>
            </w:r>
            <w:r>
              <w:t>td</w:t>
            </w:r>
          </w:p>
          <w:p w14:paraId="6DFEE309" w14:textId="77777777" w:rsidR="0097238C" w:rsidRDefault="0097238C" w:rsidP="00974613">
            <w:pPr>
              <w:tabs>
                <w:tab w:val="center" w:pos="3045"/>
              </w:tabs>
            </w:pPr>
            <w:r>
              <w:t>Ground Floor 17 Cotham Road</w:t>
            </w:r>
          </w:p>
          <w:p w14:paraId="6658CC93" w14:textId="74FD272E" w:rsidR="008E7846" w:rsidRPr="00487162" w:rsidRDefault="00974613" w:rsidP="00974613">
            <w:pPr>
              <w:tabs>
                <w:tab w:val="center" w:pos="3045"/>
              </w:tabs>
            </w:pPr>
            <w:r>
              <w:t xml:space="preserve">Kew </w:t>
            </w:r>
            <w:r w:rsidR="006F789A">
              <w:t xml:space="preserve">VIC </w:t>
            </w:r>
            <w:r>
              <w:t>3101</w:t>
            </w:r>
          </w:p>
        </w:tc>
      </w:tr>
      <w:tr w:rsidR="008E7846" w:rsidRPr="00487162" w14:paraId="38FD813D" w14:textId="77777777" w:rsidTr="00BF1190">
        <w:tc>
          <w:tcPr>
            <w:tcW w:w="2907" w:type="dxa"/>
          </w:tcPr>
          <w:p w14:paraId="4475EE6F" w14:textId="77777777" w:rsidR="008E7846" w:rsidRPr="00487162" w:rsidRDefault="0097238C" w:rsidP="00E45619">
            <w:pPr>
              <w:rPr>
                <w:i/>
              </w:rPr>
            </w:pPr>
            <w:r>
              <w:rPr>
                <w:i/>
              </w:rPr>
              <w:t>Dose form</w:t>
            </w:r>
            <w:r w:rsidR="001B5C90">
              <w:rPr>
                <w:i/>
              </w:rPr>
              <w:t>:</w:t>
            </w:r>
          </w:p>
        </w:tc>
        <w:tc>
          <w:tcPr>
            <w:tcW w:w="6307" w:type="dxa"/>
          </w:tcPr>
          <w:p w14:paraId="7B48F575" w14:textId="77777777" w:rsidR="008E7846" w:rsidRPr="00487162" w:rsidRDefault="00974613" w:rsidP="00E45619">
            <w:r>
              <w:t>Medicinal gas</w:t>
            </w:r>
          </w:p>
        </w:tc>
      </w:tr>
      <w:tr w:rsidR="008E7846" w:rsidRPr="00487162" w14:paraId="6AC2C127" w14:textId="77777777" w:rsidTr="00BF1190">
        <w:tc>
          <w:tcPr>
            <w:tcW w:w="2907" w:type="dxa"/>
          </w:tcPr>
          <w:p w14:paraId="7053E530" w14:textId="77777777" w:rsidR="008E7846" w:rsidRPr="00487162" w:rsidRDefault="0097238C" w:rsidP="00E45619">
            <w:pPr>
              <w:rPr>
                <w:i/>
              </w:rPr>
            </w:pPr>
            <w:r>
              <w:rPr>
                <w:i/>
              </w:rPr>
              <w:t>Strength</w:t>
            </w:r>
            <w:r w:rsidR="008E7846" w:rsidRPr="00487162">
              <w:rPr>
                <w:i/>
              </w:rPr>
              <w:t xml:space="preserve">: </w:t>
            </w:r>
          </w:p>
        </w:tc>
        <w:tc>
          <w:tcPr>
            <w:tcW w:w="6307" w:type="dxa"/>
          </w:tcPr>
          <w:p w14:paraId="5D8C4F15" w14:textId="77777777" w:rsidR="008E7846" w:rsidRPr="00487162" w:rsidRDefault="00974613" w:rsidP="00E45619">
            <w:r>
              <w:t>800 ppm</w:t>
            </w:r>
          </w:p>
        </w:tc>
      </w:tr>
      <w:tr w:rsidR="008E7846" w:rsidRPr="00487162" w14:paraId="46BDDFB0" w14:textId="77777777" w:rsidTr="00BF1190">
        <w:tc>
          <w:tcPr>
            <w:tcW w:w="2907" w:type="dxa"/>
          </w:tcPr>
          <w:p w14:paraId="4C78DDEB" w14:textId="77777777" w:rsidR="008E7846" w:rsidRPr="00487162" w:rsidRDefault="0097238C" w:rsidP="00E45619">
            <w:pPr>
              <w:rPr>
                <w:i/>
              </w:rPr>
            </w:pPr>
            <w:r>
              <w:rPr>
                <w:i/>
              </w:rPr>
              <w:t>Container</w:t>
            </w:r>
            <w:r w:rsidR="008E7846" w:rsidRPr="00487162">
              <w:rPr>
                <w:i/>
              </w:rPr>
              <w:t>:</w:t>
            </w:r>
          </w:p>
        </w:tc>
        <w:tc>
          <w:tcPr>
            <w:tcW w:w="6307" w:type="dxa"/>
          </w:tcPr>
          <w:p w14:paraId="53E657A9" w14:textId="77777777" w:rsidR="008E7846" w:rsidRPr="00487162" w:rsidRDefault="00974613" w:rsidP="00E45619">
            <w:r>
              <w:t>Gas cylinder</w:t>
            </w:r>
          </w:p>
        </w:tc>
      </w:tr>
      <w:tr w:rsidR="008E7846" w:rsidRPr="00487162" w14:paraId="5E131463" w14:textId="77777777" w:rsidTr="00BF1190">
        <w:tc>
          <w:tcPr>
            <w:tcW w:w="2907" w:type="dxa"/>
          </w:tcPr>
          <w:p w14:paraId="7D3B2EFC" w14:textId="77777777" w:rsidR="008E7846" w:rsidRPr="00487162" w:rsidRDefault="008E7846" w:rsidP="00E45619">
            <w:pPr>
              <w:rPr>
                <w:i/>
              </w:rPr>
            </w:pPr>
            <w:r w:rsidRPr="00487162">
              <w:rPr>
                <w:i/>
              </w:rPr>
              <w:t xml:space="preserve">Pack </w:t>
            </w:r>
            <w:r w:rsidR="0097238C">
              <w:rPr>
                <w:i/>
              </w:rPr>
              <w:t>sizes</w:t>
            </w:r>
            <w:r w:rsidRPr="00487162">
              <w:rPr>
                <w:i/>
              </w:rPr>
              <w:t>:</w:t>
            </w:r>
          </w:p>
        </w:tc>
        <w:tc>
          <w:tcPr>
            <w:tcW w:w="6307" w:type="dxa"/>
          </w:tcPr>
          <w:p w14:paraId="628687C2" w14:textId="77777777" w:rsidR="008E7846" w:rsidRPr="00487162" w:rsidRDefault="00974613" w:rsidP="00E45619">
            <w:r>
              <w:t>MD 15 cylinder and 88 cylinder</w:t>
            </w:r>
          </w:p>
        </w:tc>
      </w:tr>
      <w:tr w:rsidR="008E7846" w:rsidRPr="00487162" w14:paraId="45B839FF" w14:textId="77777777" w:rsidTr="00BF1190">
        <w:tc>
          <w:tcPr>
            <w:tcW w:w="2907" w:type="dxa"/>
          </w:tcPr>
          <w:p w14:paraId="1D01FDE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077060C" w14:textId="6301714E" w:rsidR="003B08F8" w:rsidRPr="00827612" w:rsidRDefault="00C40BA7" w:rsidP="00974613">
            <w:pPr>
              <w:rPr>
                <w:i/>
              </w:rPr>
            </w:pPr>
            <w:proofErr w:type="spellStart"/>
            <w:r>
              <w:rPr>
                <w:i/>
              </w:rPr>
              <w:t>INOmax</w:t>
            </w:r>
            <w:proofErr w:type="spellEnd"/>
            <w:r w:rsidR="00974613" w:rsidRPr="00974613">
              <w:rPr>
                <w:i/>
              </w:rPr>
              <w:t xml:space="preserve">, in conjunction with </w:t>
            </w:r>
            <w:proofErr w:type="spellStart"/>
            <w:r w:rsidR="00974613" w:rsidRPr="00974613">
              <w:rPr>
                <w:i/>
              </w:rPr>
              <w:t>ventilatory</w:t>
            </w:r>
            <w:proofErr w:type="spellEnd"/>
            <w:r w:rsidR="00974613" w:rsidRPr="00974613">
              <w:rPr>
                <w:i/>
              </w:rPr>
              <w:t xml:space="preserve"> support and other ap</w:t>
            </w:r>
            <w:r w:rsidR="003B08F8">
              <w:rPr>
                <w:i/>
              </w:rPr>
              <w:t>propriate agents, is indicated</w:t>
            </w:r>
            <w:r w:rsidR="00827612">
              <w:t>:</w:t>
            </w:r>
          </w:p>
          <w:p w14:paraId="212FE6DC" w14:textId="31B7C102" w:rsidR="008E7846" w:rsidRPr="00974613" w:rsidRDefault="00974613" w:rsidP="00293B03">
            <w:pPr>
              <w:ind w:left="720"/>
              <w:rPr>
                <w:rFonts w:eastAsia="MS Mincho"/>
                <w:i/>
                <w:lang w:eastAsia="ja-JP"/>
              </w:rPr>
            </w:pPr>
            <w:r w:rsidRPr="00974613">
              <w:rPr>
                <w:i/>
              </w:rPr>
              <w:t>to selectively decrease pulmonary arterial pressure in patients with perioperative pulmonary hypertension in conjunction with heart surgery</w:t>
            </w:r>
          </w:p>
        </w:tc>
      </w:tr>
      <w:tr w:rsidR="008E7846" w:rsidRPr="00487162" w14:paraId="51128C37" w14:textId="77777777" w:rsidTr="00BF1190">
        <w:tc>
          <w:tcPr>
            <w:tcW w:w="2907" w:type="dxa"/>
          </w:tcPr>
          <w:p w14:paraId="4795CEB1" w14:textId="77777777" w:rsidR="008E7846" w:rsidRPr="00487162" w:rsidRDefault="0097238C" w:rsidP="00E45619">
            <w:pPr>
              <w:rPr>
                <w:i/>
              </w:rPr>
            </w:pPr>
            <w:r>
              <w:rPr>
                <w:i/>
              </w:rPr>
              <w:t>Route</w:t>
            </w:r>
            <w:r w:rsidR="008E7846" w:rsidRPr="00487162">
              <w:rPr>
                <w:i/>
              </w:rPr>
              <w:t xml:space="preserve"> of administration:</w:t>
            </w:r>
          </w:p>
        </w:tc>
        <w:tc>
          <w:tcPr>
            <w:tcW w:w="6307" w:type="dxa"/>
          </w:tcPr>
          <w:p w14:paraId="59273B15" w14:textId="2D4F94B1" w:rsidR="008E7846" w:rsidRPr="00487162" w:rsidRDefault="00827612" w:rsidP="00E45619">
            <w:r>
              <w:t>I</w:t>
            </w:r>
            <w:r w:rsidR="00974613">
              <w:t>nhalation</w:t>
            </w:r>
          </w:p>
        </w:tc>
      </w:tr>
      <w:tr w:rsidR="008E7846" w:rsidRPr="00487162" w14:paraId="1C178472" w14:textId="77777777" w:rsidTr="00BF1190">
        <w:tc>
          <w:tcPr>
            <w:tcW w:w="2907" w:type="dxa"/>
          </w:tcPr>
          <w:p w14:paraId="4F99EFEC" w14:textId="77777777" w:rsidR="008E7846" w:rsidRPr="00487162" w:rsidRDefault="008E7846" w:rsidP="00E45619">
            <w:pPr>
              <w:rPr>
                <w:i/>
              </w:rPr>
            </w:pPr>
            <w:r w:rsidRPr="00487162">
              <w:rPr>
                <w:i/>
              </w:rPr>
              <w:t>Dosage:</w:t>
            </w:r>
          </w:p>
        </w:tc>
        <w:tc>
          <w:tcPr>
            <w:tcW w:w="6307" w:type="dxa"/>
          </w:tcPr>
          <w:p w14:paraId="5F9617AF" w14:textId="35589061" w:rsidR="008E7846" w:rsidRPr="00487162" w:rsidRDefault="00974613" w:rsidP="00E45619">
            <w:r>
              <w:t>Not more than 20 ppm (see P</w:t>
            </w:r>
            <w:r w:rsidR="008E64F9">
              <w:t xml:space="preserve">roduct </w:t>
            </w:r>
            <w:r>
              <w:t>I</w:t>
            </w:r>
            <w:r w:rsidR="008E64F9">
              <w:t>nformation</w:t>
            </w:r>
            <w:r w:rsidR="00827612">
              <w:t xml:space="preserve"> (PI)</w:t>
            </w:r>
            <w:r>
              <w:t xml:space="preserve"> for details)</w:t>
            </w:r>
          </w:p>
        </w:tc>
      </w:tr>
    </w:tbl>
    <w:p w14:paraId="4D40C428" w14:textId="77777777" w:rsidR="008E7846" w:rsidRDefault="008E7846" w:rsidP="00035230">
      <w:pPr>
        <w:pStyle w:val="Heading3"/>
        <w:pageBreakBefore/>
      </w:pPr>
      <w:bookmarkStart w:id="13" w:name="_Toc247691503"/>
      <w:bookmarkStart w:id="14" w:name="_Toc314842484"/>
      <w:bookmarkStart w:id="15" w:name="_Toc28009937"/>
      <w:r>
        <w:lastRenderedPageBreak/>
        <w:t>Product background</w:t>
      </w:r>
      <w:bookmarkEnd w:id="13"/>
      <w:bookmarkEnd w:id="14"/>
      <w:bookmarkEnd w:id="15"/>
    </w:p>
    <w:p w14:paraId="48B21BF5" w14:textId="38BEE140" w:rsidR="003B08F8" w:rsidRDefault="00940A89" w:rsidP="00974613">
      <w:r w:rsidRPr="00940A89">
        <w:t xml:space="preserve">This AusPAR describes the application by </w:t>
      </w:r>
      <w:r w:rsidR="00827612">
        <w:t>Ikaria Australia Pty Ltd (</w:t>
      </w:r>
      <w:r w:rsidRPr="00940A89">
        <w:t>the sponsor</w:t>
      </w:r>
      <w:r w:rsidR="00827612">
        <w:t>)</w:t>
      </w:r>
      <w:r w:rsidRPr="00940A89">
        <w:t xml:space="preserve"> to </w:t>
      </w:r>
      <w:r w:rsidR="0097238C">
        <w:t>extend the indications for</w:t>
      </w:r>
      <w:r w:rsidRPr="00940A89">
        <w:t xml:space="preserve"> </w:t>
      </w:r>
      <w:proofErr w:type="spellStart"/>
      <w:r w:rsidR="0097238C">
        <w:t>INOmax</w:t>
      </w:r>
      <w:proofErr w:type="spellEnd"/>
      <w:r w:rsidR="0097238C">
        <w:t xml:space="preserve"> </w:t>
      </w:r>
      <w:r w:rsidR="00974613">
        <w:t>nitric oxide</w:t>
      </w:r>
      <w:r w:rsidRPr="00940A89">
        <w:t xml:space="preserve"> </w:t>
      </w:r>
      <w:r w:rsidR="0097238C">
        <w:t>800</w:t>
      </w:r>
      <w:r w:rsidR="008E64F9">
        <w:t xml:space="preserve"> </w:t>
      </w:r>
      <w:r w:rsidR="008E64F9">
        <w:rPr>
          <w:rFonts w:eastAsia="TimesNewRoman"/>
        </w:rPr>
        <w:t>parts per million</w:t>
      </w:r>
      <w:r w:rsidR="008E64F9">
        <w:t xml:space="preserve"> (</w:t>
      </w:r>
      <w:r w:rsidR="0097238C">
        <w:t>ppm</w:t>
      </w:r>
      <w:r w:rsidR="008E64F9">
        <w:t>)</w:t>
      </w:r>
      <w:r w:rsidR="0097238C">
        <w:t xml:space="preserve"> medicinal gas to include</w:t>
      </w:r>
      <w:r w:rsidRPr="00940A89">
        <w:t xml:space="preserve"> the following indication</w:t>
      </w:r>
      <w:r w:rsidR="00DC7D20">
        <w:t>:</w:t>
      </w:r>
    </w:p>
    <w:p w14:paraId="73E74F48" w14:textId="77777777" w:rsidR="0097238C" w:rsidRDefault="00AF6E41" w:rsidP="0097238C">
      <w:pPr>
        <w:ind w:left="720"/>
        <w:rPr>
          <w:i/>
        </w:rPr>
      </w:pPr>
      <w:r>
        <w:rPr>
          <w:i/>
        </w:rPr>
        <w:t>‘</w:t>
      </w:r>
      <w:proofErr w:type="spellStart"/>
      <w:r w:rsidR="00C40BA7">
        <w:rPr>
          <w:i/>
        </w:rPr>
        <w:t>INOmax</w:t>
      </w:r>
      <w:proofErr w:type="spellEnd"/>
      <w:r w:rsidR="00974613" w:rsidRPr="00AF6E41">
        <w:rPr>
          <w:i/>
        </w:rPr>
        <w:t xml:space="preserve">, in conjunction with </w:t>
      </w:r>
      <w:proofErr w:type="spellStart"/>
      <w:r w:rsidR="00974613" w:rsidRPr="00AF6E41">
        <w:rPr>
          <w:i/>
        </w:rPr>
        <w:t>ventilatory</w:t>
      </w:r>
      <w:proofErr w:type="spellEnd"/>
      <w:r w:rsidR="00974613" w:rsidRPr="00AF6E41">
        <w:rPr>
          <w:i/>
        </w:rPr>
        <w:t xml:space="preserve"> support and other appropriate active</w:t>
      </w:r>
      <w:r w:rsidRPr="00AF6E41">
        <w:rPr>
          <w:i/>
        </w:rPr>
        <w:t xml:space="preserve"> </w:t>
      </w:r>
      <w:r w:rsidR="0097238C">
        <w:rPr>
          <w:i/>
        </w:rPr>
        <w:t>substances, is indicated:</w:t>
      </w:r>
    </w:p>
    <w:p w14:paraId="0BD96FBA" w14:textId="77777777" w:rsidR="00974613" w:rsidRPr="00293B03" w:rsidRDefault="00974613" w:rsidP="00ED4EF9">
      <w:pPr>
        <w:pStyle w:val="ListBullet"/>
        <w:ind w:left="1491" w:hanging="357"/>
        <w:rPr>
          <w:i/>
        </w:rPr>
      </w:pPr>
      <w:r w:rsidRPr="00293B03">
        <w:rPr>
          <w:i/>
        </w:rPr>
        <w:t>as part of the treatment of patients with peri- and post-operative pulmonary</w:t>
      </w:r>
      <w:r w:rsidR="00AF6E41" w:rsidRPr="00293B03">
        <w:rPr>
          <w:i/>
        </w:rPr>
        <w:t xml:space="preserve"> </w:t>
      </w:r>
      <w:r w:rsidRPr="00293B03">
        <w:rPr>
          <w:i/>
        </w:rPr>
        <w:t>hypertension in conjunction with heart surgery, to selectively decrease</w:t>
      </w:r>
      <w:r w:rsidR="00AF6E41" w:rsidRPr="00293B03">
        <w:rPr>
          <w:i/>
        </w:rPr>
        <w:t xml:space="preserve"> </w:t>
      </w:r>
      <w:r w:rsidRPr="00293B03">
        <w:rPr>
          <w:i/>
        </w:rPr>
        <w:t>pulmonary arterial pressure and improve right ventricular function and</w:t>
      </w:r>
      <w:r w:rsidR="00AF6E41" w:rsidRPr="00293B03">
        <w:rPr>
          <w:i/>
        </w:rPr>
        <w:t xml:space="preserve"> </w:t>
      </w:r>
      <w:r w:rsidRPr="00293B03">
        <w:rPr>
          <w:i/>
        </w:rPr>
        <w:t>oxygenation.</w:t>
      </w:r>
      <w:r w:rsidR="00AF6E41" w:rsidRPr="00293B03">
        <w:rPr>
          <w:i/>
        </w:rPr>
        <w:t>’</w:t>
      </w:r>
    </w:p>
    <w:p w14:paraId="2F9FDBB5" w14:textId="77777777" w:rsidR="00EC228C" w:rsidRDefault="00EC228C" w:rsidP="00DC7D20">
      <w:r w:rsidRPr="00DC7D20">
        <w:t>Nitric oxide is a signalling molecule that participates in many cellular activities. In blood vessels it regulates vascular tone and blood flow by activating soluble guanylate cyclase in vascular smooth muscle.</w:t>
      </w:r>
    </w:p>
    <w:p w14:paraId="22BC7DE1" w14:textId="77777777" w:rsidR="003B08F8" w:rsidRDefault="00BF4601" w:rsidP="00DC7D20">
      <w:r w:rsidRPr="00DC7D20">
        <w:t>Pulmonary hypertension arises from vasoconstriction or vascular remodelling in the pulmonary vasculature, in response to a variety of cardiopulmonary disease states including chronic hypoxia or left-to-right shunting. It may be present preoperatively in a number of cardiac surgical patients, and it may worsen peri</w:t>
      </w:r>
      <w:r w:rsidR="0097238C">
        <w:t>-</w:t>
      </w:r>
      <w:r w:rsidRPr="00DC7D20">
        <w:t xml:space="preserve">operatively in patients undergoing cardiac or lung surgery because of endothelial dysfunction, impairments in oxygenation, or release of </w:t>
      </w:r>
      <w:proofErr w:type="spellStart"/>
      <w:r w:rsidRPr="00DC7D20">
        <w:t>vasoconstrictive</w:t>
      </w:r>
      <w:proofErr w:type="spellEnd"/>
      <w:r w:rsidRPr="00DC7D20">
        <w:t xml:space="preserve"> mediators. The chief significance of pulmonary hypertension is that it increases afterload on the right ventricle, increasing the risk of right heart strain or right heart failure.</w:t>
      </w:r>
    </w:p>
    <w:p w14:paraId="3435F363" w14:textId="77777777" w:rsidR="00BF4601" w:rsidRPr="00DC7D20" w:rsidRDefault="00BF4601" w:rsidP="00DC7D20">
      <w:r w:rsidRPr="00DC7D20">
        <w:t xml:space="preserve">Cardiopulmonary bypass causes complex changes in the lung that have the end result of impairing endothelial function in the pulmonary vasculature and producing pulmonary vasoconstriction. Impaired endogenous production of </w:t>
      </w:r>
      <w:r w:rsidR="003B08F8">
        <w:t>nitric oxide</w:t>
      </w:r>
      <w:r w:rsidRPr="00DC7D20">
        <w:t xml:space="preserve"> appears to be a major contributor to this problem. Even without these </w:t>
      </w:r>
      <w:r w:rsidR="003B08F8">
        <w:t>cardiopulmonary bypass</w:t>
      </w:r>
      <w:r w:rsidRPr="00DC7D20">
        <w:t xml:space="preserve"> effects, many patients undergoing cardiac surgery have pre-existing pulmonary hypertension because of impaired cardiac function, shunting, or other causes. The combination of these problems puts cardiac surgical patients at high risk of post-operative pulmonary hypertension, with subsequent right heart strain or right heart failure. Patients are also at risk of pulmonary hypertensive </w:t>
      </w:r>
      <w:r w:rsidRPr="008A05B9">
        <w:t>crises, in which severe pulmonary hypertension compromises cardiac output and impairs oxygenation</w:t>
      </w:r>
      <w:r w:rsidRPr="00DC7D20">
        <w:t>, leading to circulatory collapse and a high mortality rate unless the pulmonary hypertension is reversed.</w:t>
      </w:r>
    </w:p>
    <w:p w14:paraId="14C6DDDB" w14:textId="77777777" w:rsidR="00BF4601" w:rsidRPr="00DC7D20" w:rsidRDefault="00BF4601" w:rsidP="00DC7D20">
      <w:r w:rsidRPr="00DC7D20">
        <w:t>A number of intraveno</w:t>
      </w:r>
      <w:r w:rsidR="00EC228C">
        <w:t xml:space="preserve">us vasodilators have been used </w:t>
      </w:r>
      <w:r w:rsidRPr="00DC7D20">
        <w:t xml:space="preserve">in the management of pulmonary hypertension in the setting of cardiac surgery. The main issue with these systemically administered agents is that they are not selective for the pulmonary vasculature, and so they lower peripheral vascular resistance, and tend to cause systemic hypotension. In patients with poor cardiac output, this may be poorly tolerated, leading to poor organ perfusion, reduced oxygenation and myocardial </w:t>
      </w:r>
      <w:proofErr w:type="spellStart"/>
      <w:r w:rsidRPr="00DC7D20">
        <w:t>ischaemia</w:t>
      </w:r>
      <w:proofErr w:type="spellEnd"/>
      <w:r w:rsidRPr="00DC7D20">
        <w:t>.</w:t>
      </w:r>
    </w:p>
    <w:p w14:paraId="2C39D993" w14:textId="77777777" w:rsidR="00EC228C" w:rsidRDefault="00BF4601" w:rsidP="00DC7D20">
      <w:r w:rsidRPr="00DC7D20">
        <w:t xml:space="preserve">Inhaled nitric </w:t>
      </w:r>
      <w:r w:rsidRPr="008A05B9">
        <w:t>oxide (</w:t>
      </w:r>
      <w:proofErr w:type="spellStart"/>
      <w:r w:rsidRPr="008A05B9">
        <w:t>iNO</w:t>
      </w:r>
      <w:proofErr w:type="spellEnd"/>
      <w:r w:rsidRPr="008A05B9">
        <w:t>), prostaglandins</w:t>
      </w:r>
      <w:r w:rsidRPr="00DC7D20">
        <w:t xml:space="preserve">, and </w:t>
      </w:r>
      <w:proofErr w:type="spellStart"/>
      <w:r w:rsidRPr="00DC7D20">
        <w:t>milrinone</w:t>
      </w:r>
      <w:proofErr w:type="spellEnd"/>
      <w:r w:rsidRPr="00DC7D20">
        <w:t xml:space="preserve"> have been explored as an alternative to intravenous vasodilators, and have generally shown pulmonary selectivity. For decades, </w:t>
      </w:r>
      <w:r w:rsidR="004425AD">
        <w:t>inhaled nitric oxide</w:t>
      </w:r>
      <w:r w:rsidRPr="00DC7D20">
        <w:t xml:space="preserve"> has been the predominant agent used in this setting, although it has mostl</w:t>
      </w:r>
      <w:r w:rsidR="00EC228C">
        <w:t>y been used off-label.</w:t>
      </w:r>
    </w:p>
    <w:p w14:paraId="425CAD06" w14:textId="77777777" w:rsidR="00BF4601" w:rsidRPr="00DC7D20" w:rsidRDefault="00BF4601" w:rsidP="00DC7D20">
      <w:r w:rsidRPr="00DC7D20">
        <w:t xml:space="preserve">More recently, </w:t>
      </w:r>
      <w:r w:rsidR="004425AD">
        <w:t>inhaled nitric oxide</w:t>
      </w:r>
      <w:r w:rsidRPr="00DC7D20">
        <w:t xml:space="preserve"> has been registered for use in children and adults. The other inhaled vasodilators are not registered for this indication. In children, the only approved inhaled vasodilator is </w:t>
      </w:r>
      <w:r w:rsidR="00DC7D20">
        <w:t>inhaled nitric oxide</w:t>
      </w:r>
      <w:r w:rsidRPr="00DC7D20">
        <w:t>.</w:t>
      </w:r>
    </w:p>
    <w:p w14:paraId="7866AA19" w14:textId="4CD01FA5" w:rsidR="00BF4601" w:rsidRPr="00DC7D20" w:rsidRDefault="00BF4601" w:rsidP="00DC7D20">
      <w:r w:rsidRPr="00DC7D20">
        <w:t xml:space="preserve">Another nitric oxide product, </w:t>
      </w:r>
      <w:proofErr w:type="spellStart"/>
      <w:r w:rsidRPr="00DC7D20">
        <w:t>Vaso</w:t>
      </w:r>
      <w:r w:rsidR="004425AD">
        <w:t>ki</w:t>
      </w:r>
      <w:r w:rsidR="00DC7D20" w:rsidRPr="00DC7D20">
        <w:t>no</w:t>
      </w:r>
      <w:r w:rsidR="00E5323B">
        <w:t>x</w:t>
      </w:r>
      <w:proofErr w:type="spellEnd"/>
      <w:r w:rsidRPr="00DC7D20">
        <w:t xml:space="preserve"> was approved in March 2016 and entered onto the </w:t>
      </w:r>
      <w:r w:rsidR="00827612">
        <w:t>Australian Register of Therapeutic Goods (</w:t>
      </w:r>
      <w:r w:rsidRPr="00DC7D20">
        <w:t>ARTG</w:t>
      </w:r>
      <w:r w:rsidR="00827612">
        <w:t>)</w:t>
      </w:r>
      <w:r w:rsidRPr="00DC7D20">
        <w:t xml:space="preserve"> in January 2017 for the following indication:</w:t>
      </w:r>
    </w:p>
    <w:p w14:paraId="15988901" w14:textId="77777777" w:rsidR="003B08F8" w:rsidRDefault="00BF4601" w:rsidP="00E5323B">
      <w:pPr>
        <w:ind w:left="720"/>
        <w:rPr>
          <w:i/>
        </w:rPr>
      </w:pPr>
      <w:proofErr w:type="spellStart"/>
      <w:r w:rsidRPr="00E5323B">
        <w:rPr>
          <w:i/>
        </w:rPr>
        <w:lastRenderedPageBreak/>
        <w:t>Vaso</w:t>
      </w:r>
      <w:r w:rsidR="004425AD">
        <w:rPr>
          <w:i/>
        </w:rPr>
        <w:t>ki</w:t>
      </w:r>
      <w:r w:rsidR="00DC7D20" w:rsidRPr="00E5323B">
        <w:rPr>
          <w:i/>
        </w:rPr>
        <w:t>no</w:t>
      </w:r>
      <w:r w:rsidR="004425AD">
        <w:rPr>
          <w:i/>
        </w:rPr>
        <w:t>x</w:t>
      </w:r>
      <w:proofErr w:type="spellEnd"/>
      <w:r w:rsidRPr="00E5323B">
        <w:rPr>
          <w:i/>
        </w:rPr>
        <w:t xml:space="preserve"> is indicated in conjunction with ventilator support and other appropriate active substances to selectively decrease pulmonary arterial pressure in patients with perioperative pulmonary hypertension in conjunction with heart surgery</w:t>
      </w:r>
      <w:r w:rsidR="00E5323B">
        <w:rPr>
          <w:i/>
        </w:rPr>
        <w:t>.</w:t>
      </w:r>
    </w:p>
    <w:p w14:paraId="17CCB206" w14:textId="77777777" w:rsidR="008E7846" w:rsidRPr="003F31A2" w:rsidRDefault="00386150" w:rsidP="008E7846">
      <w:pPr>
        <w:pStyle w:val="Heading3"/>
      </w:pPr>
      <w:bookmarkStart w:id="16" w:name="_Toc314842485"/>
      <w:bookmarkStart w:id="17" w:name="_Toc247691504"/>
      <w:bookmarkStart w:id="18" w:name="_Toc28009938"/>
      <w:r>
        <w:t>Regulatory s</w:t>
      </w:r>
      <w:r w:rsidR="008E7846">
        <w:t>tatus</w:t>
      </w:r>
      <w:bookmarkEnd w:id="16"/>
      <w:bookmarkEnd w:id="17"/>
      <w:bookmarkEnd w:id="18"/>
    </w:p>
    <w:p w14:paraId="22D64EAC" w14:textId="1E3C37C8" w:rsidR="00EC228C" w:rsidRDefault="00940A89" w:rsidP="00940A89">
      <w:bookmarkStart w:id="19" w:name="_Toc247691505"/>
      <w:bookmarkStart w:id="20" w:name="_Toc314842486"/>
      <w:r w:rsidRPr="00940A89">
        <w:t>The product received initial registration on the</w:t>
      </w:r>
      <w:r w:rsidR="00827612">
        <w:t xml:space="preserve"> </w:t>
      </w:r>
      <w:r w:rsidRPr="00940A89">
        <w:t>ARTG on</w:t>
      </w:r>
      <w:r w:rsidR="00AF6E41">
        <w:t xml:space="preserve"> 22 November 2007</w:t>
      </w:r>
      <w:r w:rsidR="00EC228C">
        <w:t xml:space="preserve"> </w:t>
      </w:r>
      <w:r w:rsidR="00EC228C" w:rsidRPr="00DC7D20">
        <w:t xml:space="preserve">for the persistent pulmonary hypertension of the </w:t>
      </w:r>
      <w:r w:rsidR="00EC228C" w:rsidRPr="008A05B9">
        <w:t>newborn (PPHN) indication</w:t>
      </w:r>
      <w:r w:rsidR="00EC228C" w:rsidRPr="00DC7D20">
        <w:t xml:space="preserve">. The indications were extended in July 2015 to include the treatment of peri- and post-operative pulmonary hypertension in conjunction with heart surgery in newborn infants, infants and toddlers, children and </w:t>
      </w:r>
      <w:r w:rsidR="00EC228C">
        <w:t>adolescents, aged 0 to</w:t>
      </w:r>
      <w:r w:rsidR="00EC228C" w:rsidRPr="00DC7D20">
        <w:t xml:space="preserve"> 17 years.</w:t>
      </w:r>
    </w:p>
    <w:p w14:paraId="1294E2B2" w14:textId="77777777" w:rsidR="00EC228C" w:rsidRDefault="00EC228C" w:rsidP="00EC228C">
      <w:pPr>
        <w:pStyle w:val="Heading4"/>
      </w:pPr>
      <w:r>
        <w:t>International regulatory status</w:t>
      </w:r>
    </w:p>
    <w:p w14:paraId="74C981B4" w14:textId="3FD6029F" w:rsidR="00940A89" w:rsidRDefault="00940A89" w:rsidP="00940A89">
      <w:r w:rsidRPr="00EB7C62">
        <w:t>At the time the TGA considered this application, a similar application had been approved</w:t>
      </w:r>
      <w:r w:rsidR="008D4710">
        <w:t xml:space="preserve"> in the </w:t>
      </w:r>
      <w:r w:rsidR="00293B03">
        <w:t>European</w:t>
      </w:r>
      <w:r w:rsidR="00827612">
        <w:t xml:space="preserve"> Union (</w:t>
      </w:r>
      <w:r w:rsidR="008D4710">
        <w:t>EU</w:t>
      </w:r>
      <w:r w:rsidR="00827612">
        <w:t>)</w:t>
      </w:r>
      <w:r w:rsidR="008D4710">
        <w:t xml:space="preserve"> as described below</w:t>
      </w:r>
      <w:r w:rsidRPr="000C6497">
        <w:t>.</w:t>
      </w:r>
    </w:p>
    <w:p w14:paraId="7181DBAF" w14:textId="6C72DC31" w:rsidR="00EC228C" w:rsidRPr="00DC7D20" w:rsidRDefault="00EC228C" w:rsidP="00EC228C">
      <w:r w:rsidRPr="00DC7D20">
        <w:t>Nitric oxide was registered in the EU in 2001, and currently has the following indications:</w:t>
      </w:r>
    </w:p>
    <w:p w14:paraId="1DD5CE2C" w14:textId="77777777" w:rsidR="00EC228C" w:rsidRPr="00EC228C" w:rsidRDefault="00EC228C" w:rsidP="00EC228C">
      <w:pPr>
        <w:ind w:left="720"/>
        <w:rPr>
          <w:i/>
        </w:rPr>
      </w:pPr>
      <w:proofErr w:type="spellStart"/>
      <w:r w:rsidRPr="00EC228C">
        <w:rPr>
          <w:i/>
        </w:rPr>
        <w:t>INOmax</w:t>
      </w:r>
      <w:proofErr w:type="spellEnd"/>
      <w:r w:rsidRPr="00EC228C">
        <w:rPr>
          <w:i/>
        </w:rPr>
        <w:t xml:space="preserve">, in conjunction with </w:t>
      </w:r>
      <w:proofErr w:type="spellStart"/>
      <w:r w:rsidRPr="00EC228C">
        <w:rPr>
          <w:i/>
        </w:rPr>
        <w:t>ventilatory</w:t>
      </w:r>
      <w:proofErr w:type="spellEnd"/>
      <w:r w:rsidRPr="00EC228C">
        <w:rPr>
          <w:i/>
        </w:rPr>
        <w:t xml:space="preserve"> support and other appropriate active substances, is indicated:</w:t>
      </w:r>
    </w:p>
    <w:p w14:paraId="2E5342BB" w14:textId="77777777" w:rsidR="00EC228C" w:rsidRPr="00356864" w:rsidRDefault="00EC228C" w:rsidP="00356864">
      <w:pPr>
        <w:pStyle w:val="ListBullet"/>
        <w:ind w:left="1491" w:hanging="357"/>
        <w:rPr>
          <w:i/>
        </w:rPr>
      </w:pPr>
      <w:r w:rsidRPr="00356864">
        <w:rPr>
          <w:i/>
        </w:rPr>
        <w:t>for the treatment of newborn infants ≥ 34 weeks gestation with hypoxic respiratory failure associated with clinical or echocardiographic evidence of pulmonary hypertension, in order to improve oxygenation and to reduce the need for extracorporeal membrane oxygenation;</w:t>
      </w:r>
    </w:p>
    <w:p w14:paraId="4B33C41E" w14:textId="77777777" w:rsidR="00EC228C" w:rsidRPr="00356864" w:rsidRDefault="00EC228C" w:rsidP="00356864">
      <w:pPr>
        <w:pStyle w:val="ListBullet"/>
        <w:ind w:left="1491" w:hanging="357"/>
        <w:rPr>
          <w:i/>
        </w:rPr>
      </w:pPr>
      <w:r w:rsidRPr="00356864">
        <w:rPr>
          <w:i/>
        </w:rPr>
        <w:t>as part of the treatment of peri- and post-operative pulmonary hypertension in adults and newborn infants, infants and toddlers, children and adolescents, ages 0 to</w:t>
      </w:r>
      <w:r w:rsidR="003E6F92" w:rsidRPr="00356864">
        <w:rPr>
          <w:i/>
        </w:rPr>
        <w:t xml:space="preserve"> </w:t>
      </w:r>
      <w:r w:rsidRPr="00356864">
        <w:rPr>
          <w:i/>
        </w:rPr>
        <w:t>17 years in conjunction to heart surgery, in order to selectively decrease pulmonary arterial pressure and improve right ventricular function and oxygenation</w:t>
      </w:r>
    </w:p>
    <w:p w14:paraId="1BF797FB" w14:textId="77777777" w:rsidR="008E7846" w:rsidRDefault="008E7846" w:rsidP="00940A89">
      <w:pPr>
        <w:pStyle w:val="Heading3"/>
      </w:pPr>
      <w:bookmarkStart w:id="21" w:name="_Toc28009939"/>
      <w:r>
        <w:t>Product Information</w:t>
      </w:r>
      <w:bookmarkEnd w:id="19"/>
      <w:bookmarkEnd w:id="20"/>
      <w:bookmarkEnd w:id="21"/>
    </w:p>
    <w:p w14:paraId="048E2CF0"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5D5EA1DE" w14:textId="77777777" w:rsidR="00500337" w:rsidRDefault="00500337" w:rsidP="00500337">
      <w:pPr>
        <w:pStyle w:val="Heading2"/>
      </w:pPr>
      <w:bookmarkStart w:id="24" w:name="_Toc504480011"/>
      <w:bookmarkStart w:id="25" w:name="_Toc28009940"/>
      <w:r>
        <w:t>II. Registration time line</w:t>
      </w:r>
      <w:bookmarkEnd w:id="24"/>
      <w:bookmarkEnd w:id="25"/>
    </w:p>
    <w:p w14:paraId="1274A1B6" w14:textId="77777777" w:rsidR="00500337" w:rsidRDefault="00500337" w:rsidP="00500337">
      <w:r>
        <w:t>The following table captures the key steps and dates for this application and which are detail</w:t>
      </w:r>
      <w:r w:rsidR="00E5323B">
        <w:t>ed and discussed in this AusPAR</w:t>
      </w:r>
      <w:r>
        <w:t>.</w:t>
      </w:r>
    </w:p>
    <w:p w14:paraId="1F6C715A" w14:textId="77777777" w:rsidR="006A58A8" w:rsidRPr="006A58A8" w:rsidRDefault="006A58A8" w:rsidP="006A58A8">
      <w:pPr>
        <w:pStyle w:val="TableTitle"/>
      </w:pPr>
      <w:r w:rsidRPr="006A58A8">
        <w:t xml:space="preserve">Table </w:t>
      </w:r>
      <w:r w:rsidR="003E6F92">
        <w:t>1</w:t>
      </w:r>
      <w:r w:rsidR="008A05B9">
        <w:t>:</w:t>
      </w:r>
      <w:r w:rsidRPr="006A58A8">
        <w:t xml:space="preserve"> Timeline for Submission PM-</w:t>
      </w:r>
      <w:r w:rsidR="003E31FD">
        <w:t>2018-00306-1-3</w:t>
      </w:r>
    </w:p>
    <w:tbl>
      <w:tblPr>
        <w:tblStyle w:val="TableTGAblue"/>
        <w:tblW w:w="0" w:type="auto"/>
        <w:tblLook w:val="04A0" w:firstRow="1" w:lastRow="0" w:firstColumn="1" w:lastColumn="0" w:noHBand="0" w:noVBand="1"/>
      </w:tblPr>
      <w:tblGrid>
        <w:gridCol w:w="4360"/>
        <w:gridCol w:w="4360"/>
      </w:tblGrid>
      <w:tr w:rsidR="00500337" w14:paraId="285C5E61"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1E453FF2" w14:textId="77777777" w:rsidR="00500337" w:rsidRDefault="00500337" w:rsidP="00500337">
            <w:pPr>
              <w:ind w:left="0" w:right="0"/>
            </w:pPr>
            <w:r>
              <w:t>Description</w:t>
            </w:r>
          </w:p>
        </w:tc>
        <w:tc>
          <w:tcPr>
            <w:tcW w:w="4360" w:type="dxa"/>
          </w:tcPr>
          <w:p w14:paraId="61B2EDDF" w14:textId="77777777" w:rsidR="00500337" w:rsidRDefault="00500337" w:rsidP="00500337">
            <w:pPr>
              <w:ind w:left="0" w:right="0"/>
            </w:pPr>
            <w:r>
              <w:t>Date</w:t>
            </w:r>
          </w:p>
        </w:tc>
      </w:tr>
      <w:tr w:rsidR="00500337" w14:paraId="73119246" w14:textId="77777777" w:rsidTr="00500337">
        <w:tc>
          <w:tcPr>
            <w:tcW w:w="4360" w:type="dxa"/>
          </w:tcPr>
          <w:p w14:paraId="7A9D64F5" w14:textId="77777777" w:rsidR="00500337" w:rsidRDefault="00500337" w:rsidP="00500337">
            <w:pPr>
              <w:ind w:left="0" w:right="0"/>
            </w:pPr>
            <w:r>
              <w:t>Submission dossier accepted and first round evaluation commenced</w:t>
            </w:r>
          </w:p>
        </w:tc>
        <w:tc>
          <w:tcPr>
            <w:tcW w:w="4360" w:type="dxa"/>
          </w:tcPr>
          <w:p w14:paraId="03371447" w14:textId="77777777" w:rsidR="00500337" w:rsidRDefault="00E3510A" w:rsidP="00500337">
            <w:pPr>
              <w:ind w:left="0" w:right="0"/>
            </w:pPr>
            <w:r>
              <w:t>30 April 2018</w:t>
            </w:r>
          </w:p>
        </w:tc>
      </w:tr>
      <w:tr w:rsidR="00500337" w14:paraId="0461EBCA" w14:textId="77777777" w:rsidTr="00500337">
        <w:tc>
          <w:tcPr>
            <w:tcW w:w="4360" w:type="dxa"/>
          </w:tcPr>
          <w:p w14:paraId="04258744" w14:textId="77777777" w:rsidR="00500337" w:rsidRDefault="00500337" w:rsidP="00500337">
            <w:pPr>
              <w:ind w:left="0" w:right="0"/>
            </w:pPr>
            <w:r>
              <w:t>First round evaluation completed</w:t>
            </w:r>
          </w:p>
        </w:tc>
        <w:tc>
          <w:tcPr>
            <w:tcW w:w="4360" w:type="dxa"/>
          </w:tcPr>
          <w:p w14:paraId="2EC2DB40" w14:textId="77777777" w:rsidR="00500337" w:rsidRDefault="00E3510A" w:rsidP="00500337">
            <w:pPr>
              <w:ind w:left="0" w:right="0"/>
            </w:pPr>
            <w:r>
              <w:t>2 October</w:t>
            </w:r>
            <w:r w:rsidR="00E5323B">
              <w:t xml:space="preserve"> 2018</w:t>
            </w:r>
          </w:p>
        </w:tc>
      </w:tr>
      <w:tr w:rsidR="00500337" w14:paraId="25554D1A" w14:textId="77777777" w:rsidTr="00500337">
        <w:tc>
          <w:tcPr>
            <w:tcW w:w="4360" w:type="dxa"/>
          </w:tcPr>
          <w:p w14:paraId="3B9F4713" w14:textId="77777777" w:rsidR="00500337" w:rsidRDefault="00500337" w:rsidP="00500337">
            <w:pPr>
              <w:ind w:left="0" w:right="0"/>
            </w:pPr>
            <w:r>
              <w:t>Sponsor provides responses on questions raised in first round evaluation</w:t>
            </w:r>
          </w:p>
        </w:tc>
        <w:tc>
          <w:tcPr>
            <w:tcW w:w="4360" w:type="dxa"/>
          </w:tcPr>
          <w:p w14:paraId="68768190" w14:textId="77777777" w:rsidR="00500337" w:rsidRDefault="00E3510A" w:rsidP="00500337">
            <w:pPr>
              <w:ind w:left="0" w:right="0"/>
            </w:pPr>
            <w:r>
              <w:t>29 October 2018</w:t>
            </w:r>
          </w:p>
        </w:tc>
      </w:tr>
      <w:tr w:rsidR="00500337" w14:paraId="4E7350A2" w14:textId="77777777" w:rsidTr="00500337">
        <w:tc>
          <w:tcPr>
            <w:tcW w:w="4360" w:type="dxa"/>
          </w:tcPr>
          <w:p w14:paraId="547BA57A" w14:textId="77777777" w:rsidR="00500337" w:rsidRDefault="00500337" w:rsidP="00500337">
            <w:pPr>
              <w:ind w:left="0" w:right="0"/>
            </w:pPr>
            <w:r>
              <w:lastRenderedPageBreak/>
              <w:t>Second round evaluation completed</w:t>
            </w:r>
          </w:p>
        </w:tc>
        <w:tc>
          <w:tcPr>
            <w:tcW w:w="4360" w:type="dxa"/>
          </w:tcPr>
          <w:p w14:paraId="26881AA7" w14:textId="77777777" w:rsidR="00500337" w:rsidRDefault="00E3510A" w:rsidP="00500337">
            <w:pPr>
              <w:ind w:left="0" w:right="0"/>
            </w:pPr>
            <w:r>
              <w:t>18 December</w:t>
            </w:r>
            <w:r w:rsidR="00E5323B">
              <w:t xml:space="preserve"> 2018</w:t>
            </w:r>
          </w:p>
        </w:tc>
      </w:tr>
      <w:tr w:rsidR="00500337" w14:paraId="3D959312" w14:textId="77777777" w:rsidTr="00500337">
        <w:tc>
          <w:tcPr>
            <w:tcW w:w="4360" w:type="dxa"/>
          </w:tcPr>
          <w:p w14:paraId="38E93A22" w14:textId="77777777" w:rsidR="00500337" w:rsidRDefault="00500337" w:rsidP="00500337">
            <w:pPr>
              <w:ind w:left="0" w:right="0"/>
            </w:pPr>
            <w:r>
              <w:t>Delegate’s Overall benefit-risk assessment and request for Advisory Committee advice</w:t>
            </w:r>
          </w:p>
        </w:tc>
        <w:tc>
          <w:tcPr>
            <w:tcW w:w="4360" w:type="dxa"/>
          </w:tcPr>
          <w:p w14:paraId="6667F7AD" w14:textId="77777777" w:rsidR="00500337" w:rsidRDefault="00BF4601" w:rsidP="00500337">
            <w:pPr>
              <w:ind w:left="0" w:right="0"/>
            </w:pPr>
            <w:r>
              <w:t>2 January 2019</w:t>
            </w:r>
          </w:p>
        </w:tc>
      </w:tr>
      <w:tr w:rsidR="00500337" w14:paraId="78A2F314" w14:textId="77777777" w:rsidTr="00500337">
        <w:tc>
          <w:tcPr>
            <w:tcW w:w="4360" w:type="dxa"/>
          </w:tcPr>
          <w:p w14:paraId="2E37F09B" w14:textId="77777777" w:rsidR="00500337" w:rsidRDefault="00500337" w:rsidP="00500337">
            <w:pPr>
              <w:ind w:left="0" w:right="0"/>
            </w:pPr>
            <w:r>
              <w:t>Sponsor’s pre-Advisory Committee response</w:t>
            </w:r>
          </w:p>
        </w:tc>
        <w:tc>
          <w:tcPr>
            <w:tcW w:w="4360" w:type="dxa"/>
          </w:tcPr>
          <w:p w14:paraId="331646B2" w14:textId="77777777" w:rsidR="00500337" w:rsidRDefault="00E3510A" w:rsidP="00500337">
            <w:pPr>
              <w:ind w:left="0" w:right="0"/>
            </w:pPr>
            <w:r>
              <w:t>11 January 2019</w:t>
            </w:r>
          </w:p>
        </w:tc>
      </w:tr>
      <w:tr w:rsidR="00500337" w14:paraId="540CB623" w14:textId="77777777" w:rsidTr="00500337">
        <w:tc>
          <w:tcPr>
            <w:tcW w:w="4360" w:type="dxa"/>
          </w:tcPr>
          <w:p w14:paraId="1E542CFF" w14:textId="77777777" w:rsidR="00500337" w:rsidRDefault="00500337" w:rsidP="00500337">
            <w:pPr>
              <w:ind w:left="0" w:right="0"/>
            </w:pPr>
            <w:r>
              <w:t>Advisory Committee meeting</w:t>
            </w:r>
          </w:p>
        </w:tc>
        <w:tc>
          <w:tcPr>
            <w:tcW w:w="4360" w:type="dxa"/>
          </w:tcPr>
          <w:p w14:paraId="1E4EE750" w14:textId="77777777" w:rsidR="00500337" w:rsidRDefault="00E5323B" w:rsidP="00500337">
            <w:pPr>
              <w:ind w:left="0" w:right="0"/>
            </w:pPr>
            <w:r w:rsidRPr="00E3510A">
              <w:t>1 February 2019</w:t>
            </w:r>
          </w:p>
        </w:tc>
      </w:tr>
      <w:tr w:rsidR="00500337" w14:paraId="11814D48" w14:textId="77777777" w:rsidTr="00500337">
        <w:tc>
          <w:tcPr>
            <w:tcW w:w="4360" w:type="dxa"/>
          </w:tcPr>
          <w:p w14:paraId="06B440E6" w14:textId="77777777" w:rsidR="00500337" w:rsidRDefault="00500337" w:rsidP="00500337">
            <w:pPr>
              <w:ind w:left="0" w:right="0"/>
            </w:pPr>
            <w:r>
              <w:t>Registration decision (Outcome)</w:t>
            </w:r>
          </w:p>
        </w:tc>
        <w:tc>
          <w:tcPr>
            <w:tcW w:w="4360" w:type="dxa"/>
          </w:tcPr>
          <w:p w14:paraId="4C2A6569" w14:textId="77777777" w:rsidR="00500337" w:rsidRDefault="00C40BA7" w:rsidP="00500337">
            <w:pPr>
              <w:ind w:left="0" w:right="0"/>
            </w:pPr>
            <w:r w:rsidRPr="00C40BA7">
              <w:t>26 March</w:t>
            </w:r>
            <w:r w:rsidR="00E5323B" w:rsidRPr="00C40BA7">
              <w:t xml:space="preserve"> 2019</w:t>
            </w:r>
          </w:p>
        </w:tc>
      </w:tr>
      <w:tr w:rsidR="00500337" w14:paraId="13E6CF8F" w14:textId="77777777" w:rsidTr="00500337">
        <w:tc>
          <w:tcPr>
            <w:tcW w:w="4360" w:type="dxa"/>
          </w:tcPr>
          <w:p w14:paraId="287E785B" w14:textId="77777777" w:rsidR="00500337" w:rsidRDefault="00500337" w:rsidP="00500337">
            <w:pPr>
              <w:ind w:left="0" w:right="0"/>
            </w:pPr>
            <w:r>
              <w:t>Completion of administrative activities and registration on ARTG</w:t>
            </w:r>
          </w:p>
        </w:tc>
        <w:tc>
          <w:tcPr>
            <w:tcW w:w="4360" w:type="dxa"/>
          </w:tcPr>
          <w:p w14:paraId="16DC138D" w14:textId="77777777" w:rsidR="00500337" w:rsidRDefault="00C40BA7" w:rsidP="00500337">
            <w:pPr>
              <w:ind w:left="0" w:right="0"/>
            </w:pPr>
            <w:r w:rsidRPr="00C40BA7">
              <w:t>29 March</w:t>
            </w:r>
            <w:r w:rsidR="00E5323B" w:rsidRPr="00C40BA7">
              <w:t xml:space="preserve"> 2019</w:t>
            </w:r>
          </w:p>
        </w:tc>
      </w:tr>
      <w:tr w:rsidR="00500337" w14:paraId="7EDAC3D3" w14:textId="77777777" w:rsidTr="00500337">
        <w:tc>
          <w:tcPr>
            <w:tcW w:w="4360" w:type="dxa"/>
          </w:tcPr>
          <w:p w14:paraId="18B5516E" w14:textId="77777777" w:rsidR="00500337" w:rsidRDefault="00500337" w:rsidP="00500337">
            <w:pPr>
              <w:ind w:left="0" w:right="0"/>
            </w:pPr>
            <w:r>
              <w:t>Number of working days from submission dossier acceptance to registration decision*</w:t>
            </w:r>
          </w:p>
        </w:tc>
        <w:tc>
          <w:tcPr>
            <w:tcW w:w="4360" w:type="dxa"/>
          </w:tcPr>
          <w:p w14:paraId="7F01B070" w14:textId="77777777" w:rsidR="00500337" w:rsidRDefault="00E3510A" w:rsidP="00500337">
            <w:pPr>
              <w:ind w:left="0" w:right="0"/>
            </w:pPr>
            <w:r>
              <w:t>208</w:t>
            </w:r>
          </w:p>
        </w:tc>
      </w:tr>
    </w:tbl>
    <w:p w14:paraId="299781B2" w14:textId="77777777" w:rsidR="00500337" w:rsidRDefault="00500337" w:rsidP="003E6F92">
      <w:pPr>
        <w:pStyle w:val="TableDescription"/>
      </w:pPr>
      <w:r>
        <w:t>*</w:t>
      </w:r>
      <w:r w:rsidR="00BF3774" w:rsidRPr="00BF3774">
        <w:t xml:space="preserve">Statutory </w:t>
      </w:r>
      <w:r>
        <w:t>timeframe for standard applications is 2</w:t>
      </w:r>
      <w:r w:rsidR="00BF3774">
        <w:t>55</w:t>
      </w:r>
      <w:r w:rsidR="003E6F92">
        <w:t xml:space="preserve"> working days</w:t>
      </w:r>
    </w:p>
    <w:p w14:paraId="34574FDF" w14:textId="77777777" w:rsidR="008E7846" w:rsidRPr="003602A9" w:rsidRDefault="00500337" w:rsidP="008E7846">
      <w:pPr>
        <w:pStyle w:val="Heading2"/>
        <w:ind w:left="-11"/>
      </w:pPr>
      <w:bookmarkStart w:id="26" w:name="_Toc28009941"/>
      <w:r>
        <w:t>I</w:t>
      </w:r>
      <w:r w:rsidR="008E7846">
        <w:t>II. Quality</w:t>
      </w:r>
      <w:bookmarkEnd w:id="1"/>
      <w:r w:rsidR="008E7846">
        <w:t xml:space="preserve"> findings</w:t>
      </w:r>
      <w:bookmarkEnd w:id="22"/>
      <w:bookmarkEnd w:id="23"/>
      <w:bookmarkEnd w:id="26"/>
    </w:p>
    <w:p w14:paraId="149FFF6C" w14:textId="77777777" w:rsidR="008E7846" w:rsidRDefault="00940A89" w:rsidP="008E7846">
      <w:bookmarkStart w:id="27" w:name="_Toc247691507"/>
      <w:bookmarkStart w:id="28" w:name="_Toc314842488"/>
      <w:r w:rsidRPr="00940A89">
        <w:t>There was no requirement for a quality evaluation in a submission of this type.</w:t>
      </w:r>
      <w:bookmarkEnd w:id="27"/>
      <w:bookmarkEnd w:id="28"/>
    </w:p>
    <w:p w14:paraId="59168ACE" w14:textId="77777777" w:rsidR="008E7846" w:rsidRDefault="008E7846" w:rsidP="008E7846">
      <w:pPr>
        <w:pStyle w:val="Heading2"/>
      </w:pPr>
      <w:bookmarkStart w:id="29" w:name="_Toc196046439"/>
      <w:bookmarkStart w:id="30" w:name="_Toc247691510"/>
      <w:bookmarkStart w:id="31" w:name="_Toc314842494"/>
      <w:bookmarkStart w:id="32" w:name="_Toc28009942"/>
      <w:r>
        <w:t>I</w:t>
      </w:r>
      <w:r w:rsidR="00500337">
        <w:t>V</w:t>
      </w:r>
      <w:r>
        <w:t>. Nonclinical</w:t>
      </w:r>
      <w:bookmarkEnd w:id="29"/>
      <w:r>
        <w:t xml:space="preserve"> findings</w:t>
      </w:r>
      <w:bookmarkEnd w:id="30"/>
      <w:bookmarkEnd w:id="31"/>
      <w:bookmarkEnd w:id="32"/>
    </w:p>
    <w:p w14:paraId="50D7DFFF" w14:textId="77777777" w:rsidR="008E7846" w:rsidRPr="00EC463D" w:rsidRDefault="00940A89" w:rsidP="003E31FD">
      <w:bookmarkStart w:id="33" w:name="_Toc247691511"/>
      <w:bookmarkStart w:id="34" w:name="_Toc314842495"/>
      <w:r>
        <w:t>There was no requirement for a nonclinical evaluation in a submission of this type.</w:t>
      </w:r>
      <w:bookmarkEnd w:id="33"/>
      <w:bookmarkEnd w:id="34"/>
    </w:p>
    <w:p w14:paraId="04B90757" w14:textId="77777777"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28009943"/>
      <w:r>
        <w:t xml:space="preserve">V. </w:t>
      </w:r>
      <w:r w:rsidRPr="00254787">
        <w:t>Clinical</w:t>
      </w:r>
      <w:bookmarkEnd w:id="35"/>
      <w:r>
        <w:t xml:space="preserve"> </w:t>
      </w:r>
      <w:r w:rsidR="003A7F6C">
        <w:t>f</w:t>
      </w:r>
      <w:r>
        <w:t>indings</w:t>
      </w:r>
      <w:bookmarkEnd w:id="36"/>
      <w:bookmarkEnd w:id="37"/>
      <w:bookmarkEnd w:id="40"/>
    </w:p>
    <w:p w14:paraId="495B55F1" w14:textId="77777777" w:rsidR="00C80137" w:rsidRDefault="00C80137" w:rsidP="00D425BB">
      <w:bookmarkStart w:id="41" w:name="_Toc196046463"/>
      <w:r>
        <w:t xml:space="preserve">A summary of the </w:t>
      </w:r>
      <w:r w:rsidRPr="00FD70B8">
        <w:t>clinical findings is presented in this section.</w:t>
      </w:r>
    </w:p>
    <w:p w14:paraId="4FFCE760" w14:textId="77777777" w:rsidR="008E7846" w:rsidRDefault="008E7846" w:rsidP="008E7846">
      <w:pPr>
        <w:pStyle w:val="Heading3"/>
      </w:pPr>
      <w:bookmarkStart w:id="42" w:name="_Toc247691517"/>
      <w:bookmarkStart w:id="43" w:name="_Toc314842501"/>
      <w:bookmarkStart w:id="44" w:name="_Toc28009944"/>
      <w:r w:rsidRPr="00254787">
        <w:t>Introduction</w:t>
      </w:r>
      <w:bookmarkEnd w:id="41"/>
      <w:bookmarkEnd w:id="42"/>
      <w:bookmarkEnd w:id="43"/>
      <w:bookmarkEnd w:id="44"/>
    </w:p>
    <w:p w14:paraId="34452C23" w14:textId="77777777" w:rsidR="00605AD4" w:rsidRDefault="00605AD4" w:rsidP="00605AD4">
      <w:pPr>
        <w:pStyle w:val="Heading4"/>
      </w:pPr>
      <w:bookmarkStart w:id="45" w:name="_Toc196046464"/>
      <w:bookmarkStart w:id="46" w:name="_Toc247691518"/>
      <w:bookmarkStart w:id="47" w:name="_Toc314842502"/>
      <w:r w:rsidRPr="00605AD4">
        <w:t xml:space="preserve">Clinical </w:t>
      </w:r>
      <w:r w:rsidR="00EF59DC">
        <w:t>r</w:t>
      </w:r>
      <w:r w:rsidRPr="00605AD4">
        <w:t>ationale</w:t>
      </w:r>
    </w:p>
    <w:p w14:paraId="5CBB0185" w14:textId="77777777" w:rsidR="006771F2" w:rsidRDefault="006771F2" w:rsidP="006771F2">
      <w:r>
        <w:t xml:space="preserve">Inhaled </w:t>
      </w:r>
      <w:r w:rsidR="009F4F47">
        <w:t>nitric oxide</w:t>
      </w:r>
      <w:r>
        <w:t xml:space="preserve"> is already widely recommended for the treatment of perioperative pulmonary hypertension in adult cardiac surgical patients, and no other suitable agent is registered for this indication. For more than two decades, this drug has been widely used to </w:t>
      </w:r>
      <w:proofErr w:type="spellStart"/>
      <w:r>
        <w:t>vasodilate</w:t>
      </w:r>
      <w:proofErr w:type="spellEnd"/>
      <w:r>
        <w:t xml:space="preserve"> the pulmonary vasculature with the aim of preventing or reducing right heart strain. Several published studies, which are considered in this </w:t>
      </w:r>
      <w:r w:rsidR="009F4F47">
        <w:t>submission</w:t>
      </w:r>
      <w:r>
        <w:t xml:space="preserve">, have confirmed that </w:t>
      </w:r>
      <w:r w:rsidR="00DC7D20">
        <w:t>inhaled nitric oxide</w:t>
      </w:r>
      <w:r>
        <w:t xml:space="preserve"> reduces pulmonary vascular resistance in a relatively selective manner, and to some extent this is reflected in favourable clinical outcomes. It has already been approved for this use in paediatric patients, and the clinical rationale in adults is essentially the same as the paediatric perioperative setting (the drug also has a specific indication for perinatal pulmonary hypertension).</w:t>
      </w:r>
    </w:p>
    <w:p w14:paraId="0D363E1C" w14:textId="17F8A843" w:rsidR="00500337" w:rsidRDefault="006771F2" w:rsidP="006771F2">
      <w:r>
        <w:t xml:space="preserve">The </w:t>
      </w:r>
      <w:r w:rsidR="009402F9">
        <w:t>sponsor</w:t>
      </w:r>
      <w:r>
        <w:t xml:space="preserve"> now proposes formal registration of </w:t>
      </w:r>
      <w:r w:rsidR="00DC7D20">
        <w:t>inhaled nitric oxide</w:t>
      </w:r>
      <w:r>
        <w:t xml:space="preserve"> for the adult indication. It would primarily be administered in the operating theatre and in intensive </w:t>
      </w:r>
      <w:r>
        <w:lastRenderedPageBreak/>
        <w:t xml:space="preserve">care units (ICU), by anaesthetists and intensive care specialists already familiar with its use, and it would meet a need that is currently being met, to a large extent, by off-label </w:t>
      </w:r>
      <w:r w:rsidR="00DC7D20">
        <w:t>inhaled nitric oxide</w:t>
      </w:r>
      <w:r>
        <w:t>.</w:t>
      </w:r>
    </w:p>
    <w:p w14:paraId="74F97622" w14:textId="77777777" w:rsidR="006771F2" w:rsidRPr="00500337" w:rsidRDefault="006771F2" w:rsidP="006771F2">
      <w:r w:rsidRPr="006771F2">
        <w:t xml:space="preserve">The proposed formulation of </w:t>
      </w:r>
      <w:r w:rsidR="00DC7D20">
        <w:t>inhaled nitric oxide</w:t>
      </w:r>
      <w:r w:rsidRPr="006771F2">
        <w:t xml:space="preserve"> in adults is identical to that used in children, with a gaseous blend of </w:t>
      </w:r>
      <w:r w:rsidR="00DC7D20">
        <w:t>inhaled nitric oxide</w:t>
      </w:r>
      <w:r w:rsidRPr="006771F2">
        <w:t xml:space="preserve"> 800 ppm diluted in pure medical grade nitrogen. The drug is administered via the inspiratory limb of the ventilator circuit, where it is further diluted with air and oxygen according to the oxygen needs of the patient, and the final delivered concentration is closely monitored. No changes are proposed to the formulation.</w:t>
      </w:r>
    </w:p>
    <w:p w14:paraId="2135FEE0" w14:textId="77777777" w:rsidR="00605AD4" w:rsidRDefault="00605AD4" w:rsidP="00605AD4">
      <w:pPr>
        <w:pStyle w:val="Heading4"/>
      </w:pPr>
      <w:r w:rsidRPr="00605AD4">
        <w:t>Guidance</w:t>
      </w:r>
    </w:p>
    <w:p w14:paraId="2F7F890E" w14:textId="77777777" w:rsidR="00BF4601" w:rsidRDefault="00BF4601" w:rsidP="00BF4601">
      <w:r>
        <w:t>The EU guidelines of relevance to this submission are:</w:t>
      </w:r>
    </w:p>
    <w:p w14:paraId="4AB9A1F8" w14:textId="21FEA012" w:rsidR="00500337" w:rsidRPr="00500337" w:rsidRDefault="00BF4601" w:rsidP="006771F2">
      <w:pPr>
        <w:pStyle w:val="ListBullet"/>
      </w:pPr>
      <w:r>
        <w:t xml:space="preserve">EMEA/CHMP/EWP/356954/2008: Guideline on the </w:t>
      </w:r>
      <w:r w:rsidR="00827612">
        <w:t>clinical investigations of medicinal products for the treatment of pulmonary arterial hypertension.</w:t>
      </w:r>
    </w:p>
    <w:p w14:paraId="4E8796A9" w14:textId="77777777" w:rsidR="00605AD4" w:rsidRDefault="00605AD4" w:rsidP="00605AD4">
      <w:pPr>
        <w:pStyle w:val="Heading4"/>
      </w:pPr>
      <w:r w:rsidRPr="00605AD4">
        <w:t>Contents of the clinical dossier</w:t>
      </w:r>
    </w:p>
    <w:p w14:paraId="42ABBCFE" w14:textId="0711E83B" w:rsidR="00500337" w:rsidRPr="00500337" w:rsidRDefault="00CB7A27" w:rsidP="00500337">
      <w:r>
        <w:t xml:space="preserve">The submission </w:t>
      </w:r>
      <w:r w:rsidRPr="00CB7A27">
        <w:t>contains 17 studies evaluable for efficacy. The submi</w:t>
      </w:r>
      <w:r w:rsidR="009402F9">
        <w:t xml:space="preserve">ssion is primarily a literature </w:t>
      </w:r>
      <w:r w:rsidRPr="00CB7A27">
        <w:t xml:space="preserve">based submission, although one </w:t>
      </w:r>
      <w:r w:rsidR="003E6F92">
        <w:t>sponsor</w:t>
      </w:r>
      <w:r w:rsidRPr="00CB7A27">
        <w:t xml:space="preserve">-initiated efficacy study was also included; </w:t>
      </w:r>
      <w:r w:rsidRPr="00D34387">
        <w:t>this study was</w:t>
      </w:r>
      <w:r w:rsidR="008D31EE">
        <w:t xml:space="preserve"> well-designed, but it proved to be underpowered and it was negative for its primary and secondary endpoints.</w:t>
      </w:r>
      <w:r w:rsidRPr="00CB7A27">
        <w:t xml:space="preserve"> Of the controlled studies found in the literature that were relevant to the current submission, most had been evaluated in the context of the previous </w:t>
      </w:r>
      <w:proofErr w:type="spellStart"/>
      <w:r w:rsidR="00C40BA7">
        <w:t>INOmax</w:t>
      </w:r>
      <w:proofErr w:type="spellEnd"/>
      <w:r w:rsidRPr="00CB7A27">
        <w:t xml:space="preserve"> submission</w:t>
      </w:r>
      <w:r w:rsidR="004425AD">
        <w:t xml:space="preserve"> for paediatric cardiac surgery</w:t>
      </w:r>
      <w:r w:rsidRPr="00CB7A27">
        <w:t xml:space="preserve">. Four new controlled studies were identified in the more recent literature search. The submission included no new pharmacokinetic or </w:t>
      </w:r>
      <w:proofErr w:type="spellStart"/>
      <w:r w:rsidRPr="00CB7A27">
        <w:t>pharmacodynamic</w:t>
      </w:r>
      <w:proofErr w:type="spellEnd"/>
      <w:r w:rsidRPr="00CB7A27">
        <w:t xml:space="preserve"> data, and no studies with a primary focus on safety.</w:t>
      </w:r>
    </w:p>
    <w:p w14:paraId="517E2FD1" w14:textId="77777777" w:rsidR="00605AD4" w:rsidRDefault="00605AD4" w:rsidP="00605AD4">
      <w:pPr>
        <w:pStyle w:val="Heading4"/>
      </w:pPr>
      <w:r w:rsidRPr="00605AD4">
        <w:t>Paediatric data</w:t>
      </w:r>
    </w:p>
    <w:p w14:paraId="70FD5311" w14:textId="77777777" w:rsidR="00500337" w:rsidRPr="00500337" w:rsidRDefault="00CB7A27" w:rsidP="00500337">
      <w:r w:rsidRPr="00CB7A27">
        <w:t xml:space="preserve">The submission contained no paediatric data. </w:t>
      </w:r>
      <w:proofErr w:type="spellStart"/>
      <w:r w:rsidR="00C40BA7">
        <w:t>INOmax</w:t>
      </w:r>
      <w:proofErr w:type="spellEnd"/>
      <w:r w:rsidRPr="00CB7A27">
        <w:t xml:space="preserve"> has already been approved for use in the paediatric setting, and most of the evidence considered in the current submission was previously evaluated in the context of the paediatric submission. The current submission raises no new issues about the paediatric use of </w:t>
      </w:r>
      <w:proofErr w:type="spellStart"/>
      <w:r w:rsidR="00C40BA7">
        <w:t>INOmax</w:t>
      </w:r>
      <w:proofErr w:type="spellEnd"/>
      <w:r w:rsidRPr="00CB7A27">
        <w:t>.</w:t>
      </w:r>
    </w:p>
    <w:p w14:paraId="4168B3D4" w14:textId="77777777" w:rsidR="00605AD4" w:rsidRDefault="00605AD4" w:rsidP="00605AD4">
      <w:pPr>
        <w:pStyle w:val="Heading4"/>
      </w:pPr>
      <w:r w:rsidRPr="00605AD4">
        <w:t>Good clinical practice</w:t>
      </w:r>
    </w:p>
    <w:p w14:paraId="68C7A135" w14:textId="77777777" w:rsidR="00500337" w:rsidRPr="00500337" w:rsidRDefault="00CB7A27" w:rsidP="00500337">
      <w:r w:rsidRPr="00CB7A27">
        <w:t xml:space="preserve">The </w:t>
      </w:r>
      <w:r w:rsidR="003E6F92">
        <w:t>sponsor</w:t>
      </w:r>
      <w:r w:rsidRPr="00CB7A27">
        <w:t>-initiated study was performed in accordance with principles of Good Clinical Practice (GCP). Some published studies made mention of approval by institutional ethics committees, implying compliance with GCP, but formal statements of compliance with GCP were generally lacking.</w:t>
      </w:r>
    </w:p>
    <w:p w14:paraId="4D805C40" w14:textId="77777777" w:rsidR="008E7846" w:rsidRDefault="008E7846" w:rsidP="00605AD4">
      <w:pPr>
        <w:pStyle w:val="Heading3"/>
      </w:pPr>
      <w:bookmarkStart w:id="48" w:name="_Toc28009945"/>
      <w:r w:rsidRPr="00254787">
        <w:t>Pharmacokinetics</w:t>
      </w:r>
      <w:bookmarkEnd w:id="38"/>
      <w:bookmarkEnd w:id="45"/>
      <w:bookmarkEnd w:id="46"/>
      <w:bookmarkEnd w:id="47"/>
      <w:bookmarkEnd w:id="48"/>
    </w:p>
    <w:p w14:paraId="505FCF9A" w14:textId="77777777" w:rsidR="00500337" w:rsidRPr="00500337" w:rsidRDefault="009F4F47" w:rsidP="00500337">
      <w:r>
        <w:t>No new pharmacokinetic</w:t>
      </w:r>
      <w:r w:rsidR="00CB7A27" w:rsidRPr="00CB7A27">
        <w:t xml:space="preserve"> studies have been performed, and the </w:t>
      </w:r>
      <w:r w:rsidR="003E6F92">
        <w:t>sponsor</w:t>
      </w:r>
      <w:r w:rsidR="00CB7A27" w:rsidRPr="00CB7A27">
        <w:t>’s updated literature search identified no relevant new publications.</w:t>
      </w:r>
    </w:p>
    <w:p w14:paraId="06AC244F" w14:textId="77777777" w:rsidR="008E7846" w:rsidRDefault="008E7846" w:rsidP="008E7846">
      <w:pPr>
        <w:pStyle w:val="Heading3"/>
      </w:pPr>
      <w:bookmarkStart w:id="49" w:name="_Toc196046481"/>
      <w:bookmarkStart w:id="50" w:name="_Toc247691520"/>
      <w:bookmarkStart w:id="51" w:name="_Toc314842503"/>
      <w:bookmarkStart w:id="52" w:name="_Toc28009946"/>
      <w:r w:rsidRPr="00254787">
        <w:t>Pharmacodynamics</w:t>
      </w:r>
      <w:bookmarkEnd w:id="39"/>
      <w:bookmarkEnd w:id="49"/>
      <w:bookmarkEnd w:id="50"/>
      <w:bookmarkEnd w:id="51"/>
      <w:bookmarkEnd w:id="52"/>
    </w:p>
    <w:p w14:paraId="14F9AA9E" w14:textId="77777777" w:rsidR="00CB7A27" w:rsidRDefault="00CB7A27" w:rsidP="00CB7A27">
      <w:r w:rsidRPr="00CB7A27">
        <w:t xml:space="preserve">No new </w:t>
      </w:r>
      <w:proofErr w:type="spellStart"/>
      <w:r w:rsidR="009F4F47">
        <w:t>pharmacodynamic</w:t>
      </w:r>
      <w:proofErr w:type="spellEnd"/>
      <w:r w:rsidRPr="00CB7A27">
        <w:t xml:space="preserve"> information is available, and the new submission does not raise any concerns related to the </w:t>
      </w:r>
      <w:r w:rsidR="009F4F47">
        <w:t>pharmacodynamics</w:t>
      </w:r>
      <w:r w:rsidRPr="00CB7A27">
        <w:t xml:space="preserve"> of </w:t>
      </w:r>
      <w:r w:rsidR="00DC7D20">
        <w:t>inhaled nitric oxide</w:t>
      </w:r>
      <w:r w:rsidRPr="00CB7A27">
        <w:t>.</w:t>
      </w:r>
    </w:p>
    <w:p w14:paraId="4913208D" w14:textId="77777777" w:rsidR="008E7846" w:rsidRDefault="00605AD4" w:rsidP="00605AD4">
      <w:pPr>
        <w:pStyle w:val="Heading3"/>
      </w:pPr>
      <w:bookmarkStart w:id="53" w:name="_Toc28009947"/>
      <w:r>
        <w:lastRenderedPageBreak/>
        <w:t>Dosage selection for the pivotal studies</w:t>
      </w:r>
      <w:bookmarkEnd w:id="53"/>
    </w:p>
    <w:p w14:paraId="7DD4A10D" w14:textId="77777777" w:rsidR="00CB7A27" w:rsidRDefault="00CB7A27" w:rsidP="00CB7A27">
      <w:r>
        <w:t xml:space="preserve">No satisfactory dose-ranging study has been performed for </w:t>
      </w:r>
      <w:r w:rsidR="00DC7D20">
        <w:t>inhaled nitric oxide</w:t>
      </w:r>
      <w:r>
        <w:t>, but experience with different doses has led most investigators to use doses of 20</w:t>
      </w:r>
      <w:r w:rsidR="009F4F47">
        <w:t xml:space="preserve"> to </w:t>
      </w:r>
      <w:r>
        <w:t>40 ppm in published studies, corresponding with the dose proposed for registration.</w:t>
      </w:r>
    </w:p>
    <w:p w14:paraId="61337C23" w14:textId="77777777" w:rsidR="00CB7A27" w:rsidRDefault="00CB7A27" w:rsidP="00CB7A27">
      <w:r>
        <w:t xml:space="preserve">The general principles of dosage selection for </w:t>
      </w:r>
      <w:r w:rsidR="00DC7D20">
        <w:t>inhaled nitric oxide</w:t>
      </w:r>
      <w:r>
        <w:t xml:space="preserve"> were discussed in the context of the previous submission for paediatric use. No study has demonstrated a clear dose-response relationship for </w:t>
      </w:r>
      <w:r w:rsidR="00DC7D20">
        <w:t>inhaled nitric oxide</w:t>
      </w:r>
      <w:r>
        <w:t>, and it appears that similar efficacy is obtained over a range of doses from 10</w:t>
      </w:r>
      <w:r w:rsidR="009F4F47">
        <w:t xml:space="preserve"> to </w:t>
      </w:r>
      <w:r>
        <w:t>80 ppm.</w:t>
      </w:r>
    </w:p>
    <w:p w14:paraId="0F2E33D8" w14:textId="66A35C48" w:rsidR="00CB7A27" w:rsidRDefault="00CB7A27" w:rsidP="00CB7A27">
      <w:r>
        <w:t xml:space="preserve">The accumulation of the toxic by-products </w:t>
      </w:r>
      <w:r w:rsidR="007C59F5">
        <w:t>nitrogen dioxide</w:t>
      </w:r>
      <w:r>
        <w:t xml:space="preserve"> and methaemoglobin</w:t>
      </w:r>
      <w:r w:rsidR="00931948">
        <w:t xml:space="preserve"> (</w:t>
      </w:r>
      <w:proofErr w:type="spellStart"/>
      <w:r w:rsidR="006F789A">
        <w:rPr>
          <w:rFonts w:eastAsia="TimesNewRoman"/>
        </w:rPr>
        <w:t>m</w:t>
      </w:r>
      <w:r w:rsidR="00931948">
        <w:rPr>
          <w:rFonts w:eastAsia="TimesNewRoman"/>
        </w:rPr>
        <w:t>etHB</w:t>
      </w:r>
      <w:proofErr w:type="spellEnd"/>
      <w:r w:rsidR="00931948">
        <w:rPr>
          <w:rFonts w:eastAsia="TimesNewRoman"/>
        </w:rPr>
        <w:t>)</w:t>
      </w:r>
      <w:r>
        <w:t xml:space="preserve"> increases with increasing dose, as shown </w:t>
      </w:r>
      <w:r w:rsidR="0066542D">
        <w:t>in Figure 1</w:t>
      </w:r>
      <w:bookmarkStart w:id="54" w:name="_Ref10648701"/>
      <w:r w:rsidR="006F789A">
        <w:t>.</w:t>
      </w:r>
      <w:bookmarkStart w:id="55" w:name="_Ref25846235"/>
      <w:r w:rsidR="00DE4675" w:rsidRPr="00856911">
        <w:rPr>
          <w:rStyle w:val="FootnoteReference"/>
        </w:rPr>
        <w:footnoteReference w:id="1"/>
      </w:r>
      <w:bookmarkEnd w:id="54"/>
      <w:bookmarkEnd w:id="55"/>
    </w:p>
    <w:p w14:paraId="550F66C2" w14:textId="77777777" w:rsidR="002F1E61" w:rsidRDefault="00CB7A27" w:rsidP="0066542D">
      <w:pPr>
        <w:pStyle w:val="FigureTitle"/>
      </w:pPr>
      <w:r>
        <w:t xml:space="preserve">Figure 1: Levels of nitrate and </w:t>
      </w:r>
      <w:r w:rsidR="0066542D">
        <w:t>methaemoglobin</w:t>
      </w:r>
      <w:r>
        <w:t xml:space="preserve"> in response to </w:t>
      </w:r>
      <w:r w:rsidR="00DC7D20">
        <w:t>inhaled nitric oxide</w:t>
      </w:r>
    </w:p>
    <w:p w14:paraId="7A8792DF" w14:textId="7B7F132C" w:rsidR="00CB7A27" w:rsidRDefault="00CB7A27" w:rsidP="002F1E61">
      <w:r>
        <w:rPr>
          <w:noProof/>
          <w:lang w:eastAsia="en-AU"/>
        </w:rPr>
        <w:drawing>
          <wp:inline distT="0" distB="0" distL="0" distR="0" wp14:anchorId="60134EDE" wp14:editId="5FC585B8">
            <wp:extent cx="4592955" cy="2913380"/>
            <wp:effectExtent l="0" t="0" r="0" b="1270"/>
            <wp:docPr id="136" name="Picture 136" descr="Levels of nitrate and metHb in response to inhaled nitric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2955" cy="2913380"/>
                    </a:xfrm>
                    <a:prstGeom prst="rect">
                      <a:avLst/>
                    </a:prstGeom>
                    <a:noFill/>
                    <a:ln>
                      <a:noFill/>
                    </a:ln>
                  </pic:spPr>
                </pic:pic>
              </a:graphicData>
            </a:graphic>
          </wp:inline>
        </w:drawing>
      </w:r>
    </w:p>
    <w:p w14:paraId="3E1A7810" w14:textId="2A7354CA" w:rsidR="00CB7A27" w:rsidRDefault="00CB7A27" w:rsidP="00CB7A27">
      <w:r>
        <w:t xml:space="preserve">In the paediatric setting, a similar relationship between administered dose and </w:t>
      </w:r>
      <w:proofErr w:type="spellStart"/>
      <w:r w:rsidR="006F789A">
        <w:t>m</w:t>
      </w:r>
      <w:r w:rsidR="00931948">
        <w:t>etHb</w:t>
      </w:r>
      <w:proofErr w:type="spellEnd"/>
      <w:r>
        <w:t xml:space="preserve"> has been noted.</w:t>
      </w:r>
      <w:r w:rsidR="0066542D">
        <w:t xml:space="preserve"> </w:t>
      </w:r>
      <w:r>
        <w:t>Methaemoglobin disposition has been investigated as a function of time and nitric oxide exposure concentration in neonates with respiratory failure.</w:t>
      </w:r>
      <w:r w:rsidR="00D42948">
        <w:t xml:space="preserve"> </w:t>
      </w:r>
      <w:r>
        <w:t xml:space="preserve">The </w:t>
      </w:r>
      <w:proofErr w:type="spellStart"/>
      <w:r w:rsidR="006F789A">
        <w:t>m</w:t>
      </w:r>
      <w:r w:rsidR="009402F9">
        <w:t>etHb</w:t>
      </w:r>
      <w:proofErr w:type="spellEnd"/>
      <w:r>
        <w:t xml:space="preserve"> concentration–time profiles during the first 12</w:t>
      </w:r>
      <w:r w:rsidR="003D4003">
        <w:t> </w:t>
      </w:r>
      <w:r>
        <w:t xml:space="preserve">hours of exposure to 0, 5, 20, and 80 ppm </w:t>
      </w:r>
      <w:proofErr w:type="spellStart"/>
      <w:r w:rsidR="00C40BA7">
        <w:t>INOmax</w:t>
      </w:r>
      <w:proofErr w:type="spellEnd"/>
      <w:r w:rsidR="0066542D">
        <w:t xml:space="preserve"> is shown in </w:t>
      </w:r>
      <w:r>
        <w:t>Figure 2</w:t>
      </w:r>
      <w:r w:rsidR="0066542D">
        <w:t>.</w:t>
      </w:r>
    </w:p>
    <w:p w14:paraId="187CCBD1" w14:textId="6ED1707F" w:rsidR="0066542D" w:rsidRDefault="0066542D" w:rsidP="0066542D">
      <w:pPr>
        <w:pStyle w:val="FigureTitle"/>
      </w:pPr>
      <w:r>
        <w:lastRenderedPageBreak/>
        <w:t xml:space="preserve">Figure 2: Time course of </w:t>
      </w:r>
      <w:r w:rsidR="00931948">
        <w:rPr>
          <w:rFonts w:eastAsia="TimesNewRoman"/>
        </w:rPr>
        <w:t>met</w:t>
      </w:r>
      <w:r w:rsidR="004F47DC">
        <w:rPr>
          <w:rFonts w:eastAsia="TimesNewRoman"/>
        </w:rPr>
        <w:t xml:space="preserve">haemoglobin </w:t>
      </w:r>
      <w:r>
        <w:t>concentration upon exposure to varying levels of inhaled nitric oxide</w:t>
      </w:r>
    </w:p>
    <w:p w14:paraId="06A3C7C7" w14:textId="77777777" w:rsidR="00CB7A27" w:rsidRDefault="00B8506C" w:rsidP="0021039D">
      <w:r>
        <w:rPr>
          <w:noProof/>
          <w:lang w:eastAsia="en-AU"/>
        </w:rPr>
        <w:drawing>
          <wp:inline distT="0" distB="0" distL="0" distR="0" wp14:anchorId="37A7D356" wp14:editId="3C636EDF">
            <wp:extent cx="5353050" cy="3038475"/>
            <wp:effectExtent l="0" t="0" r="0" b="9525"/>
            <wp:docPr id="7" name="Picture 7" descr="Time course of metHB concentration upon exposure to varying levels of inhaled nitric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3050" cy="3038475"/>
                    </a:xfrm>
                    <a:prstGeom prst="rect">
                      <a:avLst/>
                    </a:prstGeom>
                  </pic:spPr>
                </pic:pic>
              </a:graphicData>
            </a:graphic>
          </wp:inline>
        </w:drawing>
      </w:r>
    </w:p>
    <w:p w14:paraId="5433CF45" w14:textId="388A4DD8" w:rsidR="00CB7A27" w:rsidRDefault="00CB7A27" w:rsidP="00CB7A27">
      <w:r w:rsidRPr="00CB7A27">
        <w:t xml:space="preserve">The </w:t>
      </w:r>
      <w:r w:rsidR="003E6F92">
        <w:t>sponsor</w:t>
      </w:r>
      <w:r w:rsidRPr="00CB7A27">
        <w:t xml:space="preserve">’s only efficacy study in adults, </w:t>
      </w:r>
      <w:r w:rsidR="004F47DC">
        <w:t>Stu</w:t>
      </w:r>
      <w:r w:rsidR="00293B03">
        <w:t>d</w:t>
      </w:r>
      <w:r w:rsidR="004F47DC">
        <w:t xml:space="preserve">y </w:t>
      </w:r>
      <w:r w:rsidR="00DC7D20">
        <w:t>I</w:t>
      </w:r>
      <w:r w:rsidR="00EB52C8">
        <w:t>NO</w:t>
      </w:r>
      <w:r w:rsidRPr="00CB7A27">
        <w:t>T41, used a dose of 40 ppm, which reflects the doses used in the literature. Studies using the lower dose of 20 ppm have shown broadly similar haemodynamic effects. In the absence of evidence</w:t>
      </w:r>
      <w:r>
        <w:t xml:space="preserve"> showing better efficacy at higher doses, and given concerns about </w:t>
      </w:r>
      <w:proofErr w:type="spellStart"/>
      <w:r w:rsidR="00931948">
        <w:t>m</w:t>
      </w:r>
      <w:r w:rsidR="009402F9">
        <w:t>etHb</w:t>
      </w:r>
      <w:proofErr w:type="spellEnd"/>
      <w:r>
        <w:t xml:space="preserve"> and potential pulmonary toxicity of </w:t>
      </w:r>
      <w:r w:rsidR="00DC7D20">
        <w:t>inhaled nitric oxide</w:t>
      </w:r>
      <w:r>
        <w:t xml:space="preserve">, it is therefore appropriate to start at </w:t>
      </w:r>
      <w:r w:rsidR="004F47DC">
        <w:t xml:space="preserve">approximately </w:t>
      </w:r>
      <w:r>
        <w:t xml:space="preserve">20 ppm, the lowest dose for which there is adequate efficacy data. The </w:t>
      </w:r>
      <w:r w:rsidR="003E6F92">
        <w:t>sponsor</w:t>
      </w:r>
      <w:r>
        <w:t xml:space="preserve"> proposes titrating upwards to 40 ppm if needed, but there is no strong basis for this suggestion in the submitted evidence.</w:t>
      </w:r>
    </w:p>
    <w:p w14:paraId="62A369D3" w14:textId="77777777" w:rsidR="003B08F8" w:rsidRDefault="00CB7A27" w:rsidP="00CB7A27">
      <w:r>
        <w:t>To put the proposed dose into context, the proposed dose for adults is two-fold higher (20</w:t>
      </w:r>
      <w:r w:rsidR="000E07C6">
        <w:t> </w:t>
      </w:r>
      <w:r>
        <w:t xml:space="preserve">ppm, increasing as needed to 40 ppm) than the </w:t>
      </w:r>
      <w:proofErr w:type="spellStart"/>
      <w:r w:rsidR="00C40BA7">
        <w:t>INOmax</w:t>
      </w:r>
      <w:proofErr w:type="spellEnd"/>
      <w:r>
        <w:t xml:space="preserve"> dose approved in children undergoing cardiac surgery (10 ppm, increasing as needed to 20 ppm). The proposed starting dose in adults is the same as the dose approved for perinatal </w:t>
      </w:r>
      <w:r w:rsidR="00EB52C8">
        <w:t>pulmonary hypertension</w:t>
      </w:r>
      <w:r w:rsidRPr="0066542D">
        <w:t>,</w:t>
      </w:r>
      <w:r>
        <w:t xml:space="preserve"> 20 ppm, but the paediatric dosing instructions advise against increases to 40 ppm, partly because of concerns about increased risk of </w:t>
      </w:r>
      <w:proofErr w:type="spellStart"/>
      <w:r>
        <w:t>methaemoglobinaemia</w:t>
      </w:r>
      <w:proofErr w:type="spellEnd"/>
      <w:r>
        <w:t xml:space="preserve"> at higher doses.</w:t>
      </w:r>
    </w:p>
    <w:p w14:paraId="321FA2BD" w14:textId="77777777" w:rsidR="003B08F8" w:rsidRDefault="00CB7A27" w:rsidP="00CB7A27">
      <w:r>
        <w:t xml:space="preserve">Of note, </w:t>
      </w:r>
      <w:proofErr w:type="spellStart"/>
      <w:r>
        <w:t>Vaso</w:t>
      </w:r>
      <w:r w:rsidR="000E07C6">
        <w:t>ki</w:t>
      </w:r>
      <w:r w:rsidR="00DC7D20">
        <w:t>no</w:t>
      </w:r>
      <w:r w:rsidR="000E07C6">
        <w:t>x</w:t>
      </w:r>
      <w:proofErr w:type="spellEnd"/>
      <w:r>
        <w:t xml:space="preserve"> was approved for use in children and adults at a dose range that matches the dose approved for </w:t>
      </w:r>
      <w:proofErr w:type="spellStart"/>
      <w:r w:rsidR="00C40BA7">
        <w:t>INOmax</w:t>
      </w:r>
      <w:proofErr w:type="spellEnd"/>
      <w:r>
        <w:t xml:space="preserve"> in children; the </w:t>
      </w:r>
      <w:proofErr w:type="spellStart"/>
      <w:r>
        <w:t>Vaso</w:t>
      </w:r>
      <w:r w:rsidR="000E07C6">
        <w:t>ki</w:t>
      </w:r>
      <w:r w:rsidR="00DC7D20">
        <w:t>no</w:t>
      </w:r>
      <w:r w:rsidR="000E07C6">
        <w:t>x</w:t>
      </w:r>
      <w:proofErr w:type="spellEnd"/>
      <w:r>
        <w:t xml:space="preserve"> Product Information (PI) gives dosing instructions as follows:</w:t>
      </w:r>
    </w:p>
    <w:p w14:paraId="02B2F366" w14:textId="3642C55D" w:rsidR="00CB7A27" w:rsidRDefault="00CB7A27" w:rsidP="00EB52C8">
      <w:pPr>
        <w:ind w:left="720"/>
      </w:pPr>
      <w:r>
        <w:t xml:space="preserve">In children and adults, the recommended starting dose of </w:t>
      </w:r>
      <w:r w:rsidR="00DC7D20">
        <w:t>inhaled nitric oxide</w:t>
      </w:r>
      <w:r>
        <w:t xml:space="preserve"> is 10</w:t>
      </w:r>
      <w:r w:rsidR="0066542D">
        <w:t> </w:t>
      </w:r>
      <w:r>
        <w:t>ppm of inhaled gas.</w:t>
      </w:r>
      <w:r w:rsidR="00D42948">
        <w:t xml:space="preserve"> </w:t>
      </w:r>
      <w:r>
        <w:t xml:space="preserve">The lowest effective dose should be administered. The effects of </w:t>
      </w:r>
      <w:r w:rsidR="00DC7D20">
        <w:t>inhaled nitric oxide</w:t>
      </w:r>
      <w:r>
        <w:t xml:space="preserve"> are rapid [and are] usually observed within 5 </w:t>
      </w:r>
      <w:r w:rsidR="000E07C6">
        <w:t>to</w:t>
      </w:r>
      <w:r>
        <w:t>20</w:t>
      </w:r>
      <w:r w:rsidR="0066542D">
        <w:t> </w:t>
      </w:r>
      <w:r>
        <w:t xml:space="preserve">minutes. In case of insufficient </w:t>
      </w:r>
      <w:r w:rsidR="006F789A">
        <w:t>response,</w:t>
      </w:r>
      <w:r>
        <w:t xml:space="preserve"> the dose may be titrated after a minimum of 10 minutes. The maximum recommended [dose] is 20 ppm.</w:t>
      </w:r>
    </w:p>
    <w:p w14:paraId="26302F27" w14:textId="77777777" w:rsidR="00CB7A27" w:rsidRDefault="00CB7A27" w:rsidP="00CB7A27">
      <w:r>
        <w:t xml:space="preserve">Concerns were raised by both the </w:t>
      </w:r>
      <w:r w:rsidR="00EB52C8">
        <w:t>n</w:t>
      </w:r>
      <w:r>
        <w:t xml:space="preserve">on-clinical </w:t>
      </w:r>
      <w:r w:rsidR="00EB52C8">
        <w:t>e</w:t>
      </w:r>
      <w:r>
        <w:t xml:space="preserve">valuator and the </w:t>
      </w:r>
      <w:r w:rsidR="00EB52C8">
        <w:t>c</w:t>
      </w:r>
      <w:r>
        <w:t xml:space="preserve">linical </w:t>
      </w:r>
      <w:r w:rsidR="00EB52C8">
        <w:t>e</w:t>
      </w:r>
      <w:r>
        <w:t xml:space="preserve">valuator for </w:t>
      </w:r>
      <w:proofErr w:type="spellStart"/>
      <w:r w:rsidR="000E07C6">
        <w:t>Vasokinox</w:t>
      </w:r>
      <w:proofErr w:type="spellEnd"/>
      <w:r>
        <w:t xml:space="preserve"> about the uncertain safety of </w:t>
      </w:r>
      <w:r w:rsidR="00DC7D20">
        <w:t>inhaled nitric oxide</w:t>
      </w:r>
      <w:r>
        <w:t xml:space="preserve"> at a dose of 40 ppm, and the </w:t>
      </w:r>
      <w:r w:rsidR="00EB52C8">
        <w:t>c</w:t>
      </w:r>
      <w:r>
        <w:t xml:space="preserve">linical </w:t>
      </w:r>
      <w:r w:rsidR="00EB52C8">
        <w:t>e</w:t>
      </w:r>
      <w:r>
        <w:t xml:space="preserve">valuator for </w:t>
      </w:r>
      <w:proofErr w:type="spellStart"/>
      <w:r w:rsidR="000E07C6">
        <w:t>Vasokinox</w:t>
      </w:r>
      <w:proofErr w:type="spellEnd"/>
      <w:r>
        <w:t xml:space="preserve"> noted that there is minimal evidence of superior efficacy at 40 ppm relative to 20 ppm. On this issue, the conclusions of the Australian Committee on Prescription Medicines (ACPM) are summarised in the Australian Public Assessment Report (AusPAR) for </w:t>
      </w:r>
      <w:proofErr w:type="spellStart"/>
      <w:r w:rsidR="000E07C6">
        <w:t>Vasokinox</w:t>
      </w:r>
      <w:proofErr w:type="spellEnd"/>
      <w:r>
        <w:t xml:space="preserve"> as follows:</w:t>
      </w:r>
    </w:p>
    <w:p w14:paraId="218DAD42" w14:textId="623947A2" w:rsidR="00CB7A27" w:rsidRDefault="00CB7A27" w:rsidP="009402F9">
      <w:pPr>
        <w:ind w:left="720"/>
      </w:pPr>
      <w:r>
        <w:lastRenderedPageBreak/>
        <w:t>The ACPM advised the evidence submitted on the proposed 40 ppm maximum dose in adults was insufficient to support efficacy of that dose in adults compared to 20 ppm (</w:t>
      </w:r>
      <w:r w:rsidRPr="00EB0090">
        <w:t xml:space="preserve">which is currently registered for </w:t>
      </w:r>
      <w:proofErr w:type="spellStart"/>
      <w:r w:rsidR="00EB0090">
        <w:t>VasoKINOX</w:t>
      </w:r>
      <w:proofErr w:type="spellEnd"/>
      <w:r>
        <w:t>).</w:t>
      </w:r>
    </w:p>
    <w:p w14:paraId="533C8F66" w14:textId="77777777" w:rsidR="00CB7A27" w:rsidRDefault="00CB7A27" w:rsidP="009402F9">
      <w:pPr>
        <w:ind w:left="720"/>
      </w:pPr>
      <w:r>
        <w:t>The ACPM noted there is large post-marketing safety data (n</w:t>
      </w:r>
      <w:r w:rsidR="00D42948">
        <w:t xml:space="preserve"> = </w:t>
      </w:r>
      <w:r>
        <w:t>600,000), which shows acceptable safety, but this is predominantly in patients treated with up to 20 ppm.</w:t>
      </w:r>
    </w:p>
    <w:p w14:paraId="55560E66" w14:textId="77777777" w:rsidR="00CB7A27" w:rsidRDefault="00CB7A27" w:rsidP="009402F9">
      <w:pPr>
        <w:ind w:left="720"/>
      </w:pPr>
      <w:r>
        <w:t>The ACPM further noted that adverse events appear to be dose related.</w:t>
      </w:r>
    </w:p>
    <w:p w14:paraId="617350CB" w14:textId="77777777" w:rsidR="003B08F8" w:rsidRDefault="00CB7A27" w:rsidP="009402F9">
      <w:pPr>
        <w:ind w:left="720"/>
      </w:pPr>
      <w:r>
        <w:t>The ACPM was of the view that the dose in adults should be limited to 20 ppm for safety reasons and it was noted that the sponsor has agreed in the pre-ACPM response to the reduction in dose for adults.</w:t>
      </w:r>
    </w:p>
    <w:p w14:paraId="1FEF719C" w14:textId="77777777" w:rsidR="00CB7A27" w:rsidRDefault="00CB7A27" w:rsidP="00CB7A27">
      <w:r>
        <w:t xml:space="preserve">In Europe, </w:t>
      </w:r>
      <w:r w:rsidR="00DC7D20">
        <w:t>inhaled nitric oxide</w:t>
      </w:r>
      <w:r>
        <w:t xml:space="preserve"> has been approved for use in adults at a dose of 20 ppm, potentially increasing to 40 ppm in resistant cases.</w:t>
      </w:r>
    </w:p>
    <w:p w14:paraId="3FE63CCC" w14:textId="73A48176" w:rsidR="003B08F8" w:rsidRDefault="00CB7A27" w:rsidP="00CB7A27">
      <w:r>
        <w:t>The European Summary of Product Characteristics</w:t>
      </w:r>
      <w:r w:rsidR="004F47DC">
        <w:t xml:space="preserve"> (SPC)</w:t>
      </w:r>
      <w:r>
        <w:t xml:space="preserve"> for </w:t>
      </w:r>
      <w:proofErr w:type="spellStart"/>
      <w:r w:rsidR="000E07C6">
        <w:t>Vasokinox</w:t>
      </w:r>
      <w:proofErr w:type="spellEnd"/>
      <w:r>
        <w:t xml:space="preserve"> allows for a dose increase to 40 ppm, if needed, but it explicitly recommends a maximum of 20 ppm:</w:t>
      </w:r>
    </w:p>
    <w:p w14:paraId="7EB730C0" w14:textId="77777777" w:rsidR="000E07C6" w:rsidRDefault="00CB7A27" w:rsidP="000E07C6">
      <w:pPr>
        <w:ind w:left="720"/>
      </w:pPr>
      <w:r>
        <w:t>The recommended operating range is 2 to 20 ppm. The maximum recommended [dose] is 20 ppm.</w:t>
      </w:r>
      <w:r w:rsidR="00D42948">
        <w:t xml:space="preserve"> </w:t>
      </w:r>
      <w:r>
        <w:t>In adult[s], the dose may be increased up to 40 ppm if the lower dose has not provided sufficient clinical effects. In this case the patient’s state should be followed up more regularly and the exposure to this higher dosage sho</w:t>
      </w:r>
      <w:r w:rsidR="009A00FF">
        <w:t>uld be as limited as possible.</w:t>
      </w:r>
    </w:p>
    <w:p w14:paraId="54D6435D" w14:textId="109A72E9" w:rsidR="00CB7A27" w:rsidRDefault="00CB7A27" w:rsidP="00CB7A27">
      <w:r>
        <w:t xml:space="preserve">The </w:t>
      </w:r>
      <w:r w:rsidR="004F47DC">
        <w:t>European SPC</w:t>
      </w:r>
      <w:r>
        <w:t xml:space="preserve"> for </w:t>
      </w:r>
      <w:proofErr w:type="spellStart"/>
      <w:r w:rsidR="00C40BA7">
        <w:t>INOmax</w:t>
      </w:r>
      <w:proofErr w:type="spellEnd"/>
      <w:r>
        <w:t xml:space="preserve"> has similar wording, but it does not explicitly recommend a maximum of 20 ppm:</w:t>
      </w:r>
    </w:p>
    <w:p w14:paraId="3AE32C50" w14:textId="77777777" w:rsidR="003B08F8" w:rsidRDefault="00CB7A27" w:rsidP="000E07C6">
      <w:pPr>
        <w:ind w:left="720"/>
      </w:pPr>
      <w:r>
        <w:t>The starting dose of inhaled nitric oxide is 20 ppm (part per million) of inhaled gas. The dose may be increased up to 40 ppm if the lower dose has not provided sufficient clinical effects. The lowest effective dose should be administered and the dose should be weaned down to 5 ppm provided that the pulmonary artery pressure and systemic arterial oxygenation remain adequate at this lower dose.</w:t>
      </w:r>
    </w:p>
    <w:p w14:paraId="3827D79F" w14:textId="77777777" w:rsidR="00CB7A27" w:rsidRPr="00CB7A27" w:rsidRDefault="00CB7A27" w:rsidP="00CB7A27">
      <w:r>
        <w:t xml:space="preserve">For consistency, </w:t>
      </w:r>
      <w:proofErr w:type="spellStart"/>
      <w:r w:rsidR="00C40BA7">
        <w:t>INOmax</w:t>
      </w:r>
      <w:proofErr w:type="spellEnd"/>
      <w:r>
        <w:t xml:space="preserve"> dosing instructions in Australia should generally match those for </w:t>
      </w:r>
      <w:proofErr w:type="spellStart"/>
      <w:r w:rsidR="000E07C6">
        <w:t>Vasokinox</w:t>
      </w:r>
      <w:proofErr w:type="spellEnd"/>
      <w:r>
        <w:t>.</w:t>
      </w:r>
    </w:p>
    <w:p w14:paraId="6B87D171" w14:textId="77777777" w:rsidR="008E7846" w:rsidRPr="009402F9" w:rsidRDefault="008E7846" w:rsidP="009402F9">
      <w:pPr>
        <w:pStyle w:val="Heading3"/>
      </w:pPr>
      <w:bookmarkStart w:id="56" w:name="_Toc163441372"/>
      <w:bookmarkStart w:id="57" w:name="_Toc196046485"/>
      <w:bookmarkStart w:id="58" w:name="_Toc247691521"/>
      <w:bookmarkStart w:id="59" w:name="_Toc314842504"/>
      <w:bookmarkStart w:id="60" w:name="_Toc28009948"/>
      <w:r w:rsidRPr="009402F9">
        <w:t>Efficacy</w:t>
      </w:r>
      <w:bookmarkEnd w:id="56"/>
      <w:bookmarkEnd w:id="57"/>
      <w:bookmarkEnd w:id="58"/>
      <w:bookmarkEnd w:id="59"/>
      <w:bookmarkEnd w:id="60"/>
    </w:p>
    <w:p w14:paraId="547ABE5B" w14:textId="6EBD6696" w:rsidR="00CB7A27" w:rsidRDefault="00CB7A27" w:rsidP="00CB7A27">
      <w:r w:rsidRPr="001F51B9">
        <w:t xml:space="preserve">The evidence in this submission </w:t>
      </w:r>
      <w:r w:rsidR="001F51B9">
        <w:t>has limitations</w:t>
      </w:r>
      <w:r>
        <w:t>, because it relies on published studies that were small, underpowered, and often lacking in methodological rigour. Many of the published studies were of low quality, with inadequate characterisation of efficacy endpoints and incomplete reporting of safety data. Where this makes interpretation unreliable, this is pointed out within this report.</w:t>
      </w:r>
    </w:p>
    <w:p w14:paraId="03E58EE4" w14:textId="77777777" w:rsidR="00CB7A27" w:rsidRDefault="00CB7A27" w:rsidP="00CB7A27">
      <w:r>
        <w:t xml:space="preserve">The only </w:t>
      </w:r>
      <w:r w:rsidR="003E6F92">
        <w:t>sponsor</w:t>
      </w:r>
      <w:r>
        <w:t>-initiated study was well-designed, but it proved to be underpowered and it was negative for its primary and secondary endpoints.</w:t>
      </w:r>
    </w:p>
    <w:p w14:paraId="18A76E8A" w14:textId="77777777" w:rsidR="00CB7A27" w:rsidRDefault="00CB7A27" w:rsidP="00CB7A27">
      <w:r>
        <w:t xml:space="preserve">The </w:t>
      </w:r>
      <w:r w:rsidR="003E6F92">
        <w:t>sponsor</w:t>
      </w:r>
      <w:r w:rsidRPr="008A05B9">
        <w:t xml:space="preserve">’s </w:t>
      </w:r>
      <w:r w:rsidR="00DE4675" w:rsidRPr="008A05B9">
        <w:t>c</w:t>
      </w:r>
      <w:r w:rsidRPr="008A05B9">
        <w:t xml:space="preserve">linical </w:t>
      </w:r>
      <w:r w:rsidR="00DE4675" w:rsidRPr="008A05B9">
        <w:t>o</w:t>
      </w:r>
      <w:r w:rsidRPr="008A05B9">
        <w:t>verview contain</w:t>
      </w:r>
      <w:r w:rsidR="009A00FF">
        <w:t>s</w:t>
      </w:r>
      <w:r w:rsidRPr="008A05B9">
        <w:t xml:space="preserve"> some inaccurate statements, claiming significance for some outcomes that were</w:t>
      </w:r>
      <w:r>
        <w:t xml:space="preserve"> not significant. Also, the </w:t>
      </w:r>
      <w:r w:rsidR="003E6F92">
        <w:t>sponsor</w:t>
      </w:r>
      <w:r>
        <w:t xml:space="preserve">’s summaries generally emphasise within-group comparisons with baseline, even in controlled studies, rather than placing an appropriate emphasis on between-group comparisons. In some instances, this inflates the apparent efficacy of </w:t>
      </w:r>
      <w:proofErr w:type="spellStart"/>
      <w:r w:rsidR="00C40BA7">
        <w:t>INOmax</w:t>
      </w:r>
      <w:proofErr w:type="spellEnd"/>
      <w:r>
        <w:t>.</w:t>
      </w:r>
    </w:p>
    <w:p w14:paraId="6A484FF7" w14:textId="25C17FEA" w:rsidR="003B08F8" w:rsidRDefault="00CB7A27" w:rsidP="00CB7A27">
      <w:r>
        <w:t xml:space="preserve">To some extent, these deficiencies reflect the fact that </w:t>
      </w:r>
      <w:r w:rsidR="00DC7D20">
        <w:t>inhaled nitric oxide</w:t>
      </w:r>
      <w:r>
        <w:t xml:space="preserve"> has been used off-label for years, and the evidence suggesting that it has efficacy in the treatment of pulmonary hypertension has slowly accumulated from small, investigator-led studies that were, individually, underpowered and lacking the rigour expected of a proper Phase III </w:t>
      </w:r>
      <w:r>
        <w:lastRenderedPageBreak/>
        <w:t xml:space="preserve">study. The only major </w:t>
      </w:r>
      <w:r w:rsidR="003E6F92">
        <w:t>sponsor</w:t>
      </w:r>
      <w:r>
        <w:t>-initiated study was well-designed but, in retrospect, was underpowered.</w:t>
      </w:r>
    </w:p>
    <w:p w14:paraId="73309A88" w14:textId="77777777" w:rsidR="00CB7A27" w:rsidRPr="00CB7A27" w:rsidRDefault="00CB7A27" w:rsidP="00CB7A27">
      <w:r>
        <w:t xml:space="preserve">Given the relatively low numbers of patients that undergo major cardiac surgery and develop pulmonary hypertension, it would be difficult and expensive to perform an adequate Phase III study for the proposed indication. Also, it would be unethical to randomise patients to placebo if they required treatment of </w:t>
      </w:r>
      <w:r w:rsidR="00EB52C8">
        <w:t>pulmonary hypertension</w:t>
      </w:r>
      <w:r>
        <w:t xml:space="preserve">, and it would be difficult to find a universally accepted active comparator, given that none is registered for the proposed indication. Furthermore, it appears unlikely that </w:t>
      </w:r>
      <w:r w:rsidR="00DC7D20">
        <w:t>inhaled nitric oxide</w:t>
      </w:r>
      <w:r>
        <w:t xml:space="preserve"> would prove superior to any of the currently used (off-label) inhaled</w:t>
      </w:r>
      <w:r w:rsidRPr="00CB7A27">
        <w:t xml:space="preserve"> pulmonary vasodilators, and it would require large patient numbers to perform a meaningful non-inferiority study. Even if such a study were attempted, and showed that </w:t>
      </w:r>
      <w:r w:rsidR="00DC7D20">
        <w:t>inhaled nitric oxide</w:t>
      </w:r>
      <w:r w:rsidRPr="00CB7A27">
        <w:t xml:space="preserve"> was similar in efficacy to another agent, no strong conclusions could be drawn without proof that the other agent was effective. </w:t>
      </w:r>
      <w:r w:rsidRPr="00B30AC4">
        <w:t>For all of these reasons, many of the current submission’s deficiencies can be understood and excused, though it remains important to correct some of the inaccuracies highlighted in this evaluation</w:t>
      </w:r>
      <w:r w:rsidRPr="00CB7A27">
        <w:t>.</w:t>
      </w:r>
    </w:p>
    <w:p w14:paraId="2AA55183" w14:textId="77777777" w:rsidR="00605AD4" w:rsidRDefault="00605AD4" w:rsidP="00605AD4">
      <w:pPr>
        <w:pStyle w:val="Heading4"/>
      </w:pPr>
      <w:bookmarkStart w:id="61" w:name="_Toc184439992"/>
      <w:bookmarkStart w:id="62" w:name="_Toc184440279"/>
      <w:bookmarkStart w:id="63" w:name="_Toc184444657"/>
      <w:bookmarkStart w:id="64" w:name="_Toc196046487"/>
      <w:r>
        <w:t>Studies providing efficacy data</w:t>
      </w:r>
    </w:p>
    <w:p w14:paraId="2334DD0B" w14:textId="3D3498F9" w:rsidR="003B08F8" w:rsidRDefault="00CB7A27" w:rsidP="00CB7A27">
      <w:r>
        <w:t xml:space="preserve">The current submission is not based on any positive, well-designed, adequately powered </w:t>
      </w:r>
      <w:r w:rsidR="003E6F92">
        <w:t>sponsor</w:t>
      </w:r>
      <w:r>
        <w:t>-initiated studies</w:t>
      </w:r>
      <w:r w:rsidR="00070C45">
        <w:t>.</w:t>
      </w:r>
      <w:r w:rsidR="00070C45">
        <w:rPr>
          <w:rStyle w:val="FootnoteReference"/>
        </w:rPr>
        <w:footnoteReference w:id="2"/>
      </w:r>
      <w:r w:rsidR="00E26BFB">
        <w:t xml:space="preserve"> The</w:t>
      </w:r>
      <w:r>
        <w:t xml:space="preserve"> </w:t>
      </w:r>
      <w:r w:rsidR="003E6F92">
        <w:t>sponsor</w:t>
      </w:r>
      <w:r>
        <w:t xml:space="preserve"> has submitted a single </w:t>
      </w:r>
      <w:r w:rsidR="003E6F92">
        <w:t>sponsor</w:t>
      </w:r>
      <w:r>
        <w:t>-initiated summary</w:t>
      </w:r>
      <w:r w:rsidR="004F47DC">
        <w:t xml:space="preserve"> of Study</w:t>
      </w:r>
      <w:r w:rsidR="00293B03">
        <w:t xml:space="preserve"> </w:t>
      </w:r>
      <w:r w:rsidR="00DC7D20">
        <w:t>I</w:t>
      </w:r>
      <w:r w:rsidR="00EB52C8">
        <w:t>NO</w:t>
      </w:r>
      <w:r>
        <w:t xml:space="preserve">T41, which was also submitted as supportive evidence for the paediatric submission, along with studies reported in the literature. Twelve of the adult studies from the literature were randomised, controlled studies that were previously assessed as supportive studies in the paediatric submission. The </w:t>
      </w:r>
      <w:r w:rsidR="003E6F92">
        <w:t>sponsor</w:t>
      </w:r>
      <w:r>
        <w:t xml:space="preserve"> repeated the literature search in 2017 and uncovered four new randomised, controlled studies, one of which was merely a sub-study of </w:t>
      </w:r>
      <w:r w:rsidR="004F47DC">
        <w:t xml:space="preserve">Study </w:t>
      </w:r>
      <w:r w:rsidR="00DC7D20">
        <w:t>I</w:t>
      </w:r>
      <w:r w:rsidR="00EB52C8">
        <w:t>NO</w:t>
      </w:r>
      <w:r>
        <w:t>T41, and contributes no new patients to the evidence base. One additional study</w:t>
      </w:r>
      <w:r w:rsidR="00DE4675">
        <w:rPr>
          <w:rStyle w:val="FootnoteReference"/>
        </w:rPr>
        <w:footnoteReference w:id="3"/>
      </w:r>
      <w:r>
        <w:t xml:space="preserve"> was included in the </w:t>
      </w:r>
      <w:proofErr w:type="spellStart"/>
      <w:r w:rsidR="000E07C6">
        <w:t>Vasokinox</w:t>
      </w:r>
      <w:proofErr w:type="spellEnd"/>
      <w:r>
        <w:t xml:space="preserve"> submission but it did not meet the selection criteria for inclusion in the current </w:t>
      </w:r>
      <w:proofErr w:type="spellStart"/>
      <w:r w:rsidR="00C40BA7">
        <w:t>INOmax</w:t>
      </w:r>
      <w:proofErr w:type="spellEnd"/>
      <w:r>
        <w:t xml:space="preserve"> submission because it assessed combination therapy with </w:t>
      </w:r>
      <w:proofErr w:type="spellStart"/>
      <w:r w:rsidR="00C40BA7">
        <w:t>INOmax</w:t>
      </w:r>
      <w:proofErr w:type="spellEnd"/>
      <w:r>
        <w:t xml:space="preserve"> and sildenafil, making it difficult to assess the contribution of </w:t>
      </w:r>
      <w:r w:rsidR="00DC7D20">
        <w:t>inhaled nitric oxide</w:t>
      </w:r>
      <w:r>
        <w:t xml:space="preserve"> to efficacy.</w:t>
      </w:r>
    </w:p>
    <w:p w14:paraId="3E10A94A" w14:textId="49C590B9" w:rsidR="003B08F8" w:rsidRDefault="00CB7A27" w:rsidP="00CB7A27">
      <w:r>
        <w:t>Thus, in total, 17 randomised, controlled studies in adults provide evaluable efficacy data for the current submission, covering 16 unique patient cohorts, as summarised in the tables below</w:t>
      </w:r>
      <w:r w:rsidR="004F47DC">
        <w:t xml:space="preserve"> </w:t>
      </w:r>
      <w:r>
        <w:t>(</w:t>
      </w:r>
      <w:r w:rsidR="004F47DC">
        <w:t>t</w:t>
      </w:r>
      <w:r>
        <w:t>his total comes from</w:t>
      </w:r>
      <w:r w:rsidR="004F47DC">
        <w:t xml:space="preserve"> Study</w:t>
      </w:r>
      <w:r>
        <w:t xml:space="preserve"> </w:t>
      </w:r>
      <w:r w:rsidR="00DC7D20">
        <w:t>I</w:t>
      </w:r>
      <w:r w:rsidR="00EB52C8">
        <w:t>NO</w:t>
      </w:r>
      <w:r>
        <w:t>T41, along with 12 previously evaluated studies and 4 newly submitted studies)</w:t>
      </w:r>
      <w:r w:rsidR="004F47DC">
        <w:t>.</w:t>
      </w:r>
      <w:r>
        <w:t xml:space="preserve"> Indirect support also comes from the previously evaluated paediatric studies, though those studies will not be reassessed. Some uncontrolled published studies have also been assessed for safety.</w:t>
      </w:r>
    </w:p>
    <w:p w14:paraId="203B61DD" w14:textId="77777777" w:rsidR="00500337" w:rsidRDefault="00CB7A27" w:rsidP="00CB7A27">
      <w:r>
        <w:t xml:space="preserve">Another 3 studies that had a primary focus on </w:t>
      </w:r>
      <w:proofErr w:type="spellStart"/>
      <w:r>
        <w:t>haemodynamics</w:t>
      </w:r>
      <w:proofErr w:type="spellEnd"/>
      <w:r>
        <w:t xml:space="preserve"> were presented and evaluated as </w:t>
      </w:r>
      <w:proofErr w:type="spellStart"/>
      <w:r>
        <w:t>pharmacodynamic</w:t>
      </w:r>
      <w:proofErr w:type="spellEnd"/>
      <w:r>
        <w:t xml:space="preserve"> studies within the previous paediatric submission. These have not been re-evaluated.</w:t>
      </w:r>
    </w:p>
    <w:p w14:paraId="212616EE" w14:textId="77777777" w:rsidR="0042347A" w:rsidRDefault="00CB7A27" w:rsidP="002F1E61">
      <w:pPr>
        <w:pStyle w:val="TableTitle"/>
        <w:pageBreakBefore/>
      </w:pPr>
      <w:r w:rsidRPr="008A05B9">
        <w:lastRenderedPageBreak/>
        <w:t xml:space="preserve">Table </w:t>
      </w:r>
      <w:r w:rsidR="00035230">
        <w:t>2</w:t>
      </w:r>
      <w:r w:rsidR="00724497">
        <w:t>:</w:t>
      </w:r>
      <w:r w:rsidRPr="00CB7A27">
        <w:t xml:space="preserve"> Sponsor-</w:t>
      </w:r>
      <w:r w:rsidR="00035230" w:rsidRPr="00CB7A27">
        <w:t>initiated study in adult patients undergoing cardiac surgery</w:t>
      </w:r>
    </w:p>
    <w:tbl>
      <w:tblPr>
        <w:tblStyle w:val="TableTGAblue"/>
        <w:tblW w:w="0" w:type="auto"/>
        <w:tblLook w:val="04A0" w:firstRow="1" w:lastRow="0" w:firstColumn="1" w:lastColumn="0" w:noHBand="0" w:noVBand="1"/>
      </w:tblPr>
      <w:tblGrid>
        <w:gridCol w:w="1668"/>
        <w:gridCol w:w="1275"/>
        <w:gridCol w:w="1276"/>
        <w:gridCol w:w="4501"/>
      </w:tblGrid>
      <w:tr w:rsidR="0042347A" w:rsidRPr="00081AFF" w14:paraId="5F835055" w14:textId="77777777" w:rsidTr="00293B03">
        <w:trPr>
          <w:cnfStyle w:val="100000000000" w:firstRow="1" w:lastRow="0" w:firstColumn="0" w:lastColumn="0" w:oddVBand="0" w:evenVBand="0" w:oddHBand="0" w:evenHBand="0" w:firstRowFirstColumn="0" w:firstRowLastColumn="0" w:lastRowFirstColumn="0" w:lastRowLastColumn="0"/>
          <w:trHeight w:val="609"/>
        </w:trPr>
        <w:tc>
          <w:tcPr>
            <w:tcW w:w="1668" w:type="dxa"/>
          </w:tcPr>
          <w:p w14:paraId="4D4A726A" w14:textId="77777777" w:rsidR="0042347A" w:rsidRPr="00081AFF" w:rsidRDefault="0042347A" w:rsidP="00C33C54">
            <w:pPr>
              <w:spacing w:before="0" w:after="0" w:line="240" w:lineRule="auto"/>
              <w:ind w:left="0" w:right="0"/>
              <w:rPr>
                <w:sz w:val="20"/>
                <w:szCs w:val="20"/>
              </w:rPr>
            </w:pPr>
            <w:r w:rsidRPr="00081AFF">
              <w:rPr>
                <w:sz w:val="20"/>
                <w:szCs w:val="20"/>
              </w:rPr>
              <w:t>Study</w:t>
            </w:r>
          </w:p>
        </w:tc>
        <w:tc>
          <w:tcPr>
            <w:tcW w:w="1275" w:type="dxa"/>
          </w:tcPr>
          <w:p w14:paraId="3C143110" w14:textId="77777777" w:rsidR="0042347A" w:rsidRPr="00081AFF" w:rsidRDefault="0042347A" w:rsidP="00C33C54">
            <w:pPr>
              <w:spacing w:before="0" w:after="0" w:line="240" w:lineRule="auto"/>
              <w:ind w:left="0" w:right="0"/>
              <w:rPr>
                <w:sz w:val="20"/>
                <w:szCs w:val="20"/>
              </w:rPr>
            </w:pPr>
            <w:r w:rsidRPr="00081AFF">
              <w:rPr>
                <w:sz w:val="20"/>
                <w:szCs w:val="20"/>
              </w:rPr>
              <w:t>Study design</w:t>
            </w:r>
          </w:p>
        </w:tc>
        <w:tc>
          <w:tcPr>
            <w:tcW w:w="1276" w:type="dxa"/>
          </w:tcPr>
          <w:p w14:paraId="6DAB0382" w14:textId="07C7758F" w:rsidR="0042347A" w:rsidRPr="00081AFF" w:rsidRDefault="0042347A" w:rsidP="004F47DC">
            <w:pPr>
              <w:spacing w:before="0" w:after="0" w:line="240" w:lineRule="auto"/>
              <w:ind w:left="0" w:right="0"/>
              <w:rPr>
                <w:sz w:val="20"/>
                <w:szCs w:val="20"/>
              </w:rPr>
            </w:pPr>
            <w:r w:rsidRPr="00081AFF">
              <w:rPr>
                <w:sz w:val="20"/>
                <w:szCs w:val="20"/>
              </w:rPr>
              <w:t xml:space="preserve">No of </w:t>
            </w:r>
            <w:r w:rsidR="004F47DC">
              <w:rPr>
                <w:sz w:val="20"/>
                <w:szCs w:val="20"/>
              </w:rPr>
              <w:t>patien</w:t>
            </w:r>
            <w:r w:rsidR="004F47DC" w:rsidRPr="00081AFF">
              <w:rPr>
                <w:sz w:val="20"/>
                <w:szCs w:val="20"/>
              </w:rPr>
              <w:t>ts</w:t>
            </w:r>
          </w:p>
        </w:tc>
        <w:tc>
          <w:tcPr>
            <w:tcW w:w="4501" w:type="dxa"/>
          </w:tcPr>
          <w:p w14:paraId="54B2841E" w14:textId="77777777" w:rsidR="0042347A" w:rsidRPr="00081AFF" w:rsidRDefault="0042347A" w:rsidP="00C33C54">
            <w:pPr>
              <w:spacing w:before="0" w:after="0" w:line="240" w:lineRule="auto"/>
              <w:ind w:left="0" w:right="0"/>
              <w:rPr>
                <w:sz w:val="20"/>
                <w:szCs w:val="20"/>
              </w:rPr>
            </w:pPr>
            <w:r w:rsidRPr="00081AFF">
              <w:rPr>
                <w:sz w:val="20"/>
                <w:szCs w:val="20"/>
              </w:rPr>
              <w:t>Primary outcome</w:t>
            </w:r>
          </w:p>
        </w:tc>
      </w:tr>
      <w:tr w:rsidR="0042347A" w:rsidRPr="00081AFF" w14:paraId="6EE7577C" w14:textId="77777777" w:rsidTr="0042347A">
        <w:tc>
          <w:tcPr>
            <w:tcW w:w="1668" w:type="dxa"/>
          </w:tcPr>
          <w:p w14:paraId="4BADBA20" w14:textId="02630F55" w:rsidR="0042347A" w:rsidRPr="00081AFF" w:rsidRDefault="0042347A" w:rsidP="00C33C54">
            <w:pPr>
              <w:spacing w:before="0" w:after="0" w:line="240" w:lineRule="auto"/>
              <w:ind w:left="0" w:right="0"/>
              <w:rPr>
                <w:sz w:val="20"/>
                <w:szCs w:val="20"/>
              </w:rPr>
            </w:pPr>
            <w:r w:rsidRPr="00081AFF">
              <w:rPr>
                <w:sz w:val="20"/>
                <w:szCs w:val="20"/>
              </w:rPr>
              <w:t>INOT41</w:t>
            </w:r>
            <w:bookmarkStart w:id="65" w:name="_Ref10649250"/>
            <w:r w:rsidRPr="00081AFF">
              <w:rPr>
                <w:sz w:val="20"/>
                <w:szCs w:val="20"/>
              </w:rPr>
              <w:t xml:space="preserve"> (</w:t>
            </w:r>
            <w:proofErr w:type="spellStart"/>
            <w:r w:rsidRPr="00081AFF">
              <w:rPr>
                <w:sz w:val="20"/>
                <w:szCs w:val="20"/>
              </w:rPr>
              <w:t>Popatov</w:t>
            </w:r>
            <w:proofErr w:type="spellEnd"/>
            <w:r w:rsidRPr="00081AFF">
              <w:rPr>
                <w:sz w:val="20"/>
                <w:szCs w:val="20"/>
              </w:rPr>
              <w:t xml:space="preserve"> et al</w:t>
            </w:r>
            <w:r w:rsidR="004F47DC">
              <w:rPr>
                <w:sz w:val="20"/>
                <w:szCs w:val="20"/>
              </w:rPr>
              <w:t>.,</w:t>
            </w:r>
            <w:r w:rsidRPr="00081AFF">
              <w:rPr>
                <w:sz w:val="20"/>
                <w:szCs w:val="20"/>
              </w:rPr>
              <w:t xml:space="preserve"> 2011)</w:t>
            </w:r>
            <w:bookmarkStart w:id="66" w:name="_Ref22563043"/>
            <w:r w:rsidR="004F47DC">
              <w:rPr>
                <w:sz w:val="20"/>
                <w:szCs w:val="20"/>
              </w:rPr>
              <w:t>;</w:t>
            </w:r>
            <w:bookmarkStart w:id="67" w:name="_Ref25845701"/>
            <w:r w:rsidRPr="00081AFF">
              <w:rPr>
                <w:rStyle w:val="FootnoteReference"/>
                <w:sz w:val="20"/>
                <w:szCs w:val="20"/>
              </w:rPr>
              <w:footnoteReference w:id="4"/>
            </w:r>
            <w:bookmarkEnd w:id="65"/>
            <w:bookmarkEnd w:id="66"/>
            <w:bookmarkEnd w:id="67"/>
          </w:p>
        </w:tc>
        <w:tc>
          <w:tcPr>
            <w:tcW w:w="1275" w:type="dxa"/>
          </w:tcPr>
          <w:p w14:paraId="62CA3105" w14:textId="290D0D54" w:rsidR="0042347A" w:rsidRPr="00081AFF" w:rsidRDefault="0042347A" w:rsidP="004F47DC">
            <w:pPr>
              <w:spacing w:before="0" w:after="0" w:line="240" w:lineRule="auto"/>
              <w:ind w:left="0" w:right="0"/>
              <w:rPr>
                <w:sz w:val="20"/>
                <w:szCs w:val="20"/>
              </w:rPr>
            </w:pPr>
            <w:r w:rsidRPr="00081AFF">
              <w:rPr>
                <w:sz w:val="20"/>
                <w:szCs w:val="20"/>
              </w:rPr>
              <w:t>R,</w:t>
            </w:r>
            <w:r w:rsidR="00293B03">
              <w:rPr>
                <w:sz w:val="20"/>
                <w:szCs w:val="20"/>
              </w:rPr>
              <w:t xml:space="preserve"> </w:t>
            </w:r>
            <w:r w:rsidRPr="00081AFF">
              <w:rPr>
                <w:sz w:val="20"/>
                <w:szCs w:val="20"/>
              </w:rPr>
              <w:t>C</w:t>
            </w:r>
          </w:p>
        </w:tc>
        <w:tc>
          <w:tcPr>
            <w:tcW w:w="1276" w:type="dxa"/>
          </w:tcPr>
          <w:p w14:paraId="01C76D07" w14:textId="77777777" w:rsidR="0042347A" w:rsidRPr="00081AFF" w:rsidRDefault="0042347A" w:rsidP="00C33C54">
            <w:pPr>
              <w:spacing w:before="0" w:after="0" w:line="240" w:lineRule="auto"/>
              <w:ind w:left="0" w:right="0"/>
              <w:rPr>
                <w:sz w:val="20"/>
                <w:szCs w:val="20"/>
              </w:rPr>
            </w:pPr>
            <w:r w:rsidRPr="00081AFF">
              <w:rPr>
                <w:sz w:val="20"/>
                <w:szCs w:val="20"/>
              </w:rPr>
              <w:t>150</w:t>
            </w:r>
          </w:p>
        </w:tc>
        <w:tc>
          <w:tcPr>
            <w:tcW w:w="4501" w:type="dxa"/>
          </w:tcPr>
          <w:p w14:paraId="5AAE61B6" w14:textId="157DBF44" w:rsidR="0042347A" w:rsidRPr="00081AFF" w:rsidRDefault="0042347A" w:rsidP="00C33C54">
            <w:pPr>
              <w:spacing w:before="0" w:after="0" w:line="240" w:lineRule="auto"/>
              <w:ind w:left="0" w:right="0"/>
              <w:rPr>
                <w:sz w:val="20"/>
                <w:szCs w:val="20"/>
              </w:rPr>
            </w:pPr>
            <w:proofErr w:type="spellStart"/>
            <w:r w:rsidRPr="00081AFF">
              <w:rPr>
                <w:sz w:val="20"/>
                <w:szCs w:val="20"/>
              </w:rPr>
              <w:t>iNO</w:t>
            </w:r>
            <w:proofErr w:type="spellEnd"/>
            <w:r w:rsidRPr="00081AFF">
              <w:rPr>
                <w:sz w:val="20"/>
                <w:szCs w:val="20"/>
              </w:rPr>
              <w:t xml:space="preserve"> reduced the incidence of right ventricular dysfunction, but not significantly. There was a trend to decrease the time required for mechanical ventilation </w:t>
            </w:r>
            <w:proofErr w:type="spellStart"/>
            <w:r w:rsidRPr="00081AFF">
              <w:rPr>
                <w:sz w:val="20"/>
                <w:szCs w:val="20"/>
              </w:rPr>
              <w:t>iNO</w:t>
            </w:r>
            <w:proofErr w:type="spellEnd"/>
            <w:r w:rsidRPr="00081AFF">
              <w:rPr>
                <w:sz w:val="20"/>
                <w:szCs w:val="20"/>
              </w:rPr>
              <w:t xml:space="preserve"> (</w:t>
            </w:r>
            <w:r w:rsidR="004F47DC">
              <w:rPr>
                <w:sz w:val="20"/>
                <w:szCs w:val="20"/>
              </w:rPr>
              <w:t>p</w:t>
            </w:r>
            <w:r w:rsidRPr="00081AFF">
              <w:rPr>
                <w:sz w:val="20"/>
                <w:szCs w:val="20"/>
              </w:rPr>
              <w:t xml:space="preserve"> =</w:t>
            </w:r>
            <w:r w:rsidR="004F47DC">
              <w:rPr>
                <w:sz w:val="20"/>
                <w:szCs w:val="20"/>
              </w:rPr>
              <w:t xml:space="preserve"> </w:t>
            </w:r>
            <w:r w:rsidRPr="00081AFF">
              <w:rPr>
                <w:sz w:val="20"/>
                <w:szCs w:val="20"/>
              </w:rPr>
              <w:t>0.077)</w:t>
            </w:r>
          </w:p>
        </w:tc>
      </w:tr>
    </w:tbl>
    <w:p w14:paraId="3C14351F" w14:textId="22D876A9" w:rsidR="0042347A" w:rsidRDefault="0021039D" w:rsidP="0021039D">
      <w:pPr>
        <w:pStyle w:val="TableDescription"/>
      </w:pPr>
      <w:r>
        <w:t>R: randomised; C: controlled</w:t>
      </w:r>
    </w:p>
    <w:p w14:paraId="6E46B083" w14:textId="77777777" w:rsidR="00C33C54" w:rsidRDefault="00035230" w:rsidP="00724497">
      <w:pPr>
        <w:pStyle w:val="TableTitle"/>
      </w:pPr>
      <w:r>
        <w:t>Table 3</w:t>
      </w:r>
      <w:r w:rsidR="0031037B">
        <w:t>:</w:t>
      </w:r>
      <w:r w:rsidR="00CB7A27" w:rsidRPr="00CB7A27">
        <w:t xml:space="preserve"> Published </w:t>
      </w:r>
      <w:r w:rsidRPr="00CB7A27">
        <w:t>and previously evaluated studies in adult patients undergoing cardiac surger</w:t>
      </w:r>
      <w:r w:rsidR="00CB7A27" w:rsidRPr="00CB7A27">
        <w:t>y</w:t>
      </w:r>
    </w:p>
    <w:tbl>
      <w:tblPr>
        <w:tblStyle w:val="TableTGAblue"/>
        <w:tblW w:w="0" w:type="auto"/>
        <w:tblLook w:val="04A0" w:firstRow="1" w:lastRow="0" w:firstColumn="1" w:lastColumn="0" w:noHBand="0" w:noVBand="1"/>
      </w:tblPr>
      <w:tblGrid>
        <w:gridCol w:w="1849"/>
        <w:gridCol w:w="1267"/>
        <w:gridCol w:w="132"/>
        <w:gridCol w:w="1221"/>
        <w:gridCol w:w="4251"/>
      </w:tblGrid>
      <w:tr w:rsidR="0042347A" w:rsidRPr="002F1E61" w14:paraId="491D28F1" w14:textId="77777777" w:rsidTr="0021039D">
        <w:trPr>
          <w:cnfStyle w:val="100000000000" w:firstRow="1" w:lastRow="0" w:firstColumn="0" w:lastColumn="0" w:oddVBand="0" w:evenVBand="0" w:oddHBand="0" w:evenHBand="0" w:firstRowFirstColumn="0" w:firstRowLastColumn="0" w:lastRowFirstColumn="0" w:lastRowLastColumn="0"/>
          <w:trHeight w:val="550"/>
        </w:trPr>
        <w:tc>
          <w:tcPr>
            <w:tcW w:w="1854" w:type="dxa"/>
          </w:tcPr>
          <w:p w14:paraId="28EE9205" w14:textId="7B199C89" w:rsidR="0042347A" w:rsidRPr="002F1E61" w:rsidRDefault="0042347A" w:rsidP="002F1E61">
            <w:pPr>
              <w:rPr>
                <w:sz w:val="20"/>
                <w:szCs w:val="20"/>
              </w:rPr>
            </w:pPr>
            <w:r w:rsidRPr="002F1E61">
              <w:rPr>
                <w:sz w:val="20"/>
                <w:szCs w:val="20"/>
              </w:rPr>
              <w:t>First author /</w:t>
            </w:r>
            <w:r w:rsidR="004F47DC" w:rsidRPr="002F1E61">
              <w:rPr>
                <w:sz w:val="20"/>
                <w:szCs w:val="20"/>
              </w:rPr>
              <w:t xml:space="preserve"> </w:t>
            </w:r>
            <w:r w:rsidRPr="002F1E61">
              <w:rPr>
                <w:sz w:val="20"/>
                <w:szCs w:val="20"/>
              </w:rPr>
              <w:t>year</w:t>
            </w:r>
          </w:p>
        </w:tc>
        <w:tc>
          <w:tcPr>
            <w:tcW w:w="1271" w:type="dxa"/>
          </w:tcPr>
          <w:p w14:paraId="63648A2E" w14:textId="77777777" w:rsidR="0042347A" w:rsidRPr="002F1E61" w:rsidRDefault="0042347A" w:rsidP="002F1E61">
            <w:pPr>
              <w:rPr>
                <w:sz w:val="20"/>
                <w:szCs w:val="20"/>
              </w:rPr>
            </w:pPr>
            <w:r w:rsidRPr="002F1E61">
              <w:rPr>
                <w:sz w:val="20"/>
                <w:szCs w:val="20"/>
              </w:rPr>
              <w:t>Study design</w:t>
            </w:r>
          </w:p>
        </w:tc>
        <w:tc>
          <w:tcPr>
            <w:tcW w:w="1251" w:type="dxa"/>
            <w:gridSpan w:val="2"/>
          </w:tcPr>
          <w:p w14:paraId="2315E1AD" w14:textId="14970D82" w:rsidR="0042347A" w:rsidRPr="002F1E61" w:rsidRDefault="0042347A" w:rsidP="002F1E61">
            <w:pPr>
              <w:rPr>
                <w:sz w:val="20"/>
                <w:szCs w:val="20"/>
              </w:rPr>
            </w:pPr>
            <w:r w:rsidRPr="002F1E61">
              <w:rPr>
                <w:sz w:val="20"/>
                <w:szCs w:val="20"/>
              </w:rPr>
              <w:t xml:space="preserve">No of </w:t>
            </w:r>
            <w:r w:rsidR="004F47DC" w:rsidRPr="002F1E61">
              <w:rPr>
                <w:sz w:val="20"/>
                <w:szCs w:val="20"/>
              </w:rPr>
              <w:t>patients</w:t>
            </w:r>
          </w:p>
        </w:tc>
        <w:tc>
          <w:tcPr>
            <w:tcW w:w="4344" w:type="dxa"/>
          </w:tcPr>
          <w:p w14:paraId="197F70F5" w14:textId="77777777" w:rsidR="0042347A" w:rsidRPr="002F1E61" w:rsidRDefault="0042347A" w:rsidP="002F1E61">
            <w:pPr>
              <w:rPr>
                <w:sz w:val="20"/>
                <w:szCs w:val="20"/>
              </w:rPr>
            </w:pPr>
            <w:r w:rsidRPr="002F1E61">
              <w:rPr>
                <w:sz w:val="20"/>
                <w:szCs w:val="20"/>
              </w:rPr>
              <w:t>Primary outcome</w:t>
            </w:r>
          </w:p>
        </w:tc>
      </w:tr>
      <w:tr w:rsidR="0042347A" w:rsidRPr="002F1E61" w14:paraId="0615FB5A" w14:textId="77777777" w:rsidTr="006669E4">
        <w:tc>
          <w:tcPr>
            <w:tcW w:w="8720" w:type="dxa"/>
            <w:gridSpan w:val="5"/>
          </w:tcPr>
          <w:p w14:paraId="7EB87964" w14:textId="1AFD0FB5" w:rsidR="0042347A" w:rsidRPr="002F1E61" w:rsidRDefault="0042347A" w:rsidP="002F1E61">
            <w:pPr>
              <w:rPr>
                <w:sz w:val="20"/>
                <w:szCs w:val="20"/>
              </w:rPr>
            </w:pPr>
            <w:proofErr w:type="spellStart"/>
            <w:r w:rsidRPr="002F1E61">
              <w:rPr>
                <w:sz w:val="20"/>
                <w:szCs w:val="20"/>
              </w:rPr>
              <w:t>Haemodynamics</w:t>
            </w:r>
            <w:proofErr w:type="spellEnd"/>
            <w:r w:rsidRPr="002F1E61">
              <w:rPr>
                <w:sz w:val="20"/>
                <w:szCs w:val="20"/>
              </w:rPr>
              <w:t xml:space="preserve"> in </w:t>
            </w:r>
            <w:r w:rsidR="004F47DC" w:rsidRPr="002F1E61">
              <w:rPr>
                <w:sz w:val="20"/>
                <w:szCs w:val="20"/>
              </w:rPr>
              <w:t>a</w:t>
            </w:r>
            <w:r w:rsidRPr="002F1E61">
              <w:rPr>
                <w:sz w:val="20"/>
                <w:szCs w:val="20"/>
              </w:rPr>
              <w:t xml:space="preserve">dult </w:t>
            </w:r>
            <w:r w:rsidR="004F47DC" w:rsidRPr="002F1E61">
              <w:rPr>
                <w:sz w:val="20"/>
                <w:szCs w:val="20"/>
              </w:rPr>
              <w:t>c</w:t>
            </w:r>
            <w:r w:rsidRPr="002F1E61">
              <w:rPr>
                <w:sz w:val="20"/>
                <w:szCs w:val="20"/>
              </w:rPr>
              <w:t>ardiac surgery</w:t>
            </w:r>
          </w:p>
        </w:tc>
      </w:tr>
      <w:tr w:rsidR="0042347A" w:rsidRPr="002F1E61" w14:paraId="69125B64" w14:textId="77777777" w:rsidTr="00C33C54">
        <w:tc>
          <w:tcPr>
            <w:tcW w:w="1854" w:type="dxa"/>
          </w:tcPr>
          <w:p w14:paraId="14584F4A" w14:textId="0CA072DC" w:rsidR="0042347A" w:rsidRPr="002F1E61" w:rsidRDefault="0042347A" w:rsidP="002F1E61">
            <w:pPr>
              <w:rPr>
                <w:sz w:val="20"/>
                <w:szCs w:val="20"/>
              </w:rPr>
            </w:pPr>
            <w:r w:rsidRPr="002F1E61">
              <w:rPr>
                <w:sz w:val="20"/>
                <w:szCs w:val="20"/>
              </w:rPr>
              <w:t>Girard 1992</w:t>
            </w:r>
            <w:r w:rsidR="004F47DC" w:rsidRPr="002F1E61">
              <w:rPr>
                <w:sz w:val="20"/>
                <w:szCs w:val="20"/>
              </w:rPr>
              <w:t>;</w:t>
            </w:r>
            <w:r w:rsidR="00C33C54" w:rsidRPr="002F1E61">
              <w:rPr>
                <w:rStyle w:val="FootnoteReference"/>
                <w:sz w:val="20"/>
                <w:szCs w:val="20"/>
              </w:rPr>
              <w:footnoteReference w:id="5"/>
            </w:r>
          </w:p>
        </w:tc>
        <w:tc>
          <w:tcPr>
            <w:tcW w:w="1405" w:type="dxa"/>
            <w:gridSpan w:val="2"/>
          </w:tcPr>
          <w:p w14:paraId="1AE68813" w14:textId="77777777" w:rsidR="0042347A" w:rsidRPr="002F1E61" w:rsidRDefault="0042347A" w:rsidP="002F1E61">
            <w:pPr>
              <w:rPr>
                <w:sz w:val="20"/>
                <w:szCs w:val="20"/>
              </w:rPr>
            </w:pPr>
            <w:r w:rsidRPr="002F1E61">
              <w:rPr>
                <w:sz w:val="20"/>
                <w:szCs w:val="20"/>
              </w:rPr>
              <w:t>open</w:t>
            </w:r>
          </w:p>
        </w:tc>
        <w:tc>
          <w:tcPr>
            <w:tcW w:w="1117" w:type="dxa"/>
          </w:tcPr>
          <w:p w14:paraId="18FF119A" w14:textId="77777777" w:rsidR="0042347A" w:rsidRPr="002F1E61" w:rsidRDefault="0042347A" w:rsidP="002F1E61">
            <w:pPr>
              <w:rPr>
                <w:sz w:val="20"/>
                <w:szCs w:val="20"/>
              </w:rPr>
            </w:pPr>
            <w:r w:rsidRPr="002F1E61">
              <w:rPr>
                <w:sz w:val="20"/>
                <w:szCs w:val="20"/>
              </w:rPr>
              <w:t>6</w:t>
            </w:r>
          </w:p>
        </w:tc>
        <w:tc>
          <w:tcPr>
            <w:tcW w:w="4344" w:type="dxa"/>
          </w:tcPr>
          <w:p w14:paraId="0C530C7A" w14:textId="77777777" w:rsidR="0042347A" w:rsidRPr="002F1E61" w:rsidRDefault="0042347A" w:rsidP="002F1E61">
            <w:pPr>
              <w:rPr>
                <w:sz w:val="20"/>
                <w:szCs w:val="20"/>
              </w:rPr>
            </w:pPr>
            <w:proofErr w:type="spellStart"/>
            <w:r w:rsidRPr="002F1E61">
              <w:rPr>
                <w:sz w:val="20"/>
                <w:szCs w:val="20"/>
              </w:rPr>
              <w:t>iNO</w:t>
            </w:r>
            <w:proofErr w:type="spellEnd"/>
            <w:r w:rsidRPr="002F1E61">
              <w:rPr>
                <w:sz w:val="20"/>
                <w:szCs w:val="20"/>
              </w:rPr>
              <w:t xml:space="preserve"> for 10 minutes improved </w:t>
            </w:r>
            <w:proofErr w:type="spellStart"/>
            <w:r w:rsidRPr="002F1E61">
              <w:rPr>
                <w:sz w:val="20"/>
                <w:szCs w:val="20"/>
              </w:rPr>
              <w:t>haemodynamics</w:t>
            </w:r>
            <w:proofErr w:type="spellEnd"/>
            <w:r w:rsidRPr="002F1E61">
              <w:rPr>
                <w:sz w:val="20"/>
                <w:szCs w:val="20"/>
              </w:rPr>
              <w:t xml:space="preserve"> in patients with mild PAH post mitral valve surgery</w:t>
            </w:r>
          </w:p>
        </w:tc>
      </w:tr>
      <w:tr w:rsidR="0042347A" w:rsidRPr="002F1E61" w14:paraId="29CD2388" w14:textId="77777777" w:rsidTr="00C33C54">
        <w:tc>
          <w:tcPr>
            <w:tcW w:w="1854" w:type="dxa"/>
          </w:tcPr>
          <w:p w14:paraId="0048F894" w14:textId="2D4FE634" w:rsidR="0042347A" w:rsidRPr="002F1E61" w:rsidRDefault="0042347A" w:rsidP="002F1E61">
            <w:pPr>
              <w:rPr>
                <w:sz w:val="20"/>
                <w:szCs w:val="20"/>
              </w:rPr>
            </w:pPr>
            <w:proofErr w:type="spellStart"/>
            <w:r w:rsidRPr="002F1E61">
              <w:rPr>
                <w:sz w:val="20"/>
                <w:szCs w:val="20"/>
              </w:rPr>
              <w:t>Lepore</w:t>
            </w:r>
            <w:proofErr w:type="spellEnd"/>
            <w:r w:rsidRPr="002F1E61">
              <w:rPr>
                <w:sz w:val="20"/>
                <w:szCs w:val="20"/>
              </w:rPr>
              <w:t xml:space="preserve"> 2005</w:t>
            </w:r>
            <w:r w:rsidR="004F47DC" w:rsidRPr="002F1E61">
              <w:rPr>
                <w:sz w:val="20"/>
                <w:szCs w:val="20"/>
              </w:rPr>
              <w:t>;</w:t>
            </w:r>
            <w:r w:rsidR="006669E4" w:rsidRPr="002F1E61">
              <w:rPr>
                <w:rStyle w:val="FootnoteReference"/>
                <w:sz w:val="20"/>
                <w:szCs w:val="20"/>
              </w:rPr>
              <w:footnoteReference w:id="6"/>
            </w:r>
          </w:p>
        </w:tc>
        <w:tc>
          <w:tcPr>
            <w:tcW w:w="1405" w:type="dxa"/>
            <w:gridSpan w:val="2"/>
          </w:tcPr>
          <w:p w14:paraId="0A74F2CD" w14:textId="77777777" w:rsidR="0042347A" w:rsidRPr="002F1E61" w:rsidRDefault="0042347A" w:rsidP="002F1E61">
            <w:pPr>
              <w:rPr>
                <w:sz w:val="20"/>
                <w:szCs w:val="20"/>
              </w:rPr>
            </w:pPr>
            <w:r w:rsidRPr="002F1E61">
              <w:rPr>
                <w:sz w:val="20"/>
                <w:szCs w:val="20"/>
              </w:rPr>
              <w:t>open</w:t>
            </w:r>
          </w:p>
        </w:tc>
        <w:tc>
          <w:tcPr>
            <w:tcW w:w="1117" w:type="dxa"/>
          </w:tcPr>
          <w:p w14:paraId="43935C52" w14:textId="77777777" w:rsidR="0042347A" w:rsidRPr="002F1E61" w:rsidRDefault="0042347A" w:rsidP="002F1E61">
            <w:pPr>
              <w:rPr>
                <w:sz w:val="20"/>
                <w:szCs w:val="20"/>
              </w:rPr>
            </w:pPr>
            <w:r w:rsidRPr="002F1E61">
              <w:rPr>
                <w:sz w:val="20"/>
                <w:szCs w:val="20"/>
              </w:rPr>
              <w:t>9</w:t>
            </w:r>
          </w:p>
        </w:tc>
        <w:tc>
          <w:tcPr>
            <w:tcW w:w="4344" w:type="dxa"/>
          </w:tcPr>
          <w:p w14:paraId="07498056" w14:textId="46C02618" w:rsidR="0042347A" w:rsidRPr="002F1E61" w:rsidRDefault="0042347A" w:rsidP="002F1E61">
            <w:pPr>
              <w:rPr>
                <w:sz w:val="20"/>
                <w:szCs w:val="20"/>
              </w:rPr>
            </w:pPr>
            <w:proofErr w:type="spellStart"/>
            <w:r w:rsidRPr="002F1E61">
              <w:rPr>
                <w:sz w:val="20"/>
                <w:szCs w:val="20"/>
              </w:rPr>
              <w:t>iNO</w:t>
            </w:r>
            <w:proofErr w:type="spellEnd"/>
            <w:r w:rsidRPr="002F1E61">
              <w:rPr>
                <w:sz w:val="20"/>
                <w:szCs w:val="20"/>
              </w:rPr>
              <w:t xml:space="preserve"> decreased PAP and PVR by 10 ± 4% and 26 ± 12%, respectively (both </w:t>
            </w:r>
            <w:r w:rsidR="004F47DC" w:rsidRPr="002F1E61">
              <w:rPr>
                <w:sz w:val="20"/>
                <w:szCs w:val="20"/>
              </w:rPr>
              <w:t xml:space="preserve">p </w:t>
            </w:r>
            <w:r w:rsidRPr="002F1E61">
              <w:rPr>
                <w:sz w:val="20"/>
                <w:szCs w:val="20"/>
              </w:rPr>
              <w:t>&lt; 0.05) in potential transplant patients</w:t>
            </w:r>
          </w:p>
        </w:tc>
      </w:tr>
      <w:tr w:rsidR="0042347A" w:rsidRPr="002F1E61" w14:paraId="3247CE80" w14:textId="77777777" w:rsidTr="00C33C54">
        <w:tc>
          <w:tcPr>
            <w:tcW w:w="1854" w:type="dxa"/>
          </w:tcPr>
          <w:p w14:paraId="3DD8EC67" w14:textId="6D3F26D1" w:rsidR="0042347A" w:rsidRPr="002F1E61" w:rsidRDefault="0042347A" w:rsidP="002F1E61">
            <w:pPr>
              <w:rPr>
                <w:sz w:val="20"/>
                <w:szCs w:val="20"/>
              </w:rPr>
            </w:pPr>
            <w:r w:rsidRPr="002F1E61">
              <w:rPr>
                <w:sz w:val="20"/>
                <w:szCs w:val="20"/>
              </w:rPr>
              <w:t>Lindberg 1994</w:t>
            </w:r>
            <w:r w:rsidR="004F47DC" w:rsidRPr="002F1E61">
              <w:rPr>
                <w:sz w:val="20"/>
                <w:szCs w:val="20"/>
              </w:rPr>
              <w:t>;</w:t>
            </w:r>
            <w:r w:rsidR="006669E4" w:rsidRPr="002F1E61">
              <w:rPr>
                <w:rStyle w:val="FootnoteReference"/>
                <w:sz w:val="20"/>
                <w:szCs w:val="20"/>
              </w:rPr>
              <w:footnoteReference w:id="7"/>
            </w:r>
          </w:p>
        </w:tc>
        <w:tc>
          <w:tcPr>
            <w:tcW w:w="1405" w:type="dxa"/>
            <w:gridSpan w:val="2"/>
          </w:tcPr>
          <w:p w14:paraId="45F1F6A5" w14:textId="77777777" w:rsidR="0042347A" w:rsidRPr="002F1E61" w:rsidRDefault="0042347A" w:rsidP="002F1E61">
            <w:pPr>
              <w:rPr>
                <w:sz w:val="20"/>
                <w:szCs w:val="20"/>
              </w:rPr>
            </w:pPr>
            <w:r w:rsidRPr="002F1E61">
              <w:rPr>
                <w:sz w:val="20"/>
                <w:szCs w:val="20"/>
              </w:rPr>
              <w:t>open</w:t>
            </w:r>
          </w:p>
        </w:tc>
        <w:tc>
          <w:tcPr>
            <w:tcW w:w="1117" w:type="dxa"/>
          </w:tcPr>
          <w:p w14:paraId="6E8FFFDD" w14:textId="77777777" w:rsidR="0042347A" w:rsidRPr="002F1E61" w:rsidRDefault="0042347A" w:rsidP="002F1E61">
            <w:pPr>
              <w:rPr>
                <w:sz w:val="20"/>
                <w:szCs w:val="20"/>
              </w:rPr>
            </w:pPr>
            <w:r w:rsidRPr="002F1E61">
              <w:rPr>
                <w:sz w:val="20"/>
                <w:szCs w:val="20"/>
              </w:rPr>
              <w:t>7</w:t>
            </w:r>
          </w:p>
        </w:tc>
        <w:tc>
          <w:tcPr>
            <w:tcW w:w="4344" w:type="dxa"/>
          </w:tcPr>
          <w:p w14:paraId="2557BF04" w14:textId="22F1B050" w:rsidR="0042347A" w:rsidRPr="002F1E61" w:rsidRDefault="0042347A" w:rsidP="002F1E61">
            <w:pPr>
              <w:rPr>
                <w:sz w:val="20"/>
                <w:szCs w:val="20"/>
              </w:rPr>
            </w:pPr>
            <w:r w:rsidRPr="002F1E61">
              <w:rPr>
                <w:sz w:val="20"/>
                <w:szCs w:val="20"/>
              </w:rPr>
              <w:t xml:space="preserve">Dose response to </w:t>
            </w:r>
            <w:proofErr w:type="spellStart"/>
            <w:r w:rsidRPr="002F1E61">
              <w:rPr>
                <w:sz w:val="20"/>
                <w:szCs w:val="20"/>
              </w:rPr>
              <w:t>iNO</w:t>
            </w:r>
            <w:proofErr w:type="spellEnd"/>
            <w:r w:rsidRPr="002F1E61">
              <w:rPr>
                <w:sz w:val="20"/>
                <w:szCs w:val="20"/>
              </w:rPr>
              <w:t xml:space="preserve"> post CABG surgery – response same at all doses. Mean decrease in PAP and PVR of 11 ± 1% and 22 ± 22%, respectively, (both </w:t>
            </w:r>
            <w:r w:rsidR="004F47DC" w:rsidRPr="002F1E61">
              <w:rPr>
                <w:sz w:val="20"/>
                <w:szCs w:val="20"/>
              </w:rPr>
              <w:t xml:space="preserve">p </w:t>
            </w:r>
            <w:r w:rsidRPr="002F1E61">
              <w:rPr>
                <w:sz w:val="20"/>
                <w:szCs w:val="20"/>
              </w:rPr>
              <w:t>&lt; 0.05)</w:t>
            </w:r>
          </w:p>
        </w:tc>
      </w:tr>
      <w:tr w:rsidR="0042347A" w:rsidRPr="002F1E61" w14:paraId="65CB2821" w14:textId="77777777" w:rsidTr="006669E4">
        <w:tc>
          <w:tcPr>
            <w:tcW w:w="8720" w:type="dxa"/>
            <w:gridSpan w:val="5"/>
          </w:tcPr>
          <w:p w14:paraId="07C9DA5F" w14:textId="77777777" w:rsidR="0042347A" w:rsidRPr="002F1E61" w:rsidRDefault="0042347A" w:rsidP="002F1E61">
            <w:pPr>
              <w:rPr>
                <w:sz w:val="20"/>
                <w:szCs w:val="20"/>
              </w:rPr>
            </w:pPr>
            <w:r w:rsidRPr="002F1E61">
              <w:rPr>
                <w:sz w:val="20"/>
                <w:szCs w:val="20"/>
              </w:rPr>
              <w:t>Cardiac surgery, various</w:t>
            </w:r>
          </w:p>
        </w:tc>
      </w:tr>
      <w:tr w:rsidR="0042347A" w:rsidRPr="002F1E61" w14:paraId="4F17A6A1" w14:textId="77777777" w:rsidTr="00C33C54">
        <w:tc>
          <w:tcPr>
            <w:tcW w:w="1854" w:type="dxa"/>
          </w:tcPr>
          <w:p w14:paraId="3DCF6DFA" w14:textId="2AC10D2C" w:rsidR="0042347A" w:rsidRPr="002F1E61" w:rsidRDefault="0042347A" w:rsidP="002F1E61">
            <w:pPr>
              <w:rPr>
                <w:sz w:val="20"/>
                <w:szCs w:val="20"/>
              </w:rPr>
            </w:pPr>
            <w:proofErr w:type="spellStart"/>
            <w:r w:rsidRPr="002F1E61">
              <w:rPr>
                <w:sz w:val="20"/>
                <w:szCs w:val="20"/>
              </w:rPr>
              <w:t>Fattouch</w:t>
            </w:r>
            <w:proofErr w:type="spellEnd"/>
            <w:r w:rsidRPr="002F1E61">
              <w:rPr>
                <w:sz w:val="20"/>
                <w:szCs w:val="20"/>
              </w:rPr>
              <w:t xml:space="preserve"> 2005</w:t>
            </w:r>
            <w:bookmarkStart w:id="68" w:name="_Ref20405000"/>
            <w:r w:rsidR="004F47DC" w:rsidRPr="002F1E61">
              <w:rPr>
                <w:sz w:val="20"/>
                <w:szCs w:val="20"/>
              </w:rPr>
              <w:t>;</w:t>
            </w:r>
            <w:bookmarkStart w:id="69" w:name="_Ref25843832"/>
            <w:r w:rsidR="006669E4" w:rsidRPr="002F1E61">
              <w:rPr>
                <w:rStyle w:val="FootnoteReference"/>
                <w:sz w:val="20"/>
                <w:szCs w:val="20"/>
              </w:rPr>
              <w:footnoteReference w:id="8"/>
            </w:r>
            <w:bookmarkEnd w:id="68"/>
            <w:bookmarkEnd w:id="69"/>
          </w:p>
        </w:tc>
        <w:tc>
          <w:tcPr>
            <w:tcW w:w="1405" w:type="dxa"/>
            <w:gridSpan w:val="2"/>
          </w:tcPr>
          <w:p w14:paraId="59BAF08D" w14:textId="77777777" w:rsidR="0042347A" w:rsidRPr="002F1E61" w:rsidRDefault="0042347A" w:rsidP="002F1E61">
            <w:pPr>
              <w:rPr>
                <w:sz w:val="20"/>
                <w:szCs w:val="20"/>
              </w:rPr>
            </w:pPr>
            <w:r w:rsidRPr="002F1E61">
              <w:rPr>
                <w:sz w:val="20"/>
                <w:szCs w:val="20"/>
              </w:rPr>
              <w:t>R, C, DB</w:t>
            </w:r>
          </w:p>
        </w:tc>
        <w:tc>
          <w:tcPr>
            <w:tcW w:w="1117" w:type="dxa"/>
          </w:tcPr>
          <w:p w14:paraId="73AB3E2A" w14:textId="77777777" w:rsidR="0042347A" w:rsidRPr="002F1E61" w:rsidRDefault="0042347A" w:rsidP="002F1E61">
            <w:pPr>
              <w:rPr>
                <w:sz w:val="20"/>
                <w:szCs w:val="20"/>
              </w:rPr>
            </w:pPr>
            <w:r w:rsidRPr="002F1E61">
              <w:rPr>
                <w:sz w:val="20"/>
                <w:szCs w:val="20"/>
              </w:rPr>
              <w:t>58</w:t>
            </w:r>
          </w:p>
        </w:tc>
        <w:tc>
          <w:tcPr>
            <w:tcW w:w="4344" w:type="dxa"/>
          </w:tcPr>
          <w:p w14:paraId="0B7CD583" w14:textId="77777777" w:rsidR="0042347A" w:rsidRPr="002F1E61" w:rsidRDefault="0042347A" w:rsidP="002F1E61">
            <w:pPr>
              <w:rPr>
                <w:sz w:val="20"/>
                <w:szCs w:val="20"/>
              </w:rPr>
            </w:pPr>
            <w:proofErr w:type="spellStart"/>
            <w:r w:rsidRPr="002F1E61">
              <w:rPr>
                <w:sz w:val="20"/>
                <w:szCs w:val="20"/>
              </w:rPr>
              <w:t>iNO</w:t>
            </w:r>
            <w:proofErr w:type="spellEnd"/>
            <w:r w:rsidRPr="002F1E61">
              <w:rPr>
                <w:sz w:val="20"/>
                <w:szCs w:val="20"/>
              </w:rPr>
              <w:t xml:space="preserve"> was as effective in treating PAH as inhaled </w:t>
            </w:r>
            <w:proofErr w:type="spellStart"/>
            <w:r w:rsidRPr="002F1E61">
              <w:rPr>
                <w:sz w:val="20"/>
                <w:szCs w:val="20"/>
              </w:rPr>
              <w:t>prostacycline</w:t>
            </w:r>
            <w:proofErr w:type="spellEnd"/>
            <w:r w:rsidRPr="002F1E61">
              <w:rPr>
                <w:sz w:val="20"/>
                <w:szCs w:val="20"/>
              </w:rPr>
              <w:t>. Both inhaled treatments superior to nitroprusside.</w:t>
            </w:r>
          </w:p>
        </w:tc>
      </w:tr>
      <w:tr w:rsidR="0042347A" w:rsidRPr="002F1E61" w14:paraId="4E482804" w14:textId="77777777" w:rsidTr="00C33C54">
        <w:tc>
          <w:tcPr>
            <w:tcW w:w="1854" w:type="dxa"/>
          </w:tcPr>
          <w:p w14:paraId="5960567D" w14:textId="4B232461" w:rsidR="0042347A" w:rsidRPr="002F1E61" w:rsidRDefault="0042347A" w:rsidP="002F1E61">
            <w:pPr>
              <w:rPr>
                <w:sz w:val="20"/>
                <w:szCs w:val="20"/>
              </w:rPr>
            </w:pPr>
            <w:proofErr w:type="spellStart"/>
            <w:r w:rsidRPr="002F1E61">
              <w:rPr>
                <w:sz w:val="20"/>
                <w:szCs w:val="20"/>
              </w:rPr>
              <w:t>Fattouch</w:t>
            </w:r>
            <w:proofErr w:type="spellEnd"/>
            <w:r w:rsidRPr="002F1E61">
              <w:rPr>
                <w:sz w:val="20"/>
                <w:szCs w:val="20"/>
              </w:rPr>
              <w:t xml:space="preserve"> 2006</w:t>
            </w:r>
            <w:bookmarkStart w:id="70" w:name="_Ref20405027"/>
            <w:r w:rsidR="004F47DC" w:rsidRPr="002F1E61">
              <w:rPr>
                <w:sz w:val="20"/>
                <w:szCs w:val="20"/>
              </w:rPr>
              <w:t>;</w:t>
            </w:r>
            <w:bookmarkStart w:id="71" w:name="_Ref25843875"/>
            <w:r w:rsidR="00FC1D30" w:rsidRPr="002F1E61">
              <w:rPr>
                <w:rStyle w:val="FootnoteReference"/>
                <w:sz w:val="20"/>
                <w:szCs w:val="20"/>
              </w:rPr>
              <w:footnoteReference w:id="9"/>
            </w:r>
            <w:bookmarkEnd w:id="70"/>
            <w:bookmarkEnd w:id="71"/>
          </w:p>
        </w:tc>
        <w:tc>
          <w:tcPr>
            <w:tcW w:w="1405" w:type="dxa"/>
            <w:gridSpan w:val="2"/>
          </w:tcPr>
          <w:p w14:paraId="5FE2D7BE" w14:textId="77777777" w:rsidR="0042347A" w:rsidRPr="002F1E61" w:rsidRDefault="0042347A" w:rsidP="002F1E61">
            <w:pPr>
              <w:rPr>
                <w:sz w:val="20"/>
                <w:szCs w:val="20"/>
              </w:rPr>
            </w:pPr>
            <w:r w:rsidRPr="002F1E61">
              <w:rPr>
                <w:sz w:val="20"/>
                <w:szCs w:val="20"/>
              </w:rPr>
              <w:t>R, C, DB</w:t>
            </w:r>
          </w:p>
        </w:tc>
        <w:tc>
          <w:tcPr>
            <w:tcW w:w="1117" w:type="dxa"/>
          </w:tcPr>
          <w:p w14:paraId="1C7B882A" w14:textId="77777777" w:rsidR="0042347A" w:rsidRPr="002F1E61" w:rsidRDefault="0042347A" w:rsidP="002F1E61">
            <w:pPr>
              <w:rPr>
                <w:sz w:val="20"/>
                <w:szCs w:val="20"/>
              </w:rPr>
            </w:pPr>
            <w:r w:rsidRPr="002F1E61">
              <w:rPr>
                <w:sz w:val="20"/>
                <w:szCs w:val="20"/>
              </w:rPr>
              <w:t>58</w:t>
            </w:r>
          </w:p>
        </w:tc>
        <w:tc>
          <w:tcPr>
            <w:tcW w:w="4344" w:type="dxa"/>
          </w:tcPr>
          <w:p w14:paraId="4A237B90" w14:textId="7F0392A5" w:rsidR="0042347A" w:rsidRPr="002F1E61" w:rsidRDefault="0042347A" w:rsidP="002F1E61">
            <w:pPr>
              <w:rPr>
                <w:sz w:val="20"/>
                <w:szCs w:val="20"/>
              </w:rPr>
            </w:pPr>
            <w:proofErr w:type="spellStart"/>
            <w:r w:rsidRPr="002F1E61">
              <w:rPr>
                <w:sz w:val="20"/>
                <w:szCs w:val="20"/>
              </w:rPr>
              <w:t>iNO</w:t>
            </w:r>
            <w:proofErr w:type="spellEnd"/>
            <w:r w:rsidRPr="002F1E61">
              <w:rPr>
                <w:sz w:val="20"/>
                <w:szCs w:val="20"/>
              </w:rPr>
              <w:t xml:space="preserve"> was as effective in treating PAH as inhaled </w:t>
            </w:r>
            <w:proofErr w:type="spellStart"/>
            <w:r w:rsidRPr="002F1E61">
              <w:rPr>
                <w:sz w:val="20"/>
                <w:szCs w:val="20"/>
              </w:rPr>
              <w:t>prostacycline</w:t>
            </w:r>
            <w:proofErr w:type="spellEnd"/>
            <w:r w:rsidRPr="002F1E61">
              <w:rPr>
                <w:sz w:val="20"/>
                <w:szCs w:val="20"/>
              </w:rPr>
              <w:t>. Both inhaled treatments were superior to nitroprusside. Inhaled treatments were superior with regards to time to weaning, intubatio</w:t>
            </w:r>
            <w:r w:rsidR="00C33C54" w:rsidRPr="002F1E61">
              <w:rPr>
                <w:sz w:val="20"/>
                <w:szCs w:val="20"/>
              </w:rPr>
              <w:t>n time and ICU stay (</w:t>
            </w:r>
            <w:r w:rsidR="0091246B" w:rsidRPr="002F1E61">
              <w:rPr>
                <w:sz w:val="20"/>
                <w:szCs w:val="20"/>
              </w:rPr>
              <w:t xml:space="preserve">p </w:t>
            </w:r>
            <w:r w:rsidR="00C33C54" w:rsidRPr="002F1E61">
              <w:rPr>
                <w:sz w:val="20"/>
                <w:szCs w:val="20"/>
              </w:rPr>
              <w:t>&lt; 0.05)</w:t>
            </w:r>
          </w:p>
        </w:tc>
      </w:tr>
      <w:tr w:rsidR="0042347A" w:rsidRPr="002F1E61" w14:paraId="04F592A0" w14:textId="77777777" w:rsidTr="00C33C54">
        <w:tc>
          <w:tcPr>
            <w:tcW w:w="1854" w:type="dxa"/>
          </w:tcPr>
          <w:p w14:paraId="41340016" w14:textId="77777777" w:rsidR="0042347A" w:rsidRPr="002F1E61" w:rsidRDefault="00C33C54" w:rsidP="002F1E61">
            <w:pPr>
              <w:rPr>
                <w:sz w:val="20"/>
                <w:szCs w:val="20"/>
              </w:rPr>
            </w:pPr>
            <w:proofErr w:type="spellStart"/>
            <w:r w:rsidRPr="002F1E61">
              <w:rPr>
                <w:sz w:val="20"/>
                <w:szCs w:val="20"/>
              </w:rPr>
              <w:lastRenderedPageBreak/>
              <w:t>Gianetti</w:t>
            </w:r>
            <w:proofErr w:type="spellEnd"/>
            <w:r w:rsidRPr="002F1E61">
              <w:rPr>
                <w:sz w:val="20"/>
                <w:szCs w:val="20"/>
              </w:rPr>
              <w:t xml:space="preserve"> 2004</w:t>
            </w:r>
            <w:bookmarkStart w:id="72" w:name="_Ref22552902"/>
            <w:r w:rsidR="00FC1D30" w:rsidRPr="002F1E61">
              <w:rPr>
                <w:rStyle w:val="FootnoteReference"/>
                <w:sz w:val="20"/>
                <w:szCs w:val="20"/>
              </w:rPr>
              <w:footnoteReference w:id="10"/>
            </w:r>
            <w:bookmarkEnd w:id="72"/>
          </w:p>
        </w:tc>
        <w:tc>
          <w:tcPr>
            <w:tcW w:w="1405" w:type="dxa"/>
            <w:gridSpan w:val="2"/>
          </w:tcPr>
          <w:p w14:paraId="02F435A5" w14:textId="77777777" w:rsidR="0042347A" w:rsidRPr="002F1E61" w:rsidRDefault="00C33C54" w:rsidP="002F1E61">
            <w:pPr>
              <w:rPr>
                <w:sz w:val="20"/>
                <w:szCs w:val="20"/>
              </w:rPr>
            </w:pPr>
            <w:r w:rsidRPr="002F1E61">
              <w:rPr>
                <w:sz w:val="20"/>
                <w:szCs w:val="20"/>
              </w:rPr>
              <w:t>R, C</w:t>
            </w:r>
          </w:p>
        </w:tc>
        <w:tc>
          <w:tcPr>
            <w:tcW w:w="1117" w:type="dxa"/>
          </w:tcPr>
          <w:p w14:paraId="6DBAB2C3" w14:textId="77777777" w:rsidR="0042347A" w:rsidRPr="002F1E61" w:rsidRDefault="00C33C54" w:rsidP="002F1E61">
            <w:pPr>
              <w:rPr>
                <w:sz w:val="20"/>
                <w:szCs w:val="20"/>
              </w:rPr>
            </w:pPr>
            <w:r w:rsidRPr="002F1E61">
              <w:rPr>
                <w:sz w:val="20"/>
                <w:szCs w:val="20"/>
              </w:rPr>
              <w:t>29</w:t>
            </w:r>
          </w:p>
        </w:tc>
        <w:tc>
          <w:tcPr>
            <w:tcW w:w="4344" w:type="dxa"/>
          </w:tcPr>
          <w:p w14:paraId="2E68C90C" w14:textId="77777777" w:rsidR="0042347A" w:rsidRPr="002F1E61" w:rsidRDefault="00C33C54" w:rsidP="002F1E61">
            <w:pPr>
              <w:rPr>
                <w:sz w:val="20"/>
                <w:szCs w:val="20"/>
              </w:rPr>
            </w:pPr>
            <w:r w:rsidRPr="002F1E61">
              <w:rPr>
                <w:sz w:val="20"/>
                <w:szCs w:val="20"/>
              </w:rPr>
              <w:t xml:space="preserve">Low concentration </w:t>
            </w:r>
            <w:proofErr w:type="spellStart"/>
            <w:r w:rsidRPr="002F1E61">
              <w:rPr>
                <w:sz w:val="20"/>
                <w:szCs w:val="20"/>
              </w:rPr>
              <w:t>iNO</w:t>
            </w:r>
            <w:proofErr w:type="spellEnd"/>
            <w:r w:rsidRPr="002F1E61">
              <w:rPr>
                <w:sz w:val="20"/>
                <w:szCs w:val="20"/>
              </w:rPr>
              <w:t xml:space="preserve"> can blunt release of markers of myocardial injury and antagonise LV dysfunction after CPB.</w:t>
            </w:r>
          </w:p>
        </w:tc>
      </w:tr>
      <w:tr w:rsidR="0042347A" w:rsidRPr="002F1E61" w14:paraId="6B292DE8" w14:textId="77777777" w:rsidTr="00C33C54">
        <w:tc>
          <w:tcPr>
            <w:tcW w:w="1854" w:type="dxa"/>
          </w:tcPr>
          <w:p w14:paraId="5C06BF9E" w14:textId="77777777" w:rsidR="0042347A" w:rsidRPr="002F1E61" w:rsidRDefault="00C33C54" w:rsidP="002F1E61">
            <w:pPr>
              <w:rPr>
                <w:sz w:val="20"/>
                <w:szCs w:val="20"/>
              </w:rPr>
            </w:pPr>
            <w:proofErr w:type="spellStart"/>
            <w:r w:rsidRPr="002F1E61">
              <w:rPr>
                <w:sz w:val="20"/>
                <w:szCs w:val="20"/>
              </w:rPr>
              <w:t>Schmid</w:t>
            </w:r>
            <w:proofErr w:type="spellEnd"/>
            <w:r w:rsidRPr="002F1E61">
              <w:rPr>
                <w:sz w:val="20"/>
                <w:szCs w:val="20"/>
              </w:rPr>
              <w:t xml:space="preserve"> 1999</w:t>
            </w:r>
            <w:bookmarkStart w:id="73" w:name="_Ref20404887"/>
            <w:r w:rsidR="00FC1D30" w:rsidRPr="002F1E61">
              <w:rPr>
                <w:rStyle w:val="FootnoteReference"/>
                <w:sz w:val="20"/>
                <w:szCs w:val="20"/>
              </w:rPr>
              <w:footnoteReference w:id="11"/>
            </w:r>
            <w:bookmarkEnd w:id="73"/>
          </w:p>
        </w:tc>
        <w:tc>
          <w:tcPr>
            <w:tcW w:w="1405" w:type="dxa"/>
            <w:gridSpan w:val="2"/>
          </w:tcPr>
          <w:p w14:paraId="09F1F2C8" w14:textId="77777777" w:rsidR="0042347A" w:rsidRPr="002F1E61" w:rsidRDefault="00C33C54" w:rsidP="002F1E61">
            <w:pPr>
              <w:rPr>
                <w:sz w:val="20"/>
                <w:szCs w:val="20"/>
              </w:rPr>
            </w:pPr>
            <w:r w:rsidRPr="002F1E61">
              <w:rPr>
                <w:sz w:val="20"/>
                <w:szCs w:val="20"/>
              </w:rPr>
              <w:t>R, XO</w:t>
            </w:r>
          </w:p>
        </w:tc>
        <w:tc>
          <w:tcPr>
            <w:tcW w:w="1117" w:type="dxa"/>
          </w:tcPr>
          <w:p w14:paraId="21FBA917" w14:textId="77777777" w:rsidR="0042347A" w:rsidRPr="002F1E61" w:rsidRDefault="00C33C54" w:rsidP="002F1E61">
            <w:pPr>
              <w:rPr>
                <w:sz w:val="20"/>
                <w:szCs w:val="20"/>
              </w:rPr>
            </w:pPr>
            <w:r w:rsidRPr="002F1E61">
              <w:rPr>
                <w:sz w:val="20"/>
                <w:szCs w:val="20"/>
              </w:rPr>
              <w:t>14</w:t>
            </w:r>
          </w:p>
        </w:tc>
        <w:tc>
          <w:tcPr>
            <w:tcW w:w="4344" w:type="dxa"/>
          </w:tcPr>
          <w:p w14:paraId="4E92A74E" w14:textId="77777777" w:rsidR="0042347A" w:rsidRPr="002F1E61" w:rsidRDefault="00C33C54" w:rsidP="002F1E61">
            <w:pPr>
              <w:rPr>
                <w:sz w:val="20"/>
                <w:szCs w:val="20"/>
              </w:rPr>
            </w:pPr>
            <w:proofErr w:type="spellStart"/>
            <w:r w:rsidRPr="002F1E61">
              <w:rPr>
                <w:sz w:val="20"/>
                <w:szCs w:val="20"/>
              </w:rPr>
              <w:t>iNO</w:t>
            </w:r>
            <w:proofErr w:type="spellEnd"/>
            <w:r w:rsidRPr="002F1E61">
              <w:rPr>
                <w:sz w:val="20"/>
                <w:szCs w:val="20"/>
              </w:rPr>
              <w:t xml:space="preserve"> and </w:t>
            </w:r>
            <w:proofErr w:type="spellStart"/>
            <w:r w:rsidRPr="002F1E61">
              <w:rPr>
                <w:sz w:val="20"/>
                <w:szCs w:val="20"/>
              </w:rPr>
              <w:t>prostacycline</w:t>
            </w:r>
            <w:proofErr w:type="spellEnd"/>
            <w:r w:rsidRPr="002F1E61">
              <w:rPr>
                <w:sz w:val="20"/>
                <w:szCs w:val="20"/>
              </w:rPr>
              <w:t xml:space="preserve"> </w:t>
            </w:r>
            <w:r w:rsidR="008E64F9" w:rsidRPr="002F1E61">
              <w:rPr>
                <w:sz w:val="20"/>
                <w:szCs w:val="20"/>
              </w:rPr>
              <w:t xml:space="preserve">IV </w:t>
            </w:r>
            <w:r w:rsidRPr="002F1E61">
              <w:rPr>
                <w:sz w:val="20"/>
                <w:szCs w:val="20"/>
              </w:rPr>
              <w:t>decreased PVR and increased cardiac index</w:t>
            </w:r>
          </w:p>
        </w:tc>
      </w:tr>
      <w:tr w:rsidR="0042347A" w:rsidRPr="002F1E61" w14:paraId="7BB231F1" w14:textId="77777777" w:rsidTr="00C33C54">
        <w:tc>
          <w:tcPr>
            <w:tcW w:w="1854" w:type="dxa"/>
          </w:tcPr>
          <w:p w14:paraId="25D2FD91" w14:textId="47B73397" w:rsidR="0042347A" w:rsidRPr="002F1E61" w:rsidRDefault="00C33C54" w:rsidP="002F1E61">
            <w:pPr>
              <w:rPr>
                <w:sz w:val="20"/>
                <w:szCs w:val="20"/>
              </w:rPr>
            </w:pPr>
            <w:proofErr w:type="spellStart"/>
            <w:r w:rsidRPr="002F1E61">
              <w:rPr>
                <w:sz w:val="20"/>
                <w:szCs w:val="20"/>
              </w:rPr>
              <w:t>Winterhalter</w:t>
            </w:r>
            <w:proofErr w:type="spellEnd"/>
            <w:r w:rsidRPr="002F1E61">
              <w:rPr>
                <w:sz w:val="20"/>
                <w:szCs w:val="20"/>
              </w:rPr>
              <w:t xml:space="preserve"> 2008</w:t>
            </w:r>
            <w:bookmarkStart w:id="74" w:name="_Ref20405055"/>
            <w:r w:rsidR="0091246B" w:rsidRPr="002F1E61">
              <w:rPr>
                <w:sz w:val="20"/>
                <w:szCs w:val="20"/>
              </w:rPr>
              <w:t>;</w:t>
            </w:r>
            <w:bookmarkStart w:id="75" w:name="_Ref25843903"/>
            <w:r w:rsidR="00FC1D30" w:rsidRPr="002F1E61">
              <w:rPr>
                <w:rStyle w:val="FootnoteReference"/>
                <w:sz w:val="20"/>
                <w:szCs w:val="20"/>
              </w:rPr>
              <w:footnoteReference w:id="12"/>
            </w:r>
            <w:bookmarkEnd w:id="74"/>
            <w:bookmarkEnd w:id="75"/>
          </w:p>
        </w:tc>
        <w:tc>
          <w:tcPr>
            <w:tcW w:w="1405" w:type="dxa"/>
            <w:gridSpan w:val="2"/>
          </w:tcPr>
          <w:p w14:paraId="2A5666E3" w14:textId="77777777" w:rsidR="0042347A" w:rsidRPr="002F1E61" w:rsidRDefault="00C33C54" w:rsidP="002F1E61">
            <w:pPr>
              <w:rPr>
                <w:sz w:val="20"/>
                <w:szCs w:val="20"/>
              </w:rPr>
            </w:pPr>
            <w:r w:rsidRPr="002F1E61">
              <w:rPr>
                <w:sz w:val="20"/>
                <w:szCs w:val="20"/>
              </w:rPr>
              <w:t>R, C</w:t>
            </w:r>
          </w:p>
        </w:tc>
        <w:tc>
          <w:tcPr>
            <w:tcW w:w="1117" w:type="dxa"/>
          </w:tcPr>
          <w:p w14:paraId="4FB5E9AE" w14:textId="77777777" w:rsidR="0042347A" w:rsidRPr="002F1E61" w:rsidRDefault="00C33C54" w:rsidP="002F1E61">
            <w:pPr>
              <w:rPr>
                <w:sz w:val="20"/>
                <w:szCs w:val="20"/>
              </w:rPr>
            </w:pPr>
            <w:r w:rsidRPr="002F1E61">
              <w:rPr>
                <w:sz w:val="20"/>
                <w:szCs w:val="20"/>
              </w:rPr>
              <w:t>46</w:t>
            </w:r>
          </w:p>
        </w:tc>
        <w:tc>
          <w:tcPr>
            <w:tcW w:w="4344" w:type="dxa"/>
          </w:tcPr>
          <w:p w14:paraId="10D2A28A" w14:textId="77777777" w:rsidR="0042347A" w:rsidRPr="002F1E61" w:rsidRDefault="00C33C54" w:rsidP="002F1E61">
            <w:pPr>
              <w:rPr>
                <w:sz w:val="20"/>
                <w:szCs w:val="20"/>
              </w:rPr>
            </w:pPr>
            <w:proofErr w:type="spellStart"/>
            <w:r w:rsidRPr="002F1E61">
              <w:rPr>
                <w:sz w:val="20"/>
                <w:szCs w:val="20"/>
              </w:rPr>
              <w:t>iNO</w:t>
            </w:r>
            <w:proofErr w:type="spellEnd"/>
            <w:r w:rsidRPr="002F1E61">
              <w:rPr>
                <w:sz w:val="20"/>
                <w:szCs w:val="20"/>
              </w:rPr>
              <w:t xml:space="preserve"> and </w:t>
            </w:r>
            <w:proofErr w:type="spellStart"/>
            <w:r w:rsidRPr="002F1E61">
              <w:rPr>
                <w:sz w:val="20"/>
                <w:szCs w:val="20"/>
              </w:rPr>
              <w:t>iloprost</w:t>
            </w:r>
            <w:proofErr w:type="spellEnd"/>
            <w:r w:rsidRPr="002F1E61">
              <w:rPr>
                <w:sz w:val="20"/>
                <w:szCs w:val="20"/>
              </w:rPr>
              <w:t xml:space="preserve"> both reduced PAP and PVR immediately after weaning from CPB. </w:t>
            </w:r>
            <w:proofErr w:type="spellStart"/>
            <w:r w:rsidRPr="002F1E61">
              <w:rPr>
                <w:sz w:val="20"/>
                <w:szCs w:val="20"/>
              </w:rPr>
              <w:t>Iloprost</w:t>
            </w:r>
            <w:proofErr w:type="spellEnd"/>
            <w:r w:rsidRPr="002F1E61">
              <w:rPr>
                <w:sz w:val="20"/>
                <w:szCs w:val="20"/>
              </w:rPr>
              <w:t xml:space="preserve"> gave larger reductions in PVR and </w:t>
            </w:r>
            <w:proofErr w:type="spellStart"/>
            <w:r w:rsidRPr="002F1E61">
              <w:rPr>
                <w:sz w:val="20"/>
                <w:szCs w:val="20"/>
              </w:rPr>
              <w:t>mPAP</w:t>
            </w:r>
            <w:proofErr w:type="spellEnd"/>
            <w:r w:rsidRPr="002F1E61">
              <w:rPr>
                <w:sz w:val="20"/>
                <w:szCs w:val="20"/>
              </w:rPr>
              <w:t xml:space="preserve"> and greater increase in CO.</w:t>
            </w:r>
          </w:p>
        </w:tc>
      </w:tr>
      <w:tr w:rsidR="0042347A" w:rsidRPr="002F1E61" w14:paraId="5B399775" w14:textId="77777777" w:rsidTr="00C33C54">
        <w:tc>
          <w:tcPr>
            <w:tcW w:w="1854" w:type="dxa"/>
          </w:tcPr>
          <w:p w14:paraId="7E32D206" w14:textId="5A42F0E9" w:rsidR="0042347A" w:rsidRPr="002F1E61" w:rsidRDefault="00C33C54" w:rsidP="002F1E61">
            <w:pPr>
              <w:rPr>
                <w:sz w:val="20"/>
                <w:szCs w:val="20"/>
              </w:rPr>
            </w:pPr>
            <w:proofErr w:type="spellStart"/>
            <w:r w:rsidRPr="002F1E61">
              <w:rPr>
                <w:sz w:val="20"/>
                <w:szCs w:val="20"/>
              </w:rPr>
              <w:t>Solina</w:t>
            </w:r>
            <w:proofErr w:type="spellEnd"/>
            <w:r w:rsidRPr="002F1E61">
              <w:rPr>
                <w:sz w:val="20"/>
                <w:szCs w:val="20"/>
              </w:rPr>
              <w:t xml:space="preserve"> 2000</w:t>
            </w:r>
            <w:bookmarkStart w:id="76" w:name="_Ref20404820"/>
            <w:r w:rsidR="0091246B" w:rsidRPr="002F1E61">
              <w:rPr>
                <w:sz w:val="20"/>
                <w:szCs w:val="20"/>
              </w:rPr>
              <w:t>;</w:t>
            </w:r>
            <w:bookmarkStart w:id="77" w:name="_Ref25843707"/>
            <w:r w:rsidR="00FC1D30" w:rsidRPr="002F1E61">
              <w:rPr>
                <w:rStyle w:val="FootnoteReference"/>
                <w:sz w:val="20"/>
                <w:szCs w:val="20"/>
              </w:rPr>
              <w:footnoteReference w:id="13"/>
            </w:r>
            <w:bookmarkEnd w:id="76"/>
            <w:bookmarkEnd w:id="77"/>
          </w:p>
        </w:tc>
        <w:tc>
          <w:tcPr>
            <w:tcW w:w="1405" w:type="dxa"/>
            <w:gridSpan w:val="2"/>
          </w:tcPr>
          <w:p w14:paraId="7EB02A89" w14:textId="77777777" w:rsidR="0042347A" w:rsidRPr="002F1E61" w:rsidRDefault="00C33C54" w:rsidP="002F1E61">
            <w:pPr>
              <w:rPr>
                <w:sz w:val="20"/>
                <w:szCs w:val="20"/>
              </w:rPr>
            </w:pPr>
            <w:r w:rsidRPr="002F1E61">
              <w:rPr>
                <w:sz w:val="20"/>
                <w:szCs w:val="20"/>
              </w:rPr>
              <w:t>R, C</w:t>
            </w:r>
          </w:p>
        </w:tc>
        <w:tc>
          <w:tcPr>
            <w:tcW w:w="1117" w:type="dxa"/>
          </w:tcPr>
          <w:p w14:paraId="475CBB70" w14:textId="77777777" w:rsidR="0042347A" w:rsidRPr="002F1E61" w:rsidRDefault="00C33C54" w:rsidP="002F1E61">
            <w:pPr>
              <w:rPr>
                <w:sz w:val="20"/>
                <w:szCs w:val="20"/>
              </w:rPr>
            </w:pPr>
            <w:r w:rsidRPr="002F1E61">
              <w:rPr>
                <w:sz w:val="20"/>
                <w:szCs w:val="20"/>
              </w:rPr>
              <w:t>45</w:t>
            </w:r>
          </w:p>
        </w:tc>
        <w:tc>
          <w:tcPr>
            <w:tcW w:w="4344" w:type="dxa"/>
          </w:tcPr>
          <w:p w14:paraId="4B8F804B" w14:textId="77777777" w:rsidR="0042347A" w:rsidRPr="002F1E61" w:rsidRDefault="00C33C54" w:rsidP="002F1E61">
            <w:pPr>
              <w:rPr>
                <w:sz w:val="20"/>
                <w:szCs w:val="20"/>
              </w:rPr>
            </w:pPr>
            <w:proofErr w:type="spellStart"/>
            <w:r w:rsidRPr="002F1E61">
              <w:rPr>
                <w:sz w:val="20"/>
                <w:szCs w:val="20"/>
              </w:rPr>
              <w:t>iNO</w:t>
            </w:r>
            <w:proofErr w:type="spellEnd"/>
            <w:r w:rsidRPr="002F1E61">
              <w:rPr>
                <w:sz w:val="20"/>
                <w:szCs w:val="20"/>
              </w:rPr>
              <w:t xml:space="preserve"> lead to lower HR, higher RV ejection fraction and lower vasopressor requirement compared to </w:t>
            </w:r>
            <w:proofErr w:type="spellStart"/>
            <w:r w:rsidRPr="002F1E61">
              <w:rPr>
                <w:sz w:val="20"/>
                <w:szCs w:val="20"/>
              </w:rPr>
              <w:t>milrinone</w:t>
            </w:r>
            <w:proofErr w:type="spellEnd"/>
            <w:r w:rsidRPr="002F1E61">
              <w:rPr>
                <w:sz w:val="20"/>
                <w:szCs w:val="20"/>
              </w:rPr>
              <w:t>.</w:t>
            </w:r>
          </w:p>
        </w:tc>
      </w:tr>
      <w:tr w:rsidR="0042347A" w:rsidRPr="002F1E61" w14:paraId="4D944AE7" w14:textId="77777777" w:rsidTr="00C33C54">
        <w:tc>
          <w:tcPr>
            <w:tcW w:w="1854" w:type="dxa"/>
          </w:tcPr>
          <w:p w14:paraId="4B745804" w14:textId="5520F84E" w:rsidR="0042347A" w:rsidRPr="002F1E61" w:rsidRDefault="00C33C54" w:rsidP="002F1E61">
            <w:pPr>
              <w:rPr>
                <w:sz w:val="20"/>
                <w:szCs w:val="20"/>
              </w:rPr>
            </w:pPr>
            <w:proofErr w:type="spellStart"/>
            <w:r w:rsidRPr="002F1E61">
              <w:rPr>
                <w:sz w:val="20"/>
                <w:szCs w:val="20"/>
              </w:rPr>
              <w:t>Solina</w:t>
            </w:r>
            <w:proofErr w:type="spellEnd"/>
            <w:r w:rsidRPr="002F1E61">
              <w:rPr>
                <w:sz w:val="20"/>
                <w:szCs w:val="20"/>
              </w:rPr>
              <w:t xml:space="preserve"> 2001</w:t>
            </w:r>
            <w:bookmarkStart w:id="78" w:name="_Ref22219747"/>
            <w:r w:rsidR="0091246B" w:rsidRPr="002F1E61">
              <w:rPr>
                <w:sz w:val="20"/>
                <w:szCs w:val="20"/>
              </w:rPr>
              <w:t>;</w:t>
            </w:r>
            <w:bookmarkStart w:id="79" w:name="_Ref25844324"/>
            <w:r w:rsidR="00FC1D30" w:rsidRPr="002F1E61">
              <w:rPr>
                <w:rStyle w:val="FootnoteReference"/>
                <w:sz w:val="20"/>
                <w:szCs w:val="20"/>
              </w:rPr>
              <w:footnoteReference w:id="14"/>
            </w:r>
            <w:bookmarkEnd w:id="78"/>
            <w:bookmarkEnd w:id="79"/>
          </w:p>
        </w:tc>
        <w:tc>
          <w:tcPr>
            <w:tcW w:w="1405" w:type="dxa"/>
            <w:gridSpan w:val="2"/>
          </w:tcPr>
          <w:p w14:paraId="49617C9A" w14:textId="77777777" w:rsidR="0042347A" w:rsidRPr="002F1E61" w:rsidRDefault="00C33C54" w:rsidP="002F1E61">
            <w:pPr>
              <w:rPr>
                <w:sz w:val="20"/>
                <w:szCs w:val="20"/>
              </w:rPr>
            </w:pPr>
            <w:r w:rsidRPr="002F1E61">
              <w:rPr>
                <w:sz w:val="20"/>
                <w:szCs w:val="20"/>
              </w:rPr>
              <w:t>R, C</w:t>
            </w:r>
          </w:p>
        </w:tc>
        <w:tc>
          <w:tcPr>
            <w:tcW w:w="1117" w:type="dxa"/>
          </w:tcPr>
          <w:p w14:paraId="3BF5F00B" w14:textId="77777777" w:rsidR="0042347A" w:rsidRPr="002F1E61" w:rsidRDefault="00C33C54" w:rsidP="002F1E61">
            <w:pPr>
              <w:rPr>
                <w:sz w:val="20"/>
                <w:szCs w:val="20"/>
              </w:rPr>
            </w:pPr>
            <w:r w:rsidRPr="002F1E61">
              <w:rPr>
                <w:sz w:val="20"/>
                <w:szCs w:val="20"/>
              </w:rPr>
              <w:t>62</w:t>
            </w:r>
          </w:p>
        </w:tc>
        <w:tc>
          <w:tcPr>
            <w:tcW w:w="4344" w:type="dxa"/>
          </w:tcPr>
          <w:p w14:paraId="6506B680" w14:textId="77777777" w:rsidR="0042347A" w:rsidRPr="002F1E61" w:rsidRDefault="00C33C54" w:rsidP="002F1E61">
            <w:pPr>
              <w:rPr>
                <w:sz w:val="20"/>
                <w:szCs w:val="20"/>
              </w:rPr>
            </w:pPr>
            <w:r w:rsidRPr="002F1E61">
              <w:rPr>
                <w:sz w:val="20"/>
                <w:szCs w:val="20"/>
              </w:rPr>
              <w:t xml:space="preserve">Doses of </w:t>
            </w:r>
            <w:proofErr w:type="spellStart"/>
            <w:r w:rsidRPr="002F1E61">
              <w:rPr>
                <w:sz w:val="20"/>
                <w:szCs w:val="20"/>
              </w:rPr>
              <w:t>iNO</w:t>
            </w:r>
            <w:proofErr w:type="spellEnd"/>
            <w:r w:rsidRPr="002F1E61">
              <w:rPr>
                <w:sz w:val="20"/>
                <w:szCs w:val="20"/>
              </w:rPr>
              <w:t xml:space="preserve"> &gt;10ppm showed no difference in PVR response.</w:t>
            </w:r>
          </w:p>
        </w:tc>
      </w:tr>
      <w:tr w:rsidR="00C33C54" w:rsidRPr="002F1E61" w14:paraId="2397BCD4" w14:textId="77777777" w:rsidTr="006669E4">
        <w:tc>
          <w:tcPr>
            <w:tcW w:w="8720" w:type="dxa"/>
            <w:gridSpan w:val="5"/>
          </w:tcPr>
          <w:p w14:paraId="4D0A6A2A" w14:textId="77777777" w:rsidR="00C33C54" w:rsidRPr="002F1E61" w:rsidRDefault="00C33C54" w:rsidP="002F1E61">
            <w:pPr>
              <w:rPr>
                <w:sz w:val="20"/>
                <w:szCs w:val="20"/>
              </w:rPr>
            </w:pPr>
            <w:r w:rsidRPr="002F1E61">
              <w:rPr>
                <w:sz w:val="20"/>
                <w:szCs w:val="20"/>
              </w:rPr>
              <w:t>Heart transplant patients</w:t>
            </w:r>
          </w:p>
        </w:tc>
      </w:tr>
      <w:tr w:rsidR="0042347A" w:rsidRPr="002F1E61" w14:paraId="1F4DCE05" w14:textId="77777777" w:rsidTr="00C33C54">
        <w:tc>
          <w:tcPr>
            <w:tcW w:w="1854" w:type="dxa"/>
          </w:tcPr>
          <w:p w14:paraId="0F33D641" w14:textId="6CE2A41F" w:rsidR="0042347A" w:rsidRPr="002F1E61" w:rsidRDefault="00C33C54" w:rsidP="002F1E61">
            <w:pPr>
              <w:rPr>
                <w:sz w:val="20"/>
                <w:szCs w:val="20"/>
              </w:rPr>
            </w:pPr>
            <w:proofErr w:type="spellStart"/>
            <w:r w:rsidRPr="002F1E61">
              <w:rPr>
                <w:sz w:val="20"/>
                <w:szCs w:val="20"/>
              </w:rPr>
              <w:t>Ardehali</w:t>
            </w:r>
            <w:proofErr w:type="spellEnd"/>
            <w:r w:rsidRPr="002F1E61">
              <w:rPr>
                <w:sz w:val="20"/>
                <w:szCs w:val="20"/>
              </w:rPr>
              <w:t xml:space="preserve"> 2001</w:t>
            </w:r>
            <w:bookmarkStart w:id="80" w:name="_Ref22222253"/>
            <w:r w:rsidR="0091246B" w:rsidRPr="002F1E61">
              <w:rPr>
                <w:sz w:val="20"/>
                <w:szCs w:val="20"/>
              </w:rPr>
              <w:t>;</w:t>
            </w:r>
            <w:bookmarkStart w:id="81" w:name="_Ref25845111"/>
            <w:r w:rsidR="00FC1D30" w:rsidRPr="002F1E61">
              <w:rPr>
                <w:rStyle w:val="FootnoteReference"/>
                <w:sz w:val="20"/>
                <w:szCs w:val="20"/>
              </w:rPr>
              <w:footnoteReference w:id="15"/>
            </w:r>
            <w:bookmarkEnd w:id="80"/>
            <w:bookmarkEnd w:id="81"/>
          </w:p>
        </w:tc>
        <w:tc>
          <w:tcPr>
            <w:tcW w:w="1405" w:type="dxa"/>
            <w:gridSpan w:val="2"/>
          </w:tcPr>
          <w:p w14:paraId="52AF28CB" w14:textId="77777777" w:rsidR="0042347A" w:rsidRPr="002F1E61" w:rsidRDefault="00C33C54" w:rsidP="002F1E61">
            <w:pPr>
              <w:rPr>
                <w:sz w:val="20"/>
                <w:szCs w:val="20"/>
              </w:rPr>
            </w:pPr>
            <w:proofErr w:type="spellStart"/>
            <w:r w:rsidRPr="002F1E61">
              <w:rPr>
                <w:sz w:val="20"/>
                <w:szCs w:val="20"/>
              </w:rPr>
              <w:t>Pr</w:t>
            </w:r>
            <w:proofErr w:type="spellEnd"/>
            <w:r w:rsidRPr="002F1E61">
              <w:rPr>
                <w:sz w:val="20"/>
                <w:szCs w:val="20"/>
              </w:rPr>
              <w:t>, C</w:t>
            </w:r>
          </w:p>
        </w:tc>
        <w:tc>
          <w:tcPr>
            <w:tcW w:w="1117" w:type="dxa"/>
          </w:tcPr>
          <w:p w14:paraId="24BCE1E5" w14:textId="77777777" w:rsidR="0042347A" w:rsidRPr="002F1E61" w:rsidRDefault="00C33C54" w:rsidP="002F1E61">
            <w:pPr>
              <w:rPr>
                <w:sz w:val="20"/>
                <w:szCs w:val="20"/>
              </w:rPr>
            </w:pPr>
            <w:r w:rsidRPr="002F1E61">
              <w:rPr>
                <w:sz w:val="20"/>
                <w:szCs w:val="20"/>
              </w:rPr>
              <w:t>16</w:t>
            </w:r>
          </w:p>
        </w:tc>
        <w:tc>
          <w:tcPr>
            <w:tcW w:w="4344" w:type="dxa"/>
          </w:tcPr>
          <w:p w14:paraId="7D32C21D" w14:textId="77777777" w:rsidR="0042347A" w:rsidRPr="002F1E61" w:rsidRDefault="00C33C54" w:rsidP="002F1E61">
            <w:pPr>
              <w:rPr>
                <w:sz w:val="20"/>
                <w:szCs w:val="20"/>
              </w:rPr>
            </w:pPr>
            <w:r w:rsidRPr="002F1E61">
              <w:rPr>
                <w:sz w:val="20"/>
                <w:szCs w:val="20"/>
              </w:rPr>
              <w:t xml:space="preserve">Post-transplant </w:t>
            </w:r>
            <w:proofErr w:type="spellStart"/>
            <w:r w:rsidRPr="002F1E61">
              <w:rPr>
                <w:sz w:val="20"/>
                <w:szCs w:val="20"/>
              </w:rPr>
              <w:t>iNO</w:t>
            </w:r>
            <w:proofErr w:type="spellEnd"/>
            <w:r w:rsidRPr="002F1E61">
              <w:rPr>
                <w:sz w:val="20"/>
                <w:szCs w:val="20"/>
              </w:rPr>
              <w:t xml:space="preserve"> significantly reduced RV stroke work and PVR. Retrospective control group.</w:t>
            </w:r>
          </w:p>
        </w:tc>
      </w:tr>
      <w:tr w:rsidR="0042347A" w:rsidRPr="002F1E61" w14:paraId="677662DF" w14:textId="77777777" w:rsidTr="00C33C54">
        <w:tc>
          <w:tcPr>
            <w:tcW w:w="1854" w:type="dxa"/>
          </w:tcPr>
          <w:p w14:paraId="06E5567C" w14:textId="4DBF26A8" w:rsidR="0042347A" w:rsidRPr="002F1E61" w:rsidRDefault="00C33C54" w:rsidP="002F1E61">
            <w:pPr>
              <w:rPr>
                <w:sz w:val="20"/>
                <w:szCs w:val="20"/>
              </w:rPr>
            </w:pPr>
            <w:proofErr w:type="spellStart"/>
            <w:r w:rsidRPr="002F1E61">
              <w:rPr>
                <w:sz w:val="20"/>
                <w:szCs w:val="20"/>
              </w:rPr>
              <w:t>Keiler</w:t>
            </w:r>
            <w:proofErr w:type="spellEnd"/>
            <w:r w:rsidRPr="002F1E61">
              <w:rPr>
                <w:sz w:val="20"/>
                <w:szCs w:val="20"/>
              </w:rPr>
              <w:t>-Jensen 1994</w:t>
            </w:r>
            <w:r w:rsidR="0091246B" w:rsidRPr="002F1E61">
              <w:rPr>
                <w:sz w:val="20"/>
                <w:szCs w:val="20"/>
              </w:rPr>
              <w:t>;</w:t>
            </w:r>
            <w:r w:rsidR="00081AFF" w:rsidRPr="002F1E61">
              <w:rPr>
                <w:sz w:val="20"/>
                <w:szCs w:val="20"/>
                <w:vertAlign w:val="superscript"/>
              </w:rPr>
              <w:fldChar w:fldCharType="begin"/>
            </w:r>
            <w:r w:rsidR="00081AFF" w:rsidRPr="002F1E61">
              <w:rPr>
                <w:sz w:val="20"/>
                <w:szCs w:val="20"/>
                <w:vertAlign w:val="superscript"/>
              </w:rPr>
              <w:instrText xml:space="preserve"> NOTEREF _Ref10648701 \h  \* MERGEFORMAT </w:instrText>
            </w:r>
            <w:r w:rsidR="00081AFF" w:rsidRPr="002F1E61">
              <w:rPr>
                <w:sz w:val="20"/>
                <w:szCs w:val="20"/>
                <w:vertAlign w:val="superscript"/>
              </w:rPr>
            </w:r>
            <w:r w:rsidR="00081AFF" w:rsidRPr="002F1E61">
              <w:rPr>
                <w:sz w:val="20"/>
                <w:szCs w:val="20"/>
                <w:vertAlign w:val="superscript"/>
              </w:rPr>
              <w:fldChar w:fldCharType="separate"/>
            </w:r>
            <w:r w:rsidR="00A50889" w:rsidRPr="002F1E61">
              <w:rPr>
                <w:sz w:val="20"/>
                <w:szCs w:val="20"/>
                <w:vertAlign w:val="superscript"/>
              </w:rPr>
              <w:t>1</w:t>
            </w:r>
            <w:r w:rsidR="00081AFF" w:rsidRPr="002F1E61">
              <w:rPr>
                <w:sz w:val="20"/>
                <w:szCs w:val="20"/>
                <w:vertAlign w:val="superscript"/>
              </w:rPr>
              <w:fldChar w:fldCharType="end"/>
            </w:r>
          </w:p>
        </w:tc>
        <w:tc>
          <w:tcPr>
            <w:tcW w:w="1405" w:type="dxa"/>
            <w:gridSpan w:val="2"/>
          </w:tcPr>
          <w:p w14:paraId="27337D29" w14:textId="77777777" w:rsidR="0042347A" w:rsidRPr="002F1E61" w:rsidRDefault="00C33C54" w:rsidP="002F1E61">
            <w:pPr>
              <w:rPr>
                <w:sz w:val="20"/>
                <w:szCs w:val="20"/>
              </w:rPr>
            </w:pPr>
            <w:proofErr w:type="spellStart"/>
            <w:r w:rsidRPr="002F1E61">
              <w:rPr>
                <w:sz w:val="20"/>
                <w:szCs w:val="20"/>
              </w:rPr>
              <w:t>Pr</w:t>
            </w:r>
            <w:proofErr w:type="spellEnd"/>
            <w:r w:rsidRPr="002F1E61">
              <w:rPr>
                <w:sz w:val="20"/>
                <w:szCs w:val="20"/>
              </w:rPr>
              <w:t>, C</w:t>
            </w:r>
          </w:p>
        </w:tc>
        <w:tc>
          <w:tcPr>
            <w:tcW w:w="1117" w:type="dxa"/>
          </w:tcPr>
          <w:p w14:paraId="7D554484" w14:textId="77777777" w:rsidR="0042347A" w:rsidRPr="002F1E61" w:rsidRDefault="00C33C54" w:rsidP="002F1E61">
            <w:pPr>
              <w:rPr>
                <w:sz w:val="20"/>
                <w:szCs w:val="20"/>
              </w:rPr>
            </w:pPr>
            <w:r w:rsidRPr="002F1E61">
              <w:rPr>
                <w:sz w:val="20"/>
                <w:szCs w:val="20"/>
              </w:rPr>
              <w:t>12</w:t>
            </w:r>
          </w:p>
        </w:tc>
        <w:tc>
          <w:tcPr>
            <w:tcW w:w="4344" w:type="dxa"/>
          </w:tcPr>
          <w:p w14:paraId="4B3265C0" w14:textId="61F0CF32" w:rsidR="0042347A" w:rsidRPr="002F1E61" w:rsidRDefault="00C33C54" w:rsidP="002F1E61">
            <w:pPr>
              <w:rPr>
                <w:sz w:val="20"/>
                <w:szCs w:val="20"/>
              </w:rPr>
            </w:pPr>
            <w:proofErr w:type="spellStart"/>
            <w:r w:rsidRPr="002F1E61">
              <w:rPr>
                <w:sz w:val="20"/>
                <w:szCs w:val="20"/>
              </w:rPr>
              <w:t>iNO</w:t>
            </w:r>
            <w:proofErr w:type="spellEnd"/>
            <w:r w:rsidRPr="002F1E61">
              <w:rPr>
                <w:sz w:val="20"/>
                <w:szCs w:val="20"/>
              </w:rPr>
              <w:t xml:space="preserve"> significantly decreased PVR and increased PCWP (</w:t>
            </w:r>
            <w:r w:rsidR="0091246B" w:rsidRPr="002F1E61">
              <w:rPr>
                <w:sz w:val="20"/>
                <w:szCs w:val="20"/>
              </w:rPr>
              <w:t xml:space="preserve">p </w:t>
            </w:r>
            <w:r w:rsidRPr="002F1E61">
              <w:rPr>
                <w:sz w:val="20"/>
                <w:szCs w:val="20"/>
              </w:rPr>
              <w:t xml:space="preserve">&lt; 0.01) during 20ppm </w:t>
            </w:r>
            <w:proofErr w:type="spellStart"/>
            <w:r w:rsidRPr="002F1E61">
              <w:rPr>
                <w:sz w:val="20"/>
                <w:szCs w:val="20"/>
              </w:rPr>
              <w:t>iNO</w:t>
            </w:r>
            <w:proofErr w:type="spellEnd"/>
            <w:r w:rsidRPr="002F1E61">
              <w:rPr>
                <w:sz w:val="20"/>
                <w:szCs w:val="20"/>
              </w:rPr>
              <w:t>; with no further at 40 or 80ppm.</w:t>
            </w:r>
          </w:p>
        </w:tc>
      </w:tr>
      <w:tr w:rsidR="0042347A" w:rsidRPr="002F1E61" w14:paraId="282D3A0C" w14:textId="77777777" w:rsidTr="00C33C54">
        <w:tc>
          <w:tcPr>
            <w:tcW w:w="1854" w:type="dxa"/>
          </w:tcPr>
          <w:p w14:paraId="43BBE2F9" w14:textId="393ADC5D" w:rsidR="0042347A" w:rsidRPr="002F1E61" w:rsidRDefault="00C33C54" w:rsidP="002F1E61">
            <w:pPr>
              <w:rPr>
                <w:sz w:val="20"/>
                <w:szCs w:val="20"/>
              </w:rPr>
            </w:pPr>
            <w:proofErr w:type="spellStart"/>
            <w:r w:rsidRPr="002F1E61">
              <w:rPr>
                <w:sz w:val="20"/>
                <w:szCs w:val="20"/>
              </w:rPr>
              <w:t>Rajek</w:t>
            </w:r>
            <w:proofErr w:type="spellEnd"/>
            <w:r w:rsidRPr="002F1E61">
              <w:rPr>
                <w:sz w:val="20"/>
                <w:szCs w:val="20"/>
              </w:rPr>
              <w:t xml:space="preserve"> 2000</w:t>
            </w:r>
            <w:bookmarkStart w:id="82" w:name="_Ref20404926"/>
            <w:r w:rsidR="0091246B" w:rsidRPr="002F1E61">
              <w:rPr>
                <w:sz w:val="20"/>
                <w:szCs w:val="20"/>
              </w:rPr>
              <w:t>;</w:t>
            </w:r>
            <w:bookmarkStart w:id="83" w:name="_Ref25843771"/>
            <w:r w:rsidR="005E6F6C" w:rsidRPr="002F1E61">
              <w:rPr>
                <w:rStyle w:val="FootnoteReference"/>
                <w:sz w:val="20"/>
                <w:szCs w:val="20"/>
              </w:rPr>
              <w:footnoteReference w:id="16"/>
            </w:r>
            <w:bookmarkEnd w:id="82"/>
            <w:bookmarkEnd w:id="83"/>
          </w:p>
        </w:tc>
        <w:tc>
          <w:tcPr>
            <w:tcW w:w="1405" w:type="dxa"/>
            <w:gridSpan w:val="2"/>
          </w:tcPr>
          <w:p w14:paraId="19FF3BC2" w14:textId="77777777" w:rsidR="0042347A" w:rsidRPr="002F1E61" w:rsidRDefault="00C33C54" w:rsidP="002F1E61">
            <w:pPr>
              <w:rPr>
                <w:sz w:val="20"/>
                <w:szCs w:val="20"/>
              </w:rPr>
            </w:pPr>
            <w:r w:rsidRPr="002F1E61">
              <w:rPr>
                <w:sz w:val="20"/>
                <w:szCs w:val="20"/>
              </w:rPr>
              <w:t>R, C</w:t>
            </w:r>
          </w:p>
        </w:tc>
        <w:tc>
          <w:tcPr>
            <w:tcW w:w="1117" w:type="dxa"/>
          </w:tcPr>
          <w:p w14:paraId="6FA43806" w14:textId="77777777" w:rsidR="0042347A" w:rsidRPr="002F1E61" w:rsidRDefault="00C33C54" w:rsidP="002F1E61">
            <w:pPr>
              <w:rPr>
                <w:sz w:val="20"/>
                <w:szCs w:val="20"/>
              </w:rPr>
            </w:pPr>
            <w:r w:rsidRPr="002F1E61">
              <w:rPr>
                <w:sz w:val="20"/>
                <w:szCs w:val="20"/>
              </w:rPr>
              <w:t>68</w:t>
            </w:r>
          </w:p>
        </w:tc>
        <w:tc>
          <w:tcPr>
            <w:tcW w:w="4344" w:type="dxa"/>
          </w:tcPr>
          <w:p w14:paraId="0A062104" w14:textId="77777777" w:rsidR="0042347A" w:rsidRPr="002F1E61" w:rsidRDefault="00C33C54" w:rsidP="002F1E61">
            <w:pPr>
              <w:rPr>
                <w:sz w:val="20"/>
                <w:szCs w:val="20"/>
              </w:rPr>
            </w:pPr>
            <w:proofErr w:type="spellStart"/>
            <w:r w:rsidRPr="002F1E61">
              <w:rPr>
                <w:sz w:val="20"/>
                <w:szCs w:val="20"/>
              </w:rPr>
              <w:t>iNO</w:t>
            </w:r>
            <w:proofErr w:type="spellEnd"/>
            <w:r w:rsidRPr="002F1E61">
              <w:rPr>
                <w:sz w:val="20"/>
                <w:szCs w:val="20"/>
              </w:rPr>
              <w:t xml:space="preserve"> (initiated at 4 ppm and titrated up to 24 ppm) caused selective reduction in PAP. </w:t>
            </w:r>
            <w:proofErr w:type="spellStart"/>
            <w:r w:rsidRPr="002F1E61">
              <w:rPr>
                <w:sz w:val="20"/>
                <w:szCs w:val="20"/>
              </w:rPr>
              <w:t>iNO</w:t>
            </w:r>
            <w:proofErr w:type="spellEnd"/>
            <w:r w:rsidRPr="002F1E61">
              <w:rPr>
                <w:sz w:val="20"/>
                <w:szCs w:val="20"/>
              </w:rPr>
              <w:t xml:space="preserve"> aided weaning from CPB more successfully than PGE1.</w:t>
            </w:r>
          </w:p>
        </w:tc>
      </w:tr>
      <w:tr w:rsidR="0042347A" w:rsidRPr="002F1E61" w14:paraId="0AA8C62E" w14:textId="77777777" w:rsidTr="00C33C54">
        <w:tc>
          <w:tcPr>
            <w:tcW w:w="1854" w:type="dxa"/>
          </w:tcPr>
          <w:p w14:paraId="6A189C8C" w14:textId="2224B3C1" w:rsidR="0042347A" w:rsidRPr="002F1E61" w:rsidRDefault="00C33C54" w:rsidP="002F1E61">
            <w:pPr>
              <w:rPr>
                <w:sz w:val="20"/>
                <w:szCs w:val="20"/>
              </w:rPr>
            </w:pPr>
            <w:proofErr w:type="spellStart"/>
            <w:r w:rsidRPr="002F1E61">
              <w:rPr>
                <w:sz w:val="20"/>
                <w:szCs w:val="20"/>
              </w:rPr>
              <w:t>Radovancevic</w:t>
            </w:r>
            <w:proofErr w:type="spellEnd"/>
            <w:r w:rsidRPr="002F1E61">
              <w:rPr>
                <w:sz w:val="20"/>
                <w:szCs w:val="20"/>
              </w:rPr>
              <w:t xml:space="preserve"> 2005</w:t>
            </w:r>
            <w:bookmarkStart w:id="84" w:name="_Ref22222297"/>
            <w:r w:rsidR="0091246B" w:rsidRPr="002F1E61">
              <w:rPr>
                <w:sz w:val="20"/>
                <w:szCs w:val="20"/>
              </w:rPr>
              <w:t>;</w:t>
            </w:r>
            <w:bookmarkStart w:id="85" w:name="_Ref25845157"/>
            <w:r w:rsidR="005E6F6C" w:rsidRPr="002F1E61">
              <w:rPr>
                <w:rStyle w:val="FootnoteReference"/>
                <w:sz w:val="20"/>
                <w:szCs w:val="20"/>
              </w:rPr>
              <w:footnoteReference w:id="17"/>
            </w:r>
            <w:bookmarkEnd w:id="84"/>
            <w:bookmarkEnd w:id="85"/>
          </w:p>
        </w:tc>
        <w:tc>
          <w:tcPr>
            <w:tcW w:w="1405" w:type="dxa"/>
            <w:gridSpan w:val="2"/>
          </w:tcPr>
          <w:p w14:paraId="4D3A9DEC" w14:textId="77777777" w:rsidR="0042347A" w:rsidRPr="002F1E61" w:rsidRDefault="00C33C54" w:rsidP="002F1E61">
            <w:pPr>
              <w:rPr>
                <w:sz w:val="20"/>
                <w:szCs w:val="20"/>
              </w:rPr>
            </w:pPr>
            <w:r w:rsidRPr="002F1E61">
              <w:rPr>
                <w:sz w:val="20"/>
                <w:szCs w:val="20"/>
              </w:rPr>
              <w:t>R, XO</w:t>
            </w:r>
          </w:p>
        </w:tc>
        <w:tc>
          <w:tcPr>
            <w:tcW w:w="1117" w:type="dxa"/>
          </w:tcPr>
          <w:p w14:paraId="5CC93243" w14:textId="77777777" w:rsidR="0042347A" w:rsidRPr="002F1E61" w:rsidRDefault="00C33C54" w:rsidP="002F1E61">
            <w:pPr>
              <w:rPr>
                <w:sz w:val="20"/>
                <w:szCs w:val="20"/>
              </w:rPr>
            </w:pPr>
            <w:r w:rsidRPr="002F1E61">
              <w:rPr>
                <w:sz w:val="20"/>
                <w:szCs w:val="20"/>
              </w:rPr>
              <w:t>19</w:t>
            </w:r>
          </w:p>
        </w:tc>
        <w:tc>
          <w:tcPr>
            <w:tcW w:w="4344" w:type="dxa"/>
          </w:tcPr>
          <w:p w14:paraId="2D9A11C7" w14:textId="77777777" w:rsidR="0042347A" w:rsidRPr="002F1E61" w:rsidRDefault="00C33C54" w:rsidP="002F1E61">
            <w:pPr>
              <w:rPr>
                <w:sz w:val="20"/>
                <w:szCs w:val="20"/>
              </w:rPr>
            </w:pPr>
            <w:proofErr w:type="spellStart"/>
            <w:r w:rsidRPr="002F1E61">
              <w:rPr>
                <w:sz w:val="20"/>
                <w:szCs w:val="20"/>
              </w:rPr>
              <w:t>iNO</w:t>
            </w:r>
            <w:proofErr w:type="spellEnd"/>
            <w:r w:rsidRPr="002F1E61">
              <w:rPr>
                <w:sz w:val="20"/>
                <w:szCs w:val="20"/>
              </w:rPr>
              <w:t xml:space="preserve"> and PGE1 have comparable dilatory effects in PAH</w:t>
            </w:r>
          </w:p>
        </w:tc>
      </w:tr>
      <w:tr w:rsidR="00C33C54" w:rsidRPr="002F1E61" w14:paraId="0B7C7C3C" w14:textId="77777777" w:rsidTr="006669E4">
        <w:tc>
          <w:tcPr>
            <w:tcW w:w="8720" w:type="dxa"/>
            <w:gridSpan w:val="5"/>
          </w:tcPr>
          <w:p w14:paraId="07C77FBF" w14:textId="68F10B0E" w:rsidR="00C33C54" w:rsidRPr="002F1E61" w:rsidRDefault="00C33C54" w:rsidP="002F1E61">
            <w:pPr>
              <w:rPr>
                <w:sz w:val="20"/>
                <w:szCs w:val="20"/>
              </w:rPr>
            </w:pPr>
            <w:r w:rsidRPr="002F1E61">
              <w:rPr>
                <w:sz w:val="20"/>
                <w:szCs w:val="20"/>
              </w:rPr>
              <w:lastRenderedPageBreak/>
              <w:t xml:space="preserve">Left </w:t>
            </w:r>
            <w:r w:rsidR="0091246B" w:rsidRPr="002F1E61">
              <w:rPr>
                <w:sz w:val="20"/>
                <w:szCs w:val="20"/>
              </w:rPr>
              <w:t>v</w:t>
            </w:r>
            <w:r w:rsidRPr="002F1E61">
              <w:rPr>
                <w:sz w:val="20"/>
                <w:szCs w:val="20"/>
              </w:rPr>
              <w:t xml:space="preserve">entricular </w:t>
            </w:r>
            <w:r w:rsidR="0091246B" w:rsidRPr="002F1E61">
              <w:rPr>
                <w:sz w:val="20"/>
                <w:szCs w:val="20"/>
              </w:rPr>
              <w:t>a</w:t>
            </w:r>
            <w:r w:rsidRPr="002F1E61">
              <w:rPr>
                <w:sz w:val="20"/>
                <w:szCs w:val="20"/>
              </w:rPr>
              <w:t xml:space="preserve">ssist </w:t>
            </w:r>
            <w:r w:rsidR="0091246B" w:rsidRPr="002F1E61">
              <w:rPr>
                <w:sz w:val="20"/>
                <w:szCs w:val="20"/>
              </w:rPr>
              <w:t>d</w:t>
            </w:r>
            <w:r w:rsidRPr="002F1E61">
              <w:rPr>
                <w:sz w:val="20"/>
                <w:szCs w:val="20"/>
              </w:rPr>
              <w:t xml:space="preserve">evice (LVAD) </w:t>
            </w:r>
            <w:r w:rsidR="0021039D" w:rsidRPr="002F1E61">
              <w:rPr>
                <w:sz w:val="20"/>
                <w:szCs w:val="20"/>
              </w:rPr>
              <w:t>p</w:t>
            </w:r>
            <w:r w:rsidRPr="002F1E61">
              <w:rPr>
                <w:sz w:val="20"/>
                <w:szCs w:val="20"/>
              </w:rPr>
              <w:t>lacement</w:t>
            </w:r>
          </w:p>
        </w:tc>
      </w:tr>
      <w:tr w:rsidR="0042347A" w:rsidRPr="002F1E61" w14:paraId="294D95A7" w14:textId="77777777" w:rsidTr="00C33C54">
        <w:tc>
          <w:tcPr>
            <w:tcW w:w="1854" w:type="dxa"/>
          </w:tcPr>
          <w:p w14:paraId="41B6C5F7" w14:textId="77777777" w:rsidR="0042347A" w:rsidRPr="002F1E61" w:rsidRDefault="00C33C54" w:rsidP="002F1E61">
            <w:pPr>
              <w:rPr>
                <w:sz w:val="20"/>
                <w:szCs w:val="20"/>
              </w:rPr>
            </w:pPr>
            <w:proofErr w:type="spellStart"/>
            <w:r w:rsidRPr="002F1E61">
              <w:rPr>
                <w:sz w:val="20"/>
                <w:szCs w:val="20"/>
              </w:rPr>
              <w:t>Argensiano</w:t>
            </w:r>
            <w:proofErr w:type="spellEnd"/>
            <w:r w:rsidRPr="002F1E61">
              <w:rPr>
                <w:sz w:val="20"/>
                <w:szCs w:val="20"/>
              </w:rPr>
              <w:t xml:space="preserve"> 1998</w:t>
            </w:r>
            <w:bookmarkStart w:id="86" w:name="_Ref20404654"/>
            <w:r w:rsidR="005E6F6C" w:rsidRPr="002F1E61">
              <w:rPr>
                <w:rStyle w:val="FootnoteReference"/>
                <w:sz w:val="20"/>
                <w:szCs w:val="20"/>
              </w:rPr>
              <w:footnoteReference w:id="18"/>
            </w:r>
            <w:bookmarkEnd w:id="86"/>
          </w:p>
        </w:tc>
        <w:tc>
          <w:tcPr>
            <w:tcW w:w="1405" w:type="dxa"/>
            <w:gridSpan w:val="2"/>
          </w:tcPr>
          <w:p w14:paraId="1BD5691A" w14:textId="77777777" w:rsidR="0042347A" w:rsidRPr="002F1E61" w:rsidRDefault="00C33C54" w:rsidP="002F1E61">
            <w:pPr>
              <w:rPr>
                <w:sz w:val="20"/>
                <w:szCs w:val="20"/>
              </w:rPr>
            </w:pPr>
            <w:r w:rsidRPr="002F1E61">
              <w:rPr>
                <w:sz w:val="20"/>
                <w:szCs w:val="20"/>
              </w:rPr>
              <w:t>R, C, DB</w:t>
            </w:r>
          </w:p>
        </w:tc>
        <w:tc>
          <w:tcPr>
            <w:tcW w:w="1117" w:type="dxa"/>
          </w:tcPr>
          <w:p w14:paraId="652DD226" w14:textId="77777777" w:rsidR="0042347A" w:rsidRPr="002F1E61" w:rsidRDefault="00C33C54" w:rsidP="002F1E61">
            <w:pPr>
              <w:rPr>
                <w:sz w:val="20"/>
                <w:szCs w:val="20"/>
              </w:rPr>
            </w:pPr>
            <w:r w:rsidRPr="002F1E61">
              <w:rPr>
                <w:sz w:val="20"/>
                <w:szCs w:val="20"/>
              </w:rPr>
              <w:t>11</w:t>
            </w:r>
          </w:p>
        </w:tc>
        <w:tc>
          <w:tcPr>
            <w:tcW w:w="4344" w:type="dxa"/>
          </w:tcPr>
          <w:p w14:paraId="29E3F57D" w14:textId="77777777" w:rsidR="0042347A" w:rsidRPr="002F1E61" w:rsidRDefault="00C33C54" w:rsidP="002F1E61">
            <w:pPr>
              <w:rPr>
                <w:sz w:val="20"/>
                <w:szCs w:val="20"/>
              </w:rPr>
            </w:pPr>
            <w:proofErr w:type="spellStart"/>
            <w:r w:rsidRPr="002F1E61">
              <w:rPr>
                <w:sz w:val="20"/>
                <w:szCs w:val="20"/>
              </w:rPr>
              <w:t>iNO</w:t>
            </w:r>
            <w:proofErr w:type="spellEnd"/>
            <w:r w:rsidRPr="002F1E61">
              <w:rPr>
                <w:sz w:val="20"/>
                <w:szCs w:val="20"/>
              </w:rPr>
              <w:t xml:space="preserve"> at 20 ppm induced significant reductions in </w:t>
            </w:r>
            <w:proofErr w:type="spellStart"/>
            <w:r w:rsidRPr="002F1E61">
              <w:rPr>
                <w:sz w:val="20"/>
                <w:szCs w:val="20"/>
              </w:rPr>
              <w:t>mPAP</w:t>
            </w:r>
            <w:proofErr w:type="spellEnd"/>
            <w:r w:rsidRPr="002F1E61">
              <w:rPr>
                <w:sz w:val="20"/>
                <w:szCs w:val="20"/>
              </w:rPr>
              <w:t xml:space="preserve"> and increases in LVAD flow index .</w:t>
            </w:r>
          </w:p>
        </w:tc>
      </w:tr>
    </w:tbl>
    <w:p w14:paraId="26E898FB" w14:textId="31C7903B" w:rsidR="0021039D" w:rsidRDefault="0021039D" w:rsidP="00B21235">
      <w:pPr>
        <w:pStyle w:val="TableDescription"/>
      </w:pPr>
      <w:r>
        <w:t>R: randomised; C: controlled</w:t>
      </w:r>
      <w:r w:rsidR="00B21235">
        <w:t xml:space="preserve">; DB: double blind; XO: cross over; </w:t>
      </w:r>
      <w:proofErr w:type="spellStart"/>
      <w:r w:rsidR="00B21235">
        <w:t>Pr</w:t>
      </w:r>
      <w:proofErr w:type="spellEnd"/>
      <w:r w:rsidR="00B21235">
        <w:t>: prospective</w:t>
      </w:r>
    </w:p>
    <w:p w14:paraId="733975FF" w14:textId="2B924EDF" w:rsidR="00AD2149" w:rsidRDefault="0047268A" w:rsidP="00AD2149">
      <w:pPr>
        <w:pStyle w:val="TableTitle"/>
      </w:pPr>
      <w:r w:rsidRPr="0047268A">
        <w:t xml:space="preserve">Table </w:t>
      </w:r>
      <w:r w:rsidR="00035230">
        <w:t>4</w:t>
      </w:r>
      <w:r w:rsidR="00B815C7">
        <w:t>:</w:t>
      </w:r>
      <w:r w:rsidRPr="0047268A">
        <w:t xml:space="preserve"> Additional </w:t>
      </w:r>
      <w:r w:rsidR="00035230" w:rsidRPr="0047268A">
        <w:t>randomised studies in adult patients from the 2017 literature search</w:t>
      </w:r>
    </w:p>
    <w:tbl>
      <w:tblPr>
        <w:tblStyle w:val="TableTGAblue"/>
        <w:tblW w:w="0" w:type="auto"/>
        <w:tblLook w:val="04A0" w:firstRow="1" w:lastRow="0" w:firstColumn="1" w:lastColumn="0" w:noHBand="0" w:noVBand="1"/>
      </w:tblPr>
      <w:tblGrid>
        <w:gridCol w:w="1809"/>
        <w:gridCol w:w="1418"/>
        <w:gridCol w:w="1134"/>
        <w:gridCol w:w="4359"/>
      </w:tblGrid>
      <w:tr w:rsidR="00AD2149" w:rsidRPr="00081AFF" w14:paraId="2474432A" w14:textId="77777777" w:rsidTr="00AD2149">
        <w:trPr>
          <w:cnfStyle w:val="100000000000" w:firstRow="1" w:lastRow="0" w:firstColumn="0" w:lastColumn="0" w:oddVBand="0" w:evenVBand="0" w:oddHBand="0" w:evenHBand="0" w:firstRowFirstColumn="0" w:firstRowLastColumn="0" w:lastRowFirstColumn="0" w:lastRowLastColumn="0"/>
        </w:trPr>
        <w:tc>
          <w:tcPr>
            <w:tcW w:w="1809" w:type="dxa"/>
          </w:tcPr>
          <w:p w14:paraId="7E70A939" w14:textId="2E74C596" w:rsidR="00AD2149" w:rsidRPr="00081AFF" w:rsidRDefault="00AD2149" w:rsidP="00DB1246">
            <w:pPr>
              <w:spacing w:before="0" w:after="0" w:line="240" w:lineRule="auto"/>
              <w:ind w:left="0" w:right="0"/>
              <w:rPr>
                <w:sz w:val="20"/>
                <w:szCs w:val="20"/>
              </w:rPr>
            </w:pPr>
            <w:r w:rsidRPr="00081AFF">
              <w:rPr>
                <w:sz w:val="20"/>
                <w:szCs w:val="20"/>
              </w:rPr>
              <w:t>First author /</w:t>
            </w:r>
            <w:r w:rsidR="0091246B">
              <w:rPr>
                <w:sz w:val="20"/>
                <w:szCs w:val="20"/>
              </w:rPr>
              <w:t xml:space="preserve"> </w:t>
            </w:r>
            <w:r w:rsidRPr="00081AFF">
              <w:rPr>
                <w:sz w:val="20"/>
                <w:szCs w:val="20"/>
              </w:rPr>
              <w:t>year</w:t>
            </w:r>
          </w:p>
        </w:tc>
        <w:tc>
          <w:tcPr>
            <w:tcW w:w="1418" w:type="dxa"/>
          </w:tcPr>
          <w:p w14:paraId="4318FDFF" w14:textId="77777777" w:rsidR="00AD2149" w:rsidRPr="00081AFF" w:rsidRDefault="00AD2149" w:rsidP="00DB1246">
            <w:pPr>
              <w:spacing w:before="0" w:after="0" w:line="240" w:lineRule="auto"/>
              <w:ind w:left="0" w:right="0"/>
              <w:rPr>
                <w:sz w:val="20"/>
                <w:szCs w:val="20"/>
              </w:rPr>
            </w:pPr>
            <w:r w:rsidRPr="00081AFF">
              <w:rPr>
                <w:sz w:val="20"/>
                <w:szCs w:val="20"/>
              </w:rPr>
              <w:t>Study design</w:t>
            </w:r>
          </w:p>
        </w:tc>
        <w:tc>
          <w:tcPr>
            <w:tcW w:w="1134" w:type="dxa"/>
          </w:tcPr>
          <w:p w14:paraId="30D4F714" w14:textId="179FADC1" w:rsidR="00AD2149" w:rsidRPr="00081AFF" w:rsidRDefault="00AD2149" w:rsidP="00DB1246">
            <w:pPr>
              <w:spacing w:before="0" w:after="0" w:line="240" w:lineRule="auto"/>
              <w:ind w:left="0" w:right="0"/>
              <w:rPr>
                <w:sz w:val="20"/>
                <w:szCs w:val="20"/>
              </w:rPr>
            </w:pPr>
            <w:r w:rsidRPr="00081AFF">
              <w:rPr>
                <w:sz w:val="20"/>
                <w:szCs w:val="20"/>
              </w:rPr>
              <w:t xml:space="preserve">No of </w:t>
            </w:r>
            <w:r w:rsidR="0091246B">
              <w:rPr>
                <w:sz w:val="20"/>
                <w:szCs w:val="20"/>
              </w:rPr>
              <w:t>patients</w:t>
            </w:r>
          </w:p>
        </w:tc>
        <w:tc>
          <w:tcPr>
            <w:tcW w:w="4359" w:type="dxa"/>
          </w:tcPr>
          <w:p w14:paraId="75179321" w14:textId="77777777" w:rsidR="00AD2149" w:rsidRPr="00081AFF" w:rsidRDefault="00AD2149" w:rsidP="00DB1246">
            <w:pPr>
              <w:spacing w:before="0" w:after="0" w:line="240" w:lineRule="auto"/>
              <w:ind w:left="0" w:right="0"/>
              <w:rPr>
                <w:sz w:val="20"/>
                <w:szCs w:val="20"/>
              </w:rPr>
            </w:pPr>
            <w:r w:rsidRPr="00081AFF">
              <w:rPr>
                <w:sz w:val="20"/>
                <w:szCs w:val="20"/>
              </w:rPr>
              <w:t>Primary outcome</w:t>
            </w:r>
          </w:p>
        </w:tc>
      </w:tr>
      <w:tr w:rsidR="00AD2149" w:rsidRPr="00081AFF" w14:paraId="0010843F" w14:textId="77777777" w:rsidTr="00AD2149">
        <w:tc>
          <w:tcPr>
            <w:tcW w:w="1809" w:type="dxa"/>
          </w:tcPr>
          <w:p w14:paraId="1B416492" w14:textId="77777777" w:rsidR="00AD2149" w:rsidRPr="00081AFF" w:rsidRDefault="00AD2149" w:rsidP="00DB1246">
            <w:pPr>
              <w:spacing w:before="0" w:after="0" w:line="240" w:lineRule="auto"/>
              <w:ind w:left="0" w:right="0"/>
              <w:rPr>
                <w:sz w:val="20"/>
                <w:szCs w:val="20"/>
              </w:rPr>
            </w:pPr>
            <w:proofErr w:type="spellStart"/>
            <w:r w:rsidRPr="00081AFF">
              <w:rPr>
                <w:sz w:val="20"/>
                <w:szCs w:val="20"/>
              </w:rPr>
              <w:t>Kukucka</w:t>
            </w:r>
            <w:proofErr w:type="spellEnd"/>
            <w:r w:rsidRPr="00081AFF">
              <w:rPr>
                <w:sz w:val="20"/>
                <w:szCs w:val="20"/>
              </w:rPr>
              <w:t xml:space="preserve"> 2011</w:t>
            </w:r>
            <w:bookmarkStart w:id="87" w:name="_Ref22221489"/>
            <w:r w:rsidR="00DB1246" w:rsidRPr="00081AFF">
              <w:rPr>
                <w:rStyle w:val="FootnoteReference"/>
                <w:sz w:val="20"/>
                <w:szCs w:val="20"/>
              </w:rPr>
              <w:footnoteReference w:id="19"/>
            </w:r>
            <w:bookmarkEnd w:id="87"/>
          </w:p>
        </w:tc>
        <w:tc>
          <w:tcPr>
            <w:tcW w:w="1418" w:type="dxa"/>
          </w:tcPr>
          <w:p w14:paraId="36BC055D" w14:textId="77777777" w:rsidR="00AD2149" w:rsidRPr="00081AFF" w:rsidRDefault="00AD2149" w:rsidP="00DB1246">
            <w:pPr>
              <w:spacing w:before="0" w:after="0" w:line="240" w:lineRule="auto"/>
              <w:ind w:left="0" w:right="0"/>
              <w:rPr>
                <w:sz w:val="20"/>
                <w:szCs w:val="20"/>
              </w:rPr>
            </w:pPr>
            <w:r w:rsidRPr="00081AFF">
              <w:rPr>
                <w:sz w:val="20"/>
                <w:szCs w:val="20"/>
              </w:rPr>
              <w:t>R, C, DB LVAD</w:t>
            </w:r>
          </w:p>
        </w:tc>
        <w:tc>
          <w:tcPr>
            <w:tcW w:w="1134" w:type="dxa"/>
          </w:tcPr>
          <w:p w14:paraId="66268FD5" w14:textId="77777777" w:rsidR="00AD2149" w:rsidRPr="00081AFF" w:rsidRDefault="00AD2149" w:rsidP="00DB1246">
            <w:pPr>
              <w:spacing w:before="0" w:after="0" w:line="240" w:lineRule="auto"/>
              <w:ind w:left="0" w:right="0"/>
              <w:rPr>
                <w:sz w:val="20"/>
                <w:szCs w:val="20"/>
              </w:rPr>
            </w:pPr>
            <w:r w:rsidRPr="00081AFF">
              <w:rPr>
                <w:sz w:val="20"/>
                <w:szCs w:val="20"/>
              </w:rPr>
              <w:t>47</w:t>
            </w:r>
          </w:p>
        </w:tc>
        <w:tc>
          <w:tcPr>
            <w:tcW w:w="4359" w:type="dxa"/>
          </w:tcPr>
          <w:p w14:paraId="7068D06B" w14:textId="14779A44" w:rsidR="00AD2149" w:rsidRPr="00081AFF" w:rsidRDefault="00AD2149" w:rsidP="0091246B">
            <w:pPr>
              <w:spacing w:before="0" w:after="0" w:line="240" w:lineRule="auto"/>
              <w:ind w:left="0" w:right="0"/>
              <w:rPr>
                <w:sz w:val="20"/>
                <w:szCs w:val="20"/>
              </w:rPr>
            </w:pPr>
            <w:r w:rsidRPr="00081AFF">
              <w:rPr>
                <w:sz w:val="20"/>
                <w:szCs w:val="20"/>
              </w:rPr>
              <w:t>After LVAD implantation, marked decreases in PCWP (</w:t>
            </w:r>
            <w:r w:rsidR="0091246B">
              <w:rPr>
                <w:sz w:val="20"/>
                <w:szCs w:val="20"/>
              </w:rPr>
              <w:t>p</w:t>
            </w:r>
            <w:r w:rsidR="0091246B" w:rsidRPr="00081AFF">
              <w:rPr>
                <w:sz w:val="20"/>
                <w:szCs w:val="20"/>
              </w:rPr>
              <w:t xml:space="preserve"> </w:t>
            </w:r>
            <w:r w:rsidRPr="00081AFF">
              <w:rPr>
                <w:sz w:val="20"/>
                <w:szCs w:val="20"/>
              </w:rPr>
              <w:t>&lt; 0.01) and mean PAP (</w:t>
            </w:r>
            <w:r w:rsidR="0091246B">
              <w:rPr>
                <w:sz w:val="20"/>
                <w:szCs w:val="20"/>
              </w:rPr>
              <w:t>p</w:t>
            </w:r>
            <w:r w:rsidR="0091246B" w:rsidRPr="00081AFF">
              <w:rPr>
                <w:sz w:val="20"/>
                <w:szCs w:val="20"/>
              </w:rPr>
              <w:t xml:space="preserve"> </w:t>
            </w:r>
            <w:r w:rsidRPr="00081AFF">
              <w:rPr>
                <w:sz w:val="20"/>
                <w:szCs w:val="20"/>
              </w:rPr>
              <w:t>&lt; 0.01) were obser</w:t>
            </w:r>
            <w:r w:rsidR="00081AFF" w:rsidRPr="00081AFF">
              <w:rPr>
                <w:sz w:val="20"/>
                <w:szCs w:val="20"/>
              </w:rPr>
              <w:t xml:space="preserve">ved in </w:t>
            </w:r>
            <w:proofErr w:type="spellStart"/>
            <w:r w:rsidR="00081AFF" w:rsidRPr="00081AFF">
              <w:rPr>
                <w:sz w:val="20"/>
                <w:szCs w:val="20"/>
              </w:rPr>
              <w:t>iNO</w:t>
            </w:r>
            <w:proofErr w:type="spellEnd"/>
            <w:r w:rsidR="00081AFF" w:rsidRPr="00081AFF">
              <w:rPr>
                <w:sz w:val="20"/>
                <w:szCs w:val="20"/>
              </w:rPr>
              <w:t xml:space="preserve"> and placebo groups. </w:t>
            </w:r>
            <w:r w:rsidRPr="00081AFF">
              <w:rPr>
                <w:sz w:val="20"/>
                <w:szCs w:val="20"/>
              </w:rPr>
              <w:t xml:space="preserve">Pulmonary vascular resistance decreased only in the </w:t>
            </w:r>
            <w:proofErr w:type="spellStart"/>
            <w:r w:rsidRPr="00081AFF">
              <w:rPr>
                <w:sz w:val="20"/>
                <w:szCs w:val="20"/>
              </w:rPr>
              <w:t>iNO</w:t>
            </w:r>
            <w:proofErr w:type="spellEnd"/>
            <w:r w:rsidRPr="00081AFF">
              <w:rPr>
                <w:sz w:val="20"/>
                <w:szCs w:val="20"/>
              </w:rPr>
              <w:t xml:space="preserve"> group (311 ± 35 to 225 ± 17, </w:t>
            </w:r>
            <w:r w:rsidR="0091246B">
              <w:rPr>
                <w:sz w:val="20"/>
                <w:szCs w:val="20"/>
              </w:rPr>
              <w:t>p </w:t>
            </w:r>
            <w:r w:rsidRPr="00081AFF">
              <w:rPr>
                <w:sz w:val="20"/>
                <w:szCs w:val="20"/>
              </w:rPr>
              <w:t>&lt;</w:t>
            </w:r>
            <w:r w:rsidR="0091246B">
              <w:rPr>
                <w:sz w:val="20"/>
                <w:szCs w:val="20"/>
              </w:rPr>
              <w:t> </w:t>
            </w:r>
            <w:r w:rsidRPr="00081AFF">
              <w:rPr>
                <w:sz w:val="20"/>
                <w:szCs w:val="20"/>
              </w:rPr>
              <w:t>0.01).</w:t>
            </w:r>
          </w:p>
        </w:tc>
      </w:tr>
      <w:tr w:rsidR="00AD2149" w:rsidRPr="00081AFF" w14:paraId="6447B951" w14:textId="77777777" w:rsidTr="00AD2149">
        <w:tc>
          <w:tcPr>
            <w:tcW w:w="1809" w:type="dxa"/>
          </w:tcPr>
          <w:p w14:paraId="14AE239B" w14:textId="19C0491F" w:rsidR="00AD2149" w:rsidRPr="00081AFF" w:rsidRDefault="00DB1246" w:rsidP="00DB1246">
            <w:pPr>
              <w:spacing w:before="0" w:after="0" w:line="240" w:lineRule="auto"/>
              <w:ind w:left="0" w:right="0"/>
              <w:rPr>
                <w:sz w:val="20"/>
                <w:szCs w:val="20"/>
              </w:rPr>
            </w:pPr>
            <w:proofErr w:type="spellStart"/>
            <w:r w:rsidRPr="00081AFF">
              <w:rPr>
                <w:sz w:val="20"/>
                <w:szCs w:val="20"/>
              </w:rPr>
              <w:t>Fernandes</w:t>
            </w:r>
            <w:proofErr w:type="spellEnd"/>
            <w:r w:rsidRPr="00081AFF">
              <w:rPr>
                <w:sz w:val="20"/>
                <w:szCs w:val="20"/>
              </w:rPr>
              <w:t xml:space="preserve"> 2011</w:t>
            </w:r>
            <w:bookmarkStart w:id="88" w:name="_Ref20404601"/>
            <w:r w:rsidR="0091246B">
              <w:rPr>
                <w:sz w:val="20"/>
                <w:szCs w:val="20"/>
              </w:rPr>
              <w:t>;</w:t>
            </w:r>
            <w:bookmarkStart w:id="89" w:name="_Ref25843676"/>
            <w:r w:rsidRPr="00081AFF">
              <w:rPr>
                <w:rStyle w:val="FootnoteReference"/>
                <w:sz w:val="20"/>
                <w:szCs w:val="20"/>
              </w:rPr>
              <w:footnoteReference w:id="20"/>
            </w:r>
            <w:bookmarkEnd w:id="88"/>
            <w:bookmarkEnd w:id="89"/>
          </w:p>
        </w:tc>
        <w:tc>
          <w:tcPr>
            <w:tcW w:w="1418" w:type="dxa"/>
          </w:tcPr>
          <w:p w14:paraId="7798A60E" w14:textId="77777777" w:rsidR="00AD2149" w:rsidRPr="00081AFF" w:rsidRDefault="00AD2149" w:rsidP="00DB1246">
            <w:pPr>
              <w:spacing w:before="0" w:after="0" w:line="240" w:lineRule="auto"/>
              <w:ind w:left="0" w:right="0"/>
              <w:rPr>
                <w:sz w:val="20"/>
                <w:szCs w:val="20"/>
              </w:rPr>
            </w:pPr>
            <w:r w:rsidRPr="00081AFF">
              <w:rPr>
                <w:sz w:val="20"/>
                <w:szCs w:val="20"/>
              </w:rPr>
              <w:t>R, Open Mitral valve surgery</w:t>
            </w:r>
          </w:p>
        </w:tc>
        <w:tc>
          <w:tcPr>
            <w:tcW w:w="1134" w:type="dxa"/>
          </w:tcPr>
          <w:p w14:paraId="36277026" w14:textId="77777777" w:rsidR="00AD2149" w:rsidRPr="00081AFF" w:rsidRDefault="00AD2149" w:rsidP="00DB1246">
            <w:pPr>
              <w:spacing w:before="0" w:after="0" w:line="240" w:lineRule="auto"/>
              <w:ind w:left="0" w:right="0"/>
              <w:rPr>
                <w:sz w:val="20"/>
                <w:szCs w:val="20"/>
              </w:rPr>
            </w:pPr>
            <w:r w:rsidRPr="00081AFF">
              <w:rPr>
                <w:sz w:val="20"/>
                <w:szCs w:val="20"/>
              </w:rPr>
              <w:t>29</w:t>
            </w:r>
          </w:p>
        </w:tc>
        <w:tc>
          <w:tcPr>
            <w:tcW w:w="4359" w:type="dxa"/>
          </w:tcPr>
          <w:p w14:paraId="22063C65" w14:textId="1D930791" w:rsidR="00AD2149" w:rsidRPr="00081AFF" w:rsidRDefault="00AD2149" w:rsidP="0091246B">
            <w:pPr>
              <w:spacing w:before="0" w:after="0" w:line="240" w:lineRule="auto"/>
              <w:ind w:left="0" w:right="0"/>
              <w:rPr>
                <w:sz w:val="20"/>
                <w:szCs w:val="20"/>
              </w:rPr>
            </w:pPr>
            <w:r w:rsidRPr="00081AFF">
              <w:rPr>
                <w:sz w:val="20"/>
                <w:szCs w:val="20"/>
              </w:rPr>
              <w:t>The increase in cardiac i</w:t>
            </w:r>
            <w:r w:rsidR="00081AFF" w:rsidRPr="00081AFF">
              <w:rPr>
                <w:sz w:val="20"/>
                <w:szCs w:val="20"/>
              </w:rPr>
              <w:t xml:space="preserve">ndex was significantly greater </w:t>
            </w:r>
            <w:r w:rsidRPr="00081AFF">
              <w:rPr>
                <w:sz w:val="20"/>
                <w:szCs w:val="20"/>
              </w:rPr>
              <w:t>(</w:t>
            </w:r>
            <w:r w:rsidR="0091246B">
              <w:rPr>
                <w:sz w:val="20"/>
                <w:szCs w:val="20"/>
              </w:rPr>
              <w:t>p</w:t>
            </w:r>
            <w:r w:rsidR="0091246B" w:rsidRPr="00081AFF">
              <w:rPr>
                <w:sz w:val="20"/>
                <w:szCs w:val="20"/>
              </w:rPr>
              <w:t xml:space="preserve"> </w:t>
            </w:r>
            <w:r w:rsidRPr="00081AFF">
              <w:rPr>
                <w:sz w:val="20"/>
                <w:szCs w:val="20"/>
              </w:rPr>
              <w:t xml:space="preserve">&lt; 0.0001) in patients receiving </w:t>
            </w:r>
            <w:proofErr w:type="spellStart"/>
            <w:r w:rsidRPr="00081AFF">
              <w:rPr>
                <w:sz w:val="20"/>
                <w:szCs w:val="20"/>
              </w:rPr>
              <w:t>iNO</w:t>
            </w:r>
            <w:proofErr w:type="spellEnd"/>
            <w:r w:rsidRPr="00081AFF">
              <w:rPr>
                <w:sz w:val="20"/>
                <w:szCs w:val="20"/>
              </w:rPr>
              <w:t xml:space="preserve"> than in those receiving oxygen at both 24 and 48 hrs. The decrease in PVR was significantly greater (</w:t>
            </w:r>
            <w:r w:rsidR="0091246B">
              <w:rPr>
                <w:sz w:val="20"/>
                <w:szCs w:val="20"/>
              </w:rPr>
              <w:t>p</w:t>
            </w:r>
            <w:r w:rsidR="0091246B" w:rsidRPr="00081AFF">
              <w:rPr>
                <w:sz w:val="20"/>
                <w:szCs w:val="20"/>
              </w:rPr>
              <w:t xml:space="preserve"> </w:t>
            </w:r>
            <w:r w:rsidRPr="00081AFF">
              <w:rPr>
                <w:sz w:val="20"/>
                <w:szCs w:val="20"/>
              </w:rPr>
              <w:t>= 0.005</w:t>
            </w:r>
            <w:r w:rsidR="00081AFF" w:rsidRPr="00081AFF">
              <w:rPr>
                <w:sz w:val="20"/>
                <w:szCs w:val="20"/>
              </w:rPr>
              <w:t xml:space="preserve">) in the </w:t>
            </w:r>
            <w:proofErr w:type="spellStart"/>
            <w:r w:rsidR="00081AFF" w:rsidRPr="00081AFF">
              <w:rPr>
                <w:sz w:val="20"/>
                <w:szCs w:val="20"/>
              </w:rPr>
              <w:t>iNO</w:t>
            </w:r>
            <w:proofErr w:type="spellEnd"/>
            <w:r w:rsidR="00081AFF" w:rsidRPr="00081AFF">
              <w:rPr>
                <w:sz w:val="20"/>
                <w:szCs w:val="20"/>
              </w:rPr>
              <w:t xml:space="preserve"> group, at 48 hrs.</w:t>
            </w:r>
          </w:p>
        </w:tc>
      </w:tr>
      <w:tr w:rsidR="00AD2149" w:rsidRPr="00081AFF" w14:paraId="566D6CE7" w14:textId="77777777" w:rsidTr="00AD2149">
        <w:tc>
          <w:tcPr>
            <w:tcW w:w="1809" w:type="dxa"/>
          </w:tcPr>
          <w:p w14:paraId="2E9D5555" w14:textId="2D6A3E21" w:rsidR="00AD2149" w:rsidRPr="00081AFF" w:rsidRDefault="00DB1246" w:rsidP="00DB1246">
            <w:pPr>
              <w:spacing w:before="0" w:after="0" w:line="240" w:lineRule="auto"/>
              <w:ind w:left="0" w:right="0"/>
              <w:rPr>
                <w:sz w:val="20"/>
                <w:szCs w:val="20"/>
              </w:rPr>
            </w:pPr>
            <w:r w:rsidRPr="00081AFF">
              <w:rPr>
                <w:sz w:val="20"/>
                <w:szCs w:val="20"/>
              </w:rPr>
              <w:t>Khan 2009</w:t>
            </w:r>
            <w:bookmarkStart w:id="90" w:name="_Ref20405085"/>
            <w:r w:rsidR="0091246B">
              <w:rPr>
                <w:sz w:val="20"/>
                <w:szCs w:val="20"/>
              </w:rPr>
              <w:t>;</w:t>
            </w:r>
            <w:bookmarkStart w:id="91" w:name="_Ref25843937"/>
            <w:r w:rsidRPr="00081AFF">
              <w:rPr>
                <w:rStyle w:val="FootnoteReference"/>
                <w:sz w:val="20"/>
                <w:szCs w:val="20"/>
              </w:rPr>
              <w:footnoteReference w:id="21"/>
            </w:r>
            <w:bookmarkEnd w:id="90"/>
            <w:bookmarkEnd w:id="91"/>
          </w:p>
        </w:tc>
        <w:tc>
          <w:tcPr>
            <w:tcW w:w="1418" w:type="dxa"/>
          </w:tcPr>
          <w:p w14:paraId="64DF6FD9" w14:textId="77777777" w:rsidR="00AD2149" w:rsidRPr="00081AFF" w:rsidRDefault="00DB1246" w:rsidP="00DB1246">
            <w:pPr>
              <w:spacing w:before="0" w:after="0" w:line="240" w:lineRule="auto"/>
              <w:ind w:left="0" w:right="0"/>
              <w:rPr>
                <w:sz w:val="20"/>
                <w:szCs w:val="20"/>
              </w:rPr>
            </w:pPr>
            <w:r w:rsidRPr="00081AFF">
              <w:rPr>
                <w:sz w:val="20"/>
                <w:szCs w:val="20"/>
              </w:rPr>
              <w:t>R, XO Heart Transplant</w:t>
            </w:r>
          </w:p>
        </w:tc>
        <w:tc>
          <w:tcPr>
            <w:tcW w:w="1134" w:type="dxa"/>
          </w:tcPr>
          <w:p w14:paraId="6AD2CD18" w14:textId="77777777" w:rsidR="00AD2149" w:rsidRPr="00081AFF" w:rsidRDefault="00DB1246" w:rsidP="00DB1246">
            <w:pPr>
              <w:spacing w:before="0" w:after="0" w:line="240" w:lineRule="auto"/>
              <w:ind w:left="0" w:right="0"/>
              <w:rPr>
                <w:sz w:val="20"/>
                <w:szCs w:val="20"/>
              </w:rPr>
            </w:pPr>
            <w:r w:rsidRPr="00081AFF">
              <w:rPr>
                <w:sz w:val="20"/>
                <w:szCs w:val="20"/>
              </w:rPr>
              <w:t>25</w:t>
            </w:r>
          </w:p>
        </w:tc>
        <w:tc>
          <w:tcPr>
            <w:tcW w:w="4359" w:type="dxa"/>
          </w:tcPr>
          <w:p w14:paraId="3412F5D3" w14:textId="66796011" w:rsidR="00AD2149" w:rsidRPr="00081AFF" w:rsidRDefault="00DB1246" w:rsidP="00DB1246">
            <w:pPr>
              <w:spacing w:before="0" w:after="0" w:line="240" w:lineRule="auto"/>
              <w:ind w:left="0" w:right="0"/>
              <w:rPr>
                <w:sz w:val="20"/>
                <w:szCs w:val="20"/>
              </w:rPr>
            </w:pPr>
            <w:r w:rsidRPr="00081AFF">
              <w:rPr>
                <w:sz w:val="20"/>
                <w:szCs w:val="20"/>
              </w:rPr>
              <w:t>In heart transplant recipients, nitric oxide and prostacyclin similarly reduce pulmonary artery pressures and central venous pressure, and improve cardiac index and mixed venous oxygen saturation</w:t>
            </w:r>
            <w:r w:rsidR="0091246B">
              <w:rPr>
                <w:sz w:val="20"/>
                <w:szCs w:val="20"/>
              </w:rPr>
              <w:t>;</w:t>
            </w:r>
            <w:r w:rsidRPr="00081AFF">
              <w:rPr>
                <w:sz w:val="20"/>
                <w:szCs w:val="20"/>
              </w:rPr>
              <w:t xml:space="preserve"> pilot study</w:t>
            </w:r>
          </w:p>
        </w:tc>
      </w:tr>
      <w:tr w:rsidR="00AD2149" w:rsidRPr="00081AFF" w14:paraId="54760E72" w14:textId="77777777" w:rsidTr="00AD2149">
        <w:tc>
          <w:tcPr>
            <w:tcW w:w="1809" w:type="dxa"/>
          </w:tcPr>
          <w:p w14:paraId="3EF7BE2C" w14:textId="5FDE4550" w:rsidR="00AD2149" w:rsidRPr="00081AFF" w:rsidRDefault="00DB1246" w:rsidP="00DB1246">
            <w:pPr>
              <w:spacing w:before="0" w:after="0" w:line="240" w:lineRule="auto"/>
              <w:ind w:left="0" w:right="0"/>
              <w:rPr>
                <w:sz w:val="20"/>
                <w:szCs w:val="20"/>
              </w:rPr>
            </w:pPr>
            <w:proofErr w:type="spellStart"/>
            <w:r w:rsidRPr="00081AFF">
              <w:rPr>
                <w:sz w:val="20"/>
                <w:szCs w:val="20"/>
              </w:rPr>
              <w:t>Knothe</w:t>
            </w:r>
            <w:proofErr w:type="spellEnd"/>
            <w:r w:rsidRPr="00081AFF">
              <w:rPr>
                <w:sz w:val="20"/>
                <w:szCs w:val="20"/>
              </w:rPr>
              <w:t xml:space="preserve"> 1996</w:t>
            </w:r>
            <w:bookmarkStart w:id="92" w:name="_Ref20404713"/>
            <w:r w:rsidR="0091246B">
              <w:rPr>
                <w:sz w:val="20"/>
                <w:szCs w:val="20"/>
              </w:rPr>
              <w:t>;</w:t>
            </w:r>
            <w:bookmarkStart w:id="93" w:name="_Ref25843632"/>
            <w:r w:rsidR="00081AFF" w:rsidRPr="00081AFF">
              <w:rPr>
                <w:rStyle w:val="FootnoteReference"/>
                <w:sz w:val="20"/>
                <w:szCs w:val="20"/>
              </w:rPr>
              <w:footnoteReference w:id="22"/>
            </w:r>
            <w:bookmarkEnd w:id="92"/>
            <w:bookmarkEnd w:id="93"/>
          </w:p>
        </w:tc>
        <w:tc>
          <w:tcPr>
            <w:tcW w:w="1418" w:type="dxa"/>
          </w:tcPr>
          <w:p w14:paraId="4147792C" w14:textId="77777777" w:rsidR="00AD2149" w:rsidRPr="00081AFF" w:rsidRDefault="00DB1246" w:rsidP="00DB1246">
            <w:pPr>
              <w:spacing w:before="0" w:after="0" w:line="240" w:lineRule="auto"/>
              <w:ind w:left="0" w:right="0"/>
              <w:rPr>
                <w:sz w:val="20"/>
                <w:szCs w:val="20"/>
              </w:rPr>
            </w:pPr>
            <w:r w:rsidRPr="00081AFF">
              <w:rPr>
                <w:sz w:val="20"/>
                <w:szCs w:val="20"/>
              </w:rPr>
              <w:t>R, Open CABG</w:t>
            </w:r>
          </w:p>
        </w:tc>
        <w:tc>
          <w:tcPr>
            <w:tcW w:w="1134" w:type="dxa"/>
          </w:tcPr>
          <w:p w14:paraId="6E0068FE" w14:textId="77777777" w:rsidR="00AD2149" w:rsidRPr="00081AFF" w:rsidRDefault="00DB1246" w:rsidP="00DB1246">
            <w:pPr>
              <w:spacing w:before="0" w:after="0" w:line="240" w:lineRule="auto"/>
              <w:ind w:left="0" w:right="0"/>
              <w:rPr>
                <w:sz w:val="20"/>
                <w:szCs w:val="20"/>
              </w:rPr>
            </w:pPr>
            <w:r w:rsidRPr="00081AFF">
              <w:rPr>
                <w:sz w:val="20"/>
                <w:szCs w:val="20"/>
              </w:rPr>
              <w:t>20</w:t>
            </w:r>
          </w:p>
        </w:tc>
        <w:tc>
          <w:tcPr>
            <w:tcW w:w="4359" w:type="dxa"/>
          </w:tcPr>
          <w:p w14:paraId="20C8DA93" w14:textId="418D17EF" w:rsidR="00AD2149" w:rsidRPr="00081AFF" w:rsidRDefault="00DB1246" w:rsidP="0091246B">
            <w:pPr>
              <w:spacing w:before="0" w:after="0" w:line="240" w:lineRule="auto"/>
              <w:ind w:left="0" w:right="0"/>
              <w:rPr>
                <w:sz w:val="20"/>
                <w:szCs w:val="20"/>
              </w:rPr>
            </w:pPr>
            <w:r w:rsidRPr="00081AFF">
              <w:rPr>
                <w:sz w:val="20"/>
                <w:szCs w:val="20"/>
              </w:rPr>
              <w:t xml:space="preserve">In the </w:t>
            </w:r>
            <w:proofErr w:type="spellStart"/>
            <w:r w:rsidRPr="00081AFF">
              <w:rPr>
                <w:sz w:val="20"/>
                <w:szCs w:val="20"/>
              </w:rPr>
              <w:t>iNO</w:t>
            </w:r>
            <w:proofErr w:type="spellEnd"/>
            <w:r w:rsidRPr="00081AFF">
              <w:rPr>
                <w:sz w:val="20"/>
                <w:szCs w:val="20"/>
              </w:rPr>
              <w:t xml:space="preserve"> group, PAP and </w:t>
            </w:r>
            <w:r w:rsidR="00081AFF" w:rsidRPr="00081AFF">
              <w:rPr>
                <w:sz w:val="20"/>
                <w:szCs w:val="20"/>
              </w:rPr>
              <w:t xml:space="preserve">PVR were significantly reduced </w:t>
            </w:r>
            <w:r w:rsidRPr="00081AFF">
              <w:rPr>
                <w:sz w:val="20"/>
                <w:szCs w:val="20"/>
              </w:rPr>
              <w:t>(</w:t>
            </w:r>
            <w:r w:rsidR="0091246B">
              <w:rPr>
                <w:sz w:val="20"/>
                <w:szCs w:val="20"/>
              </w:rPr>
              <w:t>p</w:t>
            </w:r>
            <w:r w:rsidR="0091246B" w:rsidRPr="00081AFF">
              <w:rPr>
                <w:sz w:val="20"/>
                <w:szCs w:val="20"/>
              </w:rPr>
              <w:t xml:space="preserve"> </w:t>
            </w:r>
            <w:r w:rsidRPr="00081AFF">
              <w:rPr>
                <w:sz w:val="20"/>
                <w:szCs w:val="20"/>
              </w:rPr>
              <w:t xml:space="preserve">&lt; 0.05) and returned to baseline value after </w:t>
            </w:r>
            <w:proofErr w:type="spellStart"/>
            <w:r w:rsidRPr="00081AFF">
              <w:rPr>
                <w:sz w:val="20"/>
                <w:szCs w:val="20"/>
              </w:rPr>
              <w:t>iNO</w:t>
            </w:r>
            <w:proofErr w:type="spellEnd"/>
            <w:r w:rsidRPr="00081AFF">
              <w:rPr>
                <w:sz w:val="20"/>
                <w:szCs w:val="20"/>
              </w:rPr>
              <w:t xml:space="preserve"> ceased. No significant changes seen with conventional treatment</w:t>
            </w:r>
          </w:p>
        </w:tc>
      </w:tr>
    </w:tbl>
    <w:p w14:paraId="50150B79" w14:textId="77777777" w:rsidR="0047268A" w:rsidRDefault="00081AFF" w:rsidP="00081AFF">
      <w:pPr>
        <w:pStyle w:val="TableDescription"/>
      </w:pPr>
      <w:proofErr w:type="spellStart"/>
      <w:r w:rsidRPr="00081AFF">
        <w:t>Kukucka</w:t>
      </w:r>
      <w:proofErr w:type="spellEnd"/>
      <w:r w:rsidRPr="00081AFF">
        <w:t xml:space="preserve"> 2011</w:t>
      </w:r>
      <w:r>
        <w:t xml:space="preserve"> reports on 47 patients from one centre (Berlin) participating in Study INOT41</w:t>
      </w:r>
    </w:p>
    <w:p w14:paraId="5265F58D" w14:textId="5D397E8C" w:rsidR="0047268A" w:rsidRPr="00DD5295" w:rsidRDefault="0047268A" w:rsidP="00CB7A27">
      <w:r w:rsidRPr="00DD5295">
        <w:t xml:space="preserve">Note that the </w:t>
      </w:r>
      <w:r w:rsidR="003E6F92" w:rsidRPr="00DD5295">
        <w:t>sponsor</w:t>
      </w:r>
      <w:r w:rsidRPr="00DD5295">
        <w:t xml:space="preserve">’s summaries under </w:t>
      </w:r>
      <w:r w:rsidR="0091246B">
        <w:t>‘</w:t>
      </w:r>
      <w:r w:rsidRPr="00DD5295">
        <w:t xml:space="preserve">Primary </w:t>
      </w:r>
      <w:r w:rsidR="0091246B">
        <w:t>o</w:t>
      </w:r>
      <w:r w:rsidR="0091246B" w:rsidRPr="00DD5295">
        <w:t>utcome</w:t>
      </w:r>
      <w:r w:rsidR="0091246B">
        <w:t>’</w:t>
      </w:r>
      <w:r w:rsidRPr="00DD5295">
        <w:t xml:space="preserve"> in the right-hand column of Table</w:t>
      </w:r>
      <w:r w:rsidR="008A05B9" w:rsidRPr="00DD5295">
        <w:t>s</w:t>
      </w:r>
      <w:r w:rsidRPr="00DD5295">
        <w:t xml:space="preserve"> </w:t>
      </w:r>
      <w:r w:rsidR="00035230" w:rsidRPr="00DD5295">
        <w:t>3</w:t>
      </w:r>
      <w:r w:rsidR="008A05B9" w:rsidRPr="00DD5295">
        <w:t xml:space="preserve"> and </w:t>
      </w:r>
      <w:r w:rsidR="00035230" w:rsidRPr="00DD5295">
        <w:t>4</w:t>
      </w:r>
      <w:r w:rsidRPr="00DD5295">
        <w:t xml:space="preserve"> contain </w:t>
      </w:r>
      <w:r w:rsidR="004C6504">
        <w:t>several</w:t>
      </w:r>
      <w:r w:rsidR="001F5D2F">
        <w:t xml:space="preserve"> </w:t>
      </w:r>
      <w:r w:rsidRPr="00DD5295">
        <w:t xml:space="preserve">inaccuracies, particularly for </w:t>
      </w:r>
      <w:proofErr w:type="spellStart"/>
      <w:r w:rsidRPr="00DD5295">
        <w:t>Fernandes</w:t>
      </w:r>
      <w:proofErr w:type="spellEnd"/>
      <w:r w:rsidRPr="00DD5295">
        <w:t xml:space="preserve"> </w:t>
      </w:r>
      <w:r w:rsidRPr="002D3165">
        <w:t>2011</w:t>
      </w:r>
      <w:r w:rsidR="004073F4" w:rsidRPr="002D3165">
        <w:t>;</w:t>
      </w:r>
      <w:r w:rsidR="002D3165" w:rsidRPr="002D3165">
        <w:rPr>
          <w:vertAlign w:val="superscript"/>
        </w:rPr>
        <w:fldChar w:fldCharType="begin"/>
      </w:r>
      <w:r w:rsidR="002D3165" w:rsidRPr="002D3165">
        <w:rPr>
          <w:vertAlign w:val="superscript"/>
        </w:rPr>
        <w:instrText xml:space="preserve"> NOTEREF _Ref25843676 \h  \* MERGEFORMAT </w:instrText>
      </w:r>
      <w:r w:rsidR="002D3165" w:rsidRPr="002D3165">
        <w:rPr>
          <w:vertAlign w:val="superscript"/>
        </w:rPr>
      </w:r>
      <w:r w:rsidR="002D3165" w:rsidRPr="002D3165">
        <w:rPr>
          <w:vertAlign w:val="superscript"/>
        </w:rPr>
        <w:fldChar w:fldCharType="separate"/>
      </w:r>
      <w:r w:rsidR="002D3165" w:rsidRPr="002D3165">
        <w:rPr>
          <w:vertAlign w:val="superscript"/>
        </w:rPr>
        <w:t>20</w:t>
      </w:r>
      <w:r w:rsidR="002D3165" w:rsidRPr="002D3165">
        <w:rPr>
          <w:vertAlign w:val="superscript"/>
        </w:rPr>
        <w:fldChar w:fldCharType="end"/>
      </w:r>
      <w:r w:rsidRPr="002D3165">
        <w:t xml:space="preserve"> </w:t>
      </w:r>
      <w:r w:rsidR="00E64EB7" w:rsidRPr="002D3165">
        <w:rPr>
          <w:rStyle w:val="FootnoteReference"/>
        </w:rPr>
        <w:footnoteReference w:id="23"/>
      </w:r>
      <w:r w:rsidR="00E64EB7" w:rsidRPr="002D3165">
        <w:t>.</w:t>
      </w:r>
      <w:r w:rsidR="004C6504">
        <w:t xml:space="preserve"> A</w:t>
      </w:r>
      <w:r w:rsidRPr="00DD5295">
        <w:t>ll of the cited p</w:t>
      </w:r>
      <w:r w:rsidR="0091246B">
        <w:noBreakHyphen/>
      </w:r>
      <w:r w:rsidRPr="00DD5295">
        <w:t>values refer to comparisons with baseline, not to between-group comparisons.</w:t>
      </w:r>
    </w:p>
    <w:p w14:paraId="2C89FED6" w14:textId="32B9961C" w:rsidR="008E7846" w:rsidRDefault="00605AD4" w:rsidP="00605AD4">
      <w:pPr>
        <w:pStyle w:val="Heading4"/>
      </w:pPr>
      <w:r>
        <w:lastRenderedPageBreak/>
        <w:t>Evaluator’s conclusions on efficacy</w:t>
      </w:r>
    </w:p>
    <w:p w14:paraId="45021EB3" w14:textId="4609B25B" w:rsidR="00C3138A" w:rsidRDefault="00C3138A" w:rsidP="00C3138A">
      <w:r>
        <w:t xml:space="preserve">The current submission rests on 16 controlled studies in the literature, and a single, negative, </w:t>
      </w:r>
      <w:r w:rsidR="003E6F92">
        <w:t>sponsor</w:t>
      </w:r>
      <w:r>
        <w:t>-initiated study (</w:t>
      </w:r>
      <w:r w:rsidR="0091246B">
        <w:t xml:space="preserve">Study </w:t>
      </w:r>
      <w:r w:rsidR="00DC7D20">
        <w:t>I</w:t>
      </w:r>
      <w:r w:rsidR="00EB52C8">
        <w:t>NO</w:t>
      </w:r>
      <w:r>
        <w:t>T41, n</w:t>
      </w:r>
      <w:r w:rsidR="00D42948">
        <w:t xml:space="preserve"> = </w:t>
      </w:r>
      <w:r>
        <w:t xml:space="preserve">150). In total, 709 adult patients have received controlled therapy in the submitted studies, 395 of whom were treated with </w:t>
      </w:r>
      <w:r w:rsidR="00DC7D20">
        <w:t>inhaled nitric oxide</w:t>
      </w:r>
      <w:r>
        <w:t>. Control therapies in the different studies have been variable, but have included inhaled nitrogen (</w:t>
      </w:r>
      <w:r w:rsidR="0091246B">
        <w:t xml:space="preserve">Study </w:t>
      </w:r>
      <w:r w:rsidR="00DC7D20">
        <w:t>I</w:t>
      </w:r>
      <w:r w:rsidR="00EB52C8">
        <w:t>NO</w:t>
      </w:r>
      <w:r>
        <w:t xml:space="preserve">T41, </w:t>
      </w:r>
      <w:proofErr w:type="spellStart"/>
      <w:r>
        <w:t>Argenziano</w:t>
      </w:r>
      <w:proofErr w:type="spellEnd"/>
      <w:r>
        <w:t xml:space="preserve"> 1998</w:t>
      </w:r>
      <w:r w:rsidR="00081AFF">
        <w:t>;</w:t>
      </w:r>
      <w:r w:rsidR="00222B2F" w:rsidRPr="00222B2F">
        <w:rPr>
          <w:vertAlign w:val="superscript"/>
        </w:rPr>
        <w:fldChar w:fldCharType="begin"/>
      </w:r>
      <w:r w:rsidR="00222B2F" w:rsidRPr="00222B2F">
        <w:rPr>
          <w:vertAlign w:val="superscript"/>
        </w:rPr>
        <w:instrText xml:space="preserve"> NOTEREF _Ref20404654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18</w:t>
      </w:r>
      <w:r w:rsidR="00222B2F" w:rsidRPr="00222B2F">
        <w:rPr>
          <w:vertAlign w:val="superscript"/>
        </w:rPr>
        <w:fldChar w:fldCharType="end"/>
      </w:r>
      <w:r w:rsidR="002355B2">
        <w:t xml:space="preserve">); </w:t>
      </w:r>
      <w:r>
        <w:t>conventional treatment (</w:t>
      </w:r>
      <w:proofErr w:type="spellStart"/>
      <w:r>
        <w:t>Knothe</w:t>
      </w:r>
      <w:proofErr w:type="spellEnd"/>
      <w:r>
        <w:t xml:space="preserve"> 1996</w:t>
      </w:r>
      <w:bookmarkStart w:id="94" w:name="_Ref10647513"/>
      <w:r w:rsidR="00081AFF">
        <w:t>;</w:t>
      </w:r>
      <w:bookmarkEnd w:id="94"/>
      <w:r w:rsidR="00222B2F" w:rsidRPr="00222B2F">
        <w:rPr>
          <w:vertAlign w:val="superscript"/>
        </w:rPr>
        <w:fldChar w:fldCharType="begin"/>
      </w:r>
      <w:r w:rsidR="00222B2F" w:rsidRPr="00222B2F">
        <w:rPr>
          <w:vertAlign w:val="superscript"/>
        </w:rPr>
        <w:instrText xml:space="preserve"> NOTEREF _Ref25843632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22</w:t>
      </w:r>
      <w:r w:rsidR="00222B2F" w:rsidRPr="00222B2F">
        <w:rPr>
          <w:vertAlign w:val="superscript"/>
        </w:rPr>
        <w:fldChar w:fldCharType="end"/>
      </w:r>
      <w:r w:rsidR="003637ED">
        <w:t>); oxygen (</w:t>
      </w:r>
      <w:proofErr w:type="spellStart"/>
      <w:r w:rsidR="003637ED">
        <w:t>Fernandes</w:t>
      </w:r>
      <w:proofErr w:type="spellEnd"/>
      <w:r w:rsidR="003637ED">
        <w:t xml:space="preserve"> 2011;</w:t>
      </w:r>
      <w:r w:rsidR="00222B2F">
        <w:rPr>
          <w:vertAlign w:val="superscript"/>
        </w:rPr>
        <w:fldChar w:fldCharType="begin"/>
      </w:r>
      <w:r w:rsidR="00222B2F">
        <w:rPr>
          <w:vertAlign w:val="superscript"/>
        </w:rPr>
        <w:instrText xml:space="preserve"> NOTEREF _Ref25843676 \h </w:instrText>
      </w:r>
      <w:r w:rsidR="00222B2F">
        <w:rPr>
          <w:vertAlign w:val="superscript"/>
        </w:rPr>
      </w:r>
      <w:r w:rsidR="00222B2F">
        <w:rPr>
          <w:vertAlign w:val="superscript"/>
        </w:rPr>
        <w:fldChar w:fldCharType="separate"/>
      </w:r>
      <w:r w:rsidR="00222B2F">
        <w:rPr>
          <w:vertAlign w:val="superscript"/>
        </w:rPr>
        <w:t>20</w:t>
      </w:r>
      <w:r w:rsidR="00222B2F">
        <w:rPr>
          <w:vertAlign w:val="superscript"/>
        </w:rPr>
        <w:fldChar w:fldCharType="end"/>
      </w:r>
      <w:r>
        <w:t xml:space="preserve">); </w:t>
      </w:r>
      <w:r w:rsidR="00931948">
        <w:rPr>
          <w:rFonts w:eastAsia="TimesNewRoman"/>
        </w:rPr>
        <w:t>intravenous</w:t>
      </w:r>
      <w:r w:rsidR="00931948">
        <w:t xml:space="preserve"> (</w:t>
      </w:r>
      <w:r>
        <w:t>IV</w:t>
      </w:r>
      <w:r w:rsidR="00931948">
        <w:t>)</w:t>
      </w:r>
      <w:r>
        <w:t xml:space="preserve"> </w:t>
      </w:r>
      <w:proofErr w:type="spellStart"/>
      <w:r>
        <w:t>milrinone</w:t>
      </w:r>
      <w:proofErr w:type="spellEnd"/>
      <w:r>
        <w:t xml:space="preserve"> (</w:t>
      </w:r>
      <w:proofErr w:type="spellStart"/>
      <w:r>
        <w:t>Solina</w:t>
      </w:r>
      <w:proofErr w:type="spellEnd"/>
      <w:r>
        <w:t xml:space="preserve"> 2000</w:t>
      </w:r>
      <w:r w:rsidR="00081AFF">
        <w:t>;</w:t>
      </w:r>
      <w:r w:rsidR="00222B2F">
        <w:rPr>
          <w:vertAlign w:val="superscript"/>
        </w:rPr>
        <w:t> </w:t>
      </w:r>
      <w:r w:rsidR="00222B2F">
        <w:rPr>
          <w:vertAlign w:val="superscript"/>
        </w:rPr>
        <w:fldChar w:fldCharType="begin"/>
      </w:r>
      <w:r w:rsidR="00222B2F">
        <w:rPr>
          <w:vertAlign w:val="superscript"/>
        </w:rPr>
        <w:instrText xml:space="preserve"> NOTEREF _Ref25843707 \h </w:instrText>
      </w:r>
      <w:r w:rsidR="00222B2F">
        <w:rPr>
          <w:vertAlign w:val="superscript"/>
        </w:rPr>
      </w:r>
      <w:r w:rsidR="00222B2F">
        <w:rPr>
          <w:vertAlign w:val="superscript"/>
        </w:rPr>
        <w:fldChar w:fldCharType="separate"/>
      </w:r>
      <w:r w:rsidR="00222B2F">
        <w:rPr>
          <w:vertAlign w:val="superscript"/>
        </w:rPr>
        <w:t>13</w:t>
      </w:r>
      <w:r w:rsidR="00222B2F">
        <w:rPr>
          <w:vertAlign w:val="superscript"/>
        </w:rPr>
        <w:fldChar w:fldCharType="end"/>
      </w:r>
      <w:r>
        <w:t xml:space="preserve">); IV </w:t>
      </w:r>
      <w:r w:rsidR="008E64F9">
        <w:rPr>
          <w:rFonts w:eastAsia="TimesNewRoman"/>
        </w:rPr>
        <w:t>Prostaglandin E1 (</w:t>
      </w:r>
      <w:r>
        <w:t>PGE1</w:t>
      </w:r>
      <w:r w:rsidR="008E64F9">
        <w:t>)</w:t>
      </w:r>
      <w:r>
        <w:t xml:space="preserve"> (</w:t>
      </w:r>
      <w:proofErr w:type="spellStart"/>
      <w:r>
        <w:t>Schmid</w:t>
      </w:r>
      <w:proofErr w:type="spellEnd"/>
      <w:r>
        <w:t xml:space="preserve"> 1999</w:t>
      </w:r>
      <w:r w:rsidR="00081AFF">
        <w:t>;</w:t>
      </w:r>
      <w:r w:rsidR="00222B2F">
        <w:rPr>
          <w:vertAlign w:val="superscript"/>
        </w:rPr>
        <w:fldChar w:fldCharType="begin"/>
      </w:r>
      <w:r w:rsidR="00222B2F">
        <w:rPr>
          <w:vertAlign w:val="superscript"/>
        </w:rPr>
        <w:instrText xml:space="preserve"> NOTEREF _Ref20404887 \h </w:instrText>
      </w:r>
      <w:r w:rsidR="00222B2F">
        <w:rPr>
          <w:vertAlign w:val="superscript"/>
        </w:rPr>
      </w:r>
      <w:r w:rsidR="00222B2F">
        <w:rPr>
          <w:vertAlign w:val="superscript"/>
        </w:rPr>
        <w:fldChar w:fldCharType="separate"/>
      </w:r>
      <w:r w:rsidR="00222B2F">
        <w:rPr>
          <w:vertAlign w:val="superscript"/>
        </w:rPr>
        <w:t>11</w:t>
      </w:r>
      <w:r w:rsidR="00222B2F">
        <w:rPr>
          <w:vertAlign w:val="superscript"/>
        </w:rPr>
        <w:fldChar w:fldCharType="end"/>
      </w:r>
      <w:r>
        <w:t xml:space="preserve">; </w:t>
      </w:r>
      <w:proofErr w:type="spellStart"/>
      <w:r>
        <w:t>Rajek</w:t>
      </w:r>
      <w:proofErr w:type="spellEnd"/>
      <w:r>
        <w:t xml:space="preserve"> 2000</w:t>
      </w:r>
      <w:r w:rsidR="00081AFF">
        <w:t>;</w:t>
      </w:r>
      <w:r w:rsidR="00222B2F" w:rsidRPr="00222B2F">
        <w:rPr>
          <w:vertAlign w:val="superscript"/>
        </w:rPr>
        <w:fldChar w:fldCharType="begin"/>
      </w:r>
      <w:r w:rsidR="00222B2F" w:rsidRPr="00222B2F">
        <w:rPr>
          <w:vertAlign w:val="superscript"/>
        </w:rPr>
        <w:instrText xml:space="preserve"> NOTEREF _Ref25843771 \h </w:instrText>
      </w:r>
      <w:r w:rsidR="00222B2F">
        <w:rPr>
          <w:vertAlign w:val="superscript"/>
        </w:rPr>
        <w:instrText xml:space="preserve">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16</w:t>
      </w:r>
      <w:r w:rsidR="00222B2F" w:rsidRPr="00222B2F">
        <w:rPr>
          <w:vertAlign w:val="superscript"/>
        </w:rPr>
        <w:fldChar w:fldCharType="end"/>
      </w:r>
      <w:r w:rsidR="00081AFF">
        <w:t>)</w:t>
      </w:r>
      <w:r>
        <w:t xml:space="preserve">; IV nitroprusside or </w:t>
      </w:r>
      <w:r w:rsidR="002355B2">
        <w:t>glyceryl trinitrate</w:t>
      </w:r>
      <w:r>
        <w:t xml:space="preserve"> (</w:t>
      </w:r>
      <w:proofErr w:type="spellStart"/>
      <w:r>
        <w:t>Schmid</w:t>
      </w:r>
      <w:proofErr w:type="spellEnd"/>
      <w:r>
        <w:t xml:space="preserve"> 1999</w:t>
      </w:r>
      <w:r w:rsidR="003637ED">
        <w:t>;</w:t>
      </w:r>
      <w:r w:rsidR="00B815C7" w:rsidRPr="00B815C7">
        <w:rPr>
          <w:vertAlign w:val="superscript"/>
        </w:rPr>
        <w:fldChar w:fldCharType="begin"/>
      </w:r>
      <w:r w:rsidR="00B815C7" w:rsidRPr="00B815C7">
        <w:rPr>
          <w:vertAlign w:val="superscript"/>
        </w:rPr>
        <w:instrText xml:space="preserve"> NOTEREF _Ref10646913 \h </w:instrText>
      </w:r>
      <w:r w:rsidR="00B815C7">
        <w:rPr>
          <w:vertAlign w:val="superscript"/>
        </w:rPr>
        <w:instrText xml:space="preserve"> \* MERGEFORMAT </w:instrText>
      </w:r>
      <w:r w:rsidR="00B815C7" w:rsidRPr="00B815C7">
        <w:rPr>
          <w:vertAlign w:val="superscript"/>
        </w:rPr>
      </w:r>
      <w:r w:rsidR="00B815C7" w:rsidRPr="00B815C7">
        <w:rPr>
          <w:vertAlign w:val="superscript"/>
        </w:rPr>
        <w:fldChar w:fldCharType="separate"/>
      </w:r>
      <w:r w:rsidR="00222B2F" w:rsidRPr="00222B2F">
        <w:rPr>
          <w:bCs/>
          <w:vertAlign w:val="superscript"/>
          <w:lang w:val="en-US"/>
        </w:rPr>
        <w:fldChar w:fldCharType="begin"/>
      </w:r>
      <w:r w:rsidR="00222B2F" w:rsidRPr="00222B2F">
        <w:rPr>
          <w:bCs/>
          <w:vertAlign w:val="superscript"/>
          <w:lang w:val="en-US"/>
        </w:rPr>
        <w:instrText xml:space="preserve"> NOTEREF _Ref20404887 \h </w:instrText>
      </w:r>
      <w:r w:rsidR="00222B2F">
        <w:rPr>
          <w:bCs/>
          <w:vertAlign w:val="superscript"/>
          <w:lang w:val="en-US"/>
        </w:rPr>
        <w:instrText xml:space="preserve"> \* MERGEFORMAT </w:instrText>
      </w:r>
      <w:r w:rsidR="00222B2F" w:rsidRPr="00222B2F">
        <w:rPr>
          <w:bCs/>
          <w:vertAlign w:val="superscript"/>
          <w:lang w:val="en-US"/>
        </w:rPr>
      </w:r>
      <w:r w:rsidR="00222B2F" w:rsidRPr="00222B2F">
        <w:rPr>
          <w:bCs/>
          <w:vertAlign w:val="superscript"/>
          <w:lang w:val="en-US"/>
        </w:rPr>
        <w:fldChar w:fldCharType="separate"/>
      </w:r>
      <w:r w:rsidR="00222B2F" w:rsidRPr="00222B2F">
        <w:rPr>
          <w:bCs/>
          <w:vertAlign w:val="superscript"/>
          <w:lang w:val="en-US"/>
        </w:rPr>
        <w:t>11</w:t>
      </w:r>
      <w:r w:rsidR="00222B2F" w:rsidRPr="00222B2F">
        <w:rPr>
          <w:bCs/>
          <w:vertAlign w:val="superscript"/>
          <w:lang w:val="en-US"/>
        </w:rPr>
        <w:fldChar w:fldCharType="end"/>
      </w:r>
      <w:r w:rsidR="00A50889">
        <w:rPr>
          <w:b/>
          <w:bCs/>
          <w:vertAlign w:val="superscript"/>
          <w:lang w:val="en-US"/>
        </w:rPr>
        <w:t>.</w:t>
      </w:r>
      <w:r w:rsidR="00B815C7" w:rsidRPr="00B815C7">
        <w:rPr>
          <w:vertAlign w:val="superscript"/>
        </w:rPr>
        <w:fldChar w:fldCharType="end"/>
      </w:r>
      <w:r>
        <w:t xml:space="preserve">; </w:t>
      </w:r>
      <w:proofErr w:type="spellStart"/>
      <w:r>
        <w:t>Fattouch</w:t>
      </w:r>
      <w:proofErr w:type="spellEnd"/>
      <w:r>
        <w:t xml:space="preserve"> 2005</w:t>
      </w:r>
      <w:r w:rsidR="00222B2F" w:rsidRPr="00222B2F">
        <w:t>;</w:t>
      </w:r>
      <w:r w:rsidR="00222B2F">
        <w:rPr>
          <w:vertAlign w:val="superscript"/>
        </w:rPr>
        <w:fldChar w:fldCharType="begin"/>
      </w:r>
      <w:r w:rsidR="00222B2F">
        <w:rPr>
          <w:vertAlign w:val="superscript"/>
        </w:rPr>
        <w:instrText xml:space="preserve"> NOTEREF _Ref25843832 \h </w:instrText>
      </w:r>
      <w:r w:rsidR="00222B2F">
        <w:rPr>
          <w:vertAlign w:val="superscript"/>
        </w:rPr>
      </w:r>
      <w:r w:rsidR="00222B2F">
        <w:rPr>
          <w:vertAlign w:val="superscript"/>
        </w:rPr>
        <w:fldChar w:fldCharType="separate"/>
      </w:r>
      <w:r w:rsidR="00222B2F">
        <w:rPr>
          <w:vertAlign w:val="superscript"/>
        </w:rPr>
        <w:t>8</w:t>
      </w:r>
      <w:r w:rsidR="00222B2F">
        <w:rPr>
          <w:vertAlign w:val="superscript"/>
        </w:rPr>
        <w:fldChar w:fldCharType="end"/>
      </w:r>
      <w:r>
        <w:t xml:space="preserve"> </w:t>
      </w:r>
      <w:proofErr w:type="spellStart"/>
      <w:r>
        <w:t>Fattouch</w:t>
      </w:r>
      <w:proofErr w:type="spellEnd"/>
      <w:r>
        <w:t xml:space="preserve"> 2006</w:t>
      </w:r>
      <w:r w:rsidR="00081AFF">
        <w:t>;</w:t>
      </w:r>
      <w:r w:rsidR="00222B2F">
        <w:rPr>
          <w:vertAlign w:val="superscript"/>
        </w:rPr>
        <w:fldChar w:fldCharType="begin"/>
      </w:r>
      <w:r w:rsidR="00222B2F">
        <w:rPr>
          <w:vertAlign w:val="superscript"/>
        </w:rPr>
        <w:instrText xml:space="preserve"> NOTEREF _Ref25843875 \h </w:instrText>
      </w:r>
      <w:r w:rsidR="00222B2F">
        <w:rPr>
          <w:vertAlign w:val="superscript"/>
        </w:rPr>
      </w:r>
      <w:r w:rsidR="00222B2F">
        <w:rPr>
          <w:vertAlign w:val="superscript"/>
        </w:rPr>
        <w:fldChar w:fldCharType="separate"/>
      </w:r>
      <w:r w:rsidR="00222B2F">
        <w:rPr>
          <w:vertAlign w:val="superscript"/>
        </w:rPr>
        <w:t>9</w:t>
      </w:r>
      <w:r w:rsidR="00222B2F">
        <w:rPr>
          <w:vertAlign w:val="superscript"/>
        </w:rPr>
        <w:fldChar w:fldCharType="end"/>
      </w:r>
      <w:r>
        <w:t xml:space="preserve">); inhaled </w:t>
      </w:r>
      <w:proofErr w:type="spellStart"/>
      <w:r>
        <w:t>iloprost</w:t>
      </w:r>
      <w:proofErr w:type="spellEnd"/>
      <w:r>
        <w:t xml:space="preserve"> (</w:t>
      </w:r>
      <w:proofErr w:type="spellStart"/>
      <w:r>
        <w:t>Winterhalter</w:t>
      </w:r>
      <w:proofErr w:type="spellEnd"/>
      <w:r>
        <w:t xml:space="preserve"> 2008</w:t>
      </w:r>
      <w:bookmarkStart w:id="95" w:name="_Ref10647573"/>
      <w:r w:rsidR="00081AFF">
        <w:t>;</w:t>
      </w:r>
      <w:bookmarkEnd w:id="95"/>
      <w:r w:rsidR="00222B2F" w:rsidRPr="00222B2F">
        <w:rPr>
          <w:vertAlign w:val="superscript"/>
        </w:rPr>
        <w:fldChar w:fldCharType="begin"/>
      </w:r>
      <w:r w:rsidR="00222B2F" w:rsidRPr="00222B2F">
        <w:rPr>
          <w:vertAlign w:val="superscript"/>
        </w:rPr>
        <w:instrText xml:space="preserve"> NOTEREF _Ref25843903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12</w:t>
      </w:r>
      <w:r w:rsidR="00222B2F" w:rsidRPr="00222B2F">
        <w:rPr>
          <w:vertAlign w:val="superscript"/>
        </w:rPr>
        <w:fldChar w:fldCharType="end"/>
      </w:r>
      <w:r>
        <w:t xml:space="preserve"> Khan 2009</w:t>
      </w:r>
      <w:bookmarkStart w:id="96" w:name="_Ref10647607"/>
      <w:r w:rsidR="00081AFF">
        <w:t>;</w:t>
      </w:r>
      <w:bookmarkEnd w:id="96"/>
      <w:r w:rsidR="00222B2F" w:rsidRPr="00222B2F">
        <w:rPr>
          <w:vertAlign w:val="superscript"/>
        </w:rPr>
        <w:fldChar w:fldCharType="begin"/>
      </w:r>
      <w:r w:rsidR="00222B2F" w:rsidRPr="00222B2F">
        <w:rPr>
          <w:vertAlign w:val="superscript"/>
        </w:rPr>
        <w:instrText xml:space="preserve"> NOTEREF _Ref25843937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21</w:t>
      </w:r>
      <w:r w:rsidR="00222B2F" w:rsidRPr="00222B2F">
        <w:rPr>
          <w:vertAlign w:val="superscript"/>
        </w:rPr>
        <w:fldChar w:fldCharType="end"/>
      </w:r>
      <w:r>
        <w:t>); and inhaled prostacyclin (</w:t>
      </w:r>
      <w:proofErr w:type="spellStart"/>
      <w:r>
        <w:t>Fattouch</w:t>
      </w:r>
      <w:proofErr w:type="spellEnd"/>
      <w:r>
        <w:t xml:space="preserve"> 2005;</w:t>
      </w:r>
      <w:r w:rsidR="00222B2F" w:rsidRPr="00222B2F">
        <w:rPr>
          <w:vertAlign w:val="superscript"/>
        </w:rPr>
        <w:fldChar w:fldCharType="begin"/>
      </w:r>
      <w:r w:rsidR="00222B2F" w:rsidRPr="00222B2F">
        <w:rPr>
          <w:vertAlign w:val="superscript"/>
        </w:rPr>
        <w:instrText xml:space="preserve"> NOTEREF _Ref25843832 \h </w:instrText>
      </w:r>
      <w:r w:rsidR="00222B2F">
        <w:rPr>
          <w:vertAlign w:val="superscript"/>
        </w:rPr>
        <w:instrText xml:space="preserve">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8</w:t>
      </w:r>
      <w:r w:rsidR="00222B2F" w:rsidRPr="00222B2F">
        <w:rPr>
          <w:vertAlign w:val="superscript"/>
        </w:rPr>
        <w:fldChar w:fldCharType="end"/>
      </w:r>
      <w:r>
        <w:t xml:space="preserve"> </w:t>
      </w:r>
      <w:proofErr w:type="spellStart"/>
      <w:r>
        <w:t>Fattouch</w:t>
      </w:r>
      <w:proofErr w:type="spellEnd"/>
      <w:r>
        <w:t xml:space="preserve"> 2006</w:t>
      </w:r>
      <w:r w:rsidR="003637ED">
        <w:t>;</w:t>
      </w:r>
      <w:r w:rsidR="00222B2F" w:rsidRPr="00222B2F">
        <w:rPr>
          <w:vertAlign w:val="superscript"/>
        </w:rPr>
        <w:fldChar w:fldCharType="begin"/>
      </w:r>
      <w:r w:rsidR="00222B2F" w:rsidRPr="00222B2F">
        <w:rPr>
          <w:vertAlign w:val="superscript"/>
        </w:rPr>
        <w:instrText xml:space="preserve"> NOTEREF _Ref25843875 \h </w:instrText>
      </w:r>
      <w:r w:rsidR="00222B2F">
        <w:rPr>
          <w:vertAlign w:val="superscript"/>
        </w:rPr>
        <w:instrText xml:space="preserve">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9</w:t>
      </w:r>
      <w:r w:rsidR="00222B2F" w:rsidRPr="00222B2F">
        <w:rPr>
          <w:vertAlign w:val="superscript"/>
        </w:rPr>
        <w:fldChar w:fldCharType="end"/>
      </w:r>
      <w:r>
        <w:t>).</w:t>
      </w:r>
    </w:p>
    <w:p w14:paraId="7D609363" w14:textId="1C346A3C" w:rsidR="003B08F8" w:rsidRDefault="00C3138A" w:rsidP="00C3138A">
      <w:r>
        <w:t xml:space="preserve">In the adult studies, inhaled </w:t>
      </w:r>
      <w:r w:rsidR="00B9690A">
        <w:t>nitric oxide</w:t>
      </w:r>
      <w:r>
        <w:t xml:space="preserve"> doses ranged from 4 to 40 ppm, but 20 ppm was used most commonly. The </w:t>
      </w:r>
      <w:r w:rsidR="003E6F92">
        <w:t>sponsor</w:t>
      </w:r>
      <w:r>
        <w:t xml:space="preserve">’s study, </w:t>
      </w:r>
      <w:r w:rsidR="0091246B">
        <w:t xml:space="preserve">Study </w:t>
      </w:r>
      <w:r w:rsidR="00DC7D20">
        <w:t>I</w:t>
      </w:r>
      <w:r w:rsidR="00EB52C8">
        <w:t>NO</w:t>
      </w:r>
      <w:r>
        <w:t xml:space="preserve">T41, assessed </w:t>
      </w:r>
      <w:r w:rsidR="00DC7D20">
        <w:t>inhaled nitric oxide</w:t>
      </w:r>
      <w:r>
        <w:t xml:space="preserve"> (40</w:t>
      </w:r>
      <w:r w:rsidR="00EB52C8">
        <w:t> </w:t>
      </w:r>
      <w:r>
        <w:t xml:space="preserve">ppm) versus placebo (an equivalent concentration of nitrogen). In cardiac surgery patients, </w:t>
      </w:r>
      <w:r w:rsidR="00DC7D20">
        <w:t>inhaled nitric oxide</w:t>
      </w:r>
      <w:r>
        <w:t xml:space="preserve"> was usually commenced at the time of weaning from </w:t>
      </w:r>
      <w:r w:rsidR="00B9690A">
        <w:t>cardiopulmonary bypass</w:t>
      </w:r>
      <w:r>
        <w:t xml:space="preserve">. The duration of </w:t>
      </w:r>
      <w:r w:rsidR="00DC7D20">
        <w:t>inhaled nitric oxide</w:t>
      </w:r>
      <w:r>
        <w:t xml:space="preserve"> treatment was variable, and ranged from 15</w:t>
      </w:r>
      <w:r w:rsidR="00B9690A">
        <w:t> </w:t>
      </w:r>
      <w:r>
        <w:t xml:space="preserve">minutes in acute haemodynamic studies to several hours (up to the arrival in the ICU or later). The doses of </w:t>
      </w:r>
      <w:r w:rsidR="00DC7D20">
        <w:t>inhaled nitric oxide</w:t>
      </w:r>
      <w:r>
        <w:t xml:space="preserve"> used in the included publications broadly support the recommended dosage of 20 ppm.</w:t>
      </w:r>
    </w:p>
    <w:p w14:paraId="7D033F69" w14:textId="21DC3479" w:rsidR="00C3138A" w:rsidRDefault="00C3138A" w:rsidP="00C3138A">
      <w:r>
        <w:t xml:space="preserve">The endpoints were similar in each study, and included pulmonary artery </w:t>
      </w:r>
      <w:r w:rsidRPr="008A05B9">
        <w:t>pressure (PAP),</w:t>
      </w:r>
      <w:r>
        <w:t xml:space="preserve"> pulmonary vascular resistance (PVR), right ventricular ejection fraction (RVEF) or cardiac index (CI). In </w:t>
      </w:r>
      <w:r w:rsidR="0091246B">
        <w:t xml:space="preserve">Study </w:t>
      </w:r>
      <w:r w:rsidR="00BB39E5">
        <w:t>INOT41</w:t>
      </w:r>
      <w:r>
        <w:t>, the primary endpoint was clinical: the incidence of right ventricular dysfunction occurring within 48 hours during treatment with study drug.</w:t>
      </w:r>
    </w:p>
    <w:p w14:paraId="00A4A87E" w14:textId="77777777" w:rsidR="00C3138A" w:rsidRDefault="00C3138A" w:rsidP="00C3138A">
      <w:r>
        <w:t xml:space="preserve">The main findings and main limitations of each study are summarised in the </w:t>
      </w:r>
      <w:r w:rsidR="007E2F4E">
        <w:t>T</w:t>
      </w:r>
      <w:r>
        <w:t xml:space="preserve">able </w:t>
      </w:r>
      <w:r w:rsidR="00035230">
        <w:t>5</w:t>
      </w:r>
      <w:r w:rsidR="007E2F4E">
        <w:t xml:space="preserve"> below.</w:t>
      </w:r>
      <w:r>
        <w:t xml:space="preserve"> Despite the limitations noted, efficacy has been demonstrated for the key outcomes of </w:t>
      </w:r>
      <w:r w:rsidR="00BB39E5">
        <w:t>pulmonary arterial pressure</w:t>
      </w:r>
      <w:r>
        <w:t xml:space="preserve">, </w:t>
      </w:r>
      <w:r w:rsidR="00BB39E5">
        <w:t>pulmonary vascular resistance</w:t>
      </w:r>
      <w:r>
        <w:t>, with less convincing findings for cardiac index.</w:t>
      </w:r>
    </w:p>
    <w:p w14:paraId="47E09B4D" w14:textId="77777777" w:rsidR="00C3138A" w:rsidRDefault="00C3138A" w:rsidP="00BB39E5">
      <w:pPr>
        <w:pStyle w:val="Heading5"/>
      </w:pPr>
      <w:r>
        <w:t>Pulmonary artery pressure</w:t>
      </w:r>
    </w:p>
    <w:p w14:paraId="0EB2B54A" w14:textId="04AF0493" w:rsidR="00C3138A" w:rsidRDefault="00C3138A" w:rsidP="00C3138A">
      <w:r>
        <w:t xml:space="preserve">In the studies that reported changes in </w:t>
      </w:r>
      <w:r w:rsidR="00BB39E5">
        <w:t>pulmonary arterial pressure</w:t>
      </w:r>
      <w:r>
        <w:t xml:space="preserve"> (</w:t>
      </w:r>
      <w:proofErr w:type="spellStart"/>
      <w:r>
        <w:t>Argenziano</w:t>
      </w:r>
      <w:proofErr w:type="spellEnd"/>
      <w:r>
        <w:t xml:space="preserve"> 1998</w:t>
      </w:r>
      <w:r w:rsidR="0091246B">
        <w:t>;</w:t>
      </w:r>
      <w:r w:rsidR="0031037B" w:rsidRPr="0031037B">
        <w:rPr>
          <w:vertAlign w:val="superscript"/>
        </w:rPr>
        <w:fldChar w:fldCharType="begin"/>
      </w:r>
      <w:r w:rsidR="0031037B" w:rsidRPr="0031037B">
        <w:rPr>
          <w:vertAlign w:val="superscript"/>
        </w:rPr>
        <w:instrText xml:space="preserve"> NOTEREF _Ref10647497 \h </w:instrText>
      </w:r>
      <w:r w:rsidR="0031037B">
        <w:rPr>
          <w:vertAlign w:val="superscript"/>
        </w:rPr>
        <w:instrText xml:space="preserve"> \* MERGEFORMAT </w:instrText>
      </w:r>
      <w:r w:rsidR="0031037B" w:rsidRPr="0031037B">
        <w:rPr>
          <w:vertAlign w:val="superscript"/>
        </w:rPr>
      </w:r>
      <w:r w:rsidR="0031037B" w:rsidRPr="0031037B">
        <w:rPr>
          <w:vertAlign w:val="superscript"/>
        </w:rPr>
        <w:fldChar w:fldCharType="separate"/>
      </w:r>
      <w:r w:rsidR="00222B2F">
        <w:rPr>
          <w:b/>
          <w:bCs/>
          <w:lang w:val="en-US"/>
        </w:rPr>
        <w:fldChar w:fldCharType="begin"/>
      </w:r>
      <w:r w:rsidR="00222B2F">
        <w:rPr>
          <w:vertAlign w:val="superscript"/>
        </w:rPr>
        <w:instrText xml:space="preserve"> NOTEREF _Ref20404654 \h </w:instrText>
      </w:r>
      <w:r w:rsidR="00222B2F">
        <w:rPr>
          <w:b/>
          <w:bCs/>
          <w:lang w:val="en-US"/>
        </w:rPr>
      </w:r>
      <w:r w:rsidR="00222B2F">
        <w:rPr>
          <w:b/>
          <w:bCs/>
          <w:lang w:val="en-US"/>
        </w:rPr>
        <w:fldChar w:fldCharType="separate"/>
      </w:r>
      <w:r w:rsidR="00222B2F">
        <w:rPr>
          <w:vertAlign w:val="superscript"/>
        </w:rPr>
        <w:t>18</w:t>
      </w:r>
      <w:r w:rsidR="00222B2F">
        <w:rPr>
          <w:b/>
          <w:bCs/>
          <w:lang w:val="en-US"/>
        </w:rPr>
        <w:fldChar w:fldCharType="end"/>
      </w:r>
      <w:r w:rsidR="00A50889">
        <w:rPr>
          <w:b/>
          <w:bCs/>
          <w:vertAlign w:val="superscript"/>
          <w:lang w:val="en-US"/>
        </w:rPr>
        <w:t>.</w:t>
      </w:r>
      <w:r w:rsidR="0031037B" w:rsidRPr="0031037B">
        <w:rPr>
          <w:vertAlign w:val="superscript"/>
        </w:rPr>
        <w:fldChar w:fldCharType="end"/>
      </w:r>
      <w:r>
        <w:t xml:space="preserve"> </w:t>
      </w:r>
      <w:proofErr w:type="spellStart"/>
      <w:r>
        <w:t>Knothe</w:t>
      </w:r>
      <w:proofErr w:type="spellEnd"/>
      <w:r>
        <w:t xml:space="preserve"> 1996</w:t>
      </w:r>
      <w:r w:rsidR="003637ED">
        <w:t>;</w:t>
      </w:r>
      <w:r w:rsidR="0031037B" w:rsidRPr="0031037B">
        <w:rPr>
          <w:vertAlign w:val="superscript"/>
        </w:rPr>
        <w:fldChar w:fldCharType="begin"/>
      </w:r>
      <w:r w:rsidR="0031037B" w:rsidRPr="0031037B">
        <w:rPr>
          <w:vertAlign w:val="superscript"/>
        </w:rPr>
        <w:instrText xml:space="preserve"> NOTEREF _Ref10647513 \h </w:instrText>
      </w:r>
      <w:r w:rsidR="0031037B">
        <w:rPr>
          <w:vertAlign w:val="superscript"/>
        </w:rPr>
        <w:instrText xml:space="preserve"> \* MERGEFORMAT </w:instrText>
      </w:r>
      <w:r w:rsidR="0031037B" w:rsidRPr="0031037B">
        <w:rPr>
          <w:vertAlign w:val="superscript"/>
        </w:rPr>
      </w:r>
      <w:r w:rsidR="0031037B" w:rsidRPr="0031037B">
        <w:rPr>
          <w:vertAlign w:val="superscript"/>
        </w:rPr>
        <w:fldChar w:fldCharType="separate"/>
      </w:r>
      <w:r w:rsidR="00222B2F">
        <w:rPr>
          <w:b/>
          <w:bCs/>
          <w:vertAlign w:val="superscript"/>
          <w:lang w:val="en-US"/>
        </w:rPr>
        <w:fldChar w:fldCharType="begin"/>
      </w:r>
      <w:r w:rsidR="00222B2F">
        <w:rPr>
          <w:vertAlign w:val="superscript"/>
        </w:rPr>
        <w:instrText xml:space="preserve"> NOTEREF _Ref25843632 \h </w:instrText>
      </w:r>
      <w:r w:rsidR="00222B2F">
        <w:rPr>
          <w:b/>
          <w:bCs/>
          <w:vertAlign w:val="superscript"/>
          <w:lang w:val="en-US"/>
        </w:rPr>
      </w:r>
      <w:r w:rsidR="00222B2F">
        <w:rPr>
          <w:b/>
          <w:bCs/>
          <w:vertAlign w:val="superscript"/>
          <w:lang w:val="en-US"/>
        </w:rPr>
        <w:fldChar w:fldCharType="separate"/>
      </w:r>
      <w:r w:rsidR="00222B2F">
        <w:rPr>
          <w:vertAlign w:val="superscript"/>
        </w:rPr>
        <w:t>22</w:t>
      </w:r>
      <w:r w:rsidR="00222B2F">
        <w:rPr>
          <w:b/>
          <w:bCs/>
          <w:vertAlign w:val="superscript"/>
          <w:lang w:val="en-US"/>
        </w:rPr>
        <w:fldChar w:fldCharType="end"/>
      </w:r>
      <w:r w:rsidR="00A50889">
        <w:rPr>
          <w:b/>
          <w:bCs/>
          <w:vertAlign w:val="superscript"/>
          <w:lang w:val="en-US"/>
        </w:rPr>
        <w:t>.</w:t>
      </w:r>
      <w:r w:rsidR="0031037B" w:rsidRPr="0031037B">
        <w:rPr>
          <w:vertAlign w:val="superscript"/>
        </w:rPr>
        <w:fldChar w:fldCharType="end"/>
      </w:r>
      <w:r>
        <w:t xml:space="preserve"> </w:t>
      </w:r>
      <w:proofErr w:type="spellStart"/>
      <w:r>
        <w:t>Fernandes</w:t>
      </w:r>
      <w:proofErr w:type="spellEnd"/>
      <w:r>
        <w:t xml:space="preserve"> 2011</w:t>
      </w:r>
      <w:r w:rsidR="0091246B">
        <w:t>;</w:t>
      </w:r>
      <w:r w:rsidR="0031037B" w:rsidRPr="0031037B">
        <w:rPr>
          <w:vertAlign w:val="superscript"/>
        </w:rPr>
        <w:fldChar w:fldCharType="begin"/>
      </w:r>
      <w:r w:rsidR="0031037B" w:rsidRPr="0031037B">
        <w:rPr>
          <w:vertAlign w:val="superscript"/>
        </w:rPr>
        <w:instrText xml:space="preserve"> NOTEREF _Ref10646736 \h </w:instrText>
      </w:r>
      <w:r w:rsidR="0031037B">
        <w:rPr>
          <w:vertAlign w:val="superscript"/>
        </w:rPr>
        <w:instrText xml:space="preserve"> \* MERGEFORMAT </w:instrText>
      </w:r>
      <w:r w:rsidR="0031037B" w:rsidRPr="0031037B">
        <w:rPr>
          <w:vertAlign w:val="superscript"/>
        </w:rPr>
      </w:r>
      <w:r w:rsidR="0031037B" w:rsidRPr="0031037B">
        <w:rPr>
          <w:vertAlign w:val="superscript"/>
        </w:rPr>
        <w:fldChar w:fldCharType="separate"/>
      </w:r>
      <w:r w:rsidR="00222B2F">
        <w:rPr>
          <w:b/>
          <w:bCs/>
          <w:vertAlign w:val="superscript"/>
          <w:lang w:val="en-US"/>
        </w:rPr>
        <w:fldChar w:fldCharType="begin"/>
      </w:r>
      <w:r w:rsidR="00222B2F">
        <w:rPr>
          <w:vertAlign w:val="superscript"/>
        </w:rPr>
        <w:instrText xml:space="preserve"> NOTEREF _Ref25843676 \h </w:instrText>
      </w:r>
      <w:r w:rsidR="00222B2F">
        <w:rPr>
          <w:b/>
          <w:bCs/>
          <w:vertAlign w:val="superscript"/>
          <w:lang w:val="en-US"/>
        </w:rPr>
      </w:r>
      <w:r w:rsidR="00222B2F">
        <w:rPr>
          <w:b/>
          <w:bCs/>
          <w:vertAlign w:val="superscript"/>
          <w:lang w:val="en-US"/>
        </w:rPr>
        <w:fldChar w:fldCharType="separate"/>
      </w:r>
      <w:r w:rsidR="00222B2F">
        <w:rPr>
          <w:vertAlign w:val="superscript"/>
        </w:rPr>
        <w:t>20</w:t>
      </w:r>
      <w:r w:rsidR="00222B2F">
        <w:rPr>
          <w:b/>
          <w:bCs/>
          <w:vertAlign w:val="superscript"/>
          <w:lang w:val="en-US"/>
        </w:rPr>
        <w:fldChar w:fldCharType="end"/>
      </w:r>
      <w:r w:rsidR="00A50889">
        <w:rPr>
          <w:b/>
          <w:bCs/>
          <w:vertAlign w:val="superscript"/>
          <w:lang w:val="en-US"/>
        </w:rPr>
        <w:t>.</w:t>
      </w:r>
      <w:r w:rsidR="0031037B" w:rsidRPr="0031037B">
        <w:rPr>
          <w:vertAlign w:val="superscript"/>
        </w:rPr>
        <w:fldChar w:fldCharType="end"/>
      </w:r>
      <w:r>
        <w:t xml:space="preserve"> </w:t>
      </w:r>
      <w:proofErr w:type="spellStart"/>
      <w:r>
        <w:t>Fattouch</w:t>
      </w:r>
      <w:proofErr w:type="spellEnd"/>
      <w:r>
        <w:t xml:space="preserve"> 2005;</w:t>
      </w:r>
      <w:r w:rsidR="00222B2F" w:rsidRPr="00222B2F">
        <w:rPr>
          <w:vertAlign w:val="superscript"/>
        </w:rPr>
        <w:fldChar w:fldCharType="begin"/>
      </w:r>
      <w:r w:rsidR="00222B2F" w:rsidRPr="00222B2F">
        <w:rPr>
          <w:vertAlign w:val="superscript"/>
        </w:rPr>
        <w:instrText xml:space="preserve"> NOTEREF _Ref25843832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8</w:t>
      </w:r>
      <w:r w:rsidR="00222B2F" w:rsidRPr="00222B2F">
        <w:rPr>
          <w:vertAlign w:val="superscript"/>
        </w:rPr>
        <w:fldChar w:fldCharType="end"/>
      </w:r>
      <w:r>
        <w:t xml:space="preserve"> </w:t>
      </w:r>
      <w:proofErr w:type="spellStart"/>
      <w:r>
        <w:t>Fattouch</w:t>
      </w:r>
      <w:proofErr w:type="spellEnd"/>
      <w:r>
        <w:t xml:space="preserve"> 2006</w:t>
      </w:r>
      <w:r w:rsidR="003637ED">
        <w:t>;</w:t>
      </w:r>
      <w:r w:rsidR="00222B2F" w:rsidRPr="00222B2F">
        <w:rPr>
          <w:vertAlign w:val="superscript"/>
        </w:rPr>
        <w:fldChar w:fldCharType="begin"/>
      </w:r>
      <w:r w:rsidR="00222B2F" w:rsidRPr="00222B2F">
        <w:rPr>
          <w:vertAlign w:val="superscript"/>
        </w:rPr>
        <w:instrText xml:space="preserve"> NOTEREF _Ref25843875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9</w:t>
      </w:r>
      <w:r w:rsidR="00222B2F" w:rsidRPr="00222B2F">
        <w:rPr>
          <w:vertAlign w:val="superscript"/>
        </w:rPr>
        <w:fldChar w:fldCharType="end"/>
      </w:r>
      <w:r>
        <w:t xml:space="preserve"> </w:t>
      </w:r>
      <w:proofErr w:type="spellStart"/>
      <w:r>
        <w:t>Solina</w:t>
      </w:r>
      <w:proofErr w:type="spellEnd"/>
      <w:r>
        <w:t xml:space="preserve"> 2000</w:t>
      </w:r>
      <w:r w:rsidR="003637ED">
        <w:t>;</w:t>
      </w:r>
      <w:r w:rsidR="00222B2F" w:rsidRPr="00222B2F">
        <w:rPr>
          <w:vertAlign w:val="superscript"/>
        </w:rPr>
        <w:fldChar w:fldCharType="begin"/>
      </w:r>
      <w:r w:rsidR="00222B2F" w:rsidRPr="00222B2F">
        <w:rPr>
          <w:vertAlign w:val="superscript"/>
        </w:rPr>
        <w:instrText xml:space="preserve"> NOTEREF _Ref25843707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13</w:t>
      </w:r>
      <w:r w:rsidR="00222B2F" w:rsidRPr="00222B2F">
        <w:rPr>
          <w:vertAlign w:val="superscript"/>
        </w:rPr>
        <w:fldChar w:fldCharType="end"/>
      </w:r>
      <w:r w:rsidR="003637ED">
        <w:t xml:space="preserve"> </w:t>
      </w:r>
      <w:proofErr w:type="spellStart"/>
      <w:r>
        <w:t>Winterhalter</w:t>
      </w:r>
      <w:proofErr w:type="spellEnd"/>
      <w:r>
        <w:t xml:space="preserve"> 2008;</w:t>
      </w:r>
      <w:r w:rsidR="00222B2F" w:rsidRPr="00222B2F">
        <w:rPr>
          <w:vertAlign w:val="superscript"/>
        </w:rPr>
        <w:fldChar w:fldCharType="begin"/>
      </w:r>
      <w:r w:rsidR="00222B2F" w:rsidRPr="00222B2F">
        <w:rPr>
          <w:vertAlign w:val="superscript"/>
        </w:rPr>
        <w:instrText xml:space="preserve"> NOTEREF _Ref25843903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12</w:t>
      </w:r>
      <w:r w:rsidR="00222B2F" w:rsidRPr="00222B2F">
        <w:rPr>
          <w:vertAlign w:val="superscript"/>
        </w:rPr>
        <w:fldChar w:fldCharType="end"/>
      </w:r>
      <w:r>
        <w:t xml:space="preserve"> </w:t>
      </w:r>
      <w:proofErr w:type="spellStart"/>
      <w:r>
        <w:t>Rajek</w:t>
      </w:r>
      <w:proofErr w:type="spellEnd"/>
      <w:r>
        <w:t xml:space="preserve"> 2000;</w:t>
      </w:r>
      <w:r w:rsidR="00222B2F" w:rsidRPr="00222B2F">
        <w:rPr>
          <w:vertAlign w:val="superscript"/>
        </w:rPr>
        <w:fldChar w:fldCharType="begin"/>
      </w:r>
      <w:r w:rsidR="00222B2F" w:rsidRPr="00222B2F">
        <w:rPr>
          <w:vertAlign w:val="superscript"/>
        </w:rPr>
        <w:instrText xml:space="preserve"> NOTEREF _Ref25843771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16</w:t>
      </w:r>
      <w:r w:rsidR="00222B2F" w:rsidRPr="00222B2F">
        <w:rPr>
          <w:vertAlign w:val="superscript"/>
        </w:rPr>
        <w:fldChar w:fldCharType="end"/>
      </w:r>
      <w:r>
        <w:t xml:space="preserve"> </w:t>
      </w:r>
      <w:proofErr w:type="spellStart"/>
      <w:r>
        <w:t>Schmid</w:t>
      </w:r>
      <w:proofErr w:type="spellEnd"/>
      <w:r>
        <w:t xml:space="preserve"> 1999</w:t>
      </w:r>
      <w:r w:rsidR="003637ED">
        <w:t>;</w:t>
      </w:r>
      <w:r w:rsidR="00222B2F" w:rsidRPr="00222B2F">
        <w:rPr>
          <w:vertAlign w:val="superscript"/>
        </w:rPr>
        <w:fldChar w:fldCharType="begin"/>
      </w:r>
      <w:r w:rsidR="00222B2F" w:rsidRPr="00222B2F">
        <w:rPr>
          <w:vertAlign w:val="superscript"/>
        </w:rPr>
        <w:instrText xml:space="preserve"> NOTEREF _Ref20404887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11</w:t>
      </w:r>
      <w:r w:rsidR="00222B2F" w:rsidRPr="00222B2F">
        <w:rPr>
          <w:vertAlign w:val="superscript"/>
        </w:rPr>
        <w:fldChar w:fldCharType="end"/>
      </w:r>
      <w:r w:rsidRPr="00222B2F">
        <w:t xml:space="preserve"> </w:t>
      </w:r>
      <w:r>
        <w:t>Khan 2009</w:t>
      </w:r>
      <w:r w:rsidR="003637ED">
        <w:t>;</w:t>
      </w:r>
      <w:r w:rsidR="00222B2F" w:rsidRPr="00222B2F">
        <w:rPr>
          <w:vertAlign w:val="superscript"/>
        </w:rPr>
        <w:fldChar w:fldCharType="begin"/>
      </w:r>
      <w:r w:rsidR="00222B2F" w:rsidRPr="00222B2F">
        <w:rPr>
          <w:vertAlign w:val="superscript"/>
        </w:rPr>
        <w:instrText xml:space="preserve"> NOTEREF _Ref25843937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21</w:t>
      </w:r>
      <w:r w:rsidR="00222B2F" w:rsidRPr="00222B2F">
        <w:rPr>
          <w:vertAlign w:val="superscript"/>
        </w:rPr>
        <w:fldChar w:fldCharType="end"/>
      </w:r>
      <w:r>
        <w:t xml:space="preserve">), </w:t>
      </w:r>
      <w:r w:rsidR="00DC7D20">
        <w:t>inhaled nitric oxide</w:t>
      </w:r>
      <w:r>
        <w:t xml:space="preserve"> was associated with a reduction in </w:t>
      </w:r>
      <w:r w:rsidR="00BB39E5">
        <w:t>pulmonary arterial pressure</w:t>
      </w:r>
      <w:r>
        <w:t xml:space="preserve"> of up to 40% in adult patients with </w:t>
      </w:r>
      <w:r w:rsidR="0031037B">
        <w:t>pulmonary hypertension</w:t>
      </w:r>
      <w:r>
        <w:t xml:space="preserve"> after cardiac surgery, but this improvement generally included recovery from surgery and responses to other medications; placebo</w:t>
      </w:r>
      <w:r w:rsidR="0031037B">
        <w:t xml:space="preserve"> </w:t>
      </w:r>
      <w:r>
        <w:t xml:space="preserve">subtracted results were usually not available. Treatment with </w:t>
      </w:r>
      <w:r w:rsidR="00DC7D20">
        <w:t>inhaled nitric oxide</w:t>
      </w:r>
      <w:r>
        <w:t xml:space="preserve"> appeared to be more effective at </w:t>
      </w:r>
      <w:r w:rsidRPr="0031037B">
        <w:t xml:space="preserve">reducing </w:t>
      </w:r>
      <w:r w:rsidR="00BB39E5" w:rsidRPr="0031037B">
        <w:t>pulmonary arterial pressure</w:t>
      </w:r>
      <w:r w:rsidRPr="0031037B">
        <w:t xml:space="preserve"> than inactive controls, such as nitrogen (in patients undergoing </w:t>
      </w:r>
      <w:r w:rsidR="00BB39E5" w:rsidRPr="0031037B">
        <w:t>left ventricular assist device</w:t>
      </w:r>
      <w:r w:rsidRPr="0031037B">
        <w:t xml:space="preserve"> insertion), and it was more pulmonary-selective than</w:t>
      </w:r>
      <w:r>
        <w:t xml:space="preserve"> intravenous agents, such nitroprusside and </w:t>
      </w:r>
      <w:r w:rsidR="002355B2">
        <w:t>glyceryl trinitrate</w:t>
      </w:r>
      <w:r>
        <w:t xml:space="preserve">, as shown by a higher incidence of systemic hypotension with intravenous agents. Many studies showed no major difference between </w:t>
      </w:r>
      <w:r w:rsidR="00DC7D20">
        <w:t>inhaled nitric oxide</w:t>
      </w:r>
      <w:r>
        <w:t xml:space="preserve"> and active comparators in their effects on </w:t>
      </w:r>
      <w:r w:rsidR="00BB39E5">
        <w:t>pulmonary arterial pressure</w:t>
      </w:r>
      <w:r>
        <w:t xml:space="preserve">, but the studies were not designed as non-inferiority studies and were generally not adequately powered. The only active comparator reported to be more effective than </w:t>
      </w:r>
      <w:r w:rsidR="00DC7D20">
        <w:t>inhaled nitric oxide</w:t>
      </w:r>
      <w:r>
        <w:t xml:space="preserve"> in reducing </w:t>
      </w:r>
      <w:r w:rsidR="00BB39E5">
        <w:t>pulmonary arterial pressure</w:t>
      </w:r>
      <w:r>
        <w:t xml:space="preserve"> was inhaled </w:t>
      </w:r>
      <w:proofErr w:type="spellStart"/>
      <w:r>
        <w:t>iloprost</w:t>
      </w:r>
      <w:proofErr w:type="spellEnd"/>
      <w:r>
        <w:t xml:space="preserve"> </w:t>
      </w:r>
      <w:r w:rsidRPr="0031037B">
        <w:t>(</w:t>
      </w:r>
      <w:proofErr w:type="spellStart"/>
      <w:r w:rsidRPr="0031037B">
        <w:t>Winterhalter</w:t>
      </w:r>
      <w:proofErr w:type="spellEnd"/>
      <w:r>
        <w:t xml:space="preserve"> </w:t>
      </w:r>
      <w:r w:rsidRPr="003637ED">
        <w:t>2008</w:t>
      </w:r>
      <w:r w:rsidR="003637ED" w:rsidRPr="003637ED">
        <w:t>;</w:t>
      </w:r>
      <w:r w:rsidR="00222B2F" w:rsidRPr="00222B2F">
        <w:rPr>
          <w:vertAlign w:val="superscript"/>
        </w:rPr>
        <w:fldChar w:fldCharType="begin"/>
      </w:r>
      <w:r w:rsidR="00222B2F" w:rsidRPr="00222B2F">
        <w:rPr>
          <w:vertAlign w:val="superscript"/>
        </w:rPr>
        <w:instrText xml:space="preserve"> NOTEREF _Ref25843903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12</w:t>
      </w:r>
      <w:r w:rsidR="00222B2F" w:rsidRPr="00222B2F">
        <w:rPr>
          <w:vertAlign w:val="superscript"/>
        </w:rPr>
        <w:fldChar w:fldCharType="end"/>
      </w:r>
      <w:r>
        <w:t xml:space="preserve">), but </w:t>
      </w:r>
      <w:r w:rsidR="00DC7D20">
        <w:t>inhaled nitric oxide</w:t>
      </w:r>
      <w:r>
        <w:t xml:space="preserve"> appeared to have greater pulmonary selectivity than </w:t>
      </w:r>
      <w:proofErr w:type="spellStart"/>
      <w:r>
        <w:t>iloprost</w:t>
      </w:r>
      <w:proofErr w:type="spellEnd"/>
      <w:r>
        <w:t>.</w:t>
      </w:r>
    </w:p>
    <w:p w14:paraId="78E18E6D" w14:textId="77777777" w:rsidR="00C3138A" w:rsidRDefault="00C3138A" w:rsidP="00BB39E5">
      <w:pPr>
        <w:pStyle w:val="Heading5"/>
      </w:pPr>
      <w:r>
        <w:t>Pulmonary vascular resistance</w:t>
      </w:r>
    </w:p>
    <w:p w14:paraId="0021F4CC" w14:textId="751E6CEC" w:rsidR="00C3138A" w:rsidRDefault="00C3138A" w:rsidP="00C3138A">
      <w:r>
        <w:t xml:space="preserve">In the studies that reported changes </w:t>
      </w:r>
      <w:r w:rsidRPr="0031037B">
        <w:t xml:space="preserve">in </w:t>
      </w:r>
      <w:r w:rsidR="00BB39E5" w:rsidRPr="0031037B">
        <w:t>pulmonary vascular resistance</w:t>
      </w:r>
      <w:r>
        <w:t xml:space="preserve"> (</w:t>
      </w:r>
      <w:proofErr w:type="spellStart"/>
      <w:r>
        <w:t>Solina</w:t>
      </w:r>
      <w:proofErr w:type="spellEnd"/>
      <w:r>
        <w:t xml:space="preserve"> 2001;</w:t>
      </w:r>
      <w:r w:rsidR="00222B2F" w:rsidRPr="00222B2F">
        <w:rPr>
          <w:vertAlign w:val="superscript"/>
        </w:rPr>
        <w:fldChar w:fldCharType="begin"/>
      </w:r>
      <w:r w:rsidR="00222B2F" w:rsidRPr="00222B2F">
        <w:rPr>
          <w:vertAlign w:val="superscript"/>
        </w:rPr>
        <w:instrText xml:space="preserve"> NOTEREF _Ref25844324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14</w:t>
      </w:r>
      <w:r w:rsidR="00222B2F" w:rsidRPr="00222B2F">
        <w:rPr>
          <w:vertAlign w:val="superscript"/>
        </w:rPr>
        <w:fldChar w:fldCharType="end"/>
      </w:r>
      <w:r>
        <w:t xml:space="preserve"> </w:t>
      </w:r>
      <w:proofErr w:type="spellStart"/>
      <w:r>
        <w:t>Knothe</w:t>
      </w:r>
      <w:proofErr w:type="spellEnd"/>
      <w:r>
        <w:t xml:space="preserve"> 1996;</w:t>
      </w:r>
      <w:r w:rsidR="00222B2F" w:rsidRPr="00222B2F">
        <w:rPr>
          <w:vertAlign w:val="superscript"/>
        </w:rPr>
        <w:fldChar w:fldCharType="begin"/>
      </w:r>
      <w:r w:rsidR="00222B2F" w:rsidRPr="00222B2F">
        <w:rPr>
          <w:vertAlign w:val="superscript"/>
        </w:rPr>
        <w:instrText xml:space="preserve"> NOTEREF _Ref25843632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22</w:t>
      </w:r>
      <w:r w:rsidR="00222B2F" w:rsidRPr="00222B2F">
        <w:rPr>
          <w:vertAlign w:val="superscript"/>
        </w:rPr>
        <w:fldChar w:fldCharType="end"/>
      </w:r>
      <w:r>
        <w:t xml:space="preserve"> </w:t>
      </w:r>
      <w:proofErr w:type="spellStart"/>
      <w:r>
        <w:t>Fernandes</w:t>
      </w:r>
      <w:proofErr w:type="spellEnd"/>
      <w:r>
        <w:t xml:space="preserve"> 2011;</w:t>
      </w:r>
      <w:r w:rsidR="00222B2F" w:rsidRPr="00222B2F">
        <w:rPr>
          <w:vertAlign w:val="superscript"/>
        </w:rPr>
        <w:fldChar w:fldCharType="begin"/>
      </w:r>
      <w:r w:rsidR="00222B2F" w:rsidRPr="00222B2F">
        <w:rPr>
          <w:vertAlign w:val="superscript"/>
        </w:rPr>
        <w:instrText xml:space="preserve"> NOTEREF _Ref25843676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20</w:t>
      </w:r>
      <w:r w:rsidR="00222B2F" w:rsidRPr="00222B2F">
        <w:rPr>
          <w:vertAlign w:val="superscript"/>
        </w:rPr>
        <w:fldChar w:fldCharType="end"/>
      </w:r>
      <w:r>
        <w:t xml:space="preserve"> </w:t>
      </w:r>
      <w:proofErr w:type="spellStart"/>
      <w:r>
        <w:t>Fattouch</w:t>
      </w:r>
      <w:proofErr w:type="spellEnd"/>
      <w:r>
        <w:t xml:space="preserve"> 2005;</w:t>
      </w:r>
      <w:r w:rsidR="00222B2F" w:rsidRPr="00222B2F">
        <w:rPr>
          <w:vertAlign w:val="superscript"/>
        </w:rPr>
        <w:fldChar w:fldCharType="begin"/>
      </w:r>
      <w:r w:rsidR="00222B2F" w:rsidRPr="00222B2F">
        <w:rPr>
          <w:vertAlign w:val="superscript"/>
        </w:rPr>
        <w:instrText xml:space="preserve"> NOTEREF _Ref25843832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8</w:t>
      </w:r>
      <w:r w:rsidR="00222B2F" w:rsidRPr="00222B2F">
        <w:rPr>
          <w:vertAlign w:val="superscript"/>
        </w:rPr>
        <w:fldChar w:fldCharType="end"/>
      </w:r>
      <w:r>
        <w:t xml:space="preserve"> </w:t>
      </w:r>
      <w:proofErr w:type="spellStart"/>
      <w:r>
        <w:t>Fattouch</w:t>
      </w:r>
      <w:proofErr w:type="spellEnd"/>
      <w:r>
        <w:t xml:space="preserve"> 2006;</w:t>
      </w:r>
      <w:r w:rsidR="00222B2F" w:rsidRPr="00222B2F">
        <w:rPr>
          <w:vertAlign w:val="superscript"/>
        </w:rPr>
        <w:fldChar w:fldCharType="begin"/>
      </w:r>
      <w:r w:rsidR="00222B2F" w:rsidRPr="00222B2F">
        <w:rPr>
          <w:vertAlign w:val="superscript"/>
        </w:rPr>
        <w:instrText xml:space="preserve"> NOTEREF _Ref25843875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9</w:t>
      </w:r>
      <w:r w:rsidR="00222B2F" w:rsidRPr="00222B2F">
        <w:rPr>
          <w:vertAlign w:val="superscript"/>
        </w:rPr>
        <w:fldChar w:fldCharType="end"/>
      </w:r>
      <w:r>
        <w:t xml:space="preserve"> </w:t>
      </w:r>
      <w:proofErr w:type="spellStart"/>
      <w:r>
        <w:t>Solina</w:t>
      </w:r>
      <w:proofErr w:type="spellEnd"/>
      <w:r>
        <w:t xml:space="preserve"> 2000;</w:t>
      </w:r>
      <w:r w:rsidR="00222B2F" w:rsidRPr="00222B2F">
        <w:rPr>
          <w:vertAlign w:val="superscript"/>
        </w:rPr>
        <w:fldChar w:fldCharType="begin"/>
      </w:r>
      <w:r w:rsidR="00222B2F" w:rsidRPr="00222B2F">
        <w:rPr>
          <w:vertAlign w:val="superscript"/>
        </w:rPr>
        <w:instrText xml:space="preserve"> NOTEREF _Ref25843707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13</w:t>
      </w:r>
      <w:r w:rsidR="00222B2F" w:rsidRPr="00222B2F">
        <w:rPr>
          <w:vertAlign w:val="superscript"/>
        </w:rPr>
        <w:fldChar w:fldCharType="end"/>
      </w:r>
      <w:r>
        <w:t xml:space="preserve"> </w:t>
      </w:r>
      <w:proofErr w:type="spellStart"/>
      <w:r>
        <w:t>Winterhalter</w:t>
      </w:r>
      <w:proofErr w:type="spellEnd"/>
      <w:r>
        <w:t xml:space="preserve"> 2008;</w:t>
      </w:r>
      <w:r w:rsidR="003637ED" w:rsidRPr="003637ED">
        <w:rPr>
          <w:vertAlign w:val="superscript"/>
        </w:rPr>
        <w:fldChar w:fldCharType="begin"/>
      </w:r>
      <w:r w:rsidR="003637ED" w:rsidRPr="003637ED">
        <w:rPr>
          <w:vertAlign w:val="superscript"/>
        </w:rPr>
        <w:instrText xml:space="preserve"> NOTEREF _Ref20405055 \h </w:instrText>
      </w:r>
      <w:r w:rsidR="003637ED">
        <w:rPr>
          <w:vertAlign w:val="superscript"/>
        </w:rPr>
        <w:instrText xml:space="preserve"> \* MERGEFORMAT </w:instrText>
      </w:r>
      <w:r w:rsidR="003637ED" w:rsidRPr="003637ED">
        <w:rPr>
          <w:vertAlign w:val="superscript"/>
        </w:rPr>
      </w:r>
      <w:r w:rsidR="003637ED" w:rsidRPr="003637ED">
        <w:rPr>
          <w:vertAlign w:val="superscript"/>
        </w:rPr>
        <w:fldChar w:fldCharType="separate"/>
      </w:r>
      <w:r w:rsidR="003637ED" w:rsidRPr="003637ED">
        <w:rPr>
          <w:vertAlign w:val="superscript"/>
        </w:rPr>
        <w:t>11</w:t>
      </w:r>
      <w:r w:rsidR="003637ED" w:rsidRPr="003637ED">
        <w:rPr>
          <w:vertAlign w:val="superscript"/>
        </w:rPr>
        <w:fldChar w:fldCharType="end"/>
      </w:r>
      <w:r>
        <w:t xml:space="preserve"> </w:t>
      </w:r>
      <w:proofErr w:type="spellStart"/>
      <w:r>
        <w:t>Rajek</w:t>
      </w:r>
      <w:proofErr w:type="spellEnd"/>
      <w:r>
        <w:t xml:space="preserve"> 2000;</w:t>
      </w:r>
      <w:r w:rsidR="003637ED" w:rsidRPr="003637ED">
        <w:rPr>
          <w:vertAlign w:val="superscript"/>
        </w:rPr>
        <w:fldChar w:fldCharType="begin"/>
      </w:r>
      <w:r w:rsidR="003637ED" w:rsidRPr="003637ED">
        <w:rPr>
          <w:vertAlign w:val="superscript"/>
        </w:rPr>
        <w:instrText xml:space="preserve"> NOTEREF _Ref20404926 \h </w:instrText>
      </w:r>
      <w:r w:rsidR="003637ED">
        <w:rPr>
          <w:vertAlign w:val="superscript"/>
        </w:rPr>
        <w:instrText xml:space="preserve"> \* MERGEFORMAT </w:instrText>
      </w:r>
      <w:r w:rsidR="003637ED" w:rsidRPr="003637ED">
        <w:rPr>
          <w:vertAlign w:val="superscript"/>
        </w:rPr>
      </w:r>
      <w:r w:rsidR="003637ED" w:rsidRPr="003637ED">
        <w:rPr>
          <w:vertAlign w:val="superscript"/>
        </w:rPr>
        <w:fldChar w:fldCharType="separate"/>
      </w:r>
      <w:r w:rsidR="003637ED" w:rsidRPr="003637ED">
        <w:rPr>
          <w:vertAlign w:val="superscript"/>
        </w:rPr>
        <w:t>15</w:t>
      </w:r>
      <w:r w:rsidR="003637ED" w:rsidRPr="003637ED">
        <w:rPr>
          <w:vertAlign w:val="superscript"/>
        </w:rPr>
        <w:fldChar w:fldCharType="end"/>
      </w:r>
      <w:r>
        <w:t xml:space="preserve"> </w:t>
      </w:r>
      <w:proofErr w:type="spellStart"/>
      <w:r>
        <w:t>Schmid</w:t>
      </w:r>
      <w:proofErr w:type="spellEnd"/>
      <w:r>
        <w:t xml:space="preserve"> </w:t>
      </w:r>
      <w:r w:rsidRPr="003637ED">
        <w:t>1999</w:t>
      </w:r>
      <w:r w:rsidR="003637ED" w:rsidRPr="003637ED">
        <w:t>;</w:t>
      </w:r>
      <w:r w:rsidR="003637ED" w:rsidRPr="003637ED">
        <w:rPr>
          <w:vertAlign w:val="superscript"/>
        </w:rPr>
        <w:fldChar w:fldCharType="begin"/>
      </w:r>
      <w:r w:rsidR="003637ED" w:rsidRPr="003637ED">
        <w:rPr>
          <w:vertAlign w:val="superscript"/>
        </w:rPr>
        <w:instrText xml:space="preserve"> NOTEREF _Ref20404887 \h </w:instrText>
      </w:r>
      <w:r w:rsidR="003637ED">
        <w:rPr>
          <w:vertAlign w:val="superscript"/>
        </w:rPr>
        <w:instrText xml:space="preserve"> \* MERGEFORMAT </w:instrText>
      </w:r>
      <w:r w:rsidR="003637ED" w:rsidRPr="003637ED">
        <w:rPr>
          <w:vertAlign w:val="superscript"/>
        </w:rPr>
      </w:r>
      <w:r w:rsidR="003637ED" w:rsidRPr="003637ED">
        <w:rPr>
          <w:vertAlign w:val="superscript"/>
        </w:rPr>
        <w:fldChar w:fldCharType="separate"/>
      </w:r>
      <w:r w:rsidR="003637ED" w:rsidRPr="003637ED">
        <w:rPr>
          <w:vertAlign w:val="superscript"/>
        </w:rPr>
        <w:t>10</w:t>
      </w:r>
      <w:r w:rsidR="003637ED" w:rsidRPr="003637ED">
        <w:rPr>
          <w:vertAlign w:val="superscript"/>
        </w:rPr>
        <w:fldChar w:fldCharType="end"/>
      </w:r>
      <w:r>
        <w:t xml:space="preserve">), </w:t>
      </w:r>
      <w:r w:rsidR="00DC7D20">
        <w:t>inhaled nitric oxide</w:t>
      </w:r>
      <w:r>
        <w:t xml:space="preserve"> reduced the </w:t>
      </w:r>
      <w:r w:rsidR="00BB39E5">
        <w:t>pulmonary vascular resistance</w:t>
      </w:r>
      <w:r>
        <w:t xml:space="preserve"> by approximately 35% to 65% and had no significant effect </w:t>
      </w:r>
      <w:r>
        <w:lastRenderedPageBreak/>
        <w:t xml:space="preserve">on </w:t>
      </w:r>
      <w:r w:rsidR="00BB39E5">
        <w:t>systemic vascular resistance</w:t>
      </w:r>
      <w:r>
        <w:t xml:space="preserve"> (where this was reported). Pulmonary selectivity was shown by lower </w:t>
      </w:r>
      <w:r w:rsidR="00BB39E5">
        <w:t xml:space="preserve">pulmonary </w:t>
      </w:r>
      <w:r w:rsidR="00BB39E5" w:rsidRPr="007E2F4E">
        <w:t>vascular resistance</w:t>
      </w:r>
      <w:r w:rsidRPr="007E2F4E">
        <w:t>/</w:t>
      </w:r>
      <w:r w:rsidR="00BB39E5" w:rsidRPr="007E2F4E">
        <w:t>systemic vascular resistance</w:t>
      </w:r>
      <w:r w:rsidRPr="007E2F4E">
        <w:t xml:space="preserve"> ratios seen with </w:t>
      </w:r>
      <w:r w:rsidR="00DC7D20" w:rsidRPr="007E2F4E">
        <w:t>inhaled nitric oxide</w:t>
      </w:r>
      <w:r w:rsidRPr="007E2F4E">
        <w:t xml:space="preserve"> than with intravenous agents in adult patients with </w:t>
      </w:r>
      <w:r w:rsidR="00BB39E5" w:rsidRPr="007E2F4E">
        <w:t>pulmonary hypertension</w:t>
      </w:r>
      <w:r w:rsidRPr="007E2F4E">
        <w:t xml:space="preserve"> after cardiac surgery. Treatment with </w:t>
      </w:r>
      <w:r w:rsidR="00DC7D20" w:rsidRPr="007E2F4E">
        <w:t>inhaled nitric oxide</w:t>
      </w:r>
      <w:r w:rsidRPr="007E2F4E">
        <w:t xml:space="preserve"> appeared to be more effective at reducing </w:t>
      </w:r>
      <w:r w:rsidR="00BB39E5" w:rsidRPr="007E2F4E">
        <w:t>pulmonary vascular resistance</w:t>
      </w:r>
      <w:r w:rsidRPr="007E2F4E">
        <w:t xml:space="preserve"> than oxygen, nitroprusside, and </w:t>
      </w:r>
      <w:r w:rsidR="00B9690A" w:rsidRPr="007E2F4E">
        <w:t>glyceryl trinitrate</w:t>
      </w:r>
      <w:r w:rsidRPr="007E2F4E">
        <w:t xml:space="preserve">, and at least as effective as </w:t>
      </w:r>
      <w:r w:rsidR="008E64F9">
        <w:rPr>
          <w:rFonts w:eastAsia="TimesNewRoman"/>
        </w:rPr>
        <w:t>prostaglandin E1 (</w:t>
      </w:r>
      <w:r w:rsidRPr="007E2F4E">
        <w:t>PGE1</w:t>
      </w:r>
      <w:r w:rsidR="008E64F9">
        <w:t>)</w:t>
      </w:r>
      <w:r w:rsidRPr="007E2F4E">
        <w:t xml:space="preserve">, sildenafil, </w:t>
      </w:r>
      <w:proofErr w:type="spellStart"/>
      <w:r w:rsidRPr="007E2F4E">
        <w:t>milrinone</w:t>
      </w:r>
      <w:proofErr w:type="spellEnd"/>
      <w:r w:rsidRPr="007E2F4E">
        <w:t xml:space="preserve"> and conventional treatment. The only active comparator reported to be more effective than </w:t>
      </w:r>
      <w:r w:rsidR="00DC7D20" w:rsidRPr="007E2F4E">
        <w:t>inhaled nitric oxide</w:t>
      </w:r>
      <w:r w:rsidRPr="007E2F4E">
        <w:t xml:space="preserve"> in reducing </w:t>
      </w:r>
      <w:r w:rsidR="00BB39E5" w:rsidRPr="007E2F4E">
        <w:t>pulmonary vascular resistance</w:t>
      </w:r>
      <w:r w:rsidRPr="007E2F4E">
        <w:t xml:space="preserve"> was </w:t>
      </w:r>
      <w:proofErr w:type="spellStart"/>
      <w:r w:rsidRPr="007E2F4E">
        <w:t>iloprost</w:t>
      </w:r>
      <w:proofErr w:type="spellEnd"/>
      <w:r w:rsidRPr="007E2F4E">
        <w:t xml:space="preserve"> (</w:t>
      </w:r>
      <w:proofErr w:type="spellStart"/>
      <w:r w:rsidRPr="007E2F4E">
        <w:t>Winterhalter</w:t>
      </w:r>
      <w:proofErr w:type="spellEnd"/>
      <w:r w:rsidRPr="007E2F4E">
        <w:t xml:space="preserve"> 2008</w:t>
      </w:r>
      <w:r w:rsidR="003637ED">
        <w:t>;</w:t>
      </w:r>
      <w:r w:rsidR="00222B2F" w:rsidRPr="00222B2F">
        <w:rPr>
          <w:vertAlign w:val="superscript"/>
        </w:rPr>
        <w:fldChar w:fldCharType="begin"/>
      </w:r>
      <w:r w:rsidR="00222B2F" w:rsidRPr="00222B2F">
        <w:rPr>
          <w:vertAlign w:val="superscript"/>
        </w:rPr>
        <w:instrText xml:space="preserve"> NOTEREF _Ref25843903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12</w:t>
      </w:r>
      <w:r w:rsidR="00222B2F" w:rsidRPr="00222B2F">
        <w:rPr>
          <w:vertAlign w:val="superscript"/>
        </w:rPr>
        <w:fldChar w:fldCharType="end"/>
      </w:r>
      <w:r>
        <w:t xml:space="preserve">) but </w:t>
      </w:r>
      <w:proofErr w:type="spellStart"/>
      <w:r>
        <w:t>iloprost</w:t>
      </w:r>
      <w:proofErr w:type="spellEnd"/>
      <w:r>
        <w:t xml:space="preserve"> also significantly reduced systemic vascular resistance, whereas </w:t>
      </w:r>
      <w:r w:rsidR="00DC7D20">
        <w:t>inhaled nitric oxide</w:t>
      </w:r>
      <w:r>
        <w:t xml:space="preserve"> did not.</w:t>
      </w:r>
    </w:p>
    <w:p w14:paraId="31B8D9B4" w14:textId="4DB0FCB0" w:rsidR="00C3138A" w:rsidRDefault="00C3138A" w:rsidP="00BB39E5">
      <w:pPr>
        <w:pStyle w:val="Heading5"/>
      </w:pPr>
      <w:r>
        <w:t xml:space="preserve">Cardiac output and </w:t>
      </w:r>
      <w:r w:rsidR="002F1E61">
        <w:t>ejection fraction</w:t>
      </w:r>
    </w:p>
    <w:p w14:paraId="1B848C96" w14:textId="34ABACCD" w:rsidR="00C3138A" w:rsidRDefault="00C3138A" w:rsidP="00C3138A">
      <w:r>
        <w:t xml:space="preserve">Many of the studies assessed overall cardiac function or </w:t>
      </w:r>
      <w:r w:rsidR="00BB39E5">
        <w:t>right ventricular</w:t>
      </w:r>
      <w:r>
        <w:t xml:space="preserve"> function, as reflected in cardiac index, cardiac output, </w:t>
      </w:r>
      <w:r w:rsidR="0031037B">
        <w:t>right ventricular ejection fraction</w:t>
      </w:r>
      <w:r>
        <w:t xml:space="preserve">, or </w:t>
      </w:r>
      <w:r w:rsidR="00BB39E5">
        <w:t>left ventricular assist device</w:t>
      </w:r>
      <w:r>
        <w:t xml:space="preserve"> flow index (</w:t>
      </w:r>
      <w:proofErr w:type="spellStart"/>
      <w:r>
        <w:t>Solina</w:t>
      </w:r>
      <w:proofErr w:type="spellEnd"/>
      <w:r>
        <w:t xml:space="preserve"> 2001;</w:t>
      </w:r>
      <w:r w:rsidR="00222B2F" w:rsidRPr="00222B2F">
        <w:rPr>
          <w:vertAlign w:val="superscript"/>
        </w:rPr>
        <w:fldChar w:fldCharType="begin"/>
      </w:r>
      <w:r w:rsidR="00222B2F" w:rsidRPr="00222B2F">
        <w:rPr>
          <w:vertAlign w:val="superscript"/>
        </w:rPr>
        <w:instrText xml:space="preserve"> NOTEREF _Ref25844324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14</w:t>
      </w:r>
      <w:r w:rsidR="00222B2F" w:rsidRPr="00222B2F">
        <w:rPr>
          <w:vertAlign w:val="superscript"/>
        </w:rPr>
        <w:fldChar w:fldCharType="end"/>
      </w:r>
      <w:r>
        <w:t xml:space="preserve"> </w:t>
      </w:r>
      <w:proofErr w:type="spellStart"/>
      <w:r>
        <w:t>Argenziano</w:t>
      </w:r>
      <w:proofErr w:type="spellEnd"/>
      <w:r>
        <w:t xml:space="preserve"> 1998;</w:t>
      </w:r>
      <w:r w:rsidR="00222B2F" w:rsidRPr="00222B2F">
        <w:rPr>
          <w:vertAlign w:val="superscript"/>
        </w:rPr>
        <w:fldChar w:fldCharType="begin"/>
      </w:r>
      <w:r w:rsidR="00222B2F" w:rsidRPr="00222B2F">
        <w:rPr>
          <w:vertAlign w:val="superscript"/>
        </w:rPr>
        <w:instrText xml:space="preserve"> NOTEREF _Ref20404654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18</w:t>
      </w:r>
      <w:r w:rsidR="00222B2F" w:rsidRPr="00222B2F">
        <w:rPr>
          <w:vertAlign w:val="superscript"/>
        </w:rPr>
        <w:fldChar w:fldCharType="end"/>
      </w:r>
      <w:r>
        <w:t xml:space="preserve"> </w:t>
      </w:r>
      <w:proofErr w:type="spellStart"/>
      <w:r>
        <w:t>Knothe</w:t>
      </w:r>
      <w:proofErr w:type="spellEnd"/>
      <w:r>
        <w:t xml:space="preserve"> 1996;</w:t>
      </w:r>
      <w:r w:rsidR="00222B2F" w:rsidRPr="00222B2F">
        <w:rPr>
          <w:vertAlign w:val="superscript"/>
        </w:rPr>
        <w:fldChar w:fldCharType="begin"/>
      </w:r>
      <w:r w:rsidR="00222B2F" w:rsidRPr="00222B2F">
        <w:rPr>
          <w:vertAlign w:val="superscript"/>
        </w:rPr>
        <w:instrText xml:space="preserve"> NOTEREF _Ref25843632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22</w:t>
      </w:r>
      <w:r w:rsidR="00222B2F" w:rsidRPr="00222B2F">
        <w:rPr>
          <w:vertAlign w:val="superscript"/>
        </w:rPr>
        <w:fldChar w:fldCharType="end"/>
      </w:r>
      <w:r>
        <w:t xml:space="preserve"> </w:t>
      </w:r>
      <w:proofErr w:type="spellStart"/>
      <w:r>
        <w:t>Fernandes</w:t>
      </w:r>
      <w:proofErr w:type="spellEnd"/>
      <w:r>
        <w:t xml:space="preserve"> 2011;</w:t>
      </w:r>
      <w:r w:rsidR="00222B2F" w:rsidRPr="00222B2F">
        <w:rPr>
          <w:vertAlign w:val="superscript"/>
        </w:rPr>
        <w:fldChar w:fldCharType="begin"/>
      </w:r>
      <w:r w:rsidR="00222B2F" w:rsidRPr="00222B2F">
        <w:rPr>
          <w:vertAlign w:val="superscript"/>
        </w:rPr>
        <w:instrText xml:space="preserve"> NOTEREF _Ref25843676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20</w:t>
      </w:r>
      <w:r w:rsidR="00222B2F" w:rsidRPr="00222B2F">
        <w:rPr>
          <w:vertAlign w:val="superscript"/>
        </w:rPr>
        <w:fldChar w:fldCharType="end"/>
      </w:r>
      <w:r w:rsidR="00222B2F">
        <w:rPr>
          <w:vertAlign w:val="superscript"/>
        </w:rPr>
        <w:t xml:space="preserve"> </w:t>
      </w:r>
      <w:proofErr w:type="spellStart"/>
      <w:r>
        <w:t>Fattouch</w:t>
      </w:r>
      <w:proofErr w:type="spellEnd"/>
      <w:r>
        <w:t xml:space="preserve"> 2005;</w:t>
      </w:r>
      <w:r w:rsidR="00222B2F" w:rsidRPr="00222B2F">
        <w:rPr>
          <w:vertAlign w:val="superscript"/>
        </w:rPr>
        <w:fldChar w:fldCharType="begin"/>
      </w:r>
      <w:r w:rsidR="00222B2F" w:rsidRPr="00222B2F">
        <w:rPr>
          <w:vertAlign w:val="superscript"/>
        </w:rPr>
        <w:instrText xml:space="preserve"> NOTEREF _Ref25843832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8</w:t>
      </w:r>
      <w:r w:rsidR="00222B2F" w:rsidRPr="00222B2F">
        <w:rPr>
          <w:vertAlign w:val="superscript"/>
        </w:rPr>
        <w:fldChar w:fldCharType="end"/>
      </w:r>
      <w:r>
        <w:t xml:space="preserve"> </w:t>
      </w:r>
      <w:proofErr w:type="spellStart"/>
      <w:r>
        <w:t>Fattouch</w:t>
      </w:r>
      <w:proofErr w:type="spellEnd"/>
      <w:r>
        <w:t xml:space="preserve"> 2006;</w:t>
      </w:r>
      <w:r w:rsidR="00222B2F" w:rsidRPr="00222B2F">
        <w:rPr>
          <w:vertAlign w:val="superscript"/>
        </w:rPr>
        <w:fldChar w:fldCharType="begin"/>
      </w:r>
      <w:r w:rsidR="00222B2F" w:rsidRPr="00222B2F">
        <w:rPr>
          <w:vertAlign w:val="superscript"/>
        </w:rPr>
        <w:instrText xml:space="preserve"> NOTEREF _Ref25843875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9</w:t>
      </w:r>
      <w:r w:rsidR="00222B2F" w:rsidRPr="00222B2F">
        <w:rPr>
          <w:vertAlign w:val="superscript"/>
        </w:rPr>
        <w:fldChar w:fldCharType="end"/>
      </w:r>
      <w:r>
        <w:t xml:space="preserve"> </w:t>
      </w:r>
      <w:proofErr w:type="spellStart"/>
      <w:r>
        <w:t>Solina</w:t>
      </w:r>
      <w:proofErr w:type="spellEnd"/>
      <w:r>
        <w:t xml:space="preserve"> 2000;</w:t>
      </w:r>
      <w:r w:rsidR="00222B2F" w:rsidRPr="00222B2F">
        <w:rPr>
          <w:vertAlign w:val="superscript"/>
        </w:rPr>
        <w:fldChar w:fldCharType="begin"/>
      </w:r>
      <w:r w:rsidR="00222B2F" w:rsidRPr="00222B2F">
        <w:rPr>
          <w:vertAlign w:val="superscript"/>
        </w:rPr>
        <w:instrText xml:space="preserve"> NOTEREF _Ref25843707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13</w:t>
      </w:r>
      <w:r w:rsidR="00222B2F" w:rsidRPr="00222B2F">
        <w:rPr>
          <w:vertAlign w:val="superscript"/>
        </w:rPr>
        <w:fldChar w:fldCharType="end"/>
      </w:r>
      <w:r>
        <w:t xml:space="preserve"> </w:t>
      </w:r>
      <w:proofErr w:type="spellStart"/>
      <w:r>
        <w:t>Winterhalter</w:t>
      </w:r>
      <w:proofErr w:type="spellEnd"/>
      <w:r>
        <w:t xml:space="preserve"> 2008;</w:t>
      </w:r>
      <w:r w:rsidR="00222B2F" w:rsidRPr="00222B2F">
        <w:rPr>
          <w:vertAlign w:val="superscript"/>
        </w:rPr>
        <w:fldChar w:fldCharType="begin"/>
      </w:r>
      <w:r w:rsidR="00222B2F" w:rsidRPr="00222B2F">
        <w:rPr>
          <w:vertAlign w:val="superscript"/>
        </w:rPr>
        <w:instrText xml:space="preserve"> NOTEREF _Ref25843903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12</w:t>
      </w:r>
      <w:r w:rsidR="00222B2F" w:rsidRPr="00222B2F">
        <w:rPr>
          <w:vertAlign w:val="superscript"/>
        </w:rPr>
        <w:fldChar w:fldCharType="end"/>
      </w:r>
      <w:r w:rsidRPr="00222B2F">
        <w:t xml:space="preserve"> </w:t>
      </w:r>
      <w:proofErr w:type="spellStart"/>
      <w:r>
        <w:t>Rajek</w:t>
      </w:r>
      <w:proofErr w:type="spellEnd"/>
      <w:r>
        <w:t xml:space="preserve"> 2000;</w:t>
      </w:r>
      <w:r w:rsidR="00222B2F" w:rsidRPr="00222B2F">
        <w:rPr>
          <w:vertAlign w:val="superscript"/>
        </w:rPr>
        <w:fldChar w:fldCharType="begin"/>
      </w:r>
      <w:r w:rsidR="00222B2F" w:rsidRPr="00222B2F">
        <w:rPr>
          <w:vertAlign w:val="superscript"/>
        </w:rPr>
        <w:instrText xml:space="preserve"> NOTEREF _Ref25843771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16</w:t>
      </w:r>
      <w:r w:rsidR="00222B2F" w:rsidRPr="00222B2F">
        <w:rPr>
          <w:vertAlign w:val="superscript"/>
        </w:rPr>
        <w:fldChar w:fldCharType="end"/>
      </w:r>
      <w:r>
        <w:t xml:space="preserve"> </w:t>
      </w:r>
      <w:proofErr w:type="spellStart"/>
      <w:r>
        <w:t>Schmid</w:t>
      </w:r>
      <w:proofErr w:type="spellEnd"/>
      <w:r>
        <w:t xml:space="preserve"> 1999;</w:t>
      </w:r>
      <w:r w:rsidR="00222B2F" w:rsidRPr="00222B2F">
        <w:rPr>
          <w:vertAlign w:val="superscript"/>
        </w:rPr>
        <w:fldChar w:fldCharType="begin"/>
      </w:r>
      <w:r w:rsidR="00222B2F" w:rsidRPr="00222B2F">
        <w:rPr>
          <w:vertAlign w:val="superscript"/>
        </w:rPr>
        <w:instrText xml:space="preserve"> NOTEREF _Ref20404887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11</w:t>
      </w:r>
      <w:r w:rsidR="00222B2F" w:rsidRPr="00222B2F">
        <w:rPr>
          <w:vertAlign w:val="superscript"/>
        </w:rPr>
        <w:fldChar w:fldCharType="end"/>
      </w:r>
      <w:r>
        <w:t xml:space="preserve"> Khan 2009</w:t>
      </w:r>
      <w:r w:rsidR="00676C19" w:rsidRPr="00676C19">
        <w:t>;</w:t>
      </w:r>
      <w:r w:rsidR="00222B2F" w:rsidRPr="00222B2F">
        <w:rPr>
          <w:vertAlign w:val="superscript"/>
        </w:rPr>
        <w:fldChar w:fldCharType="begin"/>
      </w:r>
      <w:r w:rsidR="00222B2F" w:rsidRPr="00222B2F">
        <w:rPr>
          <w:vertAlign w:val="superscript"/>
        </w:rPr>
        <w:instrText xml:space="preserve"> NOTEREF _Ref25843937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21</w:t>
      </w:r>
      <w:r w:rsidR="00222B2F" w:rsidRPr="00222B2F">
        <w:rPr>
          <w:vertAlign w:val="superscript"/>
        </w:rPr>
        <w:fldChar w:fldCharType="end"/>
      </w:r>
      <w:r>
        <w:t xml:space="preserve">). In most of these studies, measures of cardiac function were not significantly different in the </w:t>
      </w:r>
      <w:r w:rsidR="00DC7D20">
        <w:t>inhaled nitric oxide</w:t>
      </w:r>
      <w:r>
        <w:t xml:space="preserve"> group relative to comparator treatments. </w:t>
      </w:r>
      <w:r w:rsidRPr="005F6DB9">
        <w:t xml:space="preserve">The </w:t>
      </w:r>
      <w:r w:rsidR="003E6F92" w:rsidRPr="005F6DB9">
        <w:t>sponsor</w:t>
      </w:r>
      <w:r w:rsidR="00E862E2" w:rsidRPr="005F6DB9">
        <w:t>’s</w:t>
      </w:r>
      <w:r w:rsidRPr="005F6DB9">
        <w:t xml:space="preserve"> claim that the increase in cardiac index after </w:t>
      </w:r>
      <w:r w:rsidR="00DC7D20" w:rsidRPr="005F6DB9">
        <w:t>inhaled nitric oxide</w:t>
      </w:r>
      <w:r w:rsidRPr="005F6DB9">
        <w:t xml:space="preserve"> was significantly greater than after oxygen, </w:t>
      </w:r>
      <w:r w:rsidR="00E862E2" w:rsidRPr="005F6DB9">
        <w:t xml:space="preserve">was based on the publication of </w:t>
      </w:r>
      <w:proofErr w:type="spellStart"/>
      <w:r w:rsidRPr="005F6DB9">
        <w:t>Fernandes</w:t>
      </w:r>
      <w:proofErr w:type="spellEnd"/>
      <w:r w:rsidRPr="005F6DB9">
        <w:t xml:space="preserve"> 2011</w:t>
      </w:r>
      <w:r w:rsidR="00676C19" w:rsidRPr="005F6DB9">
        <w:t>;</w:t>
      </w:r>
      <w:r w:rsidR="00222B2F" w:rsidRPr="00222B2F">
        <w:rPr>
          <w:vertAlign w:val="superscript"/>
        </w:rPr>
        <w:fldChar w:fldCharType="begin"/>
      </w:r>
      <w:r w:rsidR="00222B2F" w:rsidRPr="00222B2F">
        <w:rPr>
          <w:vertAlign w:val="superscript"/>
        </w:rPr>
        <w:instrText xml:space="preserve"> NOTEREF _Ref25843676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20</w:t>
      </w:r>
      <w:r w:rsidR="00222B2F" w:rsidRPr="00222B2F">
        <w:rPr>
          <w:vertAlign w:val="superscript"/>
        </w:rPr>
        <w:fldChar w:fldCharType="end"/>
      </w:r>
      <w:r w:rsidRPr="005F6DB9">
        <w:t xml:space="preserve">, </w:t>
      </w:r>
      <w:r w:rsidR="00C200C8" w:rsidRPr="005F6DB9">
        <w:t xml:space="preserve">however the </w:t>
      </w:r>
      <w:r w:rsidR="0091246B">
        <w:t>c</w:t>
      </w:r>
      <w:r w:rsidR="00C200C8" w:rsidRPr="005F6DB9">
        <w:t xml:space="preserve">linical </w:t>
      </w:r>
      <w:r w:rsidR="0091246B">
        <w:t>e</w:t>
      </w:r>
      <w:r w:rsidR="00C200C8" w:rsidRPr="005F6DB9">
        <w:t xml:space="preserve">valuator found that this statement in the publication was </w:t>
      </w:r>
      <w:r w:rsidR="005F6DB9" w:rsidRPr="005F6DB9">
        <w:t>an error</w:t>
      </w:r>
      <w:r w:rsidR="007E2F4E" w:rsidRPr="005F6DB9">
        <w:t>: cardiac index</w:t>
      </w:r>
      <w:r w:rsidRPr="005F6DB9">
        <w:t xml:space="preserve"> changes in the two groups were not significantly </w:t>
      </w:r>
      <w:r w:rsidRPr="00D84362">
        <w:t>different</w:t>
      </w:r>
      <w:r w:rsidRPr="00B21235">
        <w:t>.</w:t>
      </w:r>
      <w:r>
        <w:t xml:space="preserve"> When compared to nitrogen, the </w:t>
      </w:r>
      <w:r w:rsidRPr="007E2F4E">
        <w:t xml:space="preserve">increase in </w:t>
      </w:r>
      <w:r w:rsidR="00BB39E5" w:rsidRPr="007E2F4E">
        <w:t>left ventricular assist device</w:t>
      </w:r>
      <w:r w:rsidRPr="007E2F4E">
        <w:t xml:space="preserve"> flow index after </w:t>
      </w:r>
      <w:r w:rsidR="00DC7D20" w:rsidRPr="007E2F4E">
        <w:t>inhaled nitric oxide</w:t>
      </w:r>
      <w:r w:rsidRPr="007E2F4E">
        <w:t xml:space="preserve"> was greater t</w:t>
      </w:r>
      <w:r>
        <w:t xml:space="preserve">han after </w:t>
      </w:r>
      <w:r w:rsidRPr="002D3165">
        <w:t>nitrogen.</w:t>
      </w:r>
      <w:r w:rsidR="00222B2F" w:rsidRPr="002D3165">
        <w:rPr>
          <w:vertAlign w:val="superscript"/>
        </w:rPr>
        <w:fldChar w:fldCharType="begin"/>
      </w:r>
      <w:r w:rsidR="00222B2F" w:rsidRPr="002D3165">
        <w:rPr>
          <w:vertAlign w:val="superscript"/>
        </w:rPr>
        <w:instrText xml:space="preserve"> NOTEREF _Ref20404654 \h  \* MERGEFORMAT </w:instrText>
      </w:r>
      <w:r w:rsidR="00222B2F" w:rsidRPr="002D3165">
        <w:rPr>
          <w:vertAlign w:val="superscript"/>
        </w:rPr>
      </w:r>
      <w:r w:rsidR="00222B2F" w:rsidRPr="002D3165">
        <w:rPr>
          <w:vertAlign w:val="superscript"/>
        </w:rPr>
        <w:fldChar w:fldCharType="separate"/>
      </w:r>
      <w:r w:rsidR="00222B2F" w:rsidRPr="002D3165">
        <w:rPr>
          <w:vertAlign w:val="superscript"/>
        </w:rPr>
        <w:t>18</w:t>
      </w:r>
      <w:r w:rsidR="00222B2F" w:rsidRPr="002D3165">
        <w:rPr>
          <w:vertAlign w:val="superscript"/>
        </w:rPr>
        <w:fldChar w:fldCharType="end"/>
      </w:r>
      <w:r w:rsidRPr="002D3165">
        <w:rPr>
          <w:vertAlign w:val="superscript"/>
        </w:rPr>
        <w:t xml:space="preserve"> </w:t>
      </w:r>
      <w:r w:rsidRPr="002D3165">
        <w:t>In patients</w:t>
      </w:r>
      <w:r>
        <w:t xml:space="preserve"> undergoing heart transplantation for congestive heart failure, </w:t>
      </w:r>
      <w:r w:rsidR="00DC7D20">
        <w:t>inhaled nitric oxide</w:t>
      </w:r>
      <w:r>
        <w:t xml:space="preserve"> (4 ppm to 24 ppm, n</w:t>
      </w:r>
      <w:r w:rsidR="00D42948">
        <w:t xml:space="preserve"> = </w:t>
      </w:r>
      <w:r>
        <w:t>34) was superior to a PGE1 infusion at a rate of 8 ng</w:t>
      </w:r>
      <w:r w:rsidR="00B9690A">
        <w:t>/</w:t>
      </w:r>
      <w:r>
        <w:t>kg</w:t>
      </w:r>
      <w:r w:rsidR="00B9690A">
        <w:t>/</w:t>
      </w:r>
      <w:r>
        <w:t>min (n</w:t>
      </w:r>
      <w:r w:rsidR="00D42948">
        <w:t xml:space="preserve"> = </w:t>
      </w:r>
      <w:r>
        <w:t xml:space="preserve">34), with significant between-group differences for </w:t>
      </w:r>
      <w:r w:rsidR="00BB39E5">
        <w:t>pulmonary vascular resistance</w:t>
      </w:r>
      <w:r>
        <w:t xml:space="preserve">, </w:t>
      </w:r>
      <w:r w:rsidR="00BB39E5">
        <w:t>pulmonary vascular resistance</w:t>
      </w:r>
      <w:r>
        <w:t>/</w:t>
      </w:r>
      <w:r w:rsidR="00BB39E5">
        <w:t>systemic vascular resistance</w:t>
      </w:r>
      <w:r>
        <w:t xml:space="preserve">, cardiac output and success in weaning from </w:t>
      </w:r>
      <w:r w:rsidR="00BB39E5">
        <w:t>cardiopulmonary bypass</w:t>
      </w:r>
      <w:r w:rsidR="0091246B">
        <w:t xml:space="preserve">; </w:t>
      </w:r>
      <w:r>
        <w:t xml:space="preserve">failures on PGE1 required rescue with </w:t>
      </w:r>
      <w:r w:rsidR="00DC7D20">
        <w:t>inhaled nitric oxide</w:t>
      </w:r>
      <w:r w:rsidR="009F6B44" w:rsidRPr="009F6B44">
        <w:rPr>
          <w:vertAlign w:val="superscript"/>
        </w:rPr>
        <w:fldChar w:fldCharType="begin"/>
      </w:r>
      <w:r w:rsidR="009F6B44" w:rsidRPr="009F6B44">
        <w:rPr>
          <w:vertAlign w:val="superscript"/>
        </w:rPr>
        <w:instrText xml:space="preserve"> NOTEREF _Ref10647583 \h </w:instrText>
      </w:r>
      <w:r w:rsidR="009F6B44">
        <w:rPr>
          <w:vertAlign w:val="superscript"/>
        </w:rPr>
        <w:instrText xml:space="preserve"> \* MERGEFORMAT </w:instrText>
      </w:r>
      <w:r w:rsidR="009F6B44" w:rsidRPr="009F6B44">
        <w:rPr>
          <w:vertAlign w:val="superscript"/>
        </w:rPr>
      </w:r>
      <w:r w:rsidR="009F6B44" w:rsidRPr="009F6B44">
        <w:rPr>
          <w:vertAlign w:val="superscript"/>
        </w:rPr>
        <w:fldChar w:fldCharType="end"/>
      </w:r>
      <w:r>
        <w:t>.</w:t>
      </w:r>
      <w:r w:rsidR="002D0475" w:rsidRPr="002D0475">
        <w:rPr>
          <w:highlight w:val="yellow"/>
          <w:vertAlign w:val="superscript"/>
        </w:rPr>
        <w:fldChar w:fldCharType="begin"/>
      </w:r>
      <w:r w:rsidR="002D0475" w:rsidRPr="002D0475">
        <w:rPr>
          <w:vertAlign w:val="superscript"/>
        </w:rPr>
        <w:instrText xml:space="preserve"> NOTEREF _Ref25843771 \h </w:instrText>
      </w:r>
      <w:r w:rsidR="002D0475" w:rsidRPr="002D0475">
        <w:rPr>
          <w:highlight w:val="yellow"/>
          <w:vertAlign w:val="superscript"/>
        </w:rPr>
        <w:instrText xml:space="preserve"> \* MERGEFORMAT </w:instrText>
      </w:r>
      <w:r w:rsidR="002D0475" w:rsidRPr="002D0475">
        <w:rPr>
          <w:highlight w:val="yellow"/>
          <w:vertAlign w:val="superscript"/>
        </w:rPr>
      </w:r>
      <w:r w:rsidR="002D0475" w:rsidRPr="002D0475">
        <w:rPr>
          <w:highlight w:val="yellow"/>
          <w:vertAlign w:val="superscript"/>
        </w:rPr>
        <w:fldChar w:fldCharType="separate"/>
      </w:r>
      <w:r w:rsidR="002D0475" w:rsidRPr="002D0475">
        <w:rPr>
          <w:vertAlign w:val="superscript"/>
        </w:rPr>
        <w:t>16</w:t>
      </w:r>
      <w:r w:rsidR="002D0475" w:rsidRPr="002D0475">
        <w:rPr>
          <w:highlight w:val="yellow"/>
          <w:vertAlign w:val="superscript"/>
        </w:rPr>
        <w:fldChar w:fldCharType="end"/>
      </w:r>
      <w:r>
        <w:t xml:space="preserve"> The increase in cardiac output after </w:t>
      </w:r>
      <w:r w:rsidR="00DC7D20">
        <w:t>inhaled nitric oxide</w:t>
      </w:r>
      <w:r>
        <w:t xml:space="preserve"> was significantly lower than after</w:t>
      </w:r>
      <w:r w:rsidR="00D42948">
        <w:t xml:space="preserve"> </w:t>
      </w:r>
      <w:r>
        <w:t>inhaled iloprost.</w:t>
      </w:r>
      <w:r w:rsidR="002D0475" w:rsidRPr="002D0475">
        <w:rPr>
          <w:highlight w:val="yellow"/>
          <w:vertAlign w:val="superscript"/>
        </w:rPr>
        <w:fldChar w:fldCharType="begin"/>
      </w:r>
      <w:r w:rsidR="002D0475" w:rsidRPr="002D0475">
        <w:rPr>
          <w:vertAlign w:val="superscript"/>
        </w:rPr>
        <w:instrText xml:space="preserve"> NOTEREF _Ref25843903 \h </w:instrText>
      </w:r>
      <w:r w:rsidR="002D0475" w:rsidRPr="002D0475">
        <w:rPr>
          <w:highlight w:val="yellow"/>
          <w:vertAlign w:val="superscript"/>
        </w:rPr>
        <w:instrText xml:space="preserve"> \* MERGEFORMAT </w:instrText>
      </w:r>
      <w:r w:rsidR="002D0475" w:rsidRPr="002D0475">
        <w:rPr>
          <w:highlight w:val="yellow"/>
          <w:vertAlign w:val="superscript"/>
        </w:rPr>
      </w:r>
      <w:r w:rsidR="002D0475" w:rsidRPr="002D0475">
        <w:rPr>
          <w:highlight w:val="yellow"/>
          <w:vertAlign w:val="superscript"/>
        </w:rPr>
        <w:fldChar w:fldCharType="separate"/>
      </w:r>
      <w:r w:rsidR="002D0475" w:rsidRPr="002D0475">
        <w:rPr>
          <w:vertAlign w:val="superscript"/>
        </w:rPr>
        <w:t>12</w:t>
      </w:r>
      <w:r w:rsidR="002D0475" w:rsidRPr="002D0475">
        <w:rPr>
          <w:highlight w:val="yellow"/>
          <w:vertAlign w:val="superscript"/>
        </w:rPr>
        <w:fldChar w:fldCharType="end"/>
      </w:r>
    </w:p>
    <w:p w14:paraId="47120F36" w14:textId="2C0AC4A4" w:rsidR="00C3138A" w:rsidRDefault="00C3138A" w:rsidP="00C3138A">
      <w:r>
        <w:t xml:space="preserve">In the proposed PI, the </w:t>
      </w:r>
      <w:r w:rsidR="003E6F92">
        <w:t>sponsor</w:t>
      </w:r>
      <w:r>
        <w:t xml:space="preserve"> identifies 5 published studies as </w:t>
      </w:r>
      <w:r w:rsidR="0091246B">
        <w:t>‘</w:t>
      </w:r>
      <w:r>
        <w:t>key</w:t>
      </w:r>
      <w:r w:rsidR="0091246B">
        <w:t>’</w:t>
      </w:r>
      <w:r>
        <w:t xml:space="preserve"> studies demonstrating efficacy of </w:t>
      </w:r>
      <w:r w:rsidR="00DC7D20">
        <w:t>inhaled nitric oxide</w:t>
      </w:r>
      <w:r>
        <w:t xml:space="preserve"> in adults undergoing cardiac surgery:</w:t>
      </w:r>
    </w:p>
    <w:p w14:paraId="1ADE77B7" w14:textId="71C0F6B4" w:rsidR="00C3138A" w:rsidRDefault="00C3138A" w:rsidP="00B9690A">
      <w:pPr>
        <w:ind w:left="720"/>
      </w:pPr>
      <w:r>
        <w:t xml:space="preserve">A total of 17 prospective randomised controlled trials involving 709 adult patients (395 treated with </w:t>
      </w:r>
      <w:r w:rsidR="00DC7D20">
        <w:t>inhaled nitric oxide</w:t>
      </w:r>
      <w:r>
        <w:t xml:space="preserve">) were assessed as published study reports for the indication of perioperative </w:t>
      </w:r>
      <w:r w:rsidR="00BB39E5">
        <w:t>pulmonary hypertension</w:t>
      </w:r>
      <w:r>
        <w:t xml:space="preserve"> in conjunction with cardiac surgery. Five of these were considered key studies: </w:t>
      </w:r>
      <w:proofErr w:type="spellStart"/>
      <w:r>
        <w:t>Kukuc</w:t>
      </w:r>
      <w:r w:rsidR="0031037B">
        <w:t>ka</w:t>
      </w:r>
      <w:proofErr w:type="spellEnd"/>
      <w:r w:rsidR="0031037B">
        <w:t xml:space="preserve"> et al </w:t>
      </w:r>
      <w:r>
        <w:t>2011</w:t>
      </w:r>
      <w:r w:rsidR="00763370">
        <w:t>;</w:t>
      </w:r>
      <w:r w:rsidR="00222B2F" w:rsidRPr="00222B2F">
        <w:rPr>
          <w:vertAlign w:val="superscript"/>
        </w:rPr>
        <w:fldChar w:fldCharType="begin"/>
      </w:r>
      <w:r w:rsidR="00222B2F" w:rsidRPr="00222B2F">
        <w:rPr>
          <w:vertAlign w:val="superscript"/>
        </w:rPr>
        <w:instrText xml:space="preserve"> NOTEREF _Ref22221489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19</w:t>
      </w:r>
      <w:r w:rsidR="00222B2F" w:rsidRPr="00222B2F">
        <w:rPr>
          <w:vertAlign w:val="superscript"/>
        </w:rPr>
        <w:fldChar w:fldCharType="end"/>
      </w:r>
      <w:r w:rsidR="007E2F4E">
        <w:t xml:space="preserve"> </w:t>
      </w:r>
      <w:proofErr w:type="spellStart"/>
      <w:r w:rsidR="007E2F4E">
        <w:t>Argenziano</w:t>
      </w:r>
      <w:proofErr w:type="spellEnd"/>
      <w:r w:rsidR="007E2F4E">
        <w:t xml:space="preserve"> et al </w:t>
      </w:r>
      <w:r>
        <w:t>1998</w:t>
      </w:r>
      <w:r w:rsidR="00763370" w:rsidRPr="00763370">
        <w:t>;</w:t>
      </w:r>
      <w:r w:rsidR="00222B2F" w:rsidRPr="00222B2F">
        <w:rPr>
          <w:vertAlign w:val="superscript"/>
        </w:rPr>
        <w:fldChar w:fldCharType="begin"/>
      </w:r>
      <w:r w:rsidR="00222B2F" w:rsidRPr="00222B2F">
        <w:rPr>
          <w:vertAlign w:val="superscript"/>
        </w:rPr>
        <w:instrText xml:space="preserve"> NOTEREF _Ref20404654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18</w:t>
      </w:r>
      <w:r w:rsidR="00222B2F" w:rsidRPr="00222B2F">
        <w:rPr>
          <w:vertAlign w:val="superscript"/>
        </w:rPr>
        <w:fldChar w:fldCharType="end"/>
      </w:r>
      <w:r>
        <w:t xml:space="preserve"> which were placebo</w:t>
      </w:r>
      <w:r w:rsidR="00BB39E5">
        <w:t xml:space="preserve"> </w:t>
      </w:r>
      <w:r>
        <w:t xml:space="preserve">controlled double </w:t>
      </w:r>
      <w:r w:rsidR="007E2F4E">
        <w:t xml:space="preserve">blind studies and </w:t>
      </w:r>
      <w:proofErr w:type="spellStart"/>
      <w:r w:rsidR="007E2F4E">
        <w:t>Knothe</w:t>
      </w:r>
      <w:proofErr w:type="spellEnd"/>
      <w:r w:rsidR="007E2F4E">
        <w:t xml:space="preserve"> et al </w:t>
      </w:r>
      <w:r>
        <w:t>1996</w:t>
      </w:r>
      <w:r w:rsidR="00763370">
        <w:t>;</w:t>
      </w:r>
      <w:r w:rsidR="00222B2F" w:rsidRPr="00222B2F">
        <w:rPr>
          <w:vertAlign w:val="superscript"/>
        </w:rPr>
        <w:fldChar w:fldCharType="begin"/>
      </w:r>
      <w:r w:rsidR="00222B2F" w:rsidRPr="00222B2F">
        <w:rPr>
          <w:vertAlign w:val="superscript"/>
        </w:rPr>
        <w:instrText xml:space="preserve"> NOTEREF _Ref25843632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22</w:t>
      </w:r>
      <w:r w:rsidR="00222B2F" w:rsidRPr="00222B2F">
        <w:rPr>
          <w:vertAlign w:val="superscript"/>
        </w:rPr>
        <w:fldChar w:fldCharType="end"/>
      </w:r>
      <w:r w:rsidR="007E2F4E">
        <w:t xml:space="preserve"> </w:t>
      </w:r>
      <w:proofErr w:type="spellStart"/>
      <w:r w:rsidR="007E2F4E">
        <w:t>Fernandes</w:t>
      </w:r>
      <w:proofErr w:type="spellEnd"/>
      <w:r w:rsidR="007E2F4E">
        <w:t xml:space="preserve"> et al </w:t>
      </w:r>
      <w:r>
        <w:t>2011</w:t>
      </w:r>
      <w:r w:rsidR="00763370" w:rsidRPr="00763370">
        <w:t>;</w:t>
      </w:r>
      <w:r w:rsidR="00222B2F" w:rsidRPr="00222B2F">
        <w:rPr>
          <w:vertAlign w:val="superscript"/>
        </w:rPr>
        <w:fldChar w:fldCharType="begin"/>
      </w:r>
      <w:r w:rsidR="00222B2F" w:rsidRPr="00222B2F">
        <w:rPr>
          <w:vertAlign w:val="superscript"/>
        </w:rPr>
        <w:instrText xml:space="preserve"> NOTEREF _Ref25843676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20</w:t>
      </w:r>
      <w:r w:rsidR="00222B2F" w:rsidRPr="00222B2F">
        <w:rPr>
          <w:vertAlign w:val="superscript"/>
        </w:rPr>
        <w:fldChar w:fldCharType="end"/>
      </w:r>
      <w:r w:rsidR="007E2F4E">
        <w:t xml:space="preserve"> and </w:t>
      </w:r>
      <w:proofErr w:type="spellStart"/>
      <w:r w:rsidR="007E2F4E">
        <w:t>Rajek</w:t>
      </w:r>
      <w:proofErr w:type="spellEnd"/>
      <w:r w:rsidR="007E2F4E">
        <w:t xml:space="preserve"> et al </w:t>
      </w:r>
      <w:r>
        <w:t>2000</w:t>
      </w:r>
      <w:r w:rsidR="00763370">
        <w:t>;</w:t>
      </w:r>
      <w:r w:rsidR="00222B2F">
        <w:rPr>
          <w:vertAlign w:val="superscript"/>
        </w:rPr>
        <w:fldChar w:fldCharType="begin"/>
      </w:r>
      <w:r w:rsidR="00222B2F">
        <w:rPr>
          <w:vertAlign w:val="superscript"/>
        </w:rPr>
        <w:instrText xml:space="preserve"> NOTEREF _Ref25843771 \h </w:instrText>
      </w:r>
      <w:r w:rsidR="00222B2F">
        <w:rPr>
          <w:vertAlign w:val="superscript"/>
        </w:rPr>
      </w:r>
      <w:r w:rsidR="00222B2F">
        <w:rPr>
          <w:vertAlign w:val="superscript"/>
        </w:rPr>
        <w:fldChar w:fldCharType="separate"/>
      </w:r>
      <w:r w:rsidR="00222B2F">
        <w:rPr>
          <w:vertAlign w:val="superscript"/>
        </w:rPr>
        <w:t>16</w:t>
      </w:r>
      <w:r w:rsidR="00222B2F">
        <w:rPr>
          <w:vertAlign w:val="superscript"/>
        </w:rPr>
        <w:fldChar w:fldCharType="end"/>
      </w:r>
      <w:r>
        <w:t xml:space="preserve"> which were controlle</w:t>
      </w:r>
      <w:r w:rsidR="002355B2">
        <w:t>d against conventional therapy.</w:t>
      </w:r>
    </w:p>
    <w:p w14:paraId="63A36CF0" w14:textId="474AC8AD" w:rsidR="00C3138A" w:rsidRDefault="00C3138A" w:rsidP="00C3138A">
      <w:r>
        <w:t xml:space="preserve">There is no clear reason for highlighting </w:t>
      </w:r>
      <w:proofErr w:type="spellStart"/>
      <w:r>
        <w:t>Kukucka</w:t>
      </w:r>
      <w:proofErr w:type="spellEnd"/>
      <w:r w:rsidR="007E2F4E">
        <w:t xml:space="preserve"> et al.</w:t>
      </w:r>
      <w:r w:rsidR="0091246B">
        <w:t>,</w:t>
      </w:r>
      <w:r w:rsidR="00222B2F" w:rsidRPr="00222B2F">
        <w:rPr>
          <w:vertAlign w:val="superscript"/>
        </w:rPr>
        <w:fldChar w:fldCharType="begin"/>
      </w:r>
      <w:r w:rsidR="00222B2F" w:rsidRPr="00222B2F">
        <w:rPr>
          <w:vertAlign w:val="superscript"/>
        </w:rPr>
        <w:instrText xml:space="preserve"> NOTEREF _Ref22221489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19</w:t>
      </w:r>
      <w:r w:rsidR="00222B2F" w:rsidRPr="00222B2F">
        <w:rPr>
          <w:vertAlign w:val="superscript"/>
        </w:rPr>
        <w:fldChar w:fldCharType="end"/>
      </w:r>
      <w:r>
        <w:t xml:space="preserve"> as a key study, when it was merely a negative sub-study assessing patients from one centre during the larger parent study, </w:t>
      </w:r>
      <w:r w:rsidR="0091246B">
        <w:t xml:space="preserve">Study </w:t>
      </w:r>
      <w:r w:rsidR="00DC7D20">
        <w:t>I</w:t>
      </w:r>
      <w:r w:rsidR="00BB39E5">
        <w:t>NO</w:t>
      </w:r>
      <w:r>
        <w:t>T41.</w:t>
      </w:r>
    </w:p>
    <w:p w14:paraId="0F971BA4" w14:textId="66E53741" w:rsidR="00C3138A" w:rsidRDefault="00C3138A" w:rsidP="00C3138A">
      <w:r>
        <w:t xml:space="preserve">Although the </w:t>
      </w:r>
      <w:r w:rsidR="003E6F92">
        <w:t>sponsor</w:t>
      </w:r>
      <w:r>
        <w:t xml:space="preserve"> has provided summary tables for the submitted studies, the </w:t>
      </w:r>
      <w:r w:rsidR="003E6F92">
        <w:t>sponsor</w:t>
      </w:r>
      <w:r>
        <w:t xml:space="preserve">’s tables generally highlighted changes from baseline, and failed to report on between-group comparisons except where these were positive. The table below reflects the </w:t>
      </w:r>
      <w:r w:rsidR="00B9690A">
        <w:t>c</w:t>
      </w:r>
      <w:r>
        <w:t xml:space="preserve">linical </w:t>
      </w:r>
      <w:r w:rsidR="00B9690A">
        <w:t>e</w:t>
      </w:r>
      <w:r>
        <w:t>valuator’s overall conclusions about the quality of the studies and the main conclusions that can be inferred from each of them. Of the 16 controlled studies in the literature, only six showed a significant between-group difference (</w:t>
      </w:r>
      <w:proofErr w:type="spellStart"/>
      <w:r>
        <w:t>Schmid</w:t>
      </w:r>
      <w:proofErr w:type="spellEnd"/>
      <w:r>
        <w:t xml:space="preserve"> 1999</w:t>
      </w:r>
      <w:r w:rsidR="00763370">
        <w:t>;</w:t>
      </w:r>
      <w:r w:rsidR="00763370" w:rsidRPr="00763370">
        <w:rPr>
          <w:vertAlign w:val="superscript"/>
        </w:rPr>
        <w:fldChar w:fldCharType="begin"/>
      </w:r>
      <w:r w:rsidR="00763370" w:rsidRPr="00763370">
        <w:rPr>
          <w:vertAlign w:val="superscript"/>
        </w:rPr>
        <w:instrText xml:space="preserve"> NOTEREF _Ref20404887 \h  \* MERGEFORMAT </w:instrText>
      </w:r>
      <w:r w:rsidR="00763370" w:rsidRPr="00763370">
        <w:rPr>
          <w:vertAlign w:val="superscript"/>
        </w:rPr>
      </w:r>
      <w:r w:rsidR="00763370" w:rsidRPr="00763370">
        <w:rPr>
          <w:vertAlign w:val="superscript"/>
        </w:rPr>
        <w:fldChar w:fldCharType="separate"/>
      </w:r>
      <w:r w:rsidR="00763370" w:rsidRPr="00763370">
        <w:rPr>
          <w:vertAlign w:val="superscript"/>
        </w:rPr>
        <w:t>10</w:t>
      </w:r>
      <w:r w:rsidR="00763370" w:rsidRPr="00763370">
        <w:rPr>
          <w:vertAlign w:val="superscript"/>
        </w:rPr>
        <w:fldChar w:fldCharType="end"/>
      </w:r>
      <w:r>
        <w:t xml:space="preserve"> </w:t>
      </w:r>
      <w:proofErr w:type="spellStart"/>
      <w:r>
        <w:t>Ardehali</w:t>
      </w:r>
      <w:proofErr w:type="spellEnd"/>
      <w:r>
        <w:t xml:space="preserve"> 2001</w:t>
      </w:r>
      <w:bookmarkStart w:id="97" w:name="_Ref10649462"/>
      <w:r w:rsidR="00763370">
        <w:t>;</w:t>
      </w:r>
      <w:bookmarkEnd w:id="97"/>
      <w:r w:rsidR="00222B2F" w:rsidRPr="00222B2F">
        <w:rPr>
          <w:vertAlign w:val="superscript"/>
        </w:rPr>
        <w:fldChar w:fldCharType="begin"/>
      </w:r>
      <w:r w:rsidR="00222B2F" w:rsidRPr="00222B2F">
        <w:rPr>
          <w:vertAlign w:val="superscript"/>
        </w:rPr>
        <w:instrText xml:space="preserve"> NOTEREF _Ref25845111 \h </w:instrText>
      </w:r>
      <w:r w:rsidR="00222B2F">
        <w:rPr>
          <w:vertAlign w:val="superscript"/>
        </w:rPr>
        <w:instrText xml:space="preserve">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15</w:t>
      </w:r>
      <w:r w:rsidR="00222B2F" w:rsidRPr="00222B2F">
        <w:rPr>
          <w:vertAlign w:val="superscript"/>
        </w:rPr>
        <w:fldChar w:fldCharType="end"/>
      </w:r>
      <w:r>
        <w:t xml:space="preserve"> </w:t>
      </w:r>
      <w:proofErr w:type="spellStart"/>
      <w:r>
        <w:t>Kieler</w:t>
      </w:r>
      <w:proofErr w:type="spellEnd"/>
      <w:r>
        <w:t>-Jensen 1994</w:t>
      </w:r>
      <w:r w:rsidR="0091246B">
        <w:t>;</w:t>
      </w:r>
      <w:r w:rsidR="007E2F4E" w:rsidRPr="009F6B44">
        <w:rPr>
          <w:vertAlign w:val="superscript"/>
        </w:rPr>
        <w:fldChar w:fldCharType="begin"/>
      </w:r>
      <w:r w:rsidR="007E2F4E" w:rsidRPr="009F6B44">
        <w:rPr>
          <w:vertAlign w:val="superscript"/>
        </w:rPr>
        <w:instrText xml:space="preserve"> NOTEREF _Ref10648701 \h </w:instrText>
      </w:r>
      <w:r w:rsidR="009F6B44">
        <w:rPr>
          <w:vertAlign w:val="superscript"/>
        </w:rPr>
        <w:instrText xml:space="preserve"> \* MERGEFORMAT </w:instrText>
      </w:r>
      <w:r w:rsidR="007E2F4E" w:rsidRPr="009F6B44">
        <w:rPr>
          <w:vertAlign w:val="superscript"/>
        </w:rPr>
      </w:r>
      <w:r w:rsidR="007E2F4E" w:rsidRPr="009F6B44">
        <w:rPr>
          <w:vertAlign w:val="superscript"/>
        </w:rPr>
        <w:fldChar w:fldCharType="separate"/>
      </w:r>
      <w:r w:rsidR="00A50889">
        <w:rPr>
          <w:vertAlign w:val="superscript"/>
        </w:rPr>
        <w:t>1</w:t>
      </w:r>
      <w:r w:rsidR="007E2F4E" w:rsidRPr="009F6B44">
        <w:rPr>
          <w:vertAlign w:val="superscript"/>
        </w:rPr>
        <w:fldChar w:fldCharType="end"/>
      </w:r>
      <w:r>
        <w:t xml:space="preserve"> </w:t>
      </w:r>
      <w:proofErr w:type="spellStart"/>
      <w:r>
        <w:t>Radovencevic</w:t>
      </w:r>
      <w:proofErr w:type="spellEnd"/>
      <w:r>
        <w:t xml:space="preserve"> 2005</w:t>
      </w:r>
      <w:bookmarkStart w:id="98" w:name="_Ref10653990"/>
      <w:r w:rsidR="00763370">
        <w:t>;</w:t>
      </w:r>
      <w:bookmarkEnd w:id="98"/>
      <w:r w:rsidR="00222B2F" w:rsidRPr="00222B2F">
        <w:rPr>
          <w:vertAlign w:val="superscript"/>
        </w:rPr>
        <w:fldChar w:fldCharType="begin"/>
      </w:r>
      <w:r w:rsidR="00222B2F" w:rsidRPr="00222B2F">
        <w:rPr>
          <w:vertAlign w:val="superscript"/>
        </w:rPr>
        <w:instrText xml:space="preserve"> NOTEREF _Ref25845157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17</w:t>
      </w:r>
      <w:r w:rsidR="00222B2F" w:rsidRPr="00222B2F">
        <w:rPr>
          <w:vertAlign w:val="superscript"/>
        </w:rPr>
        <w:fldChar w:fldCharType="end"/>
      </w:r>
      <w:r>
        <w:t xml:space="preserve">, </w:t>
      </w:r>
      <w:proofErr w:type="spellStart"/>
      <w:r>
        <w:t>Rajek</w:t>
      </w:r>
      <w:proofErr w:type="spellEnd"/>
      <w:r>
        <w:t xml:space="preserve"> 2000</w:t>
      </w:r>
      <w:r w:rsidR="00763370">
        <w:t>;</w:t>
      </w:r>
      <w:r w:rsidR="00222B2F" w:rsidRPr="00222B2F">
        <w:rPr>
          <w:vertAlign w:val="superscript"/>
        </w:rPr>
        <w:fldChar w:fldCharType="begin"/>
      </w:r>
      <w:r w:rsidR="00222B2F" w:rsidRPr="00222B2F">
        <w:rPr>
          <w:vertAlign w:val="superscript"/>
        </w:rPr>
        <w:instrText xml:space="preserve"> NOTEREF _Ref25843771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16</w:t>
      </w:r>
      <w:r w:rsidR="00222B2F" w:rsidRPr="00222B2F">
        <w:rPr>
          <w:vertAlign w:val="superscript"/>
        </w:rPr>
        <w:fldChar w:fldCharType="end"/>
      </w:r>
      <w:r w:rsidR="00763370">
        <w:t xml:space="preserve"> </w:t>
      </w:r>
      <w:r w:rsidR="0091246B">
        <w:t xml:space="preserve">and </w:t>
      </w:r>
      <w:proofErr w:type="spellStart"/>
      <w:r>
        <w:t>Fernandes</w:t>
      </w:r>
      <w:proofErr w:type="spellEnd"/>
      <w:r>
        <w:t xml:space="preserve"> 2011</w:t>
      </w:r>
      <w:r w:rsidR="00763370">
        <w:t>;</w:t>
      </w:r>
      <w:r w:rsidR="00222B2F" w:rsidRPr="00222B2F">
        <w:rPr>
          <w:vertAlign w:val="superscript"/>
        </w:rPr>
        <w:fldChar w:fldCharType="begin"/>
      </w:r>
      <w:r w:rsidR="00222B2F" w:rsidRPr="00222B2F">
        <w:rPr>
          <w:vertAlign w:val="superscript"/>
        </w:rPr>
        <w:instrText xml:space="preserve"> NOTEREF _Ref25843676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20</w:t>
      </w:r>
      <w:r w:rsidR="00222B2F" w:rsidRPr="00222B2F">
        <w:rPr>
          <w:vertAlign w:val="superscript"/>
        </w:rPr>
        <w:fldChar w:fldCharType="end"/>
      </w:r>
      <w:r>
        <w:t xml:space="preserve">); </w:t>
      </w:r>
      <w:r w:rsidRPr="00EB41A1">
        <w:t>these are presented in bold</w:t>
      </w:r>
      <w:r w:rsidR="009B08F3">
        <w:t xml:space="preserve"> in Table 5</w:t>
      </w:r>
      <w:r>
        <w:t>, and should be considered the key studies supporting the submission.</w:t>
      </w:r>
    </w:p>
    <w:p w14:paraId="330C1DFF" w14:textId="7058EB45" w:rsidR="00500337" w:rsidRDefault="007E2F4E" w:rsidP="007E2F4E">
      <w:pPr>
        <w:pStyle w:val="TableTitle"/>
      </w:pPr>
      <w:r>
        <w:lastRenderedPageBreak/>
        <w:t xml:space="preserve">Table </w:t>
      </w:r>
      <w:r w:rsidR="00035230">
        <w:t>5</w:t>
      </w:r>
      <w:r>
        <w:t>:</w:t>
      </w:r>
      <w:r w:rsidR="00C3138A">
        <w:t xml:space="preserve"> Summary of</w:t>
      </w:r>
      <w:r w:rsidR="00C3138A" w:rsidRPr="00C3138A">
        <w:t xml:space="preserve"> </w:t>
      </w:r>
      <w:r w:rsidR="00035230" w:rsidRPr="00C3138A">
        <w:t xml:space="preserve">published studies of adult cardiac surgery patients </w:t>
      </w:r>
      <w:r w:rsidR="00C3138A" w:rsidRPr="00C3138A">
        <w:t xml:space="preserve">(excluding </w:t>
      </w:r>
      <w:r w:rsidR="0091246B">
        <w:t xml:space="preserve">Study </w:t>
      </w:r>
      <w:r w:rsidR="00BB39E5">
        <w:t>INOT41</w:t>
      </w:r>
      <w:r w:rsidR="00C3138A" w:rsidRPr="00C3138A">
        <w:t>)</w:t>
      </w:r>
    </w:p>
    <w:tbl>
      <w:tblPr>
        <w:tblStyle w:val="TableTGAblue"/>
        <w:tblW w:w="8897" w:type="dxa"/>
        <w:tblLayout w:type="fixed"/>
        <w:tblLook w:val="01E0" w:firstRow="1" w:lastRow="1" w:firstColumn="1" w:lastColumn="1" w:noHBand="0" w:noVBand="0"/>
      </w:tblPr>
      <w:tblGrid>
        <w:gridCol w:w="1526"/>
        <w:gridCol w:w="1701"/>
        <w:gridCol w:w="1984"/>
        <w:gridCol w:w="1843"/>
        <w:gridCol w:w="1843"/>
      </w:tblGrid>
      <w:tr w:rsidR="00C3138A" w:rsidRPr="00476AD9" w14:paraId="111C2FEF" w14:textId="77777777" w:rsidTr="00914B03">
        <w:trPr>
          <w:cnfStyle w:val="100000000000" w:firstRow="1" w:lastRow="0" w:firstColumn="0" w:lastColumn="0" w:oddVBand="0" w:evenVBand="0" w:oddHBand="0" w:evenHBand="0" w:firstRowFirstColumn="0" w:firstRowLastColumn="0" w:lastRowFirstColumn="0" w:lastRowLastColumn="0"/>
        </w:trPr>
        <w:tc>
          <w:tcPr>
            <w:tcW w:w="1526" w:type="dxa"/>
          </w:tcPr>
          <w:p w14:paraId="72E79B0C" w14:textId="77777777" w:rsidR="00C3138A" w:rsidRPr="00763370" w:rsidRDefault="00C3138A" w:rsidP="00914B03">
            <w:pPr>
              <w:autoSpaceDE w:val="0"/>
              <w:autoSpaceDN w:val="0"/>
              <w:adjustRightInd w:val="0"/>
              <w:ind w:left="0" w:right="34"/>
              <w:rPr>
                <w:sz w:val="18"/>
                <w:szCs w:val="18"/>
              </w:rPr>
            </w:pPr>
            <w:r w:rsidRPr="00763370">
              <w:rPr>
                <w:sz w:val="18"/>
                <w:szCs w:val="18"/>
              </w:rPr>
              <w:t>Study and Clinical Setting</w:t>
            </w:r>
          </w:p>
        </w:tc>
        <w:tc>
          <w:tcPr>
            <w:tcW w:w="1701" w:type="dxa"/>
          </w:tcPr>
          <w:p w14:paraId="3A340C47" w14:textId="77777777" w:rsidR="00C3138A" w:rsidRPr="00763370" w:rsidRDefault="00C3138A" w:rsidP="00914B03">
            <w:pPr>
              <w:autoSpaceDE w:val="0"/>
              <w:autoSpaceDN w:val="0"/>
              <w:adjustRightInd w:val="0"/>
              <w:ind w:left="0" w:right="34"/>
              <w:rPr>
                <w:sz w:val="18"/>
                <w:szCs w:val="18"/>
              </w:rPr>
            </w:pPr>
            <w:r w:rsidRPr="00763370">
              <w:rPr>
                <w:sz w:val="18"/>
                <w:szCs w:val="18"/>
              </w:rPr>
              <w:t>Treatments</w:t>
            </w:r>
          </w:p>
        </w:tc>
        <w:tc>
          <w:tcPr>
            <w:tcW w:w="1984" w:type="dxa"/>
          </w:tcPr>
          <w:p w14:paraId="79C7CF70" w14:textId="77777777" w:rsidR="00C3138A" w:rsidRPr="00763370" w:rsidRDefault="00C3138A" w:rsidP="00914B03">
            <w:pPr>
              <w:autoSpaceDE w:val="0"/>
              <w:autoSpaceDN w:val="0"/>
              <w:adjustRightInd w:val="0"/>
              <w:ind w:left="0" w:right="34"/>
              <w:rPr>
                <w:sz w:val="18"/>
                <w:szCs w:val="18"/>
              </w:rPr>
            </w:pPr>
            <w:r w:rsidRPr="00763370">
              <w:rPr>
                <w:sz w:val="18"/>
                <w:szCs w:val="18"/>
              </w:rPr>
              <w:t>Flaws</w:t>
            </w:r>
          </w:p>
        </w:tc>
        <w:tc>
          <w:tcPr>
            <w:tcW w:w="1843" w:type="dxa"/>
          </w:tcPr>
          <w:p w14:paraId="016DFF1E" w14:textId="77777777" w:rsidR="00C3138A" w:rsidRPr="00763370" w:rsidRDefault="00C3138A" w:rsidP="00914B03">
            <w:pPr>
              <w:autoSpaceDE w:val="0"/>
              <w:autoSpaceDN w:val="0"/>
              <w:adjustRightInd w:val="0"/>
              <w:ind w:left="0" w:right="34"/>
              <w:rPr>
                <w:sz w:val="18"/>
                <w:szCs w:val="18"/>
              </w:rPr>
            </w:pPr>
            <w:r w:rsidRPr="00763370">
              <w:rPr>
                <w:sz w:val="18"/>
                <w:szCs w:val="18"/>
              </w:rPr>
              <w:t>Results</w:t>
            </w:r>
          </w:p>
        </w:tc>
        <w:tc>
          <w:tcPr>
            <w:tcW w:w="1843" w:type="dxa"/>
          </w:tcPr>
          <w:p w14:paraId="73E0C616" w14:textId="77777777" w:rsidR="00C3138A" w:rsidRPr="00763370" w:rsidRDefault="00C3138A" w:rsidP="00914B03">
            <w:pPr>
              <w:autoSpaceDE w:val="0"/>
              <w:autoSpaceDN w:val="0"/>
              <w:adjustRightInd w:val="0"/>
              <w:ind w:left="0" w:right="34"/>
              <w:rPr>
                <w:sz w:val="18"/>
                <w:szCs w:val="18"/>
              </w:rPr>
            </w:pPr>
            <w:r w:rsidRPr="00763370">
              <w:rPr>
                <w:sz w:val="18"/>
                <w:szCs w:val="18"/>
              </w:rPr>
              <w:t>Between-Group Comparison</w:t>
            </w:r>
          </w:p>
        </w:tc>
      </w:tr>
      <w:tr w:rsidR="00C3138A" w:rsidRPr="00476AD9" w14:paraId="2A72ADB7" w14:textId="77777777" w:rsidTr="00914B03">
        <w:tc>
          <w:tcPr>
            <w:tcW w:w="1526" w:type="dxa"/>
          </w:tcPr>
          <w:p w14:paraId="01679F19" w14:textId="5C1D7DAE" w:rsidR="003B08F8" w:rsidRPr="009B08F3" w:rsidRDefault="00C3138A" w:rsidP="00914B03">
            <w:pPr>
              <w:autoSpaceDE w:val="0"/>
              <w:autoSpaceDN w:val="0"/>
              <w:adjustRightInd w:val="0"/>
              <w:ind w:left="0" w:right="34"/>
              <w:rPr>
                <w:sz w:val="18"/>
                <w:szCs w:val="18"/>
              </w:rPr>
            </w:pPr>
            <w:proofErr w:type="spellStart"/>
            <w:r w:rsidRPr="00B21235">
              <w:rPr>
                <w:sz w:val="18"/>
                <w:szCs w:val="18"/>
              </w:rPr>
              <w:t>Fattouch</w:t>
            </w:r>
            <w:proofErr w:type="spellEnd"/>
            <w:r w:rsidRPr="00B21235">
              <w:rPr>
                <w:sz w:val="18"/>
                <w:szCs w:val="18"/>
              </w:rPr>
              <w:t xml:space="preserve"> 2005</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_Ref25843832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8</w:t>
            </w:r>
            <w:r w:rsidR="00222B2F" w:rsidRPr="00222B2F">
              <w:rPr>
                <w:sz w:val="18"/>
                <w:szCs w:val="18"/>
                <w:vertAlign w:val="superscript"/>
              </w:rPr>
              <w:fldChar w:fldCharType="end"/>
            </w:r>
          </w:p>
          <w:p w14:paraId="7F4F2931" w14:textId="77777777" w:rsidR="00C3138A" w:rsidRPr="009B08F3" w:rsidRDefault="00C3138A" w:rsidP="00914B03">
            <w:pPr>
              <w:autoSpaceDE w:val="0"/>
              <w:autoSpaceDN w:val="0"/>
              <w:adjustRightInd w:val="0"/>
              <w:ind w:left="0" w:right="34"/>
              <w:rPr>
                <w:sz w:val="18"/>
                <w:szCs w:val="18"/>
              </w:rPr>
            </w:pPr>
            <w:r w:rsidRPr="009B08F3">
              <w:rPr>
                <w:sz w:val="18"/>
                <w:szCs w:val="18"/>
              </w:rPr>
              <w:t>Mitral valve surgery</w:t>
            </w:r>
          </w:p>
        </w:tc>
        <w:tc>
          <w:tcPr>
            <w:tcW w:w="1701" w:type="dxa"/>
          </w:tcPr>
          <w:p w14:paraId="1AEC35F7" w14:textId="77777777" w:rsidR="00914B03"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20</w:t>
            </w:r>
            <w:r w:rsidR="00356864">
              <w:rPr>
                <w:sz w:val="18"/>
                <w:szCs w:val="18"/>
              </w:rPr>
              <w:t xml:space="preserve"> </w:t>
            </w:r>
            <w:r w:rsidR="00C3138A" w:rsidRPr="00476AD9">
              <w:rPr>
                <w:sz w:val="18"/>
                <w:szCs w:val="18"/>
              </w:rPr>
              <w:t>ppm</w:t>
            </w:r>
          </w:p>
          <w:p w14:paraId="72DEF8CE"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22)</w:t>
            </w:r>
          </w:p>
          <w:p w14:paraId="6EFBD9E3" w14:textId="77777777" w:rsidR="003D4003" w:rsidRDefault="00C3138A" w:rsidP="00914B03">
            <w:pPr>
              <w:autoSpaceDE w:val="0"/>
              <w:autoSpaceDN w:val="0"/>
              <w:adjustRightInd w:val="0"/>
              <w:ind w:left="0" w:right="34"/>
              <w:rPr>
                <w:sz w:val="18"/>
                <w:szCs w:val="18"/>
              </w:rPr>
            </w:pPr>
            <w:r w:rsidRPr="00476AD9">
              <w:rPr>
                <w:sz w:val="18"/>
                <w:szCs w:val="18"/>
              </w:rPr>
              <w:t>i</w:t>
            </w:r>
            <w:r w:rsidR="003D4003">
              <w:rPr>
                <w:sz w:val="18"/>
                <w:szCs w:val="18"/>
              </w:rPr>
              <w:t xml:space="preserve">nhaled </w:t>
            </w:r>
            <w:r w:rsidRPr="00476AD9">
              <w:rPr>
                <w:sz w:val="18"/>
                <w:szCs w:val="18"/>
              </w:rPr>
              <w:t xml:space="preserve">PGI2 </w:t>
            </w:r>
          </w:p>
          <w:p w14:paraId="4EE2DEC3"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18)</w:t>
            </w:r>
          </w:p>
          <w:p w14:paraId="7088BE12" w14:textId="77777777" w:rsidR="003D4003" w:rsidRDefault="003D4003" w:rsidP="00914B03">
            <w:pPr>
              <w:autoSpaceDE w:val="0"/>
              <w:autoSpaceDN w:val="0"/>
              <w:adjustRightInd w:val="0"/>
              <w:ind w:left="0" w:right="34"/>
              <w:rPr>
                <w:sz w:val="18"/>
                <w:szCs w:val="18"/>
              </w:rPr>
            </w:pPr>
            <w:r>
              <w:rPr>
                <w:sz w:val="18"/>
                <w:szCs w:val="18"/>
              </w:rPr>
              <w:t>IV</w:t>
            </w:r>
            <w:r w:rsidR="00C3138A" w:rsidRPr="00476AD9">
              <w:rPr>
                <w:sz w:val="18"/>
                <w:szCs w:val="18"/>
              </w:rPr>
              <w:t xml:space="preserve"> nitroprusside</w:t>
            </w:r>
          </w:p>
          <w:p w14:paraId="48F0B392"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 (n</w:t>
            </w:r>
            <w:r w:rsidR="00D42948">
              <w:rPr>
                <w:sz w:val="18"/>
                <w:szCs w:val="18"/>
              </w:rPr>
              <w:t xml:space="preserve"> = </w:t>
            </w:r>
            <w:r w:rsidRPr="00476AD9">
              <w:rPr>
                <w:sz w:val="18"/>
                <w:szCs w:val="18"/>
              </w:rPr>
              <w:t>18)</w:t>
            </w:r>
          </w:p>
        </w:tc>
        <w:tc>
          <w:tcPr>
            <w:tcW w:w="1984" w:type="dxa"/>
          </w:tcPr>
          <w:p w14:paraId="5525CBC5" w14:textId="77777777" w:rsidR="00C3138A" w:rsidRPr="00476AD9" w:rsidRDefault="00C3138A" w:rsidP="00914B03">
            <w:pPr>
              <w:autoSpaceDE w:val="0"/>
              <w:autoSpaceDN w:val="0"/>
              <w:adjustRightInd w:val="0"/>
              <w:ind w:left="0" w:right="34"/>
              <w:rPr>
                <w:sz w:val="18"/>
                <w:szCs w:val="18"/>
              </w:rPr>
            </w:pPr>
            <w:r w:rsidRPr="00476AD9">
              <w:rPr>
                <w:sz w:val="18"/>
                <w:szCs w:val="18"/>
              </w:rPr>
              <w:t>Doses unclear</w:t>
            </w:r>
          </w:p>
          <w:p w14:paraId="26071557" w14:textId="77777777" w:rsidR="00C3138A" w:rsidRPr="00476AD9" w:rsidRDefault="00C3138A" w:rsidP="00914B03">
            <w:pPr>
              <w:autoSpaceDE w:val="0"/>
              <w:autoSpaceDN w:val="0"/>
              <w:adjustRightInd w:val="0"/>
              <w:ind w:left="0" w:right="34"/>
              <w:rPr>
                <w:sz w:val="18"/>
                <w:szCs w:val="18"/>
              </w:rPr>
            </w:pPr>
            <w:r w:rsidRPr="00476AD9">
              <w:rPr>
                <w:sz w:val="18"/>
                <w:szCs w:val="18"/>
              </w:rPr>
              <w:t>Blinding uncertain</w:t>
            </w:r>
          </w:p>
          <w:p w14:paraId="78CA7D19" w14:textId="77777777" w:rsidR="00C3138A" w:rsidRPr="00476AD9" w:rsidRDefault="00C3138A" w:rsidP="00914B03">
            <w:pPr>
              <w:autoSpaceDE w:val="0"/>
              <w:autoSpaceDN w:val="0"/>
              <w:adjustRightInd w:val="0"/>
              <w:ind w:left="0" w:right="34"/>
              <w:rPr>
                <w:sz w:val="18"/>
                <w:szCs w:val="18"/>
              </w:rPr>
            </w:pPr>
            <w:r w:rsidRPr="00476AD9">
              <w:rPr>
                <w:sz w:val="18"/>
                <w:szCs w:val="18"/>
              </w:rPr>
              <w:t>No clear primary endpoint</w:t>
            </w:r>
          </w:p>
          <w:p w14:paraId="0B2E27C3" w14:textId="77777777" w:rsidR="00C3138A" w:rsidRPr="00476AD9" w:rsidRDefault="00C3138A" w:rsidP="00914B03">
            <w:pPr>
              <w:autoSpaceDE w:val="0"/>
              <w:autoSpaceDN w:val="0"/>
              <w:adjustRightInd w:val="0"/>
              <w:ind w:left="0" w:right="34"/>
              <w:rPr>
                <w:sz w:val="18"/>
                <w:szCs w:val="18"/>
              </w:rPr>
            </w:pPr>
            <w:r w:rsidRPr="00476AD9">
              <w:rPr>
                <w:sz w:val="18"/>
                <w:szCs w:val="18"/>
              </w:rPr>
              <w:t>ANOVA results missing from paper</w:t>
            </w:r>
          </w:p>
          <w:p w14:paraId="04B82B1A" w14:textId="77777777" w:rsidR="00C3138A" w:rsidRPr="00476AD9" w:rsidRDefault="00C3138A" w:rsidP="00914B03">
            <w:pPr>
              <w:autoSpaceDE w:val="0"/>
              <w:autoSpaceDN w:val="0"/>
              <w:adjustRightInd w:val="0"/>
              <w:ind w:left="0" w:right="34"/>
              <w:rPr>
                <w:sz w:val="18"/>
                <w:szCs w:val="18"/>
              </w:rPr>
            </w:pPr>
            <w:r w:rsidRPr="00476AD9">
              <w:rPr>
                <w:sz w:val="18"/>
                <w:szCs w:val="18"/>
              </w:rPr>
              <w:t>Poor separation of rebound/recovery effects from efficacy effects</w:t>
            </w:r>
          </w:p>
        </w:tc>
        <w:tc>
          <w:tcPr>
            <w:tcW w:w="1843" w:type="dxa"/>
          </w:tcPr>
          <w:p w14:paraId="285A2DF5"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and iPGI2 both reduced </w:t>
            </w:r>
            <w:r w:rsidR="00BB39E5">
              <w:rPr>
                <w:sz w:val="18"/>
                <w:szCs w:val="18"/>
              </w:rPr>
              <w:t>pulmonary vascular resistance</w:t>
            </w:r>
            <w:r w:rsidR="00C3138A" w:rsidRPr="00476AD9">
              <w:rPr>
                <w:sz w:val="18"/>
                <w:szCs w:val="18"/>
              </w:rPr>
              <w:t xml:space="preserve"> and </w:t>
            </w:r>
            <w:r w:rsidR="000E74EA">
              <w:rPr>
                <w:sz w:val="18"/>
                <w:szCs w:val="18"/>
              </w:rPr>
              <w:t>mean pulmonary</w:t>
            </w:r>
            <w:r w:rsidR="00BB39E5">
              <w:rPr>
                <w:sz w:val="18"/>
                <w:szCs w:val="18"/>
              </w:rPr>
              <w:t xml:space="preserve"> arterial pressure</w:t>
            </w:r>
            <w:r w:rsidR="00C3138A" w:rsidRPr="00476AD9">
              <w:rPr>
                <w:sz w:val="18"/>
                <w:szCs w:val="18"/>
              </w:rPr>
              <w:t>, relative to baseline</w:t>
            </w:r>
          </w:p>
        </w:tc>
        <w:tc>
          <w:tcPr>
            <w:tcW w:w="1843" w:type="dxa"/>
          </w:tcPr>
          <w:p w14:paraId="26A1DB9C" w14:textId="77777777" w:rsidR="00C3138A" w:rsidRPr="00476AD9" w:rsidRDefault="00C3138A" w:rsidP="00914B03">
            <w:pPr>
              <w:autoSpaceDE w:val="0"/>
              <w:autoSpaceDN w:val="0"/>
              <w:adjustRightInd w:val="0"/>
              <w:ind w:left="0" w:right="34"/>
              <w:rPr>
                <w:sz w:val="18"/>
                <w:szCs w:val="18"/>
              </w:rPr>
            </w:pPr>
            <w:r w:rsidRPr="00476AD9">
              <w:rPr>
                <w:sz w:val="18"/>
                <w:szCs w:val="18"/>
              </w:rPr>
              <w:t>Negative</w:t>
            </w:r>
          </w:p>
        </w:tc>
      </w:tr>
      <w:tr w:rsidR="00C3138A" w:rsidRPr="00476AD9" w14:paraId="300A63D2" w14:textId="77777777" w:rsidTr="00914B03">
        <w:tc>
          <w:tcPr>
            <w:tcW w:w="1526" w:type="dxa"/>
          </w:tcPr>
          <w:p w14:paraId="0C7F083F" w14:textId="2785C0A2" w:rsidR="003B08F8" w:rsidRPr="00386E79" w:rsidRDefault="00C3138A" w:rsidP="00914B03">
            <w:pPr>
              <w:autoSpaceDE w:val="0"/>
              <w:autoSpaceDN w:val="0"/>
              <w:adjustRightInd w:val="0"/>
              <w:ind w:left="0" w:right="34"/>
              <w:rPr>
                <w:sz w:val="18"/>
                <w:szCs w:val="18"/>
              </w:rPr>
            </w:pPr>
            <w:proofErr w:type="spellStart"/>
            <w:r w:rsidRPr="00B21235">
              <w:rPr>
                <w:sz w:val="18"/>
                <w:szCs w:val="18"/>
              </w:rPr>
              <w:t>Fattouch</w:t>
            </w:r>
            <w:proofErr w:type="spellEnd"/>
            <w:r w:rsidRPr="00B21235">
              <w:rPr>
                <w:sz w:val="18"/>
                <w:szCs w:val="18"/>
              </w:rPr>
              <w:t xml:space="preserve"> 2006</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_Ref25843875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9</w:t>
            </w:r>
            <w:r w:rsidR="00222B2F" w:rsidRPr="00222B2F">
              <w:rPr>
                <w:sz w:val="18"/>
                <w:szCs w:val="18"/>
                <w:vertAlign w:val="superscript"/>
              </w:rPr>
              <w:fldChar w:fldCharType="end"/>
            </w:r>
          </w:p>
          <w:p w14:paraId="006C064C" w14:textId="77777777" w:rsidR="00C3138A" w:rsidRPr="00386E79" w:rsidRDefault="00C3138A" w:rsidP="00914B03">
            <w:pPr>
              <w:autoSpaceDE w:val="0"/>
              <w:autoSpaceDN w:val="0"/>
              <w:adjustRightInd w:val="0"/>
              <w:ind w:left="0" w:right="34"/>
              <w:rPr>
                <w:sz w:val="18"/>
                <w:szCs w:val="18"/>
              </w:rPr>
            </w:pPr>
            <w:r w:rsidRPr="00386E79">
              <w:rPr>
                <w:sz w:val="18"/>
                <w:szCs w:val="18"/>
              </w:rPr>
              <w:t>Mitral valve surgery</w:t>
            </w:r>
          </w:p>
        </w:tc>
        <w:tc>
          <w:tcPr>
            <w:tcW w:w="1701" w:type="dxa"/>
          </w:tcPr>
          <w:p w14:paraId="4B3A47EF" w14:textId="77777777" w:rsidR="003D4003" w:rsidRDefault="00DC7D20" w:rsidP="00914B03">
            <w:pPr>
              <w:autoSpaceDE w:val="0"/>
              <w:autoSpaceDN w:val="0"/>
              <w:adjustRightInd w:val="0"/>
              <w:ind w:left="0" w:right="34"/>
              <w:rPr>
                <w:sz w:val="18"/>
                <w:szCs w:val="18"/>
              </w:rPr>
            </w:pPr>
            <w:r>
              <w:rPr>
                <w:sz w:val="18"/>
                <w:szCs w:val="18"/>
              </w:rPr>
              <w:t>inhaled nitric oxide</w:t>
            </w:r>
            <w:r w:rsidR="00356864">
              <w:rPr>
                <w:sz w:val="18"/>
                <w:szCs w:val="18"/>
              </w:rPr>
              <w:t xml:space="preserve"> variable dose</w:t>
            </w:r>
          </w:p>
          <w:p w14:paraId="15E669C1"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21)</w:t>
            </w:r>
          </w:p>
          <w:p w14:paraId="4373CC75" w14:textId="77777777" w:rsidR="003D4003" w:rsidRDefault="003D4003" w:rsidP="00914B03">
            <w:pPr>
              <w:autoSpaceDE w:val="0"/>
              <w:autoSpaceDN w:val="0"/>
              <w:adjustRightInd w:val="0"/>
              <w:ind w:left="0" w:right="34"/>
              <w:rPr>
                <w:sz w:val="18"/>
                <w:szCs w:val="18"/>
              </w:rPr>
            </w:pPr>
            <w:r>
              <w:rPr>
                <w:sz w:val="18"/>
                <w:szCs w:val="18"/>
              </w:rPr>
              <w:t xml:space="preserve">Inhaled </w:t>
            </w:r>
            <w:r w:rsidR="00C3138A" w:rsidRPr="00476AD9">
              <w:rPr>
                <w:sz w:val="18"/>
                <w:szCs w:val="18"/>
              </w:rPr>
              <w:t>PGI2</w:t>
            </w:r>
          </w:p>
          <w:p w14:paraId="4C7778F3"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19)</w:t>
            </w:r>
          </w:p>
          <w:p w14:paraId="1E67D0F4" w14:textId="77777777" w:rsidR="003D4003" w:rsidRDefault="003D4003" w:rsidP="00914B03">
            <w:pPr>
              <w:autoSpaceDE w:val="0"/>
              <w:autoSpaceDN w:val="0"/>
              <w:adjustRightInd w:val="0"/>
              <w:ind w:left="0" w:right="34"/>
              <w:rPr>
                <w:sz w:val="18"/>
                <w:szCs w:val="18"/>
              </w:rPr>
            </w:pPr>
            <w:r>
              <w:rPr>
                <w:sz w:val="18"/>
                <w:szCs w:val="18"/>
              </w:rPr>
              <w:t>IV</w:t>
            </w:r>
            <w:r w:rsidR="00C3138A" w:rsidRPr="00476AD9">
              <w:rPr>
                <w:sz w:val="18"/>
                <w:szCs w:val="18"/>
              </w:rPr>
              <w:t xml:space="preserve"> vasodilators </w:t>
            </w:r>
          </w:p>
          <w:p w14:paraId="0FC7EFD8"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18)</w:t>
            </w:r>
          </w:p>
        </w:tc>
        <w:tc>
          <w:tcPr>
            <w:tcW w:w="1984" w:type="dxa"/>
          </w:tcPr>
          <w:p w14:paraId="0448E4B9" w14:textId="77777777" w:rsidR="00C3138A" w:rsidRPr="00476AD9" w:rsidRDefault="00C3138A" w:rsidP="00914B03">
            <w:pPr>
              <w:autoSpaceDE w:val="0"/>
              <w:autoSpaceDN w:val="0"/>
              <w:adjustRightInd w:val="0"/>
              <w:ind w:left="0" w:right="34"/>
              <w:rPr>
                <w:sz w:val="18"/>
                <w:szCs w:val="18"/>
              </w:rPr>
            </w:pPr>
            <w:r w:rsidRPr="00476AD9">
              <w:rPr>
                <w:sz w:val="18"/>
                <w:szCs w:val="18"/>
              </w:rPr>
              <w:t>Doses and agents used unclear</w:t>
            </w:r>
          </w:p>
          <w:p w14:paraId="7B7B49F8"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Unclear relationship to </w:t>
            </w:r>
            <w:proofErr w:type="spellStart"/>
            <w:r w:rsidRPr="00476AD9">
              <w:rPr>
                <w:sz w:val="18"/>
                <w:szCs w:val="18"/>
              </w:rPr>
              <w:t>Fattouch</w:t>
            </w:r>
            <w:proofErr w:type="spellEnd"/>
            <w:r w:rsidRPr="00476AD9">
              <w:rPr>
                <w:sz w:val="18"/>
                <w:szCs w:val="18"/>
              </w:rPr>
              <w:t xml:space="preserve"> 2005, with possible overlap of data</w:t>
            </w:r>
          </w:p>
          <w:p w14:paraId="43D1BB36" w14:textId="77777777" w:rsidR="00C3138A" w:rsidRPr="00476AD9" w:rsidRDefault="00C3138A" w:rsidP="00914B03">
            <w:pPr>
              <w:autoSpaceDE w:val="0"/>
              <w:autoSpaceDN w:val="0"/>
              <w:adjustRightInd w:val="0"/>
              <w:ind w:left="0" w:right="34"/>
              <w:rPr>
                <w:sz w:val="18"/>
                <w:szCs w:val="18"/>
              </w:rPr>
            </w:pPr>
            <w:r w:rsidRPr="00476AD9">
              <w:rPr>
                <w:sz w:val="18"/>
                <w:szCs w:val="18"/>
              </w:rPr>
              <w:t>Blinding uncertain</w:t>
            </w:r>
          </w:p>
          <w:p w14:paraId="6007D3DE" w14:textId="77777777" w:rsidR="00C3138A" w:rsidRPr="00476AD9" w:rsidRDefault="00C3138A" w:rsidP="00914B03">
            <w:pPr>
              <w:autoSpaceDE w:val="0"/>
              <w:autoSpaceDN w:val="0"/>
              <w:adjustRightInd w:val="0"/>
              <w:ind w:left="0" w:right="34"/>
              <w:rPr>
                <w:sz w:val="18"/>
                <w:szCs w:val="18"/>
              </w:rPr>
            </w:pPr>
            <w:r w:rsidRPr="00476AD9">
              <w:rPr>
                <w:sz w:val="18"/>
                <w:szCs w:val="18"/>
              </w:rPr>
              <w:t>Unclear statistical methods with no clear primary endpoint</w:t>
            </w:r>
          </w:p>
        </w:tc>
        <w:tc>
          <w:tcPr>
            <w:tcW w:w="1843" w:type="dxa"/>
          </w:tcPr>
          <w:p w14:paraId="2757CFE8"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and PGI2 were similar, reducing </w:t>
            </w:r>
            <w:r w:rsidR="00BB39E5">
              <w:rPr>
                <w:sz w:val="18"/>
                <w:szCs w:val="18"/>
              </w:rPr>
              <w:t>pulmonary vascular resistance</w:t>
            </w:r>
            <w:r w:rsidR="00C3138A" w:rsidRPr="00476AD9">
              <w:rPr>
                <w:sz w:val="18"/>
                <w:szCs w:val="18"/>
              </w:rPr>
              <w:t xml:space="preserve"> compared to baseline</w:t>
            </w:r>
          </w:p>
        </w:tc>
        <w:tc>
          <w:tcPr>
            <w:tcW w:w="1843" w:type="dxa"/>
          </w:tcPr>
          <w:p w14:paraId="6ECFAC1A" w14:textId="77777777" w:rsidR="00C3138A" w:rsidRPr="00476AD9" w:rsidRDefault="00C3138A" w:rsidP="00914B03">
            <w:pPr>
              <w:autoSpaceDE w:val="0"/>
              <w:autoSpaceDN w:val="0"/>
              <w:adjustRightInd w:val="0"/>
              <w:ind w:left="0" w:right="34"/>
              <w:rPr>
                <w:sz w:val="18"/>
                <w:szCs w:val="18"/>
              </w:rPr>
            </w:pPr>
            <w:r w:rsidRPr="00476AD9">
              <w:rPr>
                <w:sz w:val="18"/>
                <w:szCs w:val="18"/>
              </w:rPr>
              <w:t>Negative</w:t>
            </w:r>
          </w:p>
        </w:tc>
      </w:tr>
      <w:tr w:rsidR="00C3138A" w:rsidRPr="00476AD9" w14:paraId="1EA5588C" w14:textId="77777777" w:rsidTr="00914B03">
        <w:tc>
          <w:tcPr>
            <w:tcW w:w="1526" w:type="dxa"/>
          </w:tcPr>
          <w:p w14:paraId="19A44B3B" w14:textId="50160A48" w:rsidR="003B08F8" w:rsidRPr="00386E79" w:rsidRDefault="00C3138A" w:rsidP="00914B03">
            <w:pPr>
              <w:autoSpaceDE w:val="0"/>
              <w:autoSpaceDN w:val="0"/>
              <w:adjustRightInd w:val="0"/>
              <w:ind w:left="0" w:right="34"/>
              <w:rPr>
                <w:sz w:val="18"/>
                <w:szCs w:val="18"/>
              </w:rPr>
            </w:pPr>
            <w:proofErr w:type="spellStart"/>
            <w:r w:rsidRPr="00B21235">
              <w:rPr>
                <w:sz w:val="18"/>
                <w:szCs w:val="18"/>
              </w:rPr>
              <w:t>Gianetti</w:t>
            </w:r>
            <w:proofErr w:type="spellEnd"/>
            <w:r w:rsidRPr="00B21235">
              <w:rPr>
                <w:sz w:val="18"/>
                <w:szCs w:val="18"/>
              </w:rPr>
              <w:t xml:space="preserve"> 2004</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_Ref22552902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10</w:t>
            </w:r>
            <w:r w:rsidR="00222B2F" w:rsidRPr="00222B2F">
              <w:rPr>
                <w:sz w:val="18"/>
                <w:szCs w:val="18"/>
                <w:vertAlign w:val="superscript"/>
              </w:rPr>
              <w:fldChar w:fldCharType="end"/>
            </w:r>
          </w:p>
          <w:p w14:paraId="4EE6C50A" w14:textId="77777777" w:rsidR="00C3138A" w:rsidRPr="00386E79" w:rsidRDefault="00C3138A" w:rsidP="00914B03">
            <w:pPr>
              <w:autoSpaceDE w:val="0"/>
              <w:autoSpaceDN w:val="0"/>
              <w:adjustRightInd w:val="0"/>
              <w:ind w:left="0" w:right="34"/>
              <w:rPr>
                <w:sz w:val="18"/>
                <w:szCs w:val="18"/>
              </w:rPr>
            </w:pPr>
            <w:r w:rsidRPr="00386E79">
              <w:rPr>
                <w:sz w:val="18"/>
                <w:szCs w:val="18"/>
              </w:rPr>
              <w:t>Aortic valve replacement</w:t>
            </w:r>
          </w:p>
        </w:tc>
        <w:tc>
          <w:tcPr>
            <w:tcW w:w="1701" w:type="dxa"/>
          </w:tcPr>
          <w:p w14:paraId="0621E9BA" w14:textId="77777777" w:rsidR="003B08F8"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20 ppm</w:t>
            </w:r>
          </w:p>
          <w:p w14:paraId="5E1036EC"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14)</w:t>
            </w:r>
          </w:p>
          <w:p w14:paraId="2F17D7F9" w14:textId="77777777" w:rsidR="003B08F8" w:rsidRDefault="00C3138A" w:rsidP="00914B03">
            <w:pPr>
              <w:autoSpaceDE w:val="0"/>
              <w:autoSpaceDN w:val="0"/>
              <w:adjustRightInd w:val="0"/>
              <w:ind w:left="0" w:right="34"/>
              <w:rPr>
                <w:sz w:val="18"/>
                <w:szCs w:val="18"/>
              </w:rPr>
            </w:pPr>
            <w:r w:rsidRPr="00476AD9">
              <w:rPr>
                <w:sz w:val="18"/>
                <w:szCs w:val="18"/>
              </w:rPr>
              <w:t>no additional inhalation treatment</w:t>
            </w:r>
          </w:p>
          <w:p w14:paraId="40C535F0"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15)</w:t>
            </w:r>
          </w:p>
        </w:tc>
        <w:tc>
          <w:tcPr>
            <w:tcW w:w="1984" w:type="dxa"/>
          </w:tcPr>
          <w:p w14:paraId="68B300CA" w14:textId="77777777" w:rsidR="00C3138A" w:rsidRPr="00476AD9" w:rsidRDefault="00C3138A" w:rsidP="00914B03">
            <w:pPr>
              <w:autoSpaceDE w:val="0"/>
              <w:autoSpaceDN w:val="0"/>
              <w:adjustRightInd w:val="0"/>
              <w:ind w:left="0" w:right="34"/>
              <w:rPr>
                <w:sz w:val="18"/>
                <w:szCs w:val="18"/>
              </w:rPr>
            </w:pPr>
            <w:r w:rsidRPr="00476AD9">
              <w:rPr>
                <w:sz w:val="18"/>
                <w:szCs w:val="18"/>
              </w:rPr>
              <w:t>Open-label study</w:t>
            </w:r>
          </w:p>
          <w:p w14:paraId="363245F6" w14:textId="77777777" w:rsidR="00C3138A" w:rsidRPr="00476AD9" w:rsidRDefault="00C3138A" w:rsidP="00914B03">
            <w:pPr>
              <w:autoSpaceDE w:val="0"/>
              <w:autoSpaceDN w:val="0"/>
              <w:adjustRightInd w:val="0"/>
              <w:ind w:left="0" w:right="34"/>
              <w:rPr>
                <w:sz w:val="18"/>
                <w:szCs w:val="18"/>
              </w:rPr>
            </w:pPr>
            <w:r w:rsidRPr="00476AD9">
              <w:rPr>
                <w:sz w:val="18"/>
                <w:szCs w:val="18"/>
              </w:rPr>
              <w:t>No clinical endpoints, and did not focus on haemodynamic effects, so not directly relevant to proposed indication</w:t>
            </w:r>
          </w:p>
        </w:tc>
        <w:tc>
          <w:tcPr>
            <w:tcW w:w="1843" w:type="dxa"/>
          </w:tcPr>
          <w:p w14:paraId="41B2BC85"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significantly reduced production of biochemical markers of myocardial injury</w:t>
            </w:r>
          </w:p>
        </w:tc>
        <w:tc>
          <w:tcPr>
            <w:tcW w:w="1843" w:type="dxa"/>
          </w:tcPr>
          <w:p w14:paraId="00F6FF1B" w14:textId="77777777" w:rsidR="00C3138A" w:rsidRPr="00476AD9" w:rsidRDefault="00C3138A" w:rsidP="00914B03">
            <w:pPr>
              <w:autoSpaceDE w:val="0"/>
              <w:autoSpaceDN w:val="0"/>
              <w:adjustRightInd w:val="0"/>
              <w:ind w:left="0" w:right="34"/>
              <w:rPr>
                <w:sz w:val="18"/>
                <w:szCs w:val="18"/>
              </w:rPr>
            </w:pPr>
            <w:r w:rsidRPr="00476AD9">
              <w:rPr>
                <w:sz w:val="18"/>
                <w:szCs w:val="18"/>
              </w:rPr>
              <w:t>Negative</w:t>
            </w:r>
          </w:p>
        </w:tc>
      </w:tr>
      <w:tr w:rsidR="00C3138A" w:rsidRPr="00476AD9" w14:paraId="1DA4D1F8" w14:textId="77777777" w:rsidTr="00914B03">
        <w:tc>
          <w:tcPr>
            <w:tcW w:w="1526" w:type="dxa"/>
          </w:tcPr>
          <w:p w14:paraId="4842AD01" w14:textId="0810E889" w:rsidR="00C3138A" w:rsidRPr="000D1F00" w:rsidRDefault="00C3138A" w:rsidP="00914B03">
            <w:pPr>
              <w:autoSpaceDE w:val="0"/>
              <w:autoSpaceDN w:val="0"/>
              <w:adjustRightInd w:val="0"/>
              <w:ind w:left="0" w:right="34"/>
              <w:rPr>
                <w:sz w:val="18"/>
                <w:szCs w:val="18"/>
              </w:rPr>
            </w:pPr>
            <w:proofErr w:type="spellStart"/>
            <w:r w:rsidRPr="00B21235">
              <w:rPr>
                <w:sz w:val="18"/>
                <w:szCs w:val="18"/>
              </w:rPr>
              <w:t>Solina</w:t>
            </w:r>
            <w:proofErr w:type="spellEnd"/>
            <w:r w:rsidRPr="00B21235">
              <w:rPr>
                <w:sz w:val="18"/>
                <w:szCs w:val="18"/>
              </w:rPr>
              <w:t xml:space="preserve"> 2000</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_Ref25843707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13</w:t>
            </w:r>
            <w:r w:rsidR="00222B2F" w:rsidRPr="00222B2F">
              <w:rPr>
                <w:sz w:val="18"/>
                <w:szCs w:val="18"/>
                <w:vertAlign w:val="superscript"/>
              </w:rPr>
              <w:fldChar w:fldCharType="end"/>
            </w:r>
          </w:p>
          <w:p w14:paraId="40F3E2E8" w14:textId="77777777" w:rsidR="00C3138A" w:rsidRPr="00476AD9" w:rsidRDefault="00C3138A" w:rsidP="00914B03">
            <w:pPr>
              <w:autoSpaceDE w:val="0"/>
              <w:autoSpaceDN w:val="0"/>
              <w:adjustRightInd w:val="0"/>
              <w:ind w:left="0" w:right="34"/>
              <w:rPr>
                <w:b/>
                <w:sz w:val="18"/>
                <w:szCs w:val="18"/>
              </w:rPr>
            </w:pPr>
            <w:r w:rsidRPr="000D1F00">
              <w:rPr>
                <w:sz w:val="18"/>
                <w:szCs w:val="18"/>
              </w:rPr>
              <w:t xml:space="preserve">Cardiac surgery patients with </w:t>
            </w:r>
            <w:r w:rsidR="00D42948" w:rsidRPr="000D1F00">
              <w:rPr>
                <w:sz w:val="18"/>
                <w:szCs w:val="18"/>
              </w:rPr>
              <w:t>pulmonary hypertension</w:t>
            </w:r>
          </w:p>
        </w:tc>
        <w:tc>
          <w:tcPr>
            <w:tcW w:w="1701" w:type="dxa"/>
          </w:tcPr>
          <w:p w14:paraId="6754B0DA"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20 ppm (n</w:t>
            </w:r>
            <w:r w:rsidR="00D42948">
              <w:rPr>
                <w:sz w:val="18"/>
                <w:szCs w:val="18"/>
              </w:rPr>
              <w:t xml:space="preserve"> = </w:t>
            </w:r>
            <w:r w:rsidR="00C3138A" w:rsidRPr="00476AD9">
              <w:rPr>
                <w:sz w:val="18"/>
                <w:szCs w:val="18"/>
              </w:rPr>
              <w:t>15)</w:t>
            </w:r>
          </w:p>
          <w:p w14:paraId="37117B7B"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40 ppm (n</w:t>
            </w:r>
            <w:r w:rsidR="00D42948">
              <w:rPr>
                <w:sz w:val="18"/>
                <w:szCs w:val="18"/>
              </w:rPr>
              <w:t xml:space="preserve"> = </w:t>
            </w:r>
            <w:r w:rsidR="00C3138A" w:rsidRPr="00476AD9">
              <w:rPr>
                <w:sz w:val="18"/>
                <w:szCs w:val="18"/>
              </w:rPr>
              <w:t>15)</w:t>
            </w:r>
          </w:p>
          <w:p w14:paraId="34BAE0D2" w14:textId="77777777" w:rsidR="003B08F8" w:rsidRDefault="003D4003" w:rsidP="00914B03">
            <w:pPr>
              <w:autoSpaceDE w:val="0"/>
              <w:autoSpaceDN w:val="0"/>
              <w:adjustRightInd w:val="0"/>
              <w:ind w:left="0" w:right="34"/>
              <w:rPr>
                <w:sz w:val="18"/>
                <w:szCs w:val="18"/>
              </w:rPr>
            </w:pPr>
            <w:r>
              <w:rPr>
                <w:sz w:val="18"/>
                <w:szCs w:val="18"/>
              </w:rPr>
              <w:t>IV</w:t>
            </w:r>
            <w:r w:rsidR="00C3138A" w:rsidRPr="00476AD9">
              <w:rPr>
                <w:sz w:val="18"/>
                <w:szCs w:val="18"/>
              </w:rPr>
              <w:t xml:space="preserve"> </w:t>
            </w:r>
            <w:proofErr w:type="spellStart"/>
            <w:r w:rsidR="00C3138A" w:rsidRPr="00476AD9">
              <w:rPr>
                <w:sz w:val="18"/>
                <w:szCs w:val="18"/>
              </w:rPr>
              <w:t>milrinone</w:t>
            </w:r>
            <w:proofErr w:type="spellEnd"/>
          </w:p>
          <w:p w14:paraId="004FA88B"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00356864">
              <w:rPr>
                <w:sz w:val="18"/>
                <w:szCs w:val="18"/>
              </w:rPr>
              <w:t>15)</w:t>
            </w:r>
          </w:p>
        </w:tc>
        <w:tc>
          <w:tcPr>
            <w:tcW w:w="1984" w:type="dxa"/>
          </w:tcPr>
          <w:p w14:paraId="0B017E38" w14:textId="77777777" w:rsidR="00C3138A" w:rsidRPr="00476AD9" w:rsidRDefault="00C3138A" w:rsidP="00914B03">
            <w:pPr>
              <w:autoSpaceDE w:val="0"/>
              <w:autoSpaceDN w:val="0"/>
              <w:adjustRightInd w:val="0"/>
              <w:ind w:left="0" w:right="34"/>
              <w:rPr>
                <w:sz w:val="18"/>
                <w:szCs w:val="18"/>
              </w:rPr>
            </w:pPr>
            <w:r w:rsidRPr="00476AD9">
              <w:rPr>
                <w:sz w:val="18"/>
                <w:szCs w:val="18"/>
              </w:rPr>
              <w:t>Open-label study</w:t>
            </w:r>
          </w:p>
          <w:p w14:paraId="5353D3C8" w14:textId="77777777" w:rsidR="00C3138A" w:rsidRPr="00476AD9" w:rsidRDefault="00C3138A" w:rsidP="00914B03">
            <w:pPr>
              <w:autoSpaceDE w:val="0"/>
              <w:autoSpaceDN w:val="0"/>
              <w:adjustRightInd w:val="0"/>
              <w:ind w:left="0" w:right="34"/>
              <w:rPr>
                <w:sz w:val="18"/>
                <w:szCs w:val="18"/>
              </w:rPr>
            </w:pPr>
            <w:r w:rsidRPr="00476AD9">
              <w:rPr>
                <w:sz w:val="18"/>
                <w:szCs w:val="18"/>
              </w:rPr>
              <w:t>No placebo group</w:t>
            </w:r>
          </w:p>
          <w:p w14:paraId="51F072AB" w14:textId="77777777" w:rsidR="00C3138A" w:rsidRPr="00476AD9" w:rsidRDefault="00C3138A" w:rsidP="00914B03">
            <w:pPr>
              <w:autoSpaceDE w:val="0"/>
              <w:autoSpaceDN w:val="0"/>
              <w:adjustRightInd w:val="0"/>
              <w:ind w:left="0" w:right="34"/>
              <w:rPr>
                <w:sz w:val="18"/>
                <w:szCs w:val="18"/>
              </w:rPr>
            </w:pPr>
            <w:r w:rsidRPr="00476AD9">
              <w:rPr>
                <w:sz w:val="18"/>
                <w:szCs w:val="18"/>
              </w:rPr>
              <w:t>Active comparator not a recognised therapy</w:t>
            </w:r>
          </w:p>
          <w:p w14:paraId="106BDE92" w14:textId="77777777" w:rsidR="00C3138A" w:rsidRPr="00476AD9" w:rsidRDefault="00C3138A" w:rsidP="00914B03">
            <w:pPr>
              <w:autoSpaceDE w:val="0"/>
              <w:autoSpaceDN w:val="0"/>
              <w:adjustRightInd w:val="0"/>
              <w:ind w:left="0" w:right="34"/>
              <w:rPr>
                <w:sz w:val="18"/>
                <w:szCs w:val="18"/>
              </w:rPr>
            </w:pPr>
            <w:r w:rsidRPr="00476AD9">
              <w:rPr>
                <w:sz w:val="18"/>
                <w:szCs w:val="18"/>
              </w:rPr>
              <w:t>Unclear separation of recovery effects from efficacy effects</w:t>
            </w:r>
          </w:p>
          <w:p w14:paraId="15462F5A" w14:textId="77777777" w:rsidR="00C3138A" w:rsidRPr="00476AD9" w:rsidRDefault="00C3138A" w:rsidP="00914B03">
            <w:pPr>
              <w:autoSpaceDE w:val="0"/>
              <w:autoSpaceDN w:val="0"/>
              <w:adjustRightInd w:val="0"/>
              <w:ind w:left="0" w:right="34"/>
              <w:rPr>
                <w:sz w:val="18"/>
                <w:szCs w:val="18"/>
              </w:rPr>
            </w:pPr>
            <w:r w:rsidRPr="00476AD9">
              <w:rPr>
                <w:sz w:val="18"/>
                <w:szCs w:val="18"/>
              </w:rPr>
              <w:t>No sample size calculations</w:t>
            </w:r>
          </w:p>
        </w:tc>
        <w:tc>
          <w:tcPr>
            <w:tcW w:w="1843" w:type="dxa"/>
          </w:tcPr>
          <w:p w14:paraId="40935EE5"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and </w:t>
            </w:r>
            <w:proofErr w:type="spellStart"/>
            <w:r w:rsidR="00C3138A" w:rsidRPr="00476AD9">
              <w:rPr>
                <w:sz w:val="18"/>
                <w:szCs w:val="18"/>
              </w:rPr>
              <w:t>milrinone</w:t>
            </w:r>
            <w:proofErr w:type="spellEnd"/>
            <w:r w:rsidR="00C3138A" w:rsidRPr="00476AD9">
              <w:rPr>
                <w:sz w:val="18"/>
                <w:szCs w:val="18"/>
              </w:rPr>
              <w:t xml:space="preserve"> had similar and significant effects on </w:t>
            </w:r>
            <w:r w:rsidR="00BB39E5">
              <w:rPr>
                <w:sz w:val="18"/>
                <w:szCs w:val="18"/>
              </w:rPr>
              <w:t>pulmonary vascular resistance</w:t>
            </w:r>
            <w:r w:rsidR="00C3138A" w:rsidRPr="00476AD9">
              <w:rPr>
                <w:sz w:val="18"/>
                <w:szCs w:val="18"/>
              </w:rPr>
              <w:t>, relative to baseline</w:t>
            </w:r>
          </w:p>
        </w:tc>
        <w:tc>
          <w:tcPr>
            <w:tcW w:w="1843" w:type="dxa"/>
          </w:tcPr>
          <w:p w14:paraId="70AC50CE" w14:textId="77777777" w:rsidR="00C3138A" w:rsidRPr="00476AD9" w:rsidRDefault="00C3138A" w:rsidP="00914B03">
            <w:pPr>
              <w:autoSpaceDE w:val="0"/>
              <w:autoSpaceDN w:val="0"/>
              <w:adjustRightInd w:val="0"/>
              <w:ind w:left="0" w:right="34"/>
              <w:rPr>
                <w:sz w:val="18"/>
                <w:szCs w:val="18"/>
              </w:rPr>
            </w:pPr>
            <w:r w:rsidRPr="00476AD9">
              <w:rPr>
                <w:sz w:val="18"/>
                <w:szCs w:val="18"/>
              </w:rPr>
              <w:t>Negative</w:t>
            </w:r>
          </w:p>
        </w:tc>
      </w:tr>
      <w:tr w:rsidR="00C3138A" w:rsidRPr="00476AD9" w14:paraId="6996B2B9" w14:textId="77777777" w:rsidTr="00914B03">
        <w:tc>
          <w:tcPr>
            <w:tcW w:w="1526" w:type="dxa"/>
          </w:tcPr>
          <w:p w14:paraId="5717D68F" w14:textId="5D98F0CA" w:rsidR="00C3138A" w:rsidRPr="000D1F00" w:rsidRDefault="00C3138A" w:rsidP="00914B03">
            <w:pPr>
              <w:autoSpaceDE w:val="0"/>
              <w:autoSpaceDN w:val="0"/>
              <w:adjustRightInd w:val="0"/>
              <w:ind w:left="0" w:right="34"/>
              <w:rPr>
                <w:sz w:val="18"/>
                <w:szCs w:val="18"/>
              </w:rPr>
            </w:pPr>
            <w:proofErr w:type="spellStart"/>
            <w:r w:rsidRPr="00B21235">
              <w:rPr>
                <w:sz w:val="18"/>
                <w:szCs w:val="18"/>
              </w:rPr>
              <w:t>Solina</w:t>
            </w:r>
            <w:proofErr w:type="spellEnd"/>
            <w:r w:rsidRPr="00B21235">
              <w:rPr>
                <w:sz w:val="18"/>
                <w:szCs w:val="18"/>
              </w:rPr>
              <w:t xml:space="preserve"> 2001</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_Ref25844324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14</w:t>
            </w:r>
            <w:r w:rsidR="00222B2F" w:rsidRPr="00222B2F">
              <w:rPr>
                <w:sz w:val="18"/>
                <w:szCs w:val="18"/>
                <w:vertAlign w:val="superscript"/>
              </w:rPr>
              <w:fldChar w:fldCharType="end"/>
            </w:r>
          </w:p>
          <w:p w14:paraId="488F0005" w14:textId="77777777" w:rsidR="00C3138A" w:rsidRPr="00476AD9" w:rsidRDefault="00C3138A" w:rsidP="00914B03">
            <w:pPr>
              <w:autoSpaceDE w:val="0"/>
              <w:autoSpaceDN w:val="0"/>
              <w:adjustRightInd w:val="0"/>
              <w:ind w:left="0" w:right="34"/>
              <w:rPr>
                <w:b/>
                <w:sz w:val="18"/>
                <w:szCs w:val="18"/>
              </w:rPr>
            </w:pPr>
            <w:r w:rsidRPr="000D1F00">
              <w:rPr>
                <w:sz w:val="18"/>
                <w:szCs w:val="18"/>
              </w:rPr>
              <w:t xml:space="preserve">Cardiac surgery patients with </w:t>
            </w:r>
            <w:r w:rsidR="00D42948" w:rsidRPr="000D1F00">
              <w:rPr>
                <w:sz w:val="18"/>
                <w:szCs w:val="18"/>
              </w:rPr>
              <w:t xml:space="preserve">pulmonary </w:t>
            </w:r>
            <w:r w:rsidR="00D42948" w:rsidRPr="000D1F00">
              <w:rPr>
                <w:sz w:val="18"/>
                <w:szCs w:val="18"/>
              </w:rPr>
              <w:lastRenderedPageBreak/>
              <w:t>hypertension</w:t>
            </w:r>
          </w:p>
        </w:tc>
        <w:tc>
          <w:tcPr>
            <w:tcW w:w="1701" w:type="dxa"/>
          </w:tcPr>
          <w:p w14:paraId="31009204" w14:textId="77777777" w:rsidR="00C3138A" w:rsidRPr="00476AD9" w:rsidRDefault="00DC7D20" w:rsidP="00914B03">
            <w:pPr>
              <w:autoSpaceDE w:val="0"/>
              <w:autoSpaceDN w:val="0"/>
              <w:adjustRightInd w:val="0"/>
              <w:ind w:left="0" w:right="34"/>
              <w:rPr>
                <w:sz w:val="18"/>
                <w:szCs w:val="18"/>
              </w:rPr>
            </w:pPr>
            <w:r>
              <w:rPr>
                <w:sz w:val="18"/>
                <w:szCs w:val="18"/>
              </w:rPr>
              <w:lastRenderedPageBreak/>
              <w:t>inhaled nitric oxide</w:t>
            </w:r>
            <w:r w:rsidR="00C3138A" w:rsidRPr="00476AD9">
              <w:rPr>
                <w:sz w:val="18"/>
                <w:szCs w:val="18"/>
              </w:rPr>
              <w:t xml:space="preserve"> 10 ppm (n</w:t>
            </w:r>
            <w:r w:rsidR="00D42948">
              <w:rPr>
                <w:sz w:val="18"/>
                <w:szCs w:val="18"/>
              </w:rPr>
              <w:t xml:space="preserve"> = </w:t>
            </w:r>
            <w:r w:rsidR="00C3138A" w:rsidRPr="00476AD9">
              <w:rPr>
                <w:sz w:val="18"/>
                <w:szCs w:val="18"/>
              </w:rPr>
              <w:t>11)</w:t>
            </w:r>
          </w:p>
          <w:p w14:paraId="7DEE60E4" w14:textId="77777777" w:rsidR="00C3138A" w:rsidRPr="00476AD9" w:rsidRDefault="00DC7D20" w:rsidP="00914B03">
            <w:pPr>
              <w:autoSpaceDE w:val="0"/>
              <w:autoSpaceDN w:val="0"/>
              <w:adjustRightInd w:val="0"/>
              <w:ind w:left="0" w:right="34"/>
              <w:rPr>
                <w:sz w:val="18"/>
                <w:szCs w:val="18"/>
              </w:rPr>
            </w:pPr>
            <w:r>
              <w:rPr>
                <w:sz w:val="18"/>
                <w:szCs w:val="18"/>
              </w:rPr>
              <w:t xml:space="preserve">inhaled nitric </w:t>
            </w:r>
            <w:r>
              <w:rPr>
                <w:sz w:val="18"/>
                <w:szCs w:val="18"/>
              </w:rPr>
              <w:lastRenderedPageBreak/>
              <w:t>oxide</w:t>
            </w:r>
            <w:r w:rsidR="00C3138A" w:rsidRPr="00476AD9">
              <w:rPr>
                <w:sz w:val="18"/>
                <w:szCs w:val="18"/>
              </w:rPr>
              <w:t xml:space="preserve"> 20 ppm (n</w:t>
            </w:r>
            <w:r w:rsidR="00D42948">
              <w:rPr>
                <w:sz w:val="18"/>
                <w:szCs w:val="18"/>
              </w:rPr>
              <w:t xml:space="preserve"> = </w:t>
            </w:r>
            <w:r w:rsidR="00C3138A" w:rsidRPr="00476AD9">
              <w:rPr>
                <w:sz w:val="18"/>
                <w:szCs w:val="18"/>
              </w:rPr>
              <w:t>12)</w:t>
            </w:r>
          </w:p>
          <w:p w14:paraId="3D0808EF"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30 ppm (n</w:t>
            </w:r>
            <w:r w:rsidR="00D42948">
              <w:rPr>
                <w:sz w:val="18"/>
                <w:szCs w:val="18"/>
              </w:rPr>
              <w:t xml:space="preserve"> = </w:t>
            </w:r>
            <w:r w:rsidR="00C3138A" w:rsidRPr="00476AD9">
              <w:rPr>
                <w:sz w:val="18"/>
                <w:szCs w:val="18"/>
              </w:rPr>
              <w:t>12)</w:t>
            </w:r>
          </w:p>
          <w:p w14:paraId="784B8745"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40 ppm (n</w:t>
            </w:r>
            <w:r w:rsidR="00D42948">
              <w:rPr>
                <w:sz w:val="18"/>
                <w:szCs w:val="18"/>
              </w:rPr>
              <w:t xml:space="preserve"> = </w:t>
            </w:r>
            <w:r w:rsidR="00C3138A" w:rsidRPr="00476AD9">
              <w:rPr>
                <w:sz w:val="18"/>
                <w:szCs w:val="18"/>
              </w:rPr>
              <w:t>12)</w:t>
            </w:r>
          </w:p>
          <w:p w14:paraId="04916917" w14:textId="77777777" w:rsidR="00C3138A" w:rsidRPr="00476AD9" w:rsidRDefault="00C3138A" w:rsidP="00914B03">
            <w:pPr>
              <w:autoSpaceDE w:val="0"/>
              <w:autoSpaceDN w:val="0"/>
              <w:adjustRightInd w:val="0"/>
              <w:ind w:left="0" w:right="34"/>
              <w:rPr>
                <w:sz w:val="18"/>
                <w:szCs w:val="18"/>
              </w:rPr>
            </w:pPr>
            <w:proofErr w:type="spellStart"/>
            <w:r w:rsidRPr="00476AD9">
              <w:rPr>
                <w:sz w:val="18"/>
                <w:szCs w:val="18"/>
              </w:rPr>
              <w:t>milrinone</w:t>
            </w:r>
            <w:proofErr w:type="spellEnd"/>
            <w:r w:rsidRPr="00476AD9">
              <w:rPr>
                <w:sz w:val="18"/>
                <w:szCs w:val="18"/>
              </w:rPr>
              <w:t xml:space="preserve"> (n</w:t>
            </w:r>
            <w:r w:rsidR="00D42948">
              <w:rPr>
                <w:sz w:val="18"/>
                <w:szCs w:val="18"/>
              </w:rPr>
              <w:t xml:space="preserve"> = </w:t>
            </w:r>
            <w:r w:rsidRPr="00476AD9">
              <w:rPr>
                <w:sz w:val="18"/>
                <w:szCs w:val="18"/>
              </w:rPr>
              <w:t>15)</w:t>
            </w:r>
          </w:p>
        </w:tc>
        <w:tc>
          <w:tcPr>
            <w:tcW w:w="1984" w:type="dxa"/>
          </w:tcPr>
          <w:p w14:paraId="5979571E" w14:textId="77777777" w:rsidR="00C3138A" w:rsidRPr="00476AD9" w:rsidRDefault="00C3138A" w:rsidP="00914B03">
            <w:pPr>
              <w:autoSpaceDE w:val="0"/>
              <w:autoSpaceDN w:val="0"/>
              <w:adjustRightInd w:val="0"/>
              <w:ind w:left="0" w:right="34"/>
              <w:rPr>
                <w:sz w:val="18"/>
                <w:szCs w:val="18"/>
              </w:rPr>
            </w:pPr>
            <w:r w:rsidRPr="00476AD9">
              <w:rPr>
                <w:sz w:val="18"/>
                <w:szCs w:val="18"/>
              </w:rPr>
              <w:lastRenderedPageBreak/>
              <w:t>Open-label study</w:t>
            </w:r>
          </w:p>
          <w:p w14:paraId="1F1009D8" w14:textId="77777777" w:rsidR="00C3138A" w:rsidRPr="00476AD9" w:rsidRDefault="00C3138A" w:rsidP="00914B03">
            <w:pPr>
              <w:autoSpaceDE w:val="0"/>
              <w:autoSpaceDN w:val="0"/>
              <w:adjustRightInd w:val="0"/>
              <w:ind w:left="0" w:right="34"/>
              <w:rPr>
                <w:sz w:val="18"/>
                <w:szCs w:val="18"/>
              </w:rPr>
            </w:pPr>
            <w:r w:rsidRPr="00476AD9">
              <w:rPr>
                <w:sz w:val="18"/>
                <w:szCs w:val="18"/>
              </w:rPr>
              <w:t>No placebo group</w:t>
            </w:r>
          </w:p>
          <w:p w14:paraId="4556652E"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Active comparator not </w:t>
            </w:r>
            <w:r w:rsidRPr="00476AD9">
              <w:rPr>
                <w:sz w:val="18"/>
                <w:szCs w:val="18"/>
              </w:rPr>
              <w:lastRenderedPageBreak/>
              <w:t>a recognised therapy</w:t>
            </w:r>
          </w:p>
          <w:p w14:paraId="1E747B04" w14:textId="77777777" w:rsidR="00C3138A" w:rsidRPr="00476AD9" w:rsidRDefault="00C3138A" w:rsidP="00914B03">
            <w:pPr>
              <w:autoSpaceDE w:val="0"/>
              <w:autoSpaceDN w:val="0"/>
              <w:adjustRightInd w:val="0"/>
              <w:ind w:left="0" w:right="34"/>
              <w:rPr>
                <w:sz w:val="18"/>
                <w:szCs w:val="18"/>
              </w:rPr>
            </w:pPr>
            <w:r w:rsidRPr="00476AD9">
              <w:rPr>
                <w:sz w:val="18"/>
                <w:szCs w:val="18"/>
              </w:rPr>
              <w:t>Unclear separation of recovery effects from efficacy effects</w:t>
            </w:r>
          </w:p>
        </w:tc>
        <w:tc>
          <w:tcPr>
            <w:tcW w:w="1843" w:type="dxa"/>
          </w:tcPr>
          <w:p w14:paraId="75A0121B" w14:textId="77777777" w:rsidR="003B08F8" w:rsidRDefault="00C3138A" w:rsidP="00914B03">
            <w:pPr>
              <w:autoSpaceDE w:val="0"/>
              <w:autoSpaceDN w:val="0"/>
              <w:adjustRightInd w:val="0"/>
              <w:ind w:left="0" w:right="34"/>
              <w:rPr>
                <w:sz w:val="18"/>
                <w:szCs w:val="18"/>
              </w:rPr>
            </w:pPr>
            <w:r w:rsidRPr="00476AD9">
              <w:rPr>
                <w:sz w:val="18"/>
                <w:szCs w:val="18"/>
              </w:rPr>
              <w:lastRenderedPageBreak/>
              <w:t xml:space="preserve">Percentage decrease in </w:t>
            </w:r>
            <w:r w:rsidR="00BB39E5">
              <w:rPr>
                <w:sz w:val="18"/>
                <w:szCs w:val="18"/>
              </w:rPr>
              <w:t>pulmonary vascular resistance</w:t>
            </w:r>
            <w:r w:rsidR="00356864">
              <w:rPr>
                <w:sz w:val="18"/>
                <w:szCs w:val="18"/>
              </w:rPr>
              <w:t xml:space="preserve"> similar in all groups</w:t>
            </w:r>
          </w:p>
          <w:p w14:paraId="18E384DB" w14:textId="77777777" w:rsidR="003B08F8" w:rsidRDefault="00C3138A" w:rsidP="00914B03">
            <w:pPr>
              <w:autoSpaceDE w:val="0"/>
              <w:autoSpaceDN w:val="0"/>
              <w:adjustRightInd w:val="0"/>
              <w:ind w:left="0" w:right="34"/>
              <w:rPr>
                <w:sz w:val="18"/>
                <w:szCs w:val="18"/>
              </w:rPr>
            </w:pPr>
            <w:r w:rsidRPr="00476AD9">
              <w:rPr>
                <w:sz w:val="18"/>
                <w:szCs w:val="18"/>
              </w:rPr>
              <w:lastRenderedPageBreak/>
              <w:t>(10 ppm</w:t>
            </w:r>
            <w:r w:rsidR="00D42948">
              <w:rPr>
                <w:sz w:val="18"/>
                <w:szCs w:val="18"/>
              </w:rPr>
              <w:t xml:space="preserve"> = </w:t>
            </w:r>
            <w:r w:rsidRPr="00476AD9">
              <w:rPr>
                <w:sz w:val="18"/>
                <w:szCs w:val="18"/>
              </w:rPr>
              <w:t>38%,</w:t>
            </w:r>
          </w:p>
          <w:p w14:paraId="6B6C8086" w14:textId="77777777" w:rsidR="003B08F8" w:rsidRDefault="00C3138A" w:rsidP="00914B03">
            <w:pPr>
              <w:autoSpaceDE w:val="0"/>
              <w:autoSpaceDN w:val="0"/>
              <w:adjustRightInd w:val="0"/>
              <w:ind w:left="0" w:right="34"/>
              <w:rPr>
                <w:sz w:val="18"/>
                <w:szCs w:val="18"/>
              </w:rPr>
            </w:pPr>
            <w:r w:rsidRPr="00476AD9">
              <w:rPr>
                <w:sz w:val="18"/>
                <w:szCs w:val="18"/>
              </w:rPr>
              <w:t>20 ppm</w:t>
            </w:r>
            <w:r w:rsidR="00D42948">
              <w:rPr>
                <w:sz w:val="18"/>
                <w:szCs w:val="18"/>
              </w:rPr>
              <w:t xml:space="preserve"> = </w:t>
            </w:r>
            <w:r w:rsidRPr="00476AD9">
              <w:rPr>
                <w:sz w:val="18"/>
                <w:szCs w:val="18"/>
              </w:rPr>
              <w:t>50%,</w:t>
            </w:r>
          </w:p>
          <w:p w14:paraId="3C8B9302" w14:textId="77777777" w:rsidR="003B08F8" w:rsidRDefault="00C3138A" w:rsidP="00914B03">
            <w:pPr>
              <w:autoSpaceDE w:val="0"/>
              <w:autoSpaceDN w:val="0"/>
              <w:adjustRightInd w:val="0"/>
              <w:ind w:left="0" w:right="34"/>
              <w:rPr>
                <w:sz w:val="18"/>
                <w:szCs w:val="18"/>
              </w:rPr>
            </w:pPr>
            <w:r w:rsidRPr="00476AD9">
              <w:rPr>
                <w:sz w:val="18"/>
                <w:szCs w:val="18"/>
              </w:rPr>
              <w:t>30 ppm</w:t>
            </w:r>
            <w:r w:rsidR="00D42948">
              <w:rPr>
                <w:sz w:val="18"/>
                <w:szCs w:val="18"/>
              </w:rPr>
              <w:t xml:space="preserve"> = </w:t>
            </w:r>
            <w:r w:rsidRPr="00476AD9">
              <w:rPr>
                <w:sz w:val="18"/>
                <w:szCs w:val="18"/>
              </w:rPr>
              <w:t>44%,</w:t>
            </w:r>
          </w:p>
          <w:p w14:paraId="51939728" w14:textId="77777777" w:rsidR="00C3138A" w:rsidRPr="00476AD9" w:rsidRDefault="00C3138A" w:rsidP="00914B03">
            <w:pPr>
              <w:autoSpaceDE w:val="0"/>
              <w:autoSpaceDN w:val="0"/>
              <w:adjustRightInd w:val="0"/>
              <w:ind w:left="0" w:right="34"/>
              <w:rPr>
                <w:sz w:val="18"/>
                <w:szCs w:val="18"/>
              </w:rPr>
            </w:pPr>
            <w:r w:rsidRPr="00476AD9">
              <w:rPr>
                <w:sz w:val="18"/>
                <w:szCs w:val="18"/>
              </w:rPr>
              <w:t>40 ppm</w:t>
            </w:r>
            <w:r w:rsidR="00D42948">
              <w:rPr>
                <w:sz w:val="18"/>
                <w:szCs w:val="18"/>
              </w:rPr>
              <w:t xml:space="preserve"> = </w:t>
            </w:r>
            <w:r w:rsidRPr="00476AD9">
              <w:rPr>
                <w:sz w:val="18"/>
                <w:szCs w:val="18"/>
              </w:rPr>
              <w:t xml:space="preserve">36%, </w:t>
            </w:r>
            <w:proofErr w:type="spellStart"/>
            <w:r w:rsidRPr="00476AD9">
              <w:rPr>
                <w:sz w:val="18"/>
                <w:szCs w:val="18"/>
              </w:rPr>
              <w:t>milrinone</w:t>
            </w:r>
            <w:proofErr w:type="spellEnd"/>
            <w:r w:rsidR="00D42948">
              <w:rPr>
                <w:sz w:val="18"/>
                <w:szCs w:val="18"/>
              </w:rPr>
              <w:t xml:space="preserve"> = </w:t>
            </w:r>
            <w:r w:rsidRPr="00476AD9">
              <w:rPr>
                <w:sz w:val="18"/>
                <w:szCs w:val="18"/>
              </w:rPr>
              <w:t>58%, p</w:t>
            </w:r>
            <w:r w:rsidR="003D4003">
              <w:rPr>
                <w:sz w:val="18"/>
                <w:szCs w:val="18"/>
              </w:rPr>
              <w:t> </w:t>
            </w:r>
            <w:r w:rsidR="00D42948">
              <w:rPr>
                <w:sz w:val="18"/>
                <w:szCs w:val="18"/>
              </w:rPr>
              <w:t xml:space="preserve">= </w:t>
            </w:r>
            <w:r w:rsidRPr="00476AD9">
              <w:rPr>
                <w:sz w:val="18"/>
                <w:szCs w:val="18"/>
              </w:rPr>
              <w:t>0.86)</w:t>
            </w:r>
          </w:p>
        </w:tc>
        <w:tc>
          <w:tcPr>
            <w:tcW w:w="1843" w:type="dxa"/>
          </w:tcPr>
          <w:p w14:paraId="261AB4CC" w14:textId="77777777" w:rsidR="00C3138A" w:rsidRPr="00476AD9" w:rsidRDefault="00C3138A" w:rsidP="00914B03">
            <w:pPr>
              <w:autoSpaceDE w:val="0"/>
              <w:autoSpaceDN w:val="0"/>
              <w:adjustRightInd w:val="0"/>
              <w:ind w:left="0" w:right="34"/>
              <w:rPr>
                <w:sz w:val="18"/>
                <w:szCs w:val="18"/>
              </w:rPr>
            </w:pPr>
            <w:r w:rsidRPr="00476AD9">
              <w:rPr>
                <w:sz w:val="18"/>
                <w:szCs w:val="18"/>
              </w:rPr>
              <w:lastRenderedPageBreak/>
              <w:t>Negative</w:t>
            </w:r>
          </w:p>
        </w:tc>
      </w:tr>
      <w:tr w:rsidR="00C3138A" w:rsidRPr="00476AD9" w14:paraId="075572BE" w14:textId="77777777" w:rsidTr="00914B03">
        <w:tc>
          <w:tcPr>
            <w:tcW w:w="1526" w:type="dxa"/>
          </w:tcPr>
          <w:p w14:paraId="55536163" w14:textId="132C6D5D" w:rsidR="00C3138A" w:rsidRPr="00B21235" w:rsidRDefault="00C3138A" w:rsidP="00914B03">
            <w:pPr>
              <w:autoSpaceDE w:val="0"/>
              <w:autoSpaceDN w:val="0"/>
              <w:adjustRightInd w:val="0"/>
              <w:ind w:left="0" w:right="34"/>
              <w:rPr>
                <w:b/>
                <w:sz w:val="18"/>
                <w:szCs w:val="18"/>
              </w:rPr>
            </w:pPr>
            <w:proofErr w:type="spellStart"/>
            <w:r w:rsidRPr="00B21235">
              <w:rPr>
                <w:b/>
                <w:sz w:val="18"/>
                <w:szCs w:val="18"/>
              </w:rPr>
              <w:t>Schmid</w:t>
            </w:r>
            <w:proofErr w:type="spellEnd"/>
            <w:r w:rsidRPr="00B21235">
              <w:rPr>
                <w:b/>
                <w:sz w:val="18"/>
                <w:szCs w:val="18"/>
              </w:rPr>
              <w:t xml:space="preserve"> 1999</w:t>
            </w:r>
            <w:r w:rsidR="002F0A76" w:rsidRPr="00B21235">
              <w:rPr>
                <w:b/>
                <w:sz w:val="18"/>
                <w:szCs w:val="18"/>
              </w:rPr>
              <w:t>;</w:t>
            </w:r>
            <w:r w:rsidR="00222B2F" w:rsidRPr="00222B2F">
              <w:rPr>
                <w:b/>
                <w:sz w:val="18"/>
                <w:szCs w:val="18"/>
                <w:vertAlign w:val="superscript"/>
              </w:rPr>
              <w:fldChar w:fldCharType="begin"/>
            </w:r>
            <w:r w:rsidR="00222B2F" w:rsidRPr="00222B2F">
              <w:rPr>
                <w:b/>
                <w:sz w:val="18"/>
                <w:szCs w:val="18"/>
                <w:vertAlign w:val="superscript"/>
              </w:rPr>
              <w:instrText xml:space="preserve"> NOTEREF _Ref20404887 \h  \* MERGEFORMAT </w:instrText>
            </w:r>
            <w:r w:rsidR="00222B2F" w:rsidRPr="00222B2F">
              <w:rPr>
                <w:b/>
                <w:sz w:val="18"/>
                <w:szCs w:val="18"/>
                <w:vertAlign w:val="superscript"/>
              </w:rPr>
            </w:r>
            <w:r w:rsidR="00222B2F" w:rsidRPr="00222B2F">
              <w:rPr>
                <w:b/>
                <w:sz w:val="18"/>
                <w:szCs w:val="18"/>
                <w:vertAlign w:val="superscript"/>
              </w:rPr>
              <w:fldChar w:fldCharType="separate"/>
            </w:r>
            <w:r w:rsidR="00222B2F" w:rsidRPr="00222B2F">
              <w:rPr>
                <w:b/>
                <w:sz w:val="18"/>
                <w:szCs w:val="18"/>
                <w:vertAlign w:val="superscript"/>
              </w:rPr>
              <w:t>11</w:t>
            </w:r>
            <w:r w:rsidR="00222B2F" w:rsidRPr="00222B2F">
              <w:rPr>
                <w:b/>
                <w:sz w:val="18"/>
                <w:szCs w:val="18"/>
                <w:vertAlign w:val="superscript"/>
              </w:rPr>
              <w:fldChar w:fldCharType="end"/>
            </w:r>
          </w:p>
          <w:p w14:paraId="7ACBE84E" w14:textId="77777777" w:rsidR="00C3138A" w:rsidRPr="00B21235" w:rsidRDefault="00C3138A" w:rsidP="00914B03">
            <w:pPr>
              <w:autoSpaceDE w:val="0"/>
              <w:autoSpaceDN w:val="0"/>
              <w:adjustRightInd w:val="0"/>
              <w:ind w:left="0" w:right="34"/>
              <w:rPr>
                <w:sz w:val="18"/>
                <w:szCs w:val="18"/>
              </w:rPr>
            </w:pPr>
            <w:r w:rsidRPr="00B21235">
              <w:rPr>
                <w:b/>
                <w:sz w:val="18"/>
                <w:szCs w:val="18"/>
              </w:rPr>
              <w:t xml:space="preserve">Cardiac surgery patients with severe </w:t>
            </w:r>
            <w:r w:rsidR="00D42948" w:rsidRPr="00B21235">
              <w:rPr>
                <w:b/>
                <w:sz w:val="18"/>
                <w:szCs w:val="18"/>
              </w:rPr>
              <w:t>pulmonary hypertension</w:t>
            </w:r>
          </w:p>
        </w:tc>
        <w:tc>
          <w:tcPr>
            <w:tcW w:w="1701" w:type="dxa"/>
          </w:tcPr>
          <w:p w14:paraId="7B9BF444"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40 ppm, IV PGE1 and IV </w:t>
            </w:r>
            <w:r w:rsidR="00D42948">
              <w:rPr>
                <w:sz w:val="18"/>
                <w:szCs w:val="18"/>
              </w:rPr>
              <w:t>glyceryl trinitrate</w:t>
            </w:r>
            <w:r w:rsidR="00C3138A" w:rsidRPr="00C3138A">
              <w:rPr>
                <w:sz w:val="18"/>
                <w:szCs w:val="18"/>
              </w:rPr>
              <w:t>, crossover (n</w:t>
            </w:r>
            <w:r w:rsidR="00D42948">
              <w:rPr>
                <w:sz w:val="18"/>
                <w:szCs w:val="18"/>
              </w:rPr>
              <w:t xml:space="preserve"> = </w:t>
            </w:r>
            <w:r w:rsidR="00C3138A" w:rsidRPr="00C3138A">
              <w:rPr>
                <w:sz w:val="18"/>
                <w:szCs w:val="18"/>
              </w:rPr>
              <w:t>14)</w:t>
            </w:r>
          </w:p>
        </w:tc>
        <w:tc>
          <w:tcPr>
            <w:tcW w:w="1984" w:type="dxa"/>
          </w:tcPr>
          <w:p w14:paraId="28F6BF54" w14:textId="77777777" w:rsidR="00C3138A" w:rsidRPr="00C3138A" w:rsidRDefault="00C3138A" w:rsidP="00914B03">
            <w:pPr>
              <w:autoSpaceDE w:val="0"/>
              <w:autoSpaceDN w:val="0"/>
              <w:adjustRightInd w:val="0"/>
              <w:ind w:left="0" w:right="34"/>
              <w:rPr>
                <w:sz w:val="18"/>
                <w:szCs w:val="18"/>
              </w:rPr>
            </w:pPr>
            <w:r w:rsidRPr="00C3138A">
              <w:rPr>
                <w:sz w:val="18"/>
                <w:szCs w:val="18"/>
              </w:rPr>
              <w:t>Open-label study</w:t>
            </w:r>
          </w:p>
          <w:p w14:paraId="1D16BF47" w14:textId="77777777" w:rsidR="00C3138A" w:rsidRPr="00C3138A" w:rsidRDefault="00C3138A" w:rsidP="00914B03">
            <w:pPr>
              <w:autoSpaceDE w:val="0"/>
              <w:autoSpaceDN w:val="0"/>
              <w:adjustRightInd w:val="0"/>
              <w:ind w:left="0" w:right="34"/>
              <w:rPr>
                <w:sz w:val="18"/>
                <w:szCs w:val="18"/>
              </w:rPr>
            </w:pPr>
            <w:r w:rsidRPr="00C3138A">
              <w:rPr>
                <w:sz w:val="18"/>
                <w:szCs w:val="18"/>
              </w:rPr>
              <w:t>No sample size calculations</w:t>
            </w:r>
          </w:p>
          <w:p w14:paraId="0CB4BE65" w14:textId="77777777" w:rsidR="00C3138A" w:rsidRPr="00C3138A" w:rsidRDefault="00C3138A" w:rsidP="00914B03">
            <w:pPr>
              <w:autoSpaceDE w:val="0"/>
              <w:autoSpaceDN w:val="0"/>
              <w:adjustRightInd w:val="0"/>
              <w:ind w:left="0" w:right="34"/>
              <w:rPr>
                <w:sz w:val="18"/>
                <w:szCs w:val="18"/>
              </w:rPr>
            </w:pPr>
            <w:r w:rsidRPr="00C3138A">
              <w:rPr>
                <w:sz w:val="18"/>
                <w:szCs w:val="18"/>
              </w:rPr>
              <w:t>Results emphasise comparison with baseline rather than between-group comparisons</w:t>
            </w:r>
          </w:p>
        </w:tc>
        <w:tc>
          <w:tcPr>
            <w:tcW w:w="1843" w:type="dxa"/>
          </w:tcPr>
          <w:p w14:paraId="0CF8D3A1"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lowered </w:t>
            </w:r>
            <w:r w:rsidR="00BB39E5">
              <w:rPr>
                <w:sz w:val="18"/>
                <w:szCs w:val="18"/>
              </w:rPr>
              <w:t>pulmonary vascular resistance</w:t>
            </w:r>
            <w:r w:rsidR="00C3138A" w:rsidRPr="00C3138A">
              <w:rPr>
                <w:sz w:val="18"/>
                <w:szCs w:val="18"/>
              </w:rPr>
              <w:t>, TPG, relative to baseline</w:t>
            </w:r>
          </w:p>
          <w:p w14:paraId="40DB7E09"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No significant </w:t>
            </w:r>
            <w:r w:rsidR="00BB39E5">
              <w:rPr>
                <w:sz w:val="18"/>
                <w:szCs w:val="18"/>
              </w:rPr>
              <w:t>pulmonary vascular resistance</w:t>
            </w:r>
            <w:r w:rsidRPr="00C3138A">
              <w:rPr>
                <w:sz w:val="18"/>
                <w:szCs w:val="18"/>
              </w:rPr>
              <w:t xml:space="preserve"> difference between groups</w:t>
            </w:r>
          </w:p>
          <w:p w14:paraId="3F7F021A"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showed significantly greater selectivity for pulmonary circulation (</w:t>
            </w:r>
            <w:r w:rsidR="00BB39E5">
              <w:rPr>
                <w:sz w:val="18"/>
                <w:szCs w:val="18"/>
              </w:rPr>
              <w:t>pulmonary vascular resistance</w:t>
            </w:r>
            <w:r w:rsidR="00C3138A" w:rsidRPr="00C3138A">
              <w:rPr>
                <w:sz w:val="18"/>
                <w:szCs w:val="18"/>
              </w:rPr>
              <w:t>/</w:t>
            </w:r>
            <w:r w:rsidR="00BB39E5">
              <w:rPr>
                <w:sz w:val="18"/>
                <w:szCs w:val="18"/>
              </w:rPr>
              <w:t>systemic vascular resistance</w:t>
            </w:r>
            <w:r w:rsidR="00C3138A" w:rsidRPr="00C3138A">
              <w:rPr>
                <w:sz w:val="18"/>
                <w:szCs w:val="18"/>
              </w:rPr>
              <w:t>)</w:t>
            </w:r>
          </w:p>
        </w:tc>
        <w:tc>
          <w:tcPr>
            <w:tcW w:w="1843" w:type="dxa"/>
          </w:tcPr>
          <w:p w14:paraId="06806954"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Reduction in </w:t>
            </w:r>
            <w:r w:rsidR="00BB39E5">
              <w:rPr>
                <w:sz w:val="18"/>
                <w:szCs w:val="18"/>
              </w:rPr>
              <w:t>pulmonary vascular resistance</w:t>
            </w:r>
            <w:r w:rsidRPr="00C3138A">
              <w:rPr>
                <w:sz w:val="18"/>
                <w:szCs w:val="18"/>
              </w:rPr>
              <w:t>/</w:t>
            </w:r>
            <w:r w:rsidR="00BB39E5">
              <w:rPr>
                <w:sz w:val="18"/>
                <w:szCs w:val="18"/>
              </w:rPr>
              <w:t>systemic vascular resistance</w:t>
            </w:r>
            <w:r w:rsidRPr="00C3138A">
              <w:rPr>
                <w:sz w:val="18"/>
                <w:szCs w:val="18"/>
              </w:rPr>
              <w:t xml:space="preserve"> more pronounced with </w:t>
            </w:r>
            <w:r w:rsidR="00DC7D20">
              <w:rPr>
                <w:sz w:val="18"/>
                <w:szCs w:val="18"/>
              </w:rPr>
              <w:t>inhaled nitric oxide</w:t>
            </w:r>
          </w:p>
        </w:tc>
      </w:tr>
      <w:tr w:rsidR="00C3138A" w:rsidRPr="00476AD9" w14:paraId="073C5276" w14:textId="77777777" w:rsidTr="00914B03">
        <w:tc>
          <w:tcPr>
            <w:tcW w:w="1526" w:type="dxa"/>
          </w:tcPr>
          <w:p w14:paraId="741F917A" w14:textId="276ECD1F" w:rsidR="00C3138A" w:rsidRPr="00245FA4" w:rsidRDefault="00C3138A" w:rsidP="00914B03">
            <w:pPr>
              <w:autoSpaceDE w:val="0"/>
              <w:autoSpaceDN w:val="0"/>
              <w:adjustRightInd w:val="0"/>
              <w:ind w:left="0" w:right="34"/>
              <w:rPr>
                <w:sz w:val="18"/>
                <w:szCs w:val="18"/>
              </w:rPr>
            </w:pPr>
            <w:proofErr w:type="spellStart"/>
            <w:r w:rsidRPr="00B21235">
              <w:rPr>
                <w:sz w:val="18"/>
                <w:szCs w:val="18"/>
              </w:rPr>
              <w:t>Winterhalter</w:t>
            </w:r>
            <w:proofErr w:type="spellEnd"/>
            <w:r w:rsidRPr="00B21235">
              <w:rPr>
                <w:sz w:val="18"/>
                <w:szCs w:val="18"/>
              </w:rPr>
              <w:t xml:space="preserve"> 2008</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_Ref25843903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12</w:t>
            </w:r>
            <w:r w:rsidR="00222B2F" w:rsidRPr="00222B2F">
              <w:rPr>
                <w:sz w:val="18"/>
                <w:szCs w:val="18"/>
                <w:vertAlign w:val="superscript"/>
              </w:rPr>
              <w:fldChar w:fldCharType="end"/>
            </w:r>
          </w:p>
          <w:p w14:paraId="7A1CE6D5" w14:textId="77777777" w:rsidR="00C3138A" w:rsidRPr="00476AD9" w:rsidRDefault="00C3138A" w:rsidP="00914B03">
            <w:pPr>
              <w:autoSpaceDE w:val="0"/>
              <w:autoSpaceDN w:val="0"/>
              <w:adjustRightInd w:val="0"/>
              <w:ind w:left="0" w:right="34"/>
              <w:rPr>
                <w:b/>
                <w:sz w:val="18"/>
                <w:szCs w:val="18"/>
              </w:rPr>
            </w:pPr>
            <w:r w:rsidRPr="00245FA4">
              <w:rPr>
                <w:sz w:val="18"/>
                <w:szCs w:val="18"/>
              </w:rPr>
              <w:t xml:space="preserve">Cardiac surgery patients with </w:t>
            </w:r>
            <w:r w:rsidR="00D42948" w:rsidRPr="00245FA4">
              <w:rPr>
                <w:sz w:val="18"/>
                <w:szCs w:val="18"/>
              </w:rPr>
              <w:t>pulmonary hypertension</w:t>
            </w:r>
          </w:p>
        </w:tc>
        <w:tc>
          <w:tcPr>
            <w:tcW w:w="1701" w:type="dxa"/>
          </w:tcPr>
          <w:p w14:paraId="41D080C6"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20 ppm (n</w:t>
            </w:r>
            <w:r w:rsidR="00D42948">
              <w:rPr>
                <w:sz w:val="18"/>
                <w:szCs w:val="18"/>
              </w:rPr>
              <w:t xml:space="preserve"> = </w:t>
            </w:r>
            <w:r w:rsidR="00C3138A" w:rsidRPr="00476AD9">
              <w:rPr>
                <w:sz w:val="18"/>
                <w:szCs w:val="18"/>
              </w:rPr>
              <w:t>23)</w:t>
            </w:r>
          </w:p>
          <w:p w14:paraId="76E90E75" w14:textId="77777777" w:rsidR="003B08F8" w:rsidRDefault="00C3138A" w:rsidP="00914B03">
            <w:pPr>
              <w:autoSpaceDE w:val="0"/>
              <w:autoSpaceDN w:val="0"/>
              <w:adjustRightInd w:val="0"/>
              <w:ind w:left="0" w:right="34"/>
              <w:rPr>
                <w:sz w:val="18"/>
                <w:szCs w:val="18"/>
              </w:rPr>
            </w:pPr>
            <w:r w:rsidRPr="00476AD9">
              <w:rPr>
                <w:sz w:val="18"/>
                <w:szCs w:val="18"/>
              </w:rPr>
              <w:t xml:space="preserve">inhaled </w:t>
            </w:r>
            <w:proofErr w:type="spellStart"/>
            <w:r w:rsidRPr="00476AD9">
              <w:rPr>
                <w:sz w:val="18"/>
                <w:szCs w:val="18"/>
              </w:rPr>
              <w:t>iloprost</w:t>
            </w:r>
            <w:proofErr w:type="spellEnd"/>
          </w:p>
          <w:p w14:paraId="65DC993C"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23)</w:t>
            </w:r>
          </w:p>
        </w:tc>
        <w:tc>
          <w:tcPr>
            <w:tcW w:w="1984" w:type="dxa"/>
          </w:tcPr>
          <w:p w14:paraId="5AEF8104" w14:textId="77777777" w:rsidR="00C3138A" w:rsidRPr="00476AD9" w:rsidRDefault="00C3138A" w:rsidP="00914B03">
            <w:pPr>
              <w:autoSpaceDE w:val="0"/>
              <w:autoSpaceDN w:val="0"/>
              <w:adjustRightInd w:val="0"/>
              <w:ind w:left="0" w:right="34"/>
              <w:rPr>
                <w:sz w:val="18"/>
                <w:szCs w:val="18"/>
              </w:rPr>
            </w:pPr>
            <w:r w:rsidRPr="00476AD9">
              <w:rPr>
                <w:sz w:val="18"/>
                <w:szCs w:val="18"/>
              </w:rPr>
              <w:t>Open-label study</w:t>
            </w:r>
          </w:p>
          <w:p w14:paraId="313557B6" w14:textId="77777777" w:rsidR="00C3138A" w:rsidRPr="00476AD9" w:rsidRDefault="00C3138A" w:rsidP="00914B03">
            <w:pPr>
              <w:autoSpaceDE w:val="0"/>
              <w:autoSpaceDN w:val="0"/>
              <w:adjustRightInd w:val="0"/>
              <w:ind w:left="0" w:right="34"/>
              <w:rPr>
                <w:sz w:val="18"/>
                <w:szCs w:val="18"/>
              </w:rPr>
            </w:pPr>
            <w:r w:rsidRPr="00476AD9">
              <w:rPr>
                <w:sz w:val="18"/>
                <w:szCs w:val="18"/>
              </w:rPr>
              <w:t>No correction for multiplicity of secondary en</w:t>
            </w:r>
            <w:r w:rsidR="00356864">
              <w:rPr>
                <w:sz w:val="18"/>
                <w:szCs w:val="18"/>
              </w:rPr>
              <w:t>dpoints, but primary endpoint (</w:t>
            </w:r>
            <w:r w:rsidR="00BB39E5">
              <w:rPr>
                <w:sz w:val="18"/>
                <w:szCs w:val="18"/>
              </w:rPr>
              <w:t>pulmonary arterial pressure</w:t>
            </w:r>
            <w:r w:rsidRPr="00476AD9">
              <w:rPr>
                <w:sz w:val="18"/>
                <w:szCs w:val="18"/>
              </w:rPr>
              <w:t>) clearly identified</w:t>
            </w:r>
          </w:p>
        </w:tc>
        <w:tc>
          <w:tcPr>
            <w:tcW w:w="1843" w:type="dxa"/>
          </w:tcPr>
          <w:p w14:paraId="6672B21D"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Both drugs improved </w:t>
            </w:r>
            <w:proofErr w:type="spellStart"/>
            <w:r w:rsidRPr="00476AD9">
              <w:rPr>
                <w:sz w:val="18"/>
                <w:szCs w:val="18"/>
              </w:rPr>
              <w:t>haemodynamics</w:t>
            </w:r>
            <w:proofErr w:type="spellEnd"/>
            <w:r w:rsidRPr="00476AD9">
              <w:rPr>
                <w:sz w:val="18"/>
                <w:szCs w:val="18"/>
              </w:rPr>
              <w:t xml:space="preserve"> and lowered </w:t>
            </w:r>
            <w:r w:rsidR="000E74EA">
              <w:rPr>
                <w:sz w:val="18"/>
                <w:szCs w:val="18"/>
              </w:rPr>
              <w:t>mean pulmonary</w:t>
            </w:r>
            <w:r w:rsidR="00BB39E5">
              <w:rPr>
                <w:sz w:val="18"/>
                <w:szCs w:val="18"/>
              </w:rPr>
              <w:t xml:space="preserve"> arterial pressure</w:t>
            </w:r>
            <w:r w:rsidRPr="00476AD9">
              <w:rPr>
                <w:sz w:val="18"/>
                <w:szCs w:val="18"/>
              </w:rPr>
              <w:t xml:space="preserve"> and </w:t>
            </w:r>
            <w:r w:rsidR="00BB39E5">
              <w:rPr>
                <w:sz w:val="18"/>
                <w:szCs w:val="18"/>
              </w:rPr>
              <w:t>pulmonary vascular resistance</w:t>
            </w:r>
            <w:r w:rsidRPr="00476AD9">
              <w:rPr>
                <w:sz w:val="18"/>
                <w:szCs w:val="18"/>
              </w:rPr>
              <w:t>, relative to baseline</w:t>
            </w:r>
          </w:p>
        </w:tc>
        <w:tc>
          <w:tcPr>
            <w:tcW w:w="1843" w:type="dxa"/>
          </w:tcPr>
          <w:p w14:paraId="5927E9EF"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Negative for </w:t>
            </w:r>
            <w:r w:rsidR="00DC7D20">
              <w:rPr>
                <w:sz w:val="18"/>
                <w:szCs w:val="18"/>
              </w:rPr>
              <w:t>inhaled nitric oxide</w:t>
            </w:r>
            <w:r w:rsidRPr="00476AD9">
              <w:rPr>
                <w:sz w:val="18"/>
                <w:szCs w:val="18"/>
              </w:rPr>
              <w:t>.</w:t>
            </w:r>
          </w:p>
          <w:p w14:paraId="6B466923" w14:textId="77777777" w:rsidR="00C3138A" w:rsidRPr="00476AD9" w:rsidRDefault="00C3138A" w:rsidP="00914B03">
            <w:pPr>
              <w:autoSpaceDE w:val="0"/>
              <w:autoSpaceDN w:val="0"/>
              <w:adjustRightInd w:val="0"/>
              <w:ind w:left="0" w:right="34"/>
              <w:rPr>
                <w:sz w:val="18"/>
                <w:szCs w:val="18"/>
              </w:rPr>
            </w:pPr>
            <w:proofErr w:type="spellStart"/>
            <w:r w:rsidRPr="00476AD9">
              <w:rPr>
                <w:sz w:val="18"/>
                <w:szCs w:val="18"/>
              </w:rPr>
              <w:t>Iloprost</w:t>
            </w:r>
            <w:proofErr w:type="spellEnd"/>
            <w:r w:rsidRPr="00476AD9">
              <w:rPr>
                <w:sz w:val="18"/>
                <w:szCs w:val="18"/>
              </w:rPr>
              <w:t xml:space="preserve"> produced greater reductions in </w:t>
            </w:r>
            <w:r w:rsidR="00BB39E5">
              <w:rPr>
                <w:sz w:val="18"/>
                <w:szCs w:val="18"/>
              </w:rPr>
              <w:t>pulmonary vascular resistance</w:t>
            </w:r>
            <w:r w:rsidR="00356864">
              <w:rPr>
                <w:sz w:val="18"/>
                <w:szCs w:val="18"/>
              </w:rPr>
              <w:t xml:space="preserve"> and </w:t>
            </w:r>
            <w:r w:rsidR="00BB39E5">
              <w:rPr>
                <w:sz w:val="18"/>
                <w:szCs w:val="18"/>
              </w:rPr>
              <w:t>pulmonary arterial pressure</w:t>
            </w:r>
            <w:r w:rsidR="00914B03">
              <w:rPr>
                <w:sz w:val="18"/>
                <w:szCs w:val="18"/>
              </w:rPr>
              <w:t>, and greater increases in cardiac index</w:t>
            </w:r>
            <w:r w:rsidRPr="00476AD9">
              <w:rPr>
                <w:sz w:val="18"/>
                <w:szCs w:val="18"/>
              </w:rPr>
              <w:t>.</w:t>
            </w:r>
          </w:p>
        </w:tc>
      </w:tr>
      <w:tr w:rsidR="00C3138A" w:rsidRPr="00476AD9" w14:paraId="2BAD8DEE" w14:textId="77777777" w:rsidTr="00914B03">
        <w:tc>
          <w:tcPr>
            <w:tcW w:w="1526" w:type="dxa"/>
          </w:tcPr>
          <w:p w14:paraId="30343E54" w14:textId="64450C9D" w:rsidR="00C3138A" w:rsidRPr="00245FA4" w:rsidRDefault="00C3138A" w:rsidP="00914B03">
            <w:pPr>
              <w:autoSpaceDE w:val="0"/>
              <w:autoSpaceDN w:val="0"/>
              <w:adjustRightInd w:val="0"/>
              <w:ind w:left="0" w:right="34"/>
              <w:rPr>
                <w:sz w:val="18"/>
                <w:szCs w:val="18"/>
              </w:rPr>
            </w:pPr>
            <w:proofErr w:type="spellStart"/>
            <w:r w:rsidRPr="00245FA4">
              <w:rPr>
                <w:b/>
                <w:sz w:val="18"/>
                <w:szCs w:val="18"/>
              </w:rPr>
              <w:t>Ardehali</w:t>
            </w:r>
            <w:proofErr w:type="spellEnd"/>
            <w:r w:rsidRPr="00245FA4">
              <w:rPr>
                <w:b/>
                <w:sz w:val="18"/>
                <w:szCs w:val="18"/>
              </w:rPr>
              <w:t xml:space="preserve"> 2001</w:t>
            </w:r>
            <w:r w:rsidR="002F0A76" w:rsidRPr="00245FA4">
              <w:rPr>
                <w:b/>
                <w:sz w:val="18"/>
                <w:szCs w:val="18"/>
              </w:rPr>
              <w:t>;</w:t>
            </w:r>
            <w:r w:rsidR="00222B2F" w:rsidRPr="00222B2F">
              <w:rPr>
                <w:b/>
                <w:sz w:val="18"/>
                <w:szCs w:val="18"/>
                <w:vertAlign w:val="superscript"/>
              </w:rPr>
              <w:fldChar w:fldCharType="begin"/>
            </w:r>
            <w:r w:rsidR="00222B2F" w:rsidRPr="00222B2F">
              <w:rPr>
                <w:b/>
                <w:sz w:val="18"/>
                <w:szCs w:val="18"/>
                <w:vertAlign w:val="superscript"/>
              </w:rPr>
              <w:instrText xml:space="preserve"> NOTEREF _Ref25845111 \h  \* MERGEFORMAT </w:instrText>
            </w:r>
            <w:r w:rsidR="00222B2F" w:rsidRPr="00222B2F">
              <w:rPr>
                <w:b/>
                <w:sz w:val="18"/>
                <w:szCs w:val="18"/>
                <w:vertAlign w:val="superscript"/>
              </w:rPr>
            </w:r>
            <w:r w:rsidR="00222B2F" w:rsidRPr="00222B2F">
              <w:rPr>
                <w:b/>
                <w:sz w:val="18"/>
                <w:szCs w:val="18"/>
                <w:vertAlign w:val="superscript"/>
              </w:rPr>
              <w:fldChar w:fldCharType="separate"/>
            </w:r>
            <w:r w:rsidR="00222B2F" w:rsidRPr="00222B2F">
              <w:rPr>
                <w:b/>
                <w:sz w:val="18"/>
                <w:szCs w:val="18"/>
                <w:vertAlign w:val="superscript"/>
              </w:rPr>
              <w:t>15</w:t>
            </w:r>
            <w:r w:rsidR="00222B2F" w:rsidRPr="00222B2F">
              <w:rPr>
                <w:b/>
                <w:sz w:val="18"/>
                <w:szCs w:val="18"/>
                <w:vertAlign w:val="superscript"/>
              </w:rPr>
              <w:fldChar w:fldCharType="end"/>
            </w:r>
          </w:p>
          <w:p w14:paraId="5F47DE9A" w14:textId="77777777" w:rsidR="00C3138A" w:rsidRPr="00245FA4" w:rsidRDefault="00C3138A" w:rsidP="00914B03">
            <w:pPr>
              <w:autoSpaceDE w:val="0"/>
              <w:autoSpaceDN w:val="0"/>
              <w:adjustRightInd w:val="0"/>
              <w:ind w:left="0" w:right="34"/>
              <w:rPr>
                <w:b/>
                <w:sz w:val="18"/>
                <w:szCs w:val="18"/>
              </w:rPr>
            </w:pPr>
            <w:r w:rsidRPr="00245FA4">
              <w:rPr>
                <w:b/>
                <w:sz w:val="18"/>
                <w:szCs w:val="18"/>
              </w:rPr>
              <w:t>Heart transplant patients with PH</w:t>
            </w:r>
          </w:p>
        </w:tc>
        <w:tc>
          <w:tcPr>
            <w:tcW w:w="1701" w:type="dxa"/>
          </w:tcPr>
          <w:p w14:paraId="63339BBA"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20 ppm (n</w:t>
            </w:r>
            <w:r w:rsidR="00D42948">
              <w:rPr>
                <w:sz w:val="18"/>
                <w:szCs w:val="18"/>
              </w:rPr>
              <w:t xml:space="preserve"> = </w:t>
            </w:r>
            <w:r w:rsidR="00C3138A" w:rsidRPr="00C3138A">
              <w:rPr>
                <w:sz w:val="18"/>
                <w:szCs w:val="18"/>
              </w:rPr>
              <w:t>16)</w:t>
            </w:r>
          </w:p>
          <w:p w14:paraId="4DEA09FB" w14:textId="77777777" w:rsidR="00C3138A" w:rsidRPr="00C3138A" w:rsidRDefault="00C3138A" w:rsidP="00914B03">
            <w:pPr>
              <w:autoSpaceDE w:val="0"/>
              <w:autoSpaceDN w:val="0"/>
              <w:adjustRightInd w:val="0"/>
              <w:ind w:left="0" w:right="34"/>
              <w:rPr>
                <w:sz w:val="18"/>
                <w:szCs w:val="18"/>
              </w:rPr>
            </w:pPr>
            <w:r w:rsidRPr="00C3138A">
              <w:rPr>
                <w:sz w:val="18"/>
                <w:szCs w:val="18"/>
              </w:rPr>
              <w:t>historical controls (n</w:t>
            </w:r>
            <w:r w:rsidR="00D42948">
              <w:rPr>
                <w:sz w:val="18"/>
                <w:szCs w:val="18"/>
              </w:rPr>
              <w:t xml:space="preserve"> = </w:t>
            </w:r>
            <w:r w:rsidRPr="00C3138A">
              <w:rPr>
                <w:sz w:val="18"/>
                <w:szCs w:val="18"/>
              </w:rPr>
              <w:t>16)</w:t>
            </w:r>
          </w:p>
        </w:tc>
        <w:tc>
          <w:tcPr>
            <w:tcW w:w="1984" w:type="dxa"/>
          </w:tcPr>
          <w:p w14:paraId="268DD31A" w14:textId="77777777" w:rsidR="00C3138A" w:rsidRPr="00C3138A" w:rsidRDefault="00C3138A" w:rsidP="00914B03">
            <w:pPr>
              <w:autoSpaceDE w:val="0"/>
              <w:autoSpaceDN w:val="0"/>
              <w:adjustRightInd w:val="0"/>
              <w:ind w:left="0" w:right="34"/>
              <w:rPr>
                <w:sz w:val="18"/>
                <w:szCs w:val="18"/>
              </w:rPr>
            </w:pPr>
            <w:r w:rsidRPr="00C3138A">
              <w:rPr>
                <w:sz w:val="18"/>
                <w:szCs w:val="18"/>
              </w:rPr>
              <w:t>No valid control group</w:t>
            </w:r>
          </w:p>
          <w:p w14:paraId="29E85C05" w14:textId="77777777" w:rsidR="00C3138A" w:rsidRPr="00C3138A" w:rsidRDefault="00C3138A" w:rsidP="00914B03">
            <w:pPr>
              <w:autoSpaceDE w:val="0"/>
              <w:autoSpaceDN w:val="0"/>
              <w:adjustRightInd w:val="0"/>
              <w:ind w:left="0" w:right="34"/>
              <w:rPr>
                <w:sz w:val="18"/>
                <w:szCs w:val="18"/>
              </w:rPr>
            </w:pPr>
            <w:r w:rsidRPr="00C3138A">
              <w:rPr>
                <w:sz w:val="18"/>
                <w:szCs w:val="18"/>
              </w:rPr>
              <w:t>No clear primary statistical hypothesis</w:t>
            </w:r>
          </w:p>
          <w:p w14:paraId="521F01E9" w14:textId="77777777" w:rsidR="00C3138A" w:rsidRPr="00C3138A" w:rsidRDefault="00C3138A" w:rsidP="00914B03">
            <w:pPr>
              <w:autoSpaceDE w:val="0"/>
              <w:autoSpaceDN w:val="0"/>
              <w:adjustRightInd w:val="0"/>
              <w:ind w:left="0" w:right="34"/>
              <w:rPr>
                <w:sz w:val="18"/>
                <w:szCs w:val="18"/>
              </w:rPr>
            </w:pPr>
            <w:r w:rsidRPr="00C3138A">
              <w:rPr>
                <w:sz w:val="18"/>
                <w:szCs w:val="18"/>
              </w:rPr>
              <w:t>No correction for multiplicity of endpoints</w:t>
            </w:r>
          </w:p>
          <w:p w14:paraId="0A99162C" w14:textId="77777777" w:rsidR="00C3138A" w:rsidRPr="00C3138A" w:rsidRDefault="00C3138A" w:rsidP="00914B03">
            <w:pPr>
              <w:autoSpaceDE w:val="0"/>
              <w:autoSpaceDN w:val="0"/>
              <w:adjustRightInd w:val="0"/>
              <w:ind w:left="0" w:right="34"/>
              <w:rPr>
                <w:sz w:val="18"/>
                <w:szCs w:val="18"/>
              </w:rPr>
            </w:pPr>
            <w:r w:rsidRPr="00C3138A">
              <w:rPr>
                <w:sz w:val="18"/>
                <w:szCs w:val="18"/>
              </w:rPr>
              <w:t>(Does not match indication)</w:t>
            </w:r>
          </w:p>
        </w:tc>
        <w:tc>
          <w:tcPr>
            <w:tcW w:w="1843" w:type="dxa"/>
          </w:tcPr>
          <w:p w14:paraId="2DF45740"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Lower incidence of RV dysfunction with </w:t>
            </w:r>
            <w:r w:rsidR="00DC7D20">
              <w:rPr>
                <w:sz w:val="18"/>
                <w:szCs w:val="18"/>
              </w:rPr>
              <w:t>inhaled nitric oxide</w:t>
            </w:r>
          </w:p>
          <w:p w14:paraId="11C3EDBF"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Lower </w:t>
            </w:r>
            <w:r w:rsidR="00BB39E5">
              <w:rPr>
                <w:sz w:val="18"/>
                <w:szCs w:val="18"/>
              </w:rPr>
              <w:t>pulmonary vascular resistance</w:t>
            </w:r>
            <w:r w:rsidRPr="00C3138A">
              <w:rPr>
                <w:sz w:val="18"/>
                <w:szCs w:val="18"/>
              </w:rPr>
              <w:t xml:space="preserve"> at 6 hours with </w:t>
            </w:r>
            <w:r w:rsidR="00DC7D20">
              <w:rPr>
                <w:sz w:val="18"/>
                <w:szCs w:val="18"/>
              </w:rPr>
              <w:t>inhaled nitric oxide</w:t>
            </w:r>
          </w:p>
        </w:tc>
        <w:tc>
          <w:tcPr>
            <w:tcW w:w="1843" w:type="dxa"/>
          </w:tcPr>
          <w:p w14:paraId="24847468"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Lower incidence of RV dysfunction with </w:t>
            </w:r>
            <w:r w:rsidR="00DC7D20">
              <w:rPr>
                <w:sz w:val="18"/>
                <w:szCs w:val="18"/>
              </w:rPr>
              <w:t>inhaled nitric oxide</w:t>
            </w:r>
          </w:p>
          <w:p w14:paraId="08728038"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Lower </w:t>
            </w:r>
            <w:r w:rsidR="00BB39E5">
              <w:rPr>
                <w:sz w:val="18"/>
                <w:szCs w:val="18"/>
              </w:rPr>
              <w:t>pulmonary vascular resistance</w:t>
            </w:r>
            <w:r w:rsidRPr="00C3138A">
              <w:rPr>
                <w:sz w:val="18"/>
                <w:szCs w:val="18"/>
              </w:rPr>
              <w:t xml:space="preserve"> at 6</w:t>
            </w:r>
            <w:r w:rsidR="00D42948">
              <w:rPr>
                <w:sz w:val="18"/>
                <w:szCs w:val="18"/>
              </w:rPr>
              <w:t> </w:t>
            </w:r>
            <w:r w:rsidRPr="00C3138A">
              <w:rPr>
                <w:sz w:val="18"/>
                <w:szCs w:val="18"/>
              </w:rPr>
              <w:t xml:space="preserve">hours with </w:t>
            </w:r>
            <w:r w:rsidR="00DC7D20">
              <w:rPr>
                <w:sz w:val="18"/>
                <w:szCs w:val="18"/>
              </w:rPr>
              <w:t>inhaled nitric oxide</w:t>
            </w:r>
          </w:p>
        </w:tc>
      </w:tr>
      <w:tr w:rsidR="00C3138A" w:rsidRPr="00476AD9" w14:paraId="38BF2431" w14:textId="77777777" w:rsidTr="00914B03">
        <w:tc>
          <w:tcPr>
            <w:tcW w:w="1526" w:type="dxa"/>
          </w:tcPr>
          <w:p w14:paraId="3C2AB608" w14:textId="77777777" w:rsidR="00C3138A" w:rsidRPr="00476AD9" w:rsidRDefault="00C3138A" w:rsidP="00914B03">
            <w:pPr>
              <w:autoSpaceDE w:val="0"/>
              <w:autoSpaceDN w:val="0"/>
              <w:adjustRightInd w:val="0"/>
              <w:ind w:left="0" w:right="34"/>
              <w:rPr>
                <w:b/>
                <w:sz w:val="18"/>
                <w:szCs w:val="18"/>
              </w:rPr>
            </w:pPr>
            <w:proofErr w:type="spellStart"/>
            <w:r w:rsidRPr="00476AD9">
              <w:rPr>
                <w:b/>
                <w:sz w:val="18"/>
                <w:szCs w:val="18"/>
              </w:rPr>
              <w:lastRenderedPageBreak/>
              <w:t>Kieler</w:t>
            </w:r>
            <w:proofErr w:type="spellEnd"/>
            <w:r w:rsidRPr="00476AD9">
              <w:rPr>
                <w:b/>
                <w:sz w:val="18"/>
                <w:szCs w:val="18"/>
              </w:rPr>
              <w:t>-Jensen 1994</w:t>
            </w:r>
            <w:r w:rsidR="002F0A76">
              <w:rPr>
                <w:b/>
                <w:sz w:val="18"/>
                <w:szCs w:val="18"/>
              </w:rPr>
              <w:t>;</w:t>
            </w:r>
            <w:r w:rsidR="003D3248" w:rsidRPr="003D3248">
              <w:rPr>
                <w:b/>
                <w:sz w:val="18"/>
                <w:szCs w:val="18"/>
                <w:vertAlign w:val="superscript"/>
              </w:rPr>
              <w:fldChar w:fldCharType="begin"/>
            </w:r>
            <w:r w:rsidR="003D3248" w:rsidRPr="003D3248">
              <w:rPr>
                <w:b/>
                <w:sz w:val="18"/>
                <w:szCs w:val="18"/>
                <w:vertAlign w:val="superscript"/>
              </w:rPr>
              <w:instrText xml:space="preserve"> NOTEREF _Ref10648701 \h </w:instrText>
            </w:r>
            <w:r w:rsidR="003D3248">
              <w:rPr>
                <w:b/>
                <w:sz w:val="18"/>
                <w:szCs w:val="18"/>
                <w:vertAlign w:val="superscript"/>
              </w:rPr>
              <w:instrText xml:space="preserve"> \* MERGEFORMAT </w:instrText>
            </w:r>
            <w:r w:rsidR="003D3248" w:rsidRPr="003D3248">
              <w:rPr>
                <w:b/>
                <w:sz w:val="18"/>
                <w:szCs w:val="18"/>
                <w:vertAlign w:val="superscript"/>
              </w:rPr>
            </w:r>
            <w:r w:rsidR="003D3248" w:rsidRPr="003D3248">
              <w:rPr>
                <w:b/>
                <w:sz w:val="18"/>
                <w:szCs w:val="18"/>
                <w:vertAlign w:val="superscript"/>
              </w:rPr>
              <w:fldChar w:fldCharType="separate"/>
            </w:r>
            <w:r w:rsidR="003D3248" w:rsidRPr="003D3248">
              <w:rPr>
                <w:b/>
                <w:sz w:val="18"/>
                <w:szCs w:val="18"/>
                <w:vertAlign w:val="superscript"/>
              </w:rPr>
              <w:t>1</w:t>
            </w:r>
            <w:r w:rsidR="003D3248" w:rsidRPr="003D3248">
              <w:rPr>
                <w:b/>
                <w:sz w:val="18"/>
                <w:szCs w:val="18"/>
                <w:vertAlign w:val="superscript"/>
              </w:rPr>
              <w:fldChar w:fldCharType="end"/>
            </w:r>
          </w:p>
          <w:p w14:paraId="4D963130" w14:textId="77777777" w:rsidR="00C3138A" w:rsidRPr="00476AD9" w:rsidRDefault="00C3138A" w:rsidP="00914B03">
            <w:pPr>
              <w:autoSpaceDE w:val="0"/>
              <w:autoSpaceDN w:val="0"/>
              <w:adjustRightInd w:val="0"/>
              <w:ind w:left="0" w:right="34"/>
              <w:rPr>
                <w:b/>
                <w:sz w:val="18"/>
                <w:szCs w:val="18"/>
              </w:rPr>
            </w:pPr>
            <w:r w:rsidRPr="00476AD9">
              <w:rPr>
                <w:b/>
                <w:sz w:val="18"/>
                <w:szCs w:val="18"/>
              </w:rPr>
              <w:t>Pre-op heart transplant candidates</w:t>
            </w:r>
          </w:p>
        </w:tc>
        <w:tc>
          <w:tcPr>
            <w:tcW w:w="1701" w:type="dxa"/>
          </w:tcPr>
          <w:p w14:paraId="15E9E7F0"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20, 40 and 80 ppm, nitroprusside, prostacyclin, crossover (n</w:t>
            </w:r>
            <w:r w:rsidR="00D42948">
              <w:rPr>
                <w:sz w:val="18"/>
                <w:szCs w:val="18"/>
              </w:rPr>
              <w:t xml:space="preserve"> = </w:t>
            </w:r>
            <w:r w:rsidR="00C3138A" w:rsidRPr="00C3138A">
              <w:rPr>
                <w:sz w:val="18"/>
                <w:szCs w:val="18"/>
              </w:rPr>
              <w:t>12)</w:t>
            </w:r>
          </w:p>
        </w:tc>
        <w:tc>
          <w:tcPr>
            <w:tcW w:w="1984" w:type="dxa"/>
          </w:tcPr>
          <w:p w14:paraId="4973B26F" w14:textId="77777777" w:rsidR="00C3138A" w:rsidRPr="00C3138A" w:rsidRDefault="00C3138A" w:rsidP="00914B03">
            <w:pPr>
              <w:autoSpaceDE w:val="0"/>
              <w:autoSpaceDN w:val="0"/>
              <w:adjustRightInd w:val="0"/>
              <w:ind w:left="0" w:right="34"/>
              <w:rPr>
                <w:sz w:val="18"/>
                <w:szCs w:val="18"/>
              </w:rPr>
            </w:pPr>
            <w:r w:rsidRPr="00C3138A">
              <w:rPr>
                <w:sz w:val="18"/>
                <w:szCs w:val="18"/>
              </w:rPr>
              <w:t>Open-label study</w:t>
            </w:r>
          </w:p>
          <w:p w14:paraId="76913AC4" w14:textId="77777777" w:rsidR="00C3138A" w:rsidRPr="00C3138A" w:rsidRDefault="00C3138A" w:rsidP="00914B03">
            <w:pPr>
              <w:autoSpaceDE w:val="0"/>
              <w:autoSpaceDN w:val="0"/>
              <w:adjustRightInd w:val="0"/>
              <w:ind w:left="0" w:right="34"/>
              <w:rPr>
                <w:sz w:val="18"/>
                <w:szCs w:val="18"/>
              </w:rPr>
            </w:pPr>
            <w:r w:rsidRPr="00C3138A">
              <w:rPr>
                <w:sz w:val="18"/>
                <w:szCs w:val="18"/>
              </w:rPr>
              <w:t>No primary endpoint</w:t>
            </w:r>
          </w:p>
          <w:p w14:paraId="3C88675E" w14:textId="77777777" w:rsidR="00C3138A" w:rsidRPr="00C3138A" w:rsidRDefault="00C3138A" w:rsidP="00914B03">
            <w:pPr>
              <w:autoSpaceDE w:val="0"/>
              <w:autoSpaceDN w:val="0"/>
              <w:adjustRightInd w:val="0"/>
              <w:ind w:left="0" w:right="34"/>
              <w:rPr>
                <w:sz w:val="18"/>
                <w:szCs w:val="18"/>
              </w:rPr>
            </w:pPr>
            <w:r w:rsidRPr="00C3138A">
              <w:rPr>
                <w:sz w:val="18"/>
                <w:szCs w:val="18"/>
              </w:rPr>
              <w:t>No correction for multiplicity of endpoints</w:t>
            </w:r>
          </w:p>
          <w:p w14:paraId="57F245DB" w14:textId="77777777" w:rsidR="00C3138A" w:rsidRPr="00C3138A" w:rsidRDefault="00C3138A" w:rsidP="00914B03">
            <w:pPr>
              <w:autoSpaceDE w:val="0"/>
              <w:autoSpaceDN w:val="0"/>
              <w:adjustRightInd w:val="0"/>
              <w:ind w:left="0" w:right="34"/>
              <w:rPr>
                <w:sz w:val="18"/>
                <w:szCs w:val="18"/>
              </w:rPr>
            </w:pPr>
            <w:r w:rsidRPr="00C3138A">
              <w:rPr>
                <w:sz w:val="18"/>
                <w:szCs w:val="18"/>
              </w:rPr>
              <w:t>(Does not match indication)</w:t>
            </w:r>
          </w:p>
        </w:tc>
        <w:tc>
          <w:tcPr>
            <w:tcW w:w="1843" w:type="dxa"/>
          </w:tcPr>
          <w:p w14:paraId="046ED20E" w14:textId="77777777" w:rsidR="00C3138A" w:rsidRPr="00C3138A" w:rsidRDefault="00BB39E5" w:rsidP="00914B03">
            <w:pPr>
              <w:autoSpaceDE w:val="0"/>
              <w:autoSpaceDN w:val="0"/>
              <w:adjustRightInd w:val="0"/>
              <w:ind w:left="0" w:right="34"/>
              <w:rPr>
                <w:sz w:val="18"/>
                <w:szCs w:val="18"/>
              </w:rPr>
            </w:pPr>
            <w:r>
              <w:rPr>
                <w:sz w:val="18"/>
                <w:szCs w:val="18"/>
              </w:rPr>
              <w:t>pulmonary vascular resistance</w:t>
            </w:r>
            <w:r w:rsidR="00C3138A" w:rsidRPr="00C3138A">
              <w:rPr>
                <w:sz w:val="18"/>
                <w:szCs w:val="18"/>
              </w:rPr>
              <w:t xml:space="preserve"> lowered with all treatments</w:t>
            </w:r>
          </w:p>
          <w:p w14:paraId="2A7D215A" w14:textId="77777777" w:rsidR="00C3138A" w:rsidRPr="00C3138A" w:rsidRDefault="00C3138A" w:rsidP="00914B03">
            <w:pPr>
              <w:autoSpaceDE w:val="0"/>
              <w:autoSpaceDN w:val="0"/>
              <w:adjustRightInd w:val="0"/>
              <w:ind w:left="0" w:right="34"/>
              <w:rPr>
                <w:sz w:val="18"/>
                <w:szCs w:val="18"/>
              </w:rPr>
            </w:pPr>
            <w:r w:rsidRPr="00C3138A">
              <w:rPr>
                <w:sz w:val="18"/>
                <w:szCs w:val="18"/>
              </w:rPr>
              <w:t>No dose effect across 20 ppm to 80</w:t>
            </w:r>
            <w:r w:rsidR="00D42948">
              <w:rPr>
                <w:sz w:val="18"/>
                <w:szCs w:val="18"/>
              </w:rPr>
              <w:t> </w:t>
            </w:r>
            <w:r w:rsidR="00356864">
              <w:rPr>
                <w:sz w:val="18"/>
                <w:szCs w:val="18"/>
              </w:rPr>
              <w:t>ppm</w:t>
            </w:r>
          </w:p>
        </w:tc>
        <w:tc>
          <w:tcPr>
            <w:tcW w:w="1843" w:type="dxa"/>
          </w:tcPr>
          <w:p w14:paraId="1D75515D" w14:textId="77777777" w:rsidR="00C3138A" w:rsidRPr="00C3138A" w:rsidRDefault="00C3138A" w:rsidP="00914B03">
            <w:pPr>
              <w:autoSpaceDE w:val="0"/>
              <w:autoSpaceDN w:val="0"/>
              <w:adjustRightInd w:val="0"/>
              <w:ind w:left="0" w:right="34"/>
              <w:rPr>
                <w:sz w:val="18"/>
                <w:szCs w:val="18"/>
              </w:rPr>
            </w:pPr>
            <w:r w:rsidRPr="00C3138A">
              <w:rPr>
                <w:sz w:val="18"/>
                <w:szCs w:val="18"/>
              </w:rPr>
              <w:t>Greater pulmonary selectivity (</w:t>
            </w:r>
            <w:r w:rsidR="00BB39E5">
              <w:rPr>
                <w:sz w:val="18"/>
                <w:szCs w:val="18"/>
              </w:rPr>
              <w:t>pulmonary vascular resistance</w:t>
            </w:r>
            <w:r w:rsidRPr="00C3138A">
              <w:rPr>
                <w:sz w:val="18"/>
                <w:szCs w:val="18"/>
              </w:rPr>
              <w:t>/</w:t>
            </w:r>
            <w:r w:rsidR="00BB39E5">
              <w:rPr>
                <w:sz w:val="18"/>
                <w:szCs w:val="18"/>
              </w:rPr>
              <w:t>systemic vascular resistance</w:t>
            </w:r>
            <w:r w:rsidRPr="00C3138A">
              <w:rPr>
                <w:sz w:val="18"/>
                <w:szCs w:val="18"/>
              </w:rPr>
              <w:t xml:space="preserve"> changes) with </w:t>
            </w:r>
            <w:r w:rsidR="00914B03">
              <w:rPr>
                <w:sz w:val="18"/>
                <w:szCs w:val="18"/>
              </w:rPr>
              <w:t>inhaled nitric oxide</w:t>
            </w:r>
            <w:r w:rsidRPr="00C3138A">
              <w:rPr>
                <w:sz w:val="18"/>
                <w:szCs w:val="18"/>
              </w:rPr>
              <w:t xml:space="preserve"> than</w:t>
            </w:r>
            <w:r w:rsidR="00D42948">
              <w:rPr>
                <w:sz w:val="18"/>
                <w:szCs w:val="18"/>
              </w:rPr>
              <w:t xml:space="preserve"> </w:t>
            </w:r>
            <w:r w:rsidRPr="00C3138A">
              <w:rPr>
                <w:sz w:val="18"/>
                <w:szCs w:val="18"/>
              </w:rPr>
              <w:t>intravenous agents</w:t>
            </w:r>
          </w:p>
        </w:tc>
      </w:tr>
      <w:tr w:rsidR="00C3138A" w:rsidRPr="00476AD9" w14:paraId="4D69B05C" w14:textId="77777777" w:rsidTr="00914B03">
        <w:tc>
          <w:tcPr>
            <w:tcW w:w="1526" w:type="dxa"/>
          </w:tcPr>
          <w:p w14:paraId="17DC499D" w14:textId="2E9DBD5A" w:rsidR="00C3138A" w:rsidRPr="00476AD9" w:rsidRDefault="00C3138A" w:rsidP="00914B03">
            <w:pPr>
              <w:autoSpaceDE w:val="0"/>
              <w:autoSpaceDN w:val="0"/>
              <w:adjustRightInd w:val="0"/>
              <w:ind w:left="0" w:right="34"/>
              <w:rPr>
                <w:b/>
                <w:sz w:val="18"/>
                <w:szCs w:val="18"/>
              </w:rPr>
            </w:pPr>
            <w:proofErr w:type="spellStart"/>
            <w:r w:rsidRPr="00476AD9">
              <w:rPr>
                <w:b/>
                <w:sz w:val="18"/>
                <w:szCs w:val="18"/>
              </w:rPr>
              <w:t>Radovancevic</w:t>
            </w:r>
            <w:proofErr w:type="spellEnd"/>
            <w:r w:rsidRPr="00476AD9">
              <w:rPr>
                <w:b/>
                <w:sz w:val="18"/>
                <w:szCs w:val="18"/>
              </w:rPr>
              <w:t xml:space="preserve"> 2005</w:t>
            </w:r>
            <w:r w:rsidR="002F0A76">
              <w:rPr>
                <w:b/>
                <w:sz w:val="18"/>
                <w:szCs w:val="18"/>
              </w:rPr>
              <w:t>;</w:t>
            </w:r>
            <w:r w:rsidR="00222B2F" w:rsidRPr="00222B2F">
              <w:rPr>
                <w:b/>
                <w:sz w:val="18"/>
                <w:szCs w:val="18"/>
                <w:vertAlign w:val="superscript"/>
              </w:rPr>
              <w:fldChar w:fldCharType="begin"/>
            </w:r>
            <w:r w:rsidR="00222B2F" w:rsidRPr="00222B2F">
              <w:rPr>
                <w:b/>
                <w:sz w:val="18"/>
                <w:szCs w:val="18"/>
                <w:vertAlign w:val="superscript"/>
              </w:rPr>
              <w:instrText xml:space="preserve"> NOTEREF _Ref25845157 \h  \* MERGEFORMAT </w:instrText>
            </w:r>
            <w:r w:rsidR="00222B2F" w:rsidRPr="00222B2F">
              <w:rPr>
                <w:b/>
                <w:sz w:val="18"/>
                <w:szCs w:val="18"/>
                <w:vertAlign w:val="superscript"/>
              </w:rPr>
            </w:r>
            <w:r w:rsidR="00222B2F" w:rsidRPr="00222B2F">
              <w:rPr>
                <w:b/>
                <w:sz w:val="18"/>
                <w:szCs w:val="18"/>
                <w:vertAlign w:val="superscript"/>
              </w:rPr>
              <w:fldChar w:fldCharType="separate"/>
            </w:r>
            <w:r w:rsidR="00222B2F" w:rsidRPr="00222B2F">
              <w:rPr>
                <w:b/>
                <w:sz w:val="18"/>
                <w:szCs w:val="18"/>
                <w:vertAlign w:val="superscript"/>
              </w:rPr>
              <w:t>17</w:t>
            </w:r>
            <w:r w:rsidR="00222B2F" w:rsidRPr="00222B2F">
              <w:rPr>
                <w:b/>
                <w:sz w:val="18"/>
                <w:szCs w:val="18"/>
                <w:vertAlign w:val="superscript"/>
              </w:rPr>
              <w:fldChar w:fldCharType="end"/>
            </w:r>
          </w:p>
          <w:p w14:paraId="7900CF64" w14:textId="77777777" w:rsidR="00C3138A" w:rsidRPr="00476AD9" w:rsidRDefault="00C3138A" w:rsidP="00914B03">
            <w:pPr>
              <w:autoSpaceDE w:val="0"/>
              <w:autoSpaceDN w:val="0"/>
              <w:adjustRightInd w:val="0"/>
              <w:ind w:left="0" w:right="34"/>
              <w:rPr>
                <w:b/>
                <w:sz w:val="18"/>
                <w:szCs w:val="18"/>
              </w:rPr>
            </w:pPr>
            <w:r w:rsidRPr="00476AD9">
              <w:rPr>
                <w:b/>
                <w:sz w:val="18"/>
                <w:szCs w:val="18"/>
              </w:rPr>
              <w:t>Pre-op heart transplant candidates</w:t>
            </w:r>
          </w:p>
        </w:tc>
        <w:tc>
          <w:tcPr>
            <w:tcW w:w="1701" w:type="dxa"/>
          </w:tcPr>
          <w:p w14:paraId="2F213AD9" w14:textId="77777777" w:rsidR="003B08F8"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40, 60 and 80 ppm, PGE1, crossover</w:t>
            </w:r>
          </w:p>
          <w:p w14:paraId="28DB52B4" w14:textId="77777777" w:rsidR="00C3138A" w:rsidRPr="00C3138A" w:rsidRDefault="00C3138A" w:rsidP="00914B03">
            <w:pPr>
              <w:autoSpaceDE w:val="0"/>
              <w:autoSpaceDN w:val="0"/>
              <w:adjustRightInd w:val="0"/>
              <w:ind w:left="0" w:right="34"/>
              <w:rPr>
                <w:sz w:val="18"/>
                <w:szCs w:val="18"/>
              </w:rPr>
            </w:pPr>
            <w:r w:rsidRPr="00C3138A">
              <w:rPr>
                <w:sz w:val="18"/>
                <w:szCs w:val="18"/>
              </w:rPr>
              <w:t>(n</w:t>
            </w:r>
            <w:r w:rsidR="00D42948">
              <w:rPr>
                <w:sz w:val="18"/>
                <w:szCs w:val="18"/>
              </w:rPr>
              <w:t xml:space="preserve"> = </w:t>
            </w:r>
            <w:r w:rsidRPr="00C3138A">
              <w:rPr>
                <w:sz w:val="18"/>
                <w:szCs w:val="18"/>
              </w:rPr>
              <w:t>19)</w:t>
            </w:r>
          </w:p>
        </w:tc>
        <w:tc>
          <w:tcPr>
            <w:tcW w:w="1984" w:type="dxa"/>
          </w:tcPr>
          <w:p w14:paraId="01007BE4" w14:textId="77777777" w:rsidR="00C3138A" w:rsidRPr="00C3138A" w:rsidRDefault="00C3138A" w:rsidP="00914B03">
            <w:pPr>
              <w:autoSpaceDE w:val="0"/>
              <w:autoSpaceDN w:val="0"/>
              <w:adjustRightInd w:val="0"/>
              <w:ind w:left="0" w:right="34"/>
              <w:rPr>
                <w:sz w:val="18"/>
                <w:szCs w:val="18"/>
              </w:rPr>
            </w:pPr>
            <w:r w:rsidRPr="00C3138A">
              <w:rPr>
                <w:sz w:val="18"/>
                <w:szCs w:val="18"/>
              </w:rPr>
              <w:t>Open-label study</w:t>
            </w:r>
          </w:p>
          <w:p w14:paraId="0A9D8BA9" w14:textId="77777777" w:rsidR="00C3138A" w:rsidRPr="00C3138A" w:rsidRDefault="00C3138A" w:rsidP="00914B03">
            <w:pPr>
              <w:autoSpaceDE w:val="0"/>
              <w:autoSpaceDN w:val="0"/>
              <w:adjustRightInd w:val="0"/>
              <w:ind w:left="0" w:right="34"/>
              <w:rPr>
                <w:sz w:val="18"/>
                <w:szCs w:val="18"/>
              </w:rPr>
            </w:pPr>
            <w:r w:rsidRPr="00C3138A">
              <w:rPr>
                <w:sz w:val="18"/>
                <w:szCs w:val="18"/>
              </w:rPr>
              <w:t>No primary endpoint</w:t>
            </w:r>
          </w:p>
          <w:p w14:paraId="59037DDA" w14:textId="77777777" w:rsidR="00C3138A" w:rsidRPr="00C3138A" w:rsidRDefault="00C3138A" w:rsidP="00914B03">
            <w:pPr>
              <w:autoSpaceDE w:val="0"/>
              <w:autoSpaceDN w:val="0"/>
              <w:adjustRightInd w:val="0"/>
              <w:ind w:left="0" w:right="34"/>
              <w:rPr>
                <w:sz w:val="18"/>
                <w:szCs w:val="18"/>
              </w:rPr>
            </w:pPr>
            <w:r w:rsidRPr="00C3138A">
              <w:rPr>
                <w:sz w:val="18"/>
                <w:szCs w:val="18"/>
              </w:rPr>
              <w:t>No correction for multiplicity</w:t>
            </w:r>
          </w:p>
          <w:p w14:paraId="76000705" w14:textId="77777777" w:rsidR="00C3138A" w:rsidRPr="00C3138A" w:rsidRDefault="00356864" w:rsidP="00914B03">
            <w:pPr>
              <w:autoSpaceDE w:val="0"/>
              <w:autoSpaceDN w:val="0"/>
              <w:adjustRightInd w:val="0"/>
              <w:ind w:left="0" w:right="34"/>
              <w:rPr>
                <w:sz w:val="18"/>
                <w:szCs w:val="18"/>
              </w:rPr>
            </w:pPr>
            <w:r>
              <w:rPr>
                <w:sz w:val="18"/>
                <w:szCs w:val="18"/>
              </w:rPr>
              <w:t>No power calculations</w:t>
            </w:r>
          </w:p>
        </w:tc>
        <w:tc>
          <w:tcPr>
            <w:tcW w:w="1843" w:type="dxa"/>
          </w:tcPr>
          <w:p w14:paraId="7A1A45D8"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Both agents lowered </w:t>
            </w:r>
            <w:r w:rsidR="00BB39E5">
              <w:rPr>
                <w:sz w:val="18"/>
                <w:szCs w:val="18"/>
              </w:rPr>
              <w:t>pulmonary vascular resistance</w:t>
            </w:r>
            <w:r w:rsidRPr="00C3138A">
              <w:rPr>
                <w:sz w:val="18"/>
                <w:szCs w:val="18"/>
              </w:rPr>
              <w:t xml:space="preserve"> and </w:t>
            </w:r>
            <w:proofErr w:type="spellStart"/>
            <w:r w:rsidR="00D42948" w:rsidRPr="00D42948">
              <w:rPr>
                <w:sz w:val="18"/>
                <w:szCs w:val="18"/>
              </w:rPr>
              <w:t>transpulmonary</w:t>
            </w:r>
            <w:proofErr w:type="spellEnd"/>
            <w:r w:rsidR="00D42948" w:rsidRPr="00D42948">
              <w:rPr>
                <w:sz w:val="18"/>
                <w:szCs w:val="18"/>
              </w:rPr>
              <w:t xml:space="preserve"> pressure gradient</w:t>
            </w:r>
          </w:p>
          <w:p w14:paraId="5CF6798F" w14:textId="77777777" w:rsidR="00C3138A" w:rsidRPr="00C3138A" w:rsidRDefault="00C3138A" w:rsidP="00914B03">
            <w:pPr>
              <w:autoSpaceDE w:val="0"/>
              <w:autoSpaceDN w:val="0"/>
              <w:adjustRightInd w:val="0"/>
              <w:ind w:left="0" w:right="34"/>
              <w:rPr>
                <w:sz w:val="18"/>
                <w:szCs w:val="18"/>
              </w:rPr>
            </w:pPr>
            <w:r w:rsidRPr="00C3138A">
              <w:rPr>
                <w:sz w:val="18"/>
                <w:szCs w:val="18"/>
              </w:rPr>
              <w:t>No dose</w:t>
            </w:r>
            <w:r w:rsidR="00D42948">
              <w:rPr>
                <w:sz w:val="18"/>
                <w:szCs w:val="18"/>
              </w:rPr>
              <w:t xml:space="preserve"> </w:t>
            </w:r>
            <w:r w:rsidRPr="00C3138A">
              <w:rPr>
                <w:sz w:val="18"/>
                <w:szCs w:val="18"/>
              </w:rPr>
              <w:t>effect across 40 to 80 ppm</w:t>
            </w:r>
          </w:p>
        </w:tc>
        <w:tc>
          <w:tcPr>
            <w:tcW w:w="1843" w:type="dxa"/>
          </w:tcPr>
          <w:p w14:paraId="76A25A28"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Greater selectivity with </w:t>
            </w:r>
            <w:r w:rsidR="00DC7D20">
              <w:rPr>
                <w:sz w:val="18"/>
                <w:szCs w:val="18"/>
              </w:rPr>
              <w:t>inhaled nitric oxide</w:t>
            </w:r>
            <w:r w:rsidRPr="00C3138A">
              <w:rPr>
                <w:sz w:val="18"/>
                <w:szCs w:val="18"/>
              </w:rPr>
              <w:t xml:space="preserve"> - significantly less effect with </w:t>
            </w:r>
            <w:r w:rsidR="00DC7D20">
              <w:rPr>
                <w:sz w:val="18"/>
                <w:szCs w:val="18"/>
              </w:rPr>
              <w:t>inhaled nitric oxide</w:t>
            </w:r>
            <w:r w:rsidRPr="00C3138A">
              <w:rPr>
                <w:sz w:val="18"/>
                <w:szCs w:val="18"/>
              </w:rPr>
              <w:t xml:space="preserve"> on systemic BP, </w:t>
            </w:r>
            <w:r w:rsidR="00BB39E5">
              <w:rPr>
                <w:sz w:val="18"/>
                <w:szCs w:val="18"/>
              </w:rPr>
              <w:t>systemic vascular resistance</w:t>
            </w:r>
            <w:r w:rsidRPr="00C3138A">
              <w:rPr>
                <w:sz w:val="18"/>
                <w:szCs w:val="18"/>
              </w:rPr>
              <w:t xml:space="preserve"> and </w:t>
            </w:r>
            <w:r w:rsidR="00914B03">
              <w:rPr>
                <w:sz w:val="18"/>
                <w:szCs w:val="18"/>
              </w:rPr>
              <w:t>cardiac index</w:t>
            </w:r>
          </w:p>
        </w:tc>
      </w:tr>
      <w:tr w:rsidR="00C3138A" w:rsidRPr="00476AD9" w14:paraId="3A2C0DB1" w14:textId="77777777" w:rsidTr="00914B03">
        <w:tc>
          <w:tcPr>
            <w:tcW w:w="1526" w:type="dxa"/>
          </w:tcPr>
          <w:p w14:paraId="6A9F8EC3" w14:textId="4F52516D" w:rsidR="00C3138A" w:rsidRPr="00476AD9" w:rsidRDefault="00C3138A" w:rsidP="00914B03">
            <w:pPr>
              <w:autoSpaceDE w:val="0"/>
              <w:autoSpaceDN w:val="0"/>
              <w:adjustRightInd w:val="0"/>
              <w:ind w:left="0" w:right="34"/>
              <w:rPr>
                <w:b/>
                <w:sz w:val="18"/>
                <w:szCs w:val="18"/>
              </w:rPr>
            </w:pPr>
            <w:proofErr w:type="spellStart"/>
            <w:r w:rsidRPr="00476AD9">
              <w:rPr>
                <w:b/>
                <w:sz w:val="18"/>
                <w:szCs w:val="18"/>
              </w:rPr>
              <w:t>Rajek</w:t>
            </w:r>
            <w:proofErr w:type="spellEnd"/>
            <w:r w:rsidRPr="00476AD9">
              <w:rPr>
                <w:b/>
                <w:sz w:val="18"/>
                <w:szCs w:val="18"/>
              </w:rPr>
              <w:t xml:space="preserve"> 2000</w:t>
            </w:r>
            <w:r w:rsidR="002F0A76">
              <w:rPr>
                <w:b/>
                <w:sz w:val="18"/>
                <w:szCs w:val="18"/>
              </w:rPr>
              <w:t>;</w:t>
            </w:r>
            <w:r w:rsidR="00222B2F" w:rsidRPr="00222B2F">
              <w:rPr>
                <w:b/>
                <w:sz w:val="18"/>
                <w:szCs w:val="18"/>
                <w:vertAlign w:val="superscript"/>
              </w:rPr>
              <w:fldChar w:fldCharType="begin"/>
            </w:r>
            <w:r w:rsidR="00222B2F" w:rsidRPr="00222B2F">
              <w:rPr>
                <w:b/>
                <w:sz w:val="18"/>
                <w:szCs w:val="18"/>
                <w:vertAlign w:val="superscript"/>
              </w:rPr>
              <w:instrText xml:space="preserve"> NOTEREF _Ref25843771 \h  \* MERGEFORMAT </w:instrText>
            </w:r>
            <w:r w:rsidR="00222B2F" w:rsidRPr="00222B2F">
              <w:rPr>
                <w:b/>
                <w:sz w:val="18"/>
                <w:szCs w:val="18"/>
                <w:vertAlign w:val="superscript"/>
              </w:rPr>
            </w:r>
            <w:r w:rsidR="00222B2F" w:rsidRPr="00222B2F">
              <w:rPr>
                <w:b/>
                <w:sz w:val="18"/>
                <w:szCs w:val="18"/>
                <w:vertAlign w:val="superscript"/>
              </w:rPr>
              <w:fldChar w:fldCharType="separate"/>
            </w:r>
            <w:r w:rsidR="00222B2F" w:rsidRPr="00222B2F">
              <w:rPr>
                <w:b/>
                <w:sz w:val="18"/>
                <w:szCs w:val="18"/>
                <w:vertAlign w:val="superscript"/>
              </w:rPr>
              <w:t>16</w:t>
            </w:r>
            <w:r w:rsidR="00222B2F" w:rsidRPr="00222B2F">
              <w:rPr>
                <w:b/>
                <w:sz w:val="18"/>
                <w:szCs w:val="18"/>
                <w:vertAlign w:val="superscript"/>
              </w:rPr>
              <w:fldChar w:fldCharType="end"/>
            </w:r>
          </w:p>
          <w:p w14:paraId="0634CAC6" w14:textId="77777777" w:rsidR="00C3138A" w:rsidRPr="00476AD9" w:rsidRDefault="00C3138A" w:rsidP="00914B03">
            <w:pPr>
              <w:autoSpaceDE w:val="0"/>
              <w:autoSpaceDN w:val="0"/>
              <w:adjustRightInd w:val="0"/>
              <w:ind w:left="0" w:right="34"/>
              <w:rPr>
                <w:b/>
                <w:sz w:val="18"/>
                <w:szCs w:val="18"/>
              </w:rPr>
            </w:pPr>
            <w:r w:rsidRPr="00476AD9">
              <w:rPr>
                <w:b/>
                <w:sz w:val="18"/>
                <w:szCs w:val="18"/>
              </w:rPr>
              <w:t>Heart transplant patients</w:t>
            </w:r>
          </w:p>
        </w:tc>
        <w:tc>
          <w:tcPr>
            <w:tcW w:w="1701" w:type="dxa"/>
          </w:tcPr>
          <w:p w14:paraId="3253D20A"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4</w:t>
            </w:r>
            <w:r w:rsidR="003D4003">
              <w:rPr>
                <w:sz w:val="18"/>
                <w:szCs w:val="18"/>
              </w:rPr>
              <w:t xml:space="preserve"> to </w:t>
            </w:r>
            <w:r w:rsidR="00C3138A" w:rsidRPr="00C3138A">
              <w:rPr>
                <w:sz w:val="18"/>
                <w:szCs w:val="18"/>
              </w:rPr>
              <w:t>24 ppm (n</w:t>
            </w:r>
            <w:r w:rsidR="00D42948">
              <w:rPr>
                <w:sz w:val="18"/>
                <w:szCs w:val="18"/>
              </w:rPr>
              <w:t xml:space="preserve"> = </w:t>
            </w:r>
            <w:r w:rsidR="00C3138A" w:rsidRPr="00C3138A">
              <w:rPr>
                <w:sz w:val="18"/>
                <w:szCs w:val="18"/>
              </w:rPr>
              <w:t>34)</w:t>
            </w:r>
          </w:p>
          <w:p w14:paraId="54ADA7BE" w14:textId="77777777" w:rsidR="00C3138A" w:rsidRPr="00C3138A" w:rsidRDefault="00C3138A" w:rsidP="00914B03">
            <w:pPr>
              <w:autoSpaceDE w:val="0"/>
              <w:autoSpaceDN w:val="0"/>
              <w:adjustRightInd w:val="0"/>
              <w:ind w:left="0" w:right="34"/>
              <w:rPr>
                <w:sz w:val="18"/>
                <w:szCs w:val="18"/>
              </w:rPr>
            </w:pPr>
            <w:r w:rsidRPr="00C3138A">
              <w:rPr>
                <w:sz w:val="18"/>
                <w:szCs w:val="18"/>
              </w:rPr>
              <w:t>IV PGE1 (n</w:t>
            </w:r>
            <w:r w:rsidR="00D42948">
              <w:rPr>
                <w:sz w:val="18"/>
                <w:szCs w:val="18"/>
              </w:rPr>
              <w:t xml:space="preserve"> = </w:t>
            </w:r>
            <w:r w:rsidRPr="00C3138A">
              <w:rPr>
                <w:sz w:val="18"/>
                <w:szCs w:val="18"/>
              </w:rPr>
              <w:t>34)</w:t>
            </w:r>
          </w:p>
          <w:p w14:paraId="25090342" w14:textId="77777777" w:rsidR="00C3138A" w:rsidRPr="00C3138A" w:rsidRDefault="00356864" w:rsidP="00914B03">
            <w:pPr>
              <w:autoSpaceDE w:val="0"/>
              <w:autoSpaceDN w:val="0"/>
              <w:adjustRightInd w:val="0"/>
              <w:ind w:left="0" w:right="34"/>
              <w:rPr>
                <w:sz w:val="18"/>
                <w:szCs w:val="18"/>
              </w:rPr>
            </w:pPr>
            <w:r>
              <w:rPr>
                <w:sz w:val="18"/>
                <w:szCs w:val="18"/>
              </w:rPr>
              <w:t>Rescue crossover</w:t>
            </w:r>
          </w:p>
        </w:tc>
        <w:tc>
          <w:tcPr>
            <w:tcW w:w="1984" w:type="dxa"/>
          </w:tcPr>
          <w:p w14:paraId="65CECFA5" w14:textId="77777777" w:rsidR="00C3138A" w:rsidRPr="00C3138A" w:rsidRDefault="00C3138A" w:rsidP="00914B03">
            <w:pPr>
              <w:autoSpaceDE w:val="0"/>
              <w:autoSpaceDN w:val="0"/>
              <w:adjustRightInd w:val="0"/>
              <w:ind w:left="0" w:right="34"/>
              <w:rPr>
                <w:sz w:val="18"/>
                <w:szCs w:val="18"/>
              </w:rPr>
            </w:pPr>
            <w:r w:rsidRPr="00C3138A">
              <w:rPr>
                <w:sz w:val="18"/>
                <w:szCs w:val="18"/>
              </w:rPr>
              <w:t>Unclear distinction between changes from baseline and between-group comparison</w:t>
            </w:r>
          </w:p>
        </w:tc>
        <w:tc>
          <w:tcPr>
            <w:tcW w:w="1843" w:type="dxa"/>
          </w:tcPr>
          <w:p w14:paraId="4A00D085" w14:textId="77777777" w:rsidR="00C3138A" w:rsidRPr="00C3138A" w:rsidRDefault="00BB39E5" w:rsidP="00914B03">
            <w:pPr>
              <w:autoSpaceDE w:val="0"/>
              <w:autoSpaceDN w:val="0"/>
              <w:adjustRightInd w:val="0"/>
              <w:ind w:left="0" w:right="34"/>
              <w:rPr>
                <w:sz w:val="18"/>
                <w:szCs w:val="18"/>
              </w:rPr>
            </w:pPr>
            <w:r>
              <w:rPr>
                <w:sz w:val="18"/>
                <w:szCs w:val="18"/>
              </w:rPr>
              <w:t>pulmonary vascular resistance</w:t>
            </w:r>
            <w:r w:rsidR="00C3138A" w:rsidRPr="00C3138A">
              <w:rPr>
                <w:sz w:val="18"/>
                <w:szCs w:val="18"/>
              </w:rPr>
              <w:t xml:space="preserve"> and </w:t>
            </w:r>
            <w:r>
              <w:rPr>
                <w:sz w:val="18"/>
                <w:szCs w:val="18"/>
              </w:rPr>
              <w:t>pulmonary arterial pressure</w:t>
            </w:r>
            <w:r w:rsidR="00C3138A" w:rsidRPr="00C3138A">
              <w:rPr>
                <w:sz w:val="18"/>
                <w:szCs w:val="18"/>
              </w:rPr>
              <w:t xml:space="preserve"> reduced in both groups compared to baseline, with better reductions for </w:t>
            </w:r>
            <w:r w:rsidR="00DC7D20">
              <w:rPr>
                <w:sz w:val="18"/>
                <w:szCs w:val="18"/>
              </w:rPr>
              <w:t>inhaled nitric oxide</w:t>
            </w:r>
          </w:p>
        </w:tc>
        <w:tc>
          <w:tcPr>
            <w:tcW w:w="1843" w:type="dxa"/>
          </w:tcPr>
          <w:p w14:paraId="1C4C6785"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showed better reduction in </w:t>
            </w:r>
            <w:r w:rsidR="00BB39E5">
              <w:rPr>
                <w:sz w:val="18"/>
                <w:szCs w:val="18"/>
              </w:rPr>
              <w:t>pulmonary vascular resistance</w:t>
            </w:r>
            <w:r w:rsidR="00C3138A" w:rsidRPr="00C3138A">
              <w:rPr>
                <w:sz w:val="18"/>
                <w:szCs w:val="18"/>
              </w:rPr>
              <w:t>,</w:t>
            </w:r>
            <w:r w:rsidR="00D42948">
              <w:rPr>
                <w:sz w:val="18"/>
                <w:szCs w:val="18"/>
              </w:rPr>
              <w:t xml:space="preserve"> </w:t>
            </w:r>
            <w:r w:rsidR="00BB39E5">
              <w:rPr>
                <w:sz w:val="18"/>
                <w:szCs w:val="18"/>
              </w:rPr>
              <w:t>pulmonary arterial pressure</w:t>
            </w:r>
            <w:r w:rsidR="00C3138A" w:rsidRPr="00C3138A">
              <w:rPr>
                <w:sz w:val="18"/>
                <w:szCs w:val="18"/>
              </w:rPr>
              <w:t xml:space="preserve">, </w:t>
            </w:r>
            <w:r w:rsidR="00BB39E5">
              <w:rPr>
                <w:sz w:val="18"/>
                <w:szCs w:val="18"/>
              </w:rPr>
              <w:t>pulmonary vascular resistance</w:t>
            </w:r>
            <w:r w:rsidR="00C3138A" w:rsidRPr="00C3138A">
              <w:rPr>
                <w:sz w:val="18"/>
                <w:szCs w:val="18"/>
              </w:rPr>
              <w:t>/</w:t>
            </w:r>
            <w:r w:rsidR="00BB39E5">
              <w:rPr>
                <w:sz w:val="18"/>
                <w:szCs w:val="18"/>
              </w:rPr>
              <w:t>systemic vascular resistance</w:t>
            </w:r>
            <w:r w:rsidR="00C3138A" w:rsidRPr="00C3138A">
              <w:rPr>
                <w:sz w:val="18"/>
                <w:szCs w:val="18"/>
              </w:rPr>
              <w:t>,</w:t>
            </w:r>
            <w:r w:rsidR="00D42948">
              <w:rPr>
                <w:sz w:val="18"/>
                <w:szCs w:val="18"/>
              </w:rPr>
              <w:t xml:space="preserve"> </w:t>
            </w:r>
            <w:r w:rsidR="00C3138A" w:rsidRPr="00C3138A">
              <w:rPr>
                <w:sz w:val="18"/>
                <w:szCs w:val="18"/>
              </w:rPr>
              <w:t xml:space="preserve">greater improvement in </w:t>
            </w:r>
            <w:r w:rsidR="00914B03">
              <w:rPr>
                <w:sz w:val="18"/>
                <w:szCs w:val="18"/>
              </w:rPr>
              <w:t>cardiac output</w:t>
            </w:r>
            <w:r w:rsidR="00C3138A" w:rsidRPr="00C3138A">
              <w:rPr>
                <w:sz w:val="18"/>
                <w:szCs w:val="18"/>
              </w:rPr>
              <w:t>, fewer rescue crossovers</w:t>
            </w:r>
          </w:p>
        </w:tc>
      </w:tr>
      <w:tr w:rsidR="00C3138A" w:rsidRPr="00476AD9" w14:paraId="14C9672D" w14:textId="77777777" w:rsidTr="00914B03">
        <w:tc>
          <w:tcPr>
            <w:tcW w:w="1526" w:type="dxa"/>
          </w:tcPr>
          <w:p w14:paraId="471617DE" w14:textId="5B42369E" w:rsidR="00C3138A" w:rsidRPr="00386E79" w:rsidRDefault="00C3138A" w:rsidP="00914B03">
            <w:pPr>
              <w:autoSpaceDE w:val="0"/>
              <w:autoSpaceDN w:val="0"/>
              <w:adjustRightInd w:val="0"/>
              <w:ind w:left="0" w:right="34"/>
              <w:rPr>
                <w:sz w:val="18"/>
                <w:szCs w:val="18"/>
              </w:rPr>
            </w:pPr>
            <w:proofErr w:type="spellStart"/>
            <w:r w:rsidRPr="00B21235">
              <w:rPr>
                <w:sz w:val="18"/>
                <w:szCs w:val="18"/>
              </w:rPr>
              <w:t>Argenziano</w:t>
            </w:r>
            <w:proofErr w:type="spellEnd"/>
            <w:r w:rsidRPr="00B21235">
              <w:rPr>
                <w:sz w:val="18"/>
                <w:szCs w:val="18"/>
              </w:rPr>
              <w:t xml:space="preserve"> 1998</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_Ref20404654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18</w:t>
            </w:r>
            <w:r w:rsidR="00222B2F" w:rsidRPr="00222B2F">
              <w:rPr>
                <w:sz w:val="18"/>
                <w:szCs w:val="18"/>
                <w:vertAlign w:val="superscript"/>
              </w:rPr>
              <w:fldChar w:fldCharType="end"/>
            </w:r>
          </w:p>
          <w:p w14:paraId="359E6DF3" w14:textId="77777777" w:rsidR="00C3138A" w:rsidRPr="00386E79" w:rsidRDefault="00C3138A" w:rsidP="00914B03">
            <w:pPr>
              <w:autoSpaceDE w:val="0"/>
              <w:autoSpaceDN w:val="0"/>
              <w:adjustRightInd w:val="0"/>
              <w:ind w:left="0" w:right="34"/>
              <w:rPr>
                <w:sz w:val="18"/>
                <w:szCs w:val="18"/>
              </w:rPr>
            </w:pPr>
            <w:r w:rsidRPr="00386E79">
              <w:rPr>
                <w:sz w:val="18"/>
                <w:szCs w:val="18"/>
              </w:rPr>
              <w:t xml:space="preserve">Patients undergoing </w:t>
            </w:r>
            <w:r w:rsidR="00BB39E5" w:rsidRPr="00386E79">
              <w:rPr>
                <w:sz w:val="18"/>
                <w:szCs w:val="18"/>
              </w:rPr>
              <w:t>left ventricular assist device</w:t>
            </w:r>
            <w:r w:rsidRPr="00386E79">
              <w:rPr>
                <w:sz w:val="18"/>
                <w:szCs w:val="18"/>
              </w:rPr>
              <w:t xml:space="preserve"> insertion</w:t>
            </w:r>
          </w:p>
        </w:tc>
        <w:tc>
          <w:tcPr>
            <w:tcW w:w="1701" w:type="dxa"/>
          </w:tcPr>
          <w:p w14:paraId="19ECD600"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20 ppm (n</w:t>
            </w:r>
            <w:r w:rsidR="00D42948">
              <w:rPr>
                <w:sz w:val="18"/>
                <w:szCs w:val="18"/>
              </w:rPr>
              <w:t xml:space="preserve"> = </w:t>
            </w:r>
            <w:r w:rsidR="00C3138A" w:rsidRPr="00476AD9">
              <w:rPr>
                <w:sz w:val="18"/>
                <w:szCs w:val="18"/>
              </w:rPr>
              <w:t>6)</w:t>
            </w:r>
          </w:p>
          <w:p w14:paraId="2DDA85DC" w14:textId="77777777" w:rsidR="00C3138A" w:rsidRPr="00476AD9" w:rsidRDefault="00C3138A" w:rsidP="00914B03">
            <w:pPr>
              <w:autoSpaceDE w:val="0"/>
              <w:autoSpaceDN w:val="0"/>
              <w:adjustRightInd w:val="0"/>
              <w:ind w:left="0" w:right="34"/>
              <w:rPr>
                <w:sz w:val="18"/>
                <w:szCs w:val="18"/>
              </w:rPr>
            </w:pPr>
            <w:r w:rsidRPr="00476AD9">
              <w:rPr>
                <w:sz w:val="18"/>
                <w:szCs w:val="18"/>
              </w:rPr>
              <w:t>nitrogen (n</w:t>
            </w:r>
            <w:r w:rsidR="00D42948">
              <w:rPr>
                <w:sz w:val="18"/>
                <w:szCs w:val="18"/>
              </w:rPr>
              <w:t xml:space="preserve"> = </w:t>
            </w:r>
            <w:r w:rsidRPr="00476AD9">
              <w:rPr>
                <w:sz w:val="18"/>
                <w:szCs w:val="18"/>
              </w:rPr>
              <w:t>5)</w:t>
            </w:r>
          </w:p>
        </w:tc>
        <w:tc>
          <w:tcPr>
            <w:tcW w:w="1984" w:type="dxa"/>
          </w:tcPr>
          <w:p w14:paraId="334E03D1" w14:textId="77777777" w:rsidR="00C3138A" w:rsidRPr="00476AD9" w:rsidRDefault="00C3138A" w:rsidP="00914B03">
            <w:pPr>
              <w:autoSpaceDE w:val="0"/>
              <w:autoSpaceDN w:val="0"/>
              <w:adjustRightInd w:val="0"/>
              <w:ind w:left="0" w:right="34"/>
              <w:rPr>
                <w:sz w:val="18"/>
                <w:szCs w:val="18"/>
              </w:rPr>
            </w:pPr>
            <w:r w:rsidRPr="00476AD9">
              <w:rPr>
                <w:sz w:val="18"/>
                <w:szCs w:val="18"/>
              </w:rPr>
              <w:t>No clear primary endpoint</w:t>
            </w:r>
          </w:p>
          <w:p w14:paraId="52F539EC" w14:textId="77777777" w:rsidR="00C3138A" w:rsidRPr="00476AD9" w:rsidRDefault="00C3138A" w:rsidP="00914B03">
            <w:pPr>
              <w:autoSpaceDE w:val="0"/>
              <w:autoSpaceDN w:val="0"/>
              <w:adjustRightInd w:val="0"/>
              <w:ind w:left="0" w:right="34"/>
              <w:rPr>
                <w:sz w:val="18"/>
                <w:szCs w:val="18"/>
              </w:rPr>
            </w:pPr>
            <w:r w:rsidRPr="00476AD9">
              <w:rPr>
                <w:sz w:val="18"/>
                <w:szCs w:val="18"/>
              </w:rPr>
              <w:t>No correction for multiplicity</w:t>
            </w:r>
          </w:p>
          <w:p w14:paraId="24BBFA23" w14:textId="77777777" w:rsidR="00C3138A" w:rsidRPr="00476AD9" w:rsidRDefault="00C3138A" w:rsidP="00914B03">
            <w:pPr>
              <w:autoSpaceDE w:val="0"/>
              <w:autoSpaceDN w:val="0"/>
              <w:adjustRightInd w:val="0"/>
              <w:ind w:left="0" w:right="34"/>
              <w:rPr>
                <w:sz w:val="18"/>
                <w:szCs w:val="18"/>
              </w:rPr>
            </w:pPr>
            <w:r w:rsidRPr="00476AD9">
              <w:rPr>
                <w:sz w:val="18"/>
                <w:szCs w:val="18"/>
              </w:rPr>
              <w:t>No power calculations</w:t>
            </w:r>
          </w:p>
        </w:tc>
        <w:tc>
          <w:tcPr>
            <w:tcW w:w="1843" w:type="dxa"/>
          </w:tcPr>
          <w:p w14:paraId="5A77DDAA"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Between-group comparison unclear, but significant response to </w:t>
            </w:r>
            <w:r w:rsidR="00DC7D20">
              <w:rPr>
                <w:sz w:val="18"/>
                <w:szCs w:val="18"/>
              </w:rPr>
              <w:t>inhaled nitric oxide</w:t>
            </w:r>
            <w:r w:rsidRPr="00476AD9">
              <w:rPr>
                <w:sz w:val="18"/>
                <w:szCs w:val="18"/>
              </w:rPr>
              <w:t xml:space="preserve"> in placebo crossovers, with reduction in </w:t>
            </w:r>
            <w:proofErr w:type="spellStart"/>
            <w:r w:rsidRPr="00476AD9">
              <w:rPr>
                <w:sz w:val="18"/>
                <w:szCs w:val="18"/>
              </w:rPr>
              <w:t>m</w:t>
            </w:r>
            <w:r w:rsidR="00BB39E5">
              <w:rPr>
                <w:sz w:val="18"/>
                <w:szCs w:val="18"/>
              </w:rPr>
              <w:t>pulmonary</w:t>
            </w:r>
            <w:proofErr w:type="spellEnd"/>
            <w:r w:rsidR="00BB39E5">
              <w:rPr>
                <w:sz w:val="18"/>
                <w:szCs w:val="18"/>
              </w:rPr>
              <w:t xml:space="preserve"> arterial pressure</w:t>
            </w:r>
          </w:p>
        </w:tc>
        <w:tc>
          <w:tcPr>
            <w:tcW w:w="1843" w:type="dxa"/>
          </w:tcPr>
          <w:p w14:paraId="437FB180" w14:textId="77777777" w:rsidR="00C3138A" w:rsidRPr="00476AD9" w:rsidRDefault="00C3138A" w:rsidP="00914B03">
            <w:pPr>
              <w:autoSpaceDE w:val="0"/>
              <w:autoSpaceDN w:val="0"/>
              <w:adjustRightInd w:val="0"/>
              <w:ind w:left="0" w:right="34"/>
              <w:rPr>
                <w:sz w:val="18"/>
                <w:szCs w:val="18"/>
              </w:rPr>
            </w:pPr>
            <w:r w:rsidRPr="00476AD9">
              <w:rPr>
                <w:sz w:val="18"/>
                <w:szCs w:val="18"/>
              </w:rPr>
              <w:t>Unclear</w:t>
            </w:r>
          </w:p>
        </w:tc>
      </w:tr>
      <w:tr w:rsidR="00C3138A" w:rsidRPr="00476AD9" w14:paraId="406DC14E" w14:textId="77777777" w:rsidTr="00914B03">
        <w:tc>
          <w:tcPr>
            <w:tcW w:w="1526" w:type="dxa"/>
          </w:tcPr>
          <w:p w14:paraId="0D87DD80" w14:textId="72D8CA23" w:rsidR="00C3138A" w:rsidRPr="00386E79" w:rsidRDefault="00C3138A" w:rsidP="00914B03">
            <w:pPr>
              <w:autoSpaceDE w:val="0"/>
              <w:autoSpaceDN w:val="0"/>
              <w:adjustRightInd w:val="0"/>
              <w:ind w:left="0" w:right="34"/>
              <w:rPr>
                <w:sz w:val="18"/>
                <w:szCs w:val="18"/>
              </w:rPr>
            </w:pPr>
            <w:proofErr w:type="spellStart"/>
            <w:r w:rsidRPr="00B21235">
              <w:rPr>
                <w:sz w:val="18"/>
                <w:szCs w:val="18"/>
              </w:rPr>
              <w:t>Kukucka</w:t>
            </w:r>
            <w:proofErr w:type="spellEnd"/>
            <w:r w:rsidRPr="00B21235">
              <w:rPr>
                <w:sz w:val="18"/>
                <w:szCs w:val="18"/>
              </w:rPr>
              <w:t xml:space="preserve"> 2011</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_Ref22221489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19</w:t>
            </w:r>
            <w:r w:rsidR="00222B2F" w:rsidRPr="00222B2F">
              <w:rPr>
                <w:sz w:val="18"/>
                <w:szCs w:val="18"/>
                <w:vertAlign w:val="superscript"/>
              </w:rPr>
              <w:fldChar w:fldCharType="end"/>
            </w:r>
          </w:p>
          <w:p w14:paraId="30493B29" w14:textId="77777777" w:rsidR="00C3138A" w:rsidRPr="00386E79" w:rsidRDefault="00C3138A" w:rsidP="00914B03">
            <w:pPr>
              <w:autoSpaceDE w:val="0"/>
              <w:autoSpaceDN w:val="0"/>
              <w:adjustRightInd w:val="0"/>
              <w:ind w:left="0" w:right="34"/>
              <w:rPr>
                <w:sz w:val="18"/>
                <w:szCs w:val="18"/>
              </w:rPr>
            </w:pPr>
            <w:proofErr w:type="spellStart"/>
            <w:r w:rsidRPr="00386E79">
              <w:rPr>
                <w:sz w:val="18"/>
                <w:szCs w:val="18"/>
              </w:rPr>
              <w:t>Substudy</w:t>
            </w:r>
            <w:proofErr w:type="spellEnd"/>
            <w:r w:rsidRPr="00386E79">
              <w:rPr>
                <w:sz w:val="18"/>
                <w:szCs w:val="18"/>
              </w:rPr>
              <w:t xml:space="preserve"> of </w:t>
            </w:r>
            <w:r w:rsidR="00BB39E5" w:rsidRPr="00386E79">
              <w:rPr>
                <w:sz w:val="18"/>
                <w:szCs w:val="18"/>
              </w:rPr>
              <w:t>INOT41</w:t>
            </w:r>
            <w:r w:rsidRPr="00386E79">
              <w:rPr>
                <w:sz w:val="18"/>
                <w:szCs w:val="18"/>
              </w:rPr>
              <w:t xml:space="preserve">, patients receiving </w:t>
            </w:r>
            <w:r w:rsidR="00BB39E5" w:rsidRPr="00386E79">
              <w:rPr>
                <w:sz w:val="18"/>
                <w:szCs w:val="18"/>
              </w:rPr>
              <w:t xml:space="preserve">left ventricular </w:t>
            </w:r>
            <w:r w:rsidR="00BB39E5" w:rsidRPr="00386E79">
              <w:rPr>
                <w:sz w:val="18"/>
                <w:szCs w:val="18"/>
              </w:rPr>
              <w:lastRenderedPageBreak/>
              <w:t>assist device</w:t>
            </w:r>
          </w:p>
        </w:tc>
        <w:tc>
          <w:tcPr>
            <w:tcW w:w="1701" w:type="dxa"/>
          </w:tcPr>
          <w:p w14:paraId="046F6E90" w14:textId="77777777" w:rsidR="00C3138A" w:rsidRPr="00476AD9" w:rsidRDefault="00DC7D20" w:rsidP="00914B03">
            <w:pPr>
              <w:autoSpaceDE w:val="0"/>
              <w:autoSpaceDN w:val="0"/>
              <w:adjustRightInd w:val="0"/>
              <w:ind w:left="0" w:right="34"/>
              <w:rPr>
                <w:sz w:val="18"/>
                <w:szCs w:val="18"/>
              </w:rPr>
            </w:pPr>
            <w:r>
              <w:rPr>
                <w:sz w:val="18"/>
                <w:szCs w:val="18"/>
              </w:rPr>
              <w:lastRenderedPageBreak/>
              <w:t>inhaled nitric oxide</w:t>
            </w:r>
            <w:r w:rsidR="00C3138A" w:rsidRPr="00476AD9">
              <w:rPr>
                <w:sz w:val="18"/>
                <w:szCs w:val="18"/>
              </w:rPr>
              <w:t xml:space="preserve"> 40 ppm</w:t>
            </w:r>
            <w:r w:rsidR="00D42948">
              <w:rPr>
                <w:sz w:val="18"/>
                <w:szCs w:val="18"/>
              </w:rPr>
              <w:t xml:space="preserve"> </w:t>
            </w:r>
            <w:r w:rsidR="00C3138A" w:rsidRPr="00476AD9">
              <w:rPr>
                <w:sz w:val="18"/>
                <w:szCs w:val="18"/>
              </w:rPr>
              <w:t>(n</w:t>
            </w:r>
            <w:r w:rsidR="00D42948">
              <w:rPr>
                <w:sz w:val="18"/>
                <w:szCs w:val="18"/>
              </w:rPr>
              <w:t xml:space="preserve"> = </w:t>
            </w:r>
            <w:r w:rsidR="00C3138A" w:rsidRPr="00476AD9">
              <w:rPr>
                <w:sz w:val="18"/>
                <w:szCs w:val="18"/>
              </w:rPr>
              <w:t>24)</w:t>
            </w:r>
          </w:p>
          <w:p w14:paraId="41F1358C" w14:textId="77777777" w:rsidR="00C3138A" w:rsidRPr="00476AD9" w:rsidRDefault="00C3138A" w:rsidP="00914B03">
            <w:pPr>
              <w:autoSpaceDE w:val="0"/>
              <w:autoSpaceDN w:val="0"/>
              <w:adjustRightInd w:val="0"/>
              <w:ind w:left="0" w:right="34"/>
              <w:rPr>
                <w:sz w:val="18"/>
                <w:szCs w:val="18"/>
              </w:rPr>
            </w:pPr>
            <w:r w:rsidRPr="00476AD9">
              <w:rPr>
                <w:sz w:val="18"/>
                <w:szCs w:val="18"/>
              </w:rPr>
              <w:t>placebo (n</w:t>
            </w:r>
            <w:r w:rsidR="00D42948">
              <w:rPr>
                <w:sz w:val="18"/>
                <w:szCs w:val="18"/>
              </w:rPr>
              <w:t xml:space="preserve"> = </w:t>
            </w:r>
            <w:r w:rsidRPr="00476AD9">
              <w:rPr>
                <w:sz w:val="18"/>
                <w:szCs w:val="18"/>
              </w:rPr>
              <w:t>23)</w:t>
            </w:r>
          </w:p>
        </w:tc>
        <w:tc>
          <w:tcPr>
            <w:tcW w:w="1984" w:type="dxa"/>
          </w:tcPr>
          <w:p w14:paraId="5DA00E47" w14:textId="77777777" w:rsidR="00C3138A" w:rsidRPr="00476AD9" w:rsidRDefault="00C3138A" w:rsidP="00914B03">
            <w:pPr>
              <w:autoSpaceDE w:val="0"/>
              <w:autoSpaceDN w:val="0"/>
              <w:adjustRightInd w:val="0"/>
              <w:ind w:left="0" w:right="34"/>
              <w:rPr>
                <w:sz w:val="18"/>
                <w:szCs w:val="18"/>
              </w:rPr>
            </w:pPr>
            <w:r w:rsidRPr="00476AD9">
              <w:rPr>
                <w:sz w:val="18"/>
                <w:szCs w:val="18"/>
              </w:rPr>
              <w:t>No clear primary endpoint</w:t>
            </w:r>
          </w:p>
          <w:p w14:paraId="6050B280" w14:textId="77777777" w:rsidR="00C3138A" w:rsidRPr="00476AD9" w:rsidRDefault="00C3138A" w:rsidP="00914B03">
            <w:pPr>
              <w:autoSpaceDE w:val="0"/>
              <w:autoSpaceDN w:val="0"/>
              <w:adjustRightInd w:val="0"/>
              <w:ind w:left="0" w:right="34"/>
              <w:rPr>
                <w:sz w:val="18"/>
                <w:szCs w:val="18"/>
              </w:rPr>
            </w:pPr>
            <w:r w:rsidRPr="00476AD9">
              <w:rPr>
                <w:sz w:val="18"/>
                <w:szCs w:val="18"/>
              </w:rPr>
              <w:t>No correction for multiplicity of endpoints</w:t>
            </w:r>
          </w:p>
        </w:tc>
        <w:tc>
          <w:tcPr>
            <w:tcW w:w="1843" w:type="dxa"/>
          </w:tcPr>
          <w:p w14:paraId="12DCCA3F"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Changes in </w:t>
            </w:r>
            <w:r w:rsidR="00BB39E5">
              <w:rPr>
                <w:sz w:val="18"/>
                <w:szCs w:val="18"/>
              </w:rPr>
              <w:t>pulmonary vascular resistance</w:t>
            </w:r>
            <w:r w:rsidRPr="00476AD9">
              <w:rPr>
                <w:sz w:val="18"/>
                <w:szCs w:val="18"/>
              </w:rPr>
              <w:t xml:space="preserve"> and CI relative to baseline, in both groups, significant in </w:t>
            </w:r>
            <w:r w:rsidR="00DC7D20">
              <w:rPr>
                <w:sz w:val="18"/>
                <w:szCs w:val="18"/>
              </w:rPr>
              <w:t>inhaled nitric oxide</w:t>
            </w:r>
            <w:r w:rsidRPr="00476AD9">
              <w:rPr>
                <w:sz w:val="18"/>
                <w:szCs w:val="18"/>
              </w:rPr>
              <w:t xml:space="preserve"> </w:t>
            </w:r>
            <w:r w:rsidRPr="00476AD9">
              <w:rPr>
                <w:sz w:val="18"/>
                <w:szCs w:val="18"/>
              </w:rPr>
              <w:lastRenderedPageBreak/>
              <w:t>group,</w:t>
            </w:r>
            <w:r w:rsidR="00D42948">
              <w:rPr>
                <w:sz w:val="18"/>
                <w:szCs w:val="18"/>
              </w:rPr>
              <w:t xml:space="preserve"> </w:t>
            </w:r>
            <w:r w:rsidRPr="00476AD9">
              <w:rPr>
                <w:sz w:val="18"/>
                <w:szCs w:val="18"/>
              </w:rPr>
              <w:t xml:space="preserve">trend in favour of </w:t>
            </w:r>
            <w:r w:rsidR="00DC7D20">
              <w:rPr>
                <w:sz w:val="18"/>
                <w:szCs w:val="18"/>
              </w:rPr>
              <w:t>inhaled nitric oxide</w:t>
            </w:r>
          </w:p>
        </w:tc>
        <w:tc>
          <w:tcPr>
            <w:tcW w:w="1843" w:type="dxa"/>
          </w:tcPr>
          <w:p w14:paraId="3B477C06" w14:textId="77777777" w:rsidR="00C3138A" w:rsidRPr="00476AD9" w:rsidRDefault="00C3138A" w:rsidP="00914B03">
            <w:pPr>
              <w:autoSpaceDE w:val="0"/>
              <w:autoSpaceDN w:val="0"/>
              <w:adjustRightInd w:val="0"/>
              <w:ind w:left="0" w:right="34"/>
              <w:rPr>
                <w:sz w:val="18"/>
                <w:szCs w:val="18"/>
              </w:rPr>
            </w:pPr>
            <w:r w:rsidRPr="00476AD9">
              <w:rPr>
                <w:sz w:val="18"/>
                <w:szCs w:val="18"/>
              </w:rPr>
              <w:lastRenderedPageBreak/>
              <w:t>Negative</w:t>
            </w:r>
          </w:p>
        </w:tc>
      </w:tr>
      <w:tr w:rsidR="00C3138A" w:rsidRPr="00476AD9" w14:paraId="686D0565" w14:textId="77777777" w:rsidTr="00914B03">
        <w:tc>
          <w:tcPr>
            <w:tcW w:w="1526" w:type="dxa"/>
          </w:tcPr>
          <w:p w14:paraId="4D9D9FFB" w14:textId="2A6CF0A6" w:rsidR="00C3138A" w:rsidRPr="00476AD9" w:rsidRDefault="00C3138A" w:rsidP="00914B03">
            <w:pPr>
              <w:autoSpaceDE w:val="0"/>
              <w:autoSpaceDN w:val="0"/>
              <w:adjustRightInd w:val="0"/>
              <w:ind w:left="0" w:right="34"/>
              <w:rPr>
                <w:b/>
                <w:sz w:val="18"/>
                <w:szCs w:val="18"/>
              </w:rPr>
            </w:pPr>
            <w:proofErr w:type="spellStart"/>
            <w:r w:rsidRPr="00476AD9">
              <w:rPr>
                <w:b/>
                <w:sz w:val="18"/>
                <w:szCs w:val="18"/>
              </w:rPr>
              <w:t>Fernandes</w:t>
            </w:r>
            <w:proofErr w:type="spellEnd"/>
            <w:r w:rsidRPr="00476AD9">
              <w:rPr>
                <w:b/>
                <w:sz w:val="18"/>
                <w:szCs w:val="18"/>
              </w:rPr>
              <w:t xml:space="preserve"> 2011</w:t>
            </w:r>
            <w:r w:rsidR="002F0A76" w:rsidRPr="00222B2F">
              <w:rPr>
                <w:b/>
                <w:sz w:val="18"/>
                <w:szCs w:val="18"/>
              </w:rPr>
              <w:t>;</w:t>
            </w:r>
            <w:r w:rsidR="00222B2F" w:rsidRPr="00222B2F">
              <w:rPr>
                <w:b/>
                <w:sz w:val="18"/>
                <w:szCs w:val="18"/>
                <w:vertAlign w:val="superscript"/>
              </w:rPr>
              <w:fldChar w:fldCharType="begin"/>
            </w:r>
            <w:r w:rsidR="00222B2F" w:rsidRPr="00222B2F">
              <w:rPr>
                <w:b/>
                <w:sz w:val="18"/>
                <w:szCs w:val="18"/>
                <w:vertAlign w:val="superscript"/>
              </w:rPr>
              <w:instrText xml:space="preserve"> NOTEREF _Ref25843676 \h  \* MERGEFORMAT </w:instrText>
            </w:r>
            <w:r w:rsidR="00222B2F" w:rsidRPr="00222B2F">
              <w:rPr>
                <w:b/>
                <w:sz w:val="18"/>
                <w:szCs w:val="18"/>
                <w:vertAlign w:val="superscript"/>
              </w:rPr>
            </w:r>
            <w:r w:rsidR="00222B2F" w:rsidRPr="00222B2F">
              <w:rPr>
                <w:b/>
                <w:sz w:val="18"/>
                <w:szCs w:val="18"/>
                <w:vertAlign w:val="superscript"/>
              </w:rPr>
              <w:fldChar w:fldCharType="separate"/>
            </w:r>
            <w:r w:rsidR="00222B2F" w:rsidRPr="00222B2F">
              <w:rPr>
                <w:b/>
                <w:sz w:val="18"/>
                <w:szCs w:val="18"/>
                <w:vertAlign w:val="superscript"/>
              </w:rPr>
              <w:t>20</w:t>
            </w:r>
            <w:r w:rsidR="00222B2F" w:rsidRPr="00222B2F">
              <w:rPr>
                <w:b/>
                <w:sz w:val="18"/>
                <w:szCs w:val="18"/>
                <w:vertAlign w:val="superscript"/>
              </w:rPr>
              <w:fldChar w:fldCharType="end"/>
            </w:r>
          </w:p>
          <w:p w14:paraId="330F4770" w14:textId="77777777" w:rsidR="00C3138A" w:rsidRPr="00476AD9" w:rsidRDefault="00C3138A" w:rsidP="00914B03">
            <w:pPr>
              <w:autoSpaceDE w:val="0"/>
              <w:autoSpaceDN w:val="0"/>
              <w:adjustRightInd w:val="0"/>
              <w:ind w:left="0" w:right="34"/>
              <w:rPr>
                <w:b/>
                <w:sz w:val="18"/>
                <w:szCs w:val="18"/>
              </w:rPr>
            </w:pPr>
            <w:r w:rsidRPr="00476AD9">
              <w:rPr>
                <w:b/>
                <w:sz w:val="18"/>
                <w:szCs w:val="18"/>
              </w:rPr>
              <w:t>Mitral valve surgery</w:t>
            </w:r>
          </w:p>
        </w:tc>
        <w:tc>
          <w:tcPr>
            <w:tcW w:w="1701" w:type="dxa"/>
          </w:tcPr>
          <w:p w14:paraId="6C3452B3" w14:textId="77777777" w:rsidR="00826248"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10 ppm </w:t>
            </w:r>
          </w:p>
          <w:p w14:paraId="2E559404" w14:textId="77777777" w:rsidR="00C3138A" w:rsidRPr="00C3138A" w:rsidRDefault="00C3138A" w:rsidP="00914B03">
            <w:pPr>
              <w:autoSpaceDE w:val="0"/>
              <w:autoSpaceDN w:val="0"/>
              <w:adjustRightInd w:val="0"/>
              <w:ind w:left="0" w:right="34"/>
              <w:rPr>
                <w:sz w:val="18"/>
                <w:szCs w:val="18"/>
              </w:rPr>
            </w:pPr>
            <w:r w:rsidRPr="00C3138A">
              <w:rPr>
                <w:sz w:val="18"/>
                <w:szCs w:val="18"/>
              </w:rPr>
              <w:t>(n</w:t>
            </w:r>
            <w:r w:rsidR="00D42948">
              <w:rPr>
                <w:sz w:val="18"/>
                <w:szCs w:val="18"/>
              </w:rPr>
              <w:t xml:space="preserve"> = </w:t>
            </w:r>
            <w:r w:rsidRPr="00C3138A">
              <w:rPr>
                <w:sz w:val="18"/>
                <w:szCs w:val="18"/>
              </w:rPr>
              <w:t>14)</w:t>
            </w:r>
          </w:p>
          <w:p w14:paraId="241C2204" w14:textId="77777777" w:rsidR="00C3138A" w:rsidRPr="00C3138A" w:rsidRDefault="00C3138A" w:rsidP="00914B03">
            <w:pPr>
              <w:autoSpaceDE w:val="0"/>
              <w:autoSpaceDN w:val="0"/>
              <w:adjustRightInd w:val="0"/>
              <w:ind w:left="0" w:right="34"/>
              <w:rPr>
                <w:sz w:val="18"/>
                <w:szCs w:val="18"/>
              </w:rPr>
            </w:pPr>
            <w:r w:rsidRPr="00C3138A">
              <w:rPr>
                <w:sz w:val="18"/>
                <w:szCs w:val="18"/>
              </w:rPr>
              <w:t>oxygen (n</w:t>
            </w:r>
            <w:r w:rsidR="00D42948">
              <w:rPr>
                <w:sz w:val="18"/>
                <w:szCs w:val="18"/>
              </w:rPr>
              <w:t xml:space="preserve"> = </w:t>
            </w:r>
            <w:r w:rsidRPr="00C3138A">
              <w:rPr>
                <w:sz w:val="18"/>
                <w:szCs w:val="18"/>
              </w:rPr>
              <w:t>15)</w:t>
            </w:r>
          </w:p>
        </w:tc>
        <w:tc>
          <w:tcPr>
            <w:tcW w:w="1984" w:type="dxa"/>
          </w:tcPr>
          <w:p w14:paraId="6651AEA5" w14:textId="77777777" w:rsidR="00C3138A" w:rsidRPr="00C3138A" w:rsidRDefault="00C3138A" w:rsidP="00914B03">
            <w:pPr>
              <w:autoSpaceDE w:val="0"/>
              <w:autoSpaceDN w:val="0"/>
              <w:adjustRightInd w:val="0"/>
              <w:ind w:left="0" w:right="34"/>
              <w:rPr>
                <w:sz w:val="18"/>
                <w:szCs w:val="18"/>
              </w:rPr>
            </w:pPr>
            <w:r w:rsidRPr="00C3138A">
              <w:rPr>
                <w:sz w:val="18"/>
                <w:szCs w:val="18"/>
              </w:rPr>
              <w:t>Open-label study</w:t>
            </w:r>
          </w:p>
          <w:p w14:paraId="66A5DCCF" w14:textId="77777777" w:rsidR="00C3138A" w:rsidRPr="00C3138A" w:rsidRDefault="00C3138A" w:rsidP="00914B03">
            <w:pPr>
              <w:autoSpaceDE w:val="0"/>
              <w:autoSpaceDN w:val="0"/>
              <w:adjustRightInd w:val="0"/>
              <w:ind w:left="0" w:right="34"/>
              <w:rPr>
                <w:sz w:val="18"/>
                <w:szCs w:val="18"/>
              </w:rPr>
            </w:pPr>
            <w:r w:rsidRPr="00C3138A">
              <w:rPr>
                <w:sz w:val="18"/>
                <w:szCs w:val="18"/>
              </w:rPr>
              <w:t>No correction for multiplicity of secondary endpoints, but clear identification of primary endpoint</w:t>
            </w:r>
          </w:p>
          <w:p w14:paraId="0414EE7C" w14:textId="77777777" w:rsidR="00C3138A" w:rsidRPr="00C3138A" w:rsidRDefault="00C3138A" w:rsidP="00914B03">
            <w:pPr>
              <w:autoSpaceDE w:val="0"/>
              <w:autoSpaceDN w:val="0"/>
              <w:adjustRightInd w:val="0"/>
              <w:ind w:left="0" w:right="34"/>
              <w:rPr>
                <w:sz w:val="18"/>
                <w:szCs w:val="18"/>
              </w:rPr>
            </w:pPr>
            <w:r w:rsidRPr="00C3138A">
              <w:rPr>
                <w:sz w:val="18"/>
                <w:szCs w:val="18"/>
              </w:rPr>
              <w:t>Unclear power calculations</w:t>
            </w:r>
          </w:p>
          <w:p w14:paraId="320DB322"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Significance of </w:t>
            </w:r>
            <w:r w:rsidR="00914B03">
              <w:rPr>
                <w:sz w:val="18"/>
                <w:szCs w:val="18"/>
              </w:rPr>
              <w:t>cardiac index</w:t>
            </w:r>
            <w:r w:rsidRPr="00C3138A">
              <w:rPr>
                <w:sz w:val="18"/>
                <w:szCs w:val="18"/>
              </w:rPr>
              <w:t xml:space="preserve"> results misrepresented</w:t>
            </w:r>
          </w:p>
        </w:tc>
        <w:tc>
          <w:tcPr>
            <w:tcW w:w="1843" w:type="dxa"/>
          </w:tcPr>
          <w:p w14:paraId="529E0002" w14:textId="77777777" w:rsidR="00C3138A" w:rsidRPr="00C3138A" w:rsidRDefault="00DC7D20" w:rsidP="00914B03">
            <w:pPr>
              <w:autoSpaceDE w:val="0"/>
              <w:autoSpaceDN w:val="0"/>
              <w:adjustRightInd w:val="0"/>
              <w:ind w:left="0" w:right="34"/>
              <w:rPr>
                <w:sz w:val="18"/>
                <w:szCs w:val="18"/>
              </w:rPr>
            </w:pPr>
            <w:r>
              <w:rPr>
                <w:sz w:val="18"/>
                <w:szCs w:val="18"/>
              </w:rPr>
              <w:t>inhaled nitric oxide</w:t>
            </w:r>
            <w:r w:rsidR="00C3138A" w:rsidRPr="00C3138A">
              <w:rPr>
                <w:sz w:val="18"/>
                <w:szCs w:val="18"/>
              </w:rPr>
              <w:t xml:space="preserve"> associated with reduced </w:t>
            </w:r>
            <w:r w:rsidR="00BB39E5">
              <w:rPr>
                <w:sz w:val="18"/>
                <w:szCs w:val="18"/>
              </w:rPr>
              <w:t>pulmonary vascular resistance</w:t>
            </w:r>
            <w:r w:rsidR="00C3138A" w:rsidRPr="00C3138A">
              <w:rPr>
                <w:sz w:val="18"/>
                <w:szCs w:val="18"/>
              </w:rPr>
              <w:t xml:space="preserve"> compared to</w:t>
            </w:r>
            <w:r w:rsidR="00D42948">
              <w:rPr>
                <w:sz w:val="18"/>
                <w:szCs w:val="18"/>
              </w:rPr>
              <w:t xml:space="preserve"> </w:t>
            </w:r>
            <w:r w:rsidR="00C3138A" w:rsidRPr="00C3138A">
              <w:rPr>
                <w:sz w:val="18"/>
                <w:szCs w:val="18"/>
              </w:rPr>
              <w:t xml:space="preserve">baseline, and improved </w:t>
            </w:r>
            <w:r w:rsidR="00914B03">
              <w:rPr>
                <w:sz w:val="18"/>
                <w:szCs w:val="18"/>
              </w:rPr>
              <w:t>cardiac index</w:t>
            </w:r>
            <w:r w:rsidR="00C3138A" w:rsidRPr="00C3138A">
              <w:rPr>
                <w:sz w:val="18"/>
                <w:szCs w:val="18"/>
              </w:rPr>
              <w:t xml:space="preserve"> compared to baseline</w:t>
            </w:r>
          </w:p>
        </w:tc>
        <w:tc>
          <w:tcPr>
            <w:tcW w:w="1843" w:type="dxa"/>
          </w:tcPr>
          <w:p w14:paraId="127332B5" w14:textId="77777777" w:rsidR="00C3138A" w:rsidRPr="00C3138A" w:rsidRDefault="00C3138A" w:rsidP="00914B03">
            <w:pPr>
              <w:autoSpaceDE w:val="0"/>
              <w:autoSpaceDN w:val="0"/>
              <w:adjustRightInd w:val="0"/>
              <w:ind w:left="0" w:right="34"/>
              <w:rPr>
                <w:sz w:val="18"/>
                <w:szCs w:val="18"/>
              </w:rPr>
            </w:pPr>
            <w:r w:rsidRPr="00C3138A">
              <w:rPr>
                <w:sz w:val="18"/>
                <w:szCs w:val="18"/>
              </w:rPr>
              <w:t xml:space="preserve">Significant superiority of </w:t>
            </w:r>
            <w:r w:rsidR="00DC7D20">
              <w:rPr>
                <w:sz w:val="18"/>
                <w:szCs w:val="18"/>
              </w:rPr>
              <w:t>inhaled nitric oxide</w:t>
            </w:r>
            <w:r w:rsidRPr="00C3138A">
              <w:rPr>
                <w:sz w:val="18"/>
                <w:szCs w:val="18"/>
              </w:rPr>
              <w:t xml:space="preserve"> for </w:t>
            </w:r>
            <w:r w:rsidR="00BB39E5">
              <w:rPr>
                <w:sz w:val="18"/>
                <w:szCs w:val="18"/>
              </w:rPr>
              <w:t>pulmonary vascular resistance</w:t>
            </w:r>
            <w:r w:rsidRPr="00C3138A">
              <w:rPr>
                <w:sz w:val="18"/>
                <w:szCs w:val="18"/>
              </w:rPr>
              <w:t xml:space="preserve">, but no significant difference for </w:t>
            </w:r>
            <w:r w:rsidR="00914B03">
              <w:rPr>
                <w:sz w:val="18"/>
                <w:szCs w:val="18"/>
              </w:rPr>
              <w:t>cardiac index</w:t>
            </w:r>
          </w:p>
        </w:tc>
      </w:tr>
      <w:tr w:rsidR="00C3138A" w:rsidRPr="00476AD9" w14:paraId="762BEC7B" w14:textId="77777777" w:rsidTr="00914B03">
        <w:tc>
          <w:tcPr>
            <w:tcW w:w="1526" w:type="dxa"/>
          </w:tcPr>
          <w:p w14:paraId="3974E402" w14:textId="22043857" w:rsidR="00C3138A" w:rsidRPr="00386E79" w:rsidRDefault="00C3138A" w:rsidP="00914B03">
            <w:pPr>
              <w:autoSpaceDE w:val="0"/>
              <w:autoSpaceDN w:val="0"/>
              <w:adjustRightInd w:val="0"/>
              <w:ind w:left="0" w:right="34"/>
              <w:rPr>
                <w:sz w:val="18"/>
                <w:szCs w:val="18"/>
              </w:rPr>
            </w:pPr>
            <w:r w:rsidRPr="00B21235">
              <w:rPr>
                <w:sz w:val="18"/>
                <w:szCs w:val="18"/>
              </w:rPr>
              <w:t>Khan 2009</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_Ref25843937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21</w:t>
            </w:r>
            <w:r w:rsidR="00222B2F" w:rsidRPr="00222B2F">
              <w:rPr>
                <w:sz w:val="18"/>
                <w:szCs w:val="18"/>
                <w:vertAlign w:val="superscript"/>
              </w:rPr>
              <w:fldChar w:fldCharType="end"/>
            </w:r>
          </w:p>
          <w:p w14:paraId="545C0548" w14:textId="77777777" w:rsidR="00C3138A" w:rsidRPr="00386E79" w:rsidRDefault="00C3138A" w:rsidP="00914B03">
            <w:pPr>
              <w:autoSpaceDE w:val="0"/>
              <w:autoSpaceDN w:val="0"/>
              <w:adjustRightInd w:val="0"/>
              <w:ind w:left="0" w:right="34"/>
              <w:rPr>
                <w:sz w:val="18"/>
                <w:szCs w:val="18"/>
              </w:rPr>
            </w:pPr>
            <w:r w:rsidRPr="00386E79">
              <w:rPr>
                <w:sz w:val="18"/>
                <w:szCs w:val="18"/>
              </w:rPr>
              <w:t>Lung and heart transplant patients</w:t>
            </w:r>
          </w:p>
        </w:tc>
        <w:tc>
          <w:tcPr>
            <w:tcW w:w="1701" w:type="dxa"/>
          </w:tcPr>
          <w:p w14:paraId="69436BDA"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20 ppm (n</w:t>
            </w:r>
            <w:r w:rsidR="00D42948">
              <w:rPr>
                <w:sz w:val="18"/>
                <w:szCs w:val="18"/>
              </w:rPr>
              <w:t xml:space="preserve"> = </w:t>
            </w:r>
            <w:r w:rsidR="00C3138A" w:rsidRPr="00476AD9">
              <w:rPr>
                <w:sz w:val="18"/>
                <w:szCs w:val="18"/>
              </w:rPr>
              <w:t>14)</w:t>
            </w:r>
          </w:p>
          <w:p w14:paraId="5A8D7C16" w14:textId="77777777" w:rsidR="00C3138A" w:rsidRPr="00476AD9" w:rsidRDefault="00C3138A" w:rsidP="00914B03">
            <w:pPr>
              <w:autoSpaceDE w:val="0"/>
              <w:autoSpaceDN w:val="0"/>
              <w:adjustRightInd w:val="0"/>
              <w:ind w:left="0" w:right="34"/>
              <w:rPr>
                <w:sz w:val="18"/>
                <w:szCs w:val="18"/>
              </w:rPr>
            </w:pPr>
            <w:r w:rsidRPr="00476AD9">
              <w:rPr>
                <w:sz w:val="18"/>
                <w:szCs w:val="18"/>
              </w:rPr>
              <w:t>PGI2 (n</w:t>
            </w:r>
            <w:r w:rsidR="00D42948">
              <w:rPr>
                <w:sz w:val="18"/>
                <w:szCs w:val="18"/>
              </w:rPr>
              <w:t xml:space="preserve"> = </w:t>
            </w:r>
            <w:r w:rsidRPr="00476AD9">
              <w:rPr>
                <w:sz w:val="18"/>
                <w:szCs w:val="18"/>
              </w:rPr>
              <w:t>11)</w:t>
            </w:r>
          </w:p>
          <w:p w14:paraId="00DE356F" w14:textId="77777777" w:rsidR="00C3138A" w:rsidRPr="00476AD9" w:rsidRDefault="00C3138A" w:rsidP="00914B03">
            <w:pPr>
              <w:autoSpaceDE w:val="0"/>
              <w:autoSpaceDN w:val="0"/>
              <w:adjustRightInd w:val="0"/>
              <w:ind w:left="0" w:right="34"/>
              <w:rPr>
                <w:sz w:val="18"/>
                <w:szCs w:val="18"/>
              </w:rPr>
            </w:pPr>
            <w:r w:rsidRPr="00476AD9">
              <w:rPr>
                <w:sz w:val="18"/>
                <w:szCs w:val="18"/>
              </w:rPr>
              <w:t>Followed by crossover</w:t>
            </w:r>
          </w:p>
        </w:tc>
        <w:tc>
          <w:tcPr>
            <w:tcW w:w="1984" w:type="dxa"/>
          </w:tcPr>
          <w:p w14:paraId="67B483D7" w14:textId="77777777" w:rsidR="00C3138A" w:rsidRPr="00476AD9" w:rsidRDefault="00C3138A" w:rsidP="00914B03">
            <w:pPr>
              <w:autoSpaceDE w:val="0"/>
              <w:autoSpaceDN w:val="0"/>
              <w:adjustRightInd w:val="0"/>
              <w:ind w:left="0" w:right="34"/>
              <w:rPr>
                <w:sz w:val="18"/>
                <w:szCs w:val="18"/>
              </w:rPr>
            </w:pPr>
            <w:r w:rsidRPr="00476AD9">
              <w:rPr>
                <w:sz w:val="18"/>
                <w:szCs w:val="18"/>
              </w:rPr>
              <w:t>Open</w:t>
            </w:r>
            <w:r w:rsidR="00914B03">
              <w:rPr>
                <w:sz w:val="18"/>
                <w:szCs w:val="18"/>
              </w:rPr>
              <w:t xml:space="preserve"> l</w:t>
            </w:r>
            <w:r w:rsidRPr="00476AD9">
              <w:rPr>
                <w:sz w:val="18"/>
                <w:szCs w:val="18"/>
              </w:rPr>
              <w:t>abel study</w:t>
            </w:r>
          </w:p>
          <w:p w14:paraId="1332C8DE" w14:textId="77777777" w:rsidR="00C3138A" w:rsidRPr="00476AD9" w:rsidRDefault="00C3138A" w:rsidP="00914B03">
            <w:pPr>
              <w:autoSpaceDE w:val="0"/>
              <w:autoSpaceDN w:val="0"/>
              <w:adjustRightInd w:val="0"/>
              <w:ind w:left="0" w:right="34"/>
              <w:rPr>
                <w:sz w:val="18"/>
                <w:szCs w:val="18"/>
              </w:rPr>
            </w:pPr>
            <w:r w:rsidRPr="00476AD9">
              <w:rPr>
                <w:sz w:val="18"/>
                <w:szCs w:val="18"/>
              </w:rPr>
              <w:t>Unclear power calculations</w:t>
            </w:r>
          </w:p>
          <w:p w14:paraId="1E50B1F6" w14:textId="77777777" w:rsidR="00C3138A" w:rsidRPr="00476AD9" w:rsidRDefault="00356864" w:rsidP="00914B03">
            <w:pPr>
              <w:autoSpaceDE w:val="0"/>
              <w:autoSpaceDN w:val="0"/>
              <w:adjustRightInd w:val="0"/>
              <w:ind w:left="0" w:right="34"/>
              <w:rPr>
                <w:sz w:val="18"/>
                <w:szCs w:val="18"/>
              </w:rPr>
            </w:pPr>
            <w:r>
              <w:rPr>
                <w:sz w:val="18"/>
                <w:szCs w:val="18"/>
              </w:rPr>
              <w:t>“Baseline” after treatment</w:t>
            </w:r>
          </w:p>
        </w:tc>
        <w:tc>
          <w:tcPr>
            <w:tcW w:w="1843" w:type="dxa"/>
          </w:tcPr>
          <w:p w14:paraId="18C7DE85" w14:textId="77777777" w:rsidR="00C3138A" w:rsidRPr="00476AD9" w:rsidRDefault="00C3138A" w:rsidP="00914B03">
            <w:pPr>
              <w:autoSpaceDE w:val="0"/>
              <w:autoSpaceDN w:val="0"/>
              <w:adjustRightInd w:val="0"/>
              <w:ind w:left="0" w:right="34"/>
              <w:rPr>
                <w:sz w:val="18"/>
                <w:szCs w:val="18"/>
              </w:rPr>
            </w:pPr>
            <w:r w:rsidRPr="00476AD9">
              <w:rPr>
                <w:sz w:val="18"/>
                <w:szCs w:val="18"/>
              </w:rPr>
              <w:t>No difference between groups</w:t>
            </w:r>
          </w:p>
        </w:tc>
        <w:tc>
          <w:tcPr>
            <w:tcW w:w="1843" w:type="dxa"/>
          </w:tcPr>
          <w:p w14:paraId="46B057FA" w14:textId="77777777" w:rsidR="00C3138A" w:rsidRPr="00476AD9" w:rsidRDefault="00C3138A" w:rsidP="00914B03">
            <w:pPr>
              <w:autoSpaceDE w:val="0"/>
              <w:autoSpaceDN w:val="0"/>
              <w:adjustRightInd w:val="0"/>
              <w:ind w:left="0" w:right="34"/>
              <w:rPr>
                <w:sz w:val="18"/>
                <w:szCs w:val="18"/>
              </w:rPr>
            </w:pPr>
            <w:r w:rsidRPr="00476AD9">
              <w:rPr>
                <w:sz w:val="18"/>
                <w:szCs w:val="18"/>
              </w:rPr>
              <w:t>Negative</w:t>
            </w:r>
          </w:p>
        </w:tc>
      </w:tr>
      <w:tr w:rsidR="00C3138A" w:rsidRPr="00476AD9" w14:paraId="4B013459" w14:textId="77777777" w:rsidTr="00914B03">
        <w:tc>
          <w:tcPr>
            <w:tcW w:w="1526" w:type="dxa"/>
          </w:tcPr>
          <w:p w14:paraId="0E1C22A6" w14:textId="63C19615" w:rsidR="00C3138A" w:rsidRPr="00386E79" w:rsidRDefault="00C3138A" w:rsidP="00914B03">
            <w:pPr>
              <w:autoSpaceDE w:val="0"/>
              <w:autoSpaceDN w:val="0"/>
              <w:adjustRightInd w:val="0"/>
              <w:ind w:left="0" w:right="34"/>
              <w:rPr>
                <w:sz w:val="18"/>
                <w:szCs w:val="18"/>
              </w:rPr>
            </w:pPr>
            <w:proofErr w:type="spellStart"/>
            <w:r w:rsidRPr="00B21235">
              <w:rPr>
                <w:sz w:val="18"/>
                <w:szCs w:val="18"/>
              </w:rPr>
              <w:t>Knothe</w:t>
            </w:r>
            <w:proofErr w:type="spellEnd"/>
            <w:r w:rsidRPr="00B21235">
              <w:rPr>
                <w:sz w:val="18"/>
                <w:szCs w:val="18"/>
              </w:rPr>
              <w:t xml:space="preserve"> 1996</w:t>
            </w:r>
            <w:r w:rsidR="002F0A76" w:rsidRPr="00B21235">
              <w:rPr>
                <w:sz w:val="18"/>
                <w:szCs w:val="18"/>
              </w:rPr>
              <w:t>;</w:t>
            </w:r>
            <w:r w:rsidR="00222B2F" w:rsidRPr="00222B2F">
              <w:rPr>
                <w:sz w:val="18"/>
                <w:szCs w:val="18"/>
                <w:vertAlign w:val="superscript"/>
              </w:rPr>
              <w:fldChar w:fldCharType="begin"/>
            </w:r>
            <w:r w:rsidR="00222B2F" w:rsidRPr="00222B2F">
              <w:rPr>
                <w:sz w:val="18"/>
                <w:szCs w:val="18"/>
                <w:vertAlign w:val="superscript"/>
              </w:rPr>
              <w:instrText xml:space="preserve"> NOTEREF _Ref25843632 \h  \* MERGEFORMAT </w:instrText>
            </w:r>
            <w:r w:rsidR="00222B2F" w:rsidRPr="00222B2F">
              <w:rPr>
                <w:sz w:val="18"/>
                <w:szCs w:val="18"/>
                <w:vertAlign w:val="superscript"/>
              </w:rPr>
            </w:r>
            <w:r w:rsidR="00222B2F" w:rsidRPr="00222B2F">
              <w:rPr>
                <w:sz w:val="18"/>
                <w:szCs w:val="18"/>
                <w:vertAlign w:val="superscript"/>
              </w:rPr>
              <w:fldChar w:fldCharType="separate"/>
            </w:r>
            <w:r w:rsidR="00222B2F" w:rsidRPr="00222B2F">
              <w:rPr>
                <w:sz w:val="18"/>
                <w:szCs w:val="18"/>
                <w:vertAlign w:val="superscript"/>
              </w:rPr>
              <w:t>22</w:t>
            </w:r>
            <w:r w:rsidR="00222B2F" w:rsidRPr="00222B2F">
              <w:rPr>
                <w:sz w:val="18"/>
                <w:szCs w:val="18"/>
                <w:vertAlign w:val="superscript"/>
              </w:rPr>
              <w:fldChar w:fldCharType="end"/>
            </w:r>
          </w:p>
          <w:p w14:paraId="6869E66F" w14:textId="77777777" w:rsidR="00C3138A" w:rsidRPr="00386E79" w:rsidRDefault="00C3138A" w:rsidP="00914B03">
            <w:pPr>
              <w:autoSpaceDE w:val="0"/>
              <w:autoSpaceDN w:val="0"/>
              <w:adjustRightInd w:val="0"/>
              <w:ind w:left="0" w:right="34"/>
              <w:rPr>
                <w:sz w:val="18"/>
                <w:szCs w:val="18"/>
              </w:rPr>
            </w:pPr>
            <w:r w:rsidRPr="00386E79">
              <w:rPr>
                <w:sz w:val="18"/>
                <w:szCs w:val="18"/>
              </w:rPr>
              <w:t>Cardiac surgery patients</w:t>
            </w:r>
          </w:p>
        </w:tc>
        <w:tc>
          <w:tcPr>
            <w:tcW w:w="1701" w:type="dxa"/>
          </w:tcPr>
          <w:p w14:paraId="41BA3001" w14:textId="77777777" w:rsidR="00C3138A" w:rsidRPr="00476AD9" w:rsidRDefault="00DC7D20" w:rsidP="00914B03">
            <w:pPr>
              <w:autoSpaceDE w:val="0"/>
              <w:autoSpaceDN w:val="0"/>
              <w:adjustRightInd w:val="0"/>
              <w:ind w:left="0" w:right="34"/>
              <w:rPr>
                <w:sz w:val="18"/>
                <w:szCs w:val="18"/>
              </w:rPr>
            </w:pPr>
            <w:r>
              <w:rPr>
                <w:sz w:val="18"/>
                <w:szCs w:val="18"/>
              </w:rPr>
              <w:t>inhaled nitric oxide</w:t>
            </w:r>
            <w:r w:rsidR="00C3138A" w:rsidRPr="00476AD9">
              <w:rPr>
                <w:sz w:val="18"/>
                <w:szCs w:val="18"/>
              </w:rPr>
              <w:t xml:space="preserve"> 30 ppm (n</w:t>
            </w:r>
            <w:r w:rsidR="00D42948">
              <w:rPr>
                <w:sz w:val="18"/>
                <w:szCs w:val="18"/>
              </w:rPr>
              <w:t xml:space="preserve"> = </w:t>
            </w:r>
            <w:r w:rsidR="00C3138A" w:rsidRPr="00476AD9">
              <w:rPr>
                <w:sz w:val="18"/>
                <w:szCs w:val="18"/>
              </w:rPr>
              <w:t>10)</w:t>
            </w:r>
          </w:p>
          <w:p w14:paraId="1ED05D9F" w14:textId="173D7A09" w:rsidR="009F6B44" w:rsidRDefault="00C3138A" w:rsidP="00914B03">
            <w:pPr>
              <w:autoSpaceDE w:val="0"/>
              <w:autoSpaceDN w:val="0"/>
              <w:adjustRightInd w:val="0"/>
              <w:ind w:left="0" w:right="34"/>
              <w:rPr>
                <w:sz w:val="18"/>
                <w:szCs w:val="18"/>
              </w:rPr>
            </w:pPr>
            <w:r w:rsidRPr="00476AD9">
              <w:rPr>
                <w:sz w:val="18"/>
                <w:szCs w:val="18"/>
              </w:rPr>
              <w:t>standard therapy</w:t>
            </w:r>
          </w:p>
          <w:p w14:paraId="3AA46CA3" w14:textId="77777777" w:rsidR="00C3138A" w:rsidRPr="00476AD9" w:rsidRDefault="00C3138A" w:rsidP="00914B03">
            <w:pPr>
              <w:autoSpaceDE w:val="0"/>
              <w:autoSpaceDN w:val="0"/>
              <w:adjustRightInd w:val="0"/>
              <w:ind w:left="0" w:right="34"/>
              <w:rPr>
                <w:sz w:val="18"/>
                <w:szCs w:val="18"/>
              </w:rPr>
            </w:pPr>
            <w:r w:rsidRPr="00476AD9">
              <w:rPr>
                <w:sz w:val="18"/>
                <w:szCs w:val="18"/>
              </w:rPr>
              <w:t>(n</w:t>
            </w:r>
            <w:r w:rsidR="00D42948">
              <w:rPr>
                <w:sz w:val="18"/>
                <w:szCs w:val="18"/>
              </w:rPr>
              <w:t xml:space="preserve"> = </w:t>
            </w:r>
            <w:r w:rsidRPr="00476AD9">
              <w:rPr>
                <w:sz w:val="18"/>
                <w:szCs w:val="18"/>
              </w:rPr>
              <w:t>10)</w:t>
            </w:r>
          </w:p>
        </w:tc>
        <w:tc>
          <w:tcPr>
            <w:tcW w:w="1984" w:type="dxa"/>
          </w:tcPr>
          <w:p w14:paraId="50E874D1" w14:textId="77777777" w:rsidR="00C3138A" w:rsidRPr="00476AD9" w:rsidRDefault="00C3138A" w:rsidP="00914B03">
            <w:pPr>
              <w:autoSpaceDE w:val="0"/>
              <w:autoSpaceDN w:val="0"/>
              <w:adjustRightInd w:val="0"/>
              <w:ind w:left="0" w:right="34"/>
              <w:rPr>
                <w:sz w:val="18"/>
                <w:szCs w:val="18"/>
              </w:rPr>
            </w:pPr>
            <w:r w:rsidRPr="00476AD9">
              <w:rPr>
                <w:sz w:val="18"/>
                <w:szCs w:val="18"/>
              </w:rPr>
              <w:t>Open-label study</w:t>
            </w:r>
          </w:p>
        </w:tc>
        <w:tc>
          <w:tcPr>
            <w:tcW w:w="1843" w:type="dxa"/>
          </w:tcPr>
          <w:p w14:paraId="00D65A55" w14:textId="77777777" w:rsidR="00C3138A" w:rsidRPr="00476AD9" w:rsidRDefault="00C3138A" w:rsidP="00914B03">
            <w:pPr>
              <w:autoSpaceDE w:val="0"/>
              <w:autoSpaceDN w:val="0"/>
              <w:adjustRightInd w:val="0"/>
              <w:ind w:left="0" w:right="34"/>
              <w:rPr>
                <w:sz w:val="18"/>
                <w:szCs w:val="18"/>
              </w:rPr>
            </w:pPr>
            <w:r w:rsidRPr="00476AD9">
              <w:rPr>
                <w:sz w:val="18"/>
                <w:szCs w:val="18"/>
              </w:rPr>
              <w:t xml:space="preserve">Reductions in </w:t>
            </w:r>
            <w:r w:rsidR="00BB39E5">
              <w:rPr>
                <w:sz w:val="18"/>
                <w:szCs w:val="18"/>
              </w:rPr>
              <w:t>pulmonary arterial pressure</w:t>
            </w:r>
            <w:r w:rsidRPr="00476AD9">
              <w:rPr>
                <w:sz w:val="18"/>
                <w:szCs w:val="18"/>
              </w:rPr>
              <w:t xml:space="preserve"> and </w:t>
            </w:r>
            <w:r w:rsidR="00BB39E5">
              <w:rPr>
                <w:sz w:val="18"/>
                <w:szCs w:val="18"/>
              </w:rPr>
              <w:t>pulmonary vascular resistance</w:t>
            </w:r>
            <w:r w:rsidRPr="00476AD9">
              <w:rPr>
                <w:sz w:val="18"/>
                <w:szCs w:val="18"/>
              </w:rPr>
              <w:t xml:space="preserve"> observed, but no difference between groups</w:t>
            </w:r>
          </w:p>
        </w:tc>
        <w:tc>
          <w:tcPr>
            <w:tcW w:w="1843" w:type="dxa"/>
          </w:tcPr>
          <w:p w14:paraId="3A5431A4" w14:textId="77777777" w:rsidR="00C3138A" w:rsidRPr="00476AD9" w:rsidRDefault="00C3138A" w:rsidP="00914B03">
            <w:pPr>
              <w:autoSpaceDE w:val="0"/>
              <w:autoSpaceDN w:val="0"/>
              <w:adjustRightInd w:val="0"/>
              <w:ind w:left="0" w:right="34"/>
              <w:rPr>
                <w:sz w:val="18"/>
                <w:szCs w:val="18"/>
              </w:rPr>
            </w:pPr>
            <w:r w:rsidRPr="00476AD9">
              <w:rPr>
                <w:sz w:val="18"/>
                <w:szCs w:val="18"/>
              </w:rPr>
              <w:t>Negative</w:t>
            </w:r>
          </w:p>
        </w:tc>
      </w:tr>
    </w:tbl>
    <w:p w14:paraId="0842227C" w14:textId="77777777" w:rsidR="00C3138A" w:rsidRDefault="00C3138A" w:rsidP="00D42948">
      <w:pPr>
        <w:pStyle w:val="Heading5"/>
      </w:pPr>
      <w:r>
        <w:t>Off-label and non-trial experience</w:t>
      </w:r>
    </w:p>
    <w:p w14:paraId="6C31B4F4" w14:textId="752DE9B7" w:rsidR="00C3138A" w:rsidRDefault="00C3138A" w:rsidP="00C3138A">
      <w:r>
        <w:t xml:space="preserve">As noted for the paediatric submission, there has been extensive experience with </w:t>
      </w:r>
      <w:r w:rsidR="00DC7D20">
        <w:t>inhaled nitric oxide</w:t>
      </w:r>
      <w:r>
        <w:t xml:space="preserve"> over multiple decades, and </w:t>
      </w:r>
      <w:r w:rsidR="00DC7D20">
        <w:t>inhaled nitric oxide</w:t>
      </w:r>
      <w:r>
        <w:t xml:space="preserve"> is widely regarded as a gold-standard treatment for management of pulmonary hypertension in ventilated patients. Several authorities have recommended its use in the cardiac surgical setting, despite its off-label status, and it was registered for the proposed indication in Europe in 2011</w:t>
      </w:r>
      <w:r w:rsidR="000441EA">
        <w:t xml:space="preserve"> (a</w:t>
      </w:r>
      <w:r>
        <w:t>lso, the same active agent is already approved in Australi</w:t>
      </w:r>
      <w:r w:rsidR="00356864">
        <w:t xml:space="preserve">a under a different brand name </w:t>
      </w:r>
      <w:proofErr w:type="spellStart"/>
      <w:r>
        <w:t>Vaso</w:t>
      </w:r>
      <w:r w:rsidR="00B9690A">
        <w:t>k</w:t>
      </w:r>
      <w:r w:rsidR="00356864">
        <w:t>inox</w:t>
      </w:r>
      <w:proofErr w:type="spellEnd"/>
      <w:r>
        <w:t>, at a different concentration). This widespread off-label experience offsets the considerable deficiencies in the published studies evaluated here.</w:t>
      </w:r>
    </w:p>
    <w:p w14:paraId="49F7E089" w14:textId="77777777" w:rsidR="00C3138A" w:rsidRDefault="00C3138A" w:rsidP="00D42948">
      <w:pPr>
        <w:pStyle w:val="Heading5"/>
      </w:pPr>
      <w:r>
        <w:t>Conclusion</w:t>
      </w:r>
    </w:p>
    <w:p w14:paraId="456DD730" w14:textId="24ABD935" w:rsidR="00C3138A" w:rsidRPr="00500337" w:rsidRDefault="00C3138A" w:rsidP="00C3138A">
      <w:r>
        <w:t xml:space="preserve">The efficacy of </w:t>
      </w:r>
      <w:r w:rsidR="00DC7D20">
        <w:t>inhaled nitric oxide</w:t>
      </w:r>
      <w:r>
        <w:t xml:space="preserve"> has been confirmed in a large number of small studies that are individually weak, but broadly consistent. Inhaled </w:t>
      </w:r>
      <w:r w:rsidR="00D42948">
        <w:t>nitric oxide</w:t>
      </w:r>
      <w:r>
        <w:t xml:space="preserve"> has been shown to reduce pulmonary artery pressure and pulmonary vascular resistance when given to adult subjects who exhibit pulmonary hypertension in the setting of cardiac surgery. In settings where systemic blood pressure needs to be maintained, </w:t>
      </w:r>
      <w:r w:rsidR="00DC7D20">
        <w:t>inhaled nitric oxide</w:t>
      </w:r>
      <w:r>
        <w:t xml:space="preserve"> has an advantage over systemic vasodilators because it is selective for the pulmonary </w:t>
      </w:r>
      <w:r>
        <w:lastRenderedPageBreak/>
        <w:t>vasculature. The size of the effect cannot be determined accurately from the available evidence.</w:t>
      </w:r>
    </w:p>
    <w:p w14:paraId="21E52A1A" w14:textId="77777777" w:rsidR="008E7846" w:rsidRDefault="008E7846" w:rsidP="008E7846">
      <w:pPr>
        <w:pStyle w:val="Heading3"/>
      </w:pPr>
      <w:bookmarkStart w:id="99" w:name="_Toc163441378"/>
      <w:bookmarkStart w:id="100" w:name="_Toc196046495"/>
      <w:bookmarkStart w:id="101" w:name="_Toc247691522"/>
      <w:bookmarkStart w:id="102" w:name="_Toc314842505"/>
      <w:bookmarkStart w:id="103" w:name="_Toc28009949"/>
      <w:bookmarkEnd w:id="61"/>
      <w:bookmarkEnd w:id="62"/>
      <w:bookmarkEnd w:id="63"/>
      <w:bookmarkEnd w:id="64"/>
      <w:r w:rsidRPr="002E238E">
        <w:t>Safety</w:t>
      </w:r>
      <w:bookmarkEnd w:id="99"/>
      <w:bookmarkEnd w:id="100"/>
      <w:bookmarkEnd w:id="101"/>
      <w:bookmarkEnd w:id="102"/>
      <w:bookmarkEnd w:id="103"/>
    </w:p>
    <w:p w14:paraId="6F8CDCDE" w14:textId="77777777" w:rsidR="00C3138A" w:rsidRDefault="00C3138A" w:rsidP="00C3138A">
      <w:r>
        <w:t xml:space="preserve">The safety of </w:t>
      </w:r>
      <w:r w:rsidR="00DC7D20">
        <w:t>inhaled nitric oxide</w:t>
      </w:r>
      <w:r>
        <w:t xml:space="preserve"> has been evaluated in the cont</w:t>
      </w:r>
      <w:r w:rsidR="00B9690A">
        <w:t xml:space="preserve">ext of previous </w:t>
      </w:r>
      <w:r>
        <w:t>submissions including:</w:t>
      </w:r>
    </w:p>
    <w:p w14:paraId="0A021E0C" w14:textId="77777777" w:rsidR="00C3138A" w:rsidRDefault="00C3138A" w:rsidP="00B9690A">
      <w:pPr>
        <w:pStyle w:val="ListBullet"/>
      </w:pPr>
      <w:r>
        <w:t xml:space="preserve">the original paediatric </w:t>
      </w:r>
      <w:proofErr w:type="spellStart"/>
      <w:r w:rsidR="00C40BA7">
        <w:t>INOmax</w:t>
      </w:r>
      <w:proofErr w:type="spellEnd"/>
      <w:r>
        <w:t xml:space="preserve"> submission seeking registration for respiratory distress associated with persistent pulmon</w:t>
      </w:r>
      <w:r w:rsidR="00914B03">
        <w:t>ary hypertension of the newborn</w:t>
      </w:r>
      <w:r>
        <w:t>;</w:t>
      </w:r>
    </w:p>
    <w:p w14:paraId="0E476D55" w14:textId="77777777" w:rsidR="00C3138A" w:rsidRDefault="00C3138A" w:rsidP="00B9690A">
      <w:pPr>
        <w:pStyle w:val="ListBullet"/>
      </w:pPr>
      <w:r>
        <w:t xml:space="preserve">the </w:t>
      </w:r>
      <w:proofErr w:type="spellStart"/>
      <w:r w:rsidR="00C40BA7">
        <w:t>INOmax</w:t>
      </w:r>
      <w:proofErr w:type="spellEnd"/>
      <w:r>
        <w:t xml:space="preserve"> submission seeking registration of </w:t>
      </w:r>
      <w:proofErr w:type="spellStart"/>
      <w:r w:rsidR="00C40BA7">
        <w:t>INOmax</w:t>
      </w:r>
      <w:proofErr w:type="spellEnd"/>
      <w:r>
        <w:t xml:space="preserve"> for treatment of pulmonary hypertension in paediatric cardiac surgery; and</w:t>
      </w:r>
    </w:p>
    <w:p w14:paraId="653A077B" w14:textId="77777777" w:rsidR="00C3138A" w:rsidRDefault="00C3138A" w:rsidP="00B9690A">
      <w:pPr>
        <w:pStyle w:val="ListBullet"/>
      </w:pPr>
      <w:r>
        <w:t xml:space="preserve">the </w:t>
      </w:r>
      <w:proofErr w:type="spellStart"/>
      <w:r w:rsidR="000E07C6">
        <w:t>Vasokinox</w:t>
      </w:r>
      <w:proofErr w:type="spellEnd"/>
      <w:r>
        <w:t xml:space="preserve"> submission seeking registration of </w:t>
      </w:r>
      <w:r w:rsidR="00DC7D20">
        <w:t>inhaled nitric oxide</w:t>
      </w:r>
      <w:r>
        <w:t xml:space="preserve"> in both children and adults</w:t>
      </w:r>
    </w:p>
    <w:p w14:paraId="7E3DDCF6" w14:textId="17CCD7F6" w:rsidR="00C3138A" w:rsidRDefault="00C3138A" w:rsidP="00C3138A">
      <w:r>
        <w:t xml:space="preserve">Inhaled </w:t>
      </w:r>
      <w:r w:rsidR="00773645">
        <w:t>nitric oxide</w:t>
      </w:r>
      <w:r>
        <w:t xml:space="preserve"> has also been registered for use in adults overseas, and it has been used off-label for more than two decades in the treatment of adults with perioperative pulmonary hypertension. The safety issues associated with this product are therefore reasonably well known, and the current submission does not present substantial new safety issues compared to those evaluated previously. Compared to the </w:t>
      </w:r>
      <w:proofErr w:type="spellStart"/>
      <w:r w:rsidR="000E07C6">
        <w:t>Vasokinox</w:t>
      </w:r>
      <w:proofErr w:type="spellEnd"/>
      <w:r>
        <w:t xml:space="preserve"> submission, which did not include </w:t>
      </w:r>
      <w:r w:rsidR="000441EA">
        <w:t xml:space="preserve">Study </w:t>
      </w:r>
      <w:r w:rsidR="00BB39E5">
        <w:t>INOT41</w:t>
      </w:r>
      <w:r>
        <w:t xml:space="preserve">/ </w:t>
      </w:r>
      <w:proofErr w:type="spellStart"/>
      <w:r>
        <w:t>Potapov</w:t>
      </w:r>
      <w:proofErr w:type="spellEnd"/>
      <w:r>
        <w:t xml:space="preserve"> 2011</w:t>
      </w:r>
      <w:r w:rsidR="006F789A">
        <w:t>;</w:t>
      </w:r>
      <w:r w:rsidR="00222B2F" w:rsidRPr="00222B2F">
        <w:rPr>
          <w:vertAlign w:val="superscript"/>
        </w:rPr>
        <w:fldChar w:fldCharType="begin"/>
      </w:r>
      <w:r w:rsidR="00222B2F" w:rsidRPr="00222B2F">
        <w:rPr>
          <w:vertAlign w:val="superscript"/>
        </w:rPr>
        <w:instrText xml:space="preserve"> NOTEREF _Ref25845701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4</w:t>
      </w:r>
      <w:r w:rsidR="00222B2F" w:rsidRPr="00222B2F">
        <w:rPr>
          <w:vertAlign w:val="superscript"/>
        </w:rPr>
        <w:fldChar w:fldCharType="end"/>
      </w:r>
      <w:r>
        <w:t xml:space="preserve"> the current </w:t>
      </w:r>
      <w:proofErr w:type="spellStart"/>
      <w:r w:rsidR="00C40BA7">
        <w:t>INOmax</w:t>
      </w:r>
      <w:proofErr w:type="spellEnd"/>
      <w:r>
        <w:t xml:space="preserve"> submission provides data on a greater number of exposures to </w:t>
      </w:r>
      <w:r w:rsidR="00DC7D20">
        <w:t>inhaled nitric oxide</w:t>
      </w:r>
      <w:r>
        <w:t xml:space="preserve"> 40</w:t>
      </w:r>
      <w:r w:rsidR="009F6B44">
        <w:t> </w:t>
      </w:r>
      <w:r>
        <w:t xml:space="preserve">ppm. The current submission does not directly discuss paediatric exposure to </w:t>
      </w:r>
      <w:proofErr w:type="spellStart"/>
      <w:r w:rsidR="00C40BA7">
        <w:t>INOmax</w:t>
      </w:r>
      <w:proofErr w:type="spellEnd"/>
      <w:r>
        <w:t xml:space="preserve">, but the experience of using </w:t>
      </w:r>
      <w:proofErr w:type="spellStart"/>
      <w:r w:rsidR="00C40BA7">
        <w:t>INOmax</w:t>
      </w:r>
      <w:proofErr w:type="spellEnd"/>
      <w:r>
        <w:t xml:space="preserve"> in this vulnerable population provides additional external validity and reassurance for the adult safety assessment.</w:t>
      </w:r>
    </w:p>
    <w:p w14:paraId="2652BD0F" w14:textId="77777777" w:rsidR="00C3138A" w:rsidRDefault="00C3138A" w:rsidP="009874EA">
      <w:pPr>
        <w:pStyle w:val="Heading5"/>
      </w:pPr>
      <w:r>
        <w:t xml:space="preserve">Known safety issues with </w:t>
      </w:r>
      <w:proofErr w:type="spellStart"/>
      <w:r w:rsidR="00C40BA7">
        <w:t>INOmax</w:t>
      </w:r>
      <w:proofErr w:type="spellEnd"/>
    </w:p>
    <w:p w14:paraId="4F2BAD4F" w14:textId="77777777" w:rsidR="00C3138A" w:rsidRDefault="00C3138A" w:rsidP="00C3138A">
      <w:r>
        <w:t xml:space="preserve">At the time of the </w:t>
      </w:r>
      <w:r w:rsidR="009F6B44">
        <w:t>c</w:t>
      </w:r>
      <w:r>
        <w:t xml:space="preserve">linical </w:t>
      </w:r>
      <w:r w:rsidR="009F6B44">
        <w:t>e</w:t>
      </w:r>
      <w:r>
        <w:t>valuation for the paediatric submission, the following safety issues were identified:</w:t>
      </w:r>
    </w:p>
    <w:p w14:paraId="59A486C4" w14:textId="77777777" w:rsidR="00C3138A" w:rsidRDefault="009874EA" w:rsidP="009874EA">
      <w:pPr>
        <w:pStyle w:val="ListBullet"/>
      </w:pPr>
      <w:r>
        <w:t>nitric oxide</w:t>
      </w:r>
      <w:r w:rsidR="00C3138A">
        <w:t xml:space="preserve"> combines with haemoglobin (</w:t>
      </w:r>
      <w:proofErr w:type="spellStart"/>
      <w:r w:rsidR="002355B2">
        <w:t>Hb</w:t>
      </w:r>
      <w:proofErr w:type="spellEnd"/>
      <w:r w:rsidR="002355B2">
        <w:t xml:space="preserve">) to produce </w:t>
      </w:r>
      <w:proofErr w:type="spellStart"/>
      <w:r w:rsidR="00931948">
        <w:rPr>
          <w:rFonts w:eastAsia="TimesNewRoman"/>
        </w:rPr>
        <w:t>metHB</w:t>
      </w:r>
      <w:proofErr w:type="spellEnd"/>
      <w:r w:rsidR="00C3138A">
        <w:t xml:space="preserve">, which makes a proportion of the total </w:t>
      </w:r>
      <w:r>
        <w:t>haemoglobin</w:t>
      </w:r>
      <w:r w:rsidR="00C3138A">
        <w:t xml:space="preserve"> unavailable for carrying oxygen;</w:t>
      </w:r>
    </w:p>
    <w:p w14:paraId="17D2E998" w14:textId="77777777" w:rsidR="003B08F8" w:rsidRDefault="009874EA" w:rsidP="009874EA">
      <w:pPr>
        <w:pStyle w:val="ListBullet"/>
      </w:pPr>
      <w:r>
        <w:t>nitric oxide</w:t>
      </w:r>
      <w:r w:rsidR="00C3138A">
        <w:t xml:space="preserve"> by-products include the toxic molecule </w:t>
      </w:r>
      <w:r w:rsidR="007C59F5">
        <w:t>nitrogen dioxide (</w:t>
      </w:r>
      <w:r w:rsidR="00C3138A">
        <w:t>NO</w:t>
      </w:r>
      <w:r w:rsidR="00C3138A" w:rsidRPr="00931948">
        <w:rPr>
          <w:vertAlign w:val="subscript"/>
        </w:rPr>
        <w:t>2</w:t>
      </w:r>
      <w:r w:rsidR="007C59F5">
        <w:t>)</w:t>
      </w:r>
      <w:r w:rsidR="00C3138A">
        <w:t>, and so monitoring is required to</w:t>
      </w:r>
      <w:r w:rsidR="007C59F5">
        <w:t xml:space="preserve"> ensure that levels of nitrogen dioxide</w:t>
      </w:r>
      <w:r w:rsidR="00C3138A">
        <w:t xml:space="preserve"> remain within safe limits;</w:t>
      </w:r>
    </w:p>
    <w:p w14:paraId="11581E46" w14:textId="77777777" w:rsidR="00C3138A" w:rsidRDefault="00C3138A" w:rsidP="009874EA">
      <w:pPr>
        <w:pStyle w:val="ListBullet"/>
      </w:pPr>
      <w:r>
        <w:t xml:space="preserve">abrupt cessation of </w:t>
      </w:r>
      <w:r w:rsidR="009874EA">
        <w:t>nitric oxide</w:t>
      </w:r>
      <w:r>
        <w:t xml:space="preserve"> can induce rebound pulmonary hypertension;</w:t>
      </w:r>
    </w:p>
    <w:p w14:paraId="7C8E23CA" w14:textId="77777777" w:rsidR="00C3138A" w:rsidRDefault="009874EA" w:rsidP="009874EA">
      <w:pPr>
        <w:pStyle w:val="ListBullet"/>
      </w:pPr>
      <w:r>
        <w:t>nitric oxide</w:t>
      </w:r>
      <w:r w:rsidR="00C3138A">
        <w:t xml:space="preserve"> can increase left</w:t>
      </w:r>
      <w:r w:rsidR="007C59F5">
        <w:t xml:space="preserve"> </w:t>
      </w:r>
      <w:r w:rsidR="00C3138A">
        <w:t>atrial (LA) filling, potentially exacerbating cardiac failure or pulmonary oedema in susceptible individuals with pre-existing left ventricular dysfunction;</w:t>
      </w:r>
    </w:p>
    <w:p w14:paraId="73FFFDB5" w14:textId="77777777" w:rsidR="00C3138A" w:rsidRDefault="009874EA" w:rsidP="009874EA">
      <w:pPr>
        <w:pStyle w:val="ListBullet"/>
      </w:pPr>
      <w:r>
        <w:t>nitric oxide</w:t>
      </w:r>
      <w:r w:rsidR="00C3138A">
        <w:t xml:space="preserve"> could, in theory, effect platelet function;</w:t>
      </w:r>
    </w:p>
    <w:p w14:paraId="3EB4F660" w14:textId="77777777" w:rsidR="00C3138A" w:rsidRDefault="009874EA" w:rsidP="009874EA">
      <w:pPr>
        <w:pStyle w:val="ListBullet"/>
      </w:pPr>
      <w:r>
        <w:t>nitric oxide</w:t>
      </w:r>
      <w:r w:rsidR="00C3138A">
        <w:t xml:space="preserve"> has unknown effects on the immune system.</w:t>
      </w:r>
    </w:p>
    <w:p w14:paraId="3F5C90D3" w14:textId="77777777" w:rsidR="003B08F8" w:rsidRDefault="00C3138A" w:rsidP="00C3138A">
      <w:r>
        <w:t>The previous evaluation made the following comments in regard to these issues:</w:t>
      </w:r>
    </w:p>
    <w:p w14:paraId="5D2CC139" w14:textId="29F3056A" w:rsidR="003B08F8" w:rsidRDefault="000441EA" w:rsidP="00C3138A">
      <w:r>
        <w:t>‘</w:t>
      </w:r>
      <w:r w:rsidR="00C3138A">
        <w:t xml:space="preserve">Some of the submitted studies specifically commented on these issues. Virtually all of the studies specifically monitored and reported </w:t>
      </w:r>
      <w:proofErr w:type="spellStart"/>
      <w:r w:rsidR="00931948">
        <w:rPr>
          <w:rFonts w:eastAsia="TimesNewRoman"/>
        </w:rPr>
        <w:t>metHB</w:t>
      </w:r>
      <w:proofErr w:type="spellEnd"/>
      <w:r w:rsidR="00C3138A">
        <w:t xml:space="preserve"> levels, and most studies reported </w:t>
      </w:r>
      <w:r w:rsidR="009874EA">
        <w:t>n</w:t>
      </w:r>
      <w:r w:rsidR="007C59F5">
        <w:t>itrogen di</w:t>
      </w:r>
      <w:r w:rsidR="009874EA">
        <w:t>oxide</w:t>
      </w:r>
      <w:r w:rsidR="00C3138A">
        <w:t xml:space="preserve"> levels or indicated that alarms were in place for alerting investigators to elevated levels of </w:t>
      </w:r>
      <w:r w:rsidR="009874EA">
        <w:t>n</w:t>
      </w:r>
      <w:r w:rsidR="007C59F5">
        <w:t>itrogen di</w:t>
      </w:r>
      <w:r w:rsidR="009874EA">
        <w:t>oxide</w:t>
      </w:r>
      <w:r w:rsidR="00C3138A">
        <w:t>.</w:t>
      </w:r>
    </w:p>
    <w:p w14:paraId="18FD87FE" w14:textId="77777777" w:rsidR="00C3138A" w:rsidRDefault="00C3138A" w:rsidP="00C3138A">
      <w:r>
        <w:t xml:space="preserve">All authors appeared to be aware of the potential for rebound pulmonary hypertension to occur when </w:t>
      </w:r>
      <w:r w:rsidR="00DC7D20">
        <w:t>inhaled nitric oxide</w:t>
      </w:r>
      <w:r>
        <w:t xml:space="preserve"> is ceased abruptly, and most study protocols avoided this with cautious weaning protocols. The ease of weaning therapy was specifically assessed in </w:t>
      </w:r>
      <w:r>
        <w:lastRenderedPageBreak/>
        <w:t>the main pivotal study, Miller et al 2000</w:t>
      </w:r>
      <w:r w:rsidR="0079411D">
        <w:t>;</w:t>
      </w:r>
      <w:bookmarkStart w:id="104" w:name="_Ref22561796"/>
      <w:r w:rsidR="0079411D">
        <w:rPr>
          <w:rStyle w:val="FootnoteReference"/>
        </w:rPr>
        <w:footnoteReference w:id="24"/>
      </w:r>
      <w:bookmarkEnd w:id="104"/>
      <w:r>
        <w:t>, where weaning time was considered a secondary efficacy endpoint.</w:t>
      </w:r>
    </w:p>
    <w:p w14:paraId="5156DE69" w14:textId="54666F0A" w:rsidR="003B08F8" w:rsidRPr="00914B03" w:rsidRDefault="00C3138A" w:rsidP="00C3138A">
      <w:r>
        <w:t xml:space="preserve">The </w:t>
      </w:r>
      <w:r w:rsidR="003E6F92">
        <w:t>sponsor</w:t>
      </w:r>
      <w:r>
        <w:t>’s study,</w:t>
      </w:r>
      <w:r w:rsidR="000441EA">
        <w:t xml:space="preserve"> Study</w:t>
      </w:r>
      <w:r>
        <w:t xml:space="preserve"> </w:t>
      </w:r>
      <w:r w:rsidR="00DC7D20">
        <w:t>I</w:t>
      </w:r>
      <w:r w:rsidR="009874EA">
        <w:t>NO</w:t>
      </w:r>
      <w:r>
        <w:t xml:space="preserve">T22, provides evidence that </w:t>
      </w:r>
      <w:r w:rsidR="009874EA">
        <w:t>left atrial</w:t>
      </w:r>
      <w:r>
        <w:t xml:space="preserve"> filling may be excessive when </w:t>
      </w:r>
      <w:r w:rsidR="00DC7D20">
        <w:t>inhaled nitric oxide</w:t>
      </w:r>
      <w:r>
        <w:t xml:space="preserve"> is administered in the setting of pre-existing left ventricular failure.</w:t>
      </w:r>
      <w:r w:rsidR="00D42948">
        <w:t xml:space="preserve"> </w:t>
      </w:r>
      <w:r>
        <w:t xml:space="preserve">This issue has been noted by </w:t>
      </w:r>
      <w:r w:rsidRPr="000612F3">
        <w:t>previous investigators</w:t>
      </w:r>
      <w:r w:rsidR="00D41314" w:rsidRPr="002D0475">
        <w:rPr>
          <w:rStyle w:val="FootnoteReference"/>
        </w:rPr>
        <w:footnoteReference w:id="25"/>
      </w:r>
      <w:r w:rsidRPr="002D0475">
        <w:t>,</w:t>
      </w:r>
      <w:r w:rsidR="00D41314" w:rsidRPr="002D0475">
        <w:rPr>
          <w:rStyle w:val="FootnoteReference"/>
        </w:rPr>
        <w:footnoteReference w:id="26"/>
      </w:r>
      <w:r w:rsidRPr="002D0475">
        <w:t xml:space="preserve"> and is</w:t>
      </w:r>
      <w:r w:rsidRPr="000612F3">
        <w:t xml:space="preserve"> appropriately</w:t>
      </w:r>
      <w:r w:rsidRPr="00914B03">
        <w:t xml:space="preserve"> mentioned in the current and proposed PIs.</w:t>
      </w:r>
    </w:p>
    <w:p w14:paraId="0C9F3265" w14:textId="667931B6" w:rsidR="00845B95" w:rsidRDefault="009F6B44" w:rsidP="00C3138A">
      <w:proofErr w:type="spellStart"/>
      <w:r w:rsidRPr="00914B03">
        <w:t>Ardehali</w:t>
      </w:r>
      <w:proofErr w:type="spellEnd"/>
      <w:r w:rsidRPr="00914B03">
        <w:t xml:space="preserve"> et al.</w:t>
      </w:r>
      <w:r w:rsidR="00C3138A" w:rsidRPr="00914B03">
        <w:t xml:space="preserve"> 2001</w:t>
      </w:r>
      <w:r w:rsidR="0079411D">
        <w:t>;</w:t>
      </w:r>
      <w:r w:rsidR="00222B2F" w:rsidRPr="00222B2F">
        <w:rPr>
          <w:vertAlign w:val="superscript"/>
        </w:rPr>
        <w:fldChar w:fldCharType="begin"/>
      </w:r>
      <w:r w:rsidR="00222B2F" w:rsidRPr="00222B2F">
        <w:rPr>
          <w:vertAlign w:val="superscript"/>
        </w:rPr>
        <w:instrText xml:space="preserve"> NOTEREF _Ref25845111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15</w:t>
      </w:r>
      <w:r w:rsidR="00222B2F" w:rsidRPr="00222B2F">
        <w:rPr>
          <w:vertAlign w:val="superscript"/>
        </w:rPr>
        <w:fldChar w:fldCharType="end"/>
      </w:r>
      <w:r w:rsidR="00C3138A" w:rsidRPr="00914B03">
        <w:t xml:space="preserve"> also raise the following safety concern about </w:t>
      </w:r>
      <w:r w:rsidR="00DC7D20" w:rsidRPr="00914B03">
        <w:t>inhaled nitric oxide</w:t>
      </w:r>
      <w:r w:rsidR="00C3138A" w:rsidRPr="00914B03">
        <w:t>:</w:t>
      </w:r>
    </w:p>
    <w:p w14:paraId="525D14C6" w14:textId="77777777" w:rsidR="00C3138A" w:rsidRDefault="00845B95" w:rsidP="00845B95">
      <w:pPr>
        <w:ind w:left="720"/>
      </w:pPr>
      <w:r>
        <w:t>‘</w:t>
      </w:r>
      <w:r w:rsidR="00C3138A" w:rsidRPr="00914B03">
        <w:t xml:space="preserve">The immunological properties of </w:t>
      </w:r>
      <w:r w:rsidR="009874EA" w:rsidRPr="00914B03">
        <w:t>nitric oxide</w:t>
      </w:r>
      <w:r w:rsidR="00C3138A" w:rsidRPr="00914B03">
        <w:t xml:space="preserve"> are incompletely understood. Low-level </w:t>
      </w:r>
      <w:r w:rsidR="009874EA" w:rsidRPr="00914B03">
        <w:t>nitric oxide</w:t>
      </w:r>
      <w:r w:rsidR="00C3138A" w:rsidRPr="00914B03">
        <w:t xml:space="preserve"> production appears to be necessary for maximal proliferation of lymphocytes. Furthermore, expression of inducible </w:t>
      </w:r>
      <w:r w:rsidR="009874EA" w:rsidRPr="00914B03">
        <w:t>nitric oxide</w:t>
      </w:r>
      <w:r w:rsidR="00C3138A" w:rsidRPr="00914B03">
        <w:t xml:space="preserve"> </w:t>
      </w:r>
      <w:proofErr w:type="spellStart"/>
      <w:r w:rsidR="00C3138A" w:rsidRPr="00914B03">
        <w:t>synthetase</w:t>
      </w:r>
      <w:proofErr w:type="spellEnd"/>
      <w:r w:rsidR="00C3138A" w:rsidRPr="00914B03">
        <w:t xml:space="preserve"> has been linked with acute solid organ rejection. On the other hand, activation of inducible </w:t>
      </w:r>
      <w:r w:rsidR="009874EA" w:rsidRPr="00914B03">
        <w:t>nitric oxide</w:t>
      </w:r>
      <w:r w:rsidR="00C3138A" w:rsidRPr="00914B03">
        <w:t xml:space="preserve"> </w:t>
      </w:r>
      <w:proofErr w:type="spellStart"/>
      <w:r w:rsidR="00C3138A" w:rsidRPr="00914B03">
        <w:t>synthetase</w:t>
      </w:r>
      <w:proofErr w:type="spellEnd"/>
      <w:r w:rsidR="00C3138A" w:rsidRPr="00914B03">
        <w:t xml:space="preserve"> is associated with a reduction in lymphocyte proliferation and inhibition of the expression of class II major histocompatibility complex. Further research in</w:t>
      </w:r>
      <w:r w:rsidR="00C3138A">
        <w:t xml:space="preserve"> this area is needed to better elucidate the </w:t>
      </w:r>
      <w:proofErr w:type="spellStart"/>
      <w:r w:rsidR="00C3138A">
        <w:t>immunomodulating</w:t>
      </w:r>
      <w:proofErr w:type="spellEnd"/>
      <w:r w:rsidR="00C3138A">
        <w:t xml:space="preserve"> properties of inhaled </w:t>
      </w:r>
      <w:r w:rsidR="009874EA">
        <w:t>nitric oxide</w:t>
      </w:r>
      <w:r w:rsidR="00C3138A">
        <w:t xml:space="preserve"> in thoracic transplantation</w:t>
      </w:r>
      <w:r w:rsidR="00356864" w:rsidRPr="002D0475">
        <w:t>.</w:t>
      </w:r>
      <w:r w:rsidRPr="002D0475">
        <w:t>’</w:t>
      </w:r>
      <w:r w:rsidR="0079411D" w:rsidRPr="002D0475">
        <w:rPr>
          <w:rStyle w:val="FootnoteReference"/>
        </w:rPr>
        <w:footnoteReference w:id="27"/>
      </w:r>
      <w:r w:rsidR="0079411D" w:rsidRPr="002D0475">
        <w:t>,</w:t>
      </w:r>
      <w:r w:rsidR="0079411D" w:rsidRPr="002D0475">
        <w:rPr>
          <w:rStyle w:val="FootnoteReference"/>
        </w:rPr>
        <w:footnoteReference w:id="28"/>
      </w:r>
      <w:r w:rsidR="0079411D" w:rsidRPr="002D0475">
        <w:t>,</w:t>
      </w:r>
      <w:r w:rsidR="0079411D" w:rsidRPr="002D0475">
        <w:rPr>
          <w:rStyle w:val="FootnoteReference"/>
        </w:rPr>
        <w:footnoteReference w:id="29"/>
      </w:r>
      <w:r w:rsidR="0079411D" w:rsidRPr="002D0475">
        <w:t>,</w:t>
      </w:r>
      <w:r w:rsidR="0079411D" w:rsidRPr="002D0475">
        <w:rPr>
          <w:rStyle w:val="FootnoteReference"/>
        </w:rPr>
        <w:footnoteReference w:id="30"/>
      </w:r>
    </w:p>
    <w:p w14:paraId="57F2BFBA" w14:textId="4CBC090D" w:rsidR="00C3138A" w:rsidRDefault="00C3138A" w:rsidP="00C3138A">
      <w:r>
        <w:t xml:space="preserve">The current safety database does not allow any substantial conclusions to be drawn about the effect of </w:t>
      </w:r>
      <w:r w:rsidR="00DC7D20">
        <w:t>inhaled nitric oxide</w:t>
      </w:r>
      <w:r>
        <w:t xml:space="preserve"> on immunological function, but this should be a focus of ongoi</w:t>
      </w:r>
      <w:r w:rsidR="002355B2">
        <w:t>ng post-marketing surveillance.</w:t>
      </w:r>
      <w:r w:rsidR="0011189C">
        <w:t>’</w:t>
      </w:r>
    </w:p>
    <w:p w14:paraId="16B22D92" w14:textId="77777777" w:rsidR="00C3138A" w:rsidRDefault="00C3138A" w:rsidP="00C3138A">
      <w:r>
        <w:t>These comments remain broadly applicable to the current submission.</w:t>
      </w:r>
    </w:p>
    <w:p w14:paraId="4C8AFC33" w14:textId="36A6ACD8" w:rsidR="00C3138A" w:rsidRDefault="00C3138A" w:rsidP="00C3138A">
      <w:r>
        <w:t xml:space="preserve">The </w:t>
      </w:r>
      <w:r w:rsidR="003E6F92">
        <w:t>sponsor</w:t>
      </w:r>
      <w:r>
        <w:t xml:space="preserve">’s </w:t>
      </w:r>
      <w:r w:rsidR="000441EA">
        <w:t>Risk management p</w:t>
      </w:r>
      <w:r>
        <w:t>lan (RMP) includes the following table identifying major risks:</w:t>
      </w:r>
    </w:p>
    <w:p w14:paraId="0AFA1948" w14:textId="77777777" w:rsidR="00C3138A" w:rsidRDefault="00C3138A" w:rsidP="00D41314">
      <w:pPr>
        <w:pStyle w:val="TableTitle"/>
      </w:pPr>
      <w:r>
        <w:t xml:space="preserve">Table </w:t>
      </w:r>
      <w:r w:rsidR="00035230">
        <w:t>6</w:t>
      </w:r>
      <w:r w:rsidR="00D41314">
        <w:t>:</w:t>
      </w:r>
      <w:r>
        <w:t xml:space="preserve"> Summary </w:t>
      </w:r>
      <w:r w:rsidR="00845B95">
        <w:t>of known safety concerns</w:t>
      </w:r>
    </w:p>
    <w:tbl>
      <w:tblPr>
        <w:tblStyle w:val="TableTGAblue"/>
        <w:tblW w:w="0" w:type="auto"/>
        <w:tblLook w:val="04A0" w:firstRow="1" w:lastRow="0" w:firstColumn="1" w:lastColumn="0" w:noHBand="0" w:noVBand="1"/>
      </w:tblPr>
      <w:tblGrid>
        <w:gridCol w:w="3369"/>
        <w:gridCol w:w="5351"/>
      </w:tblGrid>
      <w:tr w:rsidR="00845B95" w14:paraId="58AC66EB" w14:textId="77777777" w:rsidTr="00845B95">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37A89016" w14:textId="77777777" w:rsidR="00845B95" w:rsidRPr="00845B95" w:rsidRDefault="00845B95" w:rsidP="00845B95">
            <w:r w:rsidRPr="00845B95">
              <w:t>Summary of safety concerns</w:t>
            </w:r>
          </w:p>
        </w:tc>
      </w:tr>
      <w:tr w:rsidR="00845B95" w14:paraId="7FD574D0" w14:textId="77777777" w:rsidTr="00845B95">
        <w:tc>
          <w:tcPr>
            <w:tcW w:w="3369" w:type="dxa"/>
          </w:tcPr>
          <w:p w14:paraId="68F537C9" w14:textId="77777777" w:rsidR="00845B95" w:rsidRDefault="00845B95" w:rsidP="00845B95">
            <w:r>
              <w:t>Important identified risks</w:t>
            </w:r>
          </w:p>
        </w:tc>
        <w:tc>
          <w:tcPr>
            <w:tcW w:w="5351" w:type="dxa"/>
          </w:tcPr>
          <w:p w14:paraId="226A01DF" w14:textId="77777777" w:rsidR="00845B95" w:rsidRDefault="00845B95" w:rsidP="00845B95">
            <w:r>
              <w:t xml:space="preserve">Hypoxemia from </w:t>
            </w:r>
            <w:proofErr w:type="spellStart"/>
            <w:r>
              <w:t>methaemoglobinemia</w:t>
            </w:r>
            <w:proofErr w:type="spellEnd"/>
          </w:p>
          <w:p w14:paraId="57D69869" w14:textId="77777777" w:rsidR="00845B95" w:rsidRDefault="00845B95" w:rsidP="00845B95">
            <w:r>
              <w:t>Acute cardiac failure, pulmonary oedema, circulatory collapse</w:t>
            </w:r>
          </w:p>
          <w:p w14:paraId="5EA1CA29" w14:textId="77777777" w:rsidR="00845B95" w:rsidRDefault="00845B95" w:rsidP="00845B95">
            <w:r>
              <w:t>Rebound pulmonary hypertension</w:t>
            </w:r>
          </w:p>
        </w:tc>
      </w:tr>
      <w:tr w:rsidR="00845B95" w14:paraId="365F3E62" w14:textId="77777777" w:rsidTr="00845B95">
        <w:tc>
          <w:tcPr>
            <w:tcW w:w="3369" w:type="dxa"/>
          </w:tcPr>
          <w:p w14:paraId="3AEF3B4F" w14:textId="77777777" w:rsidR="00845B95" w:rsidRDefault="00845B95" w:rsidP="00845B95">
            <w:r>
              <w:t>Important potential risks</w:t>
            </w:r>
          </w:p>
        </w:tc>
        <w:tc>
          <w:tcPr>
            <w:tcW w:w="5351" w:type="dxa"/>
          </w:tcPr>
          <w:p w14:paraId="06C32756" w14:textId="77777777" w:rsidR="00845B95" w:rsidRDefault="00845B95" w:rsidP="00845B95">
            <w:r>
              <w:t>Airway injury</w:t>
            </w:r>
          </w:p>
          <w:p w14:paraId="07C8B55C" w14:textId="77777777" w:rsidR="00845B95" w:rsidRDefault="00845B95" w:rsidP="00845B95">
            <w:r>
              <w:t>Increased bleeding time</w:t>
            </w:r>
          </w:p>
          <w:p w14:paraId="39E236DB" w14:textId="77777777" w:rsidR="00845B95" w:rsidRDefault="00845B95" w:rsidP="00845B95">
            <w:r>
              <w:t>Critical failure of the delivery system</w:t>
            </w:r>
          </w:p>
        </w:tc>
      </w:tr>
      <w:tr w:rsidR="00845B95" w14:paraId="2A705CFC" w14:textId="77777777" w:rsidTr="00845B95">
        <w:tc>
          <w:tcPr>
            <w:tcW w:w="3369" w:type="dxa"/>
          </w:tcPr>
          <w:p w14:paraId="7EE912BC" w14:textId="77777777" w:rsidR="00845B95" w:rsidRDefault="00845B95" w:rsidP="00845B95">
            <w:r>
              <w:t>Missing information</w:t>
            </w:r>
          </w:p>
        </w:tc>
        <w:tc>
          <w:tcPr>
            <w:tcW w:w="5351" w:type="dxa"/>
          </w:tcPr>
          <w:p w14:paraId="4E80AE08" w14:textId="77777777" w:rsidR="00845B95" w:rsidRDefault="00845B95" w:rsidP="00845B95">
            <w:r>
              <w:t>Combined use with other vasodilators</w:t>
            </w:r>
          </w:p>
          <w:p w14:paraId="39A14CF0" w14:textId="77777777" w:rsidR="00845B95" w:rsidRDefault="00845B95" w:rsidP="00845B95">
            <w:r>
              <w:lastRenderedPageBreak/>
              <w:t>Use during pregnancy and lactation</w:t>
            </w:r>
          </w:p>
          <w:p w14:paraId="7C115978" w14:textId="77777777" w:rsidR="00845B95" w:rsidRDefault="00845B95" w:rsidP="00845B95">
            <w:r>
              <w:t>Paediatric use &lt; 34 GA for PPHN</w:t>
            </w:r>
          </w:p>
          <w:p w14:paraId="40A238F8" w14:textId="77777777" w:rsidR="00845B95" w:rsidRDefault="00845B95" w:rsidP="00845B95">
            <w:r>
              <w:t>Patients 12-17 years treated for pulmonary hypertension in conjunction with heart surgery</w:t>
            </w:r>
          </w:p>
        </w:tc>
      </w:tr>
    </w:tbl>
    <w:p w14:paraId="6616F8FE" w14:textId="6849E0A6" w:rsidR="00C3138A" w:rsidRDefault="00C3138A" w:rsidP="00C3138A">
      <w:r w:rsidRPr="00C3138A">
        <w:lastRenderedPageBreak/>
        <w:t xml:space="preserve">Each of these is adequately discussed in the current PI, and should be known to clinicians administering the agent. In most cases, the risks can be moderated, for instance: by monitoring levels in the case of </w:t>
      </w:r>
      <w:proofErr w:type="spellStart"/>
      <w:r w:rsidR="00931948">
        <w:rPr>
          <w:rFonts w:eastAsia="TimesNewRoman"/>
        </w:rPr>
        <w:t>metHB</w:t>
      </w:r>
      <w:proofErr w:type="spellEnd"/>
      <w:r w:rsidRPr="00C3138A">
        <w:t xml:space="preserve"> and </w:t>
      </w:r>
      <w:r w:rsidR="007C59F5">
        <w:t>nitrogen dioxide</w:t>
      </w:r>
      <w:r w:rsidRPr="00C3138A">
        <w:t>; by avoiding the drug in subjects likely to be intolerant of</w:t>
      </w:r>
      <w:r w:rsidR="00D42948">
        <w:t xml:space="preserve"> </w:t>
      </w:r>
      <w:r>
        <w:t xml:space="preserve">elevated left atrial filling pressures, who might be reliant on elevated </w:t>
      </w:r>
      <w:r w:rsidR="00BB39E5">
        <w:t>pulmonary vascular resistance</w:t>
      </w:r>
      <w:r>
        <w:t xml:space="preserve">; and by weaning the drug slowly to avoid rebound pulmonary hypertension. Backup power and equipment should be available in the event of critical equipment failure, which could subject patients to sudden withdrawal. The potential effects of </w:t>
      </w:r>
      <w:r w:rsidR="00DC7D20">
        <w:t>inhaled nitric oxide</w:t>
      </w:r>
      <w:r>
        <w:t xml:space="preserve"> on bleeding time remain unconfirmed, but this issue remains under surveillance. The effects on pregnancy are likely to remain unclear, given the low incidence of pregnancy in subjects undergoing major cardiac surgery; cardiopulmonary bypass in this context would itself pose major risks to the foetus. Similarly, subjects are very unlikely to breastfeed while receiving </w:t>
      </w:r>
      <w:r w:rsidR="00DC7D20">
        <w:t>inhaled nitric oxide</w:t>
      </w:r>
      <w:r>
        <w:t xml:space="preserve">, so this is not an important practical issue. The dose for the age group </w:t>
      </w:r>
      <w:r w:rsidR="000441EA">
        <w:t xml:space="preserve">of </w:t>
      </w:r>
      <w:r>
        <w:t>12</w:t>
      </w:r>
      <w:r w:rsidR="009874EA">
        <w:t xml:space="preserve"> to</w:t>
      </w:r>
      <w:r>
        <w:t xml:space="preserve">17 </w:t>
      </w:r>
      <w:r w:rsidR="000441EA">
        <w:t xml:space="preserve">years </w:t>
      </w:r>
      <w:r>
        <w:t>is somewhat uncertain, but the PI mentions this, and such subjects are beyond the scope of this evaluation.</w:t>
      </w:r>
    </w:p>
    <w:p w14:paraId="1A5B221C" w14:textId="77777777" w:rsidR="00C3138A" w:rsidRPr="00C3138A" w:rsidRDefault="00C3138A" w:rsidP="00C3138A">
      <w:r>
        <w:t>The new submission raises no new concerns about any of these known issues.</w:t>
      </w:r>
    </w:p>
    <w:p w14:paraId="35384CFC" w14:textId="77777777" w:rsidR="00605AD4" w:rsidRDefault="00605AD4" w:rsidP="00605AD4">
      <w:pPr>
        <w:pStyle w:val="Heading4"/>
      </w:pPr>
      <w:bookmarkStart w:id="105" w:name="_Toc247691524"/>
      <w:bookmarkStart w:id="106" w:name="_Toc314842508"/>
      <w:bookmarkStart w:id="107" w:name="_Toc196046504"/>
      <w:bookmarkStart w:id="108" w:name="_Toc163441390"/>
      <w:r w:rsidRPr="00605AD4">
        <w:t>Studies providing safety data</w:t>
      </w:r>
    </w:p>
    <w:p w14:paraId="4BEE3DF5" w14:textId="77777777" w:rsidR="00C3138A" w:rsidRDefault="00C3138A" w:rsidP="00C3138A">
      <w:r>
        <w:t xml:space="preserve">No submitted studies assessed safety as their primary outcome. The previously described </w:t>
      </w:r>
      <w:r w:rsidR="003E6F92">
        <w:t>sponsor</w:t>
      </w:r>
      <w:r>
        <w:t xml:space="preserve">-initiated efficacy study, Study </w:t>
      </w:r>
      <w:r w:rsidR="00BB39E5">
        <w:t>INOT41</w:t>
      </w:r>
      <w:r>
        <w:t xml:space="preserve">, represents the primary study evaluable for safety, with 69 subjects exposed to </w:t>
      </w:r>
      <w:r w:rsidR="00DC7D20">
        <w:t>inhaled nitric oxide</w:t>
      </w:r>
      <w:r>
        <w:t xml:space="preserve"> 40 ppm. (The safety data for this study have been evaluated previously, and the relevant sections of the previous evaluation are reproduced here largely verbatim, because the data have not changed.)</w:t>
      </w:r>
    </w:p>
    <w:p w14:paraId="0DCBB4C0" w14:textId="0BDF5139" w:rsidR="00C3138A" w:rsidRDefault="00C3138A" w:rsidP="00C3138A">
      <w:r>
        <w:t xml:space="preserve">Most of the other studies included in the current submission were small and safety monitoring was restricted to monitoring </w:t>
      </w:r>
      <w:proofErr w:type="spellStart"/>
      <w:r w:rsidR="00931948">
        <w:rPr>
          <w:rFonts w:eastAsia="TimesNewRoman"/>
        </w:rPr>
        <w:t>metHB</w:t>
      </w:r>
      <w:proofErr w:type="spellEnd"/>
      <w:r>
        <w:t>, nitrogen dioxide, haemodynamic profile and vital signs. The studies had inconsistent or non</w:t>
      </w:r>
      <w:r w:rsidR="006F789A">
        <w:t>-</w:t>
      </w:r>
      <w:r>
        <w:t>existent reporting of adverse events. Most of these studies have already been evaluated, and the conclusions reached in the previous evaluation are merely summarised in this r</w:t>
      </w:r>
      <w:r w:rsidR="007C59F5">
        <w:t>eport.</w:t>
      </w:r>
    </w:p>
    <w:p w14:paraId="5AE1EDEF" w14:textId="0DB8AC31" w:rsidR="00C3138A" w:rsidRDefault="00C3138A" w:rsidP="00C3138A">
      <w:r>
        <w:t>Of the four new controlled studies found in the 2017 literature search, one (</w:t>
      </w:r>
      <w:proofErr w:type="spellStart"/>
      <w:r>
        <w:t>Kukucka</w:t>
      </w:r>
      <w:proofErr w:type="spellEnd"/>
      <w:r>
        <w:t xml:space="preserve"> 2011</w:t>
      </w:r>
      <w:r w:rsidR="0079411D">
        <w:t>;</w:t>
      </w:r>
      <w:r w:rsidR="00222B2F" w:rsidRPr="00222B2F">
        <w:rPr>
          <w:vertAlign w:val="superscript"/>
        </w:rPr>
        <w:fldChar w:fldCharType="begin"/>
      </w:r>
      <w:r w:rsidR="00222B2F" w:rsidRPr="00222B2F">
        <w:rPr>
          <w:vertAlign w:val="superscript"/>
        </w:rPr>
        <w:instrText xml:space="preserve"> NOTEREF _Ref22221489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19</w:t>
      </w:r>
      <w:r w:rsidR="00222B2F" w:rsidRPr="00222B2F">
        <w:rPr>
          <w:vertAlign w:val="superscript"/>
        </w:rPr>
        <w:fldChar w:fldCharType="end"/>
      </w:r>
      <w:r>
        <w:t xml:space="preserve">) was a </w:t>
      </w:r>
      <w:proofErr w:type="spellStart"/>
      <w:r>
        <w:t>substudy</w:t>
      </w:r>
      <w:proofErr w:type="spellEnd"/>
      <w:r>
        <w:t xml:space="preserve"> of </w:t>
      </w:r>
      <w:r w:rsidR="000441EA">
        <w:t xml:space="preserve">Study </w:t>
      </w:r>
      <w:r w:rsidR="00BB39E5">
        <w:t>INOT41</w:t>
      </w:r>
      <w:r>
        <w:t xml:space="preserve"> and involved no new exposures; it raised no new safety concerns. The safety findings of the other three new studies are discussed below. Several additional uncontrolled or retrospective studies were identified in the 2017 literature search; these studies were not evaluable for efficacy, because of their uncontrolled nature, but they add to the safety database. Their uncontrolled nature limits their utility for safety analysis, particularly as the studies were performed in cardiac surgery patients with a high background incidence of adverse events and comorbidities.</w:t>
      </w:r>
    </w:p>
    <w:p w14:paraId="2871CEE7" w14:textId="77777777" w:rsidR="003B08F8" w:rsidRDefault="00C3138A" w:rsidP="00C3138A">
      <w:r>
        <w:t xml:space="preserve">Seven case reports were identified in the 2017 literature search; these were surveyed by the </w:t>
      </w:r>
      <w:r w:rsidR="003E6F92">
        <w:t>sponsor</w:t>
      </w:r>
      <w:r>
        <w:t xml:space="preserve"> for previously unreported </w:t>
      </w:r>
      <w:r w:rsidR="00473611">
        <w:rPr>
          <w:rFonts w:eastAsia="TimesNewRoman"/>
        </w:rPr>
        <w:t>adverse events</w:t>
      </w:r>
      <w:r w:rsidR="00473611">
        <w:t xml:space="preserve"> (</w:t>
      </w:r>
      <w:r>
        <w:t>AEs</w:t>
      </w:r>
      <w:r w:rsidR="00473611">
        <w:t>)</w:t>
      </w:r>
      <w:r>
        <w:t>, and no new issues were identified.</w:t>
      </w:r>
    </w:p>
    <w:p w14:paraId="311B4F08" w14:textId="088E7B0E" w:rsidR="00500337" w:rsidRPr="00500337" w:rsidRDefault="00C3138A" w:rsidP="00C3138A">
      <w:r>
        <w:t>In addition to published studies, there has been extensive post</w:t>
      </w:r>
      <w:r w:rsidR="00473611">
        <w:t xml:space="preserve"> </w:t>
      </w:r>
      <w:r>
        <w:t xml:space="preserve">marketing and off-label exposure to </w:t>
      </w:r>
      <w:r w:rsidR="00DC7D20">
        <w:t>inhaled nitric oxide</w:t>
      </w:r>
      <w:r>
        <w:t xml:space="preserve">. The </w:t>
      </w:r>
      <w:r w:rsidR="003E6F92">
        <w:t>sponsor</w:t>
      </w:r>
      <w:r>
        <w:t xml:space="preserve"> states: </w:t>
      </w:r>
      <w:r w:rsidR="000441EA">
        <w:t>‘</w:t>
      </w:r>
      <w:r>
        <w:t xml:space="preserve">The estimated cumulative number of exposed subjects or patients (of all ages) over all </w:t>
      </w:r>
      <w:r w:rsidR="000441EA">
        <w:rPr>
          <w:rFonts w:eastAsia="TimesNewRoman"/>
        </w:rPr>
        <w:t>periodic safety update report</w:t>
      </w:r>
      <w:r w:rsidR="000441EA">
        <w:t xml:space="preserve"> </w:t>
      </w:r>
      <w:r w:rsidR="008E64F9">
        <w:t>(</w:t>
      </w:r>
      <w:r>
        <w:t>PSUR</w:t>
      </w:r>
      <w:r w:rsidR="008E64F9">
        <w:t>)</w:t>
      </w:r>
      <w:r>
        <w:t xml:space="preserve"> time periods is estimated to be approximately 877,196 patients.</w:t>
      </w:r>
      <w:r w:rsidR="000441EA">
        <w:t>’</w:t>
      </w:r>
    </w:p>
    <w:p w14:paraId="7FB3BAF2" w14:textId="77777777" w:rsidR="00605AD4" w:rsidRDefault="00605AD4" w:rsidP="00605AD4">
      <w:pPr>
        <w:pStyle w:val="Heading4"/>
      </w:pPr>
      <w:r w:rsidRPr="00605AD4">
        <w:lastRenderedPageBreak/>
        <w:t>Patient exposure</w:t>
      </w:r>
    </w:p>
    <w:p w14:paraId="2D17DC56" w14:textId="728EF6A1" w:rsidR="00500337" w:rsidRDefault="00C3138A" w:rsidP="00500337">
      <w:r w:rsidRPr="00C3138A">
        <w:t xml:space="preserve">Patient exposure to </w:t>
      </w:r>
      <w:r w:rsidR="00DC7D20">
        <w:t>inhaled nitric oxide</w:t>
      </w:r>
      <w:r w:rsidRPr="00C3138A">
        <w:t xml:space="preserve"> in the published literature is summarised in the tables below, including </w:t>
      </w:r>
      <w:r w:rsidR="000441EA">
        <w:t xml:space="preserve">Study </w:t>
      </w:r>
      <w:r w:rsidR="00BB39E5">
        <w:t>INOT41</w:t>
      </w:r>
      <w:r w:rsidRPr="00C3138A">
        <w:t xml:space="preserve"> and some uncontrolled studies only evaluable for safety. The total number of adult subjects in published studies exposed to any dose of </w:t>
      </w:r>
      <w:r w:rsidR="00DC7D20">
        <w:t>inhaled nitric oxide</w:t>
      </w:r>
      <w:r w:rsidRPr="00C3138A">
        <w:t xml:space="preserve"> is 562; of these, most patients were exposed for &lt;</w:t>
      </w:r>
      <w:r w:rsidR="007C59F5">
        <w:t xml:space="preserve"> </w:t>
      </w:r>
      <w:r w:rsidRPr="00C3138A">
        <w:t>48 hours, and 150 were exposed for &lt;</w:t>
      </w:r>
      <w:r w:rsidR="007C59F5">
        <w:t xml:space="preserve"> </w:t>
      </w:r>
      <w:r w:rsidRPr="00C3138A">
        <w:t xml:space="preserve">1 hour, as shown in the tables below. Published reports of exposure to the maximum recommended dose, 40 ppm, consists of 154 patients, including 69 from </w:t>
      </w:r>
      <w:r w:rsidR="000441EA">
        <w:t xml:space="preserve">Study </w:t>
      </w:r>
      <w:r w:rsidR="00BB39E5">
        <w:t>INOT41</w:t>
      </w:r>
      <w:r w:rsidRPr="00C3138A">
        <w:t xml:space="preserve"> who received </w:t>
      </w:r>
      <w:r w:rsidR="00DC7D20">
        <w:t>inhaled nitric oxide</w:t>
      </w:r>
      <w:r w:rsidRPr="00C3138A">
        <w:t xml:space="preserve"> in a randomised, controlled study and smaller numbers of subjects from 7 separate published studies, some of which were controlled.</w:t>
      </w:r>
    </w:p>
    <w:p w14:paraId="076CA3FD" w14:textId="7198643D" w:rsidR="002F0A76" w:rsidRPr="002F0A76" w:rsidRDefault="00C3138A" w:rsidP="002F0A76">
      <w:pPr>
        <w:pStyle w:val="TableTitle"/>
      </w:pPr>
      <w:r w:rsidRPr="00C3138A">
        <w:t xml:space="preserve">Table </w:t>
      </w:r>
      <w:r w:rsidR="00035230">
        <w:t>7</w:t>
      </w:r>
      <w:r w:rsidR="00D41314">
        <w:t>:</w:t>
      </w:r>
      <w:r w:rsidRPr="00C3138A">
        <w:t xml:space="preserve"> Dose of </w:t>
      </w:r>
      <w:r w:rsidR="007C59F5">
        <w:t>nitric oxide</w:t>
      </w:r>
      <w:r w:rsidRPr="00C3138A">
        <w:t xml:space="preserve"> across published studies, including </w:t>
      </w:r>
      <w:r w:rsidR="000441EA">
        <w:t xml:space="preserve">Study </w:t>
      </w:r>
      <w:r w:rsidR="00BB39E5">
        <w:t>INOT41</w:t>
      </w:r>
    </w:p>
    <w:p w14:paraId="6DDBE518" w14:textId="77777777" w:rsidR="00C3138A" w:rsidRDefault="00C3138A" w:rsidP="00500337">
      <w:r>
        <w:rPr>
          <w:noProof/>
          <w:lang w:eastAsia="en-AU"/>
        </w:rPr>
        <w:drawing>
          <wp:inline distT="0" distB="0" distL="0" distR="0" wp14:anchorId="4DA138AD" wp14:editId="3D08329E">
            <wp:extent cx="5284470" cy="5549900"/>
            <wp:effectExtent l="0" t="0" r="0" b="0"/>
            <wp:docPr id="41" name="Picture 41" descr="Dose of nitric oxide across published studies, including INO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4470" cy="5549900"/>
                    </a:xfrm>
                    <a:prstGeom prst="rect">
                      <a:avLst/>
                    </a:prstGeom>
                    <a:noFill/>
                    <a:ln>
                      <a:noFill/>
                    </a:ln>
                  </pic:spPr>
                </pic:pic>
              </a:graphicData>
            </a:graphic>
          </wp:inline>
        </w:drawing>
      </w:r>
    </w:p>
    <w:p w14:paraId="27F0AECC" w14:textId="542F8C2A" w:rsidR="002F0A76" w:rsidRPr="002F0A76" w:rsidRDefault="002F0A76" w:rsidP="00500337">
      <w:r>
        <w:t xml:space="preserve">References in the above table are as follows: </w:t>
      </w:r>
      <w:proofErr w:type="spellStart"/>
      <w:r>
        <w:t>Fattouch</w:t>
      </w:r>
      <w:proofErr w:type="spellEnd"/>
      <w:r>
        <w:t xml:space="preserve"> 2005;</w:t>
      </w:r>
      <w:r w:rsidR="00222B2F" w:rsidRPr="00222B2F">
        <w:rPr>
          <w:vertAlign w:val="superscript"/>
        </w:rPr>
        <w:fldChar w:fldCharType="begin"/>
      </w:r>
      <w:r w:rsidR="00222B2F" w:rsidRPr="00222B2F">
        <w:rPr>
          <w:vertAlign w:val="superscript"/>
        </w:rPr>
        <w:instrText xml:space="preserve"> NOTEREF _Ref25843832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8</w:t>
      </w:r>
      <w:r w:rsidR="00222B2F" w:rsidRPr="00222B2F">
        <w:rPr>
          <w:vertAlign w:val="superscript"/>
        </w:rPr>
        <w:fldChar w:fldCharType="end"/>
      </w:r>
      <w:r>
        <w:t xml:space="preserve"> </w:t>
      </w:r>
      <w:proofErr w:type="spellStart"/>
      <w:r>
        <w:t>Fattouch</w:t>
      </w:r>
      <w:proofErr w:type="spellEnd"/>
      <w:r>
        <w:t xml:space="preserve"> 2006;</w:t>
      </w:r>
      <w:r w:rsidR="00222B2F">
        <w:rPr>
          <w:vertAlign w:val="superscript"/>
        </w:rPr>
        <w:fldChar w:fldCharType="begin"/>
      </w:r>
      <w:r w:rsidR="00222B2F">
        <w:rPr>
          <w:vertAlign w:val="superscript"/>
        </w:rPr>
        <w:instrText xml:space="preserve"> NOTEREF _Ref25843875 \h </w:instrText>
      </w:r>
      <w:r w:rsidR="00222B2F">
        <w:rPr>
          <w:vertAlign w:val="superscript"/>
        </w:rPr>
      </w:r>
      <w:r w:rsidR="00222B2F">
        <w:rPr>
          <w:vertAlign w:val="superscript"/>
        </w:rPr>
        <w:fldChar w:fldCharType="separate"/>
      </w:r>
      <w:r w:rsidR="00222B2F">
        <w:rPr>
          <w:vertAlign w:val="superscript"/>
        </w:rPr>
        <w:t>9</w:t>
      </w:r>
      <w:r w:rsidR="00222B2F">
        <w:rPr>
          <w:vertAlign w:val="superscript"/>
        </w:rPr>
        <w:fldChar w:fldCharType="end"/>
      </w:r>
      <w:r>
        <w:t xml:space="preserve"> </w:t>
      </w:r>
      <w:proofErr w:type="spellStart"/>
      <w:r>
        <w:t>Gianetti</w:t>
      </w:r>
      <w:proofErr w:type="spellEnd"/>
      <w:r>
        <w:t xml:space="preserve"> 2004;</w:t>
      </w:r>
      <w:r w:rsidR="00222B2F" w:rsidRPr="00222B2F">
        <w:rPr>
          <w:vertAlign w:val="superscript"/>
        </w:rPr>
        <w:fldChar w:fldCharType="begin"/>
      </w:r>
      <w:r w:rsidR="00222B2F" w:rsidRPr="00222B2F">
        <w:rPr>
          <w:vertAlign w:val="superscript"/>
        </w:rPr>
        <w:instrText xml:space="preserve"> NOTEREF _Ref22552902 \h </w:instrText>
      </w:r>
      <w:r w:rsidR="00222B2F">
        <w:rPr>
          <w:vertAlign w:val="superscript"/>
        </w:rPr>
        <w:instrText xml:space="preserve">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10</w:t>
      </w:r>
      <w:r w:rsidR="00222B2F" w:rsidRPr="00222B2F">
        <w:rPr>
          <w:vertAlign w:val="superscript"/>
        </w:rPr>
        <w:fldChar w:fldCharType="end"/>
      </w:r>
      <w:r>
        <w:t xml:space="preserve"> </w:t>
      </w:r>
      <w:proofErr w:type="spellStart"/>
      <w:r>
        <w:t>Winterhalter</w:t>
      </w:r>
      <w:proofErr w:type="spellEnd"/>
      <w:r>
        <w:t xml:space="preserve"> 2008;</w:t>
      </w:r>
      <w:r w:rsidR="00222B2F" w:rsidRPr="00222B2F">
        <w:rPr>
          <w:vertAlign w:val="superscript"/>
        </w:rPr>
        <w:fldChar w:fldCharType="begin"/>
      </w:r>
      <w:r w:rsidR="00222B2F" w:rsidRPr="00222B2F">
        <w:rPr>
          <w:vertAlign w:val="superscript"/>
        </w:rPr>
        <w:instrText xml:space="preserve"> NOTEREF _Ref25843903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12</w:t>
      </w:r>
      <w:r w:rsidR="00222B2F" w:rsidRPr="00222B2F">
        <w:rPr>
          <w:vertAlign w:val="superscript"/>
        </w:rPr>
        <w:fldChar w:fldCharType="end"/>
      </w:r>
      <w:r>
        <w:t xml:space="preserve"> </w:t>
      </w:r>
      <w:proofErr w:type="spellStart"/>
      <w:r>
        <w:t>Ardelhali</w:t>
      </w:r>
      <w:proofErr w:type="spellEnd"/>
      <w:r>
        <w:t xml:space="preserve"> 2001;</w:t>
      </w:r>
      <w:r w:rsidR="00222B2F" w:rsidRPr="00222B2F">
        <w:rPr>
          <w:vertAlign w:val="superscript"/>
        </w:rPr>
        <w:fldChar w:fldCharType="begin"/>
      </w:r>
      <w:r w:rsidR="00222B2F" w:rsidRPr="00222B2F">
        <w:rPr>
          <w:vertAlign w:val="superscript"/>
        </w:rPr>
        <w:instrText xml:space="preserve"> NOTEREF _Ref25845111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15</w:t>
      </w:r>
      <w:r w:rsidR="00222B2F" w:rsidRPr="00222B2F">
        <w:rPr>
          <w:vertAlign w:val="superscript"/>
        </w:rPr>
        <w:fldChar w:fldCharType="end"/>
      </w:r>
      <w:r w:rsidR="003D3248">
        <w:t xml:space="preserve"> </w:t>
      </w:r>
      <w:proofErr w:type="spellStart"/>
      <w:r>
        <w:t>Argenziano</w:t>
      </w:r>
      <w:proofErr w:type="spellEnd"/>
      <w:r>
        <w:t xml:space="preserve"> 1998;</w:t>
      </w:r>
      <w:r w:rsidR="00222B2F" w:rsidRPr="00222B2F">
        <w:rPr>
          <w:vertAlign w:val="superscript"/>
        </w:rPr>
        <w:fldChar w:fldCharType="begin"/>
      </w:r>
      <w:r w:rsidR="00222B2F" w:rsidRPr="00222B2F">
        <w:rPr>
          <w:vertAlign w:val="superscript"/>
        </w:rPr>
        <w:instrText xml:space="preserve"> NOTEREF _Ref20404654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18</w:t>
      </w:r>
      <w:r w:rsidR="00222B2F" w:rsidRPr="00222B2F">
        <w:rPr>
          <w:vertAlign w:val="superscript"/>
        </w:rPr>
        <w:fldChar w:fldCharType="end"/>
      </w:r>
      <w:r>
        <w:t xml:space="preserve"> </w:t>
      </w:r>
      <w:proofErr w:type="spellStart"/>
      <w:r>
        <w:t>Rajek</w:t>
      </w:r>
      <w:proofErr w:type="spellEnd"/>
      <w:r>
        <w:t xml:space="preserve"> 2000;</w:t>
      </w:r>
      <w:r w:rsidR="00222B2F">
        <w:rPr>
          <w:vertAlign w:val="superscript"/>
        </w:rPr>
        <w:fldChar w:fldCharType="begin"/>
      </w:r>
      <w:r w:rsidR="00222B2F">
        <w:rPr>
          <w:vertAlign w:val="superscript"/>
        </w:rPr>
        <w:instrText xml:space="preserve"> NOTEREF _Ref25843771 \h </w:instrText>
      </w:r>
      <w:r w:rsidR="00222B2F">
        <w:rPr>
          <w:vertAlign w:val="superscript"/>
        </w:rPr>
      </w:r>
      <w:r w:rsidR="00222B2F">
        <w:rPr>
          <w:vertAlign w:val="superscript"/>
        </w:rPr>
        <w:fldChar w:fldCharType="separate"/>
      </w:r>
      <w:r w:rsidR="00222B2F">
        <w:rPr>
          <w:vertAlign w:val="superscript"/>
        </w:rPr>
        <w:t>16</w:t>
      </w:r>
      <w:r w:rsidR="00222B2F">
        <w:rPr>
          <w:vertAlign w:val="superscript"/>
        </w:rPr>
        <w:fldChar w:fldCharType="end"/>
      </w:r>
      <w:r w:rsidR="003D3248">
        <w:t xml:space="preserve"> INOT 41; </w:t>
      </w:r>
      <w:proofErr w:type="spellStart"/>
      <w:r>
        <w:t>Schmid</w:t>
      </w:r>
      <w:proofErr w:type="spellEnd"/>
      <w:r>
        <w:t xml:space="preserve"> 199</w:t>
      </w:r>
      <w:r w:rsidR="00222B2F">
        <w:t>9</w:t>
      </w:r>
      <w:r>
        <w:t>;</w:t>
      </w:r>
      <w:r w:rsidR="00222B2F" w:rsidRPr="00222B2F">
        <w:rPr>
          <w:vertAlign w:val="superscript"/>
        </w:rPr>
        <w:fldChar w:fldCharType="begin"/>
      </w:r>
      <w:r w:rsidR="00222B2F" w:rsidRPr="00222B2F">
        <w:rPr>
          <w:vertAlign w:val="superscript"/>
        </w:rPr>
        <w:instrText xml:space="preserve"> NOTEREF _Ref20404887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11</w:t>
      </w:r>
      <w:r w:rsidR="00222B2F" w:rsidRPr="00222B2F">
        <w:rPr>
          <w:vertAlign w:val="superscript"/>
        </w:rPr>
        <w:fldChar w:fldCharType="end"/>
      </w:r>
      <w:r w:rsidR="00222B2F">
        <w:rPr>
          <w:vertAlign w:val="superscript"/>
        </w:rPr>
        <w:t xml:space="preserve"> </w:t>
      </w:r>
      <w:proofErr w:type="spellStart"/>
      <w:r>
        <w:t>Solina</w:t>
      </w:r>
      <w:proofErr w:type="spellEnd"/>
      <w:r>
        <w:t xml:space="preserve"> 2001;</w:t>
      </w:r>
      <w:r w:rsidR="00222B2F" w:rsidRPr="00222B2F">
        <w:rPr>
          <w:vertAlign w:val="superscript"/>
        </w:rPr>
        <w:fldChar w:fldCharType="begin"/>
      </w:r>
      <w:r w:rsidR="00222B2F" w:rsidRPr="00222B2F">
        <w:rPr>
          <w:vertAlign w:val="superscript"/>
        </w:rPr>
        <w:instrText xml:space="preserve"> NOTEREF _Ref25844324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14</w:t>
      </w:r>
      <w:r w:rsidR="00222B2F" w:rsidRPr="00222B2F">
        <w:rPr>
          <w:vertAlign w:val="superscript"/>
        </w:rPr>
        <w:fldChar w:fldCharType="end"/>
      </w:r>
      <w:r>
        <w:t xml:space="preserve"> </w:t>
      </w:r>
      <w:proofErr w:type="spellStart"/>
      <w:r>
        <w:t>Kieler</w:t>
      </w:r>
      <w:proofErr w:type="spellEnd"/>
      <w:r>
        <w:t>-Jensen 1994;</w:t>
      </w:r>
      <w:r w:rsidR="00222B2F" w:rsidRPr="00222B2F">
        <w:rPr>
          <w:vertAlign w:val="superscript"/>
        </w:rPr>
        <w:fldChar w:fldCharType="begin"/>
      </w:r>
      <w:r w:rsidR="00222B2F" w:rsidRPr="00222B2F">
        <w:rPr>
          <w:vertAlign w:val="superscript"/>
        </w:rPr>
        <w:instrText xml:space="preserve"> NOTEREF _Ref25846235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w:t>
      </w:r>
      <w:r w:rsidR="00222B2F" w:rsidRPr="00222B2F">
        <w:rPr>
          <w:vertAlign w:val="superscript"/>
        </w:rPr>
        <w:fldChar w:fldCharType="end"/>
      </w:r>
      <w:r>
        <w:t xml:space="preserve"> </w:t>
      </w:r>
      <w:proofErr w:type="spellStart"/>
      <w:r>
        <w:t>Radovancevic</w:t>
      </w:r>
      <w:proofErr w:type="spellEnd"/>
      <w:r>
        <w:t xml:space="preserve"> 2005;</w:t>
      </w:r>
      <w:r w:rsidR="00222B2F" w:rsidRPr="00222B2F">
        <w:rPr>
          <w:vertAlign w:val="superscript"/>
        </w:rPr>
        <w:fldChar w:fldCharType="begin"/>
      </w:r>
      <w:r w:rsidR="00222B2F" w:rsidRPr="00222B2F">
        <w:rPr>
          <w:vertAlign w:val="superscript"/>
        </w:rPr>
        <w:instrText xml:space="preserve"> NOTEREF _Ref25845157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17</w:t>
      </w:r>
      <w:r w:rsidR="00222B2F" w:rsidRPr="00222B2F">
        <w:rPr>
          <w:vertAlign w:val="superscript"/>
        </w:rPr>
        <w:fldChar w:fldCharType="end"/>
      </w:r>
      <w:r w:rsidR="003D3248">
        <w:t xml:space="preserve"> </w:t>
      </w:r>
      <w:proofErr w:type="spellStart"/>
      <w:r w:rsidR="003D3248">
        <w:t>Fernandes</w:t>
      </w:r>
      <w:proofErr w:type="spellEnd"/>
      <w:r w:rsidR="003D3248">
        <w:t xml:space="preserve"> 201</w:t>
      </w:r>
      <w:r>
        <w:t>1;</w:t>
      </w:r>
      <w:r w:rsidR="00222B2F" w:rsidRPr="00222B2F">
        <w:rPr>
          <w:vertAlign w:val="superscript"/>
        </w:rPr>
        <w:fldChar w:fldCharType="begin"/>
      </w:r>
      <w:r w:rsidR="00222B2F" w:rsidRPr="00222B2F">
        <w:rPr>
          <w:vertAlign w:val="superscript"/>
        </w:rPr>
        <w:instrText xml:space="preserve"> NOTEREF _Ref25843676 \h  \* MERGEFORMAT </w:instrText>
      </w:r>
      <w:r w:rsidR="00222B2F" w:rsidRPr="00222B2F">
        <w:rPr>
          <w:vertAlign w:val="superscript"/>
        </w:rPr>
      </w:r>
      <w:r w:rsidR="00222B2F" w:rsidRPr="00222B2F">
        <w:rPr>
          <w:vertAlign w:val="superscript"/>
        </w:rPr>
        <w:fldChar w:fldCharType="separate"/>
      </w:r>
      <w:r w:rsidR="00222B2F" w:rsidRPr="00222B2F">
        <w:rPr>
          <w:vertAlign w:val="superscript"/>
        </w:rPr>
        <w:t>20</w:t>
      </w:r>
      <w:r w:rsidR="00222B2F" w:rsidRPr="00222B2F">
        <w:rPr>
          <w:vertAlign w:val="superscript"/>
        </w:rPr>
        <w:fldChar w:fldCharType="end"/>
      </w:r>
      <w:r>
        <w:t xml:space="preserve"> Kahn 2009;</w:t>
      </w:r>
      <w:r w:rsidR="003D3248" w:rsidRPr="00222B2F">
        <w:rPr>
          <w:vertAlign w:val="superscript"/>
        </w:rPr>
        <w:fldChar w:fldCharType="begin"/>
      </w:r>
      <w:r w:rsidR="003D3248" w:rsidRPr="00222B2F">
        <w:rPr>
          <w:vertAlign w:val="superscript"/>
        </w:rPr>
        <w:instrText xml:space="preserve"> NOTEREF _Ref20405085 \h  \* MERGEFORMAT </w:instrText>
      </w:r>
      <w:r w:rsidR="003D3248" w:rsidRPr="00222B2F">
        <w:rPr>
          <w:vertAlign w:val="superscript"/>
        </w:rPr>
      </w:r>
      <w:r w:rsidR="003D3248" w:rsidRPr="00222B2F">
        <w:rPr>
          <w:vertAlign w:val="superscript"/>
        </w:rPr>
        <w:fldChar w:fldCharType="separate"/>
      </w:r>
      <w:r w:rsidR="003D3248" w:rsidRPr="00222B2F">
        <w:rPr>
          <w:vertAlign w:val="superscript"/>
        </w:rPr>
        <w:t>20</w:t>
      </w:r>
      <w:r w:rsidR="003D3248" w:rsidRPr="00222B2F">
        <w:rPr>
          <w:vertAlign w:val="superscript"/>
        </w:rPr>
        <w:fldChar w:fldCharType="end"/>
      </w:r>
      <w:r>
        <w:t xml:space="preserve"> </w:t>
      </w:r>
      <w:proofErr w:type="spellStart"/>
      <w:r>
        <w:t>Razzaq</w:t>
      </w:r>
      <w:proofErr w:type="spellEnd"/>
      <w:r>
        <w:t xml:space="preserve"> 2009;</w:t>
      </w:r>
      <w:bookmarkStart w:id="109" w:name="_Ref22570085"/>
      <w:r w:rsidR="003D3248">
        <w:rPr>
          <w:rStyle w:val="FootnoteReference"/>
        </w:rPr>
        <w:footnoteReference w:id="31"/>
      </w:r>
      <w:bookmarkEnd w:id="109"/>
      <w:r>
        <w:t xml:space="preserve"> </w:t>
      </w:r>
      <w:proofErr w:type="spellStart"/>
      <w:r>
        <w:t>Makker</w:t>
      </w:r>
      <w:proofErr w:type="spellEnd"/>
      <w:r>
        <w:t xml:space="preserve"> 2006;</w:t>
      </w:r>
      <w:bookmarkStart w:id="110" w:name="_Ref22570947"/>
      <w:r w:rsidR="003D3248">
        <w:rPr>
          <w:rStyle w:val="FootnoteReference"/>
        </w:rPr>
        <w:footnoteReference w:id="32"/>
      </w:r>
      <w:bookmarkEnd w:id="110"/>
      <w:r>
        <w:t xml:space="preserve"> MacDonald 1998;</w:t>
      </w:r>
      <w:bookmarkStart w:id="111" w:name="_Ref22570179"/>
      <w:r w:rsidR="003D3248">
        <w:rPr>
          <w:rStyle w:val="FootnoteReference"/>
        </w:rPr>
        <w:footnoteReference w:id="33"/>
      </w:r>
      <w:bookmarkEnd w:id="111"/>
      <w:r>
        <w:t xml:space="preserve"> </w:t>
      </w:r>
      <w:proofErr w:type="spellStart"/>
      <w:r>
        <w:t>Kieler</w:t>
      </w:r>
      <w:proofErr w:type="spellEnd"/>
      <w:r>
        <w:t xml:space="preserve">-Jensen </w:t>
      </w:r>
      <w:r>
        <w:lastRenderedPageBreak/>
        <w:t>1995;</w:t>
      </w:r>
      <w:bookmarkStart w:id="112" w:name="_Ref22571011"/>
      <w:r w:rsidR="003D3248">
        <w:rPr>
          <w:rStyle w:val="FootnoteReference"/>
        </w:rPr>
        <w:footnoteReference w:id="34"/>
      </w:r>
      <w:bookmarkEnd w:id="112"/>
      <w:r>
        <w:t xml:space="preserve"> Beck 1999;</w:t>
      </w:r>
      <w:bookmarkStart w:id="113" w:name="_Ref22563174"/>
      <w:r w:rsidR="003D3248">
        <w:rPr>
          <w:rStyle w:val="FootnoteReference"/>
        </w:rPr>
        <w:footnoteReference w:id="35"/>
      </w:r>
      <w:bookmarkEnd w:id="113"/>
      <w:r>
        <w:t xml:space="preserve"> Fullerton 1998;</w:t>
      </w:r>
      <w:bookmarkStart w:id="114" w:name="_Ref22563188"/>
      <w:r w:rsidR="003D3248">
        <w:rPr>
          <w:rStyle w:val="FootnoteReference"/>
        </w:rPr>
        <w:footnoteReference w:id="36"/>
      </w:r>
      <w:bookmarkEnd w:id="114"/>
      <w:r>
        <w:t xml:space="preserve"> </w:t>
      </w:r>
      <w:proofErr w:type="spellStart"/>
      <w:r>
        <w:t>Knothe</w:t>
      </w:r>
      <w:proofErr w:type="spellEnd"/>
      <w:r>
        <w:t xml:space="preserve"> 1996;</w:t>
      </w:r>
      <w:r w:rsidR="008024D2" w:rsidRPr="008024D2">
        <w:rPr>
          <w:vertAlign w:val="superscript"/>
        </w:rPr>
        <w:fldChar w:fldCharType="begin"/>
      </w:r>
      <w:r w:rsidR="008024D2" w:rsidRPr="008024D2">
        <w:rPr>
          <w:vertAlign w:val="superscript"/>
        </w:rPr>
        <w:instrText xml:space="preserve"> NOTEREF _Ref25843632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22</w:t>
      </w:r>
      <w:r w:rsidR="008024D2" w:rsidRPr="008024D2">
        <w:rPr>
          <w:vertAlign w:val="superscript"/>
        </w:rPr>
        <w:fldChar w:fldCharType="end"/>
      </w:r>
      <w:r>
        <w:t xml:space="preserve"> </w:t>
      </w:r>
      <w:proofErr w:type="spellStart"/>
      <w:r>
        <w:t>Kukucka</w:t>
      </w:r>
      <w:proofErr w:type="spellEnd"/>
      <w:r>
        <w:t xml:space="preserve"> 2011;</w:t>
      </w:r>
      <w:r w:rsidR="008024D2" w:rsidRPr="008024D2">
        <w:rPr>
          <w:vertAlign w:val="superscript"/>
        </w:rPr>
        <w:fldChar w:fldCharType="begin"/>
      </w:r>
      <w:r w:rsidR="008024D2" w:rsidRPr="008024D2">
        <w:rPr>
          <w:vertAlign w:val="superscript"/>
        </w:rPr>
        <w:instrText xml:space="preserve"> NOTEREF _Ref22221489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19</w:t>
      </w:r>
      <w:r w:rsidR="008024D2" w:rsidRPr="008024D2">
        <w:rPr>
          <w:vertAlign w:val="superscript"/>
        </w:rPr>
        <w:fldChar w:fldCharType="end"/>
      </w:r>
      <w:r>
        <w:t xml:space="preserve"> </w:t>
      </w:r>
      <w:proofErr w:type="spellStart"/>
      <w:r>
        <w:t>Elahi</w:t>
      </w:r>
      <w:proofErr w:type="spellEnd"/>
      <w:r>
        <w:t xml:space="preserve"> 2009;</w:t>
      </w:r>
      <w:bookmarkStart w:id="115" w:name="_Ref22570904"/>
      <w:r w:rsidR="003D3248">
        <w:rPr>
          <w:rStyle w:val="FootnoteReference"/>
        </w:rPr>
        <w:footnoteReference w:id="37"/>
      </w:r>
      <w:bookmarkEnd w:id="115"/>
      <w:r w:rsidR="00FA0473">
        <w:t xml:space="preserve"> Maxey 2006</w:t>
      </w:r>
      <w:r>
        <w:t>;</w:t>
      </w:r>
      <w:bookmarkStart w:id="116" w:name="_Ref22571259"/>
      <w:r w:rsidR="00C93FBB">
        <w:rPr>
          <w:rStyle w:val="FootnoteReference"/>
        </w:rPr>
        <w:footnoteReference w:id="38"/>
      </w:r>
      <w:bookmarkEnd w:id="116"/>
      <w:r>
        <w:t xml:space="preserve"> </w:t>
      </w:r>
      <w:proofErr w:type="spellStart"/>
      <w:r>
        <w:t>McGinn</w:t>
      </w:r>
      <w:proofErr w:type="spellEnd"/>
      <w:r>
        <w:t xml:space="preserve"> 2016;</w:t>
      </w:r>
      <w:bookmarkStart w:id="117" w:name="_Ref22563213"/>
      <w:r w:rsidR="00C93FBB">
        <w:rPr>
          <w:rStyle w:val="FootnoteReference"/>
        </w:rPr>
        <w:footnoteReference w:id="39"/>
      </w:r>
      <w:bookmarkEnd w:id="117"/>
      <w:r w:rsidR="000441EA">
        <w:t>.</w:t>
      </w:r>
    </w:p>
    <w:p w14:paraId="576EA34C" w14:textId="77777777" w:rsidR="00C3138A" w:rsidRDefault="00C3138A" w:rsidP="00D41314">
      <w:pPr>
        <w:pStyle w:val="TableTitle"/>
      </w:pPr>
      <w:r w:rsidRPr="00C3138A">
        <w:t xml:space="preserve">Table </w:t>
      </w:r>
      <w:r w:rsidR="00035230">
        <w:t>8</w:t>
      </w:r>
      <w:r w:rsidR="00D41314">
        <w:t>:</w:t>
      </w:r>
      <w:r w:rsidRPr="00C3138A">
        <w:t xml:space="preserve"> Exposure by </w:t>
      </w:r>
      <w:r w:rsidR="00845B95" w:rsidRPr="00C3138A">
        <w:t>duration in all published studies</w:t>
      </w:r>
    </w:p>
    <w:p w14:paraId="4A7B769F" w14:textId="77777777" w:rsidR="00C3138A" w:rsidRDefault="00C3138A" w:rsidP="00500337">
      <w:r>
        <w:rPr>
          <w:noProof/>
          <w:lang w:eastAsia="en-AU"/>
        </w:rPr>
        <w:drawing>
          <wp:inline distT="0" distB="0" distL="0" distR="0" wp14:anchorId="7E8AB535" wp14:editId="2A569BFB">
            <wp:extent cx="5400040" cy="3155658"/>
            <wp:effectExtent l="0" t="0" r="0" b="6985"/>
            <wp:docPr id="40" name="Picture 40" descr="Exposure by Duration in all Publish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155658"/>
                    </a:xfrm>
                    <a:prstGeom prst="rect">
                      <a:avLst/>
                    </a:prstGeom>
                    <a:noFill/>
                    <a:ln>
                      <a:noFill/>
                    </a:ln>
                  </pic:spPr>
                </pic:pic>
              </a:graphicData>
            </a:graphic>
          </wp:inline>
        </w:drawing>
      </w:r>
    </w:p>
    <w:p w14:paraId="7D828DB2" w14:textId="77777777" w:rsidR="00C3138A" w:rsidRDefault="00C3138A" w:rsidP="00D41314">
      <w:pPr>
        <w:pStyle w:val="TableTitle"/>
      </w:pPr>
      <w:r w:rsidRPr="00C3138A">
        <w:lastRenderedPageBreak/>
        <w:t xml:space="preserve">Table </w:t>
      </w:r>
      <w:r w:rsidR="00035230">
        <w:t>9</w:t>
      </w:r>
      <w:r w:rsidR="00D41314">
        <w:t>:</w:t>
      </w:r>
      <w:r w:rsidRPr="00C3138A">
        <w:t xml:space="preserve"> Exposure </w:t>
      </w:r>
      <w:r w:rsidR="00845B95" w:rsidRPr="00C3138A">
        <w:t xml:space="preserve">by duration </w:t>
      </w:r>
      <w:r w:rsidRPr="00C3138A">
        <w:t xml:space="preserve">in Study </w:t>
      </w:r>
      <w:r w:rsidR="00BB39E5">
        <w:t>INOT41</w:t>
      </w:r>
    </w:p>
    <w:p w14:paraId="1482E100" w14:textId="77777777" w:rsidR="00C3138A" w:rsidRDefault="00C3138A" w:rsidP="00500337">
      <w:r>
        <w:rPr>
          <w:noProof/>
          <w:lang w:eastAsia="en-AU"/>
        </w:rPr>
        <w:drawing>
          <wp:inline distT="0" distB="0" distL="0" distR="0" wp14:anchorId="57AAAB0C" wp14:editId="4970D469">
            <wp:extent cx="4029710" cy="2785745"/>
            <wp:effectExtent l="0" t="0" r="8890" b="0"/>
            <wp:docPr id="39" name="Picture 39" descr="Exposure by Duration in Study INO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710" cy="2785745"/>
                    </a:xfrm>
                    <a:prstGeom prst="rect">
                      <a:avLst/>
                    </a:prstGeom>
                    <a:noFill/>
                    <a:ln>
                      <a:noFill/>
                    </a:ln>
                  </pic:spPr>
                </pic:pic>
              </a:graphicData>
            </a:graphic>
          </wp:inline>
        </w:drawing>
      </w:r>
    </w:p>
    <w:p w14:paraId="7BFE6FDF" w14:textId="77777777" w:rsidR="00C3138A" w:rsidRDefault="00C3138A" w:rsidP="00D41314">
      <w:pPr>
        <w:pStyle w:val="TableTitle"/>
      </w:pPr>
      <w:r w:rsidRPr="00C3138A">
        <w:t xml:space="preserve">Table </w:t>
      </w:r>
      <w:r w:rsidR="00035230">
        <w:t>10</w:t>
      </w:r>
      <w:r w:rsidR="00D41314">
        <w:t>:</w:t>
      </w:r>
      <w:r w:rsidRPr="00C3138A">
        <w:t xml:space="preserve"> Exposure to </w:t>
      </w:r>
      <w:r w:rsidR="00DC7D20">
        <w:t>inhaled nitric oxide</w:t>
      </w:r>
      <w:r w:rsidRPr="00C3138A">
        <w:t xml:space="preserve"> 40 ppm in published studies</w:t>
      </w:r>
    </w:p>
    <w:p w14:paraId="6B16CB06" w14:textId="77777777" w:rsidR="00830ACE" w:rsidRPr="00500337" w:rsidRDefault="00830ACE" w:rsidP="00500337">
      <w:r>
        <w:rPr>
          <w:noProof/>
          <w:lang w:eastAsia="en-AU"/>
        </w:rPr>
        <w:drawing>
          <wp:inline distT="0" distB="0" distL="0" distR="0" wp14:anchorId="08918CF3" wp14:editId="52D900B8">
            <wp:extent cx="3115310" cy="1477645"/>
            <wp:effectExtent l="0" t="0" r="8890" b="8255"/>
            <wp:docPr id="38" name="Picture 38" descr="Exposure to inhaled nitric oxide 40 ppm in publish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5310" cy="1477645"/>
                    </a:xfrm>
                    <a:prstGeom prst="rect">
                      <a:avLst/>
                    </a:prstGeom>
                    <a:noFill/>
                    <a:ln>
                      <a:noFill/>
                    </a:ln>
                  </pic:spPr>
                </pic:pic>
              </a:graphicData>
            </a:graphic>
          </wp:inline>
        </w:drawing>
      </w:r>
    </w:p>
    <w:p w14:paraId="64779FB0" w14:textId="77777777" w:rsidR="00605AD4" w:rsidRDefault="00605AD4" w:rsidP="00605AD4">
      <w:pPr>
        <w:pStyle w:val="Heading4"/>
      </w:pPr>
      <w:r w:rsidRPr="00605AD4">
        <w:t>Safety issues with the potential for major regulatory impact</w:t>
      </w:r>
    </w:p>
    <w:p w14:paraId="5C35FC2D" w14:textId="3AD64DCD" w:rsidR="003B08F8" w:rsidRDefault="00334022" w:rsidP="00334022">
      <w:r>
        <w:t xml:space="preserve">Serious </w:t>
      </w:r>
      <w:r w:rsidR="008E64F9">
        <w:t>adverse event</w:t>
      </w:r>
      <w:r>
        <w:t xml:space="preserve">s (SAE) from the </w:t>
      </w:r>
      <w:r w:rsidR="003E6F92">
        <w:t>sponsor</w:t>
      </w:r>
      <w:r>
        <w:t xml:space="preserve">-initiated </w:t>
      </w:r>
      <w:r w:rsidR="000441EA">
        <w:t>S</w:t>
      </w:r>
      <w:r>
        <w:t xml:space="preserve">tudy </w:t>
      </w:r>
      <w:r w:rsidR="00BB39E5">
        <w:t>INOT41</w:t>
      </w:r>
      <w:r>
        <w:t xml:space="preserve">, are summarised below. In general, SAEs were more commonly observed with placebo than with </w:t>
      </w:r>
      <w:r w:rsidR="00DC7D20">
        <w:t>inhaled nitric oxide</w:t>
      </w:r>
      <w:r>
        <w:t xml:space="preserve"> during the double-blind phase. Open-label treatment with </w:t>
      </w:r>
      <w:r w:rsidR="00DC7D20">
        <w:t>inhaled nitric oxide</w:t>
      </w:r>
      <w:r>
        <w:t xml:space="preserve"> was associated with a higher incidence of SAEs, reflecting a longer duration of treatment and a sicker underlying population. The most common SAEs consisted of a need for renal replacement therapy, haemorrhage, and pyrexia; these AEs are likely to reflect the underlying disease (severe cardiac failure) and the procedure (</w:t>
      </w:r>
      <w:r w:rsidR="00BB39E5">
        <w:t>left ventricular assist device</w:t>
      </w:r>
      <w:r>
        <w:t xml:space="preserve"> insertion). The incidence of individual SAEs was generally similar in the </w:t>
      </w:r>
      <w:r w:rsidR="00DC7D20">
        <w:t>inhaled nitric oxide</w:t>
      </w:r>
      <w:r>
        <w:t xml:space="preserve"> and placebo groups. The only SAE that occurred slightly more frequently in the </w:t>
      </w:r>
      <w:r w:rsidR="00DC7D20">
        <w:t>inhaled nitric oxide</w:t>
      </w:r>
      <w:r>
        <w:t xml:space="preserve"> group was renal replacement therapy, but the incidence was actually similar to that observed in the placebo group (</w:t>
      </w:r>
      <w:r w:rsidR="00DC7D20">
        <w:t>inhaled nitric oxide</w:t>
      </w:r>
      <w:r>
        <w:t>, 10</w:t>
      </w:r>
      <w:r w:rsidR="00A46082">
        <w:t xml:space="preserve"> of </w:t>
      </w:r>
      <w:r>
        <w:t>69 subjects, 14.1%; placebo 8</w:t>
      </w:r>
      <w:r w:rsidR="00A46082">
        <w:t xml:space="preserve"> of </w:t>
      </w:r>
      <w:r>
        <w:t>68 subjects, 11.4%), with no significant</w:t>
      </w:r>
      <w:r w:rsidR="00D42948">
        <w:t xml:space="preserve"> </w:t>
      </w:r>
      <w:r>
        <w:t>difference.</w:t>
      </w:r>
    </w:p>
    <w:p w14:paraId="1E183100" w14:textId="77777777" w:rsidR="00500337" w:rsidRDefault="00334022" w:rsidP="00334022">
      <w:r>
        <w:t>In the published studies, SAEs and AEs were not distinguished</w:t>
      </w:r>
      <w:r w:rsidR="00A46082">
        <w:t>.</w:t>
      </w:r>
    </w:p>
    <w:p w14:paraId="211CA0FF" w14:textId="77777777" w:rsidR="00334022" w:rsidRDefault="00334022" w:rsidP="00A46082">
      <w:pPr>
        <w:pStyle w:val="Heading5"/>
      </w:pPr>
      <w:r>
        <w:t>Deaths</w:t>
      </w:r>
    </w:p>
    <w:p w14:paraId="625921DD" w14:textId="77777777" w:rsidR="00334022" w:rsidRDefault="00334022" w:rsidP="00334022">
      <w:r>
        <w:t xml:space="preserve">Four deaths occurred in Study </w:t>
      </w:r>
      <w:r w:rsidR="00BB39E5">
        <w:t>INOT41</w:t>
      </w:r>
      <w:r>
        <w:t>, as summarised in the table below.</w:t>
      </w:r>
    </w:p>
    <w:p w14:paraId="10750337" w14:textId="5CCD456D" w:rsidR="00334022" w:rsidRDefault="00334022" w:rsidP="00CC1FBD">
      <w:pPr>
        <w:pStyle w:val="TableTitle"/>
      </w:pPr>
      <w:r>
        <w:lastRenderedPageBreak/>
        <w:t xml:space="preserve">Table </w:t>
      </w:r>
      <w:r w:rsidR="00035230">
        <w:t>11</w:t>
      </w:r>
      <w:r w:rsidR="00CC1FBD">
        <w:t>:</w:t>
      </w:r>
      <w:r>
        <w:t xml:space="preserve"> Deaths in </w:t>
      </w:r>
      <w:r w:rsidR="000441EA">
        <w:t xml:space="preserve">Study </w:t>
      </w:r>
      <w:r w:rsidR="00BB39E5">
        <w:t>INOT41</w:t>
      </w:r>
    </w:p>
    <w:p w14:paraId="740905FB" w14:textId="77777777" w:rsidR="00334022" w:rsidRDefault="00845B95" w:rsidP="002E59D2">
      <w:r>
        <w:rPr>
          <w:noProof/>
          <w:lang w:eastAsia="en-AU"/>
        </w:rPr>
        <w:drawing>
          <wp:inline distT="0" distB="0" distL="0" distR="0" wp14:anchorId="69FD86C1" wp14:editId="3E279A3E">
            <wp:extent cx="5400040" cy="2320290"/>
            <wp:effectExtent l="0" t="0" r="0" b="3810"/>
            <wp:docPr id="11" name="Picture 11" descr="Deaths in INO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320290"/>
                    </a:xfrm>
                    <a:prstGeom prst="rect">
                      <a:avLst/>
                    </a:prstGeom>
                  </pic:spPr>
                </pic:pic>
              </a:graphicData>
            </a:graphic>
          </wp:inline>
        </w:drawing>
      </w:r>
    </w:p>
    <w:p w14:paraId="49ED44B5" w14:textId="2E71B2FD" w:rsidR="000441EA" w:rsidRDefault="000441EA" w:rsidP="0011189C">
      <w:pPr>
        <w:pStyle w:val="TableDescription"/>
      </w:pPr>
      <w:r>
        <w:t>Note: Under the ID column, patient identifiers have been redacted.</w:t>
      </w:r>
    </w:p>
    <w:p w14:paraId="19376672" w14:textId="5AEC6894" w:rsidR="00334022" w:rsidRDefault="00334022" w:rsidP="00334022">
      <w:r>
        <w:t xml:space="preserve">From the previous </w:t>
      </w:r>
      <w:r w:rsidR="00A46082">
        <w:t>c</w:t>
      </w:r>
      <w:r>
        <w:t xml:space="preserve">linical </w:t>
      </w:r>
      <w:r w:rsidR="00A46082">
        <w:t>e</w:t>
      </w:r>
      <w:r w:rsidR="00D90D62">
        <w:t xml:space="preserve">valuation: </w:t>
      </w:r>
      <w:r>
        <w:t xml:space="preserve">In </w:t>
      </w:r>
      <w:r w:rsidR="000441EA">
        <w:t xml:space="preserve">Study </w:t>
      </w:r>
      <w:r w:rsidR="00BB39E5">
        <w:t>INOT41</w:t>
      </w:r>
      <w:r>
        <w:t xml:space="preserve">, two deaths occurred due to </w:t>
      </w:r>
      <w:r w:rsidR="00CC1FBD">
        <w:t>right ventricular failure</w:t>
      </w:r>
      <w:r>
        <w:t xml:space="preserve"> during double</w:t>
      </w:r>
      <w:r w:rsidR="00CC1FBD">
        <w:t xml:space="preserve"> </w:t>
      </w:r>
      <w:r>
        <w:t>blind treatment, but they were balanced across treatment groups: 1</w:t>
      </w:r>
      <w:r w:rsidR="00A46082">
        <w:t xml:space="preserve"> of </w:t>
      </w:r>
      <w:r>
        <w:t xml:space="preserve">69 (1.4%) in the </w:t>
      </w:r>
      <w:r w:rsidR="00DC7D20">
        <w:t>inhaled nitric oxide</w:t>
      </w:r>
      <w:r>
        <w:t xml:space="preserve"> group and 1</w:t>
      </w:r>
      <w:r w:rsidR="00A46082">
        <w:t xml:space="preserve"> of </w:t>
      </w:r>
      <w:r>
        <w:t xml:space="preserve">68 (1.5%) in the placebo group. The death in the </w:t>
      </w:r>
      <w:r w:rsidR="00DC7D20">
        <w:t>inhaled nitric oxide</w:t>
      </w:r>
      <w:r>
        <w:t xml:space="preserve"> recipient was considered ‘remotely’ related to study drug, and while the death in the placebo recipient was considered unrelated. Overall, </w:t>
      </w:r>
      <w:r w:rsidR="00B25F29">
        <w:t>right ventricular failure</w:t>
      </w:r>
      <w:r w:rsidR="003B08F8">
        <w:t xml:space="preserve"> </w:t>
      </w:r>
      <w:r>
        <w:t xml:space="preserve">was less frequent with </w:t>
      </w:r>
      <w:r w:rsidR="00DC7D20">
        <w:t>inhaled nitric oxide</w:t>
      </w:r>
      <w:r>
        <w:t>.</w:t>
      </w:r>
    </w:p>
    <w:p w14:paraId="7D61EB6B" w14:textId="77777777" w:rsidR="00334022" w:rsidRDefault="00334022" w:rsidP="00334022">
      <w:r>
        <w:t>Two more deaths occurred during open</w:t>
      </w:r>
      <w:r w:rsidR="00A46082">
        <w:t xml:space="preserve"> </w:t>
      </w:r>
      <w:r>
        <w:t xml:space="preserve">label </w:t>
      </w:r>
      <w:r w:rsidR="00DC7D20">
        <w:t>inhaled nitric oxide</w:t>
      </w:r>
      <w:r>
        <w:t xml:space="preserve"> treatment. Both deaths were attributed to multi-organ failure and were considered to be ‘remotely’ related to study drug. There is no evidence of a causal relation between </w:t>
      </w:r>
      <w:r w:rsidR="00DC7D20">
        <w:t>inhaled nitric oxide</w:t>
      </w:r>
      <w:r w:rsidR="00A46082">
        <w:t xml:space="preserve"> treatment and the deaths.</w:t>
      </w:r>
    </w:p>
    <w:p w14:paraId="30915711" w14:textId="3A74D959" w:rsidR="00334022" w:rsidRDefault="00334022" w:rsidP="00CC1FBD">
      <w:pPr>
        <w:pStyle w:val="TableTitle"/>
      </w:pPr>
      <w:r w:rsidRPr="00334022">
        <w:t xml:space="preserve">Table </w:t>
      </w:r>
      <w:r w:rsidR="00035230">
        <w:t>12</w:t>
      </w:r>
      <w:r w:rsidR="00CC1FBD">
        <w:t>:</w:t>
      </w:r>
      <w:r w:rsidRPr="00334022">
        <w:t xml:space="preserve"> Adverse </w:t>
      </w:r>
      <w:r w:rsidR="00845B95" w:rsidRPr="00334022">
        <w:t>events with a fatal outcome during treatment</w:t>
      </w:r>
      <w:r w:rsidRPr="00334022">
        <w:t xml:space="preserve">, </w:t>
      </w:r>
      <w:r w:rsidR="000441EA">
        <w:t xml:space="preserve">Study </w:t>
      </w:r>
      <w:r w:rsidR="00BB39E5">
        <w:t>INOT41</w:t>
      </w:r>
    </w:p>
    <w:p w14:paraId="52C5EFEE" w14:textId="77777777" w:rsidR="00334022" w:rsidRDefault="00334022" w:rsidP="00334022">
      <w:r>
        <w:rPr>
          <w:noProof/>
          <w:lang w:eastAsia="en-AU"/>
        </w:rPr>
        <w:drawing>
          <wp:inline distT="0" distB="0" distL="0" distR="0" wp14:anchorId="1055073B" wp14:editId="29031995">
            <wp:extent cx="5400040" cy="3294175"/>
            <wp:effectExtent l="0" t="0" r="0" b="1905"/>
            <wp:docPr id="2" name="Picture 2" descr="Adverse Events with a Fatal Outcome During Treatment, INO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294175"/>
                    </a:xfrm>
                    <a:prstGeom prst="rect">
                      <a:avLst/>
                    </a:prstGeom>
                    <a:noFill/>
                    <a:ln>
                      <a:noFill/>
                    </a:ln>
                  </pic:spPr>
                </pic:pic>
              </a:graphicData>
            </a:graphic>
          </wp:inline>
        </w:drawing>
      </w:r>
    </w:p>
    <w:p w14:paraId="0E92659D" w14:textId="77777777" w:rsidR="00334022" w:rsidRPr="00334022" w:rsidRDefault="00334022" w:rsidP="00A46082">
      <w:pPr>
        <w:pStyle w:val="Heading5"/>
      </w:pPr>
      <w:r w:rsidRPr="00334022">
        <w:lastRenderedPageBreak/>
        <w:t>Liver function and liver toxicity</w:t>
      </w:r>
    </w:p>
    <w:p w14:paraId="2150FDF2" w14:textId="2802ADC9" w:rsidR="00334022" w:rsidRPr="00A46082" w:rsidRDefault="00334022" w:rsidP="00A46082">
      <w:r w:rsidRPr="00A46082">
        <w:t xml:space="preserve">There is no evidence of significant liver toxicity related to </w:t>
      </w:r>
      <w:r w:rsidR="00DC7D20" w:rsidRPr="00A46082">
        <w:t>inhaled nitric oxide</w:t>
      </w:r>
      <w:r w:rsidRPr="00A46082">
        <w:t xml:space="preserve">. As noted in the previous </w:t>
      </w:r>
      <w:r w:rsidR="00CC1FBD">
        <w:t>c</w:t>
      </w:r>
      <w:r w:rsidRPr="00A46082">
        <w:t xml:space="preserve">linical </w:t>
      </w:r>
      <w:r w:rsidR="00CC1FBD">
        <w:t>e</w:t>
      </w:r>
      <w:r w:rsidRPr="00A46082">
        <w:t xml:space="preserve">valuation, many subjects showed improved liver function after cardiac surgery, reflecting improved liver perfusion and reduced hepatic engorgement. However, in Study </w:t>
      </w:r>
      <w:r w:rsidR="00BB39E5" w:rsidRPr="00A46082">
        <w:t>INOT41</w:t>
      </w:r>
      <w:r w:rsidRPr="00A46082">
        <w:t xml:space="preserve">, a total of 14 subjects receiving </w:t>
      </w:r>
      <w:r w:rsidR="00DC7D20" w:rsidRPr="00A46082">
        <w:t>inhaled nitric oxide</w:t>
      </w:r>
      <w:r w:rsidRPr="00A46082">
        <w:t xml:space="preserve"> and 12</w:t>
      </w:r>
      <w:r w:rsidR="000441EA">
        <w:t> </w:t>
      </w:r>
      <w:r w:rsidRPr="00A46082">
        <w:t xml:space="preserve">subjects receiving placebo had </w:t>
      </w:r>
      <w:r w:rsidR="00A46082" w:rsidRPr="00A46082">
        <w:t>aspartate transaminase</w:t>
      </w:r>
      <w:r w:rsidRPr="00A46082">
        <w:t xml:space="preserve"> or </w:t>
      </w:r>
      <w:r w:rsidR="00A46082" w:rsidRPr="00A46082">
        <w:t>alanine aminotransferase</w:t>
      </w:r>
      <w:r w:rsidRPr="00A46082">
        <w:t xml:space="preserve"> values that were at least 10 times the upper limit of normal at baseline or at sporadic post-baseline time points. There was no apparent correlation with administration of </w:t>
      </w:r>
      <w:r w:rsidR="00DC7D20" w:rsidRPr="00A46082">
        <w:t>inhaled nitric oxide</w:t>
      </w:r>
      <w:r w:rsidRPr="00A46082">
        <w:t xml:space="preserve">, and in many cases the abnormal </w:t>
      </w:r>
      <w:r w:rsidR="00A46082" w:rsidRPr="00A46082">
        <w:t>liver function test</w:t>
      </w:r>
      <w:r w:rsidRPr="00A46082">
        <w:t>s are likely to reflect cardiac and multi-organ dysfunction in the setting of major concurrent comorbidities.</w:t>
      </w:r>
    </w:p>
    <w:p w14:paraId="3B2AF273" w14:textId="77777777" w:rsidR="00334022" w:rsidRPr="00A46082" w:rsidRDefault="00334022" w:rsidP="00A46082">
      <w:pPr>
        <w:pStyle w:val="Heading5"/>
      </w:pPr>
      <w:r w:rsidRPr="00A46082">
        <w:t>Renal function and renal toxicity</w:t>
      </w:r>
    </w:p>
    <w:p w14:paraId="79A3EED4" w14:textId="6437C25B" w:rsidR="003B08F8" w:rsidRDefault="00334022" w:rsidP="00A46082">
      <w:r w:rsidRPr="00A46082">
        <w:t xml:space="preserve">There is no evidence of renal toxicity with </w:t>
      </w:r>
      <w:r w:rsidR="00DC7D20" w:rsidRPr="00A46082">
        <w:t>inhaled nitric oxide</w:t>
      </w:r>
      <w:r w:rsidRPr="00A46082">
        <w:t xml:space="preserve">, and laboratory monitoring in </w:t>
      </w:r>
      <w:r w:rsidR="000441EA">
        <w:t xml:space="preserve">Study </w:t>
      </w:r>
      <w:r w:rsidR="00BB39E5" w:rsidRPr="00A46082">
        <w:t>INOT41</w:t>
      </w:r>
      <w:r w:rsidRPr="00A46082">
        <w:t xml:space="preserve"> did not raise concerns related to biochemical markers of renal dysfunction.</w:t>
      </w:r>
    </w:p>
    <w:p w14:paraId="210E3F0B" w14:textId="77777777" w:rsidR="00334022" w:rsidRPr="00A46082" w:rsidRDefault="00334022" w:rsidP="00A46082">
      <w:pPr>
        <w:pStyle w:val="Heading5"/>
      </w:pPr>
      <w:r w:rsidRPr="00A46082">
        <w:t>Other clinical chemistry</w:t>
      </w:r>
    </w:p>
    <w:p w14:paraId="3A953E92" w14:textId="77777777" w:rsidR="00334022" w:rsidRPr="00A46082" w:rsidRDefault="00334022" w:rsidP="00A46082">
      <w:r w:rsidRPr="00A46082">
        <w:t xml:space="preserve">Apart from </w:t>
      </w:r>
      <w:proofErr w:type="spellStart"/>
      <w:r w:rsidR="00931948">
        <w:rPr>
          <w:rFonts w:eastAsia="TimesNewRoman"/>
        </w:rPr>
        <w:t>metHB</w:t>
      </w:r>
      <w:proofErr w:type="spellEnd"/>
      <w:r w:rsidRPr="00A46082">
        <w:t xml:space="preserve"> and </w:t>
      </w:r>
      <w:r w:rsidR="00A46082" w:rsidRPr="00A46082">
        <w:t>nitrogen dioxide</w:t>
      </w:r>
      <w:r w:rsidRPr="00A46082">
        <w:t xml:space="preserve">, discussed above, the use of </w:t>
      </w:r>
      <w:r w:rsidR="00DC7D20" w:rsidRPr="00A46082">
        <w:t>inhaled nitric oxide</w:t>
      </w:r>
      <w:r w:rsidRPr="00A46082">
        <w:t xml:space="preserve"> is not known to cause other abnormalities of clinical chemistry.</w:t>
      </w:r>
    </w:p>
    <w:p w14:paraId="0A8E3C03" w14:textId="77777777" w:rsidR="00334022" w:rsidRPr="00A46082" w:rsidRDefault="00334022" w:rsidP="00A46082">
      <w:pPr>
        <w:pStyle w:val="Heading5"/>
      </w:pPr>
      <w:r w:rsidRPr="00A46082">
        <w:t>Haematology and haematological toxicity</w:t>
      </w:r>
    </w:p>
    <w:p w14:paraId="0DA0F1D2" w14:textId="067B7285" w:rsidR="00334022" w:rsidRPr="00A46082" w:rsidRDefault="00334022" w:rsidP="00A46082">
      <w:r w:rsidRPr="00A46082">
        <w:t xml:space="preserve">There were no major haematological abnormalities noted in </w:t>
      </w:r>
      <w:r w:rsidR="00DC7D20" w:rsidRPr="00A46082">
        <w:t>inhaled nitric oxide</w:t>
      </w:r>
      <w:r w:rsidRPr="00A46082">
        <w:t xml:space="preserve"> recipients in </w:t>
      </w:r>
      <w:r w:rsidR="000441EA">
        <w:t xml:space="preserve">Study </w:t>
      </w:r>
      <w:r w:rsidR="00BB39E5" w:rsidRPr="00A46082">
        <w:t>INOT41</w:t>
      </w:r>
      <w:r w:rsidRPr="00A46082">
        <w:t xml:space="preserve">, and the published literature does not raise any significant concerns about haematological toxicity. As noted in the previous </w:t>
      </w:r>
      <w:r w:rsidR="000441EA">
        <w:t>c</w:t>
      </w:r>
      <w:r w:rsidRPr="00A46082">
        <w:t xml:space="preserve">linical </w:t>
      </w:r>
      <w:r w:rsidR="000441EA">
        <w:t>e</w:t>
      </w:r>
      <w:r w:rsidRPr="00A46082">
        <w:t xml:space="preserve">valuation for </w:t>
      </w:r>
      <w:proofErr w:type="spellStart"/>
      <w:r w:rsidR="00C40BA7">
        <w:t>INOmax</w:t>
      </w:r>
      <w:proofErr w:type="spellEnd"/>
      <w:r w:rsidRPr="00A46082">
        <w:t xml:space="preserve">, concerns were raised by </w:t>
      </w:r>
      <w:proofErr w:type="spellStart"/>
      <w:r w:rsidRPr="00A46082">
        <w:t>Ardehali</w:t>
      </w:r>
      <w:proofErr w:type="spellEnd"/>
      <w:r w:rsidRPr="00A46082">
        <w:t xml:space="preserve"> et al, 2001</w:t>
      </w:r>
      <w:r w:rsidR="000441EA">
        <w:t>;</w:t>
      </w:r>
      <w:r w:rsidR="008024D2" w:rsidRPr="008024D2">
        <w:rPr>
          <w:vertAlign w:val="superscript"/>
        </w:rPr>
        <w:fldChar w:fldCharType="begin"/>
      </w:r>
      <w:r w:rsidR="008024D2" w:rsidRPr="008024D2">
        <w:rPr>
          <w:vertAlign w:val="superscript"/>
        </w:rPr>
        <w:instrText xml:space="preserve"> NOTEREF _Ref25845111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15</w:t>
      </w:r>
      <w:r w:rsidR="008024D2" w:rsidRPr="008024D2">
        <w:rPr>
          <w:vertAlign w:val="superscript"/>
        </w:rPr>
        <w:fldChar w:fldCharType="end"/>
      </w:r>
      <w:r w:rsidRPr="00A46082">
        <w:t xml:space="preserve"> about the theoretical potential of </w:t>
      </w:r>
      <w:r w:rsidR="00A46082">
        <w:t>nitric oxide</w:t>
      </w:r>
      <w:r w:rsidRPr="00A46082">
        <w:t xml:space="preserve"> to modify immune function; these concerns have not been substantiated in ongoing safety monitoring for </w:t>
      </w:r>
      <w:r w:rsidR="00DC7D20" w:rsidRPr="00A46082">
        <w:t>inhaled nitric oxide</w:t>
      </w:r>
      <w:r w:rsidRPr="00A46082">
        <w:t>.</w:t>
      </w:r>
    </w:p>
    <w:p w14:paraId="7269B7A3" w14:textId="700BDA32" w:rsidR="003B08F8" w:rsidRDefault="00334022" w:rsidP="00A46082">
      <w:r w:rsidRPr="00A46082">
        <w:t xml:space="preserve">Similarly, theoretical concerns have been raised about whether </w:t>
      </w:r>
      <w:r w:rsidR="00DC7D20" w:rsidRPr="00A46082">
        <w:t>inhaled nitric oxide</w:t>
      </w:r>
      <w:r w:rsidRPr="00A46082">
        <w:t xml:space="preserve"> might have an effect on platelets, and animal models suggest a possible increase in bleeding time, but evidence from </w:t>
      </w:r>
      <w:r w:rsidR="000441EA">
        <w:t xml:space="preserve">Study </w:t>
      </w:r>
      <w:r w:rsidR="00BB39E5" w:rsidRPr="00A46082">
        <w:t>INOT41</w:t>
      </w:r>
      <w:r w:rsidRPr="00A46082">
        <w:t>, the published studies, and post-marketing surveillance show no concerning safety signals with respect t</w:t>
      </w:r>
      <w:r w:rsidR="00D90D62">
        <w:t xml:space="preserve">o bleeding or </w:t>
      </w:r>
      <w:proofErr w:type="spellStart"/>
      <w:r w:rsidR="00D90D62">
        <w:t>thrombocytopaenia</w:t>
      </w:r>
      <w:proofErr w:type="spellEnd"/>
      <w:r w:rsidRPr="00A46082">
        <w:t xml:space="preserve">. The </w:t>
      </w:r>
      <w:r w:rsidR="003E6F92">
        <w:t>sponsor</w:t>
      </w:r>
      <w:r w:rsidRPr="00A46082">
        <w:t xml:space="preserve"> notes:</w:t>
      </w:r>
    </w:p>
    <w:p w14:paraId="5CB6EAD0" w14:textId="7E2A0AB9" w:rsidR="00334022" w:rsidRPr="00A46082" w:rsidRDefault="000441EA" w:rsidP="0011189C">
      <w:pPr>
        <w:ind w:left="720"/>
      </w:pPr>
      <w:r>
        <w:t>‘</w:t>
      </w:r>
      <w:r w:rsidR="00334022" w:rsidRPr="00A46082">
        <w:t xml:space="preserve">Nitric oxide activates cyclic GMP and thus </w:t>
      </w:r>
      <w:r w:rsidR="00DC7D20" w:rsidRPr="00A46082">
        <w:t>inhaled nitric oxide</w:t>
      </w:r>
      <w:r w:rsidR="00334022" w:rsidRPr="00A46082">
        <w:t xml:space="preserve"> may have an effect on platelets. However, it is rapidly taken up by haemoglobin forming </w:t>
      </w:r>
      <w:proofErr w:type="spellStart"/>
      <w:r w:rsidR="00931948">
        <w:rPr>
          <w:rFonts w:eastAsia="TimesNewRoman"/>
        </w:rPr>
        <w:t>metHB</w:t>
      </w:r>
      <w:proofErr w:type="spellEnd"/>
      <w:r w:rsidR="00334022" w:rsidRPr="00A46082">
        <w:t xml:space="preserve">. However, data from humans have not identified signs or signals of an increased risk of bleeding from the administration of low clinical doses of inhaled nitric oxide. Similarly a low dose of 30 ppm inhaled nitric oxide in healthy volunteers did not cause significant change in bleeding time or platelet function as compared to placebo, while active control with aspirin caused an expected change in </w:t>
      </w:r>
      <w:r w:rsidR="00334022" w:rsidRPr="000612F3">
        <w:t>both parameters</w:t>
      </w:r>
      <w:r w:rsidRPr="0011189C">
        <w:rPr>
          <w:vertAlign w:val="superscript"/>
        </w:rPr>
        <w:t>.</w:t>
      </w:r>
      <w:r w:rsidR="000612F3" w:rsidRPr="000441EA">
        <w:rPr>
          <w:rStyle w:val="FootnoteReference"/>
        </w:rPr>
        <w:footnoteReference w:id="40"/>
      </w:r>
      <w:r w:rsidR="000612F3" w:rsidRPr="0011189C">
        <w:rPr>
          <w:vertAlign w:val="superscript"/>
        </w:rPr>
        <w:t>,</w:t>
      </w:r>
      <w:r w:rsidR="000612F3" w:rsidRPr="000441EA">
        <w:rPr>
          <w:rStyle w:val="FootnoteReference"/>
        </w:rPr>
        <w:footnoteReference w:id="41"/>
      </w:r>
      <w:r w:rsidR="000612F3" w:rsidRPr="0011189C">
        <w:rPr>
          <w:vertAlign w:val="superscript"/>
        </w:rPr>
        <w:t>,</w:t>
      </w:r>
      <w:r w:rsidR="000612F3" w:rsidRPr="000612F3">
        <w:rPr>
          <w:rStyle w:val="FootnoteReference"/>
        </w:rPr>
        <w:footnoteReference w:id="42"/>
      </w:r>
      <w:r>
        <w:t>’</w:t>
      </w:r>
    </w:p>
    <w:p w14:paraId="705B1E7A" w14:textId="77777777" w:rsidR="00334022" w:rsidRPr="00A46082" w:rsidRDefault="00334022" w:rsidP="00A46082">
      <w:r w:rsidRPr="00A46082">
        <w:t>The approved PI already contains a warning about this issue:</w:t>
      </w:r>
    </w:p>
    <w:p w14:paraId="72AD2441" w14:textId="77777777" w:rsidR="00334022" w:rsidRPr="00A46082" w:rsidRDefault="00334022" w:rsidP="0011189C">
      <w:pPr>
        <w:ind w:left="567" w:firstLine="153"/>
      </w:pPr>
      <w:r w:rsidRPr="00A46082">
        <w:t>Bleeding time</w:t>
      </w:r>
    </w:p>
    <w:p w14:paraId="7754CE37" w14:textId="77777777" w:rsidR="00334022" w:rsidRPr="00A46082" w:rsidRDefault="00334022" w:rsidP="0011189C">
      <w:pPr>
        <w:ind w:left="720"/>
      </w:pPr>
      <w:r w:rsidRPr="00A46082">
        <w:t xml:space="preserve">Animal models have shown that nitric oxide may interact with haemostasis, resulting in an increased bleeding time. Nitric oxide may modulate platelet function via the guanylate cyclase signalling pathway. Data in adult humans are </w:t>
      </w:r>
      <w:r w:rsidRPr="00A46082">
        <w:lastRenderedPageBreak/>
        <w:t>conflicting, and there has been no increase in bleeding complications in randomised controlled trials in term and near-term neonates with hypoxic respiratory failure.</w:t>
      </w:r>
    </w:p>
    <w:p w14:paraId="0B7816E2" w14:textId="77777777" w:rsidR="00334022" w:rsidRPr="00A46082" w:rsidRDefault="00334022" w:rsidP="00A46082">
      <w:pPr>
        <w:pStyle w:val="Heading5"/>
      </w:pPr>
      <w:r w:rsidRPr="00A46082">
        <w:t>Other laboratory tests</w:t>
      </w:r>
    </w:p>
    <w:p w14:paraId="19129C2B" w14:textId="77777777" w:rsidR="00334022" w:rsidRPr="00A46082" w:rsidRDefault="00334022" w:rsidP="00A46082">
      <w:r w:rsidRPr="00A46082">
        <w:t>No additional concerns arise from other laboratory tests.</w:t>
      </w:r>
    </w:p>
    <w:p w14:paraId="79FDDCB5" w14:textId="05379FB6" w:rsidR="00334022" w:rsidRPr="00A46082" w:rsidRDefault="00334022" w:rsidP="00A46082">
      <w:pPr>
        <w:pStyle w:val="Heading5"/>
      </w:pPr>
      <w:r w:rsidRPr="00A46082">
        <w:t>Electrocardiograph findings and cardiovascular safety</w:t>
      </w:r>
    </w:p>
    <w:p w14:paraId="1B0909B6" w14:textId="77777777" w:rsidR="003B08F8" w:rsidRDefault="00334022" w:rsidP="00A46082">
      <w:r w:rsidRPr="00A46082">
        <w:t xml:space="preserve">Inhaled </w:t>
      </w:r>
      <w:r w:rsidR="00A46082">
        <w:t xml:space="preserve">nitric oxide can increase left </w:t>
      </w:r>
      <w:r w:rsidRPr="00A46082">
        <w:t>atrial (LA) filling, potentially exacerbating cardiac failure or pulmonary oedema in susceptible individuals with pre-existing left ventricular dysfunction; this issu</w:t>
      </w:r>
      <w:r w:rsidR="00A46082">
        <w:t>e is well known and it is highl</w:t>
      </w:r>
      <w:r w:rsidRPr="00A46082">
        <w:t>ighted in the current PI.</w:t>
      </w:r>
    </w:p>
    <w:p w14:paraId="44C64BA1" w14:textId="77777777" w:rsidR="00334022" w:rsidRPr="00A46082" w:rsidRDefault="00334022" w:rsidP="00A46082">
      <w:r w:rsidRPr="00A46082">
        <w:t xml:space="preserve">In Study </w:t>
      </w:r>
      <w:r w:rsidR="00BB39E5" w:rsidRPr="00A46082">
        <w:t>INOT41</w:t>
      </w:r>
      <w:r w:rsidRPr="00A46082">
        <w:t xml:space="preserve">, use of </w:t>
      </w:r>
      <w:r w:rsidR="00DC7D20" w:rsidRPr="00A46082">
        <w:t>inhaled nitric oxide</w:t>
      </w:r>
      <w:r w:rsidRPr="00A46082">
        <w:t xml:space="preserve"> was not associated with abnormalities of the </w:t>
      </w:r>
      <w:r w:rsidR="00931948">
        <w:rPr>
          <w:rFonts w:eastAsia="TimesNewRoman"/>
        </w:rPr>
        <w:t>electrocardiogram</w:t>
      </w:r>
      <w:r w:rsidR="00931948" w:rsidRPr="00A46082">
        <w:t xml:space="preserve"> </w:t>
      </w:r>
      <w:r w:rsidR="00931948">
        <w:t>(</w:t>
      </w:r>
      <w:r w:rsidRPr="00A46082">
        <w:t>ECG</w:t>
      </w:r>
      <w:r w:rsidR="00931948">
        <w:t>)</w:t>
      </w:r>
      <w:r w:rsidRPr="00A46082">
        <w:t>. Cardiovascular safety has been closely monitored in the s</w:t>
      </w:r>
      <w:r w:rsidR="00A46082">
        <w:t>u</w:t>
      </w:r>
      <w:r w:rsidRPr="00A46082">
        <w:t>bmitted studies, and was usually the main focus of efficacy assessments</w:t>
      </w:r>
      <w:r w:rsidR="00D90D62">
        <w:t>. N</w:t>
      </w:r>
      <w:r w:rsidRPr="00A46082">
        <w:t xml:space="preserve">o concerning signals were detected, apart from the previously discussed risk in subjects intolerant of increased </w:t>
      </w:r>
      <w:r w:rsidR="00A46082">
        <w:t>left atrial</w:t>
      </w:r>
      <w:r w:rsidRPr="00A46082">
        <w:t xml:space="preserve"> filling.</w:t>
      </w:r>
    </w:p>
    <w:p w14:paraId="06504864" w14:textId="77777777" w:rsidR="00334022" w:rsidRPr="00A46082" w:rsidRDefault="00334022" w:rsidP="00A46082">
      <w:pPr>
        <w:pStyle w:val="Heading5"/>
      </w:pPr>
      <w:r w:rsidRPr="00A46082">
        <w:t>Vital signs and clinical examination findings</w:t>
      </w:r>
    </w:p>
    <w:p w14:paraId="50F5E331" w14:textId="0DCF7D6F" w:rsidR="00334022" w:rsidRPr="00A46082" w:rsidRDefault="00334022" w:rsidP="00A46082">
      <w:r w:rsidRPr="00A46082">
        <w:t xml:space="preserve">Study </w:t>
      </w:r>
      <w:r w:rsidR="00DC7D20" w:rsidRPr="00A46082">
        <w:t>I</w:t>
      </w:r>
      <w:r w:rsidR="00A46082">
        <w:t>NO</w:t>
      </w:r>
      <w:r w:rsidRPr="00A46082">
        <w:t>T4</w:t>
      </w:r>
      <w:r w:rsidR="006C3A30">
        <w:t>1</w:t>
      </w:r>
      <w:r w:rsidRPr="00A46082">
        <w:t xml:space="preserve"> did not raise any concerns related to vital signs or examination findings, and the published studies have not raised any concerning safety signals in this regard.</w:t>
      </w:r>
    </w:p>
    <w:p w14:paraId="0419B7DB" w14:textId="77777777" w:rsidR="00334022" w:rsidRPr="00A46082" w:rsidRDefault="00334022" w:rsidP="00A46082">
      <w:pPr>
        <w:pStyle w:val="Heading5"/>
      </w:pPr>
      <w:r w:rsidRPr="00A46082">
        <w:t>Immunogenicity and immunological events</w:t>
      </w:r>
    </w:p>
    <w:p w14:paraId="69AEF2FF" w14:textId="77777777" w:rsidR="00334022" w:rsidRPr="00A46082" w:rsidRDefault="00334022" w:rsidP="00A46082">
      <w:r w:rsidRPr="00A46082">
        <w:t xml:space="preserve">Inhaled </w:t>
      </w:r>
      <w:r w:rsidR="00A46082">
        <w:t>nitric oxide</w:t>
      </w:r>
      <w:r w:rsidRPr="00A46082">
        <w:t xml:space="preserve"> has not been associated with immunogenicity.</w:t>
      </w:r>
    </w:p>
    <w:p w14:paraId="77AD0171" w14:textId="77777777" w:rsidR="00334022" w:rsidRPr="00A46082" w:rsidRDefault="00334022" w:rsidP="00A46082">
      <w:pPr>
        <w:pStyle w:val="Heading5"/>
      </w:pPr>
      <w:r w:rsidRPr="00A46082">
        <w:t>Serious skin reactions</w:t>
      </w:r>
    </w:p>
    <w:p w14:paraId="431D3FF7" w14:textId="77777777" w:rsidR="00334022" w:rsidRPr="00A46082" w:rsidRDefault="00334022" w:rsidP="00A46082">
      <w:r w:rsidRPr="00A46082">
        <w:t xml:space="preserve">Inhaled </w:t>
      </w:r>
      <w:r w:rsidR="00A46082">
        <w:t>nitric oxide</w:t>
      </w:r>
      <w:r w:rsidRPr="00A46082">
        <w:t xml:space="preserve"> has not been associated with serious skin reactions or rashes.</w:t>
      </w:r>
    </w:p>
    <w:p w14:paraId="542BC092" w14:textId="77777777" w:rsidR="00073F90" w:rsidRPr="00A46082" w:rsidRDefault="00073F90" w:rsidP="00A46082">
      <w:pPr>
        <w:pStyle w:val="Heading5"/>
      </w:pPr>
      <w:r w:rsidRPr="00A46082">
        <w:t>Safety of 40 ppm relative to 20 ppm</w:t>
      </w:r>
    </w:p>
    <w:p w14:paraId="2D8772B6" w14:textId="77777777" w:rsidR="00073F90" w:rsidRPr="00A46082" w:rsidRDefault="00073F90" w:rsidP="00A46082">
      <w:r w:rsidRPr="00A46082">
        <w:t xml:space="preserve">The </w:t>
      </w:r>
      <w:r w:rsidR="003E6F92">
        <w:t>sponsor</w:t>
      </w:r>
      <w:r w:rsidRPr="00A46082">
        <w:t xml:space="preserve"> makes reference to an issue that arose during evaluation of the competing </w:t>
      </w:r>
      <w:r w:rsidR="00DC7D20" w:rsidRPr="00A46082">
        <w:t>inhaled nitric oxide</w:t>
      </w:r>
      <w:r w:rsidRPr="00A46082">
        <w:t xml:space="preserve"> product, </w:t>
      </w:r>
      <w:proofErr w:type="spellStart"/>
      <w:r w:rsidR="000E07C6" w:rsidRPr="00A46082">
        <w:t>Vasokinox</w:t>
      </w:r>
      <w:proofErr w:type="spellEnd"/>
      <w:r w:rsidRPr="00A46082">
        <w:t xml:space="preserve">, as shown below. Essentially, the </w:t>
      </w:r>
      <w:r w:rsidR="00D533F9">
        <w:t>non</w:t>
      </w:r>
      <w:r w:rsidRPr="00A46082">
        <w:t xml:space="preserve">-clinical </w:t>
      </w:r>
      <w:r w:rsidR="00D533F9">
        <w:t>e</w:t>
      </w:r>
      <w:r w:rsidRPr="00A46082">
        <w:t xml:space="preserve">valuator for </w:t>
      </w:r>
      <w:proofErr w:type="spellStart"/>
      <w:r w:rsidR="000E07C6" w:rsidRPr="00A46082">
        <w:t>Vasokinox</w:t>
      </w:r>
      <w:proofErr w:type="spellEnd"/>
      <w:r w:rsidRPr="00A46082">
        <w:t xml:space="preserve"> noted that higher doses of </w:t>
      </w:r>
      <w:r w:rsidR="00DC7D20" w:rsidRPr="00A46082">
        <w:t>inhaled nitric oxide</w:t>
      </w:r>
      <w:r w:rsidRPr="00A46082">
        <w:t xml:space="preserve"> caused pulmonary toxicity in animal models when </w:t>
      </w:r>
      <w:r w:rsidR="00DC7D20" w:rsidRPr="00A46082">
        <w:t>inhaled nitric oxide</w:t>
      </w:r>
      <w:r w:rsidRPr="00A46082">
        <w:t xml:space="preserve"> was administered with high concentrations of oxygen, and the </w:t>
      </w:r>
      <w:r w:rsidR="003D17B8">
        <w:t>clinical e</w:t>
      </w:r>
      <w:r w:rsidRPr="00A46082">
        <w:t xml:space="preserve">valuator for </w:t>
      </w:r>
      <w:proofErr w:type="spellStart"/>
      <w:r w:rsidR="000E07C6" w:rsidRPr="00A46082">
        <w:t>Vasokinox</w:t>
      </w:r>
      <w:proofErr w:type="spellEnd"/>
      <w:r w:rsidRPr="00A46082">
        <w:t xml:space="preserve"> expressed concern that only 27 subjects in the studies under evaluation had been exposed to doses of 40 ppm.</w:t>
      </w:r>
    </w:p>
    <w:p w14:paraId="40488982" w14:textId="77777777" w:rsidR="00073F90" w:rsidRPr="00A46082" w:rsidRDefault="00073F90" w:rsidP="00A46082">
      <w:r w:rsidRPr="00A46082">
        <w:t xml:space="preserve">The </w:t>
      </w:r>
      <w:r w:rsidR="003E6F92">
        <w:t>sponsor</w:t>
      </w:r>
      <w:r w:rsidRPr="00A46082">
        <w:t xml:space="preserve"> for </w:t>
      </w:r>
      <w:proofErr w:type="spellStart"/>
      <w:r w:rsidR="00C40BA7">
        <w:t>INOmax</w:t>
      </w:r>
      <w:proofErr w:type="spellEnd"/>
      <w:r w:rsidRPr="00A46082">
        <w:t xml:space="preserve"> makes the following observations:</w:t>
      </w:r>
    </w:p>
    <w:p w14:paraId="39D00E74" w14:textId="25D43983" w:rsidR="00073F90" w:rsidRPr="00A46082" w:rsidRDefault="000441EA" w:rsidP="0011189C">
      <w:pPr>
        <w:ind w:left="720"/>
      </w:pPr>
      <w:r>
        <w:t>‘</w:t>
      </w:r>
      <w:r w:rsidR="00073F90" w:rsidRPr="00A46082">
        <w:t xml:space="preserve">The AusPAR for </w:t>
      </w:r>
      <w:proofErr w:type="spellStart"/>
      <w:r w:rsidR="000E07C6" w:rsidRPr="00A46082">
        <w:t>Vasokinox</w:t>
      </w:r>
      <w:proofErr w:type="spellEnd"/>
      <w:r w:rsidR="00073F90" w:rsidRPr="00A46082">
        <w:t xml:space="preserve"> indicates that the TGA did not approve the 40</w:t>
      </w:r>
      <w:r w:rsidR="003D17B8">
        <w:t xml:space="preserve"> </w:t>
      </w:r>
      <w:r w:rsidR="00073F90" w:rsidRPr="00A46082">
        <w:t xml:space="preserve">ppm dose for the adult population, based on concerns regarding pulmonary toxicity at higher doses expressed by the </w:t>
      </w:r>
      <w:r w:rsidR="00D533F9">
        <w:t>n</w:t>
      </w:r>
      <w:r w:rsidR="00073F90" w:rsidRPr="00A46082">
        <w:t xml:space="preserve">on-clinical </w:t>
      </w:r>
      <w:r w:rsidR="00D533F9">
        <w:t>e</w:t>
      </w:r>
      <w:r w:rsidR="00073F90" w:rsidRPr="00A46082">
        <w:t xml:space="preserve">valuator. The </w:t>
      </w:r>
      <w:r w:rsidR="00D533F9">
        <w:t>c</w:t>
      </w:r>
      <w:r w:rsidR="00073F90" w:rsidRPr="00A46082">
        <w:t xml:space="preserve">linical </w:t>
      </w:r>
      <w:r w:rsidR="00D533F9">
        <w:t>e</w:t>
      </w:r>
      <w:r w:rsidR="00073F90" w:rsidRPr="00A46082">
        <w:t xml:space="preserve">valuator notes that, in the 6 studies identified as major by the </w:t>
      </w:r>
      <w:proofErr w:type="spellStart"/>
      <w:r w:rsidR="000E07C6" w:rsidRPr="00A46082">
        <w:t>Vasokinox</w:t>
      </w:r>
      <w:proofErr w:type="spellEnd"/>
      <w:r w:rsidR="00073F90" w:rsidRPr="00A46082">
        <w:t xml:space="preserve"> sponsor, only 27 of the 274 exposed patients received 40 ppm dose of </w:t>
      </w:r>
      <w:r w:rsidR="00DC7D20" w:rsidRPr="00A46082">
        <w:t>inhaled nitric oxide</w:t>
      </w:r>
      <w:r w:rsidR="00073F90" w:rsidRPr="00A46082">
        <w:t xml:space="preserve">; an additional 14 patients were reported by </w:t>
      </w:r>
      <w:proofErr w:type="spellStart"/>
      <w:r w:rsidR="00073F90" w:rsidRPr="00A46082">
        <w:t>Schmid</w:t>
      </w:r>
      <w:proofErr w:type="spellEnd"/>
      <w:r w:rsidR="00073F90" w:rsidRPr="00A46082">
        <w:t xml:space="preserve"> 1999</w:t>
      </w:r>
      <w:r w:rsidR="000612F3">
        <w:t>.</w:t>
      </w:r>
      <w:r w:rsidR="008024D2" w:rsidRPr="008024D2">
        <w:rPr>
          <w:vertAlign w:val="superscript"/>
        </w:rPr>
        <w:fldChar w:fldCharType="begin"/>
      </w:r>
      <w:r w:rsidR="008024D2" w:rsidRPr="008024D2">
        <w:rPr>
          <w:vertAlign w:val="superscript"/>
        </w:rPr>
        <w:instrText xml:space="preserve"> NOTEREF _Ref20404887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11</w:t>
      </w:r>
      <w:r w:rsidR="008024D2" w:rsidRPr="008024D2">
        <w:rPr>
          <w:vertAlign w:val="superscript"/>
        </w:rPr>
        <w:fldChar w:fldCharType="end"/>
      </w:r>
      <w:r w:rsidR="00073F90" w:rsidRPr="000612F3">
        <w:t xml:space="preserve"> </w:t>
      </w:r>
      <w:r w:rsidR="00073F90" w:rsidRPr="00A46082">
        <w:t xml:space="preserve">The </w:t>
      </w:r>
      <w:r w:rsidR="00D533F9">
        <w:t xml:space="preserve">clinical </w:t>
      </w:r>
      <w:r w:rsidR="00073F90" w:rsidRPr="00A46082">
        <w:t xml:space="preserve">evaluator concluded that </w:t>
      </w:r>
      <w:r w:rsidR="0011189C">
        <w:t>‘</w:t>
      </w:r>
      <w:r w:rsidR="00073F90" w:rsidRPr="00A46082">
        <w:t xml:space="preserve">the robust clinical data required to address the nonclinical evaluator’s concerns about </w:t>
      </w:r>
      <w:r w:rsidR="00DC7D20" w:rsidRPr="00A46082">
        <w:t>inhaled nitric oxide</w:t>
      </w:r>
      <w:r w:rsidR="00073F90" w:rsidRPr="00A46082">
        <w:t xml:space="preserve"> doses higher than 20 ppm is lacking in the submission.</w:t>
      </w:r>
      <w:r w:rsidR="0011189C">
        <w:t>’</w:t>
      </w:r>
    </w:p>
    <w:p w14:paraId="7DC743E4" w14:textId="4E697383" w:rsidR="003B08F8" w:rsidRDefault="00073F90" w:rsidP="0011189C">
      <w:pPr>
        <w:ind w:left="720"/>
      </w:pPr>
      <w:r w:rsidRPr="00A46082">
        <w:t xml:space="preserve">The current </w:t>
      </w:r>
      <w:proofErr w:type="spellStart"/>
      <w:r w:rsidR="00C40BA7">
        <w:t>INOmax</w:t>
      </w:r>
      <w:proofErr w:type="spellEnd"/>
      <w:r w:rsidRPr="00A46082">
        <w:t xml:space="preserve"> dossier presents additional efficacy and safety data in terms of the 40</w:t>
      </w:r>
      <w:r w:rsidR="00D533F9">
        <w:t> </w:t>
      </w:r>
      <w:r w:rsidRPr="00A46082">
        <w:t xml:space="preserve">ppm dose of </w:t>
      </w:r>
      <w:r w:rsidR="00DC7D20" w:rsidRPr="00A46082">
        <w:t>inhaled nitric oxide</w:t>
      </w:r>
      <w:r w:rsidRPr="00A46082">
        <w:t xml:space="preserve"> from 5 studies that were not included in the </w:t>
      </w:r>
      <w:proofErr w:type="spellStart"/>
      <w:r w:rsidR="000E07C6" w:rsidRPr="00A46082">
        <w:t>Vasokinox</w:t>
      </w:r>
      <w:proofErr w:type="spellEnd"/>
      <w:r w:rsidRPr="00A46082">
        <w:t xml:space="preserve"> dossier. These additional studies re</w:t>
      </w:r>
      <w:r>
        <w:t>present an additional 154</w:t>
      </w:r>
      <w:r w:rsidR="000441EA">
        <w:t> </w:t>
      </w:r>
      <w:r>
        <w:t xml:space="preserve">patients exposed to </w:t>
      </w:r>
      <w:r w:rsidR="00DC7D20">
        <w:t>inhaled nitric oxide</w:t>
      </w:r>
      <w:r>
        <w:t xml:space="preserve"> 40 ppm, compared to the </w:t>
      </w:r>
      <w:proofErr w:type="spellStart"/>
      <w:r w:rsidR="000E07C6">
        <w:t>Vasokinox</w:t>
      </w:r>
      <w:proofErr w:type="spellEnd"/>
      <w:r>
        <w:t xml:space="preserve"> dossier.</w:t>
      </w:r>
    </w:p>
    <w:p w14:paraId="6084742B" w14:textId="3FE786AD" w:rsidR="00073F90" w:rsidRDefault="00073F90" w:rsidP="0011189C">
      <w:pPr>
        <w:ind w:left="720"/>
      </w:pPr>
      <w:r>
        <w:t xml:space="preserve">In this </w:t>
      </w:r>
      <w:proofErr w:type="spellStart"/>
      <w:r w:rsidR="00C40BA7">
        <w:t>INOmax</w:t>
      </w:r>
      <w:proofErr w:type="spellEnd"/>
      <w:r>
        <w:t xml:space="preserve"> dossier, comprehensive safety data for the 40 ppm dose is provided by the sponsored Study </w:t>
      </w:r>
      <w:r w:rsidR="00BB39E5">
        <w:t>INOT41</w:t>
      </w:r>
      <w:r>
        <w:t xml:space="preserve"> which was a prospective, multicentre, double</w:t>
      </w:r>
      <w:r w:rsidR="00914B03">
        <w:t xml:space="preserve"> </w:t>
      </w:r>
      <w:r>
        <w:t xml:space="preserve">blind, placebo controlled study of </w:t>
      </w:r>
      <w:proofErr w:type="spellStart"/>
      <w:r w:rsidR="00C40BA7">
        <w:t>INOmax</w:t>
      </w:r>
      <w:proofErr w:type="spellEnd"/>
      <w:r>
        <w:t xml:space="preserve"> (40</w:t>
      </w:r>
      <w:r w:rsidR="000D37D1">
        <w:t xml:space="preserve"> </w:t>
      </w:r>
      <w:r>
        <w:t xml:space="preserve">ppm) versus placebo (inhaled </w:t>
      </w:r>
      <w:r w:rsidR="00D533F9">
        <w:t>nitrogen</w:t>
      </w:r>
      <w:r>
        <w:t>). The safety population consisted of 137 patients (</w:t>
      </w:r>
      <w:proofErr w:type="spellStart"/>
      <w:r w:rsidR="00C40BA7">
        <w:t>INOmax</w:t>
      </w:r>
      <w:proofErr w:type="spellEnd"/>
      <w:r>
        <w:t xml:space="preserve"> n</w:t>
      </w:r>
      <w:r w:rsidR="00D42948">
        <w:t xml:space="preserve"> = </w:t>
      </w:r>
      <w:r>
        <w:t xml:space="preserve">69; </w:t>
      </w:r>
      <w:r>
        <w:lastRenderedPageBreak/>
        <w:t xml:space="preserve">placebo </w:t>
      </w:r>
      <w:r w:rsidR="00D533F9">
        <w:t>n</w:t>
      </w:r>
      <w:r w:rsidR="00D42948">
        <w:t xml:space="preserve"> = </w:t>
      </w:r>
      <w:r>
        <w:t>68) who received 48</w:t>
      </w:r>
      <w:r w:rsidR="00D533F9">
        <w:t> </w:t>
      </w:r>
      <w:r>
        <w:t>hours treatment in a double</w:t>
      </w:r>
      <w:r w:rsidR="00D90D62">
        <w:t xml:space="preserve"> </w:t>
      </w:r>
      <w:r>
        <w:t xml:space="preserve">blind fashion and could be crossed to open label </w:t>
      </w:r>
      <w:proofErr w:type="spellStart"/>
      <w:r w:rsidR="00C40BA7">
        <w:t>INOmax</w:t>
      </w:r>
      <w:proofErr w:type="spellEnd"/>
      <w:r>
        <w:t xml:space="preserve"> for a further 14 days if clinically indicated.</w:t>
      </w:r>
    </w:p>
    <w:p w14:paraId="546976A7" w14:textId="323BCAC3" w:rsidR="00073F90" w:rsidRDefault="00073F90" w:rsidP="0011189C">
      <w:pPr>
        <w:ind w:left="720"/>
      </w:pPr>
      <w:r>
        <w:t xml:space="preserve">In the safety analysis of </w:t>
      </w:r>
      <w:r w:rsidR="000441EA">
        <w:t xml:space="preserve">Study </w:t>
      </w:r>
      <w:r w:rsidR="00BB39E5">
        <w:t>INOT41</w:t>
      </w:r>
      <w:r>
        <w:t xml:space="preserve">, </w:t>
      </w:r>
      <w:r w:rsidR="00DC7D20">
        <w:t>inhaled nitric oxide</w:t>
      </w:r>
      <w:r>
        <w:t xml:space="preserve"> at a dose of 40 ppm was shown to be well tolerated and the safety profiles of </w:t>
      </w:r>
      <w:r w:rsidR="00DC7D20">
        <w:t>inhaled nitric oxide</w:t>
      </w:r>
      <w:r>
        <w:t xml:space="preserve"> and placebo were similar.</w:t>
      </w:r>
      <w:r w:rsidR="000441EA">
        <w:t>’</w:t>
      </w:r>
    </w:p>
    <w:p w14:paraId="6CF9C71F" w14:textId="77777777" w:rsidR="003B08F8" w:rsidRDefault="00371686" w:rsidP="00073F90">
      <w:r>
        <w:t>Generally,</w:t>
      </w:r>
      <w:r w:rsidR="00073F90">
        <w:t xml:space="preserve"> the lowest effective dose of </w:t>
      </w:r>
      <w:r w:rsidR="00DC7D20">
        <w:t>inhaled nitric oxide</w:t>
      </w:r>
      <w:r w:rsidR="00073F90">
        <w:t xml:space="preserve"> should be sought and dosing should always be titrated against each patient’s individual clinical responses. Dosing must take into account both the clinical effect and the risk of side effects. Methaemoglobin levels must also be considered to ensure the safe use. In studies of </w:t>
      </w:r>
      <w:r w:rsidR="00DC7D20">
        <w:t>inhaled nitric oxide</w:t>
      </w:r>
      <w:r w:rsidR="00073F90">
        <w:t xml:space="preserve"> doses up to 40 ppm increases in </w:t>
      </w:r>
      <w:proofErr w:type="spellStart"/>
      <w:r w:rsidR="00931948">
        <w:rPr>
          <w:rFonts w:eastAsia="TimesNewRoman"/>
        </w:rPr>
        <w:t>metHB</w:t>
      </w:r>
      <w:proofErr w:type="spellEnd"/>
      <w:r w:rsidR="003D17B8">
        <w:t xml:space="preserve"> </w:t>
      </w:r>
      <w:r w:rsidR="00073F90">
        <w:t>have bee</w:t>
      </w:r>
      <w:r w:rsidR="00D533F9">
        <w:t>n rarely reported.</w:t>
      </w:r>
    </w:p>
    <w:p w14:paraId="4558E407" w14:textId="77777777" w:rsidR="00073F90" w:rsidRDefault="00073F90" w:rsidP="00073F90">
      <w:r>
        <w:t xml:space="preserve">As noted by the </w:t>
      </w:r>
      <w:r w:rsidR="003E6F92">
        <w:t>sponsor</w:t>
      </w:r>
      <w:r>
        <w:t xml:space="preserve">, inclusion of the </w:t>
      </w:r>
      <w:r w:rsidR="00BB39E5">
        <w:t>INOT41</w:t>
      </w:r>
      <w:r>
        <w:t xml:space="preserve"> data means that exposure to </w:t>
      </w:r>
      <w:r w:rsidR="00DC7D20">
        <w:t>inhaled nitric oxide</w:t>
      </w:r>
      <w:r>
        <w:t xml:space="preserve"> at doses of 40 ppm exceeds the exposure considered in the </w:t>
      </w:r>
      <w:proofErr w:type="spellStart"/>
      <w:r w:rsidR="000E07C6">
        <w:t>Vasokinox</w:t>
      </w:r>
      <w:proofErr w:type="spellEnd"/>
      <w:r>
        <w:t xml:space="preserve"> </w:t>
      </w:r>
      <w:r w:rsidR="003D17B8">
        <w:t>c</w:t>
      </w:r>
      <w:r>
        <w:t xml:space="preserve">linical </w:t>
      </w:r>
      <w:r w:rsidR="003D17B8">
        <w:t>e</w:t>
      </w:r>
      <w:r>
        <w:t xml:space="preserve">valuation, and no evidence of pulmonary toxicity has arisen. Nonetheless, pulmonary toxicity could be difficult to identify in subjects undergoing major thoracic surgery and mechanical ventilation, because a high incidence of pulmonary dysfunction would be expected in this population anyway, due to atelectasis, cardiac insufficiency, ventilator-associated pneumonia, and so on. The PI should provide a full disclosure of the problems identified during pre-clinical evaluation, underscoring the need to use the lowest effective dose. This is particularly important because there is no efficacy data at all, in any published study, suggesting that </w:t>
      </w:r>
      <w:r w:rsidR="00DC7D20">
        <w:t>inhaled nitric oxide</w:t>
      </w:r>
      <w:r>
        <w:t xml:space="preserve"> is more effective at 40 ppm than at 20</w:t>
      </w:r>
      <w:r w:rsidR="00D533F9">
        <w:t> </w:t>
      </w:r>
      <w:r>
        <w:t>ppm.</w:t>
      </w:r>
    </w:p>
    <w:p w14:paraId="7E30AC71" w14:textId="77777777" w:rsidR="00073F90" w:rsidRDefault="00073F90" w:rsidP="00D533F9">
      <w:pPr>
        <w:pStyle w:val="Heading5"/>
      </w:pPr>
      <w:r>
        <w:t>Safety in special populations</w:t>
      </w:r>
    </w:p>
    <w:p w14:paraId="2C546B54" w14:textId="77777777" w:rsidR="00073F90" w:rsidRDefault="00073F90" w:rsidP="00073F90">
      <w:r>
        <w:t xml:space="preserve">As noted in the previous clinical evaluation, </w:t>
      </w:r>
      <w:r w:rsidR="00DC7D20">
        <w:t>inhaled nitric oxide</w:t>
      </w:r>
      <w:r>
        <w:t xml:space="preserve"> carries a risk of exacerbating left ventricular dysfunction in patients with left heart failure who may be intolerant of the elevated left atrial filling that can follow reduction of pulmonary vascular resistance. This issue is already noted in the PI.</w:t>
      </w:r>
    </w:p>
    <w:p w14:paraId="3DA64E28" w14:textId="77777777" w:rsidR="00073F90" w:rsidRDefault="00073F90" w:rsidP="00D533F9">
      <w:pPr>
        <w:pStyle w:val="Heading5"/>
      </w:pPr>
      <w:r>
        <w:t>Safety related to drug-drug interactions and other interactions</w:t>
      </w:r>
    </w:p>
    <w:p w14:paraId="301129CD" w14:textId="77777777" w:rsidR="00073F90" w:rsidRDefault="00073F90" w:rsidP="00073F90">
      <w:proofErr w:type="spellStart"/>
      <w:r>
        <w:t>Pharmacodynamic</w:t>
      </w:r>
      <w:proofErr w:type="spellEnd"/>
      <w:r>
        <w:t xml:space="preserve"> interactions would be expected if </w:t>
      </w:r>
      <w:r w:rsidR="00DC7D20">
        <w:t>inhaled nitric oxide</w:t>
      </w:r>
      <w:r>
        <w:t xml:space="preserve"> were used in conjunction with other pulmonary vasodilators and, despite its relative pulmonary selectivity, it would need to be used with caution when combined with systemic </w:t>
      </w:r>
      <w:proofErr w:type="spellStart"/>
      <w:r>
        <w:t>vasodilating</w:t>
      </w:r>
      <w:proofErr w:type="spellEnd"/>
      <w:r>
        <w:t xml:space="preserve"> agents, because of the risk of synergistic increases in the overall </w:t>
      </w:r>
      <w:proofErr w:type="spellStart"/>
      <w:r>
        <w:t>vasodilatory</w:t>
      </w:r>
      <w:proofErr w:type="spellEnd"/>
      <w:r>
        <w:t xml:space="preserve"> response.</w:t>
      </w:r>
    </w:p>
    <w:p w14:paraId="1D7D6C13" w14:textId="1C682068" w:rsidR="00073F90" w:rsidRPr="00073F90" w:rsidRDefault="00073F90" w:rsidP="00073F90">
      <w:r>
        <w:t xml:space="preserve">Also, </w:t>
      </w:r>
      <w:r w:rsidR="00DC7D20">
        <w:t>inhaled nitric oxide</w:t>
      </w:r>
      <w:r>
        <w:t xml:space="preserve"> combines with </w:t>
      </w:r>
      <w:r w:rsidR="00D533F9">
        <w:t>haemoglobin</w:t>
      </w:r>
      <w:r>
        <w:t xml:space="preserve"> to produce </w:t>
      </w:r>
      <w:proofErr w:type="spellStart"/>
      <w:r w:rsidR="00931948">
        <w:rPr>
          <w:rFonts w:eastAsia="TimesNewRoman"/>
        </w:rPr>
        <w:t>metHB</w:t>
      </w:r>
      <w:proofErr w:type="spellEnd"/>
      <w:r>
        <w:t xml:space="preserve">, so the risk of significant </w:t>
      </w:r>
      <w:proofErr w:type="spellStart"/>
      <w:r>
        <w:t>methaemoglobinaemia</w:t>
      </w:r>
      <w:proofErr w:type="spellEnd"/>
      <w:r>
        <w:t xml:space="preserve"> would be increased if it were used in conjunction with other drugs that encourage formation of </w:t>
      </w:r>
      <w:proofErr w:type="spellStart"/>
      <w:r w:rsidR="00931948">
        <w:rPr>
          <w:rFonts w:eastAsia="TimesNewRoman"/>
        </w:rPr>
        <w:t>metHB</w:t>
      </w:r>
      <w:proofErr w:type="spellEnd"/>
      <w:r>
        <w:t xml:space="preserve">. Such drugs include other nitrogen-based compounds (sodium nitroprusside, </w:t>
      </w:r>
      <w:r w:rsidR="00914B03">
        <w:t>glyceryl trinitrate</w:t>
      </w:r>
      <w:r>
        <w:t xml:space="preserve">) as well as many local anaesthetic agents, such as </w:t>
      </w:r>
      <w:proofErr w:type="spellStart"/>
      <w:r>
        <w:t>prilocaine</w:t>
      </w:r>
      <w:proofErr w:type="spellEnd"/>
      <w:r>
        <w:t xml:space="preserve">, and also </w:t>
      </w:r>
      <w:proofErr w:type="spellStart"/>
      <w:r>
        <w:t>sulfonamides</w:t>
      </w:r>
      <w:proofErr w:type="spellEnd"/>
      <w:r>
        <w:t>. This should also be a feature of post-marketing education programs.</w:t>
      </w:r>
    </w:p>
    <w:p w14:paraId="6FA7DD21" w14:textId="77777777" w:rsidR="00605AD4" w:rsidRDefault="00605AD4" w:rsidP="00334022">
      <w:pPr>
        <w:pStyle w:val="Heading4"/>
      </w:pPr>
      <w:r w:rsidRPr="00605AD4">
        <w:t>Post</w:t>
      </w:r>
      <w:r w:rsidR="00371686">
        <w:t xml:space="preserve"> </w:t>
      </w:r>
      <w:r w:rsidRPr="00605AD4">
        <w:t>marketing data</w:t>
      </w:r>
    </w:p>
    <w:p w14:paraId="15DB3F17" w14:textId="77777777" w:rsidR="003B08F8" w:rsidRDefault="00073F90" w:rsidP="00073F90">
      <w:r>
        <w:t xml:space="preserve">There has been extensive post-marketing experience with </w:t>
      </w:r>
      <w:r w:rsidR="00DC7D20">
        <w:t>inhaled nitric oxide</w:t>
      </w:r>
      <w:r>
        <w:t xml:space="preserve"> in the paediatric population in Australia, as well as the adult cardiac surgery population in Europe. The </w:t>
      </w:r>
      <w:r w:rsidR="003E6F92">
        <w:t>sponsor</w:t>
      </w:r>
      <w:r>
        <w:t xml:space="preserve"> has submitted periodic safety updates as follows:</w:t>
      </w:r>
    </w:p>
    <w:p w14:paraId="171011D3" w14:textId="427FB70C" w:rsidR="00073F90" w:rsidRDefault="00073F90" w:rsidP="00073F90">
      <w:r>
        <w:t xml:space="preserve">Since the Australian approval on 16 November 2007, four annual PSURs have been submitted to the TGA which fulfilled the </w:t>
      </w:r>
      <w:r w:rsidR="003E6F92">
        <w:t>sponsor</w:t>
      </w:r>
      <w:r>
        <w:t>’s PSUR reporting obligations as listed below</w:t>
      </w:r>
      <w:r w:rsidR="00C06C31">
        <w:t>:</w:t>
      </w:r>
    </w:p>
    <w:p w14:paraId="5E889588" w14:textId="2AE0DFA8" w:rsidR="00073F90" w:rsidRDefault="00C06C31" w:rsidP="00D533F9">
      <w:pPr>
        <w:pStyle w:val="ListBullet"/>
      </w:pPr>
      <w:r>
        <w:t xml:space="preserve">First </w:t>
      </w:r>
      <w:r w:rsidR="00073F90">
        <w:t>PSUR: 24 Dec</w:t>
      </w:r>
      <w:r>
        <w:t>ember</w:t>
      </w:r>
      <w:r w:rsidR="00073F90">
        <w:t xml:space="preserve"> 2006 to 23 Dec</w:t>
      </w:r>
      <w:r>
        <w:t>ember</w:t>
      </w:r>
      <w:r w:rsidR="00073F90">
        <w:t xml:space="preserve"> 2007 (</w:t>
      </w:r>
      <w:r>
        <w:t xml:space="preserve">submitted </w:t>
      </w:r>
      <w:r w:rsidR="00073F90">
        <w:t>to TGA on 2</w:t>
      </w:r>
      <w:r>
        <w:t> </w:t>
      </w:r>
      <w:r w:rsidR="00073F90">
        <w:t>December 2008)</w:t>
      </w:r>
    </w:p>
    <w:p w14:paraId="38DD5FFE" w14:textId="17160623" w:rsidR="00073F90" w:rsidRDefault="00C06C31" w:rsidP="00D533F9">
      <w:pPr>
        <w:pStyle w:val="ListBullet"/>
      </w:pPr>
      <w:r>
        <w:lastRenderedPageBreak/>
        <w:t xml:space="preserve">Second </w:t>
      </w:r>
      <w:r w:rsidR="00073F90">
        <w:t xml:space="preserve">PSUR: 24 </w:t>
      </w:r>
      <w:r>
        <w:t>December</w:t>
      </w:r>
      <w:r w:rsidR="00073F90">
        <w:t xml:space="preserve"> 2007 to 23 </w:t>
      </w:r>
      <w:r>
        <w:t>December</w:t>
      </w:r>
      <w:r w:rsidR="00073F90">
        <w:t xml:space="preserve"> 2008 (</w:t>
      </w:r>
      <w:r>
        <w:t xml:space="preserve">submitted </w:t>
      </w:r>
      <w:r w:rsidR="00073F90">
        <w:t>to TGA on 4 March 2009)</w:t>
      </w:r>
    </w:p>
    <w:p w14:paraId="1FB86818" w14:textId="1FF32177" w:rsidR="00073F90" w:rsidRDefault="00C06C31" w:rsidP="00D533F9">
      <w:pPr>
        <w:pStyle w:val="ListBullet"/>
      </w:pPr>
      <w:r>
        <w:t xml:space="preserve">Third </w:t>
      </w:r>
      <w:r w:rsidR="00073F90">
        <w:t xml:space="preserve">PSUR: 24 </w:t>
      </w:r>
      <w:r>
        <w:t>December</w:t>
      </w:r>
      <w:r w:rsidR="00073F90">
        <w:t xml:space="preserve"> 2008 to 23 </w:t>
      </w:r>
      <w:r>
        <w:t>December</w:t>
      </w:r>
      <w:r w:rsidR="00073F90">
        <w:t xml:space="preserve"> 2009 (</w:t>
      </w:r>
      <w:r>
        <w:t xml:space="preserve">submitted </w:t>
      </w:r>
      <w:r w:rsidR="00073F90">
        <w:t>to TGA on 15 March 2010)</w:t>
      </w:r>
    </w:p>
    <w:p w14:paraId="007E2BE0" w14:textId="3A8F6CBA" w:rsidR="00073F90" w:rsidRDefault="00C06C31" w:rsidP="00D533F9">
      <w:pPr>
        <w:pStyle w:val="ListBullet"/>
      </w:pPr>
      <w:r>
        <w:t xml:space="preserve">Fourth </w:t>
      </w:r>
      <w:r w:rsidR="00073F90">
        <w:t xml:space="preserve">PSUR: 24 </w:t>
      </w:r>
      <w:r>
        <w:t>December</w:t>
      </w:r>
      <w:r w:rsidR="00073F90">
        <w:t xml:space="preserve"> 2009 to 23 </w:t>
      </w:r>
      <w:r>
        <w:t>December</w:t>
      </w:r>
      <w:r w:rsidR="00073F90">
        <w:t xml:space="preserve"> 2010 (</w:t>
      </w:r>
      <w:r>
        <w:t xml:space="preserve">submitted </w:t>
      </w:r>
      <w:r w:rsidR="00073F90">
        <w:t>to TGA on 10 May 2011</w:t>
      </w:r>
      <w:r w:rsidR="00D533F9">
        <w:t>)</w:t>
      </w:r>
      <w:r w:rsidR="00073F90">
        <w:t>,</w:t>
      </w:r>
    </w:p>
    <w:p w14:paraId="0365EAF9" w14:textId="2CCF3C82" w:rsidR="00073F90" w:rsidRDefault="00073F90" w:rsidP="00073F90">
      <w:r>
        <w:t>For the application for paediatric cardi</w:t>
      </w:r>
      <w:r w:rsidR="00D533F9">
        <w:t>a</w:t>
      </w:r>
      <w:r>
        <w:t xml:space="preserve">c surgery indication approved by the TGA the </w:t>
      </w:r>
      <w:r w:rsidR="003E6F92">
        <w:t>sponsor</w:t>
      </w:r>
      <w:r>
        <w:t xml:space="preserve"> included the following PSURs</w:t>
      </w:r>
      <w:r w:rsidR="00C06C31">
        <w:t>:</w:t>
      </w:r>
    </w:p>
    <w:p w14:paraId="77F40794" w14:textId="5378FCB3" w:rsidR="00073F90" w:rsidRDefault="00C06C31" w:rsidP="00D533F9">
      <w:pPr>
        <w:pStyle w:val="ListBullet"/>
      </w:pPr>
      <w:r>
        <w:t xml:space="preserve">Fifth </w:t>
      </w:r>
      <w:r w:rsidR="00073F90">
        <w:t xml:space="preserve">PSUR: 24 </w:t>
      </w:r>
      <w:r>
        <w:t>December</w:t>
      </w:r>
      <w:r w:rsidR="00073F90">
        <w:t xml:space="preserve"> 20010 to 23 </w:t>
      </w:r>
      <w:r>
        <w:t>December</w:t>
      </w:r>
      <w:r w:rsidR="00073F90">
        <w:t xml:space="preserve"> 2011</w:t>
      </w:r>
    </w:p>
    <w:p w14:paraId="67D3BC25" w14:textId="596188DE" w:rsidR="00073F90" w:rsidRDefault="00C06C31" w:rsidP="00D533F9">
      <w:pPr>
        <w:pStyle w:val="ListBullet"/>
      </w:pPr>
      <w:r>
        <w:t xml:space="preserve">Sixth </w:t>
      </w:r>
      <w:r w:rsidR="00073F90">
        <w:t xml:space="preserve">PSUR: 24 </w:t>
      </w:r>
      <w:r>
        <w:t>December</w:t>
      </w:r>
      <w:r w:rsidR="00073F90">
        <w:t xml:space="preserve"> 2011 to 23 </w:t>
      </w:r>
      <w:r>
        <w:t>December</w:t>
      </w:r>
      <w:r w:rsidR="00073F90">
        <w:t xml:space="preserve"> 2012</w:t>
      </w:r>
    </w:p>
    <w:p w14:paraId="40E5D04D" w14:textId="5EDA7F6B" w:rsidR="00073F90" w:rsidRDefault="00C06C31" w:rsidP="00D533F9">
      <w:pPr>
        <w:pStyle w:val="ListBullet"/>
      </w:pPr>
      <w:r>
        <w:t xml:space="preserve">Seventh </w:t>
      </w:r>
      <w:r w:rsidR="00073F90">
        <w:t xml:space="preserve">PSUR: 24 </w:t>
      </w:r>
      <w:r>
        <w:t>December</w:t>
      </w:r>
      <w:r w:rsidR="00073F90">
        <w:t xml:space="preserve"> 2012 to 23 </w:t>
      </w:r>
      <w:r>
        <w:t>December</w:t>
      </w:r>
      <w:r w:rsidR="00073F90">
        <w:t xml:space="preserve"> 2013</w:t>
      </w:r>
    </w:p>
    <w:p w14:paraId="4B74F349" w14:textId="2C3BBF88" w:rsidR="00073F90" w:rsidRDefault="0011189C" w:rsidP="00D533F9">
      <w:pPr>
        <w:pStyle w:val="ListBullet"/>
      </w:pPr>
      <w:r>
        <w:t>Eighth</w:t>
      </w:r>
      <w:r w:rsidR="00C06C31">
        <w:t xml:space="preserve"> </w:t>
      </w:r>
      <w:r w:rsidR="00073F90">
        <w:t xml:space="preserve">PSUR: 24 </w:t>
      </w:r>
      <w:r w:rsidR="00C06C31">
        <w:t>December</w:t>
      </w:r>
      <w:r w:rsidR="00073F90">
        <w:t xml:space="preserve"> 2013 to 23 </w:t>
      </w:r>
      <w:r w:rsidR="00C06C31">
        <w:t>December</w:t>
      </w:r>
      <w:r w:rsidR="00073F90">
        <w:t xml:space="preserve"> 2014.</w:t>
      </w:r>
    </w:p>
    <w:p w14:paraId="60A62523" w14:textId="77777777" w:rsidR="00500337" w:rsidRDefault="00073F90" w:rsidP="00073F90">
      <w:r>
        <w:t xml:space="preserve">Post-marketing exposure since the international birth date (IBD) of </w:t>
      </w:r>
      <w:r w:rsidR="00DC7D20">
        <w:t>inhaled nitric oxide</w:t>
      </w:r>
      <w:r>
        <w:t xml:space="preserve"> is summarised in the table below, by country. The subsequent table lists AEs reported from post-marketing exposure. Without a control therapy, it is impossible to put these reports into context but, overall, no new safety signals have emerged during post-marketing use of </w:t>
      </w:r>
      <w:r w:rsidR="00DC7D20">
        <w:t>inhaled nitric oxide</w:t>
      </w:r>
      <w:r>
        <w:t>.</w:t>
      </w:r>
    </w:p>
    <w:p w14:paraId="60EBA5F3" w14:textId="77777777" w:rsidR="00073F90" w:rsidRDefault="00073F90" w:rsidP="000D37D1">
      <w:pPr>
        <w:pStyle w:val="TableTitle"/>
      </w:pPr>
      <w:r w:rsidRPr="00073F90">
        <w:t xml:space="preserve">Table </w:t>
      </w:r>
      <w:r w:rsidR="00035230">
        <w:t>13</w:t>
      </w:r>
      <w:r w:rsidR="000D37D1">
        <w:t>:</w:t>
      </w:r>
      <w:r w:rsidRPr="00073F90">
        <w:t xml:space="preserve"> Cumulative </w:t>
      </w:r>
      <w:r w:rsidR="00035230" w:rsidRPr="00073F90">
        <w:t>estimated patient exposure from marketing experience</w:t>
      </w:r>
    </w:p>
    <w:p w14:paraId="4B4A4D3E" w14:textId="77777777" w:rsidR="00073F90" w:rsidRDefault="00073F90" w:rsidP="00073F90">
      <w:r>
        <w:rPr>
          <w:i/>
          <w:noProof/>
          <w:sz w:val="20"/>
          <w:szCs w:val="20"/>
          <w:lang w:eastAsia="en-AU"/>
        </w:rPr>
        <w:drawing>
          <wp:inline distT="0" distB="0" distL="0" distR="0" wp14:anchorId="76F936FA" wp14:editId="51BF0A75">
            <wp:extent cx="5103495" cy="1297305"/>
            <wp:effectExtent l="0" t="0" r="1905" b="0"/>
            <wp:docPr id="16" name="Picture 16" descr="Cumulative estimated patient exposure from marketing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3495" cy="1297305"/>
                    </a:xfrm>
                    <a:prstGeom prst="rect">
                      <a:avLst/>
                    </a:prstGeom>
                    <a:noFill/>
                    <a:ln>
                      <a:noFill/>
                    </a:ln>
                  </pic:spPr>
                </pic:pic>
              </a:graphicData>
            </a:graphic>
          </wp:inline>
        </w:drawing>
      </w:r>
    </w:p>
    <w:p w14:paraId="7C8227ED" w14:textId="408D835D" w:rsidR="00073F90" w:rsidRDefault="00073F90" w:rsidP="000D37D1">
      <w:pPr>
        <w:pStyle w:val="TableTitle"/>
      </w:pPr>
      <w:r w:rsidRPr="00073F90">
        <w:lastRenderedPageBreak/>
        <w:t xml:space="preserve">Table </w:t>
      </w:r>
      <w:r w:rsidR="002445FA">
        <w:t>14</w:t>
      </w:r>
      <w:r w:rsidR="000D37D1">
        <w:t>:</w:t>
      </w:r>
      <w:r w:rsidRPr="00073F90">
        <w:t xml:space="preserve"> Interval (24 </w:t>
      </w:r>
      <w:r w:rsidR="00C06C31">
        <w:t>December</w:t>
      </w:r>
      <w:r w:rsidR="00C06C31" w:rsidRPr="00073F90">
        <w:t xml:space="preserve"> </w:t>
      </w:r>
      <w:r w:rsidRPr="00073F90">
        <w:t xml:space="preserve">2015 to 23 </w:t>
      </w:r>
      <w:r w:rsidR="00C06C31">
        <w:t>December</w:t>
      </w:r>
      <w:r w:rsidR="00C06C31" w:rsidRPr="00073F90">
        <w:t xml:space="preserve"> </w:t>
      </w:r>
      <w:r w:rsidRPr="00073F90">
        <w:t xml:space="preserve">2016) and cumulative (23 </w:t>
      </w:r>
      <w:r w:rsidR="00C06C31">
        <w:t>December</w:t>
      </w:r>
      <w:r w:rsidR="00C06C31" w:rsidRPr="00073F90">
        <w:t xml:space="preserve"> </w:t>
      </w:r>
      <w:r w:rsidRPr="00073F90">
        <w:t>1999 to 23</w:t>
      </w:r>
      <w:r w:rsidR="006C5049">
        <w:t> </w:t>
      </w:r>
      <w:r w:rsidR="00C06C31">
        <w:t>December</w:t>
      </w:r>
      <w:r w:rsidR="00C06C31" w:rsidRPr="00073F90">
        <w:t xml:space="preserve"> </w:t>
      </w:r>
      <w:r w:rsidRPr="00073F90">
        <w:t xml:space="preserve">2016) summary tabulations of serious and non-serious adverse events by </w:t>
      </w:r>
      <w:r w:rsidR="00C06C31">
        <w:t>System O</w:t>
      </w:r>
      <w:r w:rsidR="00D533F9">
        <w:t xml:space="preserve">rgan </w:t>
      </w:r>
      <w:r w:rsidR="00C06C31">
        <w:t>Class</w:t>
      </w:r>
      <w:r w:rsidR="00C06C31" w:rsidRPr="00073F90">
        <w:t xml:space="preserve"> </w:t>
      </w:r>
      <w:r w:rsidRPr="00073F90">
        <w:t>from post-marketing data sources</w:t>
      </w:r>
    </w:p>
    <w:p w14:paraId="28429839" w14:textId="77777777" w:rsidR="00073F90" w:rsidRPr="00500337" w:rsidRDefault="00073F90" w:rsidP="00073F90">
      <w:r>
        <w:rPr>
          <w:i/>
          <w:noProof/>
          <w:sz w:val="20"/>
          <w:szCs w:val="20"/>
          <w:lang w:eastAsia="en-AU"/>
        </w:rPr>
        <w:drawing>
          <wp:inline distT="0" distB="0" distL="0" distR="0" wp14:anchorId="29010B3D" wp14:editId="2818E9BF">
            <wp:extent cx="4816475" cy="6421755"/>
            <wp:effectExtent l="0" t="0" r="3175" b="0"/>
            <wp:docPr id="15" name="Picture 15" descr="Interval (24 Dec 2015 to 23 Dec 2016) and cumulative (23 Dec 1999 to 23 Dec 2016) summary tabulations of serious and non-serious adverse events by system organ class from post-marketing data sourcesarketing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6475" cy="6421755"/>
                    </a:xfrm>
                    <a:prstGeom prst="rect">
                      <a:avLst/>
                    </a:prstGeom>
                    <a:noFill/>
                    <a:ln>
                      <a:noFill/>
                    </a:ln>
                  </pic:spPr>
                </pic:pic>
              </a:graphicData>
            </a:graphic>
          </wp:inline>
        </w:drawing>
      </w:r>
    </w:p>
    <w:p w14:paraId="1DD6968E" w14:textId="77777777" w:rsidR="00605AD4" w:rsidRPr="00605AD4" w:rsidRDefault="00605AD4" w:rsidP="00605AD4">
      <w:pPr>
        <w:pStyle w:val="Heading4"/>
      </w:pPr>
      <w:r w:rsidRPr="00605AD4">
        <w:t>Evaluator’s conclusions on safety</w:t>
      </w:r>
    </w:p>
    <w:p w14:paraId="4C5A82E0" w14:textId="77777777" w:rsidR="00073F90" w:rsidRDefault="00073F90" w:rsidP="00073F90">
      <w:r>
        <w:t xml:space="preserve">The proposed extension of indications to include adult cardiac surgery patients does not raise any substantial new safety concerns, and most of the safety data were already submitted as part of the previous </w:t>
      </w:r>
      <w:proofErr w:type="spellStart"/>
      <w:r w:rsidR="00C40BA7">
        <w:t>INOmax</w:t>
      </w:r>
      <w:proofErr w:type="spellEnd"/>
      <w:r>
        <w:t xml:space="preserve"> submission.</w:t>
      </w:r>
    </w:p>
    <w:p w14:paraId="475BBB8B" w14:textId="77777777" w:rsidR="00073F90" w:rsidRDefault="00073F90" w:rsidP="00073F90">
      <w:r>
        <w:t xml:space="preserve">The main safety issues related to </w:t>
      </w:r>
      <w:r w:rsidR="00DC7D20">
        <w:t>inhaled nitric oxide</w:t>
      </w:r>
      <w:r>
        <w:t xml:space="preserve"> are those already highlighted in previous evaluations and mentioned in the current PI:</w:t>
      </w:r>
    </w:p>
    <w:p w14:paraId="25369A1D" w14:textId="77777777" w:rsidR="00073F90" w:rsidRDefault="00073F90" w:rsidP="00D533F9">
      <w:pPr>
        <w:pStyle w:val="ListBullet"/>
      </w:pPr>
      <w:r>
        <w:t xml:space="preserve">Potential accumulation of </w:t>
      </w:r>
      <w:r w:rsidR="00D533F9">
        <w:t>nitrogen dioxide</w:t>
      </w:r>
      <w:r>
        <w:t>.</w:t>
      </w:r>
    </w:p>
    <w:p w14:paraId="3AC3237A" w14:textId="77777777" w:rsidR="00073F90" w:rsidRDefault="00073F90" w:rsidP="00D533F9">
      <w:pPr>
        <w:pStyle w:val="ListBullet"/>
      </w:pPr>
      <w:r>
        <w:t>Rebound pulmonary hypertension</w:t>
      </w:r>
    </w:p>
    <w:p w14:paraId="6B34CA19" w14:textId="77777777" w:rsidR="00073F90" w:rsidRDefault="00073F90" w:rsidP="00D533F9">
      <w:pPr>
        <w:pStyle w:val="ListBullet"/>
      </w:pPr>
      <w:r>
        <w:lastRenderedPageBreak/>
        <w:t xml:space="preserve">Acute cardiac failure in subjects relying on </w:t>
      </w:r>
      <w:r w:rsidR="00BB39E5">
        <w:t>pulmonary vascular resistance</w:t>
      </w:r>
      <w:r>
        <w:t xml:space="preserve"> and intolerant of increased </w:t>
      </w:r>
      <w:r w:rsidR="00D533F9">
        <w:t>left atrial</w:t>
      </w:r>
      <w:r>
        <w:t xml:space="preserve"> filling</w:t>
      </w:r>
    </w:p>
    <w:p w14:paraId="633A058F" w14:textId="77777777" w:rsidR="00073F90" w:rsidRDefault="00073F90" w:rsidP="00073F90">
      <w:r>
        <w:t xml:space="preserve">Potential safety issues include theoretical concerns about the effects of </w:t>
      </w:r>
      <w:r w:rsidR="00DC7D20">
        <w:t>inhaled nitric oxide</w:t>
      </w:r>
      <w:r>
        <w:t xml:space="preserve"> on bleeding time and potential airway injury from exposure to </w:t>
      </w:r>
      <w:r w:rsidR="00DC7D20">
        <w:t>inhaled nitric oxide</w:t>
      </w:r>
      <w:r>
        <w:t xml:space="preserve">, but there is no direct evidence showing that </w:t>
      </w:r>
      <w:r w:rsidR="00DC7D20">
        <w:t>inhaled nitric oxide</w:t>
      </w:r>
      <w:r>
        <w:t xml:space="preserve"> has clinically relevant effects on bleeding time or produces airway toxicity.</w:t>
      </w:r>
    </w:p>
    <w:p w14:paraId="43F42F1E" w14:textId="77777777" w:rsidR="00605AD4" w:rsidRPr="00605AD4" w:rsidRDefault="00073F90" w:rsidP="00073F90">
      <w:r>
        <w:t>Safety during pregnancy and lactation is unknown, but cardiac surgery is itself relatively contraindicated in pregnant patients.</w:t>
      </w:r>
    </w:p>
    <w:p w14:paraId="09C06885" w14:textId="77777777" w:rsidR="00605AD4" w:rsidRPr="00605AD4" w:rsidRDefault="00605AD4" w:rsidP="00605AD4">
      <w:pPr>
        <w:pStyle w:val="Heading3"/>
        <w:rPr>
          <w:rFonts w:eastAsia="Cambria"/>
        </w:rPr>
      </w:pPr>
      <w:bookmarkStart w:id="118" w:name="_Toc28009950"/>
      <w:r w:rsidRPr="00605AD4">
        <w:rPr>
          <w:rFonts w:eastAsia="Cambria"/>
        </w:rPr>
        <w:t xml:space="preserve">First </w:t>
      </w:r>
      <w:r w:rsidR="00527AF3" w:rsidRPr="00605AD4">
        <w:rPr>
          <w:rFonts w:eastAsia="Cambria"/>
        </w:rPr>
        <w:t>round benefit-risk assessment</w:t>
      </w:r>
      <w:bookmarkEnd w:id="118"/>
    </w:p>
    <w:p w14:paraId="357668E5" w14:textId="77777777" w:rsidR="00845B95" w:rsidRDefault="00845B95" w:rsidP="00845B95">
      <w:pPr>
        <w:pStyle w:val="Heading4"/>
      </w:pPr>
      <w:r w:rsidRPr="00605AD4">
        <w:t>First round assessment of benefits</w:t>
      </w:r>
    </w:p>
    <w:p w14:paraId="1AA2E3F9" w14:textId="77777777" w:rsidR="00605AD4" w:rsidRDefault="002445FA" w:rsidP="00845B95">
      <w:pPr>
        <w:pStyle w:val="TableTitle"/>
      </w:pPr>
      <w:r>
        <w:t>Table 15</w:t>
      </w:r>
      <w:r w:rsidR="000D37D1">
        <w:t xml:space="preserve">: </w:t>
      </w:r>
      <w:r w:rsidR="00605AD4" w:rsidRPr="00605AD4">
        <w:t>First round assessment of benefits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0"/>
        <w:gridCol w:w="4192"/>
      </w:tblGrid>
      <w:tr w:rsidR="00073F90" w:rsidRPr="005968B8" w14:paraId="72E12221" w14:textId="77777777" w:rsidTr="00845B95">
        <w:trPr>
          <w:tblHeader/>
        </w:trPr>
        <w:tc>
          <w:tcPr>
            <w:tcW w:w="8612" w:type="dxa"/>
            <w:gridSpan w:val="2"/>
            <w:tcBorders>
              <w:top w:val="single" w:sz="4" w:space="0" w:color="auto"/>
              <w:left w:val="single" w:sz="4" w:space="0" w:color="auto"/>
              <w:bottom w:val="single" w:sz="4" w:space="0" w:color="auto"/>
              <w:right w:val="single" w:sz="4" w:space="0" w:color="auto"/>
            </w:tcBorders>
            <w:shd w:val="clear" w:color="auto" w:fill="006DA7"/>
          </w:tcPr>
          <w:p w14:paraId="76108592" w14:textId="77777777" w:rsidR="00073F90" w:rsidRPr="005968B8" w:rsidRDefault="00073F90" w:rsidP="00DC7D20">
            <w:pPr>
              <w:rPr>
                <w:b/>
                <w:color w:val="FFFFFF"/>
                <w:lang w:eastAsia="en-AU"/>
              </w:rPr>
            </w:pPr>
            <w:r w:rsidRPr="005968B8">
              <w:rPr>
                <w:b/>
                <w:color w:val="FFFFFF"/>
                <w:lang w:eastAsia="en-AU"/>
              </w:rPr>
              <w:t>Indication</w:t>
            </w:r>
          </w:p>
        </w:tc>
      </w:tr>
      <w:tr w:rsidR="00073F90" w:rsidRPr="005968B8" w14:paraId="0FD92B17" w14:textId="77777777" w:rsidTr="00845B95">
        <w:trPr>
          <w:tblHeader/>
        </w:trPr>
        <w:tc>
          <w:tcPr>
            <w:tcW w:w="4420" w:type="dxa"/>
            <w:tcBorders>
              <w:top w:val="single" w:sz="4" w:space="0" w:color="auto"/>
              <w:left w:val="single" w:sz="4" w:space="0" w:color="auto"/>
              <w:bottom w:val="single" w:sz="4" w:space="0" w:color="auto"/>
              <w:right w:val="single" w:sz="4" w:space="0" w:color="auto"/>
            </w:tcBorders>
            <w:shd w:val="clear" w:color="auto" w:fill="00517D"/>
          </w:tcPr>
          <w:p w14:paraId="41E74200" w14:textId="77777777" w:rsidR="00073F90" w:rsidRPr="005968B8" w:rsidRDefault="00073F90" w:rsidP="00DC7D20">
            <w:pPr>
              <w:rPr>
                <w:b/>
                <w:color w:val="FFFFFF"/>
                <w:lang w:eastAsia="en-AU"/>
              </w:rPr>
            </w:pPr>
            <w:r w:rsidRPr="005968B8">
              <w:rPr>
                <w:b/>
                <w:color w:val="FFFFFF"/>
                <w:lang w:eastAsia="en-AU"/>
              </w:rPr>
              <w:t>Benefits</w:t>
            </w:r>
          </w:p>
        </w:tc>
        <w:tc>
          <w:tcPr>
            <w:tcW w:w="4192" w:type="dxa"/>
            <w:tcBorders>
              <w:top w:val="single" w:sz="4" w:space="0" w:color="auto"/>
              <w:left w:val="single" w:sz="4" w:space="0" w:color="auto"/>
              <w:bottom w:val="single" w:sz="4" w:space="0" w:color="auto"/>
              <w:right w:val="single" w:sz="4" w:space="0" w:color="auto"/>
            </w:tcBorders>
            <w:shd w:val="clear" w:color="auto" w:fill="00517D"/>
          </w:tcPr>
          <w:p w14:paraId="5FDBD722" w14:textId="77777777" w:rsidR="00073F90" w:rsidRPr="005968B8" w:rsidRDefault="00073F90" w:rsidP="00DC7D20">
            <w:pPr>
              <w:rPr>
                <w:b/>
                <w:color w:val="FFFFFF"/>
                <w:lang w:eastAsia="en-AU"/>
              </w:rPr>
            </w:pPr>
            <w:r w:rsidRPr="005968B8">
              <w:rPr>
                <w:b/>
                <w:color w:val="FFFFFF"/>
                <w:lang w:eastAsia="en-AU"/>
              </w:rPr>
              <w:t>Strengths and Uncertainties</w:t>
            </w:r>
          </w:p>
        </w:tc>
      </w:tr>
      <w:tr w:rsidR="00073F90" w:rsidRPr="00F24B74" w14:paraId="10A191BD" w14:textId="77777777" w:rsidTr="00845B95">
        <w:tc>
          <w:tcPr>
            <w:tcW w:w="4420" w:type="dxa"/>
            <w:tcBorders>
              <w:top w:val="single" w:sz="4" w:space="0" w:color="auto"/>
              <w:left w:val="single" w:sz="4" w:space="0" w:color="auto"/>
              <w:bottom w:val="single" w:sz="4" w:space="0" w:color="auto"/>
              <w:right w:val="single" w:sz="4" w:space="0" w:color="auto"/>
            </w:tcBorders>
          </w:tcPr>
          <w:p w14:paraId="1956CEE0" w14:textId="77777777" w:rsidR="00073F90" w:rsidRDefault="00073F90" w:rsidP="00DC7D20">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Pr>
                <w:rFonts w:cs="Cambria"/>
                <w:lang w:eastAsia="en-AU"/>
              </w:rPr>
              <w:t xml:space="preserve">Inhaled </w:t>
            </w:r>
            <w:r w:rsidR="00D533F9">
              <w:rPr>
                <w:rFonts w:cs="Cambria"/>
                <w:lang w:eastAsia="en-AU"/>
              </w:rPr>
              <w:t>nitric oxide</w:t>
            </w:r>
            <w:r>
              <w:rPr>
                <w:rFonts w:cs="Cambria"/>
                <w:lang w:eastAsia="en-AU"/>
              </w:rPr>
              <w:t xml:space="preserve"> offers the following benefits:</w:t>
            </w:r>
          </w:p>
          <w:p w14:paraId="324B1FB9" w14:textId="77777777" w:rsidR="00073F90" w:rsidRDefault="00073F90" w:rsidP="00D533F9">
            <w:pPr>
              <w:pStyle w:val="ListBullet"/>
              <w:rPr>
                <w:lang w:eastAsia="ja-JP"/>
              </w:rPr>
            </w:pPr>
            <w:r>
              <w:rPr>
                <w:lang w:eastAsia="ja-JP"/>
              </w:rPr>
              <w:t xml:space="preserve">Produces pulmonary vasodilation, resulting in significant decrease in </w:t>
            </w:r>
            <w:r w:rsidR="00BB39E5">
              <w:rPr>
                <w:lang w:eastAsia="ja-JP"/>
              </w:rPr>
              <w:t>pulmonary arterial pressure</w:t>
            </w:r>
            <w:r>
              <w:rPr>
                <w:lang w:eastAsia="ja-JP"/>
              </w:rPr>
              <w:t xml:space="preserve"> and </w:t>
            </w:r>
            <w:r w:rsidR="00BB39E5">
              <w:rPr>
                <w:lang w:eastAsia="ja-JP"/>
              </w:rPr>
              <w:t>pulmonary vascular resistance</w:t>
            </w:r>
          </w:p>
          <w:p w14:paraId="070CC677" w14:textId="77777777" w:rsidR="00073F90" w:rsidRDefault="00073F90" w:rsidP="00D533F9">
            <w:pPr>
              <w:pStyle w:val="ListBullet"/>
              <w:rPr>
                <w:lang w:eastAsia="ja-JP"/>
              </w:rPr>
            </w:pPr>
            <w:r>
              <w:rPr>
                <w:lang w:eastAsia="ja-JP"/>
              </w:rPr>
              <w:t>Reversible, with quick onset and offset of action, allowing titration to desired effect</w:t>
            </w:r>
          </w:p>
          <w:p w14:paraId="102676EF" w14:textId="77777777" w:rsidR="00073F90" w:rsidRDefault="00073F90" w:rsidP="00D533F9">
            <w:pPr>
              <w:pStyle w:val="ListBullet"/>
              <w:rPr>
                <w:lang w:eastAsia="ja-JP"/>
              </w:rPr>
            </w:pPr>
            <w:r>
              <w:rPr>
                <w:lang w:eastAsia="ja-JP"/>
              </w:rPr>
              <w:t xml:space="preserve">Selective for pulmonary vasculature, with minimal effects on </w:t>
            </w:r>
            <w:r w:rsidR="008E64F9">
              <w:rPr>
                <w:rFonts w:eastAsia="TimesNewRoman"/>
              </w:rPr>
              <w:t>systemic arterial pressure</w:t>
            </w:r>
            <w:r w:rsidR="008E64F9">
              <w:rPr>
                <w:lang w:eastAsia="ja-JP"/>
              </w:rPr>
              <w:t xml:space="preserve"> (</w:t>
            </w:r>
            <w:r>
              <w:rPr>
                <w:lang w:eastAsia="ja-JP"/>
              </w:rPr>
              <w:t>SAP</w:t>
            </w:r>
            <w:r w:rsidR="008E64F9">
              <w:rPr>
                <w:lang w:eastAsia="ja-JP"/>
              </w:rPr>
              <w:t>)</w:t>
            </w:r>
            <w:r>
              <w:rPr>
                <w:lang w:eastAsia="ja-JP"/>
              </w:rPr>
              <w:t xml:space="preserve"> and </w:t>
            </w:r>
            <w:r w:rsidR="00BB39E5">
              <w:rPr>
                <w:lang w:eastAsia="ja-JP"/>
              </w:rPr>
              <w:t>systemic vascular resistance</w:t>
            </w:r>
          </w:p>
          <w:p w14:paraId="2EAD6F0A" w14:textId="77777777" w:rsidR="00073F90" w:rsidRPr="00845B95" w:rsidRDefault="00073F90" w:rsidP="00DC7D20">
            <w:pPr>
              <w:rPr>
                <w:rFonts w:cs="Cambria"/>
                <w:lang w:eastAsia="en-AU"/>
              </w:rPr>
            </w:pPr>
            <w:r w:rsidRPr="00845B95">
              <w:rPr>
                <w:rFonts w:cs="Cambria"/>
                <w:lang w:eastAsia="en-AU"/>
              </w:rPr>
              <w:t>The evidence for these benefits comes from the following positive studies:</w:t>
            </w:r>
          </w:p>
          <w:p w14:paraId="4E899FA9" w14:textId="77777777" w:rsidR="00073F90" w:rsidRPr="00845B95" w:rsidRDefault="00073F90" w:rsidP="00DC7D20">
            <w:pPr>
              <w:rPr>
                <w:sz w:val="20"/>
                <w:szCs w:val="18"/>
                <w:lang w:eastAsia="ja-JP"/>
              </w:rPr>
            </w:pPr>
            <w:proofErr w:type="spellStart"/>
            <w:r w:rsidRPr="00845B95">
              <w:rPr>
                <w:b/>
                <w:sz w:val="20"/>
                <w:szCs w:val="18"/>
                <w:lang w:eastAsia="ja-JP"/>
              </w:rPr>
              <w:t>Schmid</w:t>
            </w:r>
            <w:proofErr w:type="spellEnd"/>
            <w:r w:rsidRPr="00845B95">
              <w:rPr>
                <w:b/>
                <w:sz w:val="20"/>
                <w:szCs w:val="18"/>
                <w:lang w:eastAsia="ja-JP"/>
              </w:rPr>
              <w:t xml:space="preserve"> 1999</w:t>
            </w:r>
            <w:r w:rsidR="00371686" w:rsidRPr="00845B95">
              <w:rPr>
                <w:sz w:val="20"/>
                <w:szCs w:val="18"/>
                <w:lang w:eastAsia="ja-JP"/>
              </w:rPr>
              <w:t>;</w:t>
            </w:r>
            <w:r w:rsidR="00371686" w:rsidRPr="00845B95">
              <w:rPr>
                <w:sz w:val="20"/>
                <w:szCs w:val="18"/>
                <w:vertAlign w:val="superscript"/>
                <w:lang w:eastAsia="ja-JP"/>
              </w:rPr>
              <w:fldChar w:fldCharType="begin"/>
            </w:r>
            <w:r w:rsidR="00371686" w:rsidRPr="00845B95">
              <w:rPr>
                <w:sz w:val="20"/>
                <w:szCs w:val="18"/>
                <w:vertAlign w:val="superscript"/>
                <w:lang w:eastAsia="ja-JP"/>
              </w:rPr>
              <w:instrText xml:space="preserve"> NOTEREF _Ref20404887 \h  \* MERGEFORMAT </w:instrText>
            </w:r>
            <w:r w:rsidR="00371686" w:rsidRPr="00845B95">
              <w:rPr>
                <w:sz w:val="20"/>
                <w:szCs w:val="18"/>
                <w:vertAlign w:val="superscript"/>
                <w:lang w:eastAsia="ja-JP"/>
              </w:rPr>
            </w:r>
            <w:r w:rsidR="00371686" w:rsidRPr="00845B95">
              <w:rPr>
                <w:sz w:val="20"/>
                <w:szCs w:val="18"/>
                <w:vertAlign w:val="superscript"/>
                <w:lang w:eastAsia="ja-JP"/>
              </w:rPr>
              <w:fldChar w:fldCharType="separate"/>
            </w:r>
            <w:r w:rsidR="00371686" w:rsidRPr="00845B95">
              <w:rPr>
                <w:sz w:val="20"/>
                <w:szCs w:val="18"/>
                <w:vertAlign w:val="superscript"/>
                <w:lang w:eastAsia="ja-JP"/>
              </w:rPr>
              <w:t>10</w:t>
            </w:r>
            <w:r w:rsidR="00371686" w:rsidRPr="00845B95">
              <w:rPr>
                <w:sz w:val="20"/>
                <w:szCs w:val="18"/>
                <w:vertAlign w:val="superscript"/>
                <w:lang w:eastAsia="ja-JP"/>
              </w:rPr>
              <w:fldChar w:fldCharType="end"/>
            </w:r>
            <w:r w:rsidRPr="00845B95">
              <w:rPr>
                <w:sz w:val="20"/>
                <w:szCs w:val="18"/>
                <w:lang w:eastAsia="ja-JP"/>
              </w:rPr>
              <w:t xml:space="preserve"> Cardiac surgery patients with severe </w:t>
            </w:r>
            <w:r w:rsidR="002C18B7" w:rsidRPr="00845B95">
              <w:rPr>
                <w:sz w:val="20"/>
                <w:szCs w:val="18"/>
                <w:lang w:eastAsia="ja-JP"/>
              </w:rPr>
              <w:t>pulmonary hypertension</w:t>
            </w:r>
            <w:r w:rsidRPr="00845B95">
              <w:rPr>
                <w:sz w:val="20"/>
                <w:szCs w:val="18"/>
                <w:lang w:eastAsia="ja-JP"/>
              </w:rPr>
              <w:t xml:space="preserve">, </w:t>
            </w:r>
            <w:r w:rsidR="00DC7D20" w:rsidRPr="00845B95">
              <w:rPr>
                <w:sz w:val="20"/>
                <w:szCs w:val="18"/>
                <w:lang w:eastAsia="ja-JP"/>
              </w:rPr>
              <w:t>inhaled nitric oxide</w:t>
            </w:r>
            <w:r w:rsidRPr="00845B95">
              <w:rPr>
                <w:sz w:val="20"/>
                <w:szCs w:val="18"/>
                <w:lang w:eastAsia="ja-JP"/>
              </w:rPr>
              <w:t xml:space="preserve"> 40 ppm, PGE1 and </w:t>
            </w:r>
            <w:r w:rsidR="00D533F9" w:rsidRPr="00845B95">
              <w:rPr>
                <w:sz w:val="20"/>
                <w:szCs w:val="18"/>
                <w:lang w:eastAsia="ja-JP"/>
              </w:rPr>
              <w:t>glyceryl trinitrate</w:t>
            </w:r>
            <w:r w:rsidRPr="00845B95">
              <w:rPr>
                <w:sz w:val="20"/>
                <w:szCs w:val="18"/>
                <w:lang w:eastAsia="ja-JP"/>
              </w:rPr>
              <w:t>, open-label crossover (n</w:t>
            </w:r>
            <w:r w:rsidR="00D42948" w:rsidRPr="00845B95">
              <w:rPr>
                <w:sz w:val="20"/>
                <w:szCs w:val="18"/>
                <w:lang w:eastAsia="ja-JP"/>
              </w:rPr>
              <w:t xml:space="preserve"> = </w:t>
            </w:r>
            <w:r w:rsidRPr="00845B95">
              <w:rPr>
                <w:sz w:val="20"/>
                <w:szCs w:val="18"/>
                <w:lang w:eastAsia="ja-JP"/>
              </w:rPr>
              <w:t xml:space="preserve">14). Reduction in </w:t>
            </w:r>
            <w:r w:rsidR="00BB39E5" w:rsidRPr="00845B95">
              <w:rPr>
                <w:sz w:val="20"/>
                <w:szCs w:val="18"/>
                <w:lang w:eastAsia="ja-JP"/>
              </w:rPr>
              <w:t>pulmonary vascular resistance</w:t>
            </w:r>
            <w:r w:rsidRPr="00845B95">
              <w:rPr>
                <w:sz w:val="20"/>
                <w:szCs w:val="18"/>
                <w:lang w:eastAsia="ja-JP"/>
              </w:rPr>
              <w:t>/</w:t>
            </w:r>
            <w:r w:rsidR="00BB39E5" w:rsidRPr="00845B95">
              <w:rPr>
                <w:sz w:val="20"/>
                <w:szCs w:val="18"/>
                <w:lang w:eastAsia="ja-JP"/>
              </w:rPr>
              <w:t>systemic vascular resistance</w:t>
            </w:r>
            <w:r w:rsidRPr="00845B95">
              <w:rPr>
                <w:sz w:val="20"/>
                <w:szCs w:val="18"/>
                <w:lang w:eastAsia="ja-JP"/>
              </w:rPr>
              <w:t xml:space="preserve"> more pronounced with </w:t>
            </w:r>
            <w:r w:rsidR="00DC7D20" w:rsidRPr="00845B95">
              <w:rPr>
                <w:sz w:val="20"/>
                <w:szCs w:val="18"/>
                <w:lang w:eastAsia="ja-JP"/>
              </w:rPr>
              <w:t>inhaled nitric oxide</w:t>
            </w:r>
          </w:p>
          <w:p w14:paraId="10BEE5BF" w14:textId="5C6EF8E6" w:rsidR="00073F90" w:rsidRPr="00845B95" w:rsidRDefault="00371686" w:rsidP="00DC7D20">
            <w:pPr>
              <w:rPr>
                <w:sz w:val="20"/>
                <w:szCs w:val="18"/>
                <w:lang w:eastAsia="ja-JP"/>
              </w:rPr>
            </w:pPr>
            <w:proofErr w:type="spellStart"/>
            <w:r w:rsidRPr="00845B95">
              <w:rPr>
                <w:b/>
                <w:sz w:val="20"/>
                <w:szCs w:val="18"/>
                <w:lang w:eastAsia="ja-JP"/>
              </w:rPr>
              <w:t>Ardehali</w:t>
            </w:r>
            <w:proofErr w:type="spellEnd"/>
            <w:r w:rsidRPr="00845B95">
              <w:rPr>
                <w:b/>
                <w:sz w:val="20"/>
                <w:szCs w:val="18"/>
                <w:lang w:eastAsia="ja-JP"/>
              </w:rPr>
              <w:t xml:space="preserve"> 2001;</w:t>
            </w:r>
            <w:r w:rsidR="008024D2" w:rsidRPr="008024D2">
              <w:rPr>
                <w:b/>
                <w:sz w:val="20"/>
                <w:szCs w:val="18"/>
                <w:vertAlign w:val="superscript"/>
                <w:lang w:eastAsia="ja-JP"/>
              </w:rPr>
              <w:fldChar w:fldCharType="begin"/>
            </w:r>
            <w:r w:rsidR="008024D2" w:rsidRPr="008024D2">
              <w:rPr>
                <w:b/>
                <w:sz w:val="20"/>
                <w:szCs w:val="18"/>
                <w:vertAlign w:val="superscript"/>
                <w:lang w:eastAsia="ja-JP"/>
              </w:rPr>
              <w:instrText xml:space="preserve"> NOTEREF _Ref25845111 \h  \* MERGEFORMAT </w:instrText>
            </w:r>
            <w:r w:rsidR="008024D2" w:rsidRPr="008024D2">
              <w:rPr>
                <w:b/>
                <w:sz w:val="20"/>
                <w:szCs w:val="18"/>
                <w:vertAlign w:val="superscript"/>
                <w:lang w:eastAsia="ja-JP"/>
              </w:rPr>
            </w:r>
            <w:r w:rsidR="008024D2" w:rsidRPr="008024D2">
              <w:rPr>
                <w:b/>
                <w:sz w:val="20"/>
                <w:szCs w:val="18"/>
                <w:vertAlign w:val="superscript"/>
                <w:lang w:eastAsia="ja-JP"/>
              </w:rPr>
              <w:fldChar w:fldCharType="separate"/>
            </w:r>
            <w:r w:rsidR="008024D2" w:rsidRPr="008024D2">
              <w:rPr>
                <w:b/>
                <w:sz w:val="20"/>
                <w:szCs w:val="18"/>
                <w:vertAlign w:val="superscript"/>
                <w:lang w:eastAsia="ja-JP"/>
              </w:rPr>
              <w:t>15</w:t>
            </w:r>
            <w:r w:rsidR="008024D2" w:rsidRPr="008024D2">
              <w:rPr>
                <w:b/>
                <w:sz w:val="20"/>
                <w:szCs w:val="18"/>
                <w:vertAlign w:val="superscript"/>
                <w:lang w:eastAsia="ja-JP"/>
              </w:rPr>
              <w:fldChar w:fldCharType="end"/>
            </w:r>
            <w:r w:rsidR="00073F90" w:rsidRPr="00845B95">
              <w:rPr>
                <w:sz w:val="20"/>
                <w:szCs w:val="18"/>
                <w:lang w:eastAsia="ja-JP"/>
              </w:rPr>
              <w:t xml:space="preserve"> Heart transplant patien</w:t>
            </w:r>
            <w:r w:rsidR="006C5049" w:rsidRPr="00845B95">
              <w:rPr>
                <w:sz w:val="20"/>
                <w:szCs w:val="18"/>
                <w:lang w:eastAsia="ja-JP"/>
              </w:rPr>
              <w:t>t</w:t>
            </w:r>
            <w:r w:rsidR="00073F90" w:rsidRPr="00845B95">
              <w:rPr>
                <w:sz w:val="20"/>
                <w:szCs w:val="18"/>
                <w:lang w:eastAsia="ja-JP"/>
              </w:rPr>
              <w:t xml:space="preserve">s with </w:t>
            </w:r>
            <w:r w:rsidR="00D533F9" w:rsidRPr="00845B95">
              <w:rPr>
                <w:sz w:val="20"/>
                <w:szCs w:val="18"/>
                <w:lang w:eastAsia="ja-JP"/>
              </w:rPr>
              <w:t>pulmonary hypertension</w:t>
            </w:r>
            <w:r w:rsidR="00073F90" w:rsidRPr="00845B95">
              <w:rPr>
                <w:sz w:val="20"/>
                <w:szCs w:val="18"/>
                <w:lang w:eastAsia="ja-JP"/>
              </w:rPr>
              <w:t>. Open</w:t>
            </w:r>
            <w:r w:rsidR="006C5049" w:rsidRPr="00845B95">
              <w:rPr>
                <w:sz w:val="20"/>
                <w:szCs w:val="18"/>
                <w:lang w:eastAsia="ja-JP"/>
              </w:rPr>
              <w:t xml:space="preserve"> </w:t>
            </w:r>
            <w:r w:rsidR="00073F90" w:rsidRPr="00845B95">
              <w:rPr>
                <w:sz w:val="20"/>
                <w:szCs w:val="18"/>
                <w:lang w:eastAsia="ja-JP"/>
              </w:rPr>
              <w:t xml:space="preserve">label, </w:t>
            </w:r>
            <w:r w:rsidR="00DC7D20" w:rsidRPr="00845B95">
              <w:rPr>
                <w:sz w:val="20"/>
                <w:szCs w:val="18"/>
                <w:lang w:eastAsia="ja-JP"/>
              </w:rPr>
              <w:t>inhaled nitric oxide</w:t>
            </w:r>
            <w:r w:rsidR="00073F90" w:rsidRPr="00845B95">
              <w:rPr>
                <w:sz w:val="20"/>
                <w:szCs w:val="18"/>
                <w:lang w:eastAsia="ja-JP"/>
              </w:rPr>
              <w:t xml:space="preserve"> 20 ppm (n</w:t>
            </w:r>
            <w:r w:rsidR="00D42948" w:rsidRPr="00845B95">
              <w:rPr>
                <w:sz w:val="20"/>
                <w:szCs w:val="18"/>
                <w:lang w:eastAsia="ja-JP"/>
              </w:rPr>
              <w:t xml:space="preserve"> = </w:t>
            </w:r>
            <w:r w:rsidR="00073F90" w:rsidRPr="00845B95">
              <w:rPr>
                <w:sz w:val="20"/>
                <w:szCs w:val="18"/>
                <w:lang w:eastAsia="ja-JP"/>
              </w:rPr>
              <w:t>16), historical controls (n</w:t>
            </w:r>
            <w:r w:rsidR="00D42948" w:rsidRPr="00845B95">
              <w:rPr>
                <w:sz w:val="20"/>
                <w:szCs w:val="18"/>
                <w:lang w:eastAsia="ja-JP"/>
              </w:rPr>
              <w:t xml:space="preserve"> = </w:t>
            </w:r>
            <w:r w:rsidR="00073F90" w:rsidRPr="00845B95">
              <w:rPr>
                <w:sz w:val="20"/>
                <w:szCs w:val="18"/>
                <w:lang w:eastAsia="ja-JP"/>
              </w:rPr>
              <w:t xml:space="preserve">16). Lower incidence of RV dysfunction with </w:t>
            </w:r>
            <w:r w:rsidR="00DC7D20" w:rsidRPr="00845B95">
              <w:rPr>
                <w:sz w:val="20"/>
                <w:szCs w:val="18"/>
                <w:lang w:eastAsia="ja-JP"/>
              </w:rPr>
              <w:t>inhaled nitric oxide</w:t>
            </w:r>
            <w:r w:rsidR="00073F90" w:rsidRPr="00845B95">
              <w:rPr>
                <w:sz w:val="20"/>
                <w:szCs w:val="18"/>
                <w:lang w:eastAsia="ja-JP"/>
              </w:rPr>
              <w:t xml:space="preserve">, Lower </w:t>
            </w:r>
            <w:r w:rsidR="00BB39E5" w:rsidRPr="00845B95">
              <w:rPr>
                <w:sz w:val="20"/>
                <w:szCs w:val="18"/>
                <w:lang w:eastAsia="ja-JP"/>
              </w:rPr>
              <w:t>pulmonary vascular resistance</w:t>
            </w:r>
            <w:r w:rsidR="00073F90" w:rsidRPr="00845B95">
              <w:rPr>
                <w:sz w:val="20"/>
                <w:szCs w:val="18"/>
                <w:lang w:eastAsia="ja-JP"/>
              </w:rPr>
              <w:t xml:space="preserve"> at 6 hours with </w:t>
            </w:r>
            <w:r w:rsidR="00DC7D20" w:rsidRPr="00845B95">
              <w:rPr>
                <w:sz w:val="20"/>
                <w:szCs w:val="18"/>
                <w:lang w:eastAsia="ja-JP"/>
              </w:rPr>
              <w:t>inhaled nitric oxide</w:t>
            </w:r>
          </w:p>
          <w:p w14:paraId="06809194" w14:textId="77777777" w:rsidR="00073F90" w:rsidRPr="00845B95" w:rsidRDefault="00073F90" w:rsidP="00DC7D20">
            <w:pPr>
              <w:rPr>
                <w:sz w:val="20"/>
                <w:szCs w:val="18"/>
                <w:lang w:eastAsia="ja-JP"/>
              </w:rPr>
            </w:pPr>
            <w:proofErr w:type="spellStart"/>
            <w:r w:rsidRPr="00845B95">
              <w:rPr>
                <w:b/>
                <w:sz w:val="20"/>
                <w:szCs w:val="18"/>
                <w:lang w:eastAsia="ja-JP"/>
              </w:rPr>
              <w:t>Kieler</w:t>
            </w:r>
            <w:proofErr w:type="spellEnd"/>
            <w:r w:rsidRPr="00845B95">
              <w:rPr>
                <w:b/>
                <w:sz w:val="20"/>
                <w:szCs w:val="18"/>
                <w:lang w:eastAsia="ja-JP"/>
              </w:rPr>
              <w:t>-Jensen 1994</w:t>
            </w:r>
            <w:r w:rsidR="00371686" w:rsidRPr="00845B95">
              <w:rPr>
                <w:b/>
                <w:sz w:val="20"/>
                <w:szCs w:val="18"/>
                <w:lang w:eastAsia="ja-JP"/>
              </w:rPr>
              <w:t>;</w:t>
            </w:r>
            <w:r w:rsidR="00371686" w:rsidRPr="00845B95">
              <w:rPr>
                <w:b/>
                <w:sz w:val="20"/>
                <w:szCs w:val="18"/>
                <w:vertAlign w:val="superscript"/>
                <w:lang w:eastAsia="ja-JP"/>
              </w:rPr>
              <w:fldChar w:fldCharType="begin"/>
            </w:r>
            <w:r w:rsidR="00371686" w:rsidRPr="00845B95">
              <w:rPr>
                <w:b/>
                <w:sz w:val="20"/>
                <w:szCs w:val="18"/>
                <w:vertAlign w:val="superscript"/>
                <w:lang w:eastAsia="ja-JP"/>
              </w:rPr>
              <w:instrText xml:space="preserve"> NOTEREF _Ref10648701 \h  \* MERGEFORMAT </w:instrText>
            </w:r>
            <w:r w:rsidR="00371686" w:rsidRPr="00845B95">
              <w:rPr>
                <w:b/>
                <w:sz w:val="20"/>
                <w:szCs w:val="18"/>
                <w:vertAlign w:val="superscript"/>
                <w:lang w:eastAsia="ja-JP"/>
              </w:rPr>
            </w:r>
            <w:r w:rsidR="00371686" w:rsidRPr="00845B95">
              <w:rPr>
                <w:b/>
                <w:sz w:val="20"/>
                <w:szCs w:val="18"/>
                <w:vertAlign w:val="superscript"/>
                <w:lang w:eastAsia="ja-JP"/>
              </w:rPr>
              <w:fldChar w:fldCharType="separate"/>
            </w:r>
            <w:r w:rsidR="00371686" w:rsidRPr="00845B95">
              <w:rPr>
                <w:b/>
                <w:sz w:val="20"/>
                <w:szCs w:val="18"/>
                <w:vertAlign w:val="superscript"/>
                <w:lang w:eastAsia="ja-JP"/>
              </w:rPr>
              <w:t>1</w:t>
            </w:r>
            <w:r w:rsidR="00371686" w:rsidRPr="00845B95">
              <w:rPr>
                <w:b/>
                <w:sz w:val="20"/>
                <w:szCs w:val="18"/>
                <w:vertAlign w:val="superscript"/>
                <w:lang w:eastAsia="ja-JP"/>
              </w:rPr>
              <w:fldChar w:fldCharType="end"/>
            </w:r>
            <w:r w:rsidRPr="00845B95">
              <w:rPr>
                <w:sz w:val="20"/>
                <w:szCs w:val="18"/>
                <w:vertAlign w:val="superscript"/>
                <w:lang w:eastAsia="ja-JP"/>
              </w:rPr>
              <w:t xml:space="preserve"> </w:t>
            </w:r>
            <w:r w:rsidRPr="00845B95">
              <w:rPr>
                <w:sz w:val="20"/>
                <w:szCs w:val="18"/>
                <w:lang w:eastAsia="ja-JP"/>
              </w:rPr>
              <w:t xml:space="preserve">Pre-op heart transplant candidates, </w:t>
            </w:r>
            <w:r w:rsidR="00DC7D20" w:rsidRPr="00845B95">
              <w:rPr>
                <w:sz w:val="20"/>
                <w:szCs w:val="18"/>
                <w:lang w:eastAsia="ja-JP"/>
              </w:rPr>
              <w:t>inhaled nitric oxide</w:t>
            </w:r>
            <w:r w:rsidRPr="00845B95">
              <w:rPr>
                <w:sz w:val="20"/>
                <w:szCs w:val="18"/>
                <w:lang w:eastAsia="ja-JP"/>
              </w:rPr>
              <w:t xml:space="preserve"> 20, 40 and 80 ppm, nitroprusside, prostacyclin, crossover (n</w:t>
            </w:r>
            <w:r w:rsidR="00D42948" w:rsidRPr="00845B95">
              <w:rPr>
                <w:sz w:val="20"/>
                <w:szCs w:val="18"/>
                <w:lang w:eastAsia="ja-JP"/>
              </w:rPr>
              <w:t xml:space="preserve"> = </w:t>
            </w:r>
            <w:r w:rsidRPr="00845B95">
              <w:rPr>
                <w:sz w:val="20"/>
                <w:szCs w:val="18"/>
                <w:lang w:eastAsia="ja-JP"/>
              </w:rPr>
              <w:lastRenderedPageBreak/>
              <w:t>12), Greater pulmonary selectivity (</w:t>
            </w:r>
            <w:r w:rsidR="00BB39E5" w:rsidRPr="00845B95">
              <w:rPr>
                <w:sz w:val="20"/>
                <w:szCs w:val="18"/>
                <w:lang w:eastAsia="ja-JP"/>
              </w:rPr>
              <w:t>pulmonary vascular resistance</w:t>
            </w:r>
            <w:r w:rsidRPr="00845B95">
              <w:rPr>
                <w:sz w:val="20"/>
                <w:szCs w:val="18"/>
                <w:lang w:eastAsia="ja-JP"/>
              </w:rPr>
              <w:t>/</w:t>
            </w:r>
            <w:r w:rsidR="00BB39E5" w:rsidRPr="00845B95">
              <w:rPr>
                <w:sz w:val="20"/>
                <w:szCs w:val="18"/>
                <w:lang w:eastAsia="ja-JP"/>
              </w:rPr>
              <w:t>systemic vascular resistance</w:t>
            </w:r>
            <w:r w:rsidRPr="00845B95">
              <w:rPr>
                <w:sz w:val="20"/>
                <w:szCs w:val="18"/>
                <w:lang w:eastAsia="ja-JP"/>
              </w:rPr>
              <w:t xml:space="preserve"> changes) with </w:t>
            </w:r>
            <w:r w:rsidR="000D37D1" w:rsidRPr="00845B95">
              <w:rPr>
                <w:sz w:val="20"/>
                <w:szCs w:val="18"/>
                <w:lang w:eastAsia="ja-JP"/>
              </w:rPr>
              <w:t>inhaled nitric oxide</w:t>
            </w:r>
            <w:r w:rsidRPr="00845B95">
              <w:rPr>
                <w:sz w:val="20"/>
                <w:szCs w:val="18"/>
                <w:lang w:eastAsia="ja-JP"/>
              </w:rPr>
              <w:t xml:space="preserve"> than IV agents</w:t>
            </w:r>
          </w:p>
          <w:p w14:paraId="0D5D8F4B" w14:textId="09C404DB" w:rsidR="003B08F8" w:rsidRPr="00845B95" w:rsidRDefault="00073F90" w:rsidP="00DC7D20">
            <w:pPr>
              <w:rPr>
                <w:sz w:val="20"/>
                <w:szCs w:val="18"/>
                <w:lang w:eastAsia="ja-JP"/>
              </w:rPr>
            </w:pPr>
            <w:proofErr w:type="spellStart"/>
            <w:r w:rsidRPr="00845B95">
              <w:rPr>
                <w:b/>
                <w:sz w:val="20"/>
                <w:szCs w:val="18"/>
                <w:lang w:eastAsia="ja-JP"/>
              </w:rPr>
              <w:t>Radovancevic</w:t>
            </w:r>
            <w:proofErr w:type="spellEnd"/>
            <w:r w:rsidRPr="00845B95">
              <w:rPr>
                <w:b/>
                <w:sz w:val="20"/>
                <w:szCs w:val="18"/>
                <w:lang w:eastAsia="ja-JP"/>
              </w:rPr>
              <w:t xml:space="preserve"> 2005</w:t>
            </w:r>
            <w:r w:rsidR="00371686" w:rsidRPr="00845B95">
              <w:rPr>
                <w:b/>
                <w:sz w:val="20"/>
                <w:szCs w:val="18"/>
                <w:lang w:eastAsia="ja-JP"/>
              </w:rPr>
              <w:t>;</w:t>
            </w:r>
            <w:r w:rsidR="008024D2" w:rsidRPr="008024D2">
              <w:rPr>
                <w:b/>
                <w:sz w:val="20"/>
                <w:szCs w:val="18"/>
                <w:vertAlign w:val="superscript"/>
                <w:lang w:eastAsia="ja-JP"/>
              </w:rPr>
              <w:fldChar w:fldCharType="begin"/>
            </w:r>
            <w:r w:rsidR="008024D2" w:rsidRPr="008024D2">
              <w:rPr>
                <w:b/>
                <w:sz w:val="20"/>
                <w:szCs w:val="18"/>
                <w:vertAlign w:val="superscript"/>
                <w:lang w:eastAsia="ja-JP"/>
              </w:rPr>
              <w:instrText xml:space="preserve"> NOTEREF _Ref25845157 \h  \* MERGEFORMAT </w:instrText>
            </w:r>
            <w:r w:rsidR="008024D2" w:rsidRPr="008024D2">
              <w:rPr>
                <w:b/>
                <w:sz w:val="20"/>
                <w:szCs w:val="18"/>
                <w:vertAlign w:val="superscript"/>
                <w:lang w:eastAsia="ja-JP"/>
              </w:rPr>
            </w:r>
            <w:r w:rsidR="008024D2" w:rsidRPr="008024D2">
              <w:rPr>
                <w:b/>
                <w:sz w:val="20"/>
                <w:szCs w:val="18"/>
                <w:vertAlign w:val="superscript"/>
                <w:lang w:eastAsia="ja-JP"/>
              </w:rPr>
              <w:fldChar w:fldCharType="separate"/>
            </w:r>
            <w:r w:rsidR="008024D2" w:rsidRPr="008024D2">
              <w:rPr>
                <w:b/>
                <w:sz w:val="20"/>
                <w:szCs w:val="18"/>
                <w:vertAlign w:val="superscript"/>
                <w:lang w:eastAsia="ja-JP"/>
              </w:rPr>
              <w:t>17</w:t>
            </w:r>
            <w:r w:rsidR="008024D2" w:rsidRPr="008024D2">
              <w:rPr>
                <w:b/>
                <w:sz w:val="20"/>
                <w:szCs w:val="18"/>
                <w:vertAlign w:val="superscript"/>
                <w:lang w:eastAsia="ja-JP"/>
              </w:rPr>
              <w:fldChar w:fldCharType="end"/>
            </w:r>
            <w:r w:rsidRPr="00845B95">
              <w:rPr>
                <w:sz w:val="20"/>
                <w:szCs w:val="18"/>
                <w:lang w:eastAsia="ja-JP"/>
              </w:rPr>
              <w:t xml:space="preserve"> Pre-op heart transplant candidates, </w:t>
            </w:r>
            <w:r w:rsidR="00DC7D20" w:rsidRPr="00845B95">
              <w:rPr>
                <w:sz w:val="20"/>
                <w:szCs w:val="18"/>
                <w:lang w:eastAsia="ja-JP"/>
              </w:rPr>
              <w:t>inhaled nitric oxide</w:t>
            </w:r>
            <w:r w:rsidRPr="00845B95">
              <w:rPr>
                <w:sz w:val="20"/>
                <w:szCs w:val="18"/>
                <w:lang w:eastAsia="ja-JP"/>
              </w:rPr>
              <w:t xml:space="preserve"> 40, 60 and 80 ppm, PGE1, crossover (n</w:t>
            </w:r>
            <w:r w:rsidR="00D42948" w:rsidRPr="00845B95">
              <w:rPr>
                <w:sz w:val="20"/>
                <w:szCs w:val="18"/>
                <w:lang w:eastAsia="ja-JP"/>
              </w:rPr>
              <w:t xml:space="preserve"> = </w:t>
            </w:r>
            <w:r w:rsidRPr="00845B95">
              <w:rPr>
                <w:sz w:val="20"/>
                <w:szCs w:val="18"/>
                <w:lang w:eastAsia="ja-JP"/>
              </w:rPr>
              <w:t xml:space="preserve">19). Greater selectivity with </w:t>
            </w:r>
            <w:r w:rsidR="00DC7D20" w:rsidRPr="00845B95">
              <w:rPr>
                <w:sz w:val="20"/>
                <w:szCs w:val="18"/>
                <w:lang w:eastAsia="ja-JP"/>
              </w:rPr>
              <w:t>inhaled nitric oxide</w:t>
            </w:r>
            <w:r w:rsidRPr="00845B95">
              <w:rPr>
                <w:sz w:val="20"/>
                <w:szCs w:val="18"/>
                <w:lang w:eastAsia="ja-JP"/>
              </w:rPr>
              <w:t xml:space="preserve"> - significantly less effect with </w:t>
            </w:r>
            <w:r w:rsidR="00DC7D20" w:rsidRPr="00845B95">
              <w:rPr>
                <w:sz w:val="20"/>
                <w:szCs w:val="18"/>
                <w:lang w:eastAsia="ja-JP"/>
              </w:rPr>
              <w:t>inhaled nitric oxide</w:t>
            </w:r>
            <w:r w:rsidRPr="00845B95">
              <w:rPr>
                <w:sz w:val="20"/>
                <w:szCs w:val="18"/>
                <w:lang w:eastAsia="ja-JP"/>
              </w:rPr>
              <w:t xml:space="preserve"> on systemic BP, </w:t>
            </w:r>
            <w:r w:rsidR="00BB39E5" w:rsidRPr="00845B95">
              <w:rPr>
                <w:sz w:val="20"/>
                <w:szCs w:val="18"/>
                <w:lang w:eastAsia="ja-JP"/>
              </w:rPr>
              <w:t>systemic vascular resistance</w:t>
            </w:r>
            <w:r w:rsidRPr="00845B95">
              <w:rPr>
                <w:sz w:val="20"/>
                <w:szCs w:val="18"/>
                <w:lang w:eastAsia="ja-JP"/>
              </w:rPr>
              <w:t xml:space="preserve"> and </w:t>
            </w:r>
            <w:r w:rsidR="000D37D1" w:rsidRPr="00845B95">
              <w:rPr>
                <w:sz w:val="20"/>
                <w:szCs w:val="18"/>
                <w:lang w:eastAsia="ja-JP"/>
              </w:rPr>
              <w:t>cardiac index</w:t>
            </w:r>
          </w:p>
          <w:p w14:paraId="594EF062" w14:textId="430F5E51" w:rsidR="00073F90" w:rsidRPr="00845B95" w:rsidRDefault="00371686" w:rsidP="00DC7D20">
            <w:pPr>
              <w:rPr>
                <w:sz w:val="20"/>
                <w:szCs w:val="18"/>
                <w:lang w:eastAsia="ja-JP"/>
              </w:rPr>
            </w:pPr>
            <w:proofErr w:type="spellStart"/>
            <w:r w:rsidRPr="00845B95">
              <w:rPr>
                <w:b/>
                <w:sz w:val="20"/>
                <w:szCs w:val="18"/>
                <w:lang w:eastAsia="ja-JP"/>
              </w:rPr>
              <w:t>Rajek</w:t>
            </w:r>
            <w:proofErr w:type="spellEnd"/>
            <w:r w:rsidRPr="00845B95">
              <w:rPr>
                <w:b/>
                <w:sz w:val="20"/>
                <w:szCs w:val="18"/>
                <w:lang w:eastAsia="ja-JP"/>
              </w:rPr>
              <w:t xml:space="preserve"> 2000;</w:t>
            </w:r>
            <w:r w:rsidR="008024D2" w:rsidRPr="008024D2">
              <w:rPr>
                <w:b/>
                <w:sz w:val="20"/>
                <w:szCs w:val="18"/>
                <w:vertAlign w:val="superscript"/>
                <w:lang w:eastAsia="ja-JP"/>
              </w:rPr>
              <w:fldChar w:fldCharType="begin"/>
            </w:r>
            <w:r w:rsidR="008024D2" w:rsidRPr="008024D2">
              <w:rPr>
                <w:b/>
                <w:sz w:val="20"/>
                <w:szCs w:val="18"/>
                <w:vertAlign w:val="superscript"/>
                <w:lang w:eastAsia="ja-JP"/>
              </w:rPr>
              <w:instrText xml:space="preserve"> NOTEREF _Ref25843771 \h  \* MERGEFORMAT </w:instrText>
            </w:r>
            <w:r w:rsidR="008024D2" w:rsidRPr="008024D2">
              <w:rPr>
                <w:b/>
                <w:sz w:val="20"/>
                <w:szCs w:val="18"/>
                <w:vertAlign w:val="superscript"/>
                <w:lang w:eastAsia="ja-JP"/>
              </w:rPr>
            </w:r>
            <w:r w:rsidR="008024D2" w:rsidRPr="008024D2">
              <w:rPr>
                <w:b/>
                <w:sz w:val="20"/>
                <w:szCs w:val="18"/>
                <w:vertAlign w:val="superscript"/>
                <w:lang w:eastAsia="ja-JP"/>
              </w:rPr>
              <w:fldChar w:fldCharType="separate"/>
            </w:r>
            <w:r w:rsidR="008024D2" w:rsidRPr="008024D2">
              <w:rPr>
                <w:b/>
                <w:sz w:val="20"/>
                <w:szCs w:val="18"/>
                <w:vertAlign w:val="superscript"/>
                <w:lang w:eastAsia="ja-JP"/>
              </w:rPr>
              <w:t>16</w:t>
            </w:r>
            <w:r w:rsidR="008024D2" w:rsidRPr="008024D2">
              <w:rPr>
                <w:b/>
                <w:sz w:val="20"/>
                <w:szCs w:val="18"/>
                <w:vertAlign w:val="superscript"/>
                <w:lang w:eastAsia="ja-JP"/>
              </w:rPr>
              <w:fldChar w:fldCharType="end"/>
            </w:r>
            <w:r w:rsidR="00073F90" w:rsidRPr="00845B95">
              <w:rPr>
                <w:sz w:val="20"/>
                <w:szCs w:val="18"/>
                <w:lang w:eastAsia="ja-JP"/>
              </w:rPr>
              <w:t xml:space="preserve"> Heart transplant patients, </w:t>
            </w:r>
            <w:r w:rsidR="00DC7D20" w:rsidRPr="00845B95">
              <w:rPr>
                <w:sz w:val="20"/>
                <w:szCs w:val="18"/>
                <w:lang w:eastAsia="ja-JP"/>
              </w:rPr>
              <w:t>inhaled nitric oxide</w:t>
            </w:r>
            <w:r w:rsidR="00073F90" w:rsidRPr="00845B95">
              <w:rPr>
                <w:sz w:val="20"/>
                <w:szCs w:val="18"/>
                <w:lang w:eastAsia="ja-JP"/>
              </w:rPr>
              <w:t xml:space="preserve"> 4</w:t>
            </w:r>
            <w:r w:rsidR="00D533F9" w:rsidRPr="00845B95">
              <w:rPr>
                <w:sz w:val="20"/>
                <w:szCs w:val="18"/>
                <w:lang w:eastAsia="ja-JP"/>
              </w:rPr>
              <w:t xml:space="preserve"> to</w:t>
            </w:r>
            <w:r w:rsidR="00073F90" w:rsidRPr="00845B95">
              <w:rPr>
                <w:sz w:val="20"/>
                <w:szCs w:val="18"/>
                <w:lang w:eastAsia="ja-JP"/>
              </w:rPr>
              <w:t>24 ppm (n</w:t>
            </w:r>
            <w:r w:rsidR="00D42948" w:rsidRPr="00845B95">
              <w:rPr>
                <w:sz w:val="20"/>
                <w:szCs w:val="18"/>
                <w:lang w:eastAsia="ja-JP"/>
              </w:rPr>
              <w:t xml:space="preserve"> = </w:t>
            </w:r>
            <w:r w:rsidR="00073F90" w:rsidRPr="00845B95">
              <w:rPr>
                <w:sz w:val="20"/>
                <w:szCs w:val="18"/>
                <w:lang w:eastAsia="ja-JP"/>
              </w:rPr>
              <w:t>34), PGE1 (n</w:t>
            </w:r>
            <w:r w:rsidR="00D42948" w:rsidRPr="00845B95">
              <w:rPr>
                <w:sz w:val="20"/>
                <w:szCs w:val="18"/>
                <w:lang w:eastAsia="ja-JP"/>
              </w:rPr>
              <w:t xml:space="preserve"> = </w:t>
            </w:r>
            <w:r w:rsidR="00073F90" w:rsidRPr="00845B95">
              <w:rPr>
                <w:sz w:val="20"/>
                <w:szCs w:val="18"/>
                <w:lang w:eastAsia="ja-JP"/>
              </w:rPr>
              <w:t xml:space="preserve">34). </w:t>
            </w:r>
            <w:r w:rsidR="00DC7D20" w:rsidRPr="00845B95">
              <w:rPr>
                <w:sz w:val="20"/>
                <w:szCs w:val="18"/>
                <w:lang w:eastAsia="ja-JP"/>
              </w:rPr>
              <w:t>inhaled nitric oxide</w:t>
            </w:r>
            <w:r w:rsidR="00073F90" w:rsidRPr="00845B95">
              <w:rPr>
                <w:sz w:val="20"/>
                <w:szCs w:val="18"/>
                <w:lang w:eastAsia="ja-JP"/>
              </w:rPr>
              <w:t xml:space="preserve"> showed better reduction in </w:t>
            </w:r>
            <w:r w:rsidR="00BB39E5" w:rsidRPr="00845B95">
              <w:rPr>
                <w:sz w:val="20"/>
                <w:szCs w:val="18"/>
                <w:lang w:eastAsia="ja-JP"/>
              </w:rPr>
              <w:t>pulmonary vascular resistance</w:t>
            </w:r>
            <w:r w:rsidR="00073F90" w:rsidRPr="00845B95">
              <w:rPr>
                <w:sz w:val="20"/>
                <w:szCs w:val="18"/>
                <w:lang w:eastAsia="ja-JP"/>
              </w:rPr>
              <w:t xml:space="preserve">, </w:t>
            </w:r>
            <w:r w:rsidR="00BB39E5" w:rsidRPr="00845B95">
              <w:rPr>
                <w:sz w:val="20"/>
                <w:szCs w:val="18"/>
                <w:lang w:eastAsia="ja-JP"/>
              </w:rPr>
              <w:t>pulmonary arterial pressure</w:t>
            </w:r>
            <w:r w:rsidR="00073F90" w:rsidRPr="00845B95">
              <w:rPr>
                <w:sz w:val="20"/>
                <w:szCs w:val="18"/>
                <w:lang w:eastAsia="ja-JP"/>
              </w:rPr>
              <w:t xml:space="preserve">, </w:t>
            </w:r>
            <w:r w:rsidR="00BB39E5" w:rsidRPr="00845B95">
              <w:rPr>
                <w:sz w:val="20"/>
                <w:szCs w:val="18"/>
                <w:lang w:eastAsia="ja-JP"/>
              </w:rPr>
              <w:t>pulmonary vascular resistance</w:t>
            </w:r>
            <w:r w:rsidR="00073F90" w:rsidRPr="00845B95">
              <w:rPr>
                <w:sz w:val="20"/>
                <w:szCs w:val="18"/>
                <w:lang w:eastAsia="ja-JP"/>
              </w:rPr>
              <w:t>/</w:t>
            </w:r>
            <w:r w:rsidR="00BB39E5" w:rsidRPr="00845B95">
              <w:rPr>
                <w:sz w:val="20"/>
                <w:szCs w:val="18"/>
                <w:lang w:eastAsia="ja-JP"/>
              </w:rPr>
              <w:t>systemic vascular resistance</w:t>
            </w:r>
            <w:r w:rsidR="00073F90" w:rsidRPr="00845B95">
              <w:rPr>
                <w:sz w:val="20"/>
                <w:szCs w:val="18"/>
                <w:lang w:eastAsia="ja-JP"/>
              </w:rPr>
              <w:t xml:space="preserve">, greater improvement in </w:t>
            </w:r>
            <w:r w:rsidR="000D37D1" w:rsidRPr="00845B95">
              <w:rPr>
                <w:sz w:val="20"/>
                <w:szCs w:val="18"/>
                <w:lang w:eastAsia="ja-JP"/>
              </w:rPr>
              <w:t>cardiac output</w:t>
            </w:r>
            <w:r w:rsidR="00073F90" w:rsidRPr="00845B95">
              <w:rPr>
                <w:sz w:val="20"/>
                <w:szCs w:val="18"/>
                <w:lang w:eastAsia="ja-JP"/>
              </w:rPr>
              <w:t>, fewer rescue crossovers</w:t>
            </w:r>
          </w:p>
          <w:p w14:paraId="4468CC06" w14:textId="45021D1F" w:rsidR="00073F90" w:rsidRPr="00F24B74" w:rsidRDefault="00371686" w:rsidP="008024D2">
            <w:pPr>
              <w:rPr>
                <w:lang w:eastAsia="ja-JP"/>
              </w:rPr>
            </w:pPr>
            <w:proofErr w:type="spellStart"/>
            <w:r w:rsidRPr="00845B95">
              <w:rPr>
                <w:b/>
                <w:sz w:val="20"/>
                <w:szCs w:val="18"/>
                <w:lang w:eastAsia="ja-JP"/>
              </w:rPr>
              <w:t>Fernandes</w:t>
            </w:r>
            <w:proofErr w:type="spellEnd"/>
            <w:r w:rsidRPr="00845B95">
              <w:rPr>
                <w:b/>
                <w:sz w:val="20"/>
                <w:szCs w:val="18"/>
                <w:lang w:eastAsia="ja-JP"/>
              </w:rPr>
              <w:t xml:space="preserve"> 20</w:t>
            </w:r>
            <w:r w:rsidR="002E59D2">
              <w:rPr>
                <w:b/>
                <w:sz w:val="20"/>
                <w:szCs w:val="18"/>
                <w:lang w:eastAsia="ja-JP"/>
              </w:rPr>
              <w:t>1</w:t>
            </w:r>
            <w:r w:rsidRPr="00845B95">
              <w:rPr>
                <w:b/>
                <w:sz w:val="20"/>
                <w:szCs w:val="18"/>
                <w:lang w:eastAsia="ja-JP"/>
              </w:rPr>
              <w:t>1;</w:t>
            </w:r>
            <w:r w:rsidR="008024D2" w:rsidRPr="008024D2">
              <w:rPr>
                <w:b/>
                <w:sz w:val="20"/>
                <w:szCs w:val="18"/>
                <w:vertAlign w:val="superscript"/>
                <w:lang w:eastAsia="ja-JP"/>
              </w:rPr>
              <w:fldChar w:fldCharType="begin"/>
            </w:r>
            <w:r w:rsidR="008024D2" w:rsidRPr="008024D2">
              <w:rPr>
                <w:b/>
                <w:sz w:val="20"/>
                <w:szCs w:val="18"/>
                <w:vertAlign w:val="superscript"/>
                <w:lang w:eastAsia="ja-JP"/>
              </w:rPr>
              <w:instrText xml:space="preserve"> NOTEREF _Ref25843676 \h  \* MERGEFORMAT </w:instrText>
            </w:r>
            <w:r w:rsidR="008024D2" w:rsidRPr="008024D2">
              <w:rPr>
                <w:b/>
                <w:sz w:val="20"/>
                <w:szCs w:val="18"/>
                <w:vertAlign w:val="superscript"/>
                <w:lang w:eastAsia="ja-JP"/>
              </w:rPr>
            </w:r>
            <w:r w:rsidR="008024D2" w:rsidRPr="008024D2">
              <w:rPr>
                <w:b/>
                <w:sz w:val="20"/>
                <w:szCs w:val="18"/>
                <w:vertAlign w:val="superscript"/>
                <w:lang w:eastAsia="ja-JP"/>
              </w:rPr>
              <w:fldChar w:fldCharType="separate"/>
            </w:r>
            <w:r w:rsidR="008024D2" w:rsidRPr="008024D2">
              <w:rPr>
                <w:b/>
                <w:sz w:val="20"/>
                <w:szCs w:val="18"/>
                <w:vertAlign w:val="superscript"/>
                <w:lang w:eastAsia="ja-JP"/>
              </w:rPr>
              <w:t>20</w:t>
            </w:r>
            <w:r w:rsidR="008024D2" w:rsidRPr="008024D2">
              <w:rPr>
                <w:b/>
                <w:sz w:val="20"/>
                <w:szCs w:val="18"/>
                <w:vertAlign w:val="superscript"/>
                <w:lang w:eastAsia="ja-JP"/>
              </w:rPr>
              <w:fldChar w:fldCharType="end"/>
            </w:r>
            <w:r w:rsidR="00073F90" w:rsidRPr="00845B95">
              <w:rPr>
                <w:sz w:val="20"/>
                <w:szCs w:val="18"/>
                <w:lang w:eastAsia="ja-JP"/>
              </w:rPr>
              <w:t xml:space="preserve">Mitral valve surgery, </w:t>
            </w:r>
            <w:r w:rsidR="00DC7D20" w:rsidRPr="00845B95">
              <w:rPr>
                <w:sz w:val="20"/>
                <w:szCs w:val="18"/>
                <w:lang w:eastAsia="ja-JP"/>
              </w:rPr>
              <w:t>inhaled nitric oxide</w:t>
            </w:r>
            <w:r w:rsidR="00073F90" w:rsidRPr="00845B95">
              <w:rPr>
                <w:sz w:val="20"/>
                <w:szCs w:val="18"/>
                <w:lang w:eastAsia="ja-JP"/>
              </w:rPr>
              <w:t xml:space="preserve"> 10 ppm (n</w:t>
            </w:r>
            <w:r w:rsidR="00D42948" w:rsidRPr="00845B95">
              <w:rPr>
                <w:sz w:val="20"/>
                <w:szCs w:val="18"/>
                <w:lang w:eastAsia="ja-JP"/>
              </w:rPr>
              <w:t xml:space="preserve"> = </w:t>
            </w:r>
            <w:r w:rsidR="00073F90" w:rsidRPr="00845B95">
              <w:rPr>
                <w:sz w:val="20"/>
                <w:szCs w:val="18"/>
                <w:lang w:eastAsia="ja-JP"/>
              </w:rPr>
              <w:t>14), oxygen (n</w:t>
            </w:r>
            <w:r w:rsidR="00D42948" w:rsidRPr="00845B95">
              <w:rPr>
                <w:sz w:val="20"/>
                <w:szCs w:val="18"/>
                <w:lang w:eastAsia="ja-JP"/>
              </w:rPr>
              <w:t xml:space="preserve"> = </w:t>
            </w:r>
            <w:r w:rsidR="00073F90" w:rsidRPr="00845B95">
              <w:rPr>
                <w:sz w:val="20"/>
                <w:szCs w:val="18"/>
                <w:lang w:eastAsia="ja-JP"/>
              </w:rPr>
              <w:t xml:space="preserve">15). Significant superiority of </w:t>
            </w:r>
            <w:r w:rsidR="00DC7D20" w:rsidRPr="00845B95">
              <w:rPr>
                <w:sz w:val="20"/>
                <w:szCs w:val="18"/>
                <w:lang w:eastAsia="ja-JP"/>
              </w:rPr>
              <w:t>inhaled nitric oxide</w:t>
            </w:r>
            <w:r w:rsidR="00073F90" w:rsidRPr="00845B95">
              <w:rPr>
                <w:sz w:val="20"/>
                <w:szCs w:val="18"/>
                <w:lang w:eastAsia="ja-JP"/>
              </w:rPr>
              <w:t xml:space="preserve"> for </w:t>
            </w:r>
            <w:r w:rsidR="00BB39E5" w:rsidRPr="00845B95">
              <w:rPr>
                <w:sz w:val="20"/>
                <w:szCs w:val="18"/>
                <w:lang w:eastAsia="ja-JP"/>
              </w:rPr>
              <w:t>pulmonary vascular resistance</w:t>
            </w:r>
            <w:r w:rsidR="00073F90" w:rsidRPr="00845B95">
              <w:rPr>
                <w:sz w:val="20"/>
                <w:szCs w:val="18"/>
                <w:lang w:eastAsia="ja-JP"/>
              </w:rPr>
              <w:t xml:space="preserve">, but no significant difference for </w:t>
            </w:r>
            <w:r w:rsidR="000D37D1" w:rsidRPr="00845B95">
              <w:rPr>
                <w:sz w:val="20"/>
                <w:szCs w:val="18"/>
                <w:lang w:eastAsia="ja-JP"/>
              </w:rPr>
              <w:t>cardiac index</w:t>
            </w:r>
            <w:r w:rsidR="00073F90" w:rsidRPr="00845B95">
              <w:rPr>
                <w:sz w:val="20"/>
                <w:szCs w:val="18"/>
                <w:lang w:eastAsia="ja-JP"/>
              </w:rPr>
              <w:t>.</w:t>
            </w:r>
          </w:p>
        </w:tc>
        <w:tc>
          <w:tcPr>
            <w:tcW w:w="4192" w:type="dxa"/>
            <w:tcBorders>
              <w:top w:val="single" w:sz="4" w:space="0" w:color="auto"/>
              <w:left w:val="single" w:sz="4" w:space="0" w:color="auto"/>
              <w:bottom w:val="single" w:sz="4" w:space="0" w:color="auto"/>
              <w:right w:val="single" w:sz="4" w:space="0" w:color="auto"/>
            </w:tcBorders>
          </w:tcPr>
          <w:p w14:paraId="0367D5A7" w14:textId="77777777" w:rsidR="00073F90" w:rsidRPr="00E5086F" w:rsidRDefault="00073F90" w:rsidP="00DC7D20">
            <w:pPr>
              <w:rPr>
                <w:rFonts w:cs="Cambria"/>
                <w:b/>
                <w:lang w:eastAsia="en-AU"/>
              </w:rPr>
            </w:pPr>
            <w:r w:rsidRPr="00E5086F">
              <w:rPr>
                <w:rFonts w:cs="Cambria"/>
                <w:b/>
                <w:lang w:eastAsia="en-AU"/>
              </w:rPr>
              <w:lastRenderedPageBreak/>
              <w:t>Strengths</w:t>
            </w:r>
          </w:p>
          <w:p w14:paraId="417C287B" w14:textId="77777777" w:rsidR="003B08F8" w:rsidRDefault="00073F90" w:rsidP="00DC7D20">
            <w:pPr>
              <w:rPr>
                <w:rFonts w:cs="Cambria"/>
                <w:lang w:eastAsia="en-AU"/>
              </w:rPr>
            </w:pPr>
            <w:r>
              <w:rPr>
                <w:rFonts w:cs="Cambria"/>
                <w:lang w:eastAsia="en-AU"/>
              </w:rPr>
              <w:t xml:space="preserve">Many </w:t>
            </w:r>
            <w:r>
              <w:t>investigator</w:t>
            </w:r>
            <w:r>
              <w:rPr>
                <w:rFonts w:cs="Cambria"/>
                <w:lang w:eastAsia="en-AU"/>
              </w:rPr>
              <w:t xml:space="preserve"> studies over two decades have been broadly consistent with each other and have generally shown the haemodynamic changes claimed for </w:t>
            </w:r>
            <w:r w:rsidR="00DC7D20">
              <w:rPr>
                <w:rFonts w:cs="Cambria"/>
                <w:lang w:eastAsia="en-AU"/>
              </w:rPr>
              <w:t>inhaled nitric oxide</w:t>
            </w:r>
            <w:r>
              <w:rPr>
                <w:rFonts w:cs="Cambria"/>
                <w:lang w:eastAsia="en-AU"/>
              </w:rPr>
              <w:t xml:space="preserve"> (reduced </w:t>
            </w:r>
            <w:r w:rsidR="00BB39E5">
              <w:rPr>
                <w:rFonts w:cs="Cambria"/>
                <w:lang w:eastAsia="en-AU"/>
              </w:rPr>
              <w:t>pulmonary arterial pressure</w:t>
            </w:r>
            <w:r>
              <w:rPr>
                <w:rFonts w:cs="Cambria"/>
                <w:lang w:eastAsia="en-AU"/>
              </w:rPr>
              <w:t xml:space="preserve"> or </w:t>
            </w:r>
            <w:r w:rsidR="00BB39E5">
              <w:t>pulmonary vascular resistance</w:t>
            </w:r>
            <w:r>
              <w:t xml:space="preserve">). Although the between-group comparisons have often not </w:t>
            </w:r>
            <w:r>
              <w:rPr>
                <w:rFonts w:cs="Cambria"/>
                <w:lang w:eastAsia="en-AU"/>
              </w:rPr>
              <w:t>achieved statistical significance within individual studies, the collective evidence is much stronger than suggested by any individual study.</w:t>
            </w:r>
          </w:p>
          <w:p w14:paraId="5329D518" w14:textId="77777777" w:rsidR="00073F90" w:rsidRPr="00E5086F" w:rsidRDefault="00073F90" w:rsidP="00DC7D20">
            <w:pPr>
              <w:rPr>
                <w:rFonts w:cs="Cambria"/>
                <w:b/>
                <w:lang w:eastAsia="en-AU"/>
              </w:rPr>
            </w:pPr>
            <w:r>
              <w:rPr>
                <w:rFonts w:cs="Cambria"/>
                <w:b/>
                <w:lang w:eastAsia="en-AU"/>
              </w:rPr>
              <w:t>Uncertainties</w:t>
            </w:r>
          </w:p>
          <w:p w14:paraId="06E0CE77" w14:textId="19FE072E" w:rsidR="00073F90" w:rsidRDefault="00073F90" w:rsidP="00DC7D20">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sidRPr="00F24B74">
              <w:rPr>
                <w:rFonts w:cs="Cambria"/>
                <w:lang w:eastAsia="en-AU"/>
              </w:rPr>
              <w:t xml:space="preserve">The evidence for benefit is </w:t>
            </w:r>
            <w:r w:rsidR="0081505B">
              <w:rPr>
                <w:rFonts w:cs="Cambria"/>
                <w:lang w:eastAsia="en-AU"/>
              </w:rPr>
              <w:t>limited</w:t>
            </w:r>
            <w:r>
              <w:rPr>
                <w:rFonts w:cs="Cambria"/>
                <w:lang w:eastAsia="en-AU"/>
              </w:rPr>
              <w:t>, because:</w:t>
            </w:r>
          </w:p>
          <w:p w14:paraId="795D6F69" w14:textId="77777777" w:rsidR="00073F90" w:rsidRDefault="00073F90" w:rsidP="00D533F9">
            <w:pPr>
              <w:pStyle w:val="ListBullet"/>
              <w:rPr>
                <w:lang w:eastAsia="en-AU"/>
              </w:rPr>
            </w:pPr>
            <w:r>
              <w:rPr>
                <w:lang w:eastAsia="en-AU"/>
              </w:rPr>
              <w:t xml:space="preserve">The only </w:t>
            </w:r>
            <w:r w:rsidR="003E6F92">
              <w:rPr>
                <w:lang w:eastAsia="en-AU"/>
              </w:rPr>
              <w:t>sponsor</w:t>
            </w:r>
            <w:r>
              <w:rPr>
                <w:lang w:eastAsia="en-AU"/>
              </w:rPr>
              <w:t>-initiated study was negative (possibly because it was underpowered).</w:t>
            </w:r>
          </w:p>
          <w:p w14:paraId="10881A97" w14:textId="77777777" w:rsidR="00073F90" w:rsidRDefault="00073F90" w:rsidP="00D533F9">
            <w:pPr>
              <w:pStyle w:val="ListBullet"/>
              <w:rPr>
                <w:lang w:eastAsia="en-AU"/>
              </w:rPr>
            </w:pPr>
            <w:r>
              <w:rPr>
                <w:lang w:eastAsia="en-AU"/>
              </w:rPr>
              <w:t>Many of the studies in the literature were negative or methodologically unsound, and all were small</w:t>
            </w:r>
          </w:p>
          <w:p w14:paraId="5070C7AE" w14:textId="77777777" w:rsidR="00073F90" w:rsidRDefault="00073F90" w:rsidP="00D533F9">
            <w:pPr>
              <w:pStyle w:val="ListBullet"/>
              <w:rPr>
                <w:lang w:eastAsia="en-AU"/>
              </w:rPr>
            </w:pPr>
            <w:r>
              <w:rPr>
                <w:lang w:eastAsia="en-AU"/>
              </w:rPr>
              <w:t>Positive endpoints in adult studies are largely limited to haemodynamic changes, without clear changes in clinical outcomes</w:t>
            </w:r>
          </w:p>
          <w:p w14:paraId="11A93A3A" w14:textId="77777777" w:rsidR="00073F90" w:rsidRDefault="00073F90" w:rsidP="00D533F9">
            <w:pPr>
              <w:pStyle w:val="ListBullet"/>
              <w:rPr>
                <w:lang w:eastAsia="en-AU"/>
              </w:rPr>
            </w:pPr>
            <w:r>
              <w:rPr>
                <w:lang w:eastAsia="en-AU"/>
              </w:rPr>
              <w:t>No clear benefit has been shown for cardiac index, right-ventricular function, mortality, or time in ICU.</w:t>
            </w:r>
          </w:p>
          <w:p w14:paraId="242B78A5" w14:textId="77777777" w:rsidR="00073F90" w:rsidRDefault="00073F90" w:rsidP="00D533F9">
            <w:pPr>
              <w:pStyle w:val="ListBullet"/>
              <w:rPr>
                <w:lang w:eastAsia="en-AU"/>
              </w:rPr>
            </w:pPr>
            <w:r>
              <w:rPr>
                <w:lang w:eastAsia="en-AU"/>
              </w:rPr>
              <w:t xml:space="preserve">Equivalent or superior benefit relative </w:t>
            </w:r>
            <w:r>
              <w:rPr>
                <w:lang w:eastAsia="en-AU"/>
              </w:rPr>
              <w:lastRenderedPageBreak/>
              <w:t>to other active agents has not been demonstrated.</w:t>
            </w:r>
          </w:p>
          <w:p w14:paraId="32C026E9" w14:textId="77777777" w:rsidR="00073F90" w:rsidRPr="00F24B74" w:rsidRDefault="00073F90" w:rsidP="00D533F9">
            <w:pPr>
              <w:pStyle w:val="ListBullet"/>
              <w:rPr>
                <w:lang w:eastAsia="en-AU"/>
              </w:rPr>
            </w:pPr>
            <w:r>
              <w:rPr>
                <w:lang w:eastAsia="en-AU"/>
              </w:rPr>
              <w:t xml:space="preserve">There is no clear evidence showing that </w:t>
            </w:r>
            <w:r w:rsidR="00DC7D20">
              <w:rPr>
                <w:lang w:eastAsia="en-AU"/>
              </w:rPr>
              <w:t>inhaled nitric oxide</w:t>
            </w:r>
            <w:r>
              <w:rPr>
                <w:lang w:eastAsia="en-AU"/>
              </w:rPr>
              <w:t xml:space="preserve"> 40 ppm is superior to 20 ppm, and yet the PI recommends increasing to 40 ppm if needed.</w:t>
            </w:r>
          </w:p>
        </w:tc>
      </w:tr>
    </w:tbl>
    <w:p w14:paraId="2160B204" w14:textId="77777777" w:rsidR="00845B95" w:rsidRDefault="00845B95" w:rsidP="00845B95">
      <w:pPr>
        <w:pStyle w:val="Heading4"/>
      </w:pPr>
      <w:r w:rsidRPr="00605AD4">
        <w:lastRenderedPageBreak/>
        <w:t>First round assessment of risks</w:t>
      </w:r>
    </w:p>
    <w:p w14:paraId="1599F954" w14:textId="77777777" w:rsidR="00605AD4" w:rsidRDefault="002445FA" w:rsidP="00845B95">
      <w:pPr>
        <w:pStyle w:val="TableTitle"/>
      </w:pPr>
      <w:r>
        <w:t>Table 16</w:t>
      </w:r>
      <w:r w:rsidR="000D37D1">
        <w:t xml:space="preserve">: </w:t>
      </w:r>
      <w:r w:rsidR="00605AD4" w:rsidRPr="00605AD4">
        <w:t>First round assessment of risks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4292"/>
      </w:tblGrid>
      <w:tr w:rsidR="00073F90" w:rsidRPr="005968B8" w14:paraId="22CD04BD" w14:textId="77777777" w:rsidTr="00DC7D20">
        <w:trPr>
          <w:tblHeader/>
        </w:trPr>
        <w:tc>
          <w:tcPr>
            <w:tcW w:w="4395" w:type="dxa"/>
            <w:tcBorders>
              <w:top w:val="single" w:sz="4" w:space="0" w:color="auto"/>
              <w:left w:val="single" w:sz="4" w:space="0" w:color="auto"/>
              <w:bottom w:val="single" w:sz="4" w:space="0" w:color="auto"/>
              <w:right w:val="single" w:sz="4" w:space="0" w:color="auto"/>
            </w:tcBorders>
            <w:shd w:val="clear" w:color="auto" w:fill="006DA7"/>
          </w:tcPr>
          <w:p w14:paraId="4EFED5FE" w14:textId="77777777" w:rsidR="00073F90" w:rsidRPr="005968B8" w:rsidRDefault="00073F90" w:rsidP="00845B95">
            <w:pPr>
              <w:pStyle w:val="TableTitle"/>
              <w:rPr>
                <w:color w:val="FFFFFF"/>
                <w:lang w:eastAsia="en-AU"/>
              </w:rPr>
            </w:pPr>
            <w:r w:rsidRPr="005968B8">
              <w:rPr>
                <w:color w:val="FFFFFF"/>
                <w:lang w:eastAsia="en-AU"/>
              </w:rPr>
              <w:t>Risks</w:t>
            </w:r>
          </w:p>
        </w:tc>
        <w:tc>
          <w:tcPr>
            <w:tcW w:w="4394" w:type="dxa"/>
            <w:tcBorders>
              <w:top w:val="single" w:sz="4" w:space="0" w:color="auto"/>
              <w:left w:val="single" w:sz="4" w:space="0" w:color="auto"/>
              <w:bottom w:val="single" w:sz="4" w:space="0" w:color="auto"/>
              <w:right w:val="single" w:sz="4" w:space="0" w:color="auto"/>
            </w:tcBorders>
            <w:shd w:val="clear" w:color="auto" w:fill="006DA7"/>
          </w:tcPr>
          <w:p w14:paraId="2164603F" w14:textId="77777777" w:rsidR="00073F90" w:rsidRPr="005968B8" w:rsidRDefault="00073F90" w:rsidP="00845B95">
            <w:pPr>
              <w:pStyle w:val="TableTitle"/>
              <w:rPr>
                <w:color w:val="FFFFFF"/>
                <w:lang w:eastAsia="en-AU"/>
              </w:rPr>
            </w:pPr>
            <w:r w:rsidRPr="005968B8">
              <w:rPr>
                <w:color w:val="FFFFFF"/>
                <w:lang w:eastAsia="en-AU"/>
              </w:rPr>
              <w:t>Strengths and Uncertainties</w:t>
            </w:r>
          </w:p>
        </w:tc>
      </w:tr>
      <w:tr w:rsidR="00073F90" w:rsidRPr="00D70A01" w14:paraId="35EF2EEB" w14:textId="77777777" w:rsidTr="00DC7D20">
        <w:tc>
          <w:tcPr>
            <w:tcW w:w="4395" w:type="dxa"/>
            <w:tcBorders>
              <w:top w:val="single" w:sz="4" w:space="0" w:color="auto"/>
              <w:left w:val="single" w:sz="4" w:space="0" w:color="auto"/>
              <w:bottom w:val="single" w:sz="4" w:space="0" w:color="auto"/>
              <w:right w:val="single" w:sz="4" w:space="0" w:color="auto"/>
            </w:tcBorders>
          </w:tcPr>
          <w:p w14:paraId="2E3B94D0" w14:textId="77777777" w:rsidR="00073F90" w:rsidRDefault="00073F90" w:rsidP="00DC7D20">
            <w:pPr>
              <w:rPr>
                <w:lang w:eastAsia="ja-JP"/>
              </w:rPr>
            </w:pPr>
            <w:r>
              <w:rPr>
                <w:lang w:eastAsia="ja-JP"/>
              </w:rPr>
              <w:t xml:space="preserve">The risks of </w:t>
            </w:r>
            <w:proofErr w:type="spellStart"/>
            <w:r w:rsidR="00C40BA7">
              <w:rPr>
                <w:lang w:eastAsia="ja-JP"/>
              </w:rPr>
              <w:t>INOmax</w:t>
            </w:r>
            <w:proofErr w:type="spellEnd"/>
            <w:r>
              <w:rPr>
                <w:lang w:eastAsia="ja-JP"/>
              </w:rPr>
              <w:t xml:space="preserve"> in the proposed usage are:</w:t>
            </w:r>
          </w:p>
          <w:p w14:paraId="3EC8B459" w14:textId="77777777" w:rsidR="00073F90" w:rsidRDefault="00073F90" w:rsidP="000439FE">
            <w:pPr>
              <w:pStyle w:val="ListBullet"/>
              <w:rPr>
                <w:lang w:eastAsia="ja-JP"/>
              </w:rPr>
            </w:pPr>
            <w:r>
              <w:rPr>
                <w:lang w:eastAsia="ja-JP"/>
              </w:rPr>
              <w:t xml:space="preserve">Rebound </w:t>
            </w:r>
            <w:r w:rsidR="006C5049">
              <w:rPr>
                <w:lang w:eastAsia="ja-JP"/>
              </w:rPr>
              <w:t>pulmonary hypertension</w:t>
            </w:r>
            <w:r>
              <w:rPr>
                <w:lang w:eastAsia="ja-JP"/>
              </w:rPr>
              <w:t xml:space="preserve"> on sudden cessation, making any interruption to treatment hazardous, including unplanned interruption due to equipment failure.</w:t>
            </w:r>
          </w:p>
          <w:p w14:paraId="34BB8A6E" w14:textId="77777777" w:rsidR="00073F90" w:rsidRDefault="00073F90" w:rsidP="000439FE">
            <w:pPr>
              <w:pStyle w:val="ListBullet"/>
              <w:rPr>
                <w:lang w:eastAsia="ja-JP"/>
              </w:rPr>
            </w:pPr>
            <w:r>
              <w:rPr>
                <w:lang w:eastAsia="ja-JP"/>
              </w:rPr>
              <w:t xml:space="preserve">Increased left atrial filling in response to reduced </w:t>
            </w:r>
            <w:r w:rsidR="00BB39E5">
              <w:rPr>
                <w:lang w:eastAsia="ja-JP"/>
              </w:rPr>
              <w:t>pulmonary vascular resistance</w:t>
            </w:r>
            <w:r>
              <w:rPr>
                <w:lang w:eastAsia="ja-JP"/>
              </w:rPr>
              <w:t xml:space="preserve"> may cause cardiac failure and pulmonary oedema in adults with underlying left ventricular dysfunction.</w:t>
            </w:r>
          </w:p>
          <w:p w14:paraId="19BA7E79" w14:textId="77777777" w:rsidR="00073F90" w:rsidRDefault="00073F90" w:rsidP="000439FE">
            <w:pPr>
              <w:pStyle w:val="ListBullet"/>
              <w:rPr>
                <w:lang w:eastAsia="ja-JP"/>
              </w:rPr>
            </w:pPr>
            <w:r>
              <w:rPr>
                <w:lang w:eastAsia="ja-JP"/>
              </w:rPr>
              <w:t>Treatment produces toxic by</w:t>
            </w:r>
            <w:r w:rsidR="00371686">
              <w:rPr>
                <w:lang w:eastAsia="ja-JP"/>
              </w:rPr>
              <w:t>-</w:t>
            </w:r>
            <w:r>
              <w:rPr>
                <w:lang w:eastAsia="ja-JP"/>
              </w:rPr>
              <w:t xml:space="preserve">products: </w:t>
            </w:r>
            <w:proofErr w:type="spellStart"/>
            <w:r>
              <w:rPr>
                <w:lang w:eastAsia="ja-JP"/>
              </w:rPr>
              <w:t>methaemoglobin</w:t>
            </w:r>
            <w:r w:rsidR="006A6896">
              <w:rPr>
                <w:lang w:eastAsia="ja-JP"/>
              </w:rPr>
              <w:t>a</w:t>
            </w:r>
            <w:r>
              <w:rPr>
                <w:lang w:eastAsia="ja-JP"/>
              </w:rPr>
              <w:t>emia</w:t>
            </w:r>
            <w:proofErr w:type="spellEnd"/>
            <w:r>
              <w:rPr>
                <w:lang w:eastAsia="ja-JP"/>
              </w:rPr>
              <w:t xml:space="preserve">, which may cause hypoxaemia, and </w:t>
            </w:r>
            <w:r w:rsidR="000439FE">
              <w:rPr>
                <w:lang w:eastAsia="ja-JP"/>
              </w:rPr>
              <w:t>nitrogen dioxide</w:t>
            </w:r>
          </w:p>
          <w:p w14:paraId="229299A3" w14:textId="77777777" w:rsidR="00073F90" w:rsidRPr="00D70A01" w:rsidRDefault="00073F90" w:rsidP="000439FE">
            <w:pPr>
              <w:pStyle w:val="ListBullet"/>
              <w:rPr>
                <w:lang w:eastAsia="ja-JP"/>
              </w:rPr>
            </w:pPr>
            <w:r>
              <w:rPr>
                <w:lang w:eastAsia="ja-JP"/>
              </w:rPr>
              <w:t xml:space="preserve">Animal studies have suggested a potential risk of increased bleeding </w:t>
            </w:r>
            <w:r>
              <w:rPr>
                <w:lang w:eastAsia="ja-JP"/>
              </w:rPr>
              <w:lastRenderedPageBreak/>
              <w:t>(although this has not been directly observed in the submitted studies, none of the studies was adequately powered to assess differences in bleeding and none had bleeding as a focus).</w:t>
            </w:r>
          </w:p>
        </w:tc>
        <w:tc>
          <w:tcPr>
            <w:tcW w:w="4394" w:type="dxa"/>
            <w:tcBorders>
              <w:top w:val="single" w:sz="4" w:space="0" w:color="auto"/>
              <w:left w:val="single" w:sz="4" w:space="0" w:color="auto"/>
              <w:bottom w:val="single" w:sz="4" w:space="0" w:color="auto"/>
              <w:right w:val="single" w:sz="4" w:space="0" w:color="auto"/>
            </w:tcBorders>
          </w:tcPr>
          <w:p w14:paraId="6D1CC619" w14:textId="77777777" w:rsidR="00073F90" w:rsidRPr="00E5086F" w:rsidRDefault="00073F90" w:rsidP="00DC7D20">
            <w:pPr>
              <w:rPr>
                <w:rFonts w:cs="Cambria"/>
                <w:b/>
                <w:lang w:eastAsia="en-AU"/>
              </w:rPr>
            </w:pPr>
            <w:r>
              <w:rPr>
                <w:rFonts w:cs="Cambria"/>
                <w:b/>
                <w:lang w:eastAsia="en-AU"/>
              </w:rPr>
              <w:lastRenderedPageBreak/>
              <w:t>Uncertainties</w:t>
            </w:r>
          </w:p>
          <w:p w14:paraId="03E89CA7" w14:textId="77777777" w:rsidR="003B08F8" w:rsidRDefault="00073F90" w:rsidP="00DC7D20">
            <w:pPr>
              <w:rPr>
                <w:rFonts w:cs="Cambria"/>
                <w:lang w:eastAsia="en-AU"/>
              </w:rPr>
            </w:pPr>
            <w:r>
              <w:rPr>
                <w:rFonts w:cs="Cambria"/>
                <w:lang w:eastAsia="en-AU"/>
              </w:rPr>
              <w:t>The submission is based on a heterogen</w:t>
            </w:r>
            <w:r w:rsidR="000439FE">
              <w:rPr>
                <w:rFonts w:cs="Cambria"/>
                <w:lang w:eastAsia="en-AU"/>
              </w:rPr>
              <w:t>e</w:t>
            </w:r>
            <w:r>
              <w:rPr>
                <w:rFonts w:cs="Cambria"/>
                <w:lang w:eastAsia="en-AU"/>
              </w:rPr>
              <w:t>ous mix of small studies with widely variable control therapies</w:t>
            </w:r>
          </w:p>
          <w:p w14:paraId="0DCE77FB" w14:textId="77777777" w:rsidR="00073F90" w:rsidRDefault="00073F90" w:rsidP="00DC7D20">
            <w:pPr>
              <w:rPr>
                <w:rFonts w:cs="Cambria"/>
                <w:lang w:eastAsia="en-AU"/>
              </w:rPr>
            </w:pPr>
            <w:r>
              <w:rPr>
                <w:rFonts w:cs="Cambria"/>
                <w:lang w:eastAsia="en-AU"/>
              </w:rPr>
              <w:t>Poor or absent documentation of adverse events in most published studies.</w:t>
            </w:r>
          </w:p>
          <w:p w14:paraId="44DD8C55" w14:textId="77777777" w:rsidR="00073F90" w:rsidRDefault="00073F90" w:rsidP="00DC7D20">
            <w:pPr>
              <w:rPr>
                <w:rFonts w:cs="Cambria"/>
                <w:lang w:eastAsia="en-AU"/>
              </w:rPr>
            </w:pPr>
            <w:r>
              <w:rPr>
                <w:rFonts w:cs="Cambria"/>
                <w:lang w:eastAsia="en-AU"/>
              </w:rPr>
              <w:t>Overall exposure in controlled studies has been too limited to allow identification of rare safety problems.</w:t>
            </w:r>
          </w:p>
          <w:p w14:paraId="025D82E8" w14:textId="77777777" w:rsidR="003B08F8" w:rsidRDefault="00073F90" w:rsidP="00DC7D20">
            <w:pPr>
              <w:rPr>
                <w:rFonts w:cs="Cambria"/>
                <w:lang w:eastAsia="en-AU"/>
              </w:rPr>
            </w:pPr>
            <w:r>
              <w:rPr>
                <w:rFonts w:cs="Cambria"/>
                <w:lang w:eastAsia="en-AU"/>
              </w:rPr>
              <w:t xml:space="preserve">Relative safety of 40 ppm versus 20 ppm </w:t>
            </w:r>
            <w:r w:rsidR="009D2451">
              <w:rPr>
                <w:rFonts w:cs="Cambria"/>
                <w:lang w:eastAsia="en-AU"/>
              </w:rPr>
              <w:t xml:space="preserve">is </w:t>
            </w:r>
            <w:r>
              <w:rPr>
                <w:rFonts w:cs="Cambria"/>
                <w:lang w:eastAsia="en-AU"/>
              </w:rPr>
              <w:t>unknown.</w:t>
            </w:r>
          </w:p>
          <w:p w14:paraId="5873B294" w14:textId="77777777" w:rsidR="00073F90" w:rsidRPr="00E5086F" w:rsidRDefault="00073F90" w:rsidP="00DC7D20">
            <w:pPr>
              <w:rPr>
                <w:rFonts w:cs="Cambria"/>
                <w:b/>
                <w:lang w:eastAsia="en-AU"/>
              </w:rPr>
            </w:pPr>
            <w:r w:rsidRPr="00E5086F">
              <w:rPr>
                <w:rFonts w:cs="Cambria"/>
                <w:b/>
                <w:lang w:eastAsia="en-AU"/>
              </w:rPr>
              <w:t>Strengths</w:t>
            </w:r>
          </w:p>
          <w:p w14:paraId="6996CFBA" w14:textId="6910F95C" w:rsidR="00073F90" w:rsidRDefault="00073F90" w:rsidP="00DC7D20">
            <w:pPr>
              <w:rPr>
                <w:rFonts w:cs="Cambria"/>
                <w:lang w:eastAsia="en-AU"/>
              </w:rPr>
            </w:pPr>
            <w:r>
              <w:rPr>
                <w:rFonts w:cs="Cambria"/>
                <w:lang w:eastAsia="en-AU"/>
              </w:rPr>
              <w:t xml:space="preserve">One </w:t>
            </w:r>
            <w:r w:rsidR="003E6F92">
              <w:rPr>
                <w:rFonts w:cs="Cambria"/>
                <w:lang w:eastAsia="en-AU"/>
              </w:rPr>
              <w:t>sponsor</w:t>
            </w:r>
            <w:r>
              <w:rPr>
                <w:rFonts w:cs="Cambria"/>
                <w:lang w:eastAsia="en-AU"/>
              </w:rPr>
              <w:t>-initiated study (</w:t>
            </w:r>
            <w:r w:rsidR="0074498A">
              <w:rPr>
                <w:rFonts w:cs="Cambria"/>
                <w:lang w:eastAsia="en-AU"/>
              </w:rPr>
              <w:t>Study </w:t>
            </w:r>
            <w:r w:rsidR="00BB39E5">
              <w:rPr>
                <w:rFonts w:cs="Cambria"/>
                <w:lang w:eastAsia="en-AU"/>
              </w:rPr>
              <w:t>INOT41</w:t>
            </w:r>
            <w:r>
              <w:rPr>
                <w:rFonts w:cs="Cambria"/>
                <w:lang w:eastAsia="en-AU"/>
              </w:rPr>
              <w:t>) showed no major safety issues in comparison to nitrogen placebo</w:t>
            </w:r>
          </w:p>
          <w:p w14:paraId="59ABFBFE" w14:textId="77777777" w:rsidR="00073F90" w:rsidRPr="00D70A01" w:rsidRDefault="00073F90" w:rsidP="00DC7D20">
            <w:pPr>
              <w:rPr>
                <w:rFonts w:cs="Cambria"/>
                <w:lang w:eastAsia="en-AU"/>
              </w:rPr>
            </w:pPr>
            <w:r w:rsidRPr="00E5086F">
              <w:rPr>
                <w:rFonts w:cs="Cambria"/>
                <w:lang w:eastAsia="en-AU"/>
              </w:rPr>
              <w:t xml:space="preserve">There has </w:t>
            </w:r>
            <w:r>
              <w:rPr>
                <w:rFonts w:cs="Cambria"/>
                <w:lang w:eastAsia="en-AU"/>
              </w:rPr>
              <w:t xml:space="preserve">been </w:t>
            </w:r>
            <w:r w:rsidRPr="00E5086F">
              <w:rPr>
                <w:rFonts w:cs="Cambria"/>
                <w:lang w:eastAsia="en-AU"/>
              </w:rPr>
              <w:t xml:space="preserve">extensive post-marketing and off-label exposure to </w:t>
            </w:r>
            <w:r w:rsidR="00DC7D20">
              <w:rPr>
                <w:rFonts w:cs="Cambria"/>
                <w:lang w:eastAsia="en-AU"/>
              </w:rPr>
              <w:t xml:space="preserve">inhaled nitric </w:t>
            </w:r>
            <w:r w:rsidR="00DC7D20">
              <w:rPr>
                <w:rFonts w:cs="Cambria"/>
                <w:lang w:eastAsia="en-AU"/>
              </w:rPr>
              <w:lastRenderedPageBreak/>
              <w:t>oxide</w:t>
            </w:r>
            <w:r w:rsidRPr="00E5086F">
              <w:rPr>
                <w:rFonts w:cs="Cambria"/>
                <w:lang w:eastAsia="en-AU"/>
              </w:rPr>
              <w:t xml:space="preserve">, so most of the risks associated with its use are </w:t>
            </w:r>
            <w:r>
              <w:rPr>
                <w:rFonts w:cs="Cambria"/>
                <w:lang w:eastAsia="en-AU"/>
              </w:rPr>
              <w:t>likely to have been identified.</w:t>
            </w:r>
          </w:p>
        </w:tc>
      </w:tr>
    </w:tbl>
    <w:p w14:paraId="33E7B993" w14:textId="77777777" w:rsidR="00605AD4" w:rsidRPr="00605AD4" w:rsidRDefault="00605AD4" w:rsidP="00605AD4">
      <w:pPr>
        <w:pStyle w:val="Heading4"/>
      </w:pPr>
      <w:r w:rsidRPr="00605AD4">
        <w:lastRenderedPageBreak/>
        <w:t>First round assessment of benefit-risk balance</w:t>
      </w:r>
    </w:p>
    <w:p w14:paraId="5BC70BD3" w14:textId="77777777" w:rsidR="00073F90" w:rsidRDefault="00073F90" w:rsidP="00073F90">
      <w:r>
        <w:t xml:space="preserve">The precise benefit-risk balance for </w:t>
      </w:r>
      <w:r w:rsidR="00DC7D20">
        <w:t>inhaled nitric oxide</w:t>
      </w:r>
      <w:r>
        <w:t xml:space="preserve"> has not been defined with rigor, but within the limitations of the available evidence, the balance appears to be positive ove</w:t>
      </w:r>
      <w:r w:rsidR="000439FE">
        <w:t>r</w:t>
      </w:r>
      <w:r>
        <w:t xml:space="preserve">all. There are substantial residual uncertainties about the efficacy and safety of its use in adult patients, and in particular the utility of doses beyond 20 ppm has not been established. Collectively, the submitted studies make it very likely that </w:t>
      </w:r>
      <w:r w:rsidR="00DC7D20">
        <w:t>inhaled nitric oxide</w:t>
      </w:r>
      <w:r>
        <w:t xml:space="preserve"> acts as a selective pulmonary vasodilator, lowering </w:t>
      </w:r>
      <w:r w:rsidR="00BB39E5">
        <w:t>pulmonary arterial pressure</w:t>
      </w:r>
      <w:r>
        <w:t xml:space="preserve"> and </w:t>
      </w:r>
      <w:r w:rsidR="00BB39E5">
        <w:t>pulmonary vascular resistance</w:t>
      </w:r>
      <w:r>
        <w:t xml:space="preserve">, and despite the methodological flaws of the submitted studies, this effect is not really in doubt. Clinicians have used the drug for more than two decades in closely monitored environments, and they have directly observed the haemodynamic changes that result from administering inhaled </w:t>
      </w:r>
      <w:r w:rsidR="000439FE">
        <w:t>nitric oxide</w:t>
      </w:r>
      <w:r>
        <w:t xml:space="preserve">. The rapid onset of action and rapidly reversible nature of the drug’s haemodynamic effects make it very easy for anaesthetists and intensivists using the drug to confirm that </w:t>
      </w:r>
      <w:r w:rsidR="000439FE">
        <w:t>nitric oxide</w:t>
      </w:r>
      <w:r>
        <w:t xml:space="preserve"> causes pulmonary vasodilation, and where </w:t>
      </w:r>
      <w:r w:rsidR="00BB39E5">
        <w:t>pulmonary arterial pressure</w:t>
      </w:r>
      <w:r>
        <w:t xml:space="preserve"> and </w:t>
      </w:r>
      <w:r w:rsidR="00BB39E5">
        <w:t>pulmonary vascular resistance</w:t>
      </w:r>
      <w:r>
        <w:t xml:space="preserve"> have been studied in comparison to placebo agents in controlled studies, the </w:t>
      </w:r>
      <w:proofErr w:type="spellStart"/>
      <w:r>
        <w:t>vasodilatory</w:t>
      </w:r>
      <w:proofErr w:type="spellEnd"/>
      <w:r>
        <w:t xml:space="preserve"> effect has been reproduced, though the studies have often been underpowered.</w:t>
      </w:r>
    </w:p>
    <w:p w14:paraId="7E1D8C2B" w14:textId="05CE808A" w:rsidR="00073F90" w:rsidRDefault="00073F90" w:rsidP="00073F90">
      <w:r>
        <w:t>It has not been established, in adults, that the haemodynamic effects translate into favourable clinical outcomes, but the previous paediatric submission included studies with clinical endpoints (</w:t>
      </w:r>
      <w:r w:rsidRPr="005B7AC9">
        <w:t>such as Miller, 2000</w:t>
      </w:r>
      <w:r w:rsidR="00371686">
        <w:t>;</w:t>
      </w:r>
      <w:r w:rsidR="008024D2" w:rsidRPr="008024D2">
        <w:rPr>
          <w:vertAlign w:val="superscript"/>
        </w:rPr>
        <w:fldChar w:fldCharType="begin"/>
      </w:r>
      <w:r w:rsidR="008024D2" w:rsidRPr="008024D2">
        <w:rPr>
          <w:vertAlign w:val="superscript"/>
        </w:rPr>
        <w:instrText xml:space="preserve"> NOTEREF _Ref22561796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24</w:t>
      </w:r>
      <w:r w:rsidR="008024D2" w:rsidRPr="008024D2">
        <w:rPr>
          <w:vertAlign w:val="superscript"/>
        </w:rPr>
        <w:fldChar w:fldCharType="end"/>
      </w:r>
      <w:r w:rsidRPr="005B7AC9">
        <w:t>),</w:t>
      </w:r>
      <w:r>
        <w:t xml:space="preserve"> and these showed that treatment of </w:t>
      </w:r>
      <w:r w:rsidR="000439FE">
        <w:t>pulmonary hypertension</w:t>
      </w:r>
      <w:r>
        <w:t xml:space="preserve"> in paediatric cardiac surgery patients reduced the incidence of pulmonary hypertensive crises and shortened time on ventilation. It is not certain that these results reflect the situation in adults, but it appears likely.</w:t>
      </w:r>
    </w:p>
    <w:p w14:paraId="4E974AC0" w14:textId="77777777" w:rsidR="00073F90" w:rsidRDefault="00073F90" w:rsidP="00073F90">
      <w:r>
        <w:t xml:space="preserve">The important question is whether it is realistic to expect positive studies with clinical endpoints in cardiac surgical patients. It would be unethical to deny cardiac surgical patients with pulmonary hypertension access to pulmonary vasodilators in situations where clinicians thought such treatments were indicated, leaving them on placebo until they demonstrated a potentially dangerous clinical decline, so any studies assessing </w:t>
      </w:r>
      <w:r w:rsidR="00DC7D20">
        <w:t>inhaled nitric oxide</w:t>
      </w:r>
      <w:r>
        <w:t xml:space="preserve"> would need to take at least one of the following approaches:</w:t>
      </w:r>
    </w:p>
    <w:p w14:paraId="1D1B8EC7" w14:textId="77777777" w:rsidR="00073F90" w:rsidRDefault="00073F90" w:rsidP="000439FE">
      <w:pPr>
        <w:pStyle w:val="ListBullet"/>
      </w:pPr>
      <w:r>
        <w:t>Use haemodynamic endpoints and brief exposures to randomised treatment, rather than allowing patients to continue randomised therapy until they suffer adverse clinical outcomes.</w:t>
      </w:r>
    </w:p>
    <w:p w14:paraId="454138C4" w14:textId="77777777" w:rsidR="00073F90" w:rsidRDefault="00073F90" w:rsidP="000439FE">
      <w:pPr>
        <w:pStyle w:val="ListBullet"/>
      </w:pPr>
      <w:r>
        <w:t>Use rescue therapy to prevent adverse clinical outcomes.</w:t>
      </w:r>
    </w:p>
    <w:p w14:paraId="722B9430" w14:textId="77777777" w:rsidR="00073F90" w:rsidRDefault="00073F90" w:rsidP="000439FE">
      <w:pPr>
        <w:pStyle w:val="ListBullet"/>
      </w:pPr>
      <w:r>
        <w:t xml:space="preserve">Use acceptable active control therapies to manage </w:t>
      </w:r>
      <w:r w:rsidR="000439FE">
        <w:t>pulmonary hypertension</w:t>
      </w:r>
      <w:r>
        <w:t xml:space="preserve">, randomising patients to </w:t>
      </w:r>
      <w:r w:rsidR="00DC7D20">
        <w:t>inhaled nitric oxide</w:t>
      </w:r>
      <w:r>
        <w:t xml:space="preserve"> or active controls only when there is genuine clinical equipoise in selecting between the two agents.</w:t>
      </w:r>
    </w:p>
    <w:p w14:paraId="0CE0DF3D" w14:textId="3BBB1522" w:rsidR="003B08F8" w:rsidRDefault="00073F90" w:rsidP="00073F90">
      <w:r>
        <w:t>The submitted studies have taken a mix of these approaches, but each strategy compromises the demonstration of a clear</w:t>
      </w:r>
      <w:r w:rsidR="00371686">
        <w:t xml:space="preserve"> </w:t>
      </w:r>
      <w:r>
        <w:t xml:space="preserve">cut benefit for </w:t>
      </w:r>
      <w:r w:rsidR="00DC7D20">
        <w:t>inhaled nitric oxide</w:t>
      </w:r>
      <w:r>
        <w:t xml:space="preserve"> using clinical outcomes. Even in the </w:t>
      </w:r>
      <w:r w:rsidR="003E6F92">
        <w:t>sponsor</w:t>
      </w:r>
      <w:r>
        <w:t xml:space="preserve">’s own study, </w:t>
      </w:r>
      <w:r w:rsidR="0074498A">
        <w:t xml:space="preserve">Study </w:t>
      </w:r>
      <w:r w:rsidR="00BB39E5">
        <w:t>INOT41</w:t>
      </w:r>
      <w:r>
        <w:t xml:space="preserve">, the use of rescue therapies meant that a clear comparison between treatment arms was difficult; relatively few </w:t>
      </w:r>
      <w:r>
        <w:lastRenderedPageBreak/>
        <w:t xml:space="preserve">recipients of placebo were allowed to reach the clinical endpoint of right ventricular dysfunction and some were instead switched to active open-label </w:t>
      </w:r>
      <w:r w:rsidR="00DC7D20">
        <w:t>inhaled nitric oxide</w:t>
      </w:r>
      <w:r>
        <w:t>.</w:t>
      </w:r>
    </w:p>
    <w:p w14:paraId="29E0ECEC" w14:textId="336F6040" w:rsidR="003B08F8" w:rsidRDefault="00073F90" w:rsidP="00073F90">
      <w:r>
        <w:t xml:space="preserve">If there were an accepted, gold-standard, registered treatment for pulmonary hypertension in the cardiac surgical setting, it might be reasonable to design a non-inferiority study intending to show that </w:t>
      </w:r>
      <w:r w:rsidR="00DC7D20">
        <w:t>inhaled nitric oxide</w:t>
      </w:r>
      <w:r>
        <w:t xml:space="preserve"> was acceptably similar to that gold-standard treatment, but no such alternative treatment exists. Also, the number of patients required to demonstrate equivalence between two active treatments would probably be prohibitively large. If strong clinical endpoints were used, such as deaths or episodes of severe right heart failure, then these endpoints would be reached relatively infrequently (as shown in the </w:t>
      </w:r>
      <w:r w:rsidR="003E6F92">
        <w:t>sponsor</w:t>
      </w:r>
      <w:r>
        <w:t xml:space="preserve">’s </w:t>
      </w:r>
      <w:r w:rsidR="0074498A">
        <w:t>S</w:t>
      </w:r>
      <w:r>
        <w:t xml:space="preserve">tudy </w:t>
      </w:r>
      <w:r w:rsidR="00BB39E5">
        <w:t>INOT41</w:t>
      </w:r>
      <w:r>
        <w:t xml:space="preserve">), and this would reduce the statistical power to show that two agents were equally effective. It has already been shown that </w:t>
      </w:r>
      <w:r w:rsidR="00DC7D20">
        <w:t>inhaled nitric oxide</w:t>
      </w:r>
      <w:r>
        <w:t xml:space="preserve"> is less likely to produce systemic hypotension than IV vasodilators, and it appears very likely that the unintended systemic hypotension associated with systemic vasodilation would produce adverse clinical outcomes if it were left uncorrected. It would be unethical to enforce a study design that encouraged clinicians to wait until adverse haemodynamic endpoints produced unfavourable clinical outcomes. Finally, in cardiac surgical patients, who are a clinically vulnerable patient population, many cases of poor clinical outcome could occur that had nothing to do with the (presumably minor) differences between one inhaled pulmonary vasodilator and another, and so the signal-to-noise ratio in such studies for non-haemodynamic endpoints such as death or time in ICU would be low.</w:t>
      </w:r>
    </w:p>
    <w:p w14:paraId="34EDD155" w14:textId="021093D3" w:rsidR="00073F90" w:rsidRDefault="00073F90" w:rsidP="00073F90">
      <w:r>
        <w:t xml:space="preserve">The uncertainties surrounding the safety data pose similar problems. The target population is likely to have a very large number of AEs and SAEs in the perioperative period, as a result of: their underlying cardiac disease; the highly invasive surgery and cardiopulmonary bypass; the invasive mechanical ventilation in ICU; and their other comorbidities. In this setting, it is inherently difficult to identify safety signals solely attributable to </w:t>
      </w:r>
      <w:r w:rsidR="00DC7D20">
        <w:t>inhaled nitric oxide</w:t>
      </w:r>
      <w:r>
        <w:t xml:space="preserve">. Furthermore, it is unlikely that a large randomised study comparing </w:t>
      </w:r>
      <w:r w:rsidR="00DC7D20">
        <w:t>inhaled nitric oxide</w:t>
      </w:r>
      <w:r>
        <w:t xml:space="preserve"> with “placebo” (</w:t>
      </w:r>
      <w:r w:rsidR="000D37D1">
        <w:t>that is,</w:t>
      </w:r>
      <w:r>
        <w:t xml:space="preserve"> a treatment arm banning use of active pulmonary vasodilators) would be considered ethical or could ever reach its recruitment targets. It is therefore unlikely that clear identification of the incidence of AEs attributable to </w:t>
      </w:r>
      <w:r w:rsidR="00DC7D20">
        <w:t>inhaled nitric oxide</w:t>
      </w:r>
      <w:r>
        <w:t xml:space="preserve"> will ever be possible. Instead, the safety </w:t>
      </w:r>
      <w:r w:rsidR="008A39B6">
        <w:t>o</w:t>
      </w:r>
      <w:r>
        <w:t xml:space="preserve">f </w:t>
      </w:r>
      <w:r w:rsidR="00DC7D20">
        <w:t>inhaled nitric oxide</w:t>
      </w:r>
      <w:r>
        <w:t xml:space="preserve"> must be inferred from post-marketing data and uncontrolled or spontaneously reported observations. So far, this evidence suggests that the safety of </w:t>
      </w:r>
      <w:r w:rsidR="00DC7D20">
        <w:t>inhaled nitric oxide</w:t>
      </w:r>
      <w:r>
        <w:t xml:space="preserve"> is acceptable, despite several important risks associated with the treatment, as outlined above.</w:t>
      </w:r>
    </w:p>
    <w:p w14:paraId="22847B2E" w14:textId="77777777" w:rsidR="003B08F8" w:rsidRDefault="00073F90" w:rsidP="00073F90">
      <w:r>
        <w:t xml:space="preserve">Finally, despite substantial residual uncertainties surrounding the efficacy and safety of </w:t>
      </w:r>
      <w:proofErr w:type="spellStart"/>
      <w:r w:rsidR="00C40BA7">
        <w:t>INOmax</w:t>
      </w:r>
      <w:proofErr w:type="spellEnd"/>
      <w:r>
        <w:t xml:space="preserve">, it is basically the same drug as </w:t>
      </w:r>
      <w:proofErr w:type="spellStart"/>
      <w:r w:rsidR="000E07C6">
        <w:t>Vasokinox</w:t>
      </w:r>
      <w:proofErr w:type="spellEnd"/>
      <w:r>
        <w:t xml:space="preserve">, differing only in the storage concentration of </w:t>
      </w:r>
      <w:r w:rsidR="00DC7D20">
        <w:t>inhaled nitric oxide</w:t>
      </w:r>
      <w:r>
        <w:t xml:space="preserve"> (800 ppm for </w:t>
      </w:r>
      <w:proofErr w:type="spellStart"/>
      <w:r w:rsidR="00C40BA7">
        <w:t>INOmax</w:t>
      </w:r>
      <w:proofErr w:type="spellEnd"/>
      <w:r>
        <w:t xml:space="preserve">, 450 ppm for </w:t>
      </w:r>
      <w:proofErr w:type="spellStart"/>
      <w:r w:rsidR="000E07C6">
        <w:t>Vasokinox</w:t>
      </w:r>
      <w:proofErr w:type="spellEnd"/>
      <w:r>
        <w:t xml:space="preserve">). Although the </w:t>
      </w:r>
      <w:r w:rsidR="000D37D1">
        <w:t>c</w:t>
      </w:r>
      <w:r>
        <w:t xml:space="preserve">linical </w:t>
      </w:r>
      <w:r w:rsidR="000D37D1">
        <w:t>e</w:t>
      </w:r>
      <w:r>
        <w:t xml:space="preserve">valuator for </w:t>
      </w:r>
      <w:proofErr w:type="spellStart"/>
      <w:r w:rsidR="000E07C6">
        <w:t>Vasokinox</w:t>
      </w:r>
      <w:proofErr w:type="spellEnd"/>
      <w:r>
        <w:t xml:space="preserve"> had a number of concerns about the quality of the evidence supporting </w:t>
      </w:r>
      <w:r w:rsidR="00DC7D20">
        <w:t>inhaled nitric oxide</w:t>
      </w:r>
      <w:r>
        <w:t xml:space="preserve"> in adults (concerns shared by the current Evaluator), the overall benefit-risk of </w:t>
      </w:r>
      <w:proofErr w:type="spellStart"/>
      <w:r w:rsidR="000E07C6">
        <w:t>Vasokinox</w:t>
      </w:r>
      <w:proofErr w:type="spellEnd"/>
      <w:r>
        <w:t xml:space="preserve"> was eventually considered acceptable for adult cardiac surgical patients with pulmonary hypertension, largely on the basis of the same evidence considered in this report. In addition to that previously evaluated evidence, the </w:t>
      </w:r>
      <w:r w:rsidR="003E6F92">
        <w:t>sponsor</w:t>
      </w:r>
      <w:r>
        <w:t xml:space="preserve"> has also submitted the study </w:t>
      </w:r>
      <w:r w:rsidR="00BB39E5">
        <w:t>INOT41</w:t>
      </w:r>
      <w:r>
        <w:t xml:space="preserve">. Although this </w:t>
      </w:r>
      <w:r w:rsidR="003E6F92">
        <w:t>sponsor</w:t>
      </w:r>
      <w:r>
        <w:t>-initiated study was negative for its efficacy endpoints, probably because it was underpowered, it had favourable efficacy trends, and it extended the safety data, including exposure to 40 ppm.</w:t>
      </w:r>
    </w:p>
    <w:p w14:paraId="4F764A42" w14:textId="18A69415" w:rsidR="00605AD4" w:rsidRPr="00605AD4" w:rsidRDefault="00073F90" w:rsidP="00073F90">
      <w:r>
        <w:t xml:space="preserve">The current </w:t>
      </w:r>
      <w:r w:rsidR="002C18B7">
        <w:t>e</w:t>
      </w:r>
      <w:r>
        <w:t>valuator accepts that it is not realistic to expect a traditional, large, adequately powered Phase III study with clinical endpoints</w:t>
      </w:r>
      <w:r w:rsidR="007F549D">
        <w:t xml:space="preserve"> to be conducted</w:t>
      </w:r>
      <w:r>
        <w:t xml:space="preserve">, so the existing deficiencies in the evidence cannot be easily remedied, and a decision must be made on the balance of probabilities after reviewing multiple </w:t>
      </w:r>
      <w:r w:rsidR="001C4B7A">
        <w:t xml:space="preserve">limited </w:t>
      </w:r>
      <w:r>
        <w:t xml:space="preserve">studies, rather than on more straightforward statistical evidence. Overall, then, despite the deficiencies in the evidence, the benefit-risk balance for </w:t>
      </w:r>
      <w:r w:rsidR="00DC7D20">
        <w:t>inhaled nitric oxide</w:t>
      </w:r>
      <w:r>
        <w:t xml:space="preserve"> in the proposed usage appears to </w:t>
      </w:r>
      <w:r>
        <w:lastRenderedPageBreak/>
        <w:t>be favourable. The most important residual uncertainty relates to the efficacy and safety of 40 ppm compared to 20</w:t>
      </w:r>
      <w:r w:rsidR="000439FE">
        <w:t> </w:t>
      </w:r>
      <w:r>
        <w:t>ppm.</w:t>
      </w:r>
    </w:p>
    <w:p w14:paraId="080BA8D0" w14:textId="77777777" w:rsidR="00605AD4" w:rsidRPr="00605AD4" w:rsidRDefault="00605AD4" w:rsidP="00605AD4">
      <w:pPr>
        <w:pStyle w:val="Heading3"/>
        <w:rPr>
          <w:rFonts w:eastAsia="Cambria"/>
        </w:rPr>
      </w:pPr>
      <w:bookmarkStart w:id="119" w:name="_Toc28009951"/>
      <w:r w:rsidRPr="00605AD4">
        <w:rPr>
          <w:rFonts w:eastAsia="Cambria"/>
        </w:rPr>
        <w:t xml:space="preserve">First </w:t>
      </w:r>
      <w:r w:rsidR="00527AF3" w:rsidRPr="00605AD4">
        <w:rPr>
          <w:rFonts w:eastAsia="Cambria"/>
        </w:rPr>
        <w:t>round recommendation regarding authorisation</w:t>
      </w:r>
      <w:bookmarkEnd w:id="119"/>
    </w:p>
    <w:p w14:paraId="4257D714" w14:textId="77777777" w:rsidR="00154958" w:rsidRDefault="00154958" w:rsidP="00154958">
      <w:r>
        <w:t xml:space="preserve">The </w:t>
      </w:r>
      <w:r w:rsidR="003E6F92">
        <w:t>sponsor</w:t>
      </w:r>
      <w:r>
        <w:t xml:space="preserve">’s proposal to register </w:t>
      </w:r>
      <w:proofErr w:type="spellStart"/>
      <w:r w:rsidR="00C40BA7">
        <w:t>INOmax</w:t>
      </w:r>
      <w:proofErr w:type="spellEnd"/>
      <w:r>
        <w:t xml:space="preserve"> for the proposed indication should be approved, as reproduced below, but only after satisfactory revisions have been made to the PI and following clarification of the need for a 40 ppm dose.</w:t>
      </w:r>
    </w:p>
    <w:p w14:paraId="3EE2F7DA" w14:textId="77777777" w:rsidR="00154958" w:rsidRDefault="00C40BA7" w:rsidP="00154958">
      <w:proofErr w:type="spellStart"/>
      <w:r>
        <w:t>INOmax</w:t>
      </w:r>
      <w:proofErr w:type="spellEnd"/>
      <w:r w:rsidR="00154958">
        <w:t xml:space="preserve">, in conjunction with </w:t>
      </w:r>
      <w:proofErr w:type="spellStart"/>
      <w:r w:rsidR="00154958">
        <w:t>ventilatory</w:t>
      </w:r>
      <w:proofErr w:type="spellEnd"/>
      <w:r w:rsidR="00154958">
        <w:t xml:space="preserve"> support and other appropriate active substances, is indicated:</w:t>
      </w:r>
    </w:p>
    <w:p w14:paraId="244B3B04" w14:textId="77777777" w:rsidR="00605AD4" w:rsidRPr="00845B95" w:rsidRDefault="00154958" w:rsidP="00845B95">
      <w:pPr>
        <w:ind w:left="851"/>
        <w:rPr>
          <w:i/>
        </w:rPr>
      </w:pPr>
      <w:r w:rsidRPr="00845B95">
        <w:rPr>
          <w:i/>
        </w:rPr>
        <w:t>as part of the treatment of patients with peri- and post-operative pulmonary hypertension in conjunction with heart surgery, to selectively decrease pulmonary arterial pressure and improve right ventricular function and oxygenation.</w:t>
      </w:r>
    </w:p>
    <w:p w14:paraId="7523D39A" w14:textId="77777777" w:rsidR="00605AD4" w:rsidRPr="00605AD4" w:rsidRDefault="002F5122" w:rsidP="00605AD4">
      <w:pPr>
        <w:pStyle w:val="Heading3"/>
        <w:rPr>
          <w:rFonts w:eastAsia="Cambria"/>
        </w:rPr>
      </w:pPr>
      <w:bookmarkStart w:id="120" w:name="_Toc28009952"/>
      <w:r w:rsidRPr="002F5122">
        <w:t xml:space="preserve">Clinical </w:t>
      </w:r>
      <w:r w:rsidR="00371686" w:rsidRPr="002F5122">
        <w:t>questions</w:t>
      </w:r>
      <w:r w:rsidR="00371686">
        <w:t xml:space="preserve"> and </w:t>
      </w:r>
      <w:r w:rsidR="00371686" w:rsidRPr="00605AD4">
        <w:rPr>
          <w:rFonts w:eastAsia="Cambria"/>
        </w:rPr>
        <w:t>second round evaluation</w:t>
      </w:r>
      <w:bookmarkEnd w:id="120"/>
    </w:p>
    <w:p w14:paraId="27D281C1" w14:textId="4C37F551" w:rsidR="003E117D" w:rsidRDefault="000439FE" w:rsidP="002E59D2">
      <w:pPr>
        <w:pStyle w:val="Heading4"/>
      </w:pPr>
      <w:r w:rsidRPr="000439FE">
        <w:t>Question 1</w:t>
      </w:r>
    </w:p>
    <w:p w14:paraId="7A79C243" w14:textId="19CAEF95" w:rsidR="006136D7" w:rsidRPr="002E59D2" w:rsidRDefault="00154958" w:rsidP="002E59D2">
      <w:pPr>
        <w:ind w:left="720"/>
        <w:rPr>
          <w:i/>
        </w:rPr>
      </w:pPr>
      <w:r w:rsidRPr="002E59D2">
        <w:rPr>
          <w:i/>
        </w:rPr>
        <w:t xml:space="preserve">Please provide a brief summary of the evidence supporting the use of </w:t>
      </w:r>
      <w:r w:rsidR="00DC7D20" w:rsidRPr="002E59D2">
        <w:rPr>
          <w:i/>
        </w:rPr>
        <w:t>inhaled nitric oxide</w:t>
      </w:r>
      <w:r w:rsidRPr="002E59D2">
        <w:rPr>
          <w:i/>
        </w:rPr>
        <w:t xml:space="preserve"> at a dose of 40 ppm, rather than 20 ppm as used in most clinical studies. Include efficacy and safety data. Should the PI recommend a maximum dose of 20 ppm?</w:t>
      </w:r>
    </w:p>
    <w:p w14:paraId="2C1E8658" w14:textId="39EC0B64" w:rsidR="006673FA" w:rsidRDefault="00341A54" w:rsidP="002E59D2">
      <w:pPr>
        <w:pStyle w:val="Heading5"/>
      </w:pPr>
      <w:r>
        <w:t xml:space="preserve">Summary of </w:t>
      </w:r>
      <w:r w:rsidR="003E6F92">
        <w:t>sponsor</w:t>
      </w:r>
      <w:r>
        <w:t>’s response</w:t>
      </w:r>
    </w:p>
    <w:p w14:paraId="2A149724" w14:textId="77777777" w:rsidR="006673FA" w:rsidRDefault="006673FA" w:rsidP="000D37D1">
      <w:pPr>
        <w:pStyle w:val="TableTitle"/>
      </w:pPr>
      <w:r w:rsidRPr="006673FA">
        <w:t xml:space="preserve">Table </w:t>
      </w:r>
      <w:r w:rsidR="002445FA">
        <w:t>17</w:t>
      </w:r>
      <w:r w:rsidR="000D37D1">
        <w:t>:</w:t>
      </w:r>
      <w:r w:rsidRPr="006673FA">
        <w:t xml:space="preserve"> Published experience with </w:t>
      </w:r>
      <w:r w:rsidR="00DC7D20">
        <w:t>inhaled nitric oxide</w:t>
      </w:r>
      <w:r w:rsidR="000D37D1">
        <w:t xml:space="preserve"> at a dose of 40 ppm</w:t>
      </w:r>
    </w:p>
    <w:p w14:paraId="72F70A41" w14:textId="77777777" w:rsidR="006673FA" w:rsidRDefault="006673FA" w:rsidP="006136D7">
      <w:r>
        <w:rPr>
          <w:noProof/>
          <w:lang w:eastAsia="en-AU"/>
        </w:rPr>
        <w:drawing>
          <wp:inline distT="0" distB="0" distL="0" distR="0" wp14:anchorId="5ECBFBE8" wp14:editId="528BE3F9">
            <wp:extent cx="5400040" cy="2414312"/>
            <wp:effectExtent l="0" t="0" r="0" b="5080"/>
            <wp:docPr id="10" name="Picture 10" descr="Published experience with inhaled nitric oxide at a dose of 40 p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414312"/>
                    </a:xfrm>
                    <a:prstGeom prst="rect">
                      <a:avLst/>
                    </a:prstGeom>
                    <a:noFill/>
                    <a:ln>
                      <a:noFill/>
                    </a:ln>
                  </pic:spPr>
                </pic:pic>
              </a:graphicData>
            </a:graphic>
          </wp:inline>
        </w:drawing>
      </w:r>
    </w:p>
    <w:p w14:paraId="0A515913" w14:textId="0B7CA2B4" w:rsidR="00542C30" w:rsidRDefault="00542C30" w:rsidP="006136D7">
      <w:r>
        <w:t xml:space="preserve">References for Table 18: </w:t>
      </w:r>
      <w:proofErr w:type="spellStart"/>
      <w:r>
        <w:t>Popatov</w:t>
      </w:r>
      <w:proofErr w:type="spellEnd"/>
      <w:r>
        <w:t xml:space="preserve"> 2011;</w:t>
      </w:r>
      <w:r w:rsidR="008024D2" w:rsidRPr="008024D2">
        <w:rPr>
          <w:vertAlign w:val="superscript"/>
        </w:rPr>
        <w:fldChar w:fldCharType="begin"/>
      </w:r>
      <w:r w:rsidR="008024D2" w:rsidRPr="008024D2">
        <w:rPr>
          <w:vertAlign w:val="superscript"/>
        </w:rPr>
        <w:instrText xml:space="preserve"> NOTEREF _Ref25845701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w:t>
      </w:r>
      <w:r w:rsidR="008024D2" w:rsidRPr="008024D2">
        <w:rPr>
          <w:vertAlign w:val="superscript"/>
        </w:rPr>
        <w:fldChar w:fldCharType="end"/>
      </w:r>
      <w:r>
        <w:t xml:space="preserve"> </w:t>
      </w:r>
      <w:proofErr w:type="spellStart"/>
      <w:r>
        <w:t>Kukucka</w:t>
      </w:r>
      <w:proofErr w:type="spellEnd"/>
      <w:r>
        <w:t xml:space="preserve"> 2011;</w:t>
      </w:r>
      <w:r w:rsidR="008024D2" w:rsidRPr="008024D2">
        <w:rPr>
          <w:vertAlign w:val="superscript"/>
        </w:rPr>
        <w:fldChar w:fldCharType="begin"/>
      </w:r>
      <w:r w:rsidR="008024D2" w:rsidRPr="008024D2">
        <w:rPr>
          <w:vertAlign w:val="superscript"/>
        </w:rPr>
        <w:instrText xml:space="preserve"> NOTEREF _Ref22221489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19</w:t>
      </w:r>
      <w:r w:rsidR="008024D2" w:rsidRPr="008024D2">
        <w:rPr>
          <w:vertAlign w:val="superscript"/>
        </w:rPr>
        <w:fldChar w:fldCharType="end"/>
      </w:r>
      <w:r>
        <w:t xml:space="preserve"> </w:t>
      </w:r>
      <w:proofErr w:type="spellStart"/>
      <w:r>
        <w:t>Schmid</w:t>
      </w:r>
      <w:proofErr w:type="spellEnd"/>
      <w:r>
        <w:t xml:space="preserve"> 1999;</w:t>
      </w:r>
      <w:r w:rsidR="008024D2" w:rsidRPr="008024D2">
        <w:rPr>
          <w:vertAlign w:val="superscript"/>
        </w:rPr>
        <w:fldChar w:fldCharType="begin"/>
      </w:r>
      <w:r w:rsidR="008024D2" w:rsidRPr="008024D2">
        <w:rPr>
          <w:vertAlign w:val="superscript"/>
        </w:rPr>
        <w:instrText xml:space="preserve"> NOTEREF _Ref20404887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11</w:t>
      </w:r>
      <w:r w:rsidR="008024D2" w:rsidRPr="008024D2">
        <w:rPr>
          <w:vertAlign w:val="superscript"/>
        </w:rPr>
        <w:fldChar w:fldCharType="end"/>
      </w:r>
      <w:r>
        <w:t xml:space="preserve"> </w:t>
      </w:r>
      <w:proofErr w:type="spellStart"/>
      <w:r>
        <w:t>Solina</w:t>
      </w:r>
      <w:proofErr w:type="spellEnd"/>
      <w:r>
        <w:t xml:space="preserve"> 2000;</w:t>
      </w:r>
      <w:r w:rsidR="008024D2" w:rsidRPr="008024D2">
        <w:rPr>
          <w:vertAlign w:val="superscript"/>
        </w:rPr>
        <w:fldChar w:fldCharType="begin"/>
      </w:r>
      <w:r w:rsidR="008024D2" w:rsidRPr="008024D2">
        <w:rPr>
          <w:vertAlign w:val="superscript"/>
        </w:rPr>
        <w:instrText xml:space="preserve"> NOTEREF _Ref25843707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13</w:t>
      </w:r>
      <w:r w:rsidR="008024D2" w:rsidRPr="008024D2">
        <w:rPr>
          <w:vertAlign w:val="superscript"/>
        </w:rPr>
        <w:fldChar w:fldCharType="end"/>
      </w:r>
      <w:r>
        <w:t xml:space="preserve"> </w:t>
      </w:r>
      <w:proofErr w:type="spellStart"/>
      <w:r>
        <w:t>Solina</w:t>
      </w:r>
      <w:proofErr w:type="spellEnd"/>
      <w:r>
        <w:t xml:space="preserve"> 2001;</w:t>
      </w:r>
      <w:r w:rsidR="008024D2" w:rsidRPr="008024D2">
        <w:rPr>
          <w:vertAlign w:val="superscript"/>
        </w:rPr>
        <w:fldChar w:fldCharType="begin"/>
      </w:r>
      <w:r w:rsidR="008024D2" w:rsidRPr="008024D2">
        <w:rPr>
          <w:vertAlign w:val="superscript"/>
        </w:rPr>
        <w:instrText xml:space="preserve"> NOTEREF _Ref25844324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14</w:t>
      </w:r>
      <w:r w:rsidR="008024D2" w:rsidRPr="008024D2">
        <w:rPr>
          <w:vertAlign w:val="superscript"/>
        </w:rPr>
        <w:fldChar w:fldCharType="end"/>
      </w:r>
      <w:r>
        <w:t xml:space="preserve"> </w:t>
      </w:r>
      <w:proofErr w:type="spellStart"/>
      <w:r>
        <w:t>Kieler</w:t>
      </w:r>
      <w:proofErr w:type="spellEnd"/>
      <w:r>
        <w:t>-Jensen 1994;</w:t>
      </w:r>
      <w:r w:rsidRPr="00542C30">
        <w:rPr>
          <w:vertAlign w:val="superscript"/>
        </w:rPr>
        <w:fldChar w:fldCharType="begin"/>
      </w:r>
      <w:r w:rsidRPr="00542C30">
        <w:rPr>
          <w:vertAlign w:val="superscript"/>
        </w:rPr>
        <w:instrText xml:space="preserve"> NOTEREF _Ref10648701 \h </w:instrText>
      </w:r>
      <w:r>
        <w:rPr>
          <w:vertAlign w:val="superscript"/>
        </w:rPr>
        <w:instrText xml:space="preserve"> \* MERGEFORMAT </w:instrText>
      </w:r>
      <w:r w:rsidRPr="00542C30">
        <w:rPr>
          <w:vertAlign w:val="superscript"/>
        </w:rPr>
      </w:r>
      <w:r w:rsidRPr="00542C30">
        <w:rPr>
          <w:vertAlign w:val="superscript"/>
        </w:rPr>
        <w:fldChar w:fldCharType="separate"/>
      </w:r>
      <w:r w:rsidRPr="00542C30">
        <w:rPr>
          <w:vertAlign w:val="superscript"/>
        </w:rPr>
        <w:t>1</w:t>
      </w:r>
      <w:r w:rsidRPr="00542C30">
        <w:rPr>
          <w:vertAlign w:val="superscript"/>
        </w:rPr>
        <w:fldChar w:fldCharType="end"/>
      </w:r>
      <w:r>
        <w:t xml:space="preserve"> </w:t>
      </w:r>
      <w:proofErr w:type="spellStart"/>
      <w:r>
        <w:t>Radovacevic</w:t>
      </w:r>
      <w:proofErr w:type="spellEnd"/>
      <w:r>
        <w:t xml:space="preserve"> 2005;</w:t>
      </w:r>
      <w:r w:rsidR="008024D2" w:rsidRPr="008024D2">
        <w:rPr>
          <w:vertAlign w:val="superscript"/>
        </w:rPr>
        <w:fldChar w:fldCharType="begin"/>
      </w:r>
      <w:r w:rsidR="008024D2" w:rsidRPr="008024D2">
        <w:rPr>
          <w:vertAlign w:val="superscript"/>
        </w:rPr>
        <w:instrText xml:space="preserve"> NOTEREF _Ref25845157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17</w:t>
      </w:r>
      <w:r w:rsidR="008024D2" w:rsidRPr="008024D2">
        <w:rPr>
          <w:vertAlign w:val="superscript"/>
        </w:rPr>
        <w:fldChar w:fldCharType="end"/>
      </w:r>
      <w:r>
        <w:t xml:space="preserve"> Beck 1999;</w:t>
      </w:r>
      <w:r w:rsidR="008024D2" w:rsidRPr="008024D2">
        <w:rPr>
          <w:vertAlign w:val="superscript"/>
        </w:rPr>
        <w:fldChar w:fldCharType="begin"/>
      </w:r>
      <w:r w:rsidR="008024D2" w:rsidRPr="008024D2">
        <w:rPr>
          <w:vertAlign w:val="superscript"/>
        </w:rPr>
        <w:instrText xml:space="preserve"> NOTEREF _Ref22563174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35</w:t>
      </w:r>
      <w:r w:rsidR="008024D2" w:rsidRPr="008024D2">
        <w:rPr>
          <w:vertAlign w:val="superscript"/>
        </w:rPr>
        <w:fldChar w:fldCharType="end"/>
      </w:r>
      <w:r>
        <w:t xml:space="preserve"> Fullerton 1996;</w:t>
      </w:r>
      <w:r w:rsidR="008024D2" w:rsidRPr="008024D2">
        <w:rPr>
          <w:vertAlign w:val="superscript"/>
        </w:rPr>
        <w:fldChar w:fldCharType="begin"/>
      </w:r>
      <w:r w:rsidR="008024D2" w:rsidRPr="008024D2">
        <w:rPr>
          <w:vertAlign w:val="superscript"/>
        </w:rPr>
        <w:instrText xml:space="preserve"> NOTEREF _Ref22563188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36</w:t>
      </w:r>
      <w:r w:rsidR="008024D2" w:rsidRPr="008024D2">
        <w:rPr>
          <w:vertAlign w:val="superscript"/>
        </w:rPr>
        <w:fldChar w:fldCharType="end"/>
      </w:r>
      <w:r>
        <w:t xml:space="preserve"> </w:t>
      </w:r>
      <w:proofErr w:type="spellStart"/>
      <w:r>
        <w:t>McGinn</w:t>
      </w:r>
      <w:proofErr w:type="spellEnd"/>
      <w:r>
        <w:t xml:space="preserve"> 2016;</w:t>
      </w:r>
      <w:r w:rsidR="008024D2" w:rsidRPr="008024D2">
        <w:rPr>
          <w:vertAlign w:val="superscript"/>
        </w:rPr>
        <w:fldChar w:fldCharType="begin"/>
      </w:r>
      <w:r w:rsidR="008024D2" w:rsidRPr="008024D2">
        <w:rPr>
          <w:vertAlign w:val="superscript"/>
        </w:rPr>
        <w:instrText xml:space="preserve"> NOTEREF _Ref22563213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39</w:t>
      </w:r>
      <w:r w:rsidR="008024D2" w:rsidRPr="008024D2">
        <w:rPr>
          <w:vertAlign w:val="superscript"/>
        </w:rPr>
        <w:fldChar w:fldCharType="end"/>
      </w:r>
    </w:p>
    <w:p w14:paraId="6DD2F24F" w14:textId="13DEBE3E" w:rsidR="006673FA" w:rsidRDefault="006673FA" w:rsidP="006673FA">
      <w:r>
        <w:t xml:space="preserve">The total of 195 subjects mentioned in the table above does not include the patients in </w:t>
      </w:r>
      <w:proofErr w:type="spellStart"/>
      <w:r>
        <w:t>McGinn</w:t>
      </w:r>
      <w:proofErr w:type="spellEnd"/>
      <w:r>
        <w:t xml:space="preserve"> et al, 2016</w:t>
      </w:r>
      <w:r w:rsidR="00542C30">
        <w:t>.</w:t>
      </w:r>
      <w:r w:rsidR="008024D2" w:rsidRPr="008024D2">
        <w:rPr>
          <w:vertAlign w:val="superscript"/>
        </w:rPr>
        <w:fldChar w:fldCharType="begin"/>
      </w:r>
      <w:r w:rsidR="008024D2" w:rsidRPr="008024D2">
        <w:rPr>
          <w:vertAlign w:val="superscript"/>
        </w:rPr>
        <w:instrText xml:space="preserve"> NOTEREF _Ref22563213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39</w:t>
      </w:r>
      <w:r w:rsidR="008024D2" w:rsidRPr="008024D2">
        <w:rPr>
          <w:vertAlign w:val="superscript"/>
        </w:rPr>
        <w:fldChar w:fldCharType="end"/>
      </w:r>
      <w:r>
        <w:t xml:space="preserve"> This study was retrospective and did not provide a dose breakdown, so it does not provide any useful efficacy or safety comparisons of </w:t>
      </w:r>
      <w:r w:rsidR="00DC7D20">
        <w:t>inhaled nitric oxide</w:t>
      </w:r>
      <w:r>
        <w:t xml:space="preserve"> 40</w:t>
      </w:r>
      <w:r w:rsidR="000439FE">
        <w:t> </w:t>
      </w:r>
      <w:r>
        <w:t xml:space="preserve">ppm compared to </w:t>
      </w:r>
      <w:r w:rsidR="00DC7D20">
        <w:t>inhaled nitric oxide</w:t>
      </w:r>
      <w:r>
        <w:t xml:space="preserve"> 20 ppm. Accordingly, it was not submitted in detail nor evaluated in the first round </w:t>
      </w:r>
      <w:r w:rsidR="004D08E6">
        <w:t>clinical evaluation report</w:t>
      </w:r>
      <w:r>
        <w:t>. Similarly, Beck et al, 1999</w:t>
      </w:r>
      <w:r w:rsidR="00542C30">
        <w:t>;</w:t>
      </w:r>
      <w:r w:rsidR="008024D2" w:rsidRPr="008024D2">
        <w:rPr>
          <w:vertAlign w:val="superscript"/>
        </w:rPr>
        <w:fldChar w:fldCharType="begin"/>
      </w:r>
      <w:r w:rsidR="008024D2" w:rsidRPr="008024D2">
        <w:rPr>
          <w:vertAlign w:val="superscript"/>
        </w:rPr>
        <w:instrText xml:space="preserve"> NOTEREF _Ref22563174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35</w:t>
      </w:r>
      <w:r w:rsidR="008024D2" w:rsidRPr="008024D2">
        <w:rPr>
          <w:vertAlign w:val="superscript"/>
        </w:rPr>
        <w:fldChar w:fldCharType="end"/>
      </w:r>
      <w:r>
        <w:t xml:space="preserve"> and Fullerton et al, 1996</w:t>
      </w:r>
      <w:bookmarkStart w:id="121" w:name="_Ref10652680"/>
      <w:r w:rsidR="00542C30">
        <w:t>;</w:t>
      </w:r>
      <w:bookmarkEnd w:id="121"/>
      <w:r w:rsidR="008024D2" w:rsidRPr="008024D2">
        <w:rPr>
          <w:vertAlign w:val="superscript"/>
        </w:rPr>
        <w:fldChar w:fldCharType="begin"/>
      </w:r>
      <w:r w:rsidR="008024D2" w:rsidRPr="008024D2">
        <w:rPr>
          <w:vertAlign w:val="superscript"/>
        </w:rPr>
        <w:instrText xml:space="preserve"> NOTEREF _Ref22563188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36</w:t>
      </w:r>
      <w:r w:rsidR="008024D2" w:rsidRPr="008024D2">
        <w:rPr>
          <w:vertAlign w:val="superscript"/>
        </w:rPr>
        <w:fldChar w:fldCharType="end"/>
      </w:r>
      <w:r>
        <w:t xml:space="preserve"> were non-randomised studies, so they provide no reliable comparison of 20 ppm and 40 ppm. The </w:t>
      </w:r>
      <w:r w:rsidR="003E6F92">
        <w:t>sponsor</w:t>
      </w:r>
      <w:r>
        <w:t xml:space="preserve"> notes that Fullerton et al failed to report any safety findings, so this study is of very limited value in choosing a maximum </w:t>
      </w:r>
      <w:r w:rsidR="00DC7D20">
        <w:lastRenderedPageBreak/>
        <w:t>inhaled nitric oxide</w:t>
      </w:r>
      <w:r>
        <w:t xml:space="preserve"> dose. The </w:t>
      </w:r>
      <w:r w:rsidR="003E6F92">
        <w:t>sponsor</w:t>
      </w:r>
      <w:r>
        <w:t xml:space="preserve"> reports that, for Beck et al</w:t>
      </w:r>
      <w:r w:rsidR="00542C30">
        <w:t>;</w:t>
      </w:r>
      <w:r w:rsidR="008024D2" w:rsidRPr="008024D2">
        <w:rPr>
          <w:vertAlign w:val="superscript"/>
        </w:rPr>
        <w:fldChar w:fldCharType="begin"/>
      </w:r>
      <w:r w:rsidR="008024D2" w:rsidRPr="008024D2">
        <w:rPr>
          <w:vertAlign w:val="superscript"/>
        </w:rPr>
        <w:instrText xml:space="preserve"> NOTEREF _Ref22563174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35</w:t>
      </w:r>
      <w:r w:rsidR="008024D2" w:rsidRPr="008024D2">
        <w:rPr>
          <w:vertAlign w:val="superscript"/>
        </w:rPr>
        <w:fldChar w:fldCharType="end"/>
      </w:r>
      <w:r>
        <w:t xml:space="preserve"> “the number of patients requiring up-titration to 40</w:t>
      </w:r>
      <w:r w:rsidR="000439FE">
        <w:t> </w:t>
      </w:r>
      <w:r>
        <w:t>ppm is not specified in the report,” so this study is also not useful in the current context, and provides no basis for comparing the two doses.</w:t>
      </w:r>
      <w:r w:rsidR="00075BE2">
        <w:rPr>
          <w:rStyle w:val="FootnoteReference"/>
        </w:rPr>
        <w:footnoteReference w:id="43"/>
      </w:r>
    </w:p>
    <w:p w14:paraId="50A6BAAF" w14:textId="0701C0E7" w:rsidR="006673FA" w:rsidRDefault="006673FA" w:rsidP="006673FA">
      <w:r>
        <w:t xml:space="preserve">Most of the remainder of the </w:t>
      </w:r>
      <w:r w:rsidR="003E6F92">
        <w:t>sponsor</w:t>
      </w:r>
      <w:r>
        <w:t xml:space="preserve">’s response consists of a brief inline text description of the studies listed above, and an appendix summarising the same studies (included as a table, below). Excluding the retrospective and non-randomised studies, the other studies listed in the table above have already been described in this report. In many cases, they were open-label, or had other significant methodological flaws. They provide only limited information relevant to choosing a maximum </w:t>
      </w:r>
      <w:r w:rsidR="00DC7D20">
        <w:t>inhaled nitric oxide</w:t>
      </w:r>
      <w:r>
        <w:t xml:space="preserve"> dose, and none of them provides a robust efficacy and safety comparison of 20 ppm and 40 ppm. Of the three controlled, randomised studies assessing </w:t>
      </w:r>
      <w:r w:rsidR="00DC7D20">
        <w:t>inhaled nitric oxide</w:t>
      </w:r>
      <w:r>
        <w:t xml:space="preserve"> at both 20 ppm and 40 ppm (</w:t>
      </w:r>
      <w:proofErr w:type="spellStart"/>
      <w:r>
        <w:t>Solina</w:t>
      </w:r>
      <w:proofErr w:type="spellEnd"/>
      <w:r>
        <w:t xml:space="preserve"> et al, 2000</w:t>
      </w:r>
      <w:r w:rsidR="000C6882" w:rsidRPr="00542C30">
        <w:rPr>
          <w:vertAlign w:val="superscript"/>
        </w:rPr>
        <w:fldChar w:fldCharType="begin"/>
      </w:r>
      <w:r w:rsidR="000C6882" w:rsidRPr="00542C30">
        <w:rPr>
          <w:vertAlign w:val="superscript"/>
        </w:rPr>
        <w:instrText xml:space="preserve"> NOTEREF _Ref10647563 \h  \* MERGEFORMAT </w:instrText>
      </w:r>
      <w:r w:rsidR="000C6882" w:rsidRPr="00542C30">
        <w:rPr>
          <w:vertAlign w:val="superscript"/>
        </w:rPr>
      </w:r>
      <w:r w:rsidR="000C6882" w:rsidRPr="00542C30">
        <w:rPr>
          <w:vertAlign w:val="superscript"/>
        </w:rPr>
        <w:fldChar w:fldCharType="separate"/>
      </w:r>
      <w:r w:rsidR="00542C30" w:rsidRPr="00542C30">
        <w:rPr>
          <w:bCs/>
          <w:lang w:val="en-US"/>
        </w:rPr>
        <w:t>;</w:t>
      </w:r>
      <w:r w:rsidR="008024D2" w:rsidRPr="008024D2">
        <w:rPr>
          <w:bCs/>
          <w:vertAlign w:val="superscript"/>
          <w:lang w:val="en-US"/>
        </w:rPr>
        <w:fldChar w:fldCharType="begin"/>
      </w:r>
      <w:r w:rsidR="008024D2" w:rsidRPr="008024D2">
        <w:rPr>
          <w:bCs/>
          <w:vertAlign w:val="superscript"/>
          <w:lang w:val="en-US"/>
        </w:rPr>
        <w:instrText xml:space="preserve"> NOTEREF _Ref25843707 \h  \* MERGEFORMAT </w:instrText>
      </w:r>
      <w:r w:rsidR="008024D2" w:rsidRPr="008024D2">
        <w:rPr>
          <w:bCs/>
          <w:vertAlign w:val="superscript"/>
          <w:lang w:val="en-US"/>
        </w:rPr>
      </w:r>
      <w:r w:rsidR="008024D2" w:rsidRPr="008024D2">
        <w:rPr>
          <w:bCs/>
          <w:vertAlign w:val="superscript"/>
          <w:lang w:val="en-US"/>
        </w:rPr>
        <w:fldChar w:fldCharType="separate"/>
      </w:r>
      <w:r w:rsidR="008024D2" w:rsidRPr="008024D2">
        <w:rPr>
          <w:bCs/>
          <w:vertAlign w:val="superscript"/>
          <w:lang w:val="en-US"/>
        </w:rPr>
        <w:t>13</w:t>
      </w:r>
      <w:r w:rsidR="008024D2" w:rsidRPr="008024D2">
        <w:rPr>
          <w:bCs/>
          <w:vertAlign w:val="superscript"/>
          <w:lang w:val="en-US"/>
        </w:rPr>
        <w:fldChar w:fldCharType="end"/>
      </w:r>
      <w:r w:rsidR="00A50889" w:rsidRPr="00542C30">
        <w:rPr>
          <w:bCs/>
          <w:vertAlign w:val="superscript"/>
          <w:lang w:val="en-US"/>
        </w:rPr>
        <w:t>.</w:t>
      </w:r>
      <w:r w:rsidR="000C6882" w:rsidRPr="00542C30">
        <w:rPr>
          <w:vertAlign w:val="superscript"/>
        </w:rPr>
        <w:fldChar w:fldCharType="end"/>
      </w:r>
      <w:r>
        <w:t xml:space="preserve">; </w:t>
      </w:r>
      <w:proofErr w:type="spellStart"/>
      <w:r>
        <w:t>Solina</w:t>
      </w:r>
      <w:proofErr w:type="spellEnd"/>
      <w:r>
        <w:t xml:space="preserve"> et al, 2001</w:t>
      </w:r>
      <w:r w:rsidR="00542C30">
        <w:t>;</w:t>
      </w:r>
      <w:r w:rsidR="008024D2" w:rsidRPr="008024D2">
        <w:rPr>
          <w:vertAlign w:val="superscript"/>
        </w:rPr>
        <w:fldChar w:fldCharType="begin"/>
      </w:r>
      <w:r w:rsidR="008024D2" w:rsidRPr="008024D2">
        <w:rPr>
          <w:vertAlign w:val="superscript"/>
        </w:rPr>
        <w:instrText xml:space="preserve"> NOTEREF _Ref25844324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14</w:t>
      </w:r>
      <w:r w:rsidR="008024D2" w:rsidRPr="008024D2">
        <w:rPr>
          <w:vertAlign w:val="superscript"/>
        </w:rPr>
        <w:fldChar w:fldCharType="end"/>
      </w:r>
      <w:r w:rsidRPr="008024D2">
        <w:rPr>
          <w:vertAlign w:val="superscript"/>
        </w:rPr>
        <w:t xml:space="preserve"> </w:t>
      </w:r>
      <w:proofErr w:type="spellStart"/>
      <w:r>
        <w:t>Kieler</w:t>
      </w:r>
      <w:proofErr w:type="spellEnd"/>
      <w:r>
        <w:t>-Jensen, 1994</w:t>
      </w:r>
      <w:r w:rsidR="000C6882" w:rsidRPr="000C6882">
        <w:rPr>
          <w:vertAlign w:val="superscript"/>
        </w:rPr>
        <w:fldChar w:fldCharType="begin"/>
      </w:r>
      <w:r w:rsidR="000C6882" w:rsidRPr="000C6882">
        <w:rPr>
          <w:vertAlign w:val="superscript"/>
        </w:rPr>
        <w:instrText xml:space="preserve"> NOTEREF _Ref10648701 \h </w:instrText>
      </w:r>
      <w:r w:rsidR="000C6882">
        <w:rPr>
          <w:vertAlign w:val="superscript"/>
        </w:rPr>
        <w:instrText xml:space="preserve"> \* MERGEFORMAT </w:instrText>
      </w:r>
      <w:r w:rsidR="000C6882" w:rsidRPr="000C6882">
        <w:rPr>
          <w:vertAlign w:val="superscript"/>
        </w:rPr>
      </w:r>
      <w:r w:rsidR="000C6882" w:rsidRPr="000C6882">
        <w:rPr>
          <w:vertAlign w:val="superscript"/>
        </w:rPr>
        <w:fldChar w:fldCharType="separate"/>
      </w:r>
      <w:r w:rsidR="00A50889">
        <w:rPr>
          <w:vertAlign w:val="superscript"/>
        </w:rPr>
        <w:t>1</w:t>
      </w:r>
      <w:r w:rsidR="000C6882" w:rsidRPr="000C6882">
        <w:rPr>
          <w:vertAlign w:val="superscript"/>
        </w:rPr>
        <w:fldChar w:fldCharType="end"/>
      </w:r>
      <w:r>
        <w:t xml:space="preserve">), none provides a robust comparison of safety at the two doses and none shows evidence of a dose trend in efficacy (with the possible exception of </w:t>
      </w:r>
      <w:proofErr w:type="spellStart"/>
      <w:r>
        <w:t>Solina</w:t>
      </w:r>
      <w:proofErr w:type="spellEnd"/>
      <w:r>
        <w:t xml:space="preserve"> et al, 2000, which suffered from significant baseline mismatch, as discussed below).</w:t>
      </w:r>
    </w:p>
    <w:p w14:paraId="27549A53" w14:textId="3361D19F" w:rsidR="003B08F8" w:rsidRDefault="006673FA" w:rsidP="006673FA">
      <w:r>
        <w:t xml:space="preserve">The </w:t>
      </w:r>
      <w:r w:rsidR="003E6F92">
        <w:t>sponsor</w:t>
      </w:r>
      <w:r>
        <w:t xml:space="preserve">-initiated </w:t>
      </w:r>
      <w:r w:rsidR="003E117D">
        <w:t>S</w:t>
      </w:r>
      <w:r>
        <w:t xml:space="preserve">tudy </w:t>
      </w:r>
      <w:r w:rsidR="00BB39E5">
        <w:t>INOT41</w:t>
      </w:r>
      <w:r>
        <w:t>, provides placebo</w:t>
      </w:r>
      <w:r w:rsidR="000439FE">
        <w:t xml:space="preserve"> </w:t>
      </w:r>
      <w:r>
        <w:t xml:space="preserve">controlled safety data for 69 subjects exposed to </w:t>
      </w:r>
      <w:r w:rsidR="00DC7D20">
        <w:t>inhaled nitric oxide</w:t>
      </w:r>
      <w:r>
        <w:t xml:space="preserve"> 40 ppm, and this study provides the main source of new information since the </w:t>
      </w:r>
      <w:proofErr w:type="spellStart"/>
      <w:r w:rsidR="000E07C6">
        <w:t>Vasokinox</w:t>
      </w:r>
      <w:proofErr w:type="spellEnd"/>
      <w:r>
        <w:t xml:space="preserve"> submission. </w:t>
      </w:r>
      <w:r w:rsidR="003E117D">
        <w:t xml:space="preserve">Study </w:t>
      </w:r>
      <w:r w:rsidR="00BB39E5">
        <w:t>INOT41</w:t>
      </w:r>
      <w:r>
        <w:t xml:space="preserve"> assessed the use of </w:t>
      </w:r>
      <w:r w:rsidR="00DC7D20">
        <w:t>inhaled nitric oxide</w:t>
      </w:r>
      <w:r>
        <w:t xml:space="preserve"> to prevent right ventricular dysfunction in the setting of </w:t>
      </w:r>
      <w:r w:rsidR="00BB39E5">
        <w:t>left ventricular assist device</w:t>
      </w:r>
      <w:r>
        <w:t xml:space="preserve"> insertion in adults with cardiac failure, but it showed no significant efficacy benefits of </w:t>
      </w:r>
      <w:r w:rsidR="00DC7D20">
        <w:t>inhaled nitric oxide</w:t>
      </w:r>
      <w:r>
        <w:t xml:space="preserve"> over placebo for the primary endpoint of </w:t>
      </w:r>
      <w:r w:rsidR="000439FE">
        <w:t>right ventricular dysfunction</w:t>
      </w:r>
      <w:r>
        <w:t>.</w:t>
      </w:r>
    </w:p>
    <w:p w14:paraId="73B13851" w14:textId="77777777" w:rsidR="006673FA" w:rsidRDefault="006673FA" w:rsidP="006673FA">
      <w:r>
        <w:t xml:space="preserve">In their response to this question, the </w:t>
      </w:r>
      <w:r w:rsidR="003E6F92">
        <w:t>sponsor</w:t>
      </w:r>
      <w:r>
        <w:t xml:space="preserve">’s description of </w:t>
      </w:r>
      <w:r w:rsidR="00BB39E5">
        <w:t>INOT41</w:t>
      </w:r>
      <w:r>
        <w:t xml:space="preserve"> was broadly accurate:</w:t>
      </w:r>
    </w:p>
    <w:p w14:paraId="70CA7748" w14:textId="2EDDF7B7" w:rsidR="006673FA" w:rsidRDefault="006673FA" w:rsidP="006673FA">
      <w:r>
        <w:t xml:space="preserve">In the </w:t>
      </w:r>
      <w:r w:rsidR="003E6F92">
        <w:t>sponsor</w:t>
      </w:r>
      <w:r>
        <w:t xml:space="preserve">-initiated study </w:t>
      </w:r>
      <w:r w:rsidR="00DC7D20">
        <w:t>I</w:t>
      </w:r>
      <w:r w:rsidR="000439FE">
        <w:t>NO</w:t>
      </w:r>
      <w:r>
        <w:t>T 41 (</w:t>
      </w:r>
      <w:proofErr w:type="spellStart"/>
      <w:r>
        <w:t>Potapov</w:t>
      </w:r>
      <w:proofErr w:type="spellEnd"/>
      <w:r>
        <w:t xml:space="preserve"> et al., 2011</w:t>
      </w:r>
      <w:r w:rsidR="008024D2">
        <w:t>;</w:t>
      </w:r>
      <w:r w:rsidR="008024D2" w:rsidRPr="008024D2">
        <w:rPr>
          <w:vertAlign w:val="superscript"/>
        </w:rPr>
        <w:fldChar w:fldCharType="begin"/>
      </w:r>
      <w:r w:rsidR="008024D2" w:rsidRPr="008024D2">
        <w:rPr>
          <w:vertAlign w:val="superscript"/>
        </w:rPr>
        <w:instrText xml:space="preserve"> NOTEREF _Ref25845701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w:t>
      </w:r>
      <w:r w:rsidR="008024D2" w:rsidRPr="008024D2">
        <w:rPr>
          <w:vertAlign w:val="superscript"/>
        </w:rPr>
        <w:fldChar w:fldCharType="end"/>
      </w:r>
      <w:r>
        <w:t xml:space="preserve">) the use of </w:t>
      </w:r>
      <w:r w:rsidR="00DC7D20">
        <w:t>inhaled nitric oxide</w:t>
      </w:r>
      <w:r>
        <w:t xml:space="preserve"> at 40 ppm in the perioperative phase of </w:t>
      </w:r>
      <w:r w:rsidR="00BB39E5">
        <w:t>left ventricular assist device</w:t>
      </w:r>
      <w:r>
        <w:t xml:space="preserve"> implantation did not achieve significance for the primary end point of reduction in </w:t>
      </w:r>
      <w:r w:rsidR="000439FE">
        <w:t>right ventricular dysfunction</w:t>
      </w:r>
      <w:r>
        <w:t xml:space="preserve">. A trend was established regarding the influence of </w:t>
      </w:r>
      <w:r w:rsidR="00DC7D20">
        <w:t>inhaled nitric oxide</w:t>
      </w:r>
      <w:r>
        <w:t xml:space="preserve"> on mechanical ventilation and the need for </w:t>
      </w:r>
      <w:r w:rsidR="000439FE">
        <w:t>right ventricular assist device</w:t>
      </w:r>
      <w:r>
        <w:t xml:space="preserve"> support after </w:t>
      </w:r>
      <w:r w:rsidR="00BB39E5">
        <w:t>left ventricular assist device</w:t>
      </w:r>
      <w:r>
        <w:t xml:space="preserve"> placement. In the controlled phase of study </w:t>
      </w:r>
      <w:r w:rsidR="00BB39E5">
        <w:t>INOT41</w:t>
      </w:r>
      <w:r>
        <w:t xml:space="preserve">, </w:t>
      </w:r>
      <w:r w:rsidR="00DC7D20">
        <w:t>inhaled nitric oxide</w:t>
      </w:r>
      <w:r>
        <w:t xml:space="preserve"> 40 ppm was given for a median duration of 19 hours (range 0 </w:t>
      </w:r>
      <w:r w:rsidR="00341A54">
        <w:t>to</w:t>
      </w:r>
      <w:r>
        <w:t xml:space="preserve"> 48 h). In the open label phase of Study </w:t>
      </w:r>
      <w:r w:rsidR="00BB39E5">
        <w:t>INOT41</w:t>
      </w:r>
      <w:r>
        <w:t xml:space="preserve"> where patients could be treated for up to 14 days, the median duration of </w:t>
      </w:r>
      <w:r w:rsidR="00DC7D20">
        <w:t>inhaled nitric oxide</w:t>
      </w:r>
      <w:r>
        <w:t xml:space="preserve"> 40 ppm was 65.6 hours (range 5 </w:t>
      </w:r>
      <w:r w:rsidR="00341A54">
        <w:t>to</w:t>
      </w:r>
      <w:r>
        <w:t xml:space="preserve"> 624 hours), thus providing safety evidence for prolonged administration of </w:t>
      </w:r>
      <w:r w:rsidR="00DC7D20">
        <w:t>inhaled nitric oxide</w:t>
      </w:r>
      <w:r>
        <w:t xml:space="preserve"> 40 ppm.</w:t>
      </w:r>
    </w:p>
    <w:p w14:paraId="224EE8BD" w14:textId="77777777" w:rsidR="003B08F8" w:rsidRDefault="006673FA" w:rsidP="006673FA">
      <w:r>
        <w:t xml:space="preserve">The safety data from </w:t>
      </w:r>
      <w:r w:rsidR="00BB39E5">
        <w:t>INOT41</w:t>
      </w:r>
      <w:r>
        <w:t xml:space="preserve"> raised no specific concerns about pulmonary toxicity at an </w:t>
      </w:r>
      <w:r w:rsidR="00DC7D20">
        <w:t>inhaled nitric oxide</w:t>
      </w:r>
      <w:r>
        <w:t xml:space="preserve"> dose of 40 ppm, but the study was not specifically powered for safety comparisons, and pulmonary toxicity could have been difficult to identify in the study population, given the fact that all subjects had baseline cardiac failure and all subjects underwent major invasive thoracic surgery and mechanical ventilation, so some degree of pulmonary dysfunction was expected in all patients. This study also lacked a 20 ppm control group, so it provides no direct comparison of the safety of 40 ppm relative to lower doses. Given that no significant efficacy benefit was demonstrated for </w:t>
      </w:r>
      <w:r w:rsidR="00DC7D20">
        <w:t>inhaled nitric oxide</w:t>
      </w:r>
      <w:r>
        <w:t xml:space="preserve"> 40 ppm over placebo, the study does not provide any support for the notion that there is a dose trend for efficacy in the range of 20 ppm to 40 ppm.</w:t>
      </w:r>
    </w:p>
    <w:p w14:paraId="48435D92" w14:textId="77777777" w:rsidR="006673FA" w:rsidRDefault="006673FA" w:rsidP="006673FA">
      <w:r>
        <w:t xml:space="preserve">The other studies described in the </w:t>
      </w:r>
      <w:r w:rsidR="003E6F92">
        <w:t>sponsor</w:t>
      </w:r>
      <w:r>
        <w:t xml:space="preserve">’s response were already available at the time of the </w:t>
      </w:r>
      <w:proofErr w:type="spellStart"/>
      <w:r w:rsidR="000E07C6">
        <w:t>Vasokinox</w:t>
      </w:r>
      <w:proofErr w:type="spellEnd"/>
      <w:r>
        <w:t xml:space="preserve"> evaluation, at which time they were deemed to provide inadequate support for the 40</w:t>
      </w:r>
      <w:r w:rsidR="001205A9">
        <w:t xml:space="preserve"> </w:t>
      </w:r>
      <w:r>
        <w:t xml:space="preserve">ppm dose. The </w:t>
      </w:r>
      <w:r w:rsidR="003E6F92">
        <w:t>sponsor</w:t>
      </w:r>
      <w:r>
        <w:t>’s de</w:t>
      </w:r>
      <w:r w:rsidR="000C6882">
        <w:t>s</w:t>
      </w:r>
      <w:r>
        <w:t xml:space="preserve">cription of these studies raises no substantive new issues or new argument in favour of the 40 ppm dose. In particular, the </w:t>
      </w:r>
      <w:r w:rsidR="003E6F92">
        <w:lastRenderedPageBreak/>
        <w:t>sponsor</w:t>
      </w:r>
      <w:r>
        <w:t xml:space="preserve">’s descriptions of the other studies do not address the specific issue of how efficacy or safety at 40 ppm compares to efficacy at 20 ppm, but merely summarise, for each study, how haemodynamic results in the </w:t>
      </w:r>
      <w:r w:rsidR="00DC7D20">
        <w:t>inhaled nitric oxide</w:t>
      </w:r>
      <w:r>
        <w:t xml:space="preserve"> treatment arm compared to those in the non-</w:t>
      </w:r>
      <w:r w:rsidR="00DC7D20">
        <w:t>inhaled nitric oxide</w:t>
      </w:r>
      <w:r>
        <w:t xml:space="preserve"> control arm. In some cases, the </w:t>
      </w:r>
      <w:r w:rsidR="003E6F92">
        <w:t>sponsor</w:t>
      </w:r>
      <w:r>
        <w:t xml:space="preserve"> appears to infer </w:t>
      </w:r>
      <w:r w:rsidR="00DC7D20">
        <w:t>inhaled nitric oxide</w:t>
      </w:r>
      <w:r>
        <w:t xml:space="preserve"> efficacy from haemodynamic changes with respect to baseline, without considering the extent to which these changes could have been due to other factors, such as recovery from surgery and other treatments provided in ICU. (As already noted throughout this report, the control groups of most studies also often showed substantial improvements relative to baseline.)</w:t>
      </w:r>
    </w:p>
    <w:p w14:paraId="5B698BBF" w14:textId="511B4092" w:rsidR="006673FA" w:rsidRDefault="006673FA" w:rsidP="006673FA">
      <w:r>
        <w:t xml:space="preserve">As is evident from the table below, most of the studies included in the </w:t>
      </w:r>
      <w:r w:rsidR="003E6F92">
        <w:t>sponsor</w:t>
      </w:r>
      <w:r>
        <w:t xml:space="preserve">’s response lacked safety reporting, so they do not adequately address the safety of </w:t>
      </w:r>
      <w:r w:rsidR="00DC7D20">
        <w:t>inhaled nitric oxide</w:t>
      </w:r>
      <w:r>
        <w:t xml:space="preserve"> 40 ppm at all, let alone in comparison to 20 ppm. In particular, all three of the studies that assessed both 20 ppm and 40 ppm (</w:t>
      </w:r>
      <w:proofErr w:type="spellStart"/>
      <w:r>
        <w:t>Solina</w:t>
      </w:r>
      <w:proofErr w:type="spellEnd"/>
      <w:r>
        <w:t xml:space="preserve"> et al, 2000;</w:t>
      </w:r>
      <w:r w:rsidR="008024D2" w:rsidRPr="008024D2">
        <w:rPr>
          <w:vertAlign w:val="superscript"/>
        </w:rPr>
        <w:fldChar w:fldCharType="begin"/>
      </w:r>
      <w:r w:rsidR="008024D2" w:rsidRPr="008024D2">
        <w:rPr>
          <w:vertAlign w:val="superscript"/>
        </w:rPr>
        <w:instrText xml:space="preserve"> NOTEREF _Ref25843707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13</w:t>
      </w:r>
      <w:r w:rsidR="008024D2" w:rsidRPr="008024D2">
        <w:rPr>
          <w:vertAlign w:val="superscript"/>
        </w:rPr>
        <w:fldChar w:fldCharType="end"/>
      </w:r>
      <w:r>
        <w:t xml:space="preserve"> </w:t>
      </w:r>
      <w:proofErr w:type="spellStart"/>
      <w:r>
        <w:t>Solina</w:t>
      </w:r>
      <w:proofErr w:type="spellEnd"/>
      <w:r>
        <w:t xml:space="preserve"> et al, 2001;</w:t>
      </w:r>
      <w:r w:rsidR="008024D2" w:rsidRPr="008024D2">
        <w:rPr>
          <w:vertAlign w:val="superscript"/>
        </w:rPr>
        <w:fldChar w:fldCharType="begin"/>
      </w:r>
      <w:r w:rsidR="008024D2" w:rsidRPr="008024D2">
        <w:rPr>
          <w:vertAlign w:val="superscript"/>
        </w:rPr>
        <w:instrText xml:space="preserve"> NOTEREF _Ref25844324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14</w:t>
      </w:r>
      <w:r w:rsidR="008024D2" w:rsidRPr="008024D2">
        <w:rPr>
          <w:vertAlign w:val="superscript"/>
        </w:rPr>
        <w:fldChar w:fldCharType="end"/>
      </w:r>
      <w:r>
        <w:t xml:space="preserve"> </w:t>
      </w:r>
      <w:proofErr w:type="spellStart"/>
      <w:r>
        <w:t>Kieler</w:t>
      </w:r>
      <w:proofErr w:type="spellEnd"/>
      <w:r>
        <w:t>-Jensen, 1994</w:t>
      </w:r>
      <w:r w:rsidR="000C6882" w:rsidRPr="000C6882">
        <w:rPr>
          <w:vertAlign w:val="superscript"/>
        </w:rPr>
        <w:fldChar w:fldCharType="begin"/>
      </w:r>
      <w:r w:rsidR="000C6882" w:rsidRPr="000C6882">
        <w:rPr>
          <w:vertAlign w:val="superscript"/>
        </w:rPr>
        <w:instrText xml:space="preserve"> NOTEREF _Ref10648701 \h </w:instrText>
      </w:r>
      <w:r w:rsidR="000C6882">
        <w:rPr>
          <w:vertAlign w:val="superscript"/>
        </w:rPr>
        <w:instrText xml:space="preserve"> \* MERGEFORMAT </w:instrText>
      </w:r>
      <w:r w:rsidR="000C6882" w:rsidRPr="000C6882">
        <w:rPr>
          <w:vertAlign w:val="superscript"/>
        </w:rPr>
      </w:r>
      <w:r w:rsidR="000C6882" w:rsidRPr="000C6882">
        <w:rPr>
          <w:vertAlign w:val="superscript"/>
        </w:rPr>
        <w:fldChar w:fldCharType="separate"/>
      </w:r>
      <w:r w:rsidR="00A50889">
        <w:rPr>
          <w:vertAlign w:val="superscript"/>
        </w:rPr>
        <w:t>1</w:t>
      </w:r>
      <w:r w:rsidR="000C6882" w:rsidRPr="000C6882">
        <w:rPr>
          <w:vertAlign w:val="superscript"/>
        </w:rPr>
        <w:fldChar w:fldCharType="end"/>
      </w:r>
      <w:r>
        <w:t xml:space="preserve">) lacked safety reporting. None of the three studies assessing both doses showed superior efficacy for 40 ppm relative to 20 ppm (with the possible exception of </w:t>
      </w:r>
      <w:proofErr w:type="spellStart"/>
      <w:r>
        <w:t>Solina</w:t>
      </w:r>
      <w:proofErr w:type="spellEnd"/>
      <w:r>
        <w:t xml:space="preserve"> et al 2000, which suffered from baseline mismatch).</w:t>
      </w:r>
    </w:p>
    <w:p w14:paraId="7B22F2D4" w14:textId="77777777" w:rsidR="006673FA" w:rsidRDefault="006673FA" w:rsidP="000C6882">
      <w:pPr>
        <w:pStyle w:val="TableTitle"/>
      </w:pPr>
      <w:r w:rsidRPr="006673FA">
        <w:lastRenderedPageBreak/>
        <w:t xml:space="preserve">Table </w:t>
      </w:r>
      <w:r w:rsidR="002445FA">
        <w:t>18</w:t>
      </w:r>
      <w:r w:rsidR="000C6882">
        <w:t>:</w:t>
      </w:r>
      <w:r w:rsidRPr="006673FA">
        <w:t xml:space="preserve"> Outcomes from </w:t>
      </w:r>
      <w:r w:rsidR="00845B95" w:rsidRPr="006673FA">
        <w:t xml:space="preserve">clinical studies </w:t>
      </w:r>
      <w:r w:rsidRPr="006673FA">
        <w:t xml:space="preserve">using 40 ppm </w:t>
      </w:r>
      <w:r w:rsidR="00DC7D20">
        <w:t>inhaled nitric oxide</w:t>
      </w:r>
    </w:p>
    <w:p w14:paraId="06CAA40F" w14:textId="77777777" w:rsidR="006673FA" w:rsidRDefault="006C537A" w:rsidP="006673FA">
      <w:r>
        <w:rPr>
          <w:noProof/>
          <w:lang w:eastAsia="en-AU"/>
        </w:rPr>
        <w:drawing>
          <wp:inline distT="0" distB="0" distL="0" distR="0" wp14:anchorId="5BB5A87D" wp14:editId="630DA5DD">
            <wp:extent cx="5400040" cy="6132195"/>
            <wp:effectExtent l="0" t="0" r="0" b="1905"/>
            <wp:docPr id="12" name="Picture 12" descr="Outcomes from clinical studies using 40 ppm inhaled nitric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Lst>
                    </a:blip>
                    <a:stretch>
                      <a:fillRect/>
                    </a:stretch>
                  </pic:blipFill>
                  <pic:spPr>
                    <a:xfrm>
                      <a:off x="0" y="0"/>
                      <a:ext cx="5400040" cy="6132195"/>
                    </a:xfrm>
                    <a:prstGeom prst="rect">
                      <a:avLst/>
                    </a:prstGeom>
                  </pic:spPr>
                </pic:pic>
              </a:graphicData>
            </a:graphic>
          </wp:inline>
        </w:drawing>
      </w:r>
    </w:p>
    <w:p w14:paraId="27047C70" w14:textId="3E33F38F" w:rsidR="006673FA" w:rsidRDefault="006673FA" w:rsidP="006673FA">
      <w:r>
        <w:t xml:space="preserve">These limitations </w:t>
      </w:r>
      <w:r w:rsidR="00F7512D">
        <w:t xml:space="preserve">of the submitted studies </w:t>
      </w:r>
      <w:r>
        <w:t xml:space="preserve">have been discussed elsewhere in this report, but they are reconsidered below in the context of the current </w:t>
      </w:r>
      <w:r w:rsidR="000C6882">
        <w:t>c</w:t>
      </w:r>
      <w:r>
        <w:t xml:space="preserve">linical </w:t>
      </w:r>
      <w:r w:rsidR="000C6882">
        <w:t>q</w:t>
      </w:r>
      <w:r>
        <w:t>uestion, which specifically asked how the efficacy and safety of 40 ppm compared to 20 ppm.</w:t>
      </w:r>
    </w:p>
    <w:p w14:paraId="722695DF" w14:textId="735C3ADE" w:rsidR="003B08F8" w:rsidRDefault="006673FA" w:rsidP="006673FA">
      <w:proofErr w:type="spellStart"/>
      <w:r>
        <w:t>Schmid</w:t>
      </w:r>
      <w:proofErr w:type="spellEnd"/>
      <w:r>
        <w:t>, 1999</w:t>
      </w:r>
      <w:r w:rsidR="00542C30">
        <w:t>;</w:t>
      </w:r>
      <w:r w:rsidR="008024D2" w:rsidRPr="008024D2">
        <w:rPr>
          <w:vertAlign w:val="superscript"/>
        </w:rPr>
        <w:fldChar w:fldCharType="begin"/>
      </w:r>
      <w:r w:rsidR="008024D2" w:rsidRPr="008024D2">
        <w:rPr>
          <w:vertAlign w:val="superscript"/>
        </w:rPr>
        <w:instrText xml:space="preserve"> NOTEREF _Ref20404887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11</w:t>
      </w:r>
      <w:r w:rsidR="008024D2" w:rsidRPr="008024D2">
        <w:rPr>
          <w:vertAlign w:val="superscript"/>
        </w:rPr>
        <w:fldChar w:fldCharType="end"/>
      </w:r>
      <w:r w:rsidRPr="00542C30">
        <w:rPr>
          <w:vertAlign w:val="superscript"/>
        </w:rPr>
        <w:t xml:space="preserve"> </w:t>
      </w:r>
      <w:r>
        <w:t xml:space="preserve">involved very brief exposure to </w:t>
      </w:r>
      <w:r w:rsidR="00DC7D20">
        <w:t>inhaled nitric oxide</w:t>
      </w:r>
      <w:r>
        <w:t xml:space="preserve"> (up to 20 minutes) in a crossover design, making it impossible to draw any conclusions about the potential pulmonary toxicity of </w:t>
      </w:r>
      <w:r w:rsidR="00DC7D20">
        <w:t>inhaled nitric oxide</w:t>
      </w:r>
      <w:r>
        <w:t xml:space="preserve">, and the study did not compare </w:t>
      </w:r>
      <w:r w:rsidR="00DC7D20">
        <w:t>inhaled nitric oxide</w:t>
      </w:r>
      <w:r>
        <w:t xml:space="preserve"> 40 ppm with </w:t>
      </w:r>
      <w:r w:rsidR="00DC7D20">
        <w:t>inhaled nitric oxide</w:t>
      </w:r>
      <w:r>
        <w:t xml:space="preserve"> 20 ppm.</w:t>
      </w:r>
    </w:p>
    <w:p w14:paraId="4D508D43" w14:textId="7285DF5D" w:rsidR="006673FA" w:rsidRDefault="006673FA" w:rsidP="006673FA">
      <w:proofErr w:type="spellStart"/>
      <w:r>
        <w:t>Solina</w:t>
      </w:r>
      <w:proofErr w:type="spellEnd"/>
      <w:r>
        <w:t xml:space="preserve"> et al, 2000</w:t>
      </w:r>
      <w:r w:rsidR="00542C30" w:rsidRPr="00542C30">
        <w:t>;</w:t>
      </w:r>
      <w:r w:rsidR="008024D2" w:rsidRPr="008024D2">
        <w:rPr>
          <w:vertAlign w:val="superscript"/>
        </w:rPr>
        <w:fldChar w:fldCharType="begin"/>
      </w:r>
      <w:r w:rsidR="008024D2" w:rsidRPr="008024D2">
        <w:rPr>
          <w:vertAlign w:val="superscript"/>
        </w:rPr>
        <w:instrText xml:space="preserve"> NOTEREF _Ref25843707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13</w:t>
      </w:r>
      <w:r w:rsidR="008024D2" w:rsidRPr="008024D2">
        <w:rPr>
          <w:vertAlign w:val="superscript"/>
        </w:rPr>
        <w:fldChar w:fldCharType="end"/>
      </w:r>
      <w:r w:rsidR="008024D2">
        <w:rPr>
          <w:vertAlign w:val="superscript"/>
        </w:rPr>
        <w:t xml:space="preserve"> </w:t>
      </w:r>
      <w:r>
        <w:t xml:space="preserve">compared </w:t>
      </w:r>
      <w:r w:rsidR="00DC7D20">
        <w:t>inhaled nitric oxide</w:t>
      </w:r>
      <w:r>
        <w:t xml:space="preserve"> at 20 ppm and 40 ppm, but the study had an open</w:t>
      </w:r>
      <w:r w:rsidR="000439FE">
        <w:t xml:space="preserve"> </w:t>
      </w:r>
      <w:r>
        <w:t xml:space="preserve">label design, and the groups were poorly matched at baseline, as noted in the abstract: </w:t>
      </w:r>
      <w:r w:rsidR="003E117D">
        <w:t>‘</w:t>
      </w:r>
      <w:r>
        <w:t>The group receiving 40 ppm nitric oxide had a significantly higher (p &lt; 0.05) right ventricular ejection fraction on arrival in the intensive care unit (40% v</w:t>
      </w:r>
      <w:r w:rsidR="000439FE">
        <w:t>ersus</w:t>
      </w:r>
      <w:r>
        <w:t xml:space="preserve"> 30% for the </w:t>
      </w:r>
      <w:proofErr w:type="spellStart"/>
      <w:r>
        <w:t>milrinone</w:t>
      </w:r>
      <w:proofErr w:type="spellEnd"/>
      <w:r>
        <w:t xml:space="preserve"> group and 33% for the nitric oxide 20 ppm group).</w:t>
      </w:r>
      <w:r w:rsidR="003E117D">
        <w:t>’</w:t>
      </w:r>
    </w:p>
    <w:p w14:paraId="264829EB" w14:textId="77777777" w:rsidR="003B08F8" w:rsidRDefault="006673FA" w:rsidP="006673FA">
      <w:r>
        <w:t xml:space="preserve">In their description of this study, the </w:t>
      </w:r>
      <w:r w:rsidR="003E6F92">
        <w:t>sponsor</w:t>
      </w:r>
      <w:r>
        <w:t xml:space="preserve"> writes:</w:t>
      </w:r>
    </w:p>
    <w:p w14:paraId="397CE966" w14:textId="3BC57200" w:rsidR="006673FA" w:rsidRDefault="003E117D" w:rsidP="006673FA">
      <w:r>
        <w:lastRenderedPageBreak/>
        <w:t>‘</w:t>
      </w:r>
      <w:proofErr w:type="spellStart"/>
      <w:r w:rsidR="006673FA">
        <w:t>Solina</w:t>
      </w:r>
      <w:proofErr w:type="spellEnd"/>
      <w:r w:rsidR="006673FA">
        <w:t xml:space="preserve"> et al., 2000</w:t>
      </w:r>
      <w:r w:rsidR="00542C30" w:rsidRPr="00542C30">
        <w:t>;</w:t>
      </w:r>
      <w:r w:rsidR="008024D2" w:rsidRPr="008024D2">
        <w:rPr>
          <w:vertAlign w:val="superscript"/>
        </w:rPr>
        <w:fldChar w:fldCharType="begin"/>
      </w:r>
      <w:r w:rsidR="008024D2" w:rsidRPr="008024D2">
        <w:rPr>
          <w:vertAlign w:val="superscript"/>
        </w:rPr>
        <w:instrText xml:space="preserve"> NOTEREF _Ref25843707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13</w:t>
      </w:r>
      <w:r w:rsidR="008024D2" w:rsidRPr="008024D2">
        <w:rPr>
          <w:vertAlign w:val="superscript"/>
        </w:rPr>
        <w:fldChar w:fldCharType="end"/>
      </w:r>
      <w:r w:rsidR="006673FA">
        <w:t xml:space="preserve"> assessed </w:t>
      </w:r>
      <w:r w:rsidR="00DC7D20">
        <w:t>inhaled nitric oxide</w:t>
      </w:r>
      <w:r w:rsidR="006673FA">
        <w:t xml:space="preserve"> at 20 and 40 ppm in comparison to IV </w:t>
      </w:r>
      <w:proofErr w:type="spellStart"/>
      <w:r w:rsidR="006673FA">
        <w:t>milrinone</w:t>
      </w:r>
      <w:proofErr w:type="spellEnd"/>
      <w:r w:rsidR="006673FA">
        <w:t xml:space="preserve">. The study showed that </w:t>
      </w:r>
      <w:r w:rsidR="00DC7D20">
        <w:t>inhaled nitric oxide</w:t>
      </w:r>
      <w:r w:rsidR="006673FA">
        <w:t xml:space="preserve"> 40 ppm is broadly comparable to the intravenous vasodilator </w:t>
      </w:r>
      <w:proofErr w:type="spellStart"/>
      <w:r w:rsidR="006673FA">
        <w:t>milrinone</w:t>
      </w:r>
      <w:proofErr w:type="spellEnd"/>
      <w:r w:rsidR="006673FA">
        <w:t xml:space="preserve"> in its ability to decrease </w:t>
      </w:r>
      <w:r w:rsidR="00BB39E5">
        <w:t>pulmonary vascular resistance</w:t>
      </w:r>
      <w:r w:rsidR="006673FA">
        <w:t xml:space="preserve">. All three treatments produced a clear reduction in </w:t>
      </w:r>
      <w:r w:rsidR="00BB39E5">
        <w:t>pulmonary vascular resistance</w:t>
      </w:r>
      <w:r w:rsidR="006673FA">
        <w:t xml:space="preserve"> compared to baseline. At a dose of 40 ppm, </w:t>
      </w:r>
      <w:r w:rsidR="00DC7D20">
        <w:t>inhaled nitric oxide</w:t>
      </w:r>
      <w:r w:rsidR="006673FA">
        <w:t xml:space="preserve"> was associated with a higher </w:t>
      </w:r>
      <w:r w:rsidR="00BB39E5">
        <w:t>pulmonary vascular resistance</w:t>
      </w:r>
      <w:r w:rsidR="006673FA">
        <w:t xml:space="preserve"> than the other two treatments but this may have reflected pre-treatment differences.</w:t>
      </w:r>
      <w:r>
        <w:t>’</w:t>
      </w:r>
    </w:p>
    <w:p w14:paraId="0812BD68" w14:textId="3B1C4F99" w:rsidR="006673FA" w:rsidRDefault="006673FA" w:rsidP="006673FA">
      <w:r>
        <w:t xml:space="preserve">Although the </w:t>
      </w:r>
      <w:r w:rsidR="003E6F92">
        <w:t>sponsor</w:t>
      </w:r>
      <w:r>
        <w:t xml:space="preserve"> acknowledges that pre-treatment differences may have played a role in this study, their summary, reproduced above, </w:t>
      </w:r>
      <w:r w:rsidR="00686838">
        <w:t>does not acknowledge</w:t>
      </w:r>
      <w:r>
        <w:t xml:space="preserve"> that the treatment groups were already significantly different at baseline in terms of their right ventricular ejection fraction, completely invalidating efficacy comparisons between doses.</w:t>
      </w:r>
    </w:p>
    <w:p w14:paraId="51F8FFF8" w14:textId="584D42F1" w:rsidR="00D07DB9" w:rsidRDefault="006673FA" w:rsidP="006673FA">
      <w:proofErr w:type="spellStart"/>
      <w:r>
        <w:t>Solina</w:t>
      </w:r>
      <w:proofErr w:type="spellEnd"/>
      <w:r>
        <w:t xml:space="preserve"> et al, 2001</w:t>
      </w:r>
      <w:r w:rsidR="00542C30">
        <w:t>;</w:t>
      </w:r>
      <w:r w:rsidR="008024D2" w:rsidRPr="008024D2">
        <w:rPr>
          <w:vertAlign w:val="superscript"/>
        </w:rPr>
        <w:fldChar w:fldCharType="begin"/>
      </w:r>
      <w:r w:rsidR="008024D2" w:rsidRPr="008024D2">
        <w:rPr>
          <w:vertAlign w:val="superscript"/>
        </w:rPr>
        <w:instrText xml:space="preserve"> NOTEREF _Ref25844324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14</w:t>
      </w:r>
      <w:r w:rsidR="008024D2" w:rsidRPr="008024D2">
        <w:rPr>
          <w:vertAlign w:val="superscript"/>
        </w:rPr>
        <w:fldChar w:fldCharType="end"/>
      </w:r>
      <w:r>
        <w:t xml:space="preserve"> was a small, open-label study, with very few patients assigned to each dose group. The abstract states: </w:t>
      </w:r>
      <w:r w:rsidR="003E117D">
        <w:t>‘</w:t>
      </w:r>
      <w:r>
        <w:t>Subjects in Group 1 (n</w:t>
      </w:r>
      <w:r w:rsidR="00D42948">
        <w:t xml:space="preserve"> = </w:t>
      </w:r>
      <w:r>
        <w:t>11) received 10 ppm of inhaled nitric oxide, Group 2 subjects (n</w:t>
      </w:r>
      <w:r w:rsidR="00D42948">
        <w:t xml:space="preserve"> = </w:t>
      </w:r>
      <w:r>
        <w:t>12) received 20 ppm, Group 3 subjects (n</w:t>
      </w:r>
      <w:r w:rsidR="00D42948">
        <w:t xml:space="preserve"> = </w:t>
      </w:r>
      <w:r>
        <w:t>12) received 30 ppm, and Group 4 subjects (n</w:t>
      </w:r>
      <w:r w:rsidR="00D42948">
        <w:t xml:space="preserve"> = </w:t>
      </w:r>
      <w:r>
        <w:t>12) received 40 ppm. The fifth group (n</w:t>
      </w:r>
      <w:r w:rsidR="00D42948">
        <w:t xml:space="preserve"> = </w:t>
      </w:r>
      <w:r>
        <w:t xml:space="preserve">15) received no nitric oxide [but received </w:t>
      </w:r>
      <w:proofErr w:type="spellStart"/>
      <w:r>
        <w:t>milrinone</w:t>
      </w:r>
      <w:proofErr w:type="spellEnd"/>
      <w:r>
        <w:t>].</w:t>
      </w:r>
      <w:r w:rsidR="003E117D">
        <w:t>’</w:t>
      </w:r>
      <w:r>
        <w:t xml:space="preserve"> This study was far too small to provide a meaningful comparison of the relative safety of </w:t>
      </w:r>
      <w:r w:rsidR="00DC7D20">
        <w:t>inhaled nitric oxide</w:t>
      </w:r>
      <w:r w:rsidR="00D07DB9">
        <w:t xml:space="preserve"> at doses of 20 ppm and 40 ppm.</w:t>
      </w:r>
    </w:p>
    <w:p w14:paraId="5880A7FB" w14:textId="2A4B4F73" w:rsidR="006673FA" w:rsidRDefault="006673FA" w:rsidP="006673FA">
      <w:r>
        <w:t>Also, it did not suggest any efficacy difference across the dose-range assessed, as noted in the abstract:</w:t>
      </w:r>
      <w:r w:rsidR="00D07DB9">
        <w:t xml:space="preserve"> </w:t>
      </w:r>
      <w:r w:rsidR="003E117D">
        <w:t>‘</w:t>
      </w:r>
      <w:r>
        <w:t xml:space="preserve">There were no significant differences found in demographic data, baseline hemodynamic data, surgical treatment, conduct of </w:t>
      </w:r>
      <w:r w:rsidR="00E56750">
        <w:t>cardiopulmonary bypass</w:t>
      </w:r>
      <w:r>
        <w:t xml:space="preserve">, or the use of inotropic or vasoactive drugs among the five treatment groups. The percentage decrease in </w:t>
      </w:r>
      <w:r w:rsidR="00BB39E5">
        <w:t>pulmonary vascular resistance</w:t>
      </w:r>
      <w:r>
        <w:t xml:space="preserve"> on treatment with nitric oxide as compared to baseline values was not significantly different among the groups (10 ppm</w:t>
      </w:r>
      <w:r w:rsidR="00D42948">
        <w:t xml:space="preserve"> = </w:t>
      </w:r>
      <w:r>
        <w:t>38%, 20 ppm</w:t>
      </w:r>
      <w:r w:rsidR="00D42948">
        <w:t xml:space="preserve"> = </w:t>
      </w:r>
      <w:r>
        <w:t>50%, 30 ppm</w:t>
      </w:r>
      <w:r w:rsidR="00D42948">
        <w:t xml:space="preserve"> = </w:t>
      </w:r>
      <w:r>
        <w:t>44%, 40 ppm</w:t>
      </w:r>
      <w:r w:rsidR="00D42948">
        <w:t xml:space="preserve"> = </w:t>
      </w:r>
      <w:r>
        <w:t xml:space="preserve">36%, </w:t>
      </w:r>
      <w:proofErr w:type="spellStart"/>
      <w:r>
        <w:t>milrinone</w:t>
      </w:r>
      <w:proofErr w:type="spellEnd"/>
      <w:r w:rsidR="00D42948">
        <w:t xml:space="preserve"> = </w:t>
      </w:r>
      <w:r>
        <w:t>58%, p</w:t>
      </w:r>
      <w:r w:rsidR="00D42948">
        <w:t xml:space="preserve"> = </w:t>
      </w:r>
      <w:r>
        <w:t>0.86).</w:t>
      </w:r>
      <w:r w:rsidR="003E117D">
        <w:t>’</w:t>
      </w:r>
    </w:p>
    <w:p w14:paraId="5AB92EAF" w14:textId="77777777" w:rsidR="006673FA" w:rsidRDefault="006673FA" w:rsidP="006673FA">
      <w:proofErr w:type="spellStart"/>
      <w:r>
        <w:t>Kieler</w:t>
      </w:r>
      <w:proofErr w:type="spellEnd"/>
      <w:r>
        <w:t>-Jensen, 1994</w:t>
      </w:r>
      <w:r w:rsidR="00E56750" w:rsidRPr="00E56750">
        <w:rPr>
          <w:vertAlign w:val="superscript"/>
        </w:rPr>
        <w:fldChar w:fldCharType="begin"/>
      </w:r>
      <w:r w:rsidR="00E56750" w:rsidRPr="00E56750">
        <w:rPr>
          <w:vertAlign w:val="superscript"/>
        </w:rPr>
        <w:instrText xml:space="preserve"> NOTEREF _Ref10648701 \h </w:instrText>
      </w:r>
      <w:r w:rsidR="00E56750">
        <w:rPr>
          <w:vertAlign w:val="superscript"/>
        </w:rPr>
        <w:instrText xml:space="preserve"> \* MERGEFORMAT </w:instrText>
      </w:r>
      <w:r w:rsidR="00E56750" w:rsidRPr="00E56750">
        <w:rPr>
          <w:vertAlign w:val="superscript"/>
        </w:rPr>
      </w:r>
      <w:r w:rsidR="00E56750" w:rsidRPr="00E56750">
        <w:rPr>
          <w:vertAlign w:val="superscript"/>
        </w:rPr>
        <w:fldChar w:fldCharType="separate"/>
      </w:r>
      <w:r w:rsidR="00A50889">
        <w:rPr>
          <w:vertAlign w:val="superscript"/>
        </w:rPr>
        <w:t>1</w:t>
      </w:r>
      <w:r w:rsidR="00E56750" w:rsidRPr="00E56750">
        <w:rPr>
          <w:vertAlign w:val="superscript"/>
        </w:rPr>
        <w:fldChar w:fldCharType="end"/>
      </w:r>
      <w:r>
        <w:t>, was another small, open</w:t>
      </w:r>
      <w:r w:rsidR="00E56750">
        <w:t xml:space="preserve"> </w:t>
      </w:r>
      <w:r>
        <w:t>label study (n</w:t>
      </w:r>
      <w:r w:rsidR="00D42948">
        <w:t xml:space="preserve"> = </w:t>
      </w:r>
      <w:r>
        <w:t xml:space="preserve">12). It used a crossover design to compare the haemodynamic effects of increasing concentrations of </w:t>
      </w:r>
      <w:r w:rsidR="00DC7D20">
        <w:t>inhaled nitric oxide</w:t>
      </w:r>
      <w:r>
        <w:t xml:space="preserve"> (20, 40 and 80 ppm) with intravenous vas</w:t>
      </w:r>
      <w:r w:rsidR="002C18B7">
        <w:t>odilators, sodium nitroprusside a</w:t>
      </w:r>
      <w:r>
        <w:t xml:space="preserve">nd prostacyclin (PGI2), in subjects with elevated </w:t>
      </w:r>
      <w:r w:rsidR="00BB39E5">
        <w:t>pulmonary vascular resistance</w:t>
      </w:r>
      <w:r>
        <w:t xml:space="preserve"> undergoing diagnostic right heart catheterisation in a preoperative setting.</w:t>
      </w:r>
      <w:r w:rsidR="00D42948">
        <w:t xml:space="preserve"> </w:t>
      </w:r>
      <w:r>
        <w:t xml:space="preserve">All subjects received </w:t>
      </w:r>
      <w:r w:rsidR="00DC7D20">
        <w:t>inhaled nitric oxide</w:t>
      </w:r>
      <w:r>
        <w:t xml:space="preserve"> for a very short period (10 minutes at each dose). The short duration of treatment means that the study did not address the question of whether prolonged </w:t>
      </w:r>
      <w:r w:rsidR="00DC7D20">
        <w:t>inhaled nitric oxide</w:t>
      </w:r>
      <w:r>
        <w:t xml:space="preserve"> treatment causes pulmonary toxicity, and the fact that all subjects received </w:t>
      </w:r>
      <w:r w:rsidR="00DC7D20">
        <w:t>inhaled nitric oxide</w:t>
      </w:r>
      <w:r>
        <w:t xml:space="preserve"> at all three doses means that there is no adequate control group for safety comparisons. Preclinical considerations suggest that pulmonary toxicity with </w:t>
      </w:r>
      <w:r w:rsidR="00DC7D20">
        <w:t>inhaled nitric oxide</w:t>
      </w:r>
      <w:r>
        <w:t xml:space="preserve"> would be more likely with prolonged therapy and concurrent high-flow oxygen, so the brief pre-operative exposure reported in this study does not provide an adequate safety assessment of </w:t>
      </w:r>
      <w:r w:rsidR="00DC7D20">
        <w:t>inhaled nitric oxide</w:t>
      </w:r>
      <w:r>
        <w:t xml:space="preserve"> 40 ppm.</w:t>
      </w:r>
      <w:r w:rsidR="00D42948">
        <w:t xml:space="preserve"> </w:t>
      </w:r>
      <w:r>
        <w:t xml:space="preserve">Furthermore, this study showed no dose trend for the haemodynamic effects of </w:t>
      </w:r>
      <w:r w:rsidR="00DC7D20">
        <w:t>inhaled nitric oxide</w:t>
      </w:r>
      <w:r>
        <w:t xml:space="preserve"> across the range of 20 ppm to 80 ppm.</w:t>
      </w:r>
    </w:p>
    <w:p w14:paraId="0D40DC00" w14:textId="0FA3D10F" w:rsidR="006673FA" w:rsidRDefault="006673FA" w:rsidP="006673FA">
      <w:proofErr w:type="spellStart"/>
      <w:r>
        <w:t>Radovancevic</w:t>
      </w:r>
      <w:proofErr w:type="spellEnd"/>
      <w:r>
        <w:t xml:space="preserve"> et al, 2005</w:t>
      </w:r>
      <w:r w:rsidR="00542C30">
        <w:t>;</w:t>
      </w:r>
      <w:r w:rsidR="008024D2" w:rsidRPr="008024D2">
        <w:rPr>
          <w:vertAlign w:val="superscript"/>
        </w:rPr>
        <w:fldChar w:fldCharType="begin"/>
      </w:r>
      <w:r w:rsidR="008024D2" w:rsidRPr="008024D2">
        <w:rPr>
          <w:vertAlign w:val="superscript"/>
        </w:rPr>
        <w:instrText xml:space="preserve"> NOTEREF _Ref25845157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17</w:t>
      </w:r>
      <w:r w:rsidR="008024D2" w:rsidRPr="008024D2">
        <w:rPr>
          <w:vertAlign w:val="superscript"/>
        </w:rPr>
        <w:fldChar w:fldCharType="end"/>
      </w:r>
      <w:r>
        <w:t xml:space="preserve"> assessed </w:t>
      </w:r>
      <w:r w:rsidR="00DC7D20">
        <w:t>inhaled nitric oxide</w:t>
      </w:r>
      <w:r>
        <w:t xml:space="preserve"> versus prostaglandin E1 in heart transplant candidates in a preoperative setting, so (like </w:t>
      </w:r>
      <w:proofErr w:type="spellStart"/>
      <w:r>
        <w:t>Kieler</w:t>
      </w:r>
      <w:proofErr w:type="spellEnd"/>
      <w:r>
        <w:t>-Jensen 1994</w:t>
      </w:r>
      <w:r w:rsidR="006F789A">
        <w:t>;</w:t>
      </w:r>
      <w:r w:rsidR="00E56750" w:rsidRPr="00E56750">
        <w:rPr>
          <w:vertAlign w:val="superscript"/>
        </w:rPr>
        <w:fldChar w:fldCharType="begin"/>
      </w:r>
      <w:r w:rsidR="00E56750" w:rsidRPr="00E56750">
        <w:rPr>
          <w:vertAlign w:val="superscript"/>
        </w:rPr>
        <w:instrText xml:space="preserve"> NOTEREF _Ref10648701 \h </w:instrText>
      </w:r>
      <w:r w:rsidR="00E56750">
        <w:rPr>
          <w:vertAlign w:val="superscript"/>
        </w:rPr>
        <w:instrText xml:space="preserve"> \* MERGEFORMAT </w:instrText>
      </w:r>
      <w:r w:rsidR="00E56750" w:rsidRPr="00E56750">
        <w:rPr>
          <w:vertAlign w:val="superscript"/>
        </w:rPr>
      </w:r>
      <w:r w:rsidR="00E56750" w:rsidRPr="00E56750">
        <w:rPr>
          <w:vertAlign w:val="superscript"/>
        </w:rPr>
        <w:fldChar w:fldCharType="separate"/>
      </w:r>
      <w:r w:rsidR="00A50889">
        <w:rPr>
          <w:vertAlign w:val="superscript"/>
        </w:rPr>
        <w:t>1</w:t>
      </w:r>
      <w:r w:rsidR="00E56750" w:rsidRPr="00E56750">
        <w:rPr>
          <w:vertAlign w:val="superscript"/>
        </w:rPr>
        <w:fldChar w:fldCharType="end"/>
      </w:r>
      <w:r>
        <w:t>) it did not directly assess the proposed indication. Furthermore, it was small (n</w:t>
      </w:r>
      <w:r w:rsidR="00D42948">
        <w:t xml:space="preserve"> = </w:t>
      </w:r>
      <w:r>
        <w:t xml:space="preserve">19), open-label, and it used a crossover design in which all subjects were exposed to </w:t>
      </w:r>
      <w:r w:rsidR="00DC7D20">
        <w:t>inhaled nitric oxide</w:t>
      </w:r>
      <w:r>
        <w:t xml:space="preserve"> 40 ppm. The crossover design provides no basis for comparing the pulmonary safety of </w:t>
      </w:r>
      <w:r w:rsidR="00DC7D20">
        <w:t>inhaled nitric oxide</w:t>
      </w:r>
      <w:r>
        <w:t xml:space="preserve"> with non-</w:t>
      </w:r>
      <w:r w:rsidR="00DC7D20">
        <w:t>inhaled nitric oxide</w:t>
      </w:r>
      <w:r>
        <w:t xml:space="preserve">-based treatments. Also, the study did not include the main proposed dose for registration (20 ppm), so it does not address the question of whether there are efficacy advantages in increasing the </w:t>
      </w:r>
      <w:r w:rsidR="00DC7D20">
        <w:t>inhaled nitric oxide</w:t>
      </w:r>
      <w:r>
        <w:t xml:space="preserve"> dose from 20 ppm to 40 ppm.</w:t>
      </w:r>
    </w:p>
    <w:p w14:paraId="0C44991C" w14:textId="77777777" w:rsidR="003B08F8" w:rsidRDefault="006673FA" w:rsidP="006673FA">
      <w:r>
        <w:t xml:space="preserve">The remaining parts of the </w:t>
      </w:r>
      <w:r w:rsidR="003E6F92">
        <w:t>sponsor</w:t>
      </w:r>
      <w:r>
        <w:t>’s response to this question consisted of the following comments:</w:t>
      </w:r>
    </w:p>
    <w:p w14:paraId="3EB287FC" w14:textId="33869B9B" w:rsidR="006673FA" w:rsidRDefault="003E117D" w:rsidP="006673FA">
      <w:r>
        <w:lastRenderedPageBreak/>
        <w:t>‘</w:t>
      </w:r>
      <w:r w:rsidR="006673FA">
        <w:t xml:space="preserve">The studies shown in [the table above] have shown no evidence of an increased toxicity of </w:t>
      </w:r>
      <w:r w:rsidR="00DC7D20">
        <w:t>inhaled nitric oxide</w:t>
      </w:r>
      <w:r w:rsidR="006673FA">
        <w:t xml:space="preserve"> at a dose of 40 ppm. This conclusion is supported by a review by Griffiths et al., 2005</w:t>
      </w:r>
      <w:r w:rsidR="00542C30">
        <w:rPr>
          <w:rStyle w:val="FootnoteReference"/>
        </w:rPr>
        <w:footnoteReference w:id="44"/>
      </w:r>
      <w:r w:rsidR="006673FA">
        <w:t xml:space="preserve"> that cited published studies as follows:</w:t>
      </w:r>
    </w:p>
    <w:p w14:paraId="6217ACF4" w14:textId="324319CE" w:rsidR="006673FA" w:rsidRDefault="006673FA" w:rsidP="00341A54">
      <w:pPr>
        <w:pStyle w:val="ListBullet"/>
      </w:pPr>
      <w:r>
        <w:t>Although a massive overdose of inhaled nitric oxide (500 to 1000 ppm) is rapidly fatal, studies in animals have provided reassuring data indicating that nitric oxide has minimal pulmonary toxicity when it is inhaled at a concentration of less than 40 ppm for up to six months (</w:t>
      </w:r>
      <w:proofErr w:type="spellStart"/>
      <w:r>
        <w:t>Hugod</w:t>
      </w:r>
      <w:proofErr w:type="spellEnd"/>
      <w:r>
        <w:t xml:space="preserve"> et al., 1979</w:t>
      </w:r>
      <w:bookmarkStart w:id="122" w:name="_Ref10654523"/>
      <w:r w:rsidR="006F789A">
        <w:t>;</w:t>
      </w:r>
      <w:bookmarkStart w:id="123" w:name="_Ref25847241"/>
      <w:r w:rsidR="00E56750">
        <w:rPr>
          <w:rStyle w:val="FootnoteReference"/>
        </w:rPr>
        <w:footnoteReference w:id="45"/>
      </w:r>
      <w:bookmarkEnd w:id="122"/>
      <w:bookmarkEnd w:id="123"/>
      <w:r>
        <w:t>).</w:t>
      </w:r>
    </w:p>
    <w:p w14:paraId="415307C0" w14:textId="77777777" w:rsidR="006673FA" w:rsidRDefault="006673FA" w:rsidP="00341A54">
      <w:pPr>
        <w:pStyle w:val="ListBullet"/>
      </w:pPr>
      <w:r>
        <w:t xml:space="preserve">A Phase </w:t>
      </w:r>
      <w:r w:rsidR="00341A54">
        <w:t>II</w:t>
      </w:r>
      <w:r>
        <w:t xml:space="preserve"> US study in the indication of adult respiratory distress syndrome that was not statistically powered to demonstrate a benefit in mortality rate reported that doses of 1.25 to 40 ppm of </w:t>
      </w:r>
      <w:r w:rsidR="00DC7D20">
        <w:t>inhaled nitric oxide</w:t>
      </w:r>
      <w:r>
        <w:t xml:space="preserve"> were well tolerated (Dellinger et al., 1998</w:t>
      </w:r>
      <w:r w:rsidR="00542C30">
        <w:t>;</w:t>
      </w:r>
      <w:bookmarkStart w:id="124" w:name="_Ref22564545"/>
      <w:r w:rsidR="00542C30">
        <w:rPr>
          <w:rStyle w:val="FootnoteReference"/>
        </w:rPr>
        <w:footnoteReference w:id="46"/>
      </w:r>
      <w:bookmarkEnd w:id="124"/>
      <w:r>
        <w:t>).</w:t>
      </w:r>
    </w:p>
    <w:p w14:paraId="295D14F0" w14:textId="77777777" w:rsidR="006673FA" w:rsidRDefault="006673FA" w:rsidP="006673FA">
      <w:proofErr w:type="spellStart"/>
      <w:r>
        <w:t>Troncy</w:t>
      </w:r>
      <w:proofErr w:type="spellEnd"/>
      <w:r>
        <w:t xml:space="preserve"> et al., 1997</w:t>
      </w:r>
      <w:r w:rsidR="00542C30">
        <w:t>;</w:t>
      </w:r>
      <w:bookmarkStart w:id="125" w:name="_Ref22564894"/>
      <w:r w:rsidR="00542C30">
        <w:rPr>
          <w:rStyle w:val="FootnoteReference"/>
        </w:rPr>
        <w:footnoteReference w:id="47"/>
      </w:r>
      <w:bookmarkEnd w:id="125"/>
      <w:r>
        <w:t xml:space="preserve"> stated that “Concentrations of </w:t>
      </w:r>
      <w:r w:rsidR="00DC7D20">
        <w:t>inhaled nitric oxide</w:t>
      </w:r>
      <w:r>
        <w:t xml:space="preserve"> as high as tens of ppm have been given to patients for weeks without apparent toxic pulmonary effects, and 80 ppm </w:t>
      </w:r>
      <w:r w:rsidR="00DC7D20">
        <w:t>inhaled nitric oxide</w:t>
      </w:r>
      <w:r>
        <w:t xml:space="preserve"> in healthy volunteers or in patients with </w:t>
      </w:r>
      <w:r w:rsidR="00341A54">
        <w:t>chronic obstructive pulmonary disease</w:t>
      </w:r>
      <w:r>
        <w:t xml:space="preserve"> did not affect airway conductance</w:t>
      </w:r>
      <w:bookmarkStart w:id="126" w:name="_Ref10654543"/>
      <w:r w:rsidR="00542C30">
        <w:t>.</w:t>
      </w:r>
      <w:bookmarkStart w:id="127" w:name="_Ref22564577"/>
      <w:r w:rsidR="00E56750">
        <w:rPr>
          <w:rStyle w:val="FootnoteReference"/>
        </w:rPr>
        <w:footnoteReference w:id="48"/>
      </w:r>
      <w:bookmarkEnd w:id="126"/>
      <w:bookmarkEnd w:id="127"/>
    </w:p>
    <w:p w14:paraId="72F8F9E6" w14:textId="77777777" w:rsidR="006673FA" w:rsidRDefault="006673FA" w:rsidP="006673FA">
      <w:r>
        <w:t xml:space="preserve">Further evidence of the safety profile of the 40 ppm dose of </w:t>
      </w:r>
      <w:r w:rsidR="00DC7D20">
        <w:t>inhaled nitric oxide</w:t>
      </w:r>
      <w:r>
        <w:t xml:space="preserve"> is provided by post-marketing experience as presented in PSUR/PBRER included </w:t>
      </w:r>
      <w:r w:rsidR="00341A54">
        <w:t>in the registration application</w:t>
      </w:r>
      <w:r>
        <w:t xml:space="preserve">. </w:t>
      </w:r>
      <w:proofErr w:type="spellStart"/>
      <w:r w:rsidR="00C40BA7">
        <w:t>INOmax</w:t>
      </w:r>
      <w:proofErr w:type="spellEnd"/>
      <w:r>
        <w:t xml:space="preserve"> has been approved in Japan, </w:t>
      </w:r>
      <w:r w:rsidRPr="00D74999">
        <w:t>EU and</w:t>
      </w:r>
      <w:r>
        <w:t xml:space="preserve"> Mexico at a dosage of 20 to 40 ppm as part of the treatment of patients with peri- and post-operative pulmonary hypertension in conjunction with heart surgery, to selectively decrease pulmonary arterial pressure and improve right ventricular function and oxygenation.</w:t>
      </w:r>
    </w:p>
    <w:p w14:paraId="5497EE08" w14:textId="77777777" w:rsidR="006673FA" w:rsidRDefault="006673FA" w:rsidP="006673FA">
      <w:r>
        <w:t xml:space="preserve">It is estimated that 877,196 patients worldwide have been treated with </w:t>
      </w:r>
      <w:r w:rsidR="00DC7D20">
        <w:t>inhaled nitric oxide</w:t>
      </w:r>
      <w:r>
        <w:t xml:space="preserve"> within the dose range of the proposed labe</w:t>
      </w:r>
      <w:r w:rsidR="00341A54">
        <w:t>l</w:t>
      </w:r>
      <w:r>
        <w:t>ling (20</w:t>
      </w:r>
      <w:r w:rsidR="00341A54">
        <w:t xml:space="preserve"> to </w:t>
      </w:r>
      <w:r>
        <w:t>40 ppm) and there have been no reports suggesting lack of efficacy or drug-related adverse events that would alter its current benefits/risk profile.</w:t>
      </w:r>
    </w:p>
    <w:p w14:paraId="63937DF3" w14:textId="77777777" w:rsidR="006673FA" w:rsidRDefault="006673FA" w:rsidP="006673FA">
      <w:r>
        <w:t xml:space="preserve">While there are relatively few studies actually comparing different doses on which a formal evaluation of appropriate dosing may be based, </w:t>
      </w:r>
      <w:r w:rsidR="00DC7D20">
        <w:t>inhaled nitric oxide</w:t>
      </w:r>
      <w:r>
        <w:t xml:space="preserve"> (20</w:t>
      </w:r>
      <w:r w:rsidR="00341A54">
        <w:t xml:space="preserve"> to </w:t>
      </w:r>
      <w:r>
        <w:t>40 ppm) has been commonly used and recommended in clinical practice since 1999.</w:t>
      </w:r>
    </w:p>
    <w:p w14:paraId="2C53B356" w14:textId="5CE6B642" w:rsidR="006673FA" w:rsidRDefault="006673FA" w:rsidP="006673FA">
      <w:r>
        <w:t>P</w:t>
      </w:r>
      <w:r w:rsidR="00341A54">
        <w:t>a</w:t>
      </w:r>
      <w:r>
        <w:t>ediatric Pulmonary Hypertension Guidelines from the American Heart Association/American Thoracic Society</w:t>
      </w:r>
      <w:bookmarkStart w:id="128" w:name="_Ref10654595"/>
      <w:r w:rsidR="006F789A">
        <w:t>;</w:t>
      </w:r>
      <w:bookmarkStart w:id="129" w:name="_Ref25847357"/>
      <w:r w:rsidR="00E56750">
        <w:rPr>
          <w:rStyle w:val="FootnoteReference"/>
        </w:rPr>
        <w:footnoteReference w:id="49"/>
      </w:r>
      <w:bookmarkEnd w:id="128"/>
      <w:bookmarkEnd w:id="129"/>
      <w:r>
        <w:t xml:space="preserve"> states that ‘</w:t>
      </w:r>
      <w:r w:rsidR="00DC7D20">
        <w:t>inhaled nitric oxide</w:t>
      </w:r>
      <w:r>
        <w:t xml:space="preserve"> is commonly used to treat postoperative pulmonary hypertension in patients with </w:t>
      </w:r>
      <w:r w:rsidR="002C18B7" w:rsidRPr="002C18B7">
        <w:t>congenital heart disease</w:t>
      </w:r>
      <w:r w:rsidRPr="002C18B7">
        <w:t xml:space="preserve"> at</w:t>
      </w:r>
      <w:r w:rsidR="00D07DB9">
        <w:t xml:space="preserve"> doses between 2 and 80 ppm.</w:t>
      </w:r>
      <w:r w:rsidR="003E117D">
        <w:t>’</w:t>
      </w:r>
    </w:p>
    <w:p w14:paraId="2213BED7" w14:textId="19EAF837" w:rsidR="006673FA" w:rsidRDefault="003E117D" w:rsidP="00341A54">
      <w:pPr>
        <w:pStyle w:val="Heading5"/>
      </w:pPr>
      <w:r>
        <w:t>Evaluator’s comments</w:t>
      </w:r>
    </w:p>
    <w:p w14:paraId="6A8CF45A" w14:textId="77777777" w:rsidR="006673FA" w:rsidRDefault="006673FA" w:rsidP="006673FA">
      <w:r>
        <w:t xml:space="preserve">As already noted, the submitted studies listed in Table </w:t>
      </w:r>
      <w:r w:rsidR="002445FA">
        <w:t>18</w:t>
      </w:r>
      <w:r>
        <w:t xml:space="preserve">, above, provide no clear basis for concluding that </w:t>
      </w:r>
      <w:r w:rsidR="00DC7D20">
        <w:t>inhaled nitric oxide</w:t>
      </w:r>
      <w:r>
        <w:t xml:space="preserve"> at a dose of 40 ppm offers benefits compared to </w:t>
      </w:r>
      <w:r w:rsidR="00DC7D20">
        <w:t>inhaled nitric oxide</w:t>
      </w:r>
      <w:r>
        <w:t xml:space="preserve"> at 20 ppm, and this situation has not materially changed since the </w:t>
      </w:r>
      <w:proofErr w:type="spellStart"/>
      <w:r w:rsidR="000E07C6">
        <w:t>Vasokinox</w:t>
      </w:r>
      <w:proofErr w:type="spellEnd"/>
      <w:r>
        <w:t xml:space="preserve"> submission. In the </w:t>
      </w:r>
      <w:r w:rsidR="003E6F92">
        <w:t>sponsor</w:t>
      </w:r>
      <w:r>
        <w:t xml:space="preserve">-initiated Study </w:t>
      </w:r>
      <w:r w:rsidR="00BB39E5">
        <w:t>INOT41</w:t>
      </w:r>
      <w:r>
        <w:t xml:space="preserve">, an additional 69 subjects (who were not considered in the </w:t>
      </w:r>
      <w:proofErr w:type="spellStart"/>
      <w:r w:rsidR="000E07C6">
        <w:t>Vasokinox</w:t>
      </w:r>
      <w:proofErr w:type="spellEnd"/>
      <w:r>
        <w:t xml:space="preserve"> submission) have been exposed to </w:t>
      </w:r>
      <w:r w:rsidR="00DC7D20">
        <w:t>inhaled nitric oxide</w:t>
      </w:r>
      <w:r>
        <w:t xml:space="preserve"> 40 ppm. These subjects received </w:t>
      </w:r>
      <w:r w:rsidR="00DC7D20">
        <w:t>inhaled nitric oxide</w:t>
      </w:r>
      <w:r>
        <w:t xml:space="preserve"> 40 ppm without obvious toxicity, but the study was not specifically powered for a comparison of potential </w:t>
      </w:r>
      <w:r>
        <w:lastRenderedPageBreak/>
        <w:t>pulmonary side effects, and the treatment was administered to a population in whom pulmonary dysfunction would have been common and variable, making attribution difficult. Median blinded exposure was only 19 hours.</w:t>
      </w:r>
    </w:p>
    <w:p w14:paraId="3C870E04" w14:textId="3C0773EE" w:rsidR="003B08F8" w:rsidRDefault="006673FA" w:rsidP="006673FA">
      <w:r>
        <w:t xml:space="preserve">According to the </w:t>
      </w:r>
      <w:r w:rsidR="003E6F92">
        <w:t>sponsor</w:t>
      </w:r>
      <w:r>
        <w:t>, some isolated reviews and small studies (Griffiths et al, 2005</w:t>
      </w:r>
      <w:bookmarkStart w:id="130" w:name="_Ref10654634"/>
      <w:r w:rsidR="00E56750">
        <w:rPr>
          <w:rStyle w:val="FootnoteReference"/>
        </w:rPr>
        <w:footnoteReference w:id="50"/>
      </w:r>
      <w:bookmarkEnd w:id="130"/>
      <w:r>
        <w:t xml:space="preserve">; </w:t>
      </w:r>
      <w:proofErr w:type="spellStart"/>
      <w:r>
        <w:t>Hugod</w:t>
      </w:r>
      <w:proofErr w:type="spellEnd"/>
      <w:r>
        <w:t xml:space="preserve"> et al, 1979</w:t>
      </w:r>
      <w:r w:rsidR="00F601A9">
        <w:t>;</w:t>
      </w:r>
      <w:r w:rsidR="008024D2" w:rsidRPr="008024D2">
        <w:rPr>
          <w:vertAlign w:val="superscript"/>
        </w:rPr>
        <w:fldChar w:fldCharType="begin"/>
      </w:r>
      <w:r w:rsidR="008024D2" w:rsidRPr="008024D2">
        <w:rPr>
          <w:vertAlign w:val="superscript"/>
        </w:rPr>
        <w:instrText xml:space="preserve"> NOTEREF _Ref25847241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45</w:t>
      </w:r>
      <w:r w:rsidR="008024D2" w:rsidRPr="008024D2">
        <w:rPr>
          <w:vertAlign w:val="superscript"/>
        </w:rPr>
        <w:fldChar w:fldCharType="end"/>
      </w:r>
      <w:r>
        <w:t xml:space="preserve"> Dellinger et al, 1998</w:t>
      </w:r>
      <w:r w:rsidR="008024D2">
        <w:t>;</w:t>
      </w:r>
      <w:r w:rsidR="008024D2" w:rsidRPr="008024D2">
        <w:rPr>
          <w:vertAlign w:val="superscript"/>
        </w:rPr>
        <w:fldChar w:fldCharType="begin"/>
      </w:r>
      <w:r w:rsidR="008024D2" w:rsidRPr="008024D2">
        <w:rPr>
          <w:vertAlign w:val="superscript"/>
        </w:rPr>
        <w:instrText xml:space="preserve"> NOTEREF _Ref22564545 \h </w:instrText>
      </w:r>
      <w:r w:rsidR="008024D2">
        <w:rPr>
          <w:vertAlign w:val="superscript"/>
        </w:rPr>
        <w:instrText xml:space="preserve">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46</w:t>
      </w:r>
      <w:r w:rsidR="008024D2" w:rsidRPr="008024D2">
        <w:rPr>
          <w:vertAlign w:val="superscript"/>
        </w:rPr>
        <w:fldChar w:fldCharType="end"/>
      </w:r>
      <w:r>
        <w:t xml:space="preserve"> </w:t>
      </w:r>
      <w:proofErr w:type="spellStart"/>
      <w:r>
        <w:t>Hogman</w:t>
      </w:r>
      <w:proofErr w:type="spellEnd"/>
      <w:r>
        <w:t xml:space="preserve"> et al, 1993</w:t>
      </w:r>
      <w:r w:rsidR="00F601A9">
        <w:t>;</w:t>
      </w:r>
      <w:r w:rsidR="008024D2" w:rsidRPr="008024D2">
        <w:rPr>
          <w:vertAlign w:val="superscript"/>
        </w:rPr>
        <w:fldChar w:fldCharType="begin"/>
      </w:r>
      <w:r w:rsidR="008024D2" w:rsidRPr="008024D2">
        <w:rPr>
          <w:vertAlign w:val="superscript"/>
        </w:rPr>
        <w:instrText xml:space="preserve"> NOTEREF _Ref22564577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48</w:t>
      </w:r>
      <w:r w:rsidR="008024D2" w:rsidRPr="008024D2">
        <w:rPr>
          <w:vertAlign w:val="superscript"/>
        </w:rPr>
        <w:fldChar w:fldCharType="end"/>
      </w:r>
      <w:r>
        <w:t xml:space="preserve">) have suggested that pulmonary safety with </w:t>
      </w:r>
      <w:r w:rsidR="00DC7D20">
        <w:t>inhaled nitric oxide</w:t>
      </w:r>
      <w:r>
        <w:t xml:space="preserve"> is acceptable, although this line of evidence is largely indirect and the </w:t>
      </w:r>
      <w:r w:rsidR="003E6F92">
        <w:t>sponsor</w:t>
      </w:r>
      <w:r>
        <w:t>’s treatment of these sources was very brief (consisting only of the comments above).</w:t>
      </w:r>
    </w:p>
    <w:p w14:paraId="243189D2" w14:textId="23A424BB" w:rsidR="006673FA" w:rsidRDefault="006673FA" w:rsidP="006673FA">
      <w:r>
        <w:t>Four of the references mentioned above (</w:t>
      </w:r>
      <w:proofErr w:type="spellStart"/>
      <w:r>
        <w:t>Hugod</w:t>
      </w:r>
      <w:proofErr w:type="spellEnd"/>
      <w:r>
        <w:t xml:space="preserve"> et al, 1979</w:t>
      </w:r>
      <w:r w:rsidR="00F601A9">
        <w:t>;</w:t>
      </w:r>
      <w:r w:rsidR="008024D2" w:rsidRPr="008024D2">
        <w:rPr>
          <w:vertAlign w:val="superscript"/>
        </w:rPr>
        <w:fldChar w:fldCharType="begin"/>
      </w:r>
      <w:r w:rsidR="008024D2" w:rsidRPr="008024D2">
        <w:rPr>
          <w:vertAlign w:val="superscript"/>
        </w:rPr>
        <w:instrText xml:space="preserve"> NOTEREF _Ref25847241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45</w:t>
      </w:r>
      <w:r w:rsidR="008024D2" w:rsidRPr="008024D2">
        <w:rPr>
          <w:vertAlign w:val="superscript"/>
        </w:rPr>
        <w:fldChar w:fldCharType="end"/>
      </w:r>
      <w:r>
        <w:t xml:space="preserve"> Dellinger et al, 1998;</w:t>
      </w:r>
      <w:r w:rsidR="008024D2" w:rsidRPr="008024D2">
        <w:rPr>
          <w:vertAlign w:val="superscript"/>
        </w:rPr>
        <w:fldChar w:fldCharType="begin"/>
      </w:r>
      <w:r w:rsidR="008024D2" w:rsidRPr="008024D2">
        <w:rPr>
          <w:vertAlign w:val="superscript"/>
        </w:rPr>
        <w:instrText xml:space="preserve"> NOTEREF _Ref22564545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46</w:t>
      </w:r>
      <w:r w:rsidR="008024D2" w:rsidRPr="008024D2">
        <w:rPr>
          <w:vertAlign w:val="superscript"/>
        </w:rPr>
        <w:fldChar w:fldCharType="end"/>
      </w:r>
      <w:r>
        <w:t xml:space="preserve"> </w:t>
      </w:r>
      <w:proofErr w:type="spellStart"/>
      <w:r>
        <w:t>Hogman</w:t>
      </w:r>
      <w:proofErr w:type="spellEnd"/>
      <w:r>
        <w:t xml:space="preserve"> et al, 1993</w:t>
      </w:r>
      <w:r w:rsidR="00F601A9">
        <w:t>;</w:t>
      </w:r>
      <w:r w:rsidR="008024D2" w:rsidRPr="008024D2">
        <w:rPr>
          <w:vertAlign w:val="superscript"/>
        </w:rPr>
        <w:fldChar w:fldCharType="begin"/>
      </w:r>
      <w:r w:rsidR="008024D2" w:rsidRPr="008024D2">
        <w:rPr>
          <w:vertAlign w:val="superscript"/>
        </w:rPr>
        <w:instrText xml:space="preserve"> NOTEREF _Ref22564577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48</w:t>
      </w:r>
      <w:r w:rsidR="008024D2" w:rsidRPr="008024D2">
        <w:rPr>
          <w:vertAlign w:val="superscript"/>
        </w:rPr>
        <w:fldChar w:fldCharType="end"/>
      </w:r>
      <w:r w:rsidRPr="007B2D51">
        <w:rPr>
          <w:vertAlign w:val="superscript"/>
        </w:rPr>
        <w:t>;</w:t>
      </w:r>
      <w:r>
        <w:t xml:space="preserve"> </w:t>
      </w:r>
      <w:proofErr w:type="spellStart"/>
      <w:r>
        <w:t>Abman</w:t>
      </w:r>
      <w:proofErr w:type="spellEnd"/>
      <w:r>
        <w:t xml:space="preserve"> et al, 2015</w:t>
      </w:r>
      <w:r w:rsidR="00F601A9">
        <w:t>;</w:t>
      </w:r>
      <w:r w:rsidR="008024D2" w:rsidRPr="008024D2">
        <w:rPr>
          <w:vertAlign w:val="superscript"/>
        </w:rPr>
        <w:fldChar w:fldCharType="begin"/>
      </w:r>
      <w:r w:rsidR="008024D2" w:rsidRPr="008024D2">
        <w:rPr>
          <w:vertAlign w:val="superscript"/>
        </w:rPr>
        <w:instrText xml:space="preserve"> NOTEREF _Ref25847357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49</w:t>
      </w:r>
      <w:r w:rsidR="008024D2" w:rsidRPr="008024D2">
        <w:rPr>
          <w:vertAlign w:val="superscript"/>
        </w:rPr>
        <w:fldChar w:fldCharType="end"/>
      </w:r>
      <w:r>
        <w:t xml:space="preserve">) were submitted as part of the </w:t>
      </w:r>
      <w:r w:rsidR="003E6F92">
        <w:t>sponsor</w:t>
      </w:r>
      <w:r>
        <w:t>’s response, and w</w:t>
      </w:r>
      <w:r w:rsidR="007B2D51">
        <w:t>ere therefore evaluated by the clinical e</w:t>
      </w:r>
      <w:r>
        <w:t xml:space="preserve">valuator. </w:t>
      </w:r>
      <w:r w:rsidRPr="00096D71">
        <w:t>Griffiths et al, 2005</w:t>
      </w:r>
      <w:r w:rsidR="00F601A9" w:rsidRPr="00096D71">
        <w:t>;</w:t>
      </w:r>
      <w:r w:rsidR="008024D2" w:rsidRPr="008024D2">
        <w:rPr>
          <w:vertAlign w:val="superscript"/>
        </w:rPr>
        <w:fldChar w:fldCharType="begin"/>
      </w:r>
      <w:r w:rsidR="008024D2" w:rsidRPr="008024D2">
        <w:rPr>
          <w:vertAlign w:val="superscript"/>
        </w:rPr>
        <w:instrText xml:space="preserve"> NOTEREF _Ref10654634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50</w:t>
      </w:r>
      <w:r w:rsidR="008024D2" w:rsidRPr="008024D2">
        <w:rPr>
          <w:vertAlign w:val="superscript"/>
        </w:rPr>
        <w:fldChar w:fldCharType="end"/>
      </w:r>
      <w:r w:rsidRPr="00096D71">
        <w:t xml:space="preserve"> and </w:t>
      </w:r>
      <w:proofErr w:type="spellStart"/>
      <w:r w:rsidRPr="00096D71">
        <w:t>Troncy</w:t>
      </w:r>
      <w:proofErr w:type="spellEnd"/>
      <w:r w:rsidRPr="00096D71">
        <w:t xml:space="preserve"> et al, 1997</w:t>
      </w:r>
      <w:r w:rsidR="00F601A9" w:rsidRPr="00096D71">
        <w:t>;</w:t>
      </w:r>
      <w:r w:rsidR="008024D2" w:rsidRPr="008024D2">
        <w:rPr>
          <w:vertAlign w:val="superscript"/>
        </w:rPr>
        <w:fldChar w:fldCharType="begin"/>
      </w:r>
      <w:r w:rsidR="008024D2" w:rsidRPr="008024D2">
        <w:rPr>
          <w:vertAlign w:val="superscript"/>
        </w:rPr>
        <w:instrText xml:space="preserve"> NOTEREF _Ref22564894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47</w:t>
      </w:r>
      <w:r w:rsidR="008024D2" w:rsidRPr="008024D2">
        <w:rPr>
          <w:vertAlign w:val="superscript"/>
        </w:rPr>
        <w:fldChar w:fldCharType="end"/>
      </w:r>
      <w:r w:rsidRPr="00096D71">
        <w:t xml:space="preserve"> were not evaluated</w:t>
      </w:r>
      <w:r>
        <w:t>.</w:t>
      </w:r>
      <w:r w:rsidR="00A1020D">
        <w:rPr>
          <w:rStyle w:val="FootnoteReference"/>
        </w:rPr>
        <w:footnoteReference w:id="51"/>
      </w:r>
    </w:p>
    <w:p w14:paraId="1B80F304" w14:textId="60AF795F" w:rsidR="006673FA" w:rsidRDefault="006673FA" w:rsidP="006673FA">
      <w:proofErr w:type="spellStart"/>
      <w:r>
        <w:t>Hugod</w:t>
      </w:r>
      <w:proofErr w:type="spellEnd"/>
      <w:r>
        <w:t xml:space="preserve"> et al, 1979</w:t>
      </w:r>
      <w:r w:rsidR="00F601A9">
        <w:t>;</w:t>
      </w:r>
      <w:r w:rsidR="008024D2" w:rsidRPr="008024D2">
        <w:rPr>
          <w:vertAlign w:val="superscript"/>
        </w:rPr>
        <w:fldChar w:fldCharType="begin"/>
      </w:r>
      <w:r w:rsidR="008024D2" w:rsidRPr="008024D2">
        <w:rPr>
          <w:vertAlign w:val="superscript"/>
        </w:rPr>
        <w:instrText xml:space="preserve"> NOTEREF _Ref25847241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45</w:t>
      </w:r>
      <w:r w:rsidR="008024D2" w:rsidRPr="008024D2">
        <w:rPr>
          <w:vertAlign w:val="superscript"/>
        </w:rPr>
        <w:fldChar w:fldCharType="end"/>
      </w:r>
      <w:r>
        <w:t xml:space="preserve"> is a very old pre-clinical paper, which assessed </w:t>
      </w:r>
      <w:r w:rsidR="00DC7D20">
        <w:t>inhaled nitric oxide</w:t>
      </w:r>
      <w:r>
        <w:t xml:space="preserve"> at a dose of 43 ppm, administered to six rabbits in comparison to six untreated rabbits, as described in the abstract below. No evidence of lung toxicity was observed. As the authors note, the findings were not consistent with other reported pre-clinical findings. An exploration of the differences between various pre-clinical studies is beyond the scope of this report, but it has previously been suggested that </w:t>
      </w:r>
      <w:r w:rsidR="00DC7D20">
        <w:t>inhaled nitric oxide</w:t>
      </w:r>
      <w:r>
        <w:t xml:space="preserve"> could produce pulmonary toxicity by oxidising to </w:t>
      </w:r>
      <w:r w:rsidR="00E56750">
        <w:t>nitrogen dioxide</w:t>
      </w:r>
      <w:r>
        <w:t>, in conjunction with high-flow oxygen, which this study did not use. In general, once pre-clinical studies have raised concerns, a small negative pre-clinical study merely suggests that the response may be heterogen</w:t>
      </w:r>
      <w:r w:rsidR="007B2D51">
        <w:t>e</w:t>
      </w:r>
      <w:r>
        <w:t>ous, and is not sufficient to allay those concerns, particularly when viewed in isolation.</w:t>
      </w:r>
    </w:p>
    <w:p w14:paraId="3CF79CFF" w14:textId="07836925" w:rsidR="006673FA" w:rsidRDefault="006673FA" w:rsidP="006673FA">
      <w:r>
        <w:t>Dellinger et al, 1998</w:t>
      </w:r>
      <w:bookmarkStart w:id="131" w:name="_Ref10654534"/>
      <w:r w:rsidR="00F601A9">
        <w:t>;</w:t>
      </w:r>
      <w:bookmarkEnd w:id="131"/>
      <w:r w:rsidR="008024D2" w:rsidRPr="008024D2">
        <w:rPr>
          <w:vertAlign w:val="superscript"/>
        </w:rPr>
        <w:fldChar w:fldCharType="begin"/>
      </w:r>
      <w:r w:rsidR="008024D2" w:rsidRPr="008024D2">
        <w:rPr>
          <w:vertAlign w:val="superscript"/>
        </w:rPr>
        <w:instrText xml:space="preserve"> NOTEREF _Ref22564545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46</w:t>
      </w:r>
      <w:r w:rsidR="008024D2" w:rsidRPr="008024D2">
        <w:rPr>
          <w:vertAlign w:val="superscript"/>
        </w:rPr>
        <w:fldChar w:fldCharType="end"/>
      </w:r>
      <w:r>
        <w:t xml:space="preserve"> (n</w:t>
      </w:r>
      <w:r w:rsidR="00D42948">
        <w:t xml:space="preserve"> = </w:t>
      </w:r>
      <w:r>
        <w:t xml:space="preserve">177) assessed </w:t>
      </w:r>
      <w:r w:rsidR="00DC7D20">
        <w:t>inhaled nitric oxide</w:t>
      </w:r>
      <w:r>
        <w:t xml:space="preserve"> at a range of doses up to 80</w:t>
      </w:r>
      <w:r w:rsidR="007B2D51">
        <w:t> </w:t>
      </w:r>
      <w:r>
        <w:t xml:space="preserve">ppm in comparison to placebo, in patients with adult respiratory distress syndrome (ARDS). The authors’ primary hypothesis was that </w:t>
      </w:r>
      <w:r w:rsidR="00DC7D20">
        <w:t>inhaled nitric oxide</w:t>
      </w:r>
      <w:r>
        <w:t xml:space="preserve"> might improve ventilation-perfusion matching, increasing blood flow to well-ventilated sections of lung, and improving oxygenation. Only a small proportion of subjects received 40 ppm (n</w:t>
      </w:r>
      <w:r w:rsidR="00D42948">
        <w:t xml:space="preserve"> = </w:t>
      </w:r>
      <w:r>
        <w:t>27), and an even smaller proportion received 80 ppm (n</w:t>
      </w:r>
      <w:r w:rsidR="00D42948">
        <w:t xml:space="preserve"> = </w:t>
      </w:r>
      <w:r>
        <w:t>8), with all remaining subjects receiving lower doses, as shown in the table below. Patients were treated with study drug until the end of the study, or until they achieved adequate oxygenation. The median duration of treatment was not clearly stated.</w:t>
      </w:r>
    </w:p>
    <w:p w14:paraId="024EB37D" w14:textId="77777777" w:rsidR="003B08F8" w:rsidRDefault="006673FA" w:rsidP="006673FA">
      <w:r>
        <w:t xml:space="preserve">Although the </w:t>
      </w:r>
      <w:r w:rsidR="003E6F92">
        <w:t>sponsor</w:t>
      </w:r>
      <w:r>
        <w:t xml:space="preserve"> reports that </w:t>
      </w:r>
      <w:r w:rsidR="00DC7D20">
        <w:t>inhaled nitric oxide</w:t>
      </w:r>
      <w:r>
        <w:t xml:space="preserve"> was well tolerated in this study, deaths were almost twice as common in the </w:t>
      </w:r>
      <w:r w:rsidR="00E56750">
        <w:t>nitric oxide</w:t>
      </w:r>
      <w:r>
        <w:t xml:space="preserve"> group (</w:t>
      </w:r>
      <w:r w:rsidR="00DC7D20">
        <w:t>inhaled nitric oxide</w:t>
      </w:r>
      <w:r>
        <w:t xml:space="preserve"> 20% versus placebo 11%), so the study is not particularly reassuring with respect to the pulmonary safety of </w:t>
      </w:r>
      <w:r w:rsidR="00DC7D20">
        <w:t>inhaled nitric oxide</w:t>
      </w:r>
      <w:r>
        <w:t>. No efficacy advantages were noted for higher doses over lower doses, but the study was concerned with oxygenation rather than haemodynamic endpoints, and subjects were not specifically treated for pulmonary hypertension.</w:t>
      </w:r>
    </w:p>
    <w:p w14:paraId="20487583" w14:textId="77777777" w:rsidR="006673FA" w:rsidRDefault="006673FA" w:rsidP="006673FA">
      <w:r>
        <w:t xml:space="preserve">This was a Phase II study for an indication completely different to that proposed for registration, so it is only indirectly supportive of the safety of </w:t>
      </w:r>
      <w:r w:rsidR="00DC7D20">
        <w:t>inhaled nitric oxide</w:t>
      </w:r>
      <w:r>
        <w:t xml:space="preserve"> 40 ppm, and it does not provide any rationale for recommending a maximum dose of 40 ppm instead of 20 ppm.</w:t>
      </w:r>
    </w:p>
    <w:p w14:paraId="16D0F7CA" w14:textId="452E5563" w:rsidR="006673FA" w:rsidRDefault="006673FA" w:rsidP="007B2D51">
      <w:pPr>
        <w:pStyle w:val="TableTitle"/>
      </w:pPr>
      <w:r>
        <w:lastRenderedPageBreak/>
        <w:t xml:space="preserve">Table </w:t>
      </w:r>
      <w:r w:rsidR="002445FA">
        <w:t>19</w:t>
      </w:r>
      <w:r w:rsidR="007B2D51">
        <w:t>:</w:t>
      </w:r>
      <w:r>
        <w:t xml:space="preserve"> Causes of </w:t>
      </w:r>
      <w:r w:rsidR="003E117D">
        <w:t>acute respiratory distress disorder (</w:t>
      </w:r>
      <w:r>
        <w:t>ARD</w:t>
      </w:r>
      <w:r w:rsidR="003E117D">
        <w:t>)</w:t>
      </w:r>
      <w:r>
        <w:t xml:space="preserve"> by </w:t>
      </w:r>
      <w:r w:rsidR="006C537A">
        <w:t>treatment group</w:t>
      </w:r>
      <w:r w:rsidR="003E117D">
        <w:t>;</w:t>
      </w:r>
      <w:r>
        <w:t xml:space="preserve"> Dellinger et al, 1998</w:t>
      </w:r>
      <w:r w:rsidR="00F601A9">
        <w:t>;</w:t>
      </w:r>
      <w:r w:rsidR="008024D2" w:rsidRPr="008024D2">
        <w:rPr>
          <w:vertAlign w:val="superscript"/>
        </w:rPr>
        <w:fldChar w:fldCharType="begin"/>
      </w:r>
      <w:r w:rsidR="008024D2" w:rsidRPr="008024D2">
        <w:rPr>
          <w:vertAlign w:val="superscript"/>
        </w:rPr>
        <w:instrText xml:space="preserve"> NOTEREF _Ref22564545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46</w:t>
      </w:r>
      <w:r w:rsidR="008024D2" w:rsidRPr="008024D2">
        <w:rPr>
          <w:vertAlign w:val="superscript"/>
        </w:rPr>
        <w:fldChar w:fldCharType="end"/>
      </w:r>
    </w:p>
    <w:p w14:paraId="69BEB8A7" w14:textId="77777777" w:rsidR="006673FA" w:rsidRDefault="006673FA" w:rsidP="006673FA">
      <w:r>
        <w:rPr>
          <w:noProof/>
          <w:lang w:eastAsia="en-AU"/>
        </w:rPr>
        <w:drawing>
          <wp:inline distT="0" distB="0" distL="0" distR="0" wp14:anchorId="1DA1030D" wp14:editId="44FED58D">
            <wp:extent cx="5167630" cy="2402840"/>
            <wp:effectExtent l="0" t="0" r="0" b="0"/>
            <wp:docPr id="6" name="Picture 6" descr="Causes of ARDS, by Treatment Group, Dellinger et al,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7630" cy="2402840"/>
                    </a:xfrm>
                    <a:prstGeom prst="rect">
                      <a:avLst/>
                    </a:prstGeom>
                    <a:noFill/>
                    <a:ln>
                      <a:noFill/>
                    </a:ln>
                  </pic:spPr>
                </pic:pic>
              </a:graphicData>
            </a:graphic>
          </wp:inline>
        </w:drawing>
      </w:r>
    </w:p>
    <w:p w14:paraId="54BEC851" w14:textId="4C4E75BB" w:rsidR="006673FA" w:rsidRDefault="006673FA" w:rsidP="006673FA">
      <w:proofErr w:type="spellStart"/>
      <w:r>
        <w:t>Hogman</w:t>
      </w:r>
      <w:proofErr w:type="spellEnd"/>
      <w:r>
        <w:t xml:space="preserve"> et al, 1993</w:t>
      </w:r>
      <w:r w:rsidR="00F601A9">
        <w:t>;</w:t>
      </w:r>
      <w:r w:rsidR="008024D2" w:rsidRPr="008024D2">
        <w:rPr>
          <w:vertAlign w:val="superscript"/>
        </w:rPr>
        <w:fldChar w:fldCharType="begin"/>
      </w:r>
      <w:r w:rsidR="008024D2" w:rsidRPr="008024D2">
        <w:rPr>
          <w:vertAlign w:val="superscript"/>
        </w:rPr>
        <w:instrText xml:space="preserve"> NOTEREF _Ref22564577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48</w:t>
      </w:r>
      <w:r w:rsidR="008024D2" w:rsidRPr="008024D2">
        <w:rPr>
          <w:vertAlign w:val="superscript"/>
        </w:rPr>
        <w:fldChar w:fldCharType="end"/>
      </w:r>
      <w:r>
        <w:t xml:space="preserve"> performed a small study (n</w:t>
      </w:r>
      <w:r w:rsidR="00D42948">
        <w:t xml:space="preserve"> = </w:t>
      </w:r>
      <w:r>
        <w:t xml:space="preserve">31) of acute </w:t>
      </w:r>
      <w:r w:rsidR="00DC7D20">
        <w:t>inhaled nitric oxide</w:t>
      </w:r>
      <w:r>
        <w:t xml:space="preserve"> exposure in subjects with and without airways disease. No direct effect on bronchial tone was observed with a dose of 80 ppm, but </w:t>
      </w:r>
      <w:r w:rsidR="00DC7D20">
        <w:t>inhaled nitric oxide</w:t>
      </w:r>
      <w:r>
        <w:t xml:space="preserve"> modulated the airway response to a </w:t>
      </w:r>
      <w:proofErr w:type="spellStart"/>
      <w:r>
        <w:t>methacholine</w:t>
      </w:r>
      <w:proofErr w:type="spellEnd"/>
      <w:r>
        <w:t xml:space="preserve"> challenge. The study did not investigate chronic exposure to </w:t>
      </w:r>
      <w:r w:rsidR="00DC7D20">
        <w:t>inhaled nitric oxide</w:t>
      </w:r>
      <w:r>
        <w:t xml:space="preserve"> (</w:t>
      </w:r>
      <w:r w:rsidR="00DC7D20">
        <w:t>inhaled nitric oxide</w:t>
      </w:r>
      <w:r>
        <w:t xml:space="preserve"> was administered for only 10 minutes), and it did not administer </w:t>
      </w:r>
      <w:r w:rsidR="00DC7D20">
        <w:t>inhaled nitric oxide</w:t>
      </w:r>
      <w:r>
        <w:t xml:space="preserve"> with high-flow oxygen (the inspired fraction of oxygen was only 21%), so it has limited relevance to the preclinical concerns about pulmonary toxicity.</w:t>
      </w:r>
    </w:p>
    <w:p w14:paraId="3617A99D" w14:textId="3ED62553" w:rsidR="003B08F8" w:rsidRDefault="006673FA" w:rsidP="006673FA">
      <w:proofErr w:type="spellStart"/>
      <w:r>
        <w:t>Abman</w:t>
      </w:r>
      <w:proofErr w:type="spellEnd"/>
      <w:r>
        <w:t xml:space="preserve"> et al, 2015</w:t>
      </w:r>
      <w:r w:rsidR="00F601A9">
        <w:t>;</w:t>
      </w:r>
      <w:r w:rsidR="008024D2" w:rsidRPr="008024D2">
        <w:rPr>
          <w:vertAlign w:val="superscript"/>
        </w:rPr>
        <w:fldChar w:fldCharType="begin"/>
      </w:r>
      <w:r w:rsidR="008024D2" w:rsidRPr="008024D2">
        <w:rPr>
          <w:vertAlign w:val="superscript"/>
        </w:rPr>
        <w:instrText xml:space="preserve"> NOTEREF _Ref25847357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49</w:t>
      </w:r>
      <w:r w:rsidR="008024D2" w:rsidRPr="008024D2">
        <w:rPr>
          <w:vertAlign w:val="superscript"/>
        </w:rPr>
        <w:fldChar w:fldCharType="end"/>
      </w:r>
      <w:r>
        <w:t xml:space="preserve"> was the final paper submitted by the </w:t>
      </w:r>
      <w:r w:rsidR="003E6F92">
        <w:t>sponsor</w:t>
      </w:r>
      <w:r>
        <w:t xml:space="preserve"> in response to this clinical question. This paper was titled </w:t>
      </w:r>
      <w:r w:rsidR="003E117D">
        <w:t>‘</w:t>
      </w:r>
      <w:proofErr w:type="spellStart"/>
      <w:r>
        <w:t>Pediatric</w:t>
      </w:r>
      <w:proofErr w:type="spellEnd"/>
      <w:r>
        <w:t xml:space="preserve"> Pulmonary Hypertension Guidelines </w:t>
      </w:r>
      <w:r w:rsidR="00D07DB9">
        <w:t>f</w:t>
      </w:r>
      <w:r>
        <w:t>rom the American Heart Association and American Thoracic Society</w:t>
      </w:r>
      <w:r w:rsidR="003E117D">
        <w:t>’,</w:t>
      </w:r>
      <w:r>
        <w:t xml:space="preserve"> and its main purpose was to give recommendations for treatment of pulmonary hypertension in the paediatric population. The paper dis</w:t>
      </w:r>
      <w:r w:rsidR="005B7AC9">
        <w:t>c</w:t>
      </w:r>
      <w:r>
        <w:t xml:space="preserve">usses many treatments for pulmonary hypertension, including </w:t>
      </w:r>
      <w:r w:rsidR="00DC7D20">
        <w:t>inhaled nitric oxide</w:t>
      </w:r>
      <w:r>
        <w:t xml:space="preserve">, so its treatment of the relative benefits of different </w:t>
      </w:r>
      <w:r w:rsidR="00DC7D20">
        <w:t>inhaled nitric oxide</w:t>
      </w:r>
      <w:r>
        <w:t xml:space="preserve"> doses was brief.</w:t>
      </w:r>
    </w:p>
    <w:p w14:paraId="44D2ABE0" w14:textId="691CD4E6" w:rsidR="006673FA" w:rsidRDefault="006673FA" w:rsidP="006673FA">
      <w:r>
        <w:t xml:space="preserve">In the context of treating persistent pulmonary hypertension of the newborn (PPHN), it states: </w:t>
      </w:r>
      <w:r w:rsidR="003E117D">
        <w:t>‘</w:t>
      </w:r>
      <w:r>
        <w:t xml:space="preserve">Doses of </w:t>
      </w:r>
      <w:r w:rsidR="00DC7D20">
        <w:t>inhaled nitric oxide</w:t>
      </w:r>
      <w:r>
        <w:t xml:space="preserve"> &gt;</w:t>
      </w:r>
      <w:r w:rsidR="00341A54">
        <w:t xml:space="preserve"> </w:t>
      </w:r>
      <w:r>
        <w:t xml:space="preserve">20 ppm do not enhance oxygenation or other outcomes and will increase the risk of </w:t>
      </w:r>
      <w:proofErr w:type="spellStart"/>
      <w:r w:rsidR="006C537A">
        <w:t>methaemoglobinaemia</w:t>
      </w:r>
      <w:proofErr w:type="spellEnd"/>
      <w:r>
        <w:t xml:space="preserve"> and other complications.</w:t>
      </w:r>
      <w:r w:rsidR="003E117D">
        <w:t>’</w:t>
      </w:r>
    </w:p>
    <w:p w14:paraId="611880EC" w14:textId="2D04294F" w:rsidR="006673FA" w:rsidRDefault="006673FA" w:rsidP="006673FA">
      <w:r>
        <w:t xml:space="preserve">In the context of post-operative </w:t>
      </w:r>
      <w:r w:rsidR="00341A54">
        <w:t>pulmonary hypertension</w:t>
      </w:r>
      <w:r>
        <w:t xml:space="preserve"> in children, which has direct relevance to the proposed indication in adults</w:t>
      </w:r>
      <w:r w:rsidR="00D07DB9">
        <w:t>,</w:t>
      </w:r>
      <w:r>
        <w:t xml:space="preserve"> </w:t>
      </w:r>
      <w:proofErr w:type="spellStart"/>
      <w:r>
        <w:t>Abman</w:t>
      </w:r>
      <w:proofErr w:type="spellEnd"/>
      <w:r>
        <w:t xml:space="preserve"> et al</w:t>
      </w:r>
      <w:r w:rsidR="00F601A9">
        <w:t>;</w:t>
      </w:r>
      <w:r w:rsidR="008024D2" w:rsidRPr="008024D2">
        <w:rPr>
          <w:vertAlign w:val="superscript"/>
        </w:rPr>
        <w:fldChar w:fldCharType="begin"/>
      </w:r>
      <w:r w:rsidR="008024D2" w:rsidRPr="008024D2">
        <w:rPr>
          <w:vertAlign w:val="superscript"/>
        </w:rPr>
        <w:instrText xml:space="preserve"> NOTEREF _Ref25847357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49</w:t>
      </w:r>
      <w:r w:rsidR="008024D2" w:rsidRPr="008024D2">
        <w:rPr>
          <w:vertAlign w:val="superscript"/>
        </w:rPr>
        <w:fldChar w:fldCharType="end"/>
      </w:r>
      <w:r>
        <w:t xml:space="preserve"> state: </w:t>
      </w:r>
      <w:r w:rsidR="003E117D">
        <w:t>‘</w:t>
      </w:r>
      <w:r w:rsidR="00DC7D20">
        <w:t>inhaled nitric oxide</w:t>
      </w:r>
      <w:r>
        <w:t xml:space="preserve"> is commonly used to treat postoperative </w:t>
      </w:r>
      <w:r w:rsidR="005B7AC9">
        <w:t>pulmonary hypertension</w:t>
      </w:r>
      <w:r>
        <w:t xml:space="preserve"> in patients with </w:t>
      </w:r>
      <w:r w:rsidRPr="002C18B7">
        <w:t xml:space="preserve">congenital heart disease at doses between 2 and 80 ppm. Doses of </w:t>
      </w:r>
      <w:r w:rsidR="00DC7D20" w:rsidRPr="002C18B7">
        <w:t>inhaled nitric oxide</w:t>
      </w:r>
      <w:r w:rsidRPr="002C18B7">
        <w:t xml:space="preserve"> &gt;</w:t>
      </w:r>
      <w:r w:rsidR="002C18B7">
        <w:t> </w:t>
      </w:r>
      <w:r w:rsidRPr="002C18B7">
        <w:t>20</w:t>
      </w:r>
      <w:r w:rsidR="002C18B7">
        <w:t> </w:t>
      </w:r>
      <w:r w:rsidRPr="002C18B7">
        <w:t>ppm rarely have additional</w:t>
      </w:r>
      <w:r>
        <w:t xml:space="preserve"> benefit on </w:t>
      </w:r>
      <w:r w:rsidR="00341A54">
        <w:t>pulmonary hypertension</w:t>
      </w:r>
      <w:r>
        <w:t>, and lower doses (&lt;</w:t>
      </w:r>
      <w:r w:rsidR="005B7AC9">
        <w:t> 1</w:t>
      </w:r>
      <w:r>
        <w:t>0</w:t>
      </w:r>
      <w:r w:rsidR="005B7AC9">
        <w:t> </w:t>
      </w:r>
      <w:r>
        <w:t>ppm) are useful for improving gas exchange.</w:t>
      </w:r>
      <w:r w:rsidR="003E117D">
        <w:t>’</w:t>
      </w:r>
    </w:p>
    <w:p w14:paraId="0416C1B1" w14:textId="0DB2595A" w:rsidR="003B08F8" w:rsidRDefault="006673FA" w:rsidP="006673FA">
      <w:r>
        <w:t xml:space="preserve">Note that the </w:t>
      </w:r>
      <w:r w:rsidR="003E6F92">
        <w:t>sponsor</w:t>
      </w:r>
      <w:r>
        <w:t xml:space="preserve"> quoted the first part of this paragraph as evidence of a consensus in favour of higher doses, </w:t>
      </w:r>
      <w:r w:rsidRPr="00F613DE">
        <w:t xml:space="preserve">but </w:t>
      </w:r>
      <w:r w:rsidR="00F613DE" w:rsidRPr="00F613DE">
        <w:t>not the</w:t>
      </w:r>
      <w:r w:rsidRPr="00F613DE">
        <w:t xml:space="preserve"> next sentence, which suggests that there is no known benefit of higher doses, and there are reasons to suspect some advantages of lower doses (improved gas exchange).</w:t>
      </w:r>
      <w:r>
        <w:t xml:space="preserve"> The authors merely note that the practice of using higher doses is common, not that it is appropriate. Taken in context, the very section that the </w:t>
      </w:r>
      <w:r w:rsidR="003E6F92">
        <w:t>sponsor</w:t>
      </w:r>
      <w:r>
        <w:t xml:space="preserve"> has quoted in favour of a maximum dose of 40 ppm instead sounds more like a warning to keep doses lower.</w:t>
      </w:r>
    </w:p>
    <w:p w14:paraId="7811629D" w14:textId="77777777" w:rsidR="006673FA" w:rsidRDefault="006673FA" w:rsidP="00341A54">
      <w:pPr>
        <w:pStyle w:val="Heading5"/>
      </w:pPr>
      <w:r>
        <w:t>Conclusion</w:t>
      </w:r>
    </w:p>
    <w:p w14:paraId="4E010D88" w14:textId="77777777" w:rsidR="003B08F8" w:rsidRDefault="006673FA" w:rsidP="006673FA">
      <w:r>
        <w:t xml:space="preserve">The </w:t>
      </w:r>
      <w:r w:rsidR="003E6F92">
        <w:t>sponsor</w:t>
      </w:r>
      <w:r>
        <w:t xml:space="preserve"> has not provided any evidence that </w:t>
      </w:r>
      <w:r w:rsidR="00DC7D20">
        <w:t>inhaled nitric oxide</w:t>
      </w:r>
      <w:r>
        <w:t xml:space="preserve"> is more effective at 40 ppm than at 20 ppm, and the studies that have been performed with this dose do not allow </w:t>
      </w:r>
      <w:r>
        <w:lastRenderedPageBreak/>
        <w:t xml:space="preserve">a robust comparison of the relative safety of the two doses. The </w:t>
      </w:r>
      <w:r w:rsidR="003E6F92">
        <w:t>sponsor</w:t>
      </w:r>
      <w:r>
        <w:t xml:space="preserve">-initiated study, </w:t>
      </w:r>
      <w:r w:rsidR="00BB39E5">
        <w:t>INOT41</w:t>
      </w:r>
      <w:r>
        <w:t xml:space="preserve">, adds 69 patients to the exposure database for </w:t>
      </w:r>
      <w:r w:rsidR="00DC7D20">
        <w:t>inhaled nitric oxide</w:t>
      </w:r>
      <w:r>
        <w:t xml:space="preserve"> 40 ppm, but this study was not powered for an assessment of pulmonary toxicity and it did not include a 20 ppm dose group for comparison. This study failed to show an efficacy benefit of </w:t>
      </w:r>
      <w:r w:rsidR="00DC7D20">
        <w:t>inhaled nitric oxide</w:t>
      </w:r>
      <w:r>
        <w:t xml:space="preserve"> 40 ppm over placebo, so it provides no support for the idea that there is a dose-response curve at the doses of interest. The only studies to compare 20</w:t>
      </w:r>
      <w:r w:rsidR="00341A54">
        <w:t> </w:t>
      </w:r>
      <w:r>
        <w:t>ppm and 40 ppm were small and underpowered, and they did not show superiority of the higher dose.</w:t>
      </w:r>
    </w:p>
    <w:p w14:paraId="1970F4D9" w14:textId="7C42C7E5" w:rsidR="006673FA" w:rsidRDefault="006673FA" w:rsidP="006673FA">
      <w:r>
        <w:t xml:space="preserve">The additional, new references cited by the </w:t>
      </w:r>
      <w:r w:rsidR="003E6F92">
        <w:t>sponsor</w:t>
      </w:r>
      <w:r>
        <w:t xml:space="preserve"> in support of higher doses do not provide evidence of superior efficacy of doses &gt;</w:t>
      </w:r>
      <w:r w:rsidR="00341A54">
        <w:t xml:space="preserve"> </w:t>
      </w:r>
      <w:r>
        <w:t>20 ppm.</w:t>
      </w:r>
      <w:r w:rsidR="00D42948">
        <w:t xml:space="preserve"> </w:t>
      </w:r>
      <w:r>
        <w:t xml:space="preserve">The recommendations of the American Heart Association for treatment of paediatric pulmonary hypertension do not support use of a higher dose, and the </w:t>
      </w:r>
      <w:r w:rsidR="003E6F92">
        <w:t>sponsor</w:t>
      </w:r>
      <w:r>
        <w:t xml:space="preserve">’s quotation of the </w:t>
      </w:r>
      <w:r w:rsidR="00931948">
        <w:rPr>
          <w:rFonts w:eastAsia="TimesNewRoman"/>
        </w:rPr>
        <w:t>American Heart Association</w:t>
      </w:r>
      <w:r w:rsidR="00931948">
        <w:t xml:space="preserve"> (</w:t>
      </w:r>
      <w:r>
        <w:t>AHA</w:t>
      </w:r>
      <w:r w:rsidR="00931948">
        <w:t>)</w:t>
      </w:r>
      <w:r>
        <w:t xml:space="preserve"> guidelines </w:t>
      </w:r>
      <w:r w:rsidRPr="003A00CA">
        <w:t>is incomplete</w:t>
      </w:r>
      <w:r>
        <w:t>.</w:t>
      </w:r>
    </w:p>
    <w:p w14:paraId="1D6DE587" w14:textId="77777777" w:rsidR="003B08F8" w:rsidRDefault="006673FA" w:rsidP="006673FA">
      <w:r>
        <w:t xml:space="preserve">Post-marketing surveillance has not directly demonstrated major safety issues with an </w:t>
      </w:r>
      <w:r w:rsidR="00DC7D20">
        <w:t>inhaled nitric oxide</w:t>
      </w:r>
      <w:r>
        <w:t xml:space="preserve"> dose of 40 ppm, but i</w:t>
      </w:r>
      <w:r w:rsidR="002C18B7">
        <w:t>t</w:t>
      </w:r>
      <w:r>
        <w:t xml:space="preserve"> is not clear that pulmonary toxicity would be easily recognised in a population where pulmonary dysfunction is already expected to be prevalent, without an appropriate control group and a randomised, double</w:t>
      </w:r>
      <w:r w:rsidR="00D07DB9">
        <w:t xml:space="preserve"> </w:t>
      </w:r>
      <w:r>
        <w:t>blind, prospective methodology.</w:t>
      </w:r>
    </w:p>
    <w:p w14:paraId="1C0B2477" w14:textId="77777777" w:rsidR="006673FA" w:rsidRDefault="006673FA" w:rsidP="006673FA">
      <w:r>
        <w:t xml:space="preserve">Overall, there is no clear efficacy benefit for doses of </w:t>
      </w:r>
      <w:r w:rsidR="00DC7D20">
        <w:t>inhaled nitric oxide</w:t>
      </w:r>
      <w:r>
        <w:t xml:space="preserve"> &gt;</w:t>
      </w:r>
      <w:r w:rsidR="00341A54">
        <w:t xml:space="preserve"> </w:t>
      </w:r>
      <w:r>
        <w:t xml:space="preserve">20 ppm, and the safety of higher doses has not been assessed for long enough, in enough patients, with sufficient rigour, to address </w:t>
      </w:r>
      <w:r w:rsidR="00341A54">
        <w:t>non</w:t>
      </w:r>
      <w:r>
        <w:t>-clinical concerns.</w:t>
      </w:r>
    </w:p>
    <w:p w14:paraId="46F994CD" w14:textId="57DB035E" w:rsidR="003E117D" w:rsidRDefault="006673FA" w:rsidP="00DF4942">
      <w:pPr>
        <w:pStyle w:val="Heading4"/>
      </w:pPr>
      <w:r w:rsidRPr="00341A54">
        <w:t xml:space="preserve">Question </w:t>
      </w:r>
      <w:r w:rsidR="003E117D">
        <w:t>2</w:t>
      </w:r>
    </w:p>
    <w:p w14:paraId="7282BA73" w14:textId="5F8DE781" w:rsidR="006673FA" w:rsidRPr="00341A54" w:rsidRDefault="006673FA" w:rsidP="006673FA">
      <w:pPr>
        <w:rPr>
          <w:b/>
          <w:i/>
        </w:rPr>
      </w:pPr>
      <w:r w:rsidRPr="00341A54">
        <w:rPr>
          <w:b/>
          <w:i/>
        </w:rPr>
        <w:t xml:space="preserve">Why did the Efficacy </w:t>
      </w:r>
      <w:r w:rsidR="003E117D">
        <w:rPr>
          <w:b/>
          <w:i/>
        </w:rPr>
        <w:t>s</w:t>
      </w:r>
      <w:r w:rsidRPr="00341A54">
        <w:rPr>
          <w:b/>
          <w:i/>
        </w:rPr>
        <w:t xml:space="preserve">ection of the PI exclude mention of </w:t>
      </w:r>
      <w:r w:rsidR="003E117D">
        <w:rPr>
          <w:b/>
          <w:i/>
        </w:rPr>
        <w:t xml:space="preserve">Study </w:t>
      </w:r>
      <w:r w:rsidR="00BB39E5" w:rsidRPr="00341A54">
        <w:rPr>
          <w:b/>
          <w:i/>
        </w:rPr>
        <w:t>INOT41</w:t>
      </w:r>
      <w:r w:rsidRPr="00341A54">
        <w:rPr>
          <w:b/>
          <w:i/>
        </w:rPr>
        <w:t xml:space="preserve">, the single-most important study assessing efficacy of </w:t>
      </w:r>
      <w:r w:rsidR="00DC7D20" w:rsidRPr="00341A54">
        <w:rPr>
          <w:b/>
          <w:i/>
        </w:rPr>
        <w:t>inhaled nitric oxide</w:t>
      </w:r>
      <w:r w:rsidRPr="00341A54">
        <w:rPr>
          <w:b/>
          <w:i/>
        </w:rPr>
        <w:t xml:space="preserve"> in adults?</w:t>
      </w:r>
      <w:r w:rsidR="00B54EAF">
        <w:rPr>
          <w:rStyle w:val="FootnoteReference"/>
          <w:b/>
          <w:i/>
        </w:rPr>
        <w:footnoteReference w:id="52"/>
      </w:r>
    </w:p>
    <w:p w14:paraId="1C37CA16" w14:textId="61F72610" w:rsidR="006673FA" w:rsidRDefault="006673FA" w:rsidP="00DF4942">
      <w:pPr>
        <w:pStyle w:val="Heading5"/>
      </w:pPr>
      <w:r>
        <w:t xml:space="preserve">Sponsor’s </w:t>
      </w:r>
      <w:r w:rsidR="003E117D">
        <w:t>r</w:t>
      </w:r>
      <w:r>
        <w:t>esponse</w:t>
      </w:r>
    </w:p>
    <w:p w14:paraId="23506EA8" w14:textId="2D7A2019" w:rsidR="006673FA" w:rsidRDefault="006673FA" w:rsidP="006673FA">
      <w:r>
        <w:t xml:space="preserve">The </w:t>
      </w:r>
      <w:r w:rsidR="009402F9">
        <w:t>sponsor</w:t>
      </w:r>
      <w:r>
        <w:t xml:space="preserve"> did not intentionally exclude the results of Study </w:t>
      </w:r>
      <w:r w:rsidR="00BB39E5">
        <w:t>INOT41</w:t>
      </w:r>
      <w:r>
        <w:t xml:space="preserve"> as the proposed PI included a summary of the publication by </w:t>
      </w:r>
      <w:proofErr w:type="spellStart"/>
      <w:r>
        <w:t>Kukucka</w:t>
      </w:r>
      <w:proofErr w:type="spellEnd"/>
      <w:r>
        <w:t xml:space="preserve"> et al., 2011</w:t>
      </w:r>
      <w:r w:rsidR="00F601A9">
        <w:t>;</w:t>
      </w:r>
      <w:r w:rsidR="008024D2" w:rsidRPr="008024D2">
        <w:rPr>
          <w:vertAlign w:val="superscript"/>
        </w:rPr>
        <w:fldChar w:fldCharType="begin"/>
      </w:r>
      <w:r w:rsidR="008024D2" w:rsidRPr="008024D2">
        <w:rPr>
          <w:vertAlign w:val="superscript"/>
        </w:rPr>
        <w:instrText xml:space="preserve"> NOTEREF _Ref22221489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19</w:t>
      </w:r>
      <w:r w:rsidR="008024D2" w:rsidRPr="008024D2">
        <w:rPr>
          <w:vertAlign w:val="superscript"/>
        </w:rPr>
        <w:fldChar w:fldCharType="end"/>
      </w:r>
      <w:r>
        <w:t xml:space="preserve"> that reported on a group of 49 patients treated at one centre in </w:t>
      </w:r>
      <w:r w:rsidR="003E117D">
        <w:t xml:space="preserve">Study </w:t>
      </w:r>
      <w:r w:rsidR="00BB39E5">
        <w:t>INOT41</w:t>
      </w:r>
      <w:r w:rsidR="007B2D51">
        <w:t>. In view of the clinical e</w:t>
      </w:r>
      <w:r>
        <w:t xml:space="preserve">valuator’s comments, a summary of the findings of the complete Study </w:t>
      </w:r>
      <w:r w:rsidR="00BB39E5">
        <w:t>INOT41</w:t>
      </w:r>
      <w:r>
        <w:t xml:space="preserve"> is now included in the revised PI, making th</w:t>
      </w:r>
      <w:r w:rsidR="002C18B7">
        <w:t>e inclusion of the subset study</w:t>
      </w:r>
      <w:r w:rsidR="003E117D">
        <w:t xml:space="preserve"> unnecessary.</w:t>
      </w:r>
      <w:r w:rsidR="008024D2" w:rsidRPr="008024D2">
        <w:rPr>
          <w:vertAlign w:val="superscript"/>
        </w:rPr>
        <w:fldChar w:fldCharType="begin"/>
      </w:r>
      <w:r w:rsidR="008024D2" w:rsidRPr="008024D2">
        <w:rPr>
          <w:vertAlign w:val="superscript"/>
        </w:rPr>
        <w:instrText xml:space="preserve"> NOTEREF _Ref22221489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19</w:t>
      </w:r>
      <w:r w:rsidR="008024D2" w:rsidRPr="008024D2">
        <w:rPr>
          <w:vertAlign w:val="superscript"/>
        </w:rPr>
        <w:fldChar w:fldCharType="end"/>
      </w:r>
    </w:p>
    <w:p w14:paraId="5FB1F381" w14:textId="6FD08AB3" w:rsidR="006673FA" w:rsidRDefault="003E117D" w:rsidP="00DF4942">
      <w:pPr>
        <w:pStyle w:val="Heading5"/>
      </w:pPr>
      <w:r>
        <w:t>Evaluator’s comments</w:t>
      </w:r>
    </w:p>
    <w:p w14:paraId="48D778D9" w14:textId="05574A20" w:rsidR="003B08F8" w:rsidRDefault="006673FA" w:rsidP="006673FA">
      <w:r>
        <w:t xml:space="preserve">The </w:t>
      </w:r>
      <w:r w:rsidR="009402F9">
        <w:t>sponsor</w:t>
      </w:r>
      <w:r>
        <w:t xml:space="preserve">’s explanation of the omission of </w:t>
      </w:r>
      <w:r w:rsidR="003E117D">
        <w:t xml:space="preserve">Study </w:t>
      </w:r>
      <w:r w:rsidR="00BB39E5">
        <w:t>INOT41</w:t>
      </w:r>
      <w:r>
        <w:t xml:space="preserve"> from the PI appears to be that the omission was not intentional</w:t>
      </w:r>
      <w:r w:rsidR="004203B7" w:rsidRPr="008024D2">
        <w:t>.</w:t>
      </w:r>
      <w:r w:rsidR="004203B7" w:rsidRPr="008024D2">
        <w:rPr>
          <w:rStyle w:val="FootnoteReference"/>
        </w:rPr>
        <w:footnoteReference w:id="53"/>
      </w:r>
    </w:p>
    <w:p w14:paraId="05BF3A9D" w14:textId="3CF19EE3" w:rsidR="006673FA" w:rsidRDefault="006673FA" w:rsidP="006673FA">
      <w:r>
        <w:t xml:space="preserve">The </w:t>
      </w:r>
      <w:r w:rsidR="009402F9">
        <w:t>sponsor</w:t>
      </w:r>
      <w:r>
        <w:t xml:space="preserve"> </w:t>
      </w:r>
      <w:r w:rsidR="00F85355">
        <w:t xml:space="preserve">acknowledged this omission and </w:t>
      </w:r>
      <w:r>
        <w:t xml:space="preserve">now proposes including </w:t>
      </w:r>
      <w:r w:rsidR="003E117D">
        <w:t xml:space="preserve">Study </w:t>
      </w:r>
      <w:r w:rsidR="00BB39E5">
        <w:t>INOT41</w:t>
      </w:r>
      <w:r>
        <w:t xml:space="preserve"> in the PI, and droppin</w:t>
      </w:r>
      <w:r w:rsidR="002C18B7">
        <w:t xml:space="preserve">g mention of the minor </w:t>
      </w:r>
      <w:proofErr w:type="spellStart"/>
      <w:r w:rsidR="002C18B7">
        <w:t>substudy</w:t>
      </w:r>
      <w:proofErr w:type="spellEnd"/>
      <w:r w:rsidR="004203B7">
        <w:t xml:space="preserve"> by </w:t>
      </w:r>
      <w:proofErr w:type="spellStart"/>
      <w:r w:rsidR="004203B7">
        <w:t>Kukucka</w:t>
      </w:r>
      <w:proofErr w:type="spellEnd"/>
      <w:r w:rsidR="004203B7">
        <w:t xml:space="preserve"> et al</w:t>
      </w:r>
      <w:r w:rsidR="003E117D">
        <w:t>;</w:t>
      </w:r>
      <w:r w:rsidR="008024D2" w:rsidRPr="008024D2">
        <w:rPr>
          <w:vertAlign w:val="superscript"/>
        </w:rPr>
        <w:fldChar w:fldCharType="begin"/>
      </w:r>
      <w:r w:rsidR="008024D2" w:rsidRPr="008024D2">
        <w:rPr>
          <w:vertAlign w:val="superscript"/>
        </w:rPr>
        <w:instrText xml:space="preserve"> NOTEREF _Ref22221489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19</w:t>
      </w:r>
      <w:r w:rsidR="008024D2" w:rsidRPr="008024D2">
        <w:rPr>
          <w:vertAlign w:val="superscript"/>
        </w:rPr>
        <w:fldChar w:fldCharType="end"/>
      </w:r>
      <w:r>
        <w:t xml:space="preserve"> this seems appropriate.</w:t>
      </w:r>
      <w:r w:rsidR="004203B7">
        <w:rPr>
          <w:rStyle w:val="FootnoteReference"/>
        </w:rPr>
        <w:footnoteReference w:id="54"/>
      </w:r>
    </w:p>
    <w:p w14:paraId="143850A3" w14:textId="77777777" w:rsidR="00605AD4" w:rsidRPr="00605AD4" w:rsidRDefault="00605AD4" w:rsidP="00546154">
      <w:pPr>
        <w:pStyle w:val="Heading3"/>
        <w:rPr>
          <w:rFonts w:eastAsia="Cambria"/>
        </w:rPr>
      </w:pPr>
      <w:bookmarkStart w:id="132" w:name="_Toc28009953"/>
      <w:r w:rsidRPr="00605AD4">
        <w:rPr>
          <w:rFonts w:eastAsia="Cambria"/>
        </w:rPr>
        <w:t xml:space="preserve">Second </w:t>
      </w:r>
      <w:r w:rsidR="00527AF3" w:rsidRPr="00605AD4">
        <w:rPr>
          <w:rFonts w:eastAsia="Cambria"/>
        </w:rPr>
        <w:t>round benefit-risk assessment</w:t>
      </w:r>
      <w:bookmarkEnd w:id="132"/>
    </w:p>
    <w:p w14:paraId="4F7A2826" w14:textId="77777777" w:rsidR="003B08F8" w:rsidRDefault="006673FA" w:rsidP="006673FA">
      <w:r>
        <w:t>The second round benefit-risk assessment is not substantially different from the first round assessment.</w:t>
      </w:r>
    </w:p>
    <w:p w14:paraId="1C6316B8" w14:textId="77777777" w:rsidR="003B08F8" w:rsidRDefault="006673FA" w:rsidP="006673FA">
      <w:r>
        <w:lastRenderedPageBreak/>
        <w:t xml:space="preserve">The </w:t>
      </w:r>
      <w:r w:rsidR="009402F9">
        <w:t>sponsor</w:t>
      </w:r>
      <w:r>
        <w:t xml:space="preserve">’s response to </w:t>
      </w:r>
      <w:r w:rsidR="00341A54">
        <w:t>c</w:t>
      </w:r>
      <w:r>
        <w:t xml:space="preserve">linical Question 1 has provided a chance to revisit the issue of whether a maximum dose of 40 ppm is appropriate. There is no evidence that </w:t>
      </w:r>
      <w:r w:rsidR="00DC7D20">
        <w:t>inhaled nitric oxide</w:t>
      </w:r>
      <w:r>
        <w:t xml:space="preserve"> at 40 ppm is more effective than 20 ppm, so there are no known benefits of the higher dose compared to the lower dose. Because the dose-response curve has not been adequately defined, it remains possible that individual patients might show a different response to the two doses.</w:t>
      </w:r>
    </w:p>
    <w:p w14:paraId="206B4D50" w14:textId="77777777" w:rsidR="003B08F8" w:rsidRDefault="006673FA" w:rsidP="006673FA">
      <w:r>
        <w:t>There is no satisfactory safety data allowing comparison of the 40 ppm dose with the 20</w:t>
      </w:r>
      <w:r w:rsidR="00341A54">
        <w:t> </w:t>
      </w:r>
      <w:r>
        <w:t xml:space="preserve">ppm dose, so the risks of the higher dose remain unclear. Most toxic effects known or suspected to be associated with </w:t>
      </w:r>
      <w:r w:rsidR="00DC7D20">
        <w:t>inhaled nitric oxide</w:t>
      </w:r>
      <w:r>
        <w:t xml:space="preserve"> are dose-related, so it is appropriate to recommend the lowest effective dose.</w:t>
      </w:r>
    </w:p>
    <w:p w14:paraId="4F81BFF1" w14:textId="6C941808" w:rsidR="006673FA" w:rsidRDefault="006673FA" w:rsidP="006673FA">
      <w:r>
        <w:t xml:space="preserve">Compared to when the </w:t>
      </w:r>
      <w:proofErr w:type="spellStart"/>
      <w:r w:rsidR="000E07C6">
        <w:t>Vasokinox</w:t>
      </w:r>
      <w:proofErr w:type="spellEnd"/>
      <w:r>
        <w:t xml:space="preserve"> submission was evaluated, there is very little new information, but 69 subjects were exposed to </w:t>
      </w:r>
      <w:r w:rsidR="00DC7D20">
        <w:t>inhaled nitric oxide</w:t>
      </w:r>
      <w:r>
        <w:t xml:space="preserve"> 40 ppm in the </w:t>
      </w:r>
      <w:r w:rsidR="009402F9">
        <w:t>sponsor</w:t>
      </w:r>
      <w:r w:rsidR="002C18B7">
        <w:t xml:space="preserve"> </w:t>
      </w:r>
      <w:r>
        <w:t xml:space="preserve">initiated </w:t>
      </w:r>
      <w:r w:rsidR="003E117D">
        <w:t>Study</w:t>
      </w:r>
      <w:r>
        <w:t xml:space="preserve"> </w:t>
      </w:r>
      <w:r w:rsidR="00BB39E5">
        <w:t>INOT41</w:t>
      </w:r>
      <w:r>
        <w:t>. This study was negative for its efficacy endpoints and it did not involve a control group receiving 20 ppm, so it does not provide a strong basis for preferring the 40 ppm dose over 20 ppm.</w:t>
      </w:r>
    </w:p>
    <w:p w14:paraId="3FAD5E23" w14:textId="026D7840" w:rsidR="00605AD4" w:rsidRPr="00605AD4" w:rsidRDefault="006673FA" w:rsidP="006673FA">
      <w:r>
        <w:t xml:space="preserve">In isolated cases with refractory pulmonary hypertension, the potential risks of pulmonary toxicity with </w:t>
      </w:r>
      <w:r w:rsidR="00DC7D20">
        <w:t>inhaled nitric oxide</w:t>
      </w:r>
      <w:r>
        <w:t xml:space="preserve"> 40 ppm could be considered clinically acceptable, and a trial of increasing from 20 ppm to 40 ppm might be appropriate. (This is the approach taken in the EU, on the basis of the same evidence considered in this report.) The PI should make it clear, however, that such an increase is not backed by any robust trial data, that there is no evidence of a dose-response curve between 20 ppm and 40 ppm, and that exposure to higher doses might cause pulmonary inflammation. Exposure to higher doses should be limited in duration where possible. Caution in this is particularly appropriate given that other inhaled pulmonary vasodilators are available, and switching to alternative agents should be considered in refractory cases</w:t>
      </w:r>
      <w:r w:rsidR="003E117D">
        <w:t xml:space="preserve"> (p</w:t>
      </w:r>
      <w:r>
        <w:t>recise recommendations on alternatives cannot be made, given the lack of robust trial data.)</w:t>
      </w:r>
    </w:p>
    <w:p w14:paraId="79013988" w14:textId="77777777" w:rsidR="008E7846" w:rsidRDefault="008E7846" w:rsidP="00546154">
      <w:pPr>
        <w:pStyle w:val="Heading2"/>
      </w:pPr>
      <w:bookmarkStart w:id="133" w:name="_Toc28009954"/>
      <w:r w:rsidRPr="00E41208">
        <w:t>V</w:t>
      </w:r>
      <w:r w:rsidR="00500337">
        <w:t>I</w:t>
      </w:r>
      <w:r w:rsidRPr="00E41208">
        <w:t xml:space="preserve">. Pharmacovigilance </w:t>
      </w:r>
      <w:r>
        <w:t>f</w:t>
      </w:r>
      <w:r w:rsidRPr="00E41208">
        <w:t>indings</w:t>
      </w:r>
      <w:bookmarkEnd w:id="105"/>
      <w:bookmarkEnd w:id="106"/>
      <w:bookmarkEnd w:id="133"/>
    </w:p>
    <w:p w14:paraId="3F0907EC" w14:textId="77777777" w:rsidR="006C537A" w:rsidRDefault="006C537A" w:rsidP="006C537A">
      <w:pPr>
        <w:pStyle w:val="Heading3"/>
        <w:rPr>
          <w:lang w:eastAsia="en-AU"/>
        </w:rPr>
      </w:pPr>
      <w:bookmarkStart w:id="134" w:name="_Toc28009955"/>
      <w:r>
        <w:rPr>
          <w:lang w:eastAsia="en-AU"/>
        </w:rPr>
        <w:t>Summary of RMP evaluation</w:t>
      </w:r>
      <w:bookmarkStart w:id="135" w:name="_Ref22564814"/>
      <w:r>
        <w:rPr>
          <w:rStyle w:val="FootnoteReference"/>
          <w:lang w:eastAsia="en-AU"/>
        </w:rPr>
        <w:footnoteReference w:id="55"/>
      </w:r>
      <w:bookmarkEnd w:id="135"/>
      <w:bookmarkEnd w:id="134"/>
    </w:p>
    <w:p w14:paraId="5881C9C4" w14:textId="77777777" w:rsidR="006C537A" w:rsidRPr="008B79B3" w:rsidRDefault="006C537A" w:rsidP="006C537A">
      <w:pPr>
        <w:rPr>
          <w:lang w:eastAsia="en-AU"/>
        </w:rPr>
      </w:pPr>
      <w:r>
        <w:rPr>
          <w:lang w:eastAsia="en-AU"/>
        </w:rPr>
        <w:t>The sponsor</w:t>
      </w:r>
      <w:r w:rsidRPr="008B79B3">
        <w:rPr>
          <w:lang w:eastAsia="en-AU"/>
        </w:rPr>
        <w:t xml:space="preserve"> has applied to extend the indications of nitric oxide (</w:t>
      </w:r>
      <w:proofErr w:type="spellStart"/>
      <w:r>
        <w:rPr>
          <w:lang w:eastAsia="en-AU"/>
        </w:rPr>
        <w:t>INOmax</w:t>
      </w:r>
      <w:proofErr w:type="spellEnd"/>
      <w:r w:rsidRPr="008B79B3">
        <w:rPr>
          <w:lang w:eastAsia="en-AU"/>
        </w:rPr>
        <w:t>) which is currently approved for the treatment of pulmonary hypertension in neonates and children as an inhaled medical gas at a concentration of 5</w:t>
      </w:r>
      <w:r>
        <w:rPr>
          <w:lang w:eastAsia="en-AU"/>
        </w:rPr>
        <w:t xml:space="preserve"> to</w:t>
      </w:r>
      <w:r w:rsidR="00EB34A3">
        <w:rPr>
          <w:lang w:eastAsia="en-AU"/>
        </w:rPr>
        <w:t xml:space="preserve"> </w:t>
      </w:r>
      <w:r w:rsidRPr="008B79B3">
        <w:rPr>
          <w:lang w:eastAsia="en-AU"/>
        </w:rPr>
        <w:t>20 ppm. The current submission seeks to extend the indications to include use in adults as part of the treatment of pulmonary hypertension associated with heart surgery.</w:t>
      </w:r>
    </w:p>
    <w:p w14:paraId="062646AA" w14:textId="143F1CED" w:rsidR="006C537A" w:rsidRDefault="006C537A" w:rsidP="006C537A">
      <w:pPr>
        <w:rPr>
          <w:lang w:eastAsia="en-AU"/>
        </w:rPr>
      </w:pPr>
      <w:r w:rsidRPr="008B79B3">
        <w:rPr>
          <w:lang w:eastAsia="en-AU"/>
        </w:rPr>
        <w:t xml:space="preserve">The most recently evaluated EU-RMP was version 2.0 (31 March 2014; </w:t>
      </w:r>
      <w:r w:rsidR="003E117D">
        <w:rPr>
          <w:lang w:eastAsia="en-AU"/>
        </w:rPr>
        <w:t>data lock point (</w:t>
      </w:r>
      <w:r w:rsidRPr="008B79B3">
        <w:rPr>
          <w:lang w:eastAsia="en-AU"/>
        </w:rPr>
        <w:t>DLP</w:t>
      </w:r>
      <w:r w:rsidR="003E117D">
        <w:rPr>
          <w:lang w:eastAsia="en-AU"/>
        </w:rPr>
        <w:t>)</w:t>
      </w:r>
      <w:r w:rsidRPr="008B79B3">
        <w:rPr>
          <w:lang w:eastAsia="en-AU"/>
        </w:rPr>
        <w:t xml:space="preserve"> 31 March 2014) and ASA version 2 (6 March 2015). In support of the extended indications, the sponsor has submitted Australian RMP version 3.0 (4 April 2018; DLP 31 January 2018) and Australian RMP version 4.0; (23 October 2018; DLP 31 January 2018).</w:t>
      </w:r>
    </w:p>
    <w:p w14:paraId="05718ECD" w14:textId="77777777" w:rsidR="006673FA" w:rsidRDefault="00386150" w:rsidP="006673FA">
      <w:pPr>
        <w:pStyle w:val="Heading3"/>
        <w:rPr>
          <w:lang w:eastAsia="en-AU"/>
        </w:rPr>
      </w:pPr>
      <w:bookmarkStart w:id="136" w:name="_Toc247691526"/>
      <w:bookmarkStart w:id="137" w:name="_Toc314842509"/>
      <w:bookmarkStart w:id="138" w:name="_Toc28009956"/>
      <w:r>
        <w:rPr>
          <w:lang w:eastAsia="en-AU"/>
        </w:rPr>
        <w:lastRenderedPageBreak/>
        <w:t>Risk m</w:t>
      </w:r>
      <w:r w:rsidR="008E7846">
        <w:rPr>
          <w:lang w:eastAsia="en-AU"/>
        </w:rPr>
        <w:t xml:space="preserve">anagement </w:t>
      </w:r>
      <w:r>
        <w:rPr>
          <w:lang w:eastAsia="en-AU"/>
        </w:rPr>
        <w:t>p</w:t>
      </w:r>
      <w:r w:rsidR="008E7846">
        <w:rPr>
          <w:lang w:eastAsia="en-AU"/>
        </w:rPr>
        <w:t>lan</w:t>
      </w:r>
      <w:bookmarkStart w:id="139" w:name="_Toc247691527"/>
      <w:bookmarkStart w:id="140" w:name="_Toc314842510"/>
      <w:bookmarkEnd w:id="136"/>
      <w:bookmarkEnd w:id="137"/>
      <w:bookmarkEnd w:id="138"/>
    </w:p>
    <w:p w14:paraId="707FF3EF" w14:textId="77777777" w:rsidR="008B79B3" w:rsidRPr="008B79B3" w:rsidRDefault="00341A54" w:rsidP="00C50B42">
      <w:pPr>
        <w:pStyle w:val="TableTitle"/>
        <w:rPr>
          <w:lang w:eastAsia="en-AU"/>
        </w:rPr>
      </w:pPr>
      <w:r>
        <w:rPr>
          <w:lang w:eastAsia="en-AU"/>
        </w:rPr>
        <w:t xml:space="preserve">Table </w:t>
      </w:r>
      <w:r w:rsidR="002445FA">
        <w:rPr>
          <w:lang w:eastAsia="en-AU"/>
        </w:rPr>
        <w:t>20</w:t>
      </w:r>
      <w:r>
        <w:rPr>
          <w:lang w:eastAsia="en-AU"/>
        </w:rPr>
        <w:t xml:space="preserve">: </w:t>
      </w:r>
      <w:r w:rsidR="00C50B42">
        <w:rPr>
          <w:lang w:eastAsia="en-AU"/>
        </w:rPr>
        <w:t xml:space="preserve">Risk </w:t>
      </w:r>
      <w:r w:rsidR="006C537A">
        <w:rPr>
          <w:lang w:eastAsia="en-AU"/>
        </w:rPr>
        <w:t>man</w:t>
      </w:r>
      <w:r w:rsidR="00C50B42">
        <w:rPr>
          <w:lang w:eastAsia="en-AU"/>
        </w:rPr>
        <w:t>agement plan</w:t>
      </w:r>
    </w:p>
    <w:tbl>
      <w:tblPr>
        <w:tblStyle w:val="TableTGAblue"/>
        <w:tblW w:w="8613" w:type="dxa"/>
        <w:tblLayout w:type="fixed"/>
        <w:tblLook w:val="04A0" w:firstRow="1" w:lastRow="0" w:firstColumn="1" w:lastColumn="0" w:noHBand="0" w:noVBand="1"/>
      </w:tblPr>
      <w:tblGrid>
        <w:gridCol w:w="1327"/>
        <w:gridCol w:w="3034"/>
        <w:gridCol w:w="992"/>
        <w:gridCol w:w="1134"/>
        <w:gridCol w:w="992"/>
        <w:gridCol w:w="1134"/>
      </w:tblGrid>
      <w:tr w:rsidR="008B79B3" w:rsidRPr="004F1C07" w14:paraId="104AA2D9" w14:textId="77777777" w:rsidTr="004C096D">
        <w:trPr>
          <w:cnfStyle w:val="100000000000" w:firstRow="1" w:lastRow="0" w:firstColumn="0" w:lastColumn="0" w:oddVBand="0" w:evenVBand="0" w:oddHBand="0" w:evenHBand="0" w:firstRowFirstColumn="0" w:firstRowLastColumn="0" w:lastRowFirstColumn="0" w:lastRowLastColumn="0"/>
          <w:trHeight w:val="131"/>
        </w:trPr>
        <w:tc>
          <w:tcPr>
            <w:tcW w:w="4361" w:type="dxa"/>
            <w:gridSpan w:val="2"/>
            <w:vMerge w:val="restart"/>
          </w:tcPr>
          <w:p w14:paraId="77BE1121" w14:textId="77777777" w:rsidR="008B79B3" w:rsidRPr="004F1C07" w:rsidRDefault="008B79B3" w:rsidP="00341A54">
            <w:pPr>
              <w:pStyle w:val="Tabletext"/>
              <w:ind w:left="0" w:right="0"/>
              <w:rPr>
                <w:b w:val="0"/>
              </w:rPr>
            </w:pPr>
            <w:r w:rsidRPr="004F1C07">
              <w:rPr>
                <w:b w:val="0"/>
              </w:rPr>
              <w:t>Summary of safety concerns</w:t>
            </w:r>
          </w:p>
        </w:tc>
        <w:tc>
          <w:tcPr>
            <w:tcW w:w="2126" w:type="dxa"/>
            <w:gridSpan w:val="2"/>
          </w:tcPr>
          <w:p w14:paraId="51A42230" w14:textId="77777777" w:rsidR="008B79B3" w:rsidRPr="0011726C" w:rsidRDefault="008B79B3" w:rsidP="00341A54">
            <w:pPr>
              <w:pStyle w:val="Tabletext"/>
              <w:ind w:left="0" w:right="0"/>
              <w:rPr>
                <w:b w:val="0"/>
                <w:sz w:val="18"/>
              </w:rPr>
            </w:pPr>
            <w:r w:rsidRPr="0011726C">
              <w:rPr>
                <w:b w:val="0"/>
                <w:sz w:val="18"/>
              </w:rPr>
              <w:t>Pharmacovigilance</w:t>
            </w:r>
          </w:p>
        </w:tc>
        <w:tc>
          <w:tcPr>
            <w:tcW w:w="2126" w:type="dxa"/>
            <w:gridSpan w:val="2"/>
          </w:tcPr>
          <w:p w14:paraId="20C06760" w14:textId="77777777" w:rsidR="008B79B3" w:rsidRPr="0011726C" w:rsidRDefault="008B79B3" w:rsidP="00341A54">
            <w:pPr>
              <w:pStyle w:val="Tabletext"/>
              <w:ind w:left="0" w:right="0"/>
              <w:rPr>
                <w:b w:val="0"/>
                <w:sz w:val="18"/>
              </w:rPr>
            </w:pPr>
            <w:r w:rsidRPr="0011726C">
              <w:rPr>
                <w:b w:val="0"/>
                <w:sz w:val="18"/>
              </w:rPr>
              <w:t>Risk Minimisation</w:t>
            </w:r>
          </w:p>
        </w:tc>
      </w:tr>
      <w:tr w:rsidR="008B79B3" w:rsidRPr="004F1C07" w14:paraId="0F7998D7" w14:textId="77777777" w:rsidTr="004C096D">
        <w:trPr>
          <w:trHeight w:val="150"/>
        </w:trPr>
        <w:tc>
          <w:tcPr>
            <w:tcW w:w="4361" w:type="dxa"/>
            <w:gridSpan w:val="2"/>
            <w:vMerge/>
          </w:tcPr>
          <w:p w14:paraId="1A561190" w14:textId="77777777" w:rsidR="008B79B3" w:rsidRPr="004F1C07" w:rsidRDefault="008B79B3" w:rsidP="00341A54">
            <w:pPr>
              <w:pStyle w:val="Tabletext"/>
              <w:ind w:left="0" w:right="0"/>
              <w:rPr>
                <w:b/>
              </w:rPr>
            </w:pPr>
          </w:p>
        </w:tc>
        <w:tc>
          <w:tcPr>
            <w:tcW w:w="992" w:type="dxa"/>
          </w:tcPr>
          <w:p w14:paraId="72EC73A9" w14:textId="77777777" w:rsidR="008B79B3" w:rsidRPr="0011726C" w:rsidRDefault="008B79B3" w:rsidP="00341A54">
            <w:pPr>
              <w:pStyle w:val="Tabletext"/>
              <w:ind w:left="0" w:right="0"/>
              <w:rPr>
                <w:sz w:val="18"/>
              </w:rPr>
            </w:pPr>
            <w:r w:rsidRPr="0011726C">
              <w:rPr>
                <w:sz w:val="18"/>
              </w:rPr>
              <w:t>Routine</w:t>
            </w:r>
          </w:p>
        </w:tc>
        <w:tc>
          <w:tcPr>
            <w:tcW w:w="1134" w:type="dxa"/>
          </w:tcPr>
          <w:p w14:paraId="741E1CFE" w14:textId="77777777" w:rsidR="008B79B3" w:rsidRPr="0011726C" w:rsidRDefault="008B79B3" w:rsidP="00341A54">
            <w:pPr>
              <w:pStyle w:val="Tabletext"/>
              <w:ind w:left="0" w:right="0"/>
              <w:rPr>
                <w:sz w:val="18"/>
              </w:rPr>
            </w:pPr>
            <w:r w:rsidRPr="0011726C">
              <w:rPr>
                <w:sz w:val="18"/>
              </w:rPr>
              <w:t>Additional</w:t>
            </w:r>
          </w:p>
        </w:tc>
        <w:tc>
          <w:tcPr>
            <w:tcW w:w="992" w:type="dxa"/>
          </w:tcPr>
          <w:p w14:paraId="424B2D31" w14:textId="77777777" w:rsidR="008B79B3" w:rsidRPr="0011726C" w:rsidRDefault="008B79B3" w:rsidP="00341A54">
            <w:pPr>
              <w:pStyle w:val="Tabletext"/>
              <w:ind w:left="0" w:right="0"/>
              <w:rPr>
                <w:sz w:val="18"/>
              </w:rPr>
            </w:pPr>
            <w:r w:rsidRPr="0011726C">
              <w:rPr>
                <w:sz w:val="18"/>
              </w:rPr>
              <w:t>Routine</w:t>
            </w:r>
          </w:p>
        </w:tc>
        <w:tc>
          <w:tcPr>
            <w:tcW w:w="1134" w:type="dxa"/>
          </w:tcPr>
          <w:p w14:paraId="59118073" w14:textId="77777777" w:rsidR="008B79B3" w:rsidRPr="0011726C" w:rsidRDefault="008B79B3" w:rsidP="00341A54">
            <w:pPr>
              <w:pStyle w:val="Tabletext"/>
              <w:ind w:left="0" w:right="0"/>
              <w:rPr>
                <w:sz w:val="18"/>
              </w:rPr>
            </w:pPr>
            <w:r w:rsidRPr="0011726C">
              <w:rPr>
                <w:sz w:val="18"/>
              </w:rPr>
              <w:t>Additional</w:t>
            </w:r>
          </w:p>
        </w:tc>
      </w:tr>
      <w:tr w:rsidR="008B79B3" w:rsidRPr="004F1C07" w14:paraId="60039156" w14:textId="77777777" w:rsidTr="004C096D">
        <w:trPr>
          <w:trHeight w:val="137"/>
        </w:trPr>
        <w:tc>
          <w:tcPr>
            <w:tcW w:w="1327" w:type="dxa"/>
            <w:vMerge w:val="restart"/>
          </w:tcPr>
          <w:p w14:paraId="46E93A82" w14:textId="77777777" w:rsidR="008B79B3" w:rsidRPr="00680101" w:rsidRDefault="008B79B3" w:rsidP="00341A54">
            <w:pPr>
              <w:pStyle w:val="Tabletext"/>
              <w:ind w:left="0" w:right="0"/>
              <w:rPr>
                <w:b/>
              </w:rPr>
            </w:pPr>
            <w:r w:rsidRPr="00680101">
              <w:rPr>
                <w:b/>
              </w:rPr>
              <w:t>Important identified risks</w:t>
            </w:r>
          </w:p>
        </w:tc>
        <w:tc>
          <w:tcPr>
            <w:tcW w:w="3034" w:type="dxa"/>
          </w:tcPr>
          <w:p w14:paraId="7C767539" w14:textId="77777777" w:rsidR="008B79B3" w:rsidRPr="004F1C07" w:rsidRDefault="008B79B3" w:rsidP="00341A54">
            <w:pPr>
              <w:pStyle w:val="Tabletext"/>
              <w:ind w:left="0" w:right="0"/>
            </w:pPr>
            <w:r>
              <w:t xml:space="preserve">Hypoxemia from </w:t>
            </w:r>
            <w:proofErr w:type="spellStart"/>
            <w:r w:rsidR="00931948">
              <w:t>methaemo</w:t>
            </w:r>
            <w:r w:rsidR="002445FA" w:rsidRPr="00D332FE">
              <w:t>globinaemia</w:t>
            </w:r>
            <w:proofErr w:type="spellEnd"/>
          </w:p>
        </w:tc>
        <w:tc>
          <w:tcPr>
            <w:tcW w:w="992" w:type="dxa"/>
          </w:tcPr>
          <w:p w14:paraId="677C1067" w14:textId="77777777" w:rsidR="008B79B3" w:rsidRPr="00842AD8" w:rsidRDefault="008B79B3" w:rsidP="00341A54">
            <w:pPr>
              <w:pStyle w:val="Tabletext"/>
              <w:ind w:left="0" w:right="0"/>
              <w:jc w:val="center"/>
            </w:pPr>
            <w:r w:rsidRPr="00842AD8">
              <w:sym w:font="Wingdings" w:char="F0FC"/>
            </w:r>
          </w:p>
        </w:tc>
        <w:tc>
          <w:tcPr>
            <w:tcW w:w="1134" w:type="dxa"/>
          </w:tcPr>
          <w:p w14:paraId="1D8E33A2" w14:textId="77777777" w:rsidR="008B79B3" w:rsidRPr="00842AD8" w:rsidRDefault="008B79B3" w:rsidP="00341A54">
            <w:pPr>
              <w:pStyle w:val="Tabletext"/>
              <w:ind w:left="0" w:right="0"/>
              <w:jc w:val="center"/>
            </w:pPr>
            <w:r w:rsidRPr="00842AD8">
              <w:t>–</w:t>
            </w:r>
          </w:p>
        </w:tc>
        <w:tc>
          <w:tcPr>
            <w:tcW w:w="992" w:type="dxa"/>
          </w:tcPr>
          <w:p w14:paraId="735F9D1F" w14:textId="77777777" w:rsidR="008B79B3" w:rsidRPr="00842AD8" w:rsidRDefault="008B79B3" w:rsidP="00341A54">
            <w:pPr>
              <w:pStyle w:val="Tabletext"/>
              <w:ind w:left="0" w:right="0"/>
              <w:jc w:val="center"/>
            </w:pPr>
            <w:r w:rsidRPr="00842AD8">
              <w:sym w:font="Wingdings" w:char="F0FC"/>
            </w:r>
          </w:p>
        </w:tc>
        <w:tc>
          <w:tcPr>
            <w:tcW w:w="1134" w:type="dxa"/>
          </w:tcPr>
          <w:p w14:paraId="361BB535" w14:textId="77777777" w:rsidR="008B79B3" w:rsidRPr="00842AD8" w:rsidRDefault="008B79B3" w:rsidP="00341A54">
            <w:pPr>
              <w:pStyle w:val="Tabletext"/>
              <w:ind w:left="0" w:right="0"/>
              <w:jc w:val="center"/>
            </w:pPr>
            <w:r w:rsidRPr="00842AD8">
              <w:t>–</w:t>
            </w:r>
            <w:r>
              <w:t>*</w:t>
            </w:r>
          </w:p>
        </w:tc>
      </w:tr>
      <w:tr w:rsidR="008B79B3" w:rsidRPr="004F1C07" w14:paraId="319E6670" w14:textId="77777777" w:rsidTr="004C096D">
        <w:trPr>
          <w:trHeight w:val="94"/>
        </w:trPr>
        <w:tc>
          <w:tcPr>
            <w:tcW w:w="1327" w:type="dxa"/>
            <w:vMerge/>
          </w:tcPr>
          <w:p w14:paraId="03EB7D57" w14:textId="77777777" w:rsidR="008B79B3" w:rsidRPr="00680101" w:rsidRDefault="008B79B3" w:rsidP="00341A54">
            <w:pPr>
              <w:pStyle w:val="Tabletext"/>
              <w:ind w:left="0" w:right="0"/>
              <w:rPr>
                <w:b/>
              </w:rPr>
            </w:pPr>
          </w:p>
        </w:tc>
        <w:tc>
          <w:tcPr>
            <w:tcW w:w="3034" w:type="dxa"/>
          </w:tcPr>
          <w:p w14:paraId="7C343810" w14:textId="77777777" w:rsidR="008B79B3" w:rsidRPr="004F1C07" w:rsidRDefault="008B79B3" w:rsidP="00341A54">
            <w:pPr>
              <w:pStyle w:val="Tabletext"/>
              <w:ind w:left="0" w:right="0"/>
            </w:pPr>
            <w:r w:rsidRPr="00D332FE">
              <w:t>Acute cardiac failure, pulmonary oedema, circulatory collapse</w:t>
            </w:r>
          </w:p>
        </w:tc>
        <w:tc>
          <w:tcPr>
            <w:tcW w:w="992" w:type="dxa"/>
          </w:tcPr>
          <w:p w14:paraId="7A57A642" w14:textId="77777777" w:rsidR="008B79B3" w:rsidRPr="00842AD8" w:rsidRDefault="008B79B3" w:rsidP="00341A54">
            <w:pPr>
              <w:pStyle w:val="Tabletext"/>
              <w:ind w:left="0" w:right="0"/>
              <w:jc w:val="center"/>
            </w:pPr>
            <w:r w:rsidRPr="00842AD8">
              <w:sym w:font="Wingdings" w:char="F0FC"/>
            </w:r>
          </w:p>
        </w:tc>
        <w:tc>
          <w:tcPr>
            <w:tcW w:w="1134" w:type="dxa"/>
          </w:tcPr>
          <w:p w14:paraId="0F923A46" w14:textId="77777777" w:rsidR="008B79B3" w:rsidRPr="00842AD8" w:rsidRDefault="008B79B3" w:rsidP="00341A54">
            <w:pPr>
              <w:pStyle w:val="Tabletext"/>
              <w:ind w:left="0" w:right="0"/>
              <w:jc w:val="center"/>
            </w:pPr>
            <w:r w:rsidRPr="00842AD8">
              <w:t>–</w:t>
            </w:r>
          </w:p>
        </w:tc>
        <w:tc>
          <w:tcPr>
            <w:tcW w:w="992" w:type="dxa"/>
          </w:tcPr>
          <w:p w14:paraId="77D2527D" w14:textId="77777777" w:rsidR="008B79B3" w:rsidRPr="00842AD8" w:rsidRDefault="008B79B3" w:rsidP="00341A54">
            <w:pPr>
              <w:pStyle w:val="Tabletext"/>
              <w:ind w:left="0" w:right="0"/>
              <w:jc w:val="center"/>
            </w:pPr>
            <w:r w:rsidRPr="00842AD8">
              <w:sym w:font="Wingdings" w:char="F0FC"/>
            </w:r>
          </w:p>
        </w:tc>
        <w:tc>
          <w:tcPr>
            <w:tcW w:w="1134" w:type="dxa"/>
          </w:tcPr>
          <w:p w14:paraId="5AB3750D" w14:textId="77777777" w:rsidR="008B79B3" w:rsidRPr="00842AD8" w:rsidRDefault="008B79B3" w:rsidP="00341A54">
            <w:pPr>
              <w:pStyle w:val="Tabletext"/>
              <w:ind w:left="0" w:right="0"/>
              <w:jc w:val="center"/>
            </w:pPr>
            <w:r w:rsidRPr="00842AD8">
              <w:t>–</w:t>
            </w:r>
          </w:p>
        </w:tc>
      </w:tr>
      <w:tr w:rsidR="008B79B3" w:rsidRPr="004F1C07" w14:paraId="6476A694" w14:textId="77777777" w:rsidTr="004C096D">
        <w:trPr>
          <w:trHeight w:val="187"/>
        </w:trPr>
        <w:tc>
          <w:tcPr>
            <w:tcW w:w="1327" w:type="dxa"/>
            <w:vMerge/>
          </w:tcPr>
          <w:p w14:paraId="24CCB40D" w14:textId="77777777" w:rsidR="008B79B3" w:rsidRPr="00680101" w:rsidRDefault="008B79B3" w:rsidP="00341A54">
            <w:pPr>
              <w:pStyle w:val="Tabletext"/>
              <w:ind w:left="0" w:right="0"/>
              <w:rPr>
                <w:b/>
              </w:rPr>
            </w:pPr>
          </w:p>
        </w:tc>
        <w:tc>
          <w:tcPr>
            <w:tcW w:w="3034" w:type="dxa"/>
          </w:tcPr>
          <w:p w14:paraId="5C2416A3" w14:textId="77777777" w:rsidR="008B79B3" w:rsidRPr="004F1C07" w:rsidRDefault="008B79B3" w:rsidP="00341A54">
            <w:pPr>
              <w:pStyle w:val="Tabletext"/>
              <w:ind w:left="0" w:right="0"/>
            </w:pPr>
            <w:r w:rsidRPr="00D332FE">
              <w:t>Rebound pulmonary hypertension</w:t>
            </w:r>
          </w:p>
        </w:tc>
        <w:tc>
          <w:tcPr>
            <w:tcW w:w="992" w:type="dxa"/>
          </w:tcPr>
          <w:p w14:paraId="6F8542BA" w14:textId="77777777" w:rsidR="008B79B3" w:rsidRPr="00842AD8" w:rsidRDefault="008B79B3" w:rsidP="00341A54">
            <w:pPr>
              <w:pStyle w:val="Tabletext"/>
              <w:ind w:left="0" w:right="0"/>
              <w:jc w:val="center"/>
            </w:pPr>
            <w:r w:rsidRPr="00842AD8">
              <w:sym w:font="Wingdings" w:char="F0FC"/>
            </w:r>
          </w:p>
        </w:tc>
        <w:tc>
          <w:tcPr>
            <w:tcW w:w="1134" w:type="dxa"/>
          </w:tcPr>
          <w:p w14:paraId="665DDFC4" w14:textId="77777777" w:rsidR="008B79B3" w:rsidRPr="00842AD8" w:rsidRDefault="008B79B3" w:rsidP="00341A54">
            <w:pPr>
              <w:pStyle w:val="Tabletext"/>
              <w:ind w:left="0" w:right="0"/>
              <w:jc w:val="center"/>
            </w:pPr>
            <w:r w:rsidRPr="00842AD8">
              <w:t>–</w:t>
            </w:r>
          </w:p>
        </w:tc>
        <w:tc>
          <w:tcPr>
            <w:tcW w:w="992" w:type="dxa"/>
          </w:tcPr>
          <w:p w14:paraId="3A5E4855" w14:textId="77777777" w:rsidR="008B79B3" w:rsidRPr="00842AD8" w:rsidRDefault="008B79B3" w:rsidP="00341A54">
            <w:pPr>
              <w:pStyle w:val="Tabletext"/>
              <w:ind w:left="0" w:right="0"/>
              <w:jc w:val="center"/>
            </w:pPr>
            <w:r w:rsidRPr="00842AD8">
              <w:sym w:font="Wingdings" w:char="F0FC"/>
            </w:r>
          </w:p>
        </w:tc>
        <w:tc>
          <w:tcPr>
            <w:tcW w:w="1134" w:type="dxa"/>
          </w:tcPr>
          <w:p w14:paraId="4E09AE75" w14:textId="77777777" w:rsidR="008B79B3" w:rsidRPr="00842AD8" w:rsidRDefault="008B79B3" w:rsidP="00341A54">
            <w:pPr>
              <w:pStyle w:val="Tabletext"/>
              <w:ind w:left="0" w:right="0"/>
              <w:jc w:val="center"/>
            </w:pPr>
            <w:r w:rsidRPr="00842AD8">
              <w:t>–</w:t>
            </w:r>
            <w:r>
              <w:t>*</w:t>
            </w:r>
          </w:p>
        </w:tc>
      </w:tr>
      <w:tr w:rsidR="008B79B3" w:rsidRPr="004F1C07" w14:paraId="30E8CC6C" w14:textId="77777777" w:rsidTr="004C096D">
        <w:trPr>
          <w:trHeight w:val="159"/>
        </w:trPr>
        <w:tc>
          <w:tcPr>
            <w:tcW w:w="1327" w:type="dxa"/>
            <w:vMerge w:val="restart"/>
          </w:tcPr>
          <w:p w14:paraId="36E16112" w14:textId="77777777" w:rsidR="008B79B3" w:rsidRPr="00680101" w:rsidRDefault="008B79B3" w:rsidP="00341A54">
            <w:pPr>
              <w:pStyle w:val="Tabletext"/>
              <w:ind w:left="0" w:right="0"/>
              <w:rPr>
                <w:b/>
              </w:rPr>
            </w:pPr>
            <w:r w:rsidRPr="00680101">
              <w:rPr>
                <w:b/>
              </w:rPr>
              <w:t>Important potential risks</w:t>
            </w:r>
          </w:p>
        </w:tc>
        <w:tc>
          <w:tcPr>
            <w:tcW w:w="3034" w:type="dxa"/>
          </w:tcPr>
          <w:p w14:paraId="7F55B931" w14:textId="77777777" w:rsidR="008B79B3" w:rsidRPr="004F1C07" w:rsidRDefault="008B79B3" w:rsidP="00341A54">
            <w:pPr>
              <w:pStyle w:val="Tabletext"/>
              <w:ind w:left="0" w:right="0"/>
            </w:pPr>
            <w:r w:rsidRPr="00D332FE">
              <w:t>Airway injury</w:t>
            </w:r>
          </w:p>
        </w:tc>
        <w:tc>
          <w:tcPr>
            <w:tcW w:w="992" w:type="dxa"/>
          </w:tcPr>
          <w:p w14:paraId="16AE7BD9" w14:textId="77777777" w:rsidR="008B79B3" w:rsidRPr="00842AD8" w:rsidRDefault="008B79B3" w:rsidP="00341A54">
            <w:pPr>
              <w:pStyle w:val="Tabletext"/>
              <w:ind w:left="0" w:right="0"/>
              <w:jc w:val="center"/>
            </w:pPr>
            <w:r w:rsidRPr="00842AD8">
              <w:sym w:font="Wingdings" w:char="F0FC"/>
            </w:r>
          </w:p>
        </w:tc>
        <w:tc>
          <w:tcPr>
            <w:tcW w:w="1134" w:type="dxa"/>
          </w:tcPr>
          <w:p w14:paraId="3ED1EECD" w14:textId="77777777" w:rsidR="008B79B3" w:rsidRPr="00842AD8" w:rsidRDefault="008B79B3" w:rsidP="00341A54">
            <w:pPr>
              <w:pStyle w:val="Tabletext"/>
              <w:ind w:left="0" w:right="0"/>
              <w:jc w:val="center"/>
            </w:pPr>
            <w:r w:rsidRPr="00842AD8">
              <w:t>–</w:t>
            </w:r>
          </w:p>
        </w:tc>
        <w:tc>
          <w:tcPr>
            <w:tcW w:w="992" w:type="dxa"/>
          </w:tcPr>
          <w:p w14:paraId="16C30671" w14:textId="77777777" w:rsidR="008B79B3" w:rsidRPr="00842AD8" w:rsidRDefault="008B79B3" w:rsidP="00341A54">
            <w:pPr>
              <w:pStyle w:val="Tabletext"/>
              <w:ind w:left="0" w:right="0"/>
              <w:jc w:val="center"/>
            </w:pPr>
            <w:r w:rsidRPr="00842AD8">
              <w:sym w:font="Wingdings" w:char="F0FC"/>
            </w:r>
          </w:p>
        </w:tc>
        <w:tc>
          <w:tcPr>
            <w:tcW w:w="1134" w:type="dxa"/>
          </w:tcPr>
          <w:p w14:paraId="52DAD9F7" w14:textId="77777777" w:rsidR="008B79B3" w:rsidRPr="00842AD8" w:rsidRDefault="008B79B3" w:rsidP="00341A54">
            <w:pPr>
              <w:pStyle w:val="Tabletext"/>
              <w:ind w:left="0" w:right="0"/>
              <w:jc w:val="center"/>
            </w:pPr>
            <w:r w:rsidRPr="00842AD8">
              <w:t>–</w:t>
            </w:r>
            <w:r>
              <w:t>*</w:t>
            </w:r>
          </w:p>
        </w:tc>
      </w:tr>
      <w:tr w:rsidR="008B79B3" w:rsidRPr="004F1C07" w14:paraId="0C839A98" w14:textId="77777777" w:rsidTr="004C096D">
        <w:trPr>
          <w:trHeight w:val="122"/>
        </w:trPr>
        <w:tc>
          <w:tcPr>
            <w:tcW w:w="1327" w:type="dxa"/>
            <w:vMerge/>
          </w:tcPr>
          <w:p w14:paraId="6DF71017" w14:textId="77777777" w:rsidR="008B79B3" w:rsidRPr="00680101" w:rsidRDefault="008B79B3" w:rsidP="00341A54">
            <w:pPr>
              <w:pStyle w:val="Tabletext"/>
              <w:ind w:left="0" w:right="0"/>
              <w:rPr>
                <w:b/>
              </w:rPr>
            </w:pPr>
          </w:p>
        </w:tc>
        <w:tc>
          <w:tcPr>
            <w:tcW w:w="3034" w:type="dxa"/>
          </w:tcPr>
          <w:p w14:paraId="3A313FC9" w14:textId="77777777" w:rsidR="008B79B3" w:rsidRPr="004F1C07" w:rsidRDefault="008B79B3" w:rsidP="00341A54">
            <w:pPr>
              <w:pStyle w:val="Tabletext"/>
              <w:ind w:left="0" w:right="0"/>
            </w:pPr>
            <w:r w:rsidRPr="00D332FE">
              <w:t>Increased bleeding time</w:t>
            </w:r>
          </w:p>
        </w:tc>
        <w:tc>
          <w:tcPr>
            <w:tcW w:w="992" w:type="dxa"/>
          </w:tcPr>
          <w:p w14:paraId="0E68DE8F" w14:textId="77777777" w:rsidR="008B79B3" w:rsidRPr="00842AD8" w:rsidRDefault="008B79B3" w:rsidP="00341A54">
            <w:pPr>
              <w:pStyle w:val="Tabletext"/>
              <w:ind w:left="0" w:right="0"/>
              <w:jc w:val="center"/>
            </w:pPr>
            <w:r w:rsidRPr="00842AD8">
              <w:sym w:font="Wingdings" w:char="F0FC"/>
            </w:r>
          </w:p>
        </w:tc>
        <w:tc>
          <w:tcPr>
            <w:tcW w:w="1134" w:type="dxa"/>
          </w:tcPr>
          <w:p w14:paraId="682ED3F0" w14:textId="77777777" w:rsidR="008B79B3" w:rsidRPr="00842AD8" w:rsidRDefault="008B79B3" w:rsidP="00341A54">
            <w:pPr>
              <w:pStyle w:val="Tabletext"/>
              <w:ind w:left="0" w:right="0"/>
              <w:jc w:val="center"/>
            </w:pPr>
            <w:r w:rsidRPr="00842AD8">
              <w:t>–</w:t>
            </w:r>
          </w:p>
        </w:tc>
        <w:tc>
          <w:tcPr>
            <w:tcW w:w="992" w:type="dxa"/>
          </w:tcPr>
          <w:p w14:paraId="67857CAC" w14:textId="77777777" w:rsidR="008B79B3" w:rsidRPr="00842AD8" w:rsidRDefault="008B79B3" w:rsidP="00341A54">
            <w:pPr>
              <w:pStyle w:val="Tabletext"/>
              <w:ind w:left="0" w:right="0"/>
              <w:jc w:val="center"/>
            </w:pPr>
            <w:r w:rsidRPr="00842AD8">
              <w:sym w:font="Wingdings" w:char="F0FC"/>
            </w:r>
          </w:p>
        </w:tc>
        <w:tc>
          <w:tcPr>
            <w:tcW w:w="1134" w:type="dxa"/>
          </w:tcPr>
          <w:p w14:paraId="070CAE33" w14:textId="77777777" w:rsidR="008B79B3" w:rsidRPr="00842AD8" w:rsidRDefault="008B79B3" w:rsidP="00341A54">
            <w:pPr>
              <w:pStyle w:val="Tabletext"/>
              <w:ind w:left="0" w:right="0"/>
              <w:jc w:val="center"/>
            </w:pPr>
            <w:r w:rsidRPr="00842AD8">
              <w:t>–</w:t>
            </w:r>
            <w:r>
              <w:t>*</w:t>
            </w:r>
          </w:p>
        </w:tc>
      </w:tr>
      <w:tr w:rsidR="008B79B3" w:rsidRPr="004F1C07" w14:paraId="655C5D4F" w14:textId="77777777" w:rsidTr="004C096D">
        <w:trPr>
          <w:trHeight w:val="112"/>
        </w:trPr>
        <w:tc>
          <w:tcPr>
            <w:tcW w:w="1327" w:type="dxa"/>
            <w:vMerge/>
          </w:tcPr>
          <w:p w14:paraId="2FCE784F" w14:textId="77777777" w:rsidR="008B79B3" w:rsidRPr="00680101" w:rsidRDefault="008B79B3" w:rsidP="00341A54">
            <w:pPr>
              <w:pStyle w:val="Tabletext"/>
              <w:ind w:left="0" w:right="0"/>
              <w:rPr>
                <w:b/>
              </w:rPr>
            </w:pPr>
          </w:p>
        </w:tc>
        <w:tc>
          <w:tcPr>
            <w:tcW w:w="3034" w:type="dxa"/>
          </w:tcPr>
          <w:p w14:paraId="1EEA464B" w14:textId="77777777" w:rsidR="008B79B3" w:rsidRPr="004F1C07" w:rsidRDefault="008B79B3" w:rsidP="00341A54">
            <w:pPr>
              <w:pStyle w:val="Tabletext"/>
              <w:ind w:left="0" w:right="0"/>
            </w:pPr>
            <w:r>
              <w:t>Critical failure of the delivery system</w:t>
            </w:r>
          </w:p>
        </w:tc>
        <w:tc>
          <w:tcPr>
            <w:tcW w:w="992" w:type="dxa"/>
          </w:tcPr>
          <w:p w14:paraId="1C976BB0" w14:textId="77777777" w:rsidR="008B79B3" w:rsidRPr="00842AD8" w:rsidRDefault="008B79B3" w:rsidP="00341A54">
            <w:pPr>
              <w:pStyle w:val="Tabletext"/>
              <w:ind w:left="0" w:right="0"/>
              <w:jc w:val="center"/>
            </w:pPr>
            <w:r w:rsidRPr="00842AD8">
              <w:sym w:font="Wingdings" w:char="F0FC"/>
            </w:r>
          </w:p>
        </w:tc>
        <w:tc>
          <w:tcPr>
            <w:tcW w:w="1134" w:type="dxa"/>
          </w:tcPr>
          <w:p w14:paraId="780AFA81" w14:textId="77777777" w:rsidR="008B79B3" w:rsidRPr="00842AD8" w:rsidRDefault="008B79B3" w:rsidP="00341A54">
            <w:pPr>
              <w:pStyle w:val="Tabletext"/>
              <w:ind w:left="0" w:right="0"/>
              <w:jc w:val="center"/>
            </w:pPr>
            <w:r w:rsidRPr="00842AD8">
              <w:t>–</w:t>
            </w:r>
          </w:p>
        </w:tc>
        <w:tc>
          <w:tcPr>
            <w:tcW w:w="992" w:type="dxa"/>
          </w:tcPr>
          <w:p w14:paraId="58391036" w14:textId="77777777" w:rsidR="008B79B3" w:rsidRPr="00842AD8" w:rsidRDefault="008B79B3" w:rsidP="00341A54">
            <w:pPr>
              <w:pStyle w:val="Tabletext"/>
              <w:ind w:left="0" w:right="0"/>
              <w:jc w:val="center"/>
            </w:pPr>
            <w:r w:rsidRPr="00842AD8">
              <w:sym w:font="Wingdings" w:char="F0FC"/>
            </w:r>
          </w:p>
        </w:tc>
        <w:tc>
          <w:tcPr>
            <w:tcW w:w="1134" w:type="dxa"/>
          </w:tcPr>
          <w:p w14:paraId="202FD072" w14:textId="77777777" w:rsidR="008B79B3" w:rsidRPr="00842AD8" w:rsidRDefault="008B79B3" w:rsidP="00341A54">
            <w:pPr>
              <w:pStyle w:val="Tabletext"/>
              <w:ind w:left="0" w:right="0"/>
              <w:jc w:val="center"/>
            </w:pPr>
            <w:r w:rsidRPr="00842AD8">
              <w:t>–</w:t>
            </w:r>
            <w:r>
              <w:t>*</w:t>
            </w:r>
          </w:p>
        </w:tc>
      </w:tr>
      <w:tr w:rsidR="008B79B3" w:rsidRPr="004F1C07" w14:paraId="6C918E71" w14:textId="77777777" w:rsidTr="004C096D">
        <w:trPr>
          <w:trHeight w:val="178"/>
        </w:trPr>
        <w:tc>
          <w:tcPr>
            <w:tcW w:w="1327" w:type="dxa"/>
            <w:vMerge w:val="restart"/>
          </w:tcPr>
          <w:p w14:paraId="23748CDF" w14:textId="77777777" w:rsidR="008B79B3" w:rsidRPr="00680101" w:rsidRDefault="008B79B3" w:rsidP="00341A54">
            <w:pPr>
              <w:pStyle w:val="Tabletext"/>
              <w:ind w:left="0" w:right="0"/>
              <w:rPr>
                <w:b/>
              </w:rPr>
            </w:pPr>
            <w:r w:rsidRPr="00680101">
              <w:rPr>
                <w:b/>
              </w:rPr>
              <w:t>Missing information</w:t>
            </w:r>
          </w:p>
        </w:tc>
        <w:tc>
          <w:tcPr>
            <w:tcW w:w="3034" w:type="dxa"/>
          </w:tcPr>
          <w:p w14:paraId="494D1370" w14:textId="77777777" w:rsidR="008B79B3" w:rsidRPr="004F1C07" w:rsidRDefault="008B79B3" w:rsidP="00341A54">
            <w:pPr>
              <w:pStyle w:val="Tabletext"/>
              <w:ind w:left="0" w:right="0"/>
            </w:pPr>
            <w:r w:rsidRPr="00D332FE">
              <w:t>Combined use with other vasodilators</w:t>
            </w:r>
          </w:p>
        </w:tc>
        <w:tc>
          <w:tcPr>
            <w:tcW w:w="992" w:type="dxa"/>
          </w:tcPr>
          <w:p w14:paraId="2CEF9405" w14:textId="77777777" w:rsidR="008B79B3" w:rsidRPr="00842AD8" w:rsidRDefault="008B79B3" w:rsidP="00341A54">
            <w:pPr>
              <w:pStyle w:val="Tabletext"/>
              <w:ind w:left="0" w:right="0"/>
              <w:jc w:val="center"/>
            </w:pPr>
            <w:r w:rsidRPr="00842AD8">
              <w:sym w:font="Wingdings" w:char="F0FC"/>
            </w:r>
          </w:p>
        </w:tc>
        <w:tc>
          <w:tcPr>
            <w:tcW w:w="1134" w:type="dxa"/>
          </w:tcPr>
          <w:p w14:paraId="7E0E3F9B" w14:textId="77777777" w:rsidR="008B79B3" w:rsidRPr="00842AD8" w:rsidRDefault="008B79B3" w:rsidP="00341A54">
            <w:pPr>
              <w:pStyle w:val="Tabletext"/>
              <w:ind w:left="0" w:right="0"/>
              <w:jc w:val="center"/>
            </w:pPr>
            <w:r w:rsidRPr="00842AD8">
              <w:t>–</w:t>
            </w:r>
          </w:p>
        </w:tc>
        <w:tc>
          <w:tcPr>
            <w:tcW w:w="992" w:type="dxa"/>
          </w:tcPr>
          <w:p w14:paraId="03AB1B91" w14:textId="77777777" w:rsidR="008B79B3" w:rsidRPr="00842AD8" w:rsidRDefault="008B79B3" w:rsidP="00341A54">
            <w:pPr>
              <w:pStyle w:val="Tabletext"/>
              <w:ind w:left="0" w:right="0"/>
              <w:jc w:val="center"/>
            </w:pPr>
            <w:r w:rsidRPr="00842AD8">
              <w:sym w:font="Wingdings" w:char="F0FC"/>
            </w:r>
          </w:p>
        </w:tc>
        <w:tc>
          <w:tcPr>
            <w:tcW w:w="1134" w:type="dxa"/>
          </w:tcPr>
          <w:p w14:paraId="564D3FB3" w14:textId="77777777" w:rsidR="008B79B3" w:rsidRPr="00842AD8" w:rsidRDefault="008B79B3" w:rsidP="00341A54">
            <w:pPr>
              <w:pStyle w:val="Tabletext"/>
              <w:ind w:left="0" w:right="0"/>
              <w:jc w:val="center"/>
            </w:pPr>
            <w:r w:rsidRPr="00842AD8">
              <w:t>–</w:t>
            </w:r>
          </w:p>
        </w:tc>
      </w:tr>
      <w:tr w:rsidR="008B79B3" w:rsidRPr="004F1C07" w14:paraId="6082E9FC" w14:textId="77777777" w:rsidTr="004C096D">
        <w:trPr>
          <w:trHeight w:val="103"/>
        </w:trPr>
        <w:tc>
          <w:tcPr>
            <w:tcW w:w="1327" w:type="dxa"/>
            <w:vMerge/>
          </w:tcPr>
          <w:p w14:paraId="27126BC8" w14:textId="77777777" w:rsidR="008B79B3" w:rsidRPr="004F1C07" w:rsidRDefault="008B79B3" w:rsidP="00341A54">
            <w:pPr>
              <w:pStyle w:val="Tabletext"/>
              <w:ind w:left="0" w:right="0"/>
            </w:pPr>
          </w:p>
        </w:tc>
        <w:tc>
          <w:tcPr>
            <w:tcW w:w="3034" w:type="dxa"/>
          </w:tcPr>
          <w:p w14:paraId="08BD8C56" w14:textId="77777777" w:rsidR="008B79B3" w:rsidRPr="004F1C07" w:rsidRDefault="008B79B3" w:rsidP="00341A54">
            <w:pPr>
              <w:pStyle w:val="Tabletext"/>
              <w:tabs>
                <w:tab w:val="left" w:pos="1206"/>
              </w:tabs>
              <w:ind w:left="0" w:right="0"/>
            </w:pPr>
            <w:r w:rsidRPr="00D332FE">
              <w:t>Use during pregnancy and lactation</w:t>
            </w:r>
          </w:p>
        </w:tc>
        <w:tc>
          <w:tcPr>
            <w:tcW w:w="992" w:type="dxa"/>
          </w:tcPr>
          <w:p w14:paraId="6ABD66F4" w14:textId="77777777" w:rsidR="008B79B3" w:rsidRPr="00842AD8" w:rsidRDefault="008B79B3" w:rsidP="00341A54">
            <w:pPr>
              <w:pStyle w:val="Tabletext"/>
              <w:ind w:left="0" w:right="0"/>
              <w:jc w:val="center"/>
            </w:pPr>
            <w:r w:rsidRPr="00842AD8">
              <w:sym w:font="Wingdings" w:char="F0FC"/>
            </w:r>
          </w:p>
        </w:tc>
        <w:tc>
          <w:tcPr>
            <w:tcW w:w="1134" w:type="dxa"/>
          </w:tcPr>
          <w:p w14:paraId="7F2382D1" w14:textId="77777777" w:rsidR="008B79B3" w:rsidRPr="00842AD8" w:rsidRDefault="008B79B3" w:rsidP="00341A54">
            <w:pPr>
              <w:pStyle w:val="Tabletext"/>
              <w:ind w:left="0" w:right="0"/>
              <w:jc w:val="center"/>
            </w:pPr>
            <w:r w:rsidRPr="00842AD8">
              <w:t>–</w:t>
            </w:r>
          </w:p>
        </w:tc>
        <w:tc>
          <w:tcPr>
            <w:tcW w:w="992" w:type="dxa"/>
          </w:tcPr>
          <w:p w14:paraId="105E8683" w14:textId="77777777" w:rsidR="008B79B3" w:rsidRPr="00842AD8" w:rsidRDefault="008B79B3" w:rsidP="00341A54">
            <w:pPr>
              <w:pStyle w:val="Tabletext"/>
              <w:ind w:left="0" w:right="0"/>
              <w:jc w:val="center"/>
            </w:pPr>
            <w:r w:rsidRPr="00842AD8">
              <w:sym w:font="Wingdings" w:char="F0FC"/>
            </w:r>
          </w:p>
        </w:tc>
        <w:tc>
          <w:tcPr>
            <w:tcW w:w="1134" w:type="dxa"/>
          </w:tcPr>
          <w:p w14:paraId="155B095D" w14:textId="77777777" w:rsidR="008B79B3" w:rsidRPr="00842AD8" w:rsidRDefault="008B79B3" w:rsidP="00341A54">
            <w:pPr>
              <w:pStyle w:val="Tabletext"/>
              <w:ind w:left="0" w:right="0"/>
              <w:jc w:val="center"/>
            </w:pPr>
            <w:r w:rsidRPr="00842AD8">
              <w:t>–</w:t>
            </w:r>
          </w:p>
        </w:tc>
      </w:tr>
      <w:tr w:rsidR="008B79B3" w:rsidRPr="004F1C07" w14:paraId="45427122" w14:textId="77777777" w:rsidTr="004C096D">
        <w:trPr>
          <w:trHeight w:val="103"/>
        </w:trPr>
        <w:tc>
          <w:tcPr>
            <w:tcW w:w="1327" w:type="dxa"/>
            <w:vMerge/>
          </w:tcPr>
          <w:p w14:paraId="1957410A" w14:textId="77777777" w:rsidR="008B79B3" w:rsidRPr="004F1C07" w:rsidRDefault="008B79B3" w:rsidP="00341A54">
            <w:pPr>
              <w:pStyle w:val="Tabletext"/>
              <w:ind w:left="0" w:right="0"/>
            </w:pPr>
          </w:p>
        </w:tc>
        <w:tc>
          <w:tcPr>
            <w:tcW w:w="3034" w:type="dxa"/>
          </w:tcPr>
          <w:p w14:paraId="4366E3F7" w14:textId="77777777" w:rsidR="008B79B3" w:rsidRDefault="008B79B3" w:rsidP="00341A54">
            <w:pPr>
              <w:pStyle w:val="Tabletext"/>
              <w:tabs>
                <w:tab w:val="left" w:pos="1206"/>
              </w:tabs>
              <w:ind w:left="0" w:right="0"/>
            </w:pPr>
            <w:r w:rsidRPr="00D332FE">
              <w:t xml:space="preserve">Paediatric Use &lt; 34 </w:t>
            </w:r>
            <w:r w:rsidR="00EB16B8">
              <w:t>gestational age</w:t>
            </w:r>
            <w:r w:rsidRPr="00D332FE">
              <w:t xml:space="preserve"> for </w:t>
            </w:r>
            <w:r w:rsidR="00341A54">
              <w:t>persistent pulmonary hypertension</w:t>
            </w:r>
            <w:r w:rsidR="00EB16B8">
              <w:t xml:space="preserve"> of the newborn</w:t>
            </w:r>
          </w:p>
        </w:tc>
        <w:tc>
          <w:tcPr>
            <w:tcW w:w="992" w:type="dxa"/>
          </w:tcPr>
          <w:p w14:paraId="5D445192" w14:textId="77777777" w:rsidR="008B79B3" w:rsidRPr="00842AD8" w:rsidRDefault="008B79B3" w:rsidP="00341A54">
            <w:pPr>
              <w:pStyle w:val="Tabletext"/>
              <w:ind w:left="0" w:right="0"/>
              <w:jc w:val="center"/>
            </w:pPr>
            <w:r w:rsidRPr="00842AD8">
              <w:sym w:font="Wingdings" w:char="F0FC"/>
            </w:r>
          </w:p>
        </w:tc>
        <w:tc>
          <w:tcPr>
            <w:tcW w:w="1134" w:type="dxa"/>
          </w:tcPr>
          <w:p w14:paraId="20FA3BE3" w14:textId="77777777" w:rsidR="008B79B3" w:rsidRPr="00842AD8" w:rsidRDefault="008B79B3" w:rsidP="00341A54">
            <w:pPr>
              <w:pStyle w:val="Tabletext"/>
              <w:ind w:left="0" w:right="0"/>
              <w:jc w:val="center"/>
            </w:pPr>
            <w:r w:rsidRPr="00842AD8">
              <w:t>–</w:t>
            </w:r>
          </w:p>
        </w:tc>
        <w:tc>
          <w:tcPr>
            <w:tcW w:w="992" w:type="dxa"/>
          </w:tcPr>
          <w:p w14:paraId="3AD831E1" w14:textId="77777777" w:rsidR="008B79B3" w:rsidRPr="00842AD8" w:rsidRDefault="008B79B3" w:rsidP="00341A54">
            <w:pPr>
              <w:pStyle w:val="Tabletext"/>
              <w:ind w:left="0" w:right="0"/>
              <w:jc w:val="center"/>
            </w:pPr>
            <w:r w:rsidRPr="00842AD8">
              <w:sym w:font="Wingdings" w:char="F0FC"/>
            </w:r>
          </w:p>
        </w:tc>
        <w:tc>
          <w:tcPr>
            <w:tcW w:w="1134" w:type="dxa"/>
          </w:tcPr>
          <w:p w14:paraId="12FE6A58" w14:textId="77777777" w:rsidR="008B79B3" w:rsidRPr="00842AD8" w:rsidRDefault="008B79B3" w:rsidP="00341A54">
            <w:pPr>
              <w:pStyle w:val="Tabletext"/>
              <w:ind w:left="0" w:right="0"/>
              <w:jc w:val="center"/>
            </w:pPr>
            <w:r w:rsidRPr="00842AD8">
              <w:t>–</w:t>
            </w:r>
          </w:p>
        </w:tc>
      </w:tr>
      <w:tr w:rsidR="008B79B3" w:rsidRPr="004F1C07" w14:paraId="3E3E0DC3" w14:textId="77777777" w:rsidTr="004C096D">
        <w:trPr>
          <w:trHeight w:val="530"/>
        </w:trPr>
        <w:tc>
          <w:tcPr>
            <w:tcW w:w="1327" w:type="dxa"/>
            <w:vMerge/>
          </w:tcPr>
          <w:p w14:paraId="20FB03EA" w14:textId="77777777" w:rsidR="008B79B3" w:rsidRPr="004F1C07" w:rsidRDefault="008B79B3" w:rsidP="00341A54">
            <w:pPr>
              <w:pStyle w:val="Tabletext"/>
              <w:ind w:left="0" w:right="0"/>
            </w:pPr>
          </w:p>
        </w:tc>
        <w:tc>
          <w:tcPr>
            <w:tcW w:w="3034" w:type="dxa"/>
          </w:tcPr>
          <w:p w14:paraId="58D1E453" w14:textId="77777777" w:rsidR="008B79B3" w:rsidRPr="004F1C07" w:rsidRDefault="008B79B3" w:rsidP="00EB16B8">
            <w:pPr>
              <w:pStyle w:val="Tabletext"/>
              <w:ind w:left="0" w:right="0"/>
            </w:pPr>
            <w:r w:rsidRPr="00D332FE">
              <w:t>Patients 12</w:t>
            </w:r>
            <w:r w:rsidR="00EB16B8">
              <w:t xml:space="preserve"> to</w:t>
            </w:r>
            <w:r w:rsidRPr="00D332FE">
              <w:t>17 years treated for pulmonary hypertension in conjunction with heart surgery</w:t>
            </w:r>
          </w:p>
        </w:tc>
        <w:tc>
          <w:tcPr>
            <w:tcW w:w="992" w:type="dxa"/>
          </w:tcPr>
          <w:p w14:paraId="07312676" w14:textId="77777777" w:rsidR="008B79B3" w:rsidRPr="00842AD8" w:rsidRDefault="008B79B3" w:rsidP="00341A54">
            <w:pPr>
              <w:pStyle w:val="Tabletext"/>
              <w:ind w:left="0" w:right="0"/>
              <w:jc w:val="center"/>
            </w:pPr>
            <w:r w:rsidRPr="00842AD8">
              <w:sym w:font="Wingdings" w:char="F0FC"/>
            </w:r>
          </w:p>
        </w:tc>
        <w:tc>
          <w:tcPr>
            <w:tcW w:w="1134" w:type="dxa"/>
          </w:tcPr>
          <w:p w14:paraId="039D3C56" w14:textId="77777777" w:rsidR="008B79B3" w:rsidRPr="00842AD8" w:rsidRDefault="008B79B3" w:rsidP="00341A54">
            <w:pPr>
              <w:pStyle w:val="Tabletext"/>
              <w:ind w:left="0" w:right="0"/>
              <w:jc w:val="center"/>
            </w:pPr>
            <w:r w:rsidRPr="00842AD8">
              <w:t>–</w:t>
            </w:r>
          </w:p>
        </w:tc>
        <w:tc>
          <w:tcPr>
            <w:tcW w:w="992" w:type="dxa"/>
          </w:tcPr>
          <w:p w14:paraId="42205CF3" w14:textId="77777777" w:rsidR="008B79B3" w:rsidRPr="00842AD8" w:rsidRDefault="008B79B3" w:rsidP="00341A54">
            <w:pPr>
              <w:pStyle w:val="Tabletext"/>
              <w:ind w:left="0" w:right="0"/>
              <w:jc w:val="center"/>
            </w:pPr>
            <w:r w:rsidRPr="00842AD8">
              <w:sym w:font="Wingdings" w:char="F0FC"/>
            </w:r>
          </w:p>
        </w:tc>
        <w:tc>
          <w:tcPr>
            <w:tcW w:w="1134" w:type="dxa"/>
          </w:tcPr>
          <w:p w14:paraId="6E9AA879" w14:textId="77777777" w:rsidR="008B79B3" w:rsidRPr="00842AD8" w:rsidRDefault="008B79B3" w:rsidP="00341A54">
            <w:pPr>
              <w:pStyle w:val="Tabletext"/>
              <w:ind w:left="0" w:right="0"/>
              <w:jc w:val="center"/>
            </w:pPr>
            <w:r w:rsidRPr="00842AD8">
              <w:t>–</w:t>
            </w:r>
          </w:p>
        </w:tc>
      </w:tr>
    </w:tbl>
    <w:p w14:paraId="6DA2C994" w14:textId="77777777" w:rsidR="004C096D" w:rsidRDefault="004C096D" w:rsidP="004C096D">
      <w:pPr>
        <w:pStyle w:val="TableDescription"/>
        <w:rPr>
          <w:b/>
          <w:bCs/>
          <w:lang w:eastAsia="en-AU"/>
        </w:rPr>
      </w:pPr>
      <w:r w:rsidRPr="004C096D">
        <w:rPr>
          <w:lang w:eastAsia="en-AU"/>
        </w:rPr>
        <w:t>* Sponsor has included distribution of a health care professional l</w:t>
      </w:r>
      <w:r>
        <w:rPr>
          <w:lang w:eastAsia="en-AU"/>
        </w:rPr>
        <w:t xml:space="preserve">etter at launch of the extended </w:t>
      </w:r>
      <w:r w:rsidRPr="004C096D">
        <w:rPr>
          <w:lang w:eastAsia="en-AU"/>
        </w:rPr>
        <w:t xml:space="preserve">indication </w:t>
      </w:r>
    </w:p>
    <w:p w14:paraId="191C2782" w14:textId="77777777" w:rsidR="008B79B3" w:rsidRDefault="008B79B3" w:rsidP="00B614AB">
      <w:pPr>
        <w:pStyle w:val="ListBullet"/>
        <w:rPr>
          <w:lang w:eastAsia="en-AU"/>
        </w:rPr>
      </w:pPr>
      <w:bookmarkStart w:id="141" w:name="_Toc477354123"/>
      <w:r>
        <w:rPr>
          <w:lang w:eastAsia="en-AU"/>
        </w:rPr>
        <w:t>No additional pharmacovigilance activities are proposed. This is acceptable for the nature of the safety concerns.</w:t>
      </w:r>
    </w:p>
    <w:p w14:paraId="682459B3" w14:textId="77777777" w:rsidR="008B79B3" w:rsidRPr="008B79B3" w:rsidRDefault="008B79B3" w:rsidP="00B614AB">
      <w:pPr>
        <w:pStyle w:val="ListBullet"/>
        <w:rPr>
          <w:lang w:eastAsia="en-AU"/>
        </w:rPr>
      </w:pPr>
      <w:r>
        <w:rPr>
          <w:lang w:eastAsia="en-AU"/>
        </w:rPr>
        <w:t>The sponsor has amended the additional risk minimisation activity of providing an ‘education pack’ to health professionals to providing a ‘health care professional letter’ at launch of the extended indication. This is acceptable in the context of continuing to provide broader education activities on the use of the product and device.</w:t>
      </w:r>
    </w:p>
    <w:p w14:paraId="55922010" w14:textId="4B69F632" w:rsidR="00456765" w:rsidRDefault="00456765" w:rsidP="00456765">
      <w:pPr>
        <w:pStyle w:val="Heading4"/>
      </w:pPr>
      <w:r>
        <w:t>New and outstanding recommendations from second round evaluation</w:t>
      </w:r>
      <w:bookmarkEnd w:id="141"/>
    </w:p>
    <w:p w14:paraId="61E4DF33" w14:textId="77777777" w:rsidR="008B79B3" w:rsidRDefault="008B79B3" w:rsidP="00DF4942">
      <w:pPr>
        <w:pStyle w:val="ListBullet"/>
        <w:numPr>
          <w:ilvl w:val="0"/>
          <w:numId w:val="0"/>
        </w:numPr>
      </w:pPr>
      <w:r>
        <w:t>There are two outstanding recommendations which should not delay any decisions regarding product registration:</w:t>
      </w:r>
    </w:p>
    <w:p w14:paraId="24539C1E" w14:textId="77777777" w:rsidR="008B79B3" w:rsidRDefault="008B79B3" w:rsidP="008B79B3">
      <w:pPr>
        <w:pStyle w:val="ListBullet"/>
      </w:pPr>
      <w:r>
        <w:t xml:space="preserve">The sponsor should provide a copy of the health care professional letter to the TGA for review and approval prior to product launch. This should not delay any decisions </w:t>
      </w:r>
      <w:r w:rsidR="00C50B42">
        <w:t>regarding product registration.</w:t>
      </w:r>
    </w:p>
    <w:p w14:paraId="3698F6A7" w14:textId="77777777" w:rsidR="008B79B3" w:rsidRDefault="008B79B3" w:rsidP="008B79B3">
      <w:pPr>
        <w:pStyle w:val="ListBullet"/>
      </w:pPr>
      <w:r>
        <w:lastRenderedPageBreak/>
        <w:t>The sponsor is requested to provide more information on the evaluation of the additional risk minimisation activities. Measures to evaluate the effectiveness of the health care professional letter could include distribution, reach and targets for success. Measures for product/device training for the extended indication could include reach, site training frequency, pocket guide distribution, health care professional knowledge and targets for success.</w:t>
      </w:r>
      <w:r w:rsidR="00D42948">
        <w:t xml:space="preserve"> </w:t>
      </w:r>
      <w:r>
        <w:t>The sponsor should provide this information and details of how and when the evaluation findings will be reported to the TGA, prior to product launch. (See section 5.1 for additional information).</w:t>
      </w:r>
    </w:p>
    <w:p w14:paraId="253B30A6" w14:textId="7E833EB5" w:rsidR="003B08F8" w:rsidRDefault="008B79B3" w:rsidP="00DF4942">
      <w:pPr>
        <w:pStyle w:val="ListBullet"/>
        <w:numPr>
          <w:ilvl w:val="0"/>
          <w:numId w:val="0"/>
        </w:numPr>
      </w:pPr>
      <w:r>
        <w:t xml:space="preserve">The sponsor should also commit to incorporating this information in the next updated version of the RMP, including an updated </w:t>
      </w:r>
      <w:r w:rsidR="003B6712">
        <w:t>t</w:t>
      </w:r>
      <w:r w:rsidR="003B6712" w:rsidRPr="00D07DB9">
        <w:t xml:space="preserve">able </w:t>
      </w:r>
      <w:r w:rsidRPr="00D07DB9">
        <w:t>(</w:t>
      </w:r>
      <w:r w:rsidR="003B6712">
        <w:t>s</w:t>
      </w:r>
      <w:r>
        <w:t>ummary of risk minimisation activities measures) allocating these activities as additional risk minimisation activities against the appropriate safety conc</w:t>
      </w:r>
      <w:r w:rsidR="00B614AB">
        <w:t>erns.</w:t>
      </w:r>
      <w:r w:rsidR="00462AEC">
        <w:rPr>
          <w:rStyle w:val="FootnoteReference"/>
        </w:rPr>
        <w:footnoteReference w:id="56"/>
      </w:r>
    </w:p>
    <w:p w14:paraId="6AC60AD2" w14:textId="77777777" w:rsidR="00456765" w:rsidRPr="00BB4B51" w:rsidRDefault="00456765" w:rsidP="00456765">
      <w:pPr>
        <w:pStyle w:val="Heading4"/>
      </w:pPr>
      <w:bookmarkStart w:id="142" w:name="_Toc477354124"/>
      <w:r>
        <w:t>Proposed wording for conditions of registration</w:t>
      </w:r>
      <w:bookmarkEnd w:id="142"/>
    </w:p>
    <w:p w14:paraId="4A9A152C" w14:textId="77777777" w:rsidR="003B08F8" w:rsidRDefault="008B79B3" w:rsidP="008B79B3">
      <w:r>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142B0EA1" w14:textId="77777777" w:rsidR="003B08F8" w:rsidRDefault="008B79B3" w:rsidP="008B79B3">
      <w:r>
        <w:t>The suggested wording is:</w:t>
      </w:r>
    </w:p>
    <w:p w14:paraId="52DD0191" w14:textId="7331037E" w:rsidR="008B79B3" w:rsidRDefault="008B79B3" w:rsidP="00B614AB">
      <w:pPr>
        <w:ind w:left="720"/>
      </w:pPr>
      <w:r>
        <w:t xml:space="preserve">The </w:t>
      </w:r>
      <w:proofErr w:type="spellStart"/>
      <w:r w:rsidR="00C40BA7">
        <w:t>INOmax</w:t>
      </w:r>
      <w:proofErr w:type="spellEnd"/>
      <w:r>
        <w:t xml:space="preserve"> Australian </w:t>
      </w:r>
      <w:r w:rsidR="00207775">
        <w:t xml:space="preserve">Risk </w:t>
      </w:r>
      <w:r>
        <w:t>Management Plan (RMP) (version 4, dated 23 October 2018, data lock point 31 January 2018) included with submission PM</w:t>
      </w:r>
      <w:r w:rsidR="003B6712">
        <w:noBreakHyphen/>
      </w:r>
      <w:r>
        <w:t>2018</w:t>
      </w:r>
      <w:r w:rsidR="003B6712">
        <w:noBreakHyphen/>
      </w:r>
      <w:r>
        <w:t>00306-1-3, and any subsequent revisions, as agreed with the TGA will be implemented in Australia.</w:t>
      </w:r>
    </w:p>
    <w:p w14:paraId="0391F1AB" w14:textId="77777777" w:rsidR="008B79B3" w:rsidRDefault="008B79B3" w:rsidP="00B614AB">
      <w:pPr>
        <w:ind w:left="720"/>
      </w:pPr>
      <w:r>
        <w:t>The following wording is recommended for the PSUR requirement:</w:t>
      </w:r>
    </w:p>
    <w:p w14:paraId="10F0E65F" w14:textId="77777777" w:rsidR="008B79B3" w:rsidRDefault="008B79B3" w:rsidP="00B614AB">
      <w:pPr>
        <w:ind w:left="720"/>
      </w:pPr>
      <w:r>
        <w:t>An obligatory component of risk management plans is routine pharmacovigilance. Routine pharmacovigilance includes the submission of periodic safety update reports (PSURs).</w:t>
      </w:r>
    </w:p>
    <w:p w14:paraId="04C2754D" w14:textId="77777777" w:rsidR="003B08F8" w:rsidRDefault="008B79B3" w:rsidP="00B614AB">
      <w:pPr>
        <w:ind w:left="720"/>
      </w:pPr>
      <w:r>
        <w:t>Reports are to be provided in line with the current published list of EU reference dates and frequency of submission of PSURs until the period covered by such reports is not less than three years from the date of this approval letter.</w:t>
      </w:r>
    </w:p>
    <w:p w14:paraId="331AB396" w14:textId="77777777" w:rsidR="003B08F8" w:rsidRDefault="008B79B3" w:rsidP="00B614AB">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22684634" w14:textId="77777777" w:rsidR="008B79B3" w:rsidRDefault="008B79B3" w:rsidP="00B614AB">
      <w:pPr>
        <w:ind w:left="720"/>
      </w:pPr>
      <w:r>
        <w:t>Additional activities for compliance monitoring</w:t>
      </w:r>
    </w:p>
    <w:p w14:paraId="155A0206" w14:textId="77777777" w:rsidR="008B79B3" w:rsidRDefault="008B79B3" w:rsidP="008B79B3">
      <w:r>
        <w:t>The sponsor has been requested to provide the following prior to product launch:</w:t>
      </w:r>
    </w:p>
    <w:p w14:paraId="390C5E72" w14:textId="37E6D49A" w:rsidR="008B79B3" w:rsidRDefault="008B79B3" w:rsidP="00B614AB">
      <w:pPr>
        <w:pStyle w:val="ListBullet"/>
      </w:pPr>
      <w:r>
        <w:t>a copy of the health care professional letter to the TGA for review and approval</w:t>
      </w:r>
      <w:r w:rsidR="003B6712">
        <w:t>; and</w:t>
      </w:r>
    </w:p>
    <w:p w14:paraId="2A901315" w14:textId="2D76EFFD" w:rsidR="008B79B3" w:rsidRDefault="008B79B3" w:rsidP="00B614AB">
      <w:pPr>
        <w:pStyle w:val="ListBullet"/>
      </w:pPr>
      <w:r>
        <w:t>more information on the evaluation of the additional risk minimisation activities and details of how and when the evaluation findings will be reported to the TGA</w:t>
      </w:r>
      <w:r w:rsidR="003B6712">
        <w:t>.</w:t>
      </w:r>
    </w:p>
    <w:p w14:paraId="7438D408" w14:textId="02496291" w:rsidR="00456765" w:rsidRPr="00D31393" w:rsidRDefault="008B79B3" w:rsidP="008B79B3">
      <w:r>
        <w:t xml:space="preserve">The sponsor has been requested to commit to incorporating the information in the next updated version of the RMP, including an updated </w:t>
      </w:r>
      <w:r w:rsidR="003B6712">
        <w:t xml:space="preserve">table </w:t>
      </w:r>
      <w:r w:rsidRPr="00D07DB9">
        <w:t>(</w:t>
      </w:r>
      <w:r w:rsidR="003B6712">
        <w:t>s</w:t>
      </w:r>
      <w:r w:rsidRPr="00D07DB9">
        <w:t>ummary</w:t>
      </w:r>
      <w:r>
        <w:t xml:space="preserve"> of risk minimisation activities measures) allocating these activities as additional risk minimisation activities against the appropriate safety concerns.</w:t>
      </w:r>
    </w:p>
    <w:p w14:paraId="432B3B14" w14:textId="77777777" w:rsidR="008E7846" w:rsidRPr="00792A32" w:rsidRDefault="008E7846" w:rsidP="008E7846">
      <w:pPr>
        <w:pStyle w:val="Heading2"/>
      </w:pPr>
      <w:bookmarkStart w:id="143" w:name="_Toc28009957"/>
      <w:r>
        <w:lastRenderedPageBreak/>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7"/>
      <w:bookmarkEnd w:id="139"/>
      <w:bookmarkEnd w:id="140"/>
      <w:bookmarkEnd w:id="143"/>
    </w:p>
    <w:p w14:paraId="6C8657FD" w14:textId="77777777" w:rsidR="008E7846" w:rsidRDefault="008E7846" w:rsidP="008E7846">
      <w:bookmarkStart w:id="144" w:name="_Toc247691528"/>
      <w:r>
        <w:t xml:space="preserve">The submission was summarised in the following </w:t>
      </w:r>
      <w:r w:rsidRPr="00EF5C48">
        <w:t xml:space="preserve">Delegate’s </w:t>
      </w:r>
      <w:r>
        <w:t>overview</w:t>
      </w:r>
      <w:r w:rsidRPr="00EF5C48">
        <w:t xml:space="preserve"> and recommendation</w:t>
      </w:r>
      <w:r>
        <w:t>s:</w:t>
      </w:r>
    </w:p>
    <w:p w14:paraId="78EA6A0F" w14:textId="77777777" w:rsidR="008E7846" w:rsidRDefault="008E7846" w:rsidP="008E7846">
      <w:pPr>
        <w:pStyle w:val="Heading3"/>
      </w:pPr>
      <w:bookmarkStart w:id="145" w:name="_Toc314842511"/>
      <w:bookmarkStart w:id="146" w:name="_Toc28009958"/>
      <w:r>
        <w:t>Quality</w:t>
      </w:r>
      <w:bookmarkEnd w:id="144"/>
      <w:bookmarkEnd w:id="145"/>
      <w:bookmarkEnd w:id="146"/>
    </w:p>
    <w:p w14:paraId="53F3CA0B" w14:textId="77777777" w:rsidR="00E45619" w:rsidRDefault="008E7846" w:rsidP="003A7F6C">
      <w:r>
        <w:t>There was no requirement for a quality evaluation in a submission of this type.</w:t>
      </w:r>
    </w:p>
    <w:p w14:paraId="4A9AE6EE" w14:textId="77777777" w:rsidR="008E7846" w:rsidRDefault="008E7846" w:rsidP="008E7846">
      <w:pPr>
        <w:pStyle w:val="Heading3"/>
      </w:pPr>
      <w:bookmarkStart w:id="147" w:name="_Toc314842512"/>
      <w:bookmarkStart w:id="148" w:name="_Toc28009959"/>
      <w:r>
        <w:t>Nonclinical</w:t>
      </w:r>
      <w:bookmarkEnd w:id="147"/>
      <w:bookmarkEnd w:id="148"/>
    </w:p>
    <w:p w14:paraId="339A179F" w14:textId="77777777" w:rsidR="008E7846" w:rsidRDefault="008E7846" w:rsidP="008E7846">
      <w:r>
        <w:t>There was no requirement for a nonclinical evaluation in a submission of this type.</w:t>
      </w:r>
    </w:p>
    <w:p w14:paraId="3988FC77" w14:textId="77777777" w:rsidR="00BF4601" w:rsidRDefault="00BF4601" w:rsidP="008E7846">
      <w:r w:rsidRPr="00BF4601">
        <w:t>No new non-clinical data were included in this submission. It is noted there were concerns in previous evaluations for nitric oxide regarding pulmonary toxicity at higher doses, and specifically recommending a limitation to 20 ppm</w:t>
      </w:r>
      <w:r w:rsidR="00B614AB">
        <w:t>.</w:t>
      </w:r>
    </w:p>
    <w:p w14:paraId="574A2291" w14:textId="77777777" w:rsidR="008E7846" w:rsidRDefault="008E7846" w:rsidP="008E7846">
      <w:pPr>
        <w:pStyle w:val="Heading3"/>
      </w:pPr>
      <w:bookmarkStart w:id="149" w:name="_Toc247691530"/>
      <w:bookmarkStart w:id="150" w:name="_Toc314842513"/>
      <w:bookmarkStart w:id="151" w:name="_Toc28009960"/>
      <w:r>
        <w:t>Clinical</w:t>
      </w:r>
      <w:bookmarkEnd w:id="149"/>
      <w:bookmarkEnd w:id="150"/>
      <w:bookmarkEnd w:id="151"/>
    </w:p>
    <w:p w14:paraId="521CFD80" w14:textId="77777777" w:rsidR="007B6132" w:rsidRDefault="00BF4601" w:rsidP="007B6132">
      <w:bookmarkStart w:id="152" w:name="_Toc314842514"/>
      <w:r w:rsidRPr="00BF4601">
        <w:t>The sponsor provided literature</w:t>
      </w:r>
      <w:r w:rsidR="00B614AB">
        <w:t xml:space="preserve"> </w:t>
      </w:r>
      <w:r w:rsidRPr="00BF4601">
        <w:t>based submission and a single clinical study to support their requested extension of the indications for nitric oxide (</w:t>
      </w:r>
      <w:proofErr w:type="spellStart"/>
      <w:r w:rsidR="00C40BA7">
        <w:t>INOmax</w:t>
      </w:r>
      <w:proofErr w:type="spellEnd"/>
      <w:r w:rsidRPr="00BF4601">
        <w:t xml:space="preserve">). The evaluator found that most of the controlled studies reported in the literature component of the submission had been previously evaluated in the </w:t>
      </w:r>
      <w:proofErr w:type="spellStart"/>
      <w:r w:rsidR="00C40BA7">
        <w:t>INOmax</w:t>
      </w:r>
      <w:proofErr w:type="spellEnd"/>
      <w:r w:rsidRPr="00BF4601">
        <w:t xml:space="preserve"> paediatric submission. This submission included four additional publications of controlled studies.</w:t>
      </w:r>
    </w:p>
    <w:p w14:paraId="3D35F5C3" w14:textId="77777777" w:rsidR="00BF4601" w:rsidRDefault="00BF4601" w:rsidP="00B614AB">
      <w:pPr>
        <w:pStyle w:val="Heading4"/>
      </w:pPr>
      <w:r>
        <w:t>Pharmacology</w:t>
      </w:r>
    </w:p>
    <w:p w14:paraId="5A2200A5" w14:textId="77777777" w:rsidR="00BF4601" w:rsidRDefault="004C096D" w:rsidP="00B614AB">
      <w:pPr>
        <w:pStyle w:val="Heading5"/>
      </w:pPr>
      <w:r>
        <w:t>Pharmacokinetics</w:t>
      </w:r>
    </w:p>
    <w:p w14:paraId="657FACBB" w14:textId="77777777" w:rsidR="00BF4601" w:rsidRDefault="00BF4601" w:rsidP="00BF4601">
      <w:r>
        <w:t>The pharmacokinetics of nitric oxide has been previously described. No new literature describing the pharmacokinetics of nitric oxide was identified by the sponsor for inclusion in this submission.</w:t>
      </w:r>
    </w:p>
    <w:p w14:paraId="6E126643" w14:textId="77777777" w:rsidR="00BF4601" w:rsidRDefault="004C096D" w:rsidP="00B614AB">
      <w:pPr>
        <w:pStyle w:val="Heading5"/>
      </w:pPr>
      <w:r>
        <w:t>Pharmacodynamics</w:t>
      </w:r>
    </w:p>
    <w:p w14:paraId="52E9FA7F" w14:textId="77777777" w:rsidR="00BF4601" w:rsidRDefault="00BF4601" w:rsidP="00BF4601">
      <w:r>
        <w:t xml:space="preserve">Three studies reporting the haemodynamic effects of small numbers of patients in open-label studies were provided in the previous submission for </w:t>
      </w:r>
      <w:proofErr w:type="spellStart"/>
      <w:r w:rsidR="00C40BA7">
        <w:t>INOmax</w:t>
      </w:r>
      <w:proofErr w:type="spellEnd"/>
      <w:r>
        <w:t xml:space="preserve">. No new specifically </w:t>
      </w:r>
      <w:proofErr w:type="spellStart"/>
      <w:r w:rsidR="004C096D">
        <w:t>pharmacodynamic</w:t>
      </w:r>
      <w:proofErr w:type="spellEnd"/>
      <w:r w:rsidR="004C096D">
        <w:t xml:space="preserve"> </w:t>
      </w:r>
      <w:r>
        <w:t xml:space="preserve">studies were included in this submission however </w:t>
      </w:r>
      <w:proofErr w:type="spellStart"/>
      <w:r w:rsidR="004C096D">
        <w:t>pharmacodynamic</w:t>
      </w:r>
      <w:proofErr w:type="spellEnd"/>
      <w:r>
        <w:t xml:space="preserve"> endpoints were measured in a number of the clinical studies.</w:t>
      </w:r>
    </w:p>
    <w:p w14:paraId="753BB22D" w14:textId="77777777" w:rsidR="00BF4601" w:rsidRDefault="00BF4601" w:rsidP="00B614AB">
      <w:pPr>
        <w:pStyle w:val="Heading4"/>
      </w:pPr>
      <w:r>
        <w:t>Efficacy</w:t>
      </w:r>
    </w:p>
    <w:p w14:paraId="0E2F5299" w14:textId="3526A4AE" w:rsidR="00BF4601" w:rsidRDefault="00BF4601" w:rsidP="00BF4601">
      <w:r>
        <w:t xml:space="preserve">The efficacy studies included </w:t>
      </w:r>
      <w:r w:rsidR="003B6712">
        <w:t xml:space="preserve">Study </w:t>
      </w:r>
      <w:r w:rsidR="00BB39E5">
        <w:t>INOT41</w:t>
      </w:r>
      <w:r>
        <w:t xml:space="preserve"> and </w:t>
      </w:r>
      <w:r w:rsidRPr="008B7C54">
        <w:t>15</w:t>
      </w:r>
      <w:r>
        <w:t xml:space="preserve"> </w:t>
      </w:r>
      <w:r w:rsidR="003B6712">
        <w:t xml:space="preserve">other </w:t>
      </w:r>
      <w:r>
        <w:t>published studies. As noted above four new publications were included in this submission and the remainder had been evaluated previously.</w:t>
      </w:r>
    </w:p>
    <w:p w14:paraId="488080F0" w14:textId="7E5BD14E" w:rsidR="00BF4601" w:rsidRDefault="003B6712" w:rsidP="00BF4601">
      <w:r>
        <w:t xml:space="preserve">Study </w:t>
      </w:r>
      <w:r w:rsidR="00BB39E5">
        <w:t>INOT41</w:t>
      </w:r>
      <w:r w:rsidR="00BF4601">
        <w:t xml:space="preserve"> was evaluated as supportive study in the previous submission. As noted by the clinical evaluator this was considered a supportive study in the previous submission both because of the age of patients and because the study was negative for both primary and secondary endpoints. This was a randomised, double</w:t>
      </w:r>
      <w:r w:rsidR="00B614AB">
        <w:t xml:space="preserve"> </w:t>
      </w:r>
      <w:r w:rsidR="00BF4601">
        <w:t>blind, study in adults with cardiac failure and left ventricular assist device (</w:t>
      </w:r>
      <w:r w:rsidR="00BB39E5">
        <w:t>left ventricular assist device</w:t>
      </w:r>
      <w:r w:rsidR="00BF4601">
        <w:t>) insertion with cardiopulmonary bypass who exhibited preoperative increased pulmonary vascular resistance (</w:t>
      </w:r>
      <w:r w:rsidR="00BB39E5">
        <w:t>pulmonary vascular resistance</w:t>
      </w:r>
      <w:r w:rsidR="00BF4601">
        <w:t xml:space="preserve">) conducted in 150 patients the USA and Germany between 2003 and 2008. Patients were randomised 1:1to </w:t>
      </w:r>
      <w:r w:rsidR="00DC7D20">
        <w:t>inhaled nitric oxide</w:t>
      </w:r>
      <w:r w:rsidR="00BF4601">
        <w:t xml:space="preserve"> 40</w:t>
      </w:r>
      <w:r w:rsidR="00B614AB">
        <w:t> </w:t>
      </w:r>
      <w:r w:rsidR="00BF4601">
        <w:t xml:space="preserve">ppm or matching placebo. Inclusion criteria were adult patients undergoing their first </w:t>
      </w:r>
      <w:r w:rsidR="00BB39E5">
        <w:t>left ventricular assist device</w:t>
      </w:r>
      <w:r w:rsidR="00BF4601">
        <w:t xml:space="preserve"> implantation or an </w:t>
      </w:r>
      <w:r w:rsidR="00BB39E5">
        <w:t>left ventricular assist device</w:t>
      </w:r>
      <w:r w:rsidR="00BF4601">
        <w:t xml:space="preserve"> implantation </w:t>
      </w:r>
      <w:r w:rsidR="00BF4601">
        <w:lastRenderedPageBreak/>
        <w:t xml:space="preserve">6 months after </w:t>
      </w:r>
      <w:proofErr w:type="spellStart"/>
      <w:r w:rsidR="00BF4601">
        <w:t>explantation</w:t>
      </w:r>
      <w:proofErr w:type="spellEnd"/>
      <w:r w:rsidR="00BF4601">
        <w:t xml:space="preserve"> of a previous </w:t>
      </w:r>
      <w:r w:rsidR="00BB39E5">
        <w:t>left ventricular assist device</w:t>
      </w:r>
      <w:r w:rsidR="00BF4601">
        <w:t xml:space="preserve">, and </w:t>
      </w:r>
      <w:r w:rsidR="00BB39E5">
        <w:t>pulmonary vascular resistance</w:t>
      </w:r>
      <w:r w:rsidR="00BF4601">
        <w:t xml:space="preserve"> of</w:t>
      </w:r>
      <w:r w:rsidR="003B08F8">
        <w:t xml:space="preserve"> </w:t>
      </w:r>
      <w:r w:rsidR="00BF4601">
        <w:t>≥ 2.</w:t>
      </w:r>
      <w:r w:rsidR="00B25F29">
        <w:t>5 Wood units (200 dynes/sec/cm</w:t>
      </w:r>
      <w:r w:rsidR="00BF4601" w:rsidRPr="00C50B42">
        <w:rPr>
          <w:vertAlign w:val="superscript"/>
        </w:rPr>
        <w:t>5</w:t>
      </w:r>
      <w:r w:rsidR="00BF4601" w:rsidRPr="00C50B42">
        <w:t>)</w:t>
      </w:r>
      <w:r w:rsidR="00BF4601">
        <w:t xml:space="preserve"> in the 30 day period prior to </w:t>
      </w:r>
      <w:r w:rsidR="00BB39E5">
        <w:t>left ventricular assist device</w:t>
      </w:r>
      <w:r w:rsidR="00BF4601">
        <w:t xml:space="preserve"> placement. Patients were excluded if they were pregnancy, were undergoing biventricular assist device surgery or were currently using a temporary </w:t>
      </w:r>
      <w:r w:rsidR="00B614AB">
        <w:t>biventricular assist device</w:t>
      </w:r>
      <w:r w:rsidR="00BF4601">
        <w:t xml:space="preserve">, received </w:t>
      </w:r>
      <w:r w:rsidR="00DC7D20">
        <w:t>inhaled nitric oxide</w:t>
      </w:r>
      <w:r w:rsidR="00BF4601">
        <w:t xml:space="preserve"> within 24 hours before study onset, had cardiac failure due to giant cell myocarditis or restrictive cardiomyopathy or had other investigational drugs that could change systemic vascular resistance or </w:t>
      </w:r>
      <w:r w:rsidR="00BB39E5">
        <w:t>pulmonary vascular resistance</w:t>
      </w:r>
      <w:r w:rsidR="00BF4601">
        <w:t>.</w:t>
      </w:r>
    </w:p>
    <w:p w14:paraId="04DF4A5D" w14:textId="77777777" w:rsidR="00BF4601" w:rsidRDefault="00BF4601" w:rsidP="00BF4601">
      <w:r>
        <w:t>Thirteen randomised patients did not receive treatment, 35 switched to open</w:t>
      </w:r>
      <w:r w:rsidR="00B614AB">
        <w:t xml:space="preserve"> </w:t>
      </w:r>
      <w:r>
        <w:t xml:space="preserve">label </w:t>
      </w:r>
      <w:r w:rsidR="00DC7D20">
        <w:t>inhaled nitric oxide</w:t>
      </w:r>
      <w:r>
        <w:t xml:space="preserve">, which was allowed in the protocol after failure to respond to treatment after completing the blinded study treatment. Fifteen of the switched patients (9 placebo and 6 </w:t>
      </w:r>
      <w:r w:rsidR="00DC7D20">
        <w:t>inhaled nitric oxide</w:t>
      </w:r>
      <w:r>
        <w:t xml:space="preserve"> patients) had not completed the blinded period and an additional 3 </w:t>
      </w:r>
      <w:r w:rsidR="00DC7D20">
        <w:t>inhaled nitric oxide</w:t>
      </w:r>
      <w:r>
        <w:t xml:space="preserve"> patients switched without meeting the right ventricular dysfunction criteria.</w:t>
      </w:r>
    </w:p>
    <w:p w14:paraId="053476BB" w14:textId="748C80B4" w:rsidR="00BF4601" w:rsidRDefault="00BF4601" w:rsidP="00BF4601">
      <w:r>
        <w:t xml:space="preserve">Protocol violations were reported for 6 patients; 2 patients from each group did not have a </w:t>
      </w:r>
      <w:r w:rsidR="00BB39E5">
        <w:t>pulmonary vascular resistance</w:t>
      </w:r>
      <w:r>
        <w:t xml:space="preserve"> of ≥ 2.5 Wood </w:t>
      </w:r>
      <w:r w:rsidR="003B6712">
        <w:t xml:space="preserve">units </w:t>
      </w:r>
      <w:r>
        <w:t xml:space="preserve">in the qualifying period; 1 placebo patient underwent </w:t>
      </w:r>
      <w:r w:rsidR="00BB39E5">
        <w:t>left ventricular assist device</w:t>
      </w:r>
      <w:r>
        <w:t xml:space="preserve"> without </w:t>
      </w:r>
      <w:r w:rsidR="00B614AB">
        <w:t>cardiopulmonary bypass</w:t>
      </w:r>
      <w:r>
        <w:t>, and 1</w:t>
      </w:r>
      <w:r w:rsidR="003B6712">
        <w:t> </w:t>
      </w:r>
      <w:r>
        <w:t xml:space="preserve">had received </w:t>
      </w:r>
      <w:r w:rsidR="00DC7D20">
        <w:t>inhaled nitric oxide</w:t>
      </w:r>
      <w:r>
        <w:t xml:space="preserve"> within 24 hours of study commencement. None of these violations were considered likely to have positively influenced the outcome.</w:t>
      </w:r>
    </w:p>
    <w:p w14:paraId="48BB861A" w14:textId="77777777" w:rsidR="003B08F8" w:rsidRDefault="00BF4601" w:rsidP="00BF4601">
      <w:r>
        <w:t xml:space="preserve">The sample size of 55 patients per group to give an 80% power was based on the assumption of a 50% failure in the placebo group and a 25% failure in the </w:t>
      </w:r>
      <w:r w:rsidR="00DC7D20">
        <w:t>inhaled nitric oxide</w:t>
      </w:r>
      <w:r>
        <w:t xml:space="preserve"> group, however the failure rate in the placebo group was 15.6% and the study was underpowered.</w:t>
      </w:r>
    </w:p>
    <w:p w14:paraId="5D1466B0" w14:textId="65866BC3" w:rsidR="00BF4601" w:rsidRDefault="00BF4601" w:rsidP="00BF4601">
      <w:r>
        <w:t xml:space="preserve">In the </w:t>
      </w:r>
      <w:r w:rsidR="00DC7D20">
        <w:t>inhaled nitric oxide</w:t>
      </w:r>
      <w:r>
        <w:t xml:space="preserve"> and placebo groups, respectively, patients were of mean age 57.6 and 54.0 years, 64% and 65% male, and were predominantly of white race. There were no statistically significant differences between the groups for underlying diagnosis, </w:t>
      </w:r>
      <w:r w:rsidR="00BB39E5">
        <w:t>left ventricular assist device</w:t>
      </w:r>
      <w:r>
        <w:t xml:space="preserve"> type used, use of an intra-aortic balloon pump, organ dysfunction of baseline </w:t>
      </w:r>
      <w:proofErr w:type="spellStart"/>
      <w:r>
        <w:t>haemodynamics</w:t>
      </w:r>
      <w:proofErr w:type="spellEnd"/>
      <w:r>
        <w:t xml:space="preserve"> with the exception of pul</w:t>
      </w:r>
      <w:r w:rsidR="000A646E">
        <w:t xml:space="preserve">monary capillary wedge pressure </w:t>
      </w:r>
      <w:r w:rsidR="006F789A">
        <w:t>(</w:t>
      </w:r>
      <w:r>
        <w:t xml:space="preserve">mean (SD) 23.0 (8.31) in the </w:t>
      </w:r>
      <w:r w:rsidR="00DC7D20">
        <w:t>inhaled nitric oxide</w:t>
      </w:r>
      <w:r>
        <w:t xml:space="preserve"> groups and 26.7 (9.19) in the placebo group</w:t>
      </w:r>
      <w:r w:rsidR="006F789A">
        <w:t>)</w:t>
      </w:r>
      <w:r>
        <w:t>.</w:t>
      </w:r>
    </w:p>
    <w:p w14:paraId="72B46692" w14:textId="77777777" w:rsidR="00BF4601" w:rsidRDefault="00BF4601" w:rsidP="00B614AB">
      <w:pPr>
        <w:pStyle w:val="Heading5"/>
      </w:pPr>
      <w:r>
        <w:t>Primary efficacy outcome</w:t>
      </w:r>
    </w:p>
    <w:p w14:paraId="0DCFD9D1" w14:textId="77D9CE4C" w:rsidR="00BF4601" w:rsidRDefault="00BF4601" w:rsidP="00BF4601">
      <w:r>
        <w:t>The primary endpoint was right ventricular failure</w:t>
      </w:r>
      <w:r w:rsidR="00B614AB">
        <w:t xml:space="preserve"> </w:t>
      </w:r>
      <w:r>
        <w:t>(based on 2 or more of left ventricular flow rate index ≤ 2.0 L/min/m</w:t>
      </w:r>
      <w:r w:rsidRPr="00F601A9">
        <w:rPr>
          <w:vertAlign w:val="superscript"/>
        </w:rPr>
        <w:t>2</w:t>
      </w:r>
      <w:r>
        <w:t>; administration of ≥</w:t>
      </w:r>
      <w:r w:rsidR="00B614AB">
        <w:t xml:space="preserve"> </w:t>
      </w:r>
      <w:r>
        <w:t>20 inotropic equivalents; mean arterial pressure ≤</w:t>
      </w:r>
      <w:r w:rsidR="00B614AB">
        <w:t xml:space="preserve"> </w:t>
      </w:r>
      <w:r>
        <w:t xml:space="preserve">55 </w:t>
      </w:r>
      <w:r w:rsidR="00931948">
        <w:rPr>
          <w:rFonts w:eastAsia="TimesNewRoman"/>
        </w:rPr>
        <w:t>m</w:t>
      </w:r>
      <w:r w:rsidR="003B6712">
        <w:rPr>
          <w:rFonts w:eastAsia="TimesNewRoman"/>
        </w:rPr>
        <w:t>illimetres</w:t>
      </w:r>
      <w:r w:rsidR="00931948">
        <w:rPr>
          <w:rFonts w:eastAsia="TimesNewRoman"/>
        </w:rPr>
        <w:t xml:space="preserve"> of mercury</w:t>
      </w:r>
      <w:r w:rsidR="00931948">
        <w:t xml:space="preserve"> (</w:t>
      </w:r>
      <w:r>
        <w:t>mmHg</w:t>
      </w:r>
      <w:r w:rsidR="00931948">
        <w:t>)</w:t>
      </w:r>
      <w:r>
        <w:t xml:space="preserve">; </w:t>
      </w:r>
      <w:r w:rsidR="00B25F29">
        <w:t>central venous pressure</w:t>
      </w:r>
      <w:r>
        <w:t xml:space="preserve"> ≥</w:t>
      </w:r>
      <w:r w:rsidR="003B6712">
        <w:t> </w:t>
      </w:r>
      <w:r>
        <w:t>16</w:t>
      </w:r>
      <w:r w:rsidR="003B6712">
        <w:t> </w:t>
      </w:r>
      <w:r>
        <w:t>mmHg; percentage of mixed venous oxygen saturation (SvO</w:t>
      </w:r>
      <w:r w:rsidRPr="00F601A9">
        <w:rPr>
          <w:vertAlign w:val="subscript"/>
        </w:rPr>
        <w:t>2</w:t>
      </w:r>
      <w:r>
        <w:t>) of ≤</w:t>
      </w:r>
      <w:r w:rsidR="00C50B42">
        <w:t xml:space="preserve"> </w:t>
      </w:r>
      <w:r>
        <w:t xml:space="preserve">55%) for more than 15 minutes after the removal of </w:t>
      </w:r>
      <w:r w:rsidR="00B614AB">
        <w:t>cardiopulmonary bypass</w:t>
      </w:r>
      <w:r>
        <w:t xml:space="preserve"> support or failure to wean from </w:t>
      </w:r>
      <w:r w:rsidR="00B614AB">
        <w:t>cardiopulmonary bypass</w:t>
      </w:r>
      <w:r>
        <w:t xml:space="preserve"> at least once due to haemodynamic failure (but not including recommencement of </w:t>
      </w:r>
      <w:r w:rsidR="00B614AB">
        <w:t>cardiopulmonary bypass</w:t>
      </w:r>
      <w:r>
        <w:t xml:space="preserve"> to correct bleeding or technical device issues); or death.</w:t>
      </w:r>
    </w:p>
    <w:p w14:paraId="79E3D441" w14:textId="13446DFA" w:rsidR="00BF4601" w:rsidRDefault="00BF4601" w:rsidP="00BF4601">
      <w:r>
        <w:t xml:space="preserve">There was no difference between the two groups for treatment failure (9.6% with </w:t>
      </w:r>
      <w:r w:rsidR="00DC7D20">
        <w:t>inhaled nitric oxide</w:t>
      </w:r>
      <w:r>
        <w:t xml:space="preserve"> and 15.6% with placebo). Time to failure was lower in placebo (0.6 h</w:t>
      </w:r>
      <w:r w:rsidR="006C537A">
        <w:t>ours</w:t>
      </w:r>
      <w:r>
        <w:t>) v</w:t>
      </w:r>
      <w:r w:rsidR="00B614AB">
        <w:t>ersus</w:t>
      </w:r>
      <w:r>
        <w:t xml:space="preserve"> </w:t>
      </w:r>
      <w:r w:rsidR="00DC7D20">
        <w:t>inhaled nitric oxide</w:t>
      </w:r>
      <w:r>
        <w:t xml:space="preserve"> (3.6 h</w:t>
      </w:r>
      <w:r w:rsidR="006C537A">
        <w:t>ours</w:t>
      </w:r>
      <w:r>
        <w:t>) but this was not statistically significant. The outcome was favourable for women but not men, however the numbers of women were small and the study was not powered for the comparison. Blood products use, the presence of myocardial infarction and gender were not significant covariates for the outcome in the logistic regression model provided as a supplementary analysis. Numerical but not statistically significant differences were seen in primary endpoint when patients were stratified by pulmonary vascular resistance index</w:t>
      </w:r>
      <w:r w:rsidR="003B08F8">
        <w:t xml:space="preserve"> </w:t>
      </w:r>
      <w:r>
        <w:t xml:space="preserve">≥ 270.5 (14.3% </w:t>
      </w:r>
      <w:r w:rsidR="00DC7D20">
        <w:t>inhaled nitric oxide</w:t>
      </w:r>
      <w:r>
        <w:t xml:space="preserve"> v</w:t>
      </w:r>
      <w:r w:rsidR="00B614AB">
        <w:t>ersus</w:t>
      </w:r>
      <w:r>
        <w:t xml:space="preserve"> 71.4% placebo), although there were only 7 patients in each group. The evaluator noted patients at higher risk of failure or exhibiting early failure switched to open</w:t>
      </w:r>
      <w:r w:rsidR="00B614AB">
        <w:t xml:space="preserve"> </w:t>
      </w:r>
      <w:r>
        <w:t xml:space="preserve">label </w:t>
      </w:r>
      <w:r w:rsidR="00DC7D20">
        <w:t>inhaled nitric oxide</w:t>
      </w:r>
      <w:r>
        <w:t xml:space="preserve"> were included in the analysis for their originally </w:t>
      </w:r>
      <w:r>
        <w:lastRenderedPageBreak/>
        <w:t>randomised group, and that inclusion of treated patients in the placebo group for analysis may have influenced the outcome.</w:t>
      </w:r>
    </w:p>
    <w:p w14:paraId="3452BDB2" w14:textId="77777777" w:rsidR="00BF4601" w:rsidRDefault="00BF4601" w:rsidP="00BF4601">
      <w:r>
        <w:t xml:space="preserve">Secondary endpoints in hierarchical order included duration of mechanical ventilation, number of ICU days, number of patients requiring renal replacement therapy (RRT), quantity of blood products used, </w:t>
      </w:r>
      <w:r w:rsidR="006C537A">
        <w:t>Day</w:t>
      </w:r>
      <w:r>
        <w:t xml:space="preserve"> 28 survival and number of patients requiring a </w:t>
      </w:r>
      <w:r w:rsidR="00B614AB">
        <w:t>right ventricular assist device</w:t>
      </w:r>
      <w:r>
        <w:t xml:space="preserve"> by Day 28. There were no statistically significant differences between the two groups for the secondary outcomes.</w:t>
      </w:r>
    </w:p>
    <w:p w14:paraId="654427B5" w14:textId="77777777" w:rsidR="00BF4601" w:rsidRDefault="006C537A" w:rsidP="00B614AB">
      <w:pPr>
        <w:pStyle w:val="Heading5"/>
      </w:pPr>
      <w:r>
        <w:t>New l</w:t>
      </w:r>
      <w:r w:rsidR="00BF4601">
        <w:t>iterature</w:t>
      </w:r>
    </w:p>
    <w:p w14:paraId="02B446FD" w14:textId="77777777" w:rsidR="00BF4601" w:rsidRDefault="00BF4601" w:rsidP="00BF4601">
      <w:r>
        <w:t xml:space="preserve">The previous submission included literature related to adult use in </w:t>
      </w:r>
      <w:r w:rsidR="00DC7D20">
        <w:t>inhaled nitric oxide</w:t>
      </w:r>
      <w:r>
        <w:t>. The sponsor included new literature in this submission.</w:t>
      </w:r>
    </w:p>
    <w:p w14:paraId="59141187" w14:textId="2CDC51A9" w:rsidR="00BF4601" w:rsidRDefault="00C50B42" w:rsidP="00BF4601">
      <w:proofErr w:type="spellStart"/>
      <w:r>
        <w:t>Kukucka</w:t>
      </w:r>
      <w:proofErr w:type="spellEnd"/>
      <w:r>
        <w:t xml:space="preserve"> et al </w:t>
      </w:r>
      <w:r w:rsidR="00BF4601">
        <w:t>2011</w:t>
      </w:r>
      <w:r w:rsidR="00F601A9">
        <w:t>;</w:t>
      </w:r>
      <w:r w:rsidR="008024D2" w:rsidRPr="008024D2">
        <w:rPr>
          <w:vertAlign w:val="superscript"/>
        </w:rPr>
        <w:fldChar w:fldCharType="begin"/>
      </w:r>
      <w:r w:rsidR="008024D2" w:rsidRPr="008024D2">
        <w:rPr>
          <w:vertAlign w:val="superscript"/>
        </w:rPr>
        <w:instrText xml:space="preserve"> NOTEREF _Ref22221489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19</w:t>
      </w:r>
      <w:r w:rsidR="008024D2" w:rsidRPr="008024D2">
        <w:rPr>
          <w:vertAlign w:val="superscript"/>
        </w:rPr>
        <w:fldChar w:fldCharType="end"/>
      </w:r>
      <w:r w:rsidR="00BF4601">
        <w:t xml:space="preserve"> was a </w:t>
      </w:r>
      <w:proofErr w:type="spellStart"/>
      <w:r w:rsidR="00BF4601">
        <w:t>substudy</w:t>
      </w:r>
      <w:proofErr w:type="spellEnd"/>
      <w:r w:rsidR="00BF4601">
        <w:t xml:space="preserve"> of 47 adult patients (24 and 23 patients each from the </w:t>
      </w:r>
      <w:r w:rsidR="00DC7D20">
        <w:t>inhaled nitric oxide</w:t>
      </w:r>
      <w:r w:rsidR="00BF4601">
        <w:t xml:space="preserve"> and placebo groups, respectively) from </w:t>
      </w:r>
      <w:r w:rsidR="003B6712">
        <w:t xml:space="preserve">Study </w:t>
      </w:r>
      <w:r w:rsidR="00BB39E5">
        <w:t>INOT4</w:t>
      </w:r>
      <w:r w:rsidR="003B6712">
        <w:t xml:space="preserve">1 </w:t>
      </w:r>
      <w:r w:rsidR="00BF4601">
        <w:t xml:space="preserve">conducted in a single centre. The </w:t>
      </w:r>
      <w:r w:rsidR="00DC7D20">
        <w:t>inhaled nitric oxide</w:t>
      </w:r>
      <w:r w:rsidR="00BF4601">
        <w:t xml:space="preserve"> dosing was the same as </w:t>
      </w:r>
      <w:r w:rsidR="003B6712">
        <w:t>Study </w:t>
      </w:r>
      <w:r w:rsidR="00BB39E5">
        <w:t>INOT41</w:t>
      </w:r>
      <w:r w:rsidR="00BF4601">
        <w:t>. The study reported trans</w:t>
      </w:r>
      <w:r w:rsidR="00F601A9">
        <w:t>-oesophageal</w:t>
      </w:r>
      <w:r w:rsidR="00BF4601">
        <w:t xml:space="preserve"> echocardiographic assessments pre- and post-operatively to assess whether </w:t>
      </w:r>
      <w:r w:rsidR="00DC7D20">
        <w:t>inhaled nitric oxide</w:t>
      </w:r>
      <w:r w:rsidR="00BF4601">
        <w:t xml:space="preserve"> improved right ventricular geometry. The </w:t>
      </w:r>
      <w:r w:rsidR="00DC7D20">
        <w:t>inhaled nitric oxide</w:t>
      </w:r>
      <w:r w:rsidR="00BF4601">
        <w:t xml:space="preserve"> group compared to the placebo group had higher baseline </w:t>
      </w:r>
      <w:r w:rsidR="00BB39E5">
        <w:t>pulmonary vascular resistance</w:t>
      </w:r>
      <w:r w:rsidR="00BF4601">
        <w:t xml:space="preserve"> (311 </w:t>
      </w:r>
      <w:r w:rsidR="00B614AB">
        <w:t>±</w:t>
      </w:r>
      <w:r w:rsidR="00BF4601">
        <w:t xml:space="preserve"> 35 v</w:t>
      </w:r>
      <w:r w:rsidR="00B614AB">
        <w:t>ersus</w:t>
      </w:r>
      <w:r w:rsidR="00BF4601">
        <w:t xml:space="preserve"> 298 </w:t>
      </w:r>
      <w:r w:rsidR="00B614AB">
        <w:t>±</w:t>
      </w:r>
      <w:r w:rsidR="00BF4601">
        <w:t xml:space="preserve"> 26) and lower </w:t>
      </w:r>
      <w:r w:rsidR="004C096D">
        <w:t>cardiac index</w:t>
      </w:r>
      <w:r w:rsidR="00BF4601">
        <w:t xml:space="preserve"> (1.94 </w:t>
      </w:r>
      <w:r w:rsidR="00B614AB">
        <w:t>±</w:t>
      </w:r>
      <w:r w:rsidR="00BF4601">
        <w:t xml:space="preserve"> 0.09 v</w:t>
      </w:r>
      <w:r w:rsidR="00B614AB">
        <w:t>ersus</w:t>
      </w:r>
      <w:r w:rsidR="00BF4601">
        <w:t xml:space="preserve"> 2.19 </w:t>
      </w:r>
      <w:r w:rsidR="00B614AB">
        <w:t>±</w:t>
      </w:r>
      <w:r w:rsidR="00BF4601">
        <w:t xml:space="preserve"> 0.12).</w:t>
      </w:r>
      <w:r w:rsidR="00D42948">
        <w:t xml:space="preserve"> </w:t>
      </w:r>
      <w:r w:rsidR="00BF4601">
        <w:t xml:space="preserve">Relative to baseline significant improvements were shown for pulmonary vascular resistance for the </w:t>
      </w:r>
      <w:r w:rsidR="00DC7D20">
        <w:t>inhaled nitric oxide</w:t>
      </w:r>
      <w:r w:rsidR="004C096D">
        <w:t xml:space="preserve"> group and cardiac index</w:t>
      </w:r>
      <w:r w:rsidR="00BF4601">
        <w:t xml:space="preserve">, </w:t>
      </w:r>
      <w:r>
        <w:t>pulmonary capillary wedge pressure</w:t>
      </w:r>
      <w:r w:rsidR="00BF4601">
        <w:t xml:space="preserve"> and </w:t>
      </w:r>
      <w:r w:rsidR="000E74EA" w:rsidRPr="00C50B42">
        <w:t>mean pulmonary</w:t>
      </w:r>
      <w:r w:rsidR="00BB39E5">
        <w:t xml:space="preserve"> arterial pressure</w:t>
      </w:r>
      <w:r w:rsidR="00BF4601">
        <w:t xml:space="preserve"> for both groups. There were no statistically significant differences between the groups for clinical outcomes.</w:t>
      </w:r>
      <w:r w:rsidR="00D42948">
        <w:t xml:space="preserve"> </w:t>
      </w:r>
      <w:r w:rsidR="00BF4601">
        <w:t xml:space="preserve">Numerically, median ventilation times were shorter in the </w:t>
      </w:r>
      <w:r w:rsidR="00DC7D20">
        <w:t>inhaled nitric oxide</w:t>
      </w:r>
      <w:r w:rsidR="00BF4601">
        <w:t xml:space="preserve"> group </w:t>
      </w:r>
      <w:r w:rsidR="003B6712">
        <w:t>(</w:t>
      </w:r>
      <w:r w:rsidR="00BF4601">
        <w:t>51 hours (</w:t>
      </w:r>
      <w:r w:rsidR="001878B0">
        <w:t>interquartile range</w:t>
      </w:r>
      <w:r w:rsidR="00BF4601">
        <w:t xml:space="preserve"> 24</w:t>
      </w:r>
      <w:r w:rsidR="001878B0">
        <w:t xml:space="preserve"> to</w:t>
      </w:r>
      <w:r w:rsidR="00BF4601">
        <w:t xml:space="preserve"> 334) v</w:t>
      </w:r>
      <w:r w:rsidR="00B614AB">
        <w:t>ersus</w:t>
      </w:r>
      <w:r w:rsidR="00BF4601">
        <w:t xml:space="preserve"> 74 hours (</w:t>
      </w:r>
      <w:r w:rsidR="001878B0">
        <w:t>interquartile range</w:t>
      </w:r>
      <w:r w:rsidR="00BF4601">
        <w:t xml:space="preserve"> 28</w:t>
      </w:r>
      <w:r w:rsidR="001878B0">
        <w:t xml:space="preserve"> to</w:t>
      </w:r>
      <w:r w:rsidR="00BF4601">
        <w:t xml:space="preserve"> 605)</w:t>
      </w:r>
      <w:r w:rsidR="003B6712">
        <w:t>)</w:t>
      </w:r>
      <w:r w:rsidR="00BF4601">
        <w:t xml:space="preserve"> but median ICU stays were longer in the </w:t>
      </w:r>
      <w:r w:rsidR="00DC7D20">
        <w:t>inhaled nitric oxide</w:t>
      </w:r>
      <w:r w:rsidR="006C537A">
        <w:t xml:space="preserve"> group (</w:t>
      </w:r>
      <w:r w:rsidR="00BF4601">
        <w:t>17 days (</w:t>
      </w:r>
      <w:r w:rsidR="001878B0">
        <w:t>interquartile range</w:t>
      </w:r>
      <w:r w:rsidR="00BF4601">
        <w:t xml:space="preserve"> 10</w:t>
      </w:r>
      <w:r w:rsidR="001878B0">
        <w:t xml:space="preserve"> to</w:t>
      </w:r>
      <w:r w:rsidR="00BF4601">
        <w:t xml:space="preserve"> 27) v</w:t>
      </w:r>
      <w:r w:rsidR="00B614AB">
        <w:t>ersus</w:t>
      </w:r>
      <w:r w:rsidR="00BF4601">
        <w:t xml:space="preserve"> 15 days (</w:t>
      </w:r>
      <w:r w:rsidR="001878B0">
        <w:t>interquartile range</w:t>
      </w:r>
      <w:r w:rsidR="00BF4601">
        <w:t xml:space="preserve"> 9</w:t>
      </w:r>
      <w:r w:rsidR="001878B0">
        <w:t xml:space="preserve"> to</w:t>
      </w:r>
      <w:r w:rsidR="006C537A">
        <w:t xml:space="preserve"> 40))</w:t>
      </w:r>
      <w:r w:rsidR="00BF4601">
        <w:t xml:space="preserve">. Three </w:t>
      </w:r>
      <w:r w:rsidR="00DC7D20">
        <w:t>inhaled nitric oxide</w:t>
      </w:r>
      <w:r w:rsidR="00BF4601">
        <w:t xml:space="preserve"> and 1 placebo patients developed </w:t>
      </w:r>
      <w:r w:rsidR="00B25F29">
        <w:t>right ventricular failure</w:t>
      </w:r>
      <w:r w:rsidR="00BF4601">
        <w:t>, and the 30 day mortality was 21% (5</w:t>
      </w:r>
      <w:r w:rsidR="001878B0">
        <w:t> </w:t>
      </w:r>
      <w:r w:rsidR="00BF4601">
        <w:t xml:space="preserve">patients) in the </w:t>
      </w:r>
      <w:r w:rsidR="00DC7D20">
        <w:t>inhaled nitric oxide</w:t>
      </w:r>
      <w:r w:rsidR="00BF4601">
        <w:t xml:space="preserve"> group and 13% (3 patients) in the placebo group.</w:t>
      </w:r>
    </w:p>
    <w:p w14:paraId="71F15C08" w14:textId="610E0A62" w:rsidR="00BF4601" w:rsidRDefault="00BF4601" w:rsidP="00BF4601">
      <w:proofErr w:type="spellStart"/>
      <w:r>
        <w:t>Fernandes</w:t>
      </w:r>
      <w:proofErr w:type="spellEnd"/>
      <w:r>
        <w:t xml:space="preserve"> et al 2011</w:t>
      </w:r>
      <w:r w:rsidR="00F601A9">
        <w:t>;</w:t>
      </w:r>
      <w:r w:rsidR="008024D2" w:rsidRPr="008024D2">
        <w:rPr>
          <w:vertAlign w:val="superscript"/>
        </w:rPr>
        <w:fldChar w:fldCharType="begin"/>
      </w:r>
      <w:r w:rsidR="008024D2" w:rsidRPr="008024D2">
        <w:rPr>
          <w:vertAlign w:val="superscript"/>
        </w:rPr>
        <w:instrText xml:space="preserve"> NOTEREF _Ref25843676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20</w:t>
      </w:r>
      <w:r w:rsidR="008024D2" w:rsidRPr="008024D2">
        <w:rPr>
          <w:vertAlign w:val="superscript"/>
        </w:rPr>
        <w:fldChar w:fldCharType="end"/>
      </w:r>
      <w:r>
        <w:t xml:space="preserve"> was an open</w:t>
      </w:r>
      <w:r w:rsidR="001878B0">
        <w:t xml:space="preserve"> </w:t>
      </w:r>
      <w:r>
        <w:t xml:space="preserve">label randomised controlled study of 29 adult cardiac surgical patients with symptomatic mitral stenosis, severe pulmonary hypertension systolic </w:t>
      </w:r>
      <w:r w:rsidR="00BB39E5">
        <w:t>pulmonary arterial pressure</w:t>
      </w:r>
      <w:r>
        <w:t xml:space="preserve"> &gt;</w:t>
      </w:r>
      <w:r w:rsidR="001878B0">
        <w:t xml:space="preserve"> </w:t>
      </w:r>
      <w:r>
        <w:t xml:space="preserve">60 mmHg) undergoing cardiac surgery, to measure baseline adjusted differences in </w:t>
      </w:r>
      <w:proofErr w:type="spellStart"/>
      <w:r>
        <w:t>haemodynamics</w:t>
      </w:r>
      <w:proofErr w:type="spellEnd"/>
      <w:r>
        <w:t xml:space="preserve"> and short term clinical outcome.</w:t>
      </w:r>
      <w:r w:rsidR="00D42948">
        <w:t xml:space="preserve"> </w:t>
      </w:r>
      <w:r>
        <w:t xml:space="preserve">The study compared </w:t>
      </w:r>
      <w:r w:rsidR="000E74EA">
        <w:t>inhaled nitric oxide</w:t>
      </w:r>
      <w:r>
        <w:t xml:space="preserve"> 10 ppm starting immediately before weaning from </w:t>
      </w:r>
      <w:r w:rsidR="001878B0">
        <w:t>cardiopulmonary bypass</w:t>
      </w:r>
      <w:r>
        <w:t xml:space="preserve"> (n</w:t>
      </w:r>
      <w:r w:rsidR="00D42948">
        <w:t xml:space="preserve"> = </w:t>
      </w:r>
      <w:r>
        <w:t>14) with oxygen (n</w:t>
      </w:r>
      <w:r w:rsidR="00D42948">
        <w:t xml:space="preserve"> = </w:t>
      </w:r>
      <w:r>
        <w:t xml:space="preserve">15). Those assigned to </w:t>
      </w:r>
      <w:r w:rsidR="00DC7D20">
        <w:t>inhaled nitric oxide</w:t>
      </w:r>
      <w:r>
        <w:t xml:space="preserve"> were less likely to be in </w:t>
      </w:r>
      <w:r w:rsidR="00931948">
        <w:rPr>
          <w:rFonts w:eastAsia="TimesNewRoman"/>
        </w:rPr>
        <w:t>New York Heart Association</w:t>
      </w:r>
      <w:r w:rsidR="00931948">
        <w:t xml:space="preserve"> (</w:t>
      </w:r>
      <w:r>
        <w:t>NYHA</w:t>
      </w:r>
      <w:r w:rsidR="00931948">
        <w:t>)</w:t>
      </w:r>
      <w:r>
        <w:t xml:space="preserve"> </w:t>
      </w:r>
      <w:r w:rsidR="003B6712">
        <w:t xml:space="preserve">functional </w:t>
      </w:r>
      <w:r>
        <w:t>Class II (21%, compared to 40% of those assigned to oxygen),</w:t>
      </w:r>
      <w:r w:rsidR="003B6712">
        <w:t xml:space="preserve"> and</w:t>
      </w:r>
      <w:r>
        <w:t xml:space="preserve"> more likely to be </w:t>
      </w:r>
      <w:r w:rsidR="003B6712">
        <w:t xml:space="preserve">NYHA </w:t>
      </w:r>
      <w:r>
        <w:t xml:space="preserve">functional </w:t>
      </w:r>
      <w:r w:rsidR="003B6712">
        <w:t>C</w:t>
      </w:r>
      <w:r>
        <w:t>lass III (72% v</w:t>
      </w:r>
      <w:r w:rsidR="001878B0">
        <w:t>ersus</w:t>
      </w:r>
      <w:r>
        <w:t xml:space="preserve"> 47%);</w:t>
      </w:r>
      <w:r w:rsidR="003B6712">
        <w:rPr>
          <w:rStyle w:val="FootnoteReference"/>
        </w:rPr>
        <w:footnoteReference w:id="57"/>
      </w:r>
      <w:r>
        <w:t xml:space="preserve"> had more severe elevations of </w:t>
      </w:r>
      <w:r w:rsidR="00BB39E5">
        <w:t>pulmonary vascular resistance</w:t>
      </w:r>
      <w:r>
        <w:t xml:space="preserve"> (mean 341</w:t>
      </w:r>
      <w:r w:rsidR="001878B0">
        <w:t xml:space="preserve"> </w:t>
      </w:r>
      <w:r>
        <w:t>±</w:t>
      </w:r>
      <w:r w:rsidR="001878B0">
        <w:t xml:space="preserve"> </w:t>
      </w:r>
      <w:r>
        <w:t>183, compared to mean 264</w:t>
      </w:r>
      <w:r w:rsidR="001878B0">
        <w:t> </w:t>
      </w:r>
      <w:r>
        <w:t>±</w:t>
      </w:r>
      <w:r w:rsidR="003B08F8">
        <w:t xml:space="preserve"> </w:t>
      </w:r>
      <w:r>
        <w:t>133 in the oxygen group), and were an average of 4 years older (44</w:t>
      </w:r>
      <w:r w:rsidR="001878B0">
        <w:t xml:space="preserve"> </w:t>
      </w:r>
      <w:r>
        <w:t>±</w:t>
      </w:r>
      <w:r w:rsidR="001878B0">
        <w:t xml:space="preserve"> </w:t>
      </w:r>
      <w:r>
        <w:t>11 years v</w:t>
      </w:r>
      <w:r w:rsidR="001878B0">
        <w:t>ersus</w:t>
      </w:r>
      <w:r>
        <w:t xml:space="preserve"> 44</w:t>
      </w:r>
      <w:r w:rsidR="001878B0">
        <w:t xml:space="preserve"> </w:t>
      </w:r>
      <w:r>
        <w:t>±</w:t>
      </w:r>
      <w:r w:rsidR="001878B0">
        <w:t xml:space="preserve"> </w:t>
      </w:r>
      <w:r>
        <w:t>13 years) although the between groups differences were not statistically significant. The primary endpoints were</w:t>
      </w:r>
      <w:r w:rsidR="003B6712">
        <w:t xml:space="preserve"> the</w:t>
      </w:r>
      <w:r>
        <w:t xml:space="preserve"> change in </w:t>
      </w:r>
      <w:r w:rsidR="003B6712">
        <w:t>cardiac i</w:t>
      </w:r>
      <w:r>
        <w:t xml:space="preserve">ndex and </w:t>
      </w:r>
      <w:r w:rsidR="00BB39E5">
        <w:t>pulmonary vascular resistance</w:t>
      </w:r>
      <w:r>
        <w:t xml:space="preserve"> from baseline to 48 hours. CI increased from baseline in both groups at 24</w:t>
      </w:r>
      <w:r w:rsidR="000A646E">
        <w:t> </w:t>
      </w:r>
      <w:r>
        <w:t xml:space="preserve">hours but was sustained at 48 hours in the </w:t>
      </w:r>
      <w:r w:rsidR="00DC7D20">
        <w:t>inhaled nitric oxide</w:t>
      </w:r>
      <w:r>
        <w:t xml:space="preserve"> group with a mean increase of 1.58</w:t>
      </w:r>
      <w:r w:rsidR="001878B0">
        <w:t> </w:t>
      </w:r>
      <w:r>
        <w:t>L/min/</w:t>
      </w:r>
      <w:r w:rsidR="001878B0">
        <w:t>m</w:t>
      </w:r>
      <w:r w:rsidR="001878B0" w:rsidRPr="001878B0">
        <w:rPr>
          <w:vertAlign w:val="superscript"/>
        </w:rPr>
        <w:t>2</w:t>
      </w:r>
      <w:r w:rsidR="001878B0">
        <w:t xml:space="preserve"> </w:t>
      </w:r>
      <w:r>
        <w:t>of (95%</w:t>
      </w:r>
      <w:r w:rsidR="00931948">
        <w:t xml:space="preserve"> confidence interval (</w:t>
      </w:r>
      <w:r>
        <w:t>CI</w:t>
      </w:r>
      <w:r w:rsidR="00931948">
        <w:t>);</w:t>
      </w:r>
      <w:r>
        <w:t xml:space="preserve"> 1.0 to 2.16, p</w:t>
      </w:r>
      <w:r w:rsidR="001878B0">
        <w:t xml:space="preserve"> </w:t>
      </w:r>
      <w:r>
        <w:t>&lt;</w:t>
      </w:r>
      <w:r w:rsidR="001878B0">
        <w:t xml:space="preserve"> </w:t>
      </w:r>
      <w:r>
        <w:t>0</w:t>
      </w:r>
      <w:r w:rsidR="001878B0">
        <w:t>.</w:t>
      </w:r>
      <w:r>
        <w:t>0001) v</w:t>
      </w:r>
      <w:r w:rsidR="001878B0">
        <w:t>ersu</w:t>
      </w:r>
      <w:r>
        <w:t>s 0.4L/min/m</w:t>
      </w:r>
      <w:r w:rsidRPr="001878B0">
        <w:rPr>
          <w:vertAlign w:val="superscript"/>
        </w:rPr>
        <w:t>2</w:t>
      </w:r>
      <w:r>
        <w:t xml:space="preserve"> (95% CI 0.01 to 0.81</w:t>
      </w:r>
      <w:r w:rsidR="001878B0">
        <w:t> </w:t>
      </w:r>
      <w:r>
        <w:t>L/min/m</w:t>
      </w:r>
      <w:r w:rsidRPr="001878B0">
        <w:rPr>
          <w:vertAlign w:val="superscript"/>
        </w:rPr>
        <w:t>2</w:t>
      </w:r>
      <w:r>
        <w:t>, p</w:t>
      </w:r>
      <w:r w:rsidR="001878B0">
        <w:t xml:space="preserve"> </w:t>
      </w:r>
      <w:r>
        <w:t>&lt;</w:t>
      </w:r>
      <w:r w:rsidR="001878B0">
        <w:t xml:space="preserve"> </w:t>
      </w:r>
      <w:r>
        <w:t xml:space="preserve">0.06) in the oxygen group. Compared to baseline, </w:t>
      </w:r>
      <w:r w:rsidR="00BB39E5">
        <w:t>pulmonary vascular resistance</w:t>
      </w:r>
      <w:r>
        <w:t xml:space="preserve"> reductions were significant at 24 and 48 hours for the </w:t>
      </w:r>
      <w:r w:rsidR="00DC7D20">
        <w:t>inhaled nitric oxide</w:t>
      </w:r>
      <w:r>
        <w:t xml:space="preserve"> group only (34%, p</w:t>
      </w:r>
      <w:r w:rsidR="001878B0">
        <w:t xml:space="preserve"> </w:t>
      </w:r>
      <w:r>
        <w:t xml:space="preserve">&lt; 0.005). Both groups showed reductions in the secondary endpoints were changes </w:t>
      </w:r>
      <w:r w:rsidRPr="00C50B42">
        <w:t xml:space="preserve">in </w:t>
      </w:r>
      <w:r w:rsidR="00C50B42" w:rsidRPr="00C50B42">
        <w:t xml:space="preserve">systolic </w:t>
      </w:r>
      <w:r w:rsidR="00BB39E5" w:rsidRPr="00C50B42">
        <w:t>pulmonary</w:t>
      </w:r>
      <w:r w:rsidR="00BB39E5">
        <w:t xml:space="preserve"> arterial pressure</w:t>
      </w:r>
      <w:r>
        <w:t xml:space="preserve">, </w:t>
      </w:r>
      <w:r w:rsidR="00C50B42">
        <w:t>pulmonary capillary wedge pressure</w:t>
      </w:r>
      <w:r>
        <w:t xml:space="preserve"> </w:t>
      </w:r>
      <w:r>
        <w:lastRenderedPageBreak/>
        <w:t xml:space="preserve">without statistically significant differences between the groups. Clinical outcomes were similar between the two groups. Total ICU stay was shorter (2.0 </w:t>
      </w:r>
      <w:r w:rsidR="004C096D">
        <w:t xml:space="preserve">days </w:t>
      </w:r>
      <w:r>
        <w:t>(</w:t>
      </w:r>
      <w:r w:rsidR="001878B0">
        <w:t>interquartile range</w:t>
      </w:r>
      <w:r>
        <w:t xml:space="preserve"> 0.25) days v</w:t>
      </w:r>
      <w:r w:rsidR="001878B0">
        <w:t>ersu</w:t>
      </w:r>
      <w:r>
        <w:t>s 3.0</w:t>
      </w:r>
      <w:r w:rsidR="001878B0">
        <w:t> </w:t>
      </w:r>
      <w:r>
        <w:t>(</w:t>
      </w:r>
      <w:r w:rsidR="001878B0">
        <w:t>interquartile range</w:t>
      </w:r>
      <w:r>
        <w:t xml:space="preserve"> 7.0) days), and the number of systemic vasoactive drugs was smaller in the </w:t>
      </w:r>
      <w:r w:rsidR="00DC7D20">
        <w:t>inhaled nitric oxide</w:t>
      </w:r>
      <w:r>
        <w:t xml:space="preserve"> group. There were fewer predefined complications in the </w:t>
      </w:r>
      <w:r w:rsidR="00DC7D20">
        <w:t>inhaled nitric oxide</w:t>
      </w:r>
      <w:r>
        <w:t xml:space="preserve"> group 29% v</w:t>
      </w:r>
      <w:r w:rsidR="001878B0">
        <w:t>ersu</w:t>
      </w:r>
      <w:r>
        <w:t>s 60%. The evaluator had several issues with this paper because of internal inconsistencies in the reporting and interpretation of the results by the authors.</w:t>
      </w:r>
    </w:p>
    <w:p w14:paraId="536496A4" w14:textId="09DFF0D2" w:rsidR="00BF4601" w:rsidRDefault="00BF4601" w:rsidP="00BF4601">
      <w:r>
        <w:t>Kha</w:t>
      </w:r>
      <w:r w:rsidR="00C50B42">
        <w:t xml:space="preserve">n et al. </w:t>
      </w:r>
      <w:r>
        <w:t>2009</w:t>
      </w:r>
      <w:r w:rsidR="00F601A9">
        <w:t>;</w:t>
      </w:r>
      <w:r w:rsidR="008024D2" w:rsidRPr="008024D2">
        <w:rPr>
          <w:vertAlign w:val="superscript"/>
        </w:rPr>
        <w:fldChar w:fldCharType="begin"/>
      </w:r>
      <w:r w:rsidR="008024D2" w:rsidRPr="008024D2">
        <w:rPr>
          <w:vertAlign w:val="superscript"/>
        </w:rPr>
        <w:instrText xml:space="preserve"> NOTEREF _Ref25843937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21</w:t>
      </w:r>
      <w:r w:rsidR="008024D2" w:rsidRPr="008024D2">
        <w:rPr>
          <w:vertAlign w:val="superscript"/>
        </w:rPr>
        <w:fldChar w:fldCharType="end"/>
      </w:r>
      <w:r w:rsidR="00F601A9">
        <w:t xml:space="preserve"> </w:t>
      </w:r>
      <w:r>
        <w:t xml:space="preserve">was a prospective, crossover study comparing </w:t>
      </w:r>
      <w:r w:rsidR="001878B0">
        <w:t>inhaled nitric oxide</w:t>
      </w:r>
      <w:r>
        <w:t xml:space="preserve"> 20</w:t>
      </w:r>
      <w:r w:rsidR="00C50B42">
        <w:t> </w:t>
      </w:r>
      <w:r>
        <w:t xml:space="preserve">ppm and inhaled prostacyclin (20 </w:t>
      </w:r>
      <w:r w:rsidR="001878B0">
        <w:t>µ</w:t>
      </w:r>
      <w:r>
        <w:t>g/mL) in 25 adult patients (aged 59</w:t>
      </w:r>
      <w:r w:rsidR="001878B0">
        <w:t xml:space="preserve"> ±</w:t>
      </w:r>
      <w:r>
        <w:t xml:space="preserve"> 2 years) undergoing heart (n</w:t>
      </w:r>
      <w:r w:rsidR="00D42948">
        <w:t xml:space="preserve"> = </w:t>
      </w:r>
      <w:r>
        <w:t>6) or lung (n</w:t>
      </w:r>
      <w:r w:rsidR="00D42948">
        <w:t xml:space="preserve"> = </w:t>
      </w:r>
      <w:r>
        <w:t>19) transplant. Patients received the allocated treatment for 6</w:t>
      </w:r>
      <w:r w:rsidR="001878B0">
        <w:t> </w:t>
      </w:r>
      <w:r>
        <w:t>hours then, after a 30 minute washout, switched to the alternative treatment. Treatment thereafter was at the treating physician's discretion. An initial 32 patients were randomised but only those receiving the randomised therapy at 6 hours were included in the analysis (3 patients from each group withdrawn because of early haemodynamic improvement).</w:t>
      </w:r>
      <w:r w:rsidR="00F601A9">
        <w:t xml:space="preserve"> </w:t>
      </w:r>
      <w:r>
        <w:t xml:space="preserve">There were no significant differences between the treatments for haemodynamic parameters, oxygenation, or 30 days survival (which was 100%). Median ICU stay was 3 days and no patient required invasive treatment to manage </w:t>
      </w:r>
      <w:r w:rsidR="001878B0">
        <w:t>pulmonary hypertension</w:t>
      </w:r>
      <w:r>
        <w:t xml:space="preserve"> or </w:t>
      </w:r>
      <w:r w:rsidR="001878B0">
        <w:t>right ventricular dysfunction</w:t>
      </w:r>
      <w:r>
        <w:t>. The evaluator noted methodological issues with this study.</w:t>
      </w:r>
    </w:p>
    <w:p w14:paraId="54F3F59B" w14:textId="61979A91" w:rsidR="00BF4601" w:rsidRDefault="00F601A9" w:rsidP="00BF4601">
      <w:proofErr w:type="spellStart"/>
      <w:r>
        <w:t>Knothe</w:t>
      </w:r>
      <w:proofErr w:type="spellEnd"/>
      <w:r>
        <w:t xml:space="preserve"> et al. </w:t>
      </w:r>
      <w:r w:rsidR="00C50B42">
        <w:t>1996</w:t>
      </w:r>
      <w:r>
        <w:t>;</w:t>
      </w:r>
      <w:r w:rsidR="008024D2" w:rsidRPr="008024D2">
        <w:rPr>
          <w:vertAlign w:val="superscript"/>
        </w:rPr>
        <w:fldChar w:fldCharType="begin"/>
      </w:r>
      <w:r w:rsidR="008024D2" w:rsidRPr="008024D2">
        <w:rPr>
          <w:vertAlign w:val="superscript"/>
        </w:rPr>
        <w:instrText xml:space="preserve"> NOTEREF _Ref25843632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22</w:t>
      </w:r>
      <w:r w:rsidR="008024D2" w:rsidRPr="008024D2">
        <w:rPr>
          <w:vertAlign w:val="superscript"/>
        </w:rPr>
        <w:fldChar w:fldCharType="end"/>
      </w:r>
      <w:r w:rsidR="00BF4601">
        <w:t xml:space="preserve"> was a randomised stud</w:t>
      </w:r>
      <w:r w:rsidR="001878B0">
        <w:t>y to investigate the effect of inhaled nitric oxide</w:t>
      </w:r>
      <w:r w:rsidR="003B08F8">
        <w:t xml:space="preserve"> </w:t>
      </w:r>
      <w:r w:rsidR="001878B0">
        <w:t>30 </w:t>
      </w:r>
      <w:r w:rsidR="00BF4601">
        <w:t xml:space="preserve">ppm compared with conventional treatment in 10 patients undergoing valve replacement surgery </w:t>
      </w:r>
      <w:r w:rsidR="00BF4601" w:rsidRPr="00FB373C">
        <w:t xml:space="preserve">requiring extracorporeal membrane oxygenation support, with a </w:t>
      </w:r>
      <w:r w:rsidR="000E74EA" w:rsidRPr="00FB373C">
        <w:t>mean pulmonary</w:t>
      </w:r>
      <w:r w:rsidR="00BB39E5" w:rsidRPr="00FB373C">
        <w:t xml:space="preserve"> arterial pressure</w:t>
      </w:r>
      <w:r>
        <w:t xml:space="preserve"> &gt; 25 mm</w:t>
      </w:r>
      <w:r w:rsidR="00BF4601" w:rsidRPr="00FB373C">
        <w:t xml:space="preserve">Hg 10 minutes after returning to conventional ventilation with 10 controls receiving standard of care. Treatment with </w:t>
      </w:r>
      <w:r w:rsidR="00DC7D20" w:rsidRPr="00FB373C">
        <w:t>inhaled nitric oxide</w:t>
      </w:r>
      <w:r w:rsidR="00BF4601" w:rsidRPr="00FB373C">
        <w:t xml:space="preserve"> for 20 minutes significantly reduced </w:t>
      </w:r>
      <w:r w:rsidR="000E74EA" w:rsidRPr="00FB373C">
        <w:t>mean pulmonary</w:t>
      </w:r>
      <w:r w:rsidR="00BB39E5" w:rsidRPr="00FB373C">
        <w:t xml:space="preserve"> arterial pressure</w:t>
      </w:r>
      <w:r w:rsidR="00BF4601" w:rsidRPr="00FB373C">
        <w:t xml:space="preserve"> and </w:t>
      </w:r>
      <w:r w:rsidR="00BB39E5" w:rsidRPr="00FB373C">
        <w:t>pulmonary vascular resistance</w:t>
      </w:r>
      <w:r w:rsidR="00BF4601" w:rsidRPr="00FB373C">
        <w:t xml:space="preserve">, compared to baseline. </w:t>
      </w:r>
      <w:r w:rsidR="00C50B42" w:rsidRPr="00FB373C">
        <w:t>S</w:t>
      </w:r>
      <w:r w:rsidR="00BB39E5" w:rsidRPr="00FB373C">
        <w:t>ystemic vascular resistance</w:t>
      </w:r>
      <w:r w:rsidR="00BF4601" w:rsidRPr="00FB373C">
        <w:t xml:space="preserve"> increased from baseline in both groups, statistically significantly in the </w:t>
      </w:r>
      <w:r w:rsidR="00DC7D20" w:rsidRPr="00FB373C">
        <w:t>inhaled nitric oxide</w:t>
      </w:r>
      <w:r w:rsidR="00BF4601" w:rsidRPr="00FB373C">
        <w:t xml:space="preserve"> group, without a difference in </w:t>
      </w:r>
      <w:r w:rsidR="000E74EA" w:rsidRPr="00FB373C">
        <w:t>cardiac index, central venous pressure, pulmonary capillary wedge pressure.</w:t>
      </w:r>
    </w:p>
    <w:p w14:paraId="2E2227F5" w14:textId="77777777" w:rsidR="00BF4601" w:rsidRDefault="00BF4601" w:rsidP="001878B0">
      <w:pPr>
        <w:pStyle w:val="Heading5"/>
      </w:pPr>
      <w:r>
        <w:t>Previously evaluated literature</w:t>
      </w:r>
    </w:p>
    <w:p w14:paraId="6F63A403" w14:textId="0E037FBE" w:rsidR="00BF4601" w:rsidRDefault="00BF4601" w:rsidP="00BF4601">
      <w:r>
        <w:t>The evaluator reconsidered 12 studies</w:t>
      </w:r>
      <w:r w:rsidR="007A7B5A">
        <w:rPr>
          <w:rStyle w:val="FootnoteReference"/>
        </w:rPr>
        <w:footnoteReference w:id="58"/>
      </w:r>
      <w:r>
        <w:t xml:space="preserve"> that had been submitted in the previous submission for the extension of indications for use in paediatric patients undergoing cardiac surgery as supportive studies. The studies considered by the evaluator of direct relevance to the requested indication are summarised below.</w:t>
      </w:r>
    </w:p>
    <w:p w14:paraId="5C980844" w14:textId="77777777" w:rsidR="006C537A" w:rsidRDefault="006C537A" w:rsidP="006C537A">
      <w:pPr>
        <w:pStyle w:val="Heading6"/>
      </w:pPr>
      <w:proofErr w:type="spellStart"/>
      <w:r>
        <w:t>Fattouch</w:t>
      </w:r>
      <w:proofErr w:type="spellEnd"/>
      <w:r>
        <w:t xml:space="preserve"> et al. 2005</w:t>
      </w:r>
    </w:p>
    <w:p w14:paraId="4F81F83C" w14:textId="3A27484E" w:rsidR="00BF4601" w:rsidRDefault="00BF4601" w:rsidP="00BF4601">
      <w:proofErr w:type="spellStart"/>
      <w:r>
        <w:t>Fattouch</w:t>
      </w:r>
      <w:proofErr w:type="spellEnd"/>
      <w:r>
        <w:t xml:space="preserve"> </w:t>
      </w:r>
      <w:r w:rsidR="00FB373C">
        <w:t xml:space="preserve">et al. </w:t>
      </w:r>
      <w:r>
        <w:t>2005</w:t>
      </w:r>
      <w:r w:rsidR="00F601A9">
        <w:t>;</w:t>
      </w:r>
      <w:r w:rsidR="008024D2" w:rsidRPr="008024D2">
        <w:rPr>
          <w:vertAlign w:val="superscript"/>
        </w:rPr>
        <w:fldChar w:fldCharType="begin"/>
      </w:r>
      <w:r w:rsidR="008024D2" w:rsidRPr="008024D2">
        <w:rPr>
          <w:vertAlign w:val="superscript"/>
        </w:rPr>
        <w:instrText xml:space="preserve"> NOTEREF _Ref25843832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8</w:t>
      </w:r>
      <w:r w:rsidR="008024D2" w:rsidRPr="008024D2">
        <w:rPr>
          <w:vertAlign w:val="superscript"/>
        </w:rPr>
        <w:fldChar w:fldCharType="end"/>
      </w:r>
      <w:r>
        <w:t xml:space="preserve"> was a single centre study, three way crossover study investigating </w:t>
      </w:r>
      <w:r w:rsidR="001878B0">
        <w:t>inhaled nitric oxide</w:t>
      </w:r>
      <w:r>
        <w:t xml:space="preserve"> 20 ppm, inhaled prostacyclin</w:t>
      </w:r>
      <w:r w:rsidR="00D42948">
        <w:t xml:space="preserve"> </w:t>
      </w:r>
      <w:r>
        <w:t xml:space="preserve">and </w:t>
      </w:r>
      <w:r w:rsidR="000A646E">
        <w:t>IV</w:t>
      </w:r>
      <w:r>
        <w:t xml:space="preserve"> nitroprusside</w:t>
      </w:r>
      <w:r w:rsidR="00D42948">
        <w:t xml:space="preserve"> </w:t>
      </w:r>
      <w:r>
        <w:t>(control) used in 58</w:t>
      </w:r>
      <w:r w:rsidR="001878B0">
        <w:t> </w:t>
      </w:r>
      <w:r>
        <w:t xml:space="preserve">patients admitted to ICU after mitral stenosis repair and </w:t>
      </w:r>
      <w:r w:rsidR="00BB39E5">
        <w:t>pulmonary vascular resistance</w:t>
      </w:r>
      <w:r>
        <w:t xml:space="preserve"> &gt; 200 dynes/</w:t>
      </w:r>
      <w:r w:rsidRPr="00FB373C">
        <w:t>sec/cm</w:t>
      </w:r>
      <w:r w:rsidRPr="00FB373C">
        <w:rPr>
          <w:vertAlign w:val="superscript"/>
        </w:rPr>
        <w:t>5</w:t>
      </w:r>
      <w:r w:rsidRPr="00FB373C">
        <w:t xml:space="preserve"> and/or </w:t>
      </w:r>
      <w:proofErr w:type="spellStart"/>
      <w:r w:rsidRPr="00FB373C">
        <w:t>transpulmonary</w:t>
      </w:r>
      <w:proofErr w:type="spellEnd"/>
      <w:r w:rsidRPr="00FB373C">
        <w:t xml:space="preserve"> pressure gradient &gt; 10 mmHg. Study medication was given for 30 minutes with a 15 minute washout between treatments. There were reductions in </w:t>
      </w:r>
      <w:r w:rsidR="00BB39E5" w:rsidRPr="00FB373C">
        <w:t>pulmonary vascular resistance</w:t>
      </w:r>
      <w:r w:rsidRPr="00FB373C">
        <w:t xml:space="preserve"> (45%/50%/45%), </w:t>
      </w:r>
      <w:proofErr w:type="spellStart"/>
      <w:r w:rsidR="00FB373C">
        <w:t>transpulmonary</w:t>
      </w:r>
      <w:proofErr w:type="spellEnd"/>
      <w:r w:rsidR="00FB373C">
        <w:t xml:space="preserve"> pressure gradient</w:t>
      </w:r>
      <w:r w:rsidRPr="00FB373C">
        <w:t xml:space="preserve"> (62%/64%/44%) and in </w:t>
      </w:r>
      <w:r w:rsidR="000E74EA" w:rsidRPr="00FB373C">
        <w:t>mean pulmonary</w:t>
      </w:r>
      <w:r w:rsidR="00BB39E5" w:rsidRPr="00FB373C">
        <w:t xml:space="preserve"> arterial pressure</w:t>
      </w:r>
      <w:r w:rsidRPr="00FB373C">
        <w:t xml:space="preserve"> (19%/20%/21%) in the </w:t>
      </w:r>
      <w:r w:rsidR="00DC7D20" w:rsidRPr="00FB373C">
        <w:t>inhaled nitric oxide</w:t>
      </w:r>
      <w:r w:rsidRPr="00FB373C">
        <w:t>/prostacyclin/nitroprusside groups.</w:t>
      </w:r>
      <w:r>
        <w:t xml:space="preserve"> Cardiac output and stroke volume were not significantly changed in the </w:t>
      </w:r>
      <w:r w:rsidR="00DC7D20">
        <w:t>inhaled nitric oxide</w:t>
      </w:r>
      <w:r>
        <w:t xml:space="preserve"> group and were increased in the prostacyclin group. The evaluator found methodological issues with this paper, and uncertainties in the manner in which the results were presented.</w:t>
      </w:r>
    </w:p>
    <w:p w14:paraId="481D0657" w14:textId="77777777" w:rsidR="006C537A" w:rsidRDefault="006C537A" w:rsidP="006C537A">
      <w:pPr>
        <w:pStyle w:val="Heading6"/>
      </w:pPr>
      <w:proofErr w:type="spellStart"/>
      <w:r>
        <w:lastRenderedPageBreak/>
        <w:t>Fattouch</w:t>
      </w:r>
      <w:proofErr w:type="spellEnd"/>
      <w:r>
        <w:t xml:space="preserve"> et al. 2006</w:t>
      </w:r>
    </w:p>
    <w:p w14:paraId="1C890AB4" w14:textId="613CE7CA" w:rsidR="00BF4601" w:rsidRDefault="00BF4601" w:rsidP="00BF4601">
      <w:proofErr w:type="spellStart"/>
      <w:r>
        <w:t>Fattouch</w:t>
      </w:r>
      <w:proofErr w:type="spellEnd"/>
      <w:r>
        <w:t xml:space="preserve"> </w:t>
      </w:r>
      <w:r w:rsidR="00FB373C">
        <w:t xml:space="preserve">et al. </w:t>
      </w:r>
      <w:r>
        <w:t>2006</w:t>
      </w:r>
      <w:r w:rsidR="00F601A9">
        <w:t>;</w:t>
      </w:r>
      <w:r w:rsidR="008024D2" w:rsidRPr="008024D2">
        <w:rPr>
          <w:vertAlign w:val="superscript"/>
        </w:rPr>
        <w:fldChar w:fldCharType="begin"/>
      </w:r>
      <w:r w:rsidR="008024D2" w:rsidRPr="008024D2">
        <w:rPr>
          <w:vertAlign w:val="superscript"/>
        </w:rPr>
        <w:instrText xml:space="preserve"> NOTEREF _Ref25843875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9</w:t>
      </w:r>
      <w:r w:rsidR="008024D2" w:rsidRPr="008024D2">
        <w:rPr>
          <w:vertAlign w:val="superscript"/>
        </w:rPr>
        <w:fldChar w:fldCharType="end"/>
      </w:r>
      <w:r>
        <w:t xml:space="preserve"> of very similar design, size, treatment groups, study centre to the study above found that the inhaled drug groups were more easily weaned from bypass (p</w:t>
      </w:r>
      <w:r w:rsidR="001878B0">
        <w:t> </w:t>
      </w:r>
      <w:r w:rsidR="00D42948">
        <w:t>=</w:t>
      </w:r>
      <w:r w:rsidR="001878B0">
        <w:t> </w:t>
      </w:r>
      <w:r>
        <w:t>0.04), had a shorter intubation time (p</w:t>
      </w:r>
      <w:r w:rsidR="00D42948">
        <w:t xml:space="preserve"> = </w:t>
      </w:r>
      <w:r>
        <w:t>0.03) and a shorter ICU time (p</w:t>
      </w:r>
      <w:r w:rsidR="00D42948">
        <w:t xml:space="preserve"> = </w:t>
      </w:r>
      <w:r>
        <w:t xml:space="preserve">0.02) compared to the IV nitroprusside group. Both inhaled agents compared to IV nitroprusside improved right ventricular ejection </w:t>
      </w:r>
      <w:r w:rsidRPr="00FB373C">
        <w:t xml:space="preserve">fraction </w:t>
      </w:r>
      <w:r>
        <w:t>(p</w:t>
      </w:r>
      <w:r w:rsidR="001878B0">
        <w:t xml:space="preserve"> </w:t>
      </w:r>
      <w:r>
        <w:t>&lt;</w:t>
      </w:r>
      <w:r w:rsidR="001878B0">
        <w:t xml:space="preserve"> </w:t>
      </w:r>
      <w:r>
        <w:t xml:space="preserve">0.05). Compared to prostacyclin </w:t>
      </w:r>
      <w:r w:rsidR="00DC7D20">
        <w:t>inhaled nitric oxide</w:t>
      </w:r>
      <w:r>
        <w:t xml:space="preserve"> increased in Pa02 but had a lesser reduction in </w:t>
      </w:r>
      <w:r w:rsidR="00BB39E5">
        <w:t>pulmonary vascular resistance</w:t>
      </w:r>
      <w:r>
        <w:t xml:space="preserve"> and </w:t>
      </w:r>
      <w:r w:rsidR="00BB39E5">
        <w:t>pulmonary arterial pressure</w:t>
      </w:r>
      <w:r>
        <w:t xml:space="preserve">, but unlike </w:t>
      </w:r>
      <w:r w:rsidR="00DC7D20">
        <w:t>inhaled nitric oxide</w:t>
      </w:r>
      <w:r>
        <w:t xml:space="preserve">, prostacyclin reduced </w:t>
      </w:r>
      <w:r w:rsidR="00BB39E5">
        <w:t>systemic vascular resistance</w:t>
      </w:r>
      <w:r>
        <w:t xml:space="preserve"> and increased </w:t>
      </w:r>
      <w:r w:rsidR="001878B0">
        <w:t>heart rate</w:t>
      </w:r>
      <w:r>
        <w:t xml:space="preserve"> and </w:t>
      </w:r>
      <w:r w:rsidR="001878B0">
        <w:t>cardiac output</w:t>
      </w:r>
      <w:r>
        <w:t>.</w:t>
      </w:r>
    </w:p>
    <w:p w14:paraId="506C5FB9" w14:textId="77777777" w:rsidR="006C537A" w:rsidRDefault="006C537A" w:rsidP="006C537A">
      <w:pPr>
        <w:pStyle w:val="Heading6"/>
      </w:pPr>
      <w:proofErr w:type="spellStart"/>
      <w:r>
        <w:t>Solina</w:t>
      </w:r>
      <w:proofErr w:type="spellEnd"/>
      <w:r>
        <w:t xml:space="preserve"> et al. 2000</w:t>
      </w:r>
    </w:p>
    <w:p w14:paraId="68A12F38" w14:textId="6794245D" w:rsidR="00BF4601" w:rsidRDefault="00BF4601" w:rsidP="00BF4601">
      <w:proofErr w:type="spellStart"/>
      <w:r>
        <w:t>Solina</w:t>
      </w:r>
      <w:proofErr w:type="spellEnd"/>
      <w:r>
        <w:t xml:space="preserve"> </w:t>
      </w:r>
      <w:r w:rsidR="00FB373C">
        <w:t xml:space="preserve">et al. </w:t>
      </w:r>
      <w:r>
        <w:t>2000</w:t>
      </w:r>
      <w:r w:rsidR="00F601A9">
        <w:t>;</w:t>
      </w:r>
      <w:r w:rsidR="008024D2" w:rsidRPr="008024D2">
        <w:rPr>
          <w:vertAlign w:val="superscript"/>
        </w:rPr>
        <w:fldChar w:fldCharType="begin"/>
      </w:r>
      <w:r w:rsidR="008024D2" w:rsidRPr="008024D2">
        <w:rPr>
          <w:vertAlign w:val="superscript"/>
        </w:rPr>
        <w:instrText xml:space="preserve"> NOTEREF _Ref25843707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13</w:t>
      </w:r>
      <w:r w:rsidR="008024D2" w:rsidRPr="008024D2">
        <w:rPr>
          <w:vertAlign w:val="superscript"/>
        </w:rPr>
        <w:fldChar w:fldCharType="end"/>
      </w:r>
      <w:r>
        <w:t xml:space="preserve"> was a single</w:t>
      </w:r>
      <w:r w:rsidR="000A646E">
        <w:t xml:space="preserve"> </w:t>
      </w:r>
      <w:r>
        <w:t>centre, open</w:t>
      </w:r>
      <w:r w:rsidR="000A646E">
        <w:t xml:space="preserve"> </w:t>
      </w:r>
      <w:r>
        <w:t xml:space="preserve">label, randomised study comparing </w:t>
      </w:r>
      <w:r w:rsidR="000E74EA">
        <w:t>inhaled nitric oxide</w:t>
      </w:r>
      <w:r>
        <w:t xml:space="preserve"> 20 ppm (n</w:t>
      </w:r>
      <w:r w:rsidR="00D42948">
        <w:t xml:space="preserve"> = </w:t>
      </w:r>
      <w:r>
        <w:t xml:space="preserve">15) and </w:t>
      </w:r>
      <w:r w:rsidR="000E74EA">
        <w:t>inhaled nitric oxide</w:t>
      </w:r>
      <w:r>
        <w:t xml:space="preserve"> 40 ppm (n</w:t>
      </w:r>
      <w:r w:rsidR="00D42948">
        <w:t xml:space="preserve"> = </w:t>
      </w:r>
      <w:r>
        <w:t xml:space="preserve">15) with IV </w:t>
      </w:r>
      <w:proofErr w:type="spellStart"/>
      <w:r>
        <w:t>milrinone</w:t>
      </w:r>
      <w:proofErr w:type="spellEnd"/>
      <w:r>
        <w:t xml:space="preserve"> (n</w:t>
      </w:r>
      <w:r w:rsidR="00FB373C">
        <w:t> </w:t>
      </w:r>
      <w:r w:rsidR="00D42948">
        <w:t xml:space="preserve">= </w:t>
      </w:r>
      <w:r>
        <w:t xml:space="preserve">15) in 45 adults with preoperative </w:t>
      </w:r>
      <w:r w:rsidR="000E74EA">
        <w:t>pulmonary hypertension</w:t>
      </w:r>
      <w:r>
        <w:t xml:space="preserve"> (</w:t>
      </w:r>
      <w:r w:rsidR="00BB39E5">
        <w:t>pulmonary vascular resistance</w:t>
      </w:r>
      <w:r>
        <w:t xml:space="preserve"> &gt;</w:t>
      </w:r>
      <w:r w:rsidR="000E74EA">
        <w:t> </w:t>
      </w:r>
      <w:r>
        <w:t>125 dynes</w:t>
      </w:r>
      <w:r w:rsidR="000E74EA">
        <w:t>/</w:t>
      </w:r>
      <w:r>
        <w:t>sec</w:t>
      </w:r>
      <w:r w:rsidR="000E74EA">
        <w:t>/cm</w:t>
      </w:r>
      <w:r w:rsidRPr="00FB373C">
        <w:rPr>
          <w:vertAlign w:val="superscript"/>
        </w:rPr>
        <w:t>5</w:t>
      </w:r>
      <w:r>
        <w:t xml:space="preserve"> undergoing cardiac surgery with </w:t>
      </w:r>
      <w:r w:rsidR="000E74EA">
        <w:t>cardiopulmonary bypass</w:t>
      </w:r>
      <w:r>
        <w:t xml:space="preserve">. After the administration of </w:t>
      </w:r>
      <w:r w:rsidR="00527AF3">
        <w:t>anaesthesia,</w:t>
      </w:r>
      <w:r>
        <w:t xml:space="preserve"> the </w:t>
      </w:r>
      <w:r w:rsidR="000E74EA">
        <w:t>mean pulmonary</w:t>
      </w:r>
      <w:r w:rsidR="00BB39E5">
        <w:t xml:space="preserve"> arterial pressure</w:t>
      </w:r>
      <w:r>
        <w:t xml:space="preserve"> and </w:t>
      </w:r>
      <w:r w:rsidR="00BB39E5">
        <w:t>pulmonary vascular resistance</w:t>
      </w:r>
      <w:r>
        <w:t xml:space="preserve"> were significantly greater in the </w:t>
      </w:r>
      <w:r w:rsidR="000E74EA">
        <w:t>inhaled nitric oxide</w:t>
      </w:r>
      <w:r>
        <w:t xml:space="preserve"> 20</w:t>
      </w:r>
      <w:r w:rsidR="00FB373C">
        <w:t> </w:t>
      </w:r>
      <w:r>
        <w:t xml:space="preserve">ppm group but other baseline characteristics were similar. After initiation of treatment, at the termination of </w:t>
      </w:r>
      <w:r w:rsidR="000E74EA">
        <w:t>cardiopulmonary bypass</w:t>
      </w:r>
      <w:r>
        <w:t xml:space="preserve">, there were no differences in </w:t>
      </w:r>
      <w:r w:rsidR="00BB39E5">
        <w:t>pulmonary vascular resistance</w:t>
      </w:r>
      <w:r>
        <w:t xml:space="preserve">, </w:t>
      </w:r>
      <w:r w:rsidR="00BB39E5">
        <w:t>systemic vascular resistance</w:t>
      </w:r>
      <w:r w:rsidR="000E74EA">
        <w:t xml:space="preserve"> or cardiac index</w:t>
      </w:r>
      <w:r>
        <w:t xml:space="preserve">. At arrival in ICU, the </w:t>
      </w:r>
      <w:r w:rsidR="000E74EA">
        <w:t>inhaled nitric oxide</w:t>
      </w:r>
      <w:r>
        <w:t xml:space="preserve"> 20</w:t>
      </w:r>
      <w:r w:rsidR="000E74EA">
        <w:t> </w:t>
      </w:r>
      <w:r>
        <w:t xml:space="preserve">ppm group had a significantly higher </w:t>
      </w:r>
      <w:r w:rsidR="000E74EA">
        <w:t>mean arterial pressure</w:t>
      </w:r>
      <w:r>
        <w:t xml:space="preserve">, and the </w:t>
      </w:r>
      <w:r w:rsidR="000E74EA">
        <w:t>inhaled nitric oxide</w:t>
      </w:r>
      <w:r>
        <w:t xml:space="preserve"> 40 ppm group had a higher right ventricular ejection fraction (RVEF). The </w:t>
      </w:r>
      <w:proofErr w:type="spellStart"/>
      <w:r>
        <w:t>milrinone</w:t>
      </w:r>
      <w:proofErr w:type="spellEnd"/>
      <w:r>
        <w:t xml:space="preserve"> group received significantly more support of systemic blood pressure with adjuvant phenylephrine. The evaluator noted this study was not powered to show differences between the relative efficacy of the agents. </w:t>
      </w:r>
      <w:r w:rsidR="00527AF3">
        <w:t>Similarly,</w:t>
      </w:r>
      <w:r>
        <w:t xml:space="preserve"> it was not powered to show differences in efficacy between the two doses of </w:t>
      </w:r>
      <w:r w:rsidR="00DC7D20">
        <w:t>inhaled nitric oxide</w:t>
      </w:r>
      <w:r>
        <w:t>.</w:t>
      </w:r>
    </w:p>
    <w:p w14:paraId="0A9D7095" w14:textId="77777777" w:rsidR="006C537A" w:rsidRDefault="006C537A" w:rsidP="006C537A">
      <w:pPr>
        <w:pStyle w:val="Heading6"/>
      </w:pPr>
      <w:proofErr w:type="spellStart"/>
      <w:r>
        <w:t>Solina</w:t>
      </w:r>
      <w:proofErr w:type="spellEnd"/>
      <w:r>
        <w:t xml:space="preserve"> et al. 2001</w:t>
      </w:r>
    </w:p>
    <w:p w14:paraId="54F4B38F" w14:textId="7673612E" w:rsidR="00BF4601" w:rsidRDefault="00BF4601" w:rsidP="00BF4601">
      <w:proofErr w:type="spellStart"/>
      <w:r>
        <w:t>Solina</w:t>
      </w:r>
      <w:proofErr w:type="spellEnd"/>
      <w:r>
        <w:t xml:space="preserve"> </w:t>
      </w:r>
      <w:r w:rsidR="00544EAE">
        <w:t xml:space="preserve">et al. </w:t>
      </w:r>
      <w:r>
        <w:t>2001</w:t>
      </w:r>
      <w:r w:rsidR="00F601A9">
        <w:t>;</w:t>
      </w:r>
      <w:r w:rsidR="008024D2" w:rsidRPr="008024D2">
        <w:rPr>
          <w:vertAlign w:val="superscript"/>
        </w:rPr>
        <w:fldChar w:fldCharType="begin"/>
      </w:r>
      <w:r w:rsidR="008024D2" w:rsidRPr="008024D2">
        <w:rPr>
          <w:vertAlign w:val="superscript"/>
        </w:rPr>
        <w:instrText xml:space="preserve"> NOTEREF _Ref25844324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14</w:t>
      </w:r>
      <w:r w:rsidR="008024D2" w:rsidRPr="008024D2">
        <w:rPr>
          <w:vertAlign w:val="superscript"/>
        </w:rPr>
        <w:fldChar w:fldCharType="end"/>
      </w:r>
      <w:r>
        <w:t xml:space="preserve"> was a dose-response study comparing </w:t>
      </w:r>
      <w:r w:rsidR="00DC7D20">
        <w:t>inhaled nitric oxide</w:t>
      </w:r>
      <w:r>
        <w:t xml:space="preserve"> 10 ppm (n</w:t>
      </w:r>
      <w:r w:rsidR="00544EAE">
        <w:t> </w:t>
      </w:r>
      <w:r w:rsidR="00D42948">
        <w:t>=</w:t>
      </w:r>
      <w:r w:rsidR="00544EAE">
        <w:t> </w:t>
      </w:r>
      <w:r>
        <w:t>11), 20 ppm (n</w:t>
      </w:r>
      <w:r w:rsidR="00D42948">
        <w:t xml:space="preserve"> = </w:t>
      </w:r>
      <w:r>
        <w:t>12), 30 ppm (n</w:t>
      </w:r>
      <w:r w:rsidR="00D42948">
        <w:t xml:space="preserve"> = </w:t>
      </w:r>
      <w:r>
        <w:t>12) and 40 ppm (n</w:t>
      </w:r>
      <w:r w:rsidR="00D42948">
        <w:t xml:space="preserve"> = </w:t>
      </w:r>
      <w:r>
        <w:t xml:space="preserve">2) with </w:t>
      </w:r>
      <w:proofErr w:type="spellStart"/>
      <w:r>
        <w:t>milrinone</w:t>
      </w:r>
      <w:proofErr w:type="spellEnd"/>
      <w:r>
        <w:t xml:space="preserve"> 0.5</w:t>
      </w:r>
      <w:r w:rsidR="00544EAE">
        <w:t> </w:t>
      </w:r>
      <w:r w:rsidR="00FB373C">
        <w:t>µ</w:t>
      </w:r>
      <w:r>
        <w:t>g/kg/min (n</w:t>
      </w:r>
      <w:r w:rsidR="000E74EA">
        <w:t> </w:t>
      </w:r>
      <w:r w:rsidR="00D42948">
        <w:t>=</w:t>
      </w:r>
      <w:r w:rsidR="000E74EA">
        <w:t> </w:t>
      </w:r>
      <w:r>
        <w:t xml:space="preserve">15) in adult cardiac surgery patients aged 66 to 73 years with immediate </w:t>
      </w:r>
      <w:r w:rsidR="008E64F9">
        <w:t xml:space="preserve">preoperative </w:t>
      </w:r>
      <w:r w:rsidR="008E64F9">
        <w:rPr>
          <w:rFonts w:eastAsia="TimesNewRoman"/>
        </w:rPr>
        <w:t>pulmonary hypertension</w:t>
      </w:r>
      <w:r w:rsidR="008E64F9">
        <w:t xml:space="preserve"> (</w:t>
      </w:r>
      <w:r>
        <w:t>PH</w:t>
      </w:r>
      <w:r w:rsidR="008E64F9">
        <w:t>)</w:t>
      </w:r>
      <w:r>
        <w:t xml:space="preserve"> (</w:t>
      </w:r>
      <w:r w:rsidR="00BB39E5">
        <w:t>pulmonary vascular resistance</w:t>
      </w:r>
      <w:r>
        <w:t xml:space="preserve"> 125 dyne/sec/cm</w:t>
      </w:r>
      <w:r w:rsidRPr="000E74EA">
        <w:rPr>
          <w:vertAlign w:val="superscript"/>
        </w:rPr>
        <w:t>5</w:t>
      </w:r>
      <w:r>
        <w:t xml:space="preserve">), from the separation from </w:t>
      </w:r>
      <w:r w:rsidR="000E74EA">
        <w:t>cardiopulmonary bypass</w:t>
      </w:r>
      <w:r>
        <w:t xml:space="preserve"> to the arrival of the patient in ICU. The patient had similar baseline characteristics except for less fentanyl use in the 30 ppm group and more valve replacement surgeries in the </w:t>
      </w:r>
      <w:proofErr w:type="spellStart"/>
      <w:r>
        <w:t>milrinone</w:t>
      </w:r>
      <w:proofErr w:type="spellEnd"/>
      <w:r>
        <w:t xml:space="preserve"> and 20 ppm groups. Percentage reductions of </w:t>
      </w:r>
      <w:r w:rsidR="00BB39E5">
        <w:t>pulmonary vascular resistance</w:t>
      </w:r>
      <w:r>
        <w:t xml:space="preserve"> from baseline were 38% (10 ppm), 50% (20</w:t>
      </w:r>
      <w:r w:rsidR="00544EAE">
        <w:t> </w:t>
      </w:r>
      <w:r>
        <w:t>ppm), 44% (30 ppm), 36% (40 ppm) and 58% (</w:t>
      </w:r>
      <w:proofErr w:type="spellStart"/>
      <w:r>
        <w:t>milrinone</w:t>
      </w:r>
      <w:proofErr w:type="spellEnd"/>
      <w:r>
        <w:t>), and were not statistically significantly different between the groups (p</w:t>
      </w:r>
      <w:r w:rsidR="00D42948">
        <w:t xml:space="preserve"> = </w:t>
      </w:r>
      <w:r>
        <w:t>0.86). Other haemodynamic variables were also not statistically significantly different between the groups.</w:t>
      </w:r>
    </w:p>
    <w:p w14:paraId="4A994DF7" w14:textId="77777777" w:rsidR="006C537A" w:rsidRDefault="006C537A" w:rsidP="006C537A">
      <w:pPr>
        <w:pStyle w:val="Heading6"/>
      </w:pPr>
      <w:proofErr w:type="spellStart"/>
      <w:r>
        <w:t>Schmid</w:t>
      </w:r>
      <w:proofErr w:type="spellEnd"/>
      <w:r>
        <w:t xml:space="preserve"> et al. 1999</w:t>
      </w:r>
    </w:p>
    <w:p w14:paraId="7650CE79" w14:textId="67191D13" w:rsidR="003B08F8" w:rsidRDefault="00BF4601" w:rsidP="00BF4601">
      <w:proofErr w:type="spellStart"/>
      <w:r>
        <w:t>Schmid</w:t>
      </w:r>
      <w:proofErr w:type="spellEnd"/>
      <w:r>
        <w:t xml:space="preserve"> </w:t>
      </w:r>
      <w:r w:rsidR="00FB373C">
        <w:t xml:space="preserve">et al. </w:t>
      </w:r>
      <w:r w:rsidR="00F601A9">
        <w:t>199</w:t>
      </w:r>
      <w:r>
        <w:t>9</w:t>
      </w:r>
      <w:r w:rsidR="00F601A9">
        <w:t>;</w:t>
      </w:r>
      <w:r w:rsidR="008024D2" w:rsidRPr="008024D2">
        <w:rPr>
          <w:vertAlign w:val="superscript"/>
        </w:rPr>
        <w:fldChar w:fldCharType="begin"/>
      </w:r>
      <w:r w:rsidR="008024D2" w:rsidRPr="008024D2">
        <w:rPr>
          <w:vertAlign w:val="superscript"/>
        </w:rPr>
        <w:instrText xml:space="preserve"> NOTEREF _Ref20404887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11</w:t>
      </w:r>
      <w:r w:rsidR="008024D2" w:rsidRPr="008024D2">
        <w:rPr>
          <w:vertAlign w:val="superscript"/>
        </w:rPr>
        <w:fldChar w:fldCharType="end"/>
      </w:r>
      <w:r>
        <w:t xml:space="preserve"> was a single</w:t>
      </w:r>
      <w:r w:rsidR="000A646E">
        <w:t xml:space="preserve"> </w:t>
      </w:r>
      <w:r>
        <w:t>centre, open</w:t>
      </w:r>
      <w:r w:rsidR="000A646E">
        <w:t xml:space="preserve"> </w:t>
      </w:r>
      <w:r>
        <w:t xml:space="preserve">label, prospective, randomised, crossover study comparing </w:t>
      </w:r>
      <w:r w:rsidR="000E74EA">
        <w:t>inhaled nitric oxide</w:t>
      </w:r>
      <w:r>
        <w:t xml:space="preserve"> 40 ppm, </w:t>
      </w:r>
      <w:r w:rsidR="008E64F9">
        <w:t>IV</w:t>
      </w:r>
      <w:r>
        <w:t xml:space="preserve"> prostaglandin E1 (PGE1) 0.1</w:t>
      </w:r>
      <w:r w:rsidR="00544EAE">
        <w:t xml:space="preserve"> µ</w:t>
      </w:r>
      <w:r>
        <w:t xml:space="preserve">g/kg/min and </w:t>
      </w:r>
      <w:r w:rsidR="00931948">
        <w:t>IV</w:t>
      </w:r>
      <w:r>
        <w:t xml:space="preserve"> glyceryl trinitrate (GTN) 3 to 5 </w:t>
      </w:r>
      <w:r w:rsidR="000E74EA">
        <w:t>µ</w:t>
      </w:r>
      <w:r>
        <w:t xml:space="preserve">g/kg/min in 14 adults aged 25 to 76 years, with persistent </w:t>
      </w:r>
      <w:r w:rsidR="000A646E">
        <w:t>pulmonary hypertension</w:t>
      </w:r>
      <w:r>
        <w:t xml:space="preserve"> (</w:t>
      </w:r>
      <w:r w:rsidR="000E74EA">
        <w:t>mean pulmonary</w:t>
      </w:r>
      <w:r w:rsidR="00BB39E5">
        <w:t xml:space="preserve"> arterial pressure</w:t>
      </w:r>
      <w:r>
        <w:t xml:space="preserve"> &gt;30 mmHg or </w:t>
      </w:r>
      <w:r w:rsidR="00BB39E5">
        <w:t>pulmonary vascular resistance</w:t>
      </w:r>
      <w:r>
        <w:t xml:space="preserve"> &gt;</w:t>
      </w:r>
      <w:r w:rsidR="000E74EA">
        <w:t> </w:t>
      </w:r>
      <w:r>
        <w:t>300</w:t>
      </w:r>
      <w:r w:rsidR="000E74EA">
        <w:t> </w:t>
      </w:r>
      <w:r>
        <w:t>dyne</w:t>
      </w:r>
      <w:r w:rsidR="000E74EA">
        <w:t>/</w:t>
      </w:r>
      <w:r>
        <w:t>sec</w:t>
      </w:r>
      <w:r w:rsidR="000E74EA">
        <w:t>/</w:t>
      </w:r>
      <w:r>
        <w:t>cm</w:t>
      </w:r>
      <w:r w:rsidRPr="000E74EA">
        <w:rPr>
          <w:vertAlign w:val="superscript"/>
        </w:rPr>
        <w:t>5</w:t>
      </w:r>
      <w:r>
        <w:t xml:space="preserve">) administered in the first 24 hours after cardiac surgery (mostly for mitral valve replacement). Each treatment was administered for 15 </w:t>
      </w:r>
      <w:r w:rsidR="000E74EA">
        <w:t>to</w:t>
      </w:r>
      <w:r>
        <w:t xml:space="preserve"> 20</w:t>
      </w:r>
      <w:r w:rsidR="00544EAE">
        <w:t> </w:t>
      </w:r>
      <w:r>
        <w:t xml:space="preserve">minutes followed by a washout period of 20 minutes. Haemodynamic parameters were measured. At study completion all patients were given PGE1. Each treatment resulted in reductions in </w:t>
      </w:r>
      <w:r w:rsidR="000E74EA">
        <w:t>mean pulmonary</w:t>
      </w:r>
      <w:r w:rsidR="00BB39E5">
        <w:t xml:space="preserve"> arterial pressure</w:t>
      </w:r>
      <w:r>
        <w:t xml:space="preserve">, </w:t>
      </w:r>
      <w:r w:rsidR="00BB39E5">
        <w:t>pulmonary vascular resistance</w:t>
      </w:r>
      <w:r>
        <w:t xml:space="preserve"> and </w:t>
      </w:r>
      <w:proofErr w:type="spellStart"/>
      <w:r w:rsidR="00544EAE">
        <w:t>transpulmonary</w:t>
      </w:r>
      <w:proofErr w:type="spellEnd"/>
      <w:r w:rsidR="00544EAE">
        <w:t xml:space="preserve"> pressure gradient</w:t>
      </w:r>
      <w:r>
        <w:t xml:space="preserve">. PGE1 and </w:t>
      </w:r>
      <w:r w:rsidR="000E74EA">
        <w:t>glyceryl trinitrate</w:t>
      </w:r>
      <w:r>
        <w:t xml:space="preserve"> significantly reduced </w:t>
      </w:r>
      <w:r w:rsidR="000E74EA">
        <w:t>systemic arterial pressure</w:t>
      </w:r>
      <w:r>
        <w:t xml:space="preserve"> and </w:t>
      </w:r>
      <w:r w:rsidR="00BB39E5">
        <w:t>systemic vascular resistance</w:t>
      </w:r>
      <w:r>
        <w:t xml:space="preserve"> (serious hypotension occurred in 3 </w:t>
      </w:r>
      <w:r w:rsidR="00B25F29">
        <w:t>glyceryl trinitrate</w:t>
      </w:r>
      <w:r>
        <w:t xml:space="preserve"> and 2 PGE1 patients). </w:t>
      </w:r>
      <w:r w:rsidR="000E74EA">
        <w:t>I</w:t>
      </w:r>
      <w:r w:rsidR="00DC7D20">
        <w:t xml:space="preserve">nhaled nitric </w:t>
      </w:r>
      <w:r w:rsidR="00DC7D20">
        <w:lastRenderedPageBreak/>
        <w:t>oxide</w:t>
      </w:r>
      <w:r>
        <w:t xml:space="preserve"> and PGE1 but not </w:t>
      </w:r>
      <w:r w:rsidR="000E74EA">
        <w:t>glyceryl trinitrate</w:t>
      </w:r>
      <w:r>
        <w:t xml:space="preserve"> significantly increased </w:t>
      </w:r>
      <w:r w:rsidR="000E74EA">
        <w:t>cardiac index,</w:t>
      </w:r>
      <w:r>
        <w:t xml:space="preserve"> and PGE1, but not </w:t>
      </w:r>
      <w:r w:rsidR="00DC7D20">
        <w:t>inhaled nitric oxide</w:t>
      </w:r>
      <w:r>
        <w:t xml:space="preserve"> or </w:t>
      </w:r>
      <w:r w:rsidR="000E74EA">
        <w:t>glyceryl trinitrate</w:t>
      </w:r>
      <w:r>
        <w:t xml:space="preserve"> increased </w:t>
      </w:r>
      <w:r w:rsidR="000E74EA">
        <w:t>right ventricular ejection fraction</w:t>
      </w:r>
      <w:r>
        <w:t xml:space="preserve">. Compared to baseline no intrapulmonary shunting was demonstrated with </w:t>
      </w:r>
      <w:r w:rsidR="00DC7D20">
        <w:t>inhaled nitric oxide</w:t>
      </w:r>
      <w:r>
        <w:t xml:space="preserve"> but was demonstrated with PGE1 and </w:t>
      </w:r>
      <w:r w:rsidR="000E74EA">
        <w:t>glyceryl trinitrate</w:t>
      </w:r>
      <w:r>
        <w:t xml:space="preserve">. PGE1 and </w:t>
      </w:r>
      <w:r w:rsidR="000E74EA">
        <w:t>glyceryl trinitrate</w:t>
      </w:r>
      <w:r>
        <w:t xml:space="preserve"> resulted in significantly less </w:t>
      </w:r>
      <w:proofErr w:type="spellStart"/>
      <w:r w:rsidR="00931948">
        <w:rPr>
          <w:rFonts w:eastAsia="TimesNewRoman"/>
        </w:rPr>
        <w:t>metHB</w:t>
      </w:r>
      <w:proofErr w:type="spellEnd"/>
      <w:r>
        <w:t xml:space="preserve"> compared with </w:t>
      </w:r>
      <w:r w:rsidR="00DC7D20">
        <w:t>inhaled nitric oxide</w:t>
      </w:r>
      <w:r>
        <w:t>.</w:t>
      </w:r>
    </w:p>
    <w:p w14:paraId="150DFEAE" w14:textId="77777777" w:rsidR="006C537A" w:rsidRDefault="006C537A" w:rsidP="006C537A">
      <w:pPr>
        <w:pStyle w:val="Heading6"/>
      </w:pPr>
      <w:proofErr w:type="spellStart"/>
      <w:r>
        <w:t>Winterhalter</w:t>
      </w:r>
      <w:proofErr w:type="spellEnd"/>
      <w:r>
        <w:t xml:space="preserve"> et al. 2008</w:t>
      </w:r>
    </w:p>
    <w:p w14:paraId="54F02377" w14:textId="44B2CA88" w:rsidR="00BF4601" w:rsidRDefault="00BF4601" w:rsidP="00BF4601">
      <w:proofErr w:type="spellStart"/>
      <w:r>
        <w:t>Winterhalter</w:t>
      </w:r>
      <w:proofErr w:type="spellEnd"/>
      <w:r>
        <w:t xml:space="preserve"> </w:t>
      </w:r>
      <w:r w:rsidR="00FB373C">
        <w:t xml:space="preserve">et al. </w:t>
      </w:r>
      <w:r>
        <w:t>2008</w:t>
      </w:r>
      <w:r w:rsidR="00F601A9">
        <w:t>;</w:t>
      </w:r>
      <w:r w:rsidR="008024D2" w:rsidRPr="008024D2">
        <w:rPr>
          <w:vertAlign w:val="superscript"/>
        </w:rPr>
        <w:fldChar w:fldCharType="begin"/>
      </w:r>
      <w:r w:rsidR="008024D2" w:rsidRPr="008024D2">
        <w:rPr>
          <w:vertAlign w:val="superscript"/>
        </w:rPr>
        <w:instrText xml:space="preserve"> NOTEREF _Ref25843903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12</w:t>
      </w:r>
      <w:r w:rsidR="008024D2" w:rsidRPr="008024D2">
        <w:rPr>
          <w:vertAlign w:val="superscript"/>
        </w:rPr>
        <w:fldChar w:fldCharType="end"/>
      </w:r>
      <w:r>
        <w:t xml:space="preserve"> was a single-centre, randomised parallel group study comparing 30</w:t>
      </w:r>
      <w:r w:rsidR="000E74EA">
        <w:t> </w:t>
      </w:r>
      <w:r>
        <w:t xml:space="preserve">minutes of </w:t>
      </w:r>
      <w:proofErr w:type="spellStart"/>
      <w:r>
        <w:t>iloprost</w:t>
      </w:r>
      <w:proofErr w:type="spellEnd"/>
      <w:r>
        <w:t xml:space="preserve"> (20 </w:t>
      </w:r>
      <w:r w:rsidR="00266766">
        <w:t>µ</w:t>
      </w:r>
      <w:r>
        <w:t xml:space="preserve">g in 2mL </w:t>
      </w:r>
      <w:r w:rsidR="00266766">
        <w:t>saline</w:t>
      </w:r>
      <w:r>
        <w:t>) (n</w:t>
      </w:r>
      <w:r w:rsidR="00D42948">
        <w:t xml:space="preserve"> = </w:t>
      </w:r>
      <w:r>
        <w:t xml:space="preserve">23) and </w:t>
      </w:r>
      <w:r w:rsidR="000E74EA">
        <w:t>inhaled nitric oxide</w:t>
      </w:r>
      <w:r>
        <w:t xml:space="preserve"> 20 ppm (n</w:t>
      </w:r>
      <w:r w:rsidR="00266766">
        <w:t> </w:t>
      </w:r>
      <w:r w:rsidR="00D42948">
        <w:t>=</w:t>
      </w:r>
      <w:r w:rsidR="00266766">
        <w:t> </w:t>
      </w:r>
      <w:r>
        <w:t>23) in adult patients, mean age 68</w:t>
      </w:r>
      <w:r w:rsidR="00266766">
        <w:t xml:space="preserve"> to </w:t>
      </w:r>
      <w:r>
        <w:t xml:space="preserve">69 years, with </w:t>
      </w:r>
      <w:r w:rsidR="00544EAE">
        <w:t>pulmonary hypertension</w:t>
      </w:r>
      <w:r>
        <w:t xml:space="preserve"> (</w:t>
      </w:r>
      <w:r w:rsidR="000E74EA">
        <w:t>mean pulmonary</w:t>
      </w:r>
      <w:r w:rsidR="00BB39E5">
        <w:t xml:space="preserve"> arterial pressure</w:t>
      </w:r>
      <w:r>
        <w:t xml:space="preserve"> ≥ 26 mmHg) preoperatively and during weaning from </w:t>
      </w:r>
      <w:r w:rsidR="00266766">
        <w:t>cardiopulmonary bypass</w:t>
      </w:r>
      <w:r>
        <w:t xml:space="preserve"> after cardiac surgery. Compared with baseline, both therapies significantly reduced </w:t>
      </w:r>
      <w:r w:rsidR="000E74EA">
        <w:t>mean pulmonary</w:t>
      </w:r>
      <w:r w:rsidR="00BB39E5">
        <w:t xml:space="preserve"> arterial pressure</w:t>
      </w:r>
      <w:r>
        <w:t xml:space="preserve"> and </w:t>
      </w:r>
      <w:r w:rsidR="00BB39E5">
        <w:t>pulmonary vascular resistance</w:t>
      </w:r>
      <w:r>
        <w:t xml:space="preserve"> and significant increased </w:t>
      </w:r>
      <w:r w:rsidR="00266766">
        <w:t>cardiac output</w:t>
      </w:r>
      <w:r>
        <w:t xml:space="preserve"> (p</w:t>
      </w:r>
      <w:r w:rsidR="00266766">
        <w:t xml:space="preserve"> </w:t>
      </w:r>
      <w:r>
        <w:t>&lt;</w:t>
      </w:r>
      <w:r w:rsidR="00266766">
        <w:t xml:space="preserve"> </w:t>
      </w:r>
      <w:r>
        <w:t xml:space="preserve">0.0001). </w:t>
      </w:r>
      <w:proofErr w:type="spellStart"/>
      <w:r>
        <w:t>Iloprost</w:t>
      </w:r>
      <w:proofErr w:type="spellEnd"/>
      <w:r>
        <w:t xml:space="preserve"> compared with </w:t>
      </w:r>
      <w:r w:rsidR="00DC7D20">
        <w:t>inhaled nitric oxide</w:t>
      </w:r>
      <w:r>
        <w:t xml:space="preserve"> had a greater reduction in </w:t>
      </w:r>
      <w:r w:rsidR="00BB39E5">
        <w:t>pulmonary vascular resistance</w:t>
      </w:r>
      <w:r>
        <w:t xml:space="preserve"> (p</w:t>
      </w:r>
      <w:r w:rsidR="00D42948">
        <w:t xml:space="preserve"> = </w:t>
      </w:r>
      <w:r>
        <w:t xml:space="preserve">0.013) and </w:t>
      </w:r>
      <w:r w:rsidR="000E74EA">
        <w:t>mean pulmonary</w:t>
      </w:r>
      <w:r w:rsidR="00BB39E5">
        <w:t xml:space="preserve"> arterial pressure</w:t>
      </w:r>
      <w:r>
        <w:t xml:space="preserve"> (p</w:t>
      </w:r>
      <w:r w:rsidR="00D42948">
        <w:t xml:space="preserve"> = </w:t>
      </w:r>
      <w:r>
        <w:t xml:space="preserve">0.0006) but </w:t>
      </w:r>
      <w:r w:rsidR="00DC7D20">
        <w:t>inhaled nitric oxide</w:t>
      </w:r>
      <w:r>
        <w:t xml:space="preserve"> increased </w:t>
      </w:r>
      <w:r w:rsidR="00266766">
        <w:t>arterial oxygen pressure</w:t>
      </w:r>
      <w:r>
        <w:t xml:space="preserve"> whereas </w:t>
      </w:r>
      <w:proofErr w:type="spellStart"/>
      <w:r>
        <w:t>iloprost</w:t>
      </w:r>
      <w:proofErr w:type="spellEnd"/>
      <w:r>
        <w:t xml:space="preserve"> reduced it (not statistically significant for between group comparison). </w:t>
      </w:r>
      <w:proofErr w:type="spellStart"/>
      <w:r>
        <w:t>Iloprost</w:t>
      </w:r>
      <w:proofErr w:type="spellEnd"/>
      <w:r>
        <w:t xml:space="preserve"> significantly increased heart rate and reduced </w:t>
      </w:r>
      <w:r w:rsidR="00BB39E5">
        <w:t>systemic vascular resistance</w:t>
      </w:r>
      <w:r>
        <w:t xml:space="preserve"> compared with baseline. The evaluator commented that this study was adequately powered.</w:t>
      </w:r>
    </w:p>
    <w:p w14:paraId="1B8D664C" w14:textId="77777777" w:rsidR="006C537A" w:rsidRDefault="006C537A" w:rsidP="006C537A">
      <w:pPr>
        <w:pStyle w:val="Heading6"/>
      </w:pPr>
      <w:proofErr w:type="spellStart"/>
      <w:r>
        <w:t>Ardehali</w:t>
      </w:r>
      <w:proofErr w:type="spellEnd"/>
      <w:r>
        <w:t xml:space="preserve"> et al. 2001</w:t>
      </w:r>
    </w:p>
    <w:p w14:paraId="1A9A31D3" w14:textId="5760C5F5" w:rsidR="003B08F8" w:rsidRDefault="00BF4601" w:rsidP="00BF4601">
      <w:proofErr w:type="spellStart"/>
      <w:r>
        <w:t>Ardehali</w:t>
      </w:r>
      <w:proofErr w:type="spellEnd"/>
      <w:r>
        <w:t xml:space="preserve"> </w:t>
      </w:r>
      <w:r w:rsidR="00FB373C">
        <w:t xml:space="preserve">et al. </w:t>
      </w:r>
      <w:r>
        <w:t>2001</w:t>
      </w:r>
      <w:r w:rsidR="00F601A9">
        <w:t>;</w:t>
      </w:r>
      <w:r w:rsidR="008024D2" w:rsidRPr="008024D2">
        <w:rPr>
          <w:vertAlign w:val="superscript"/>
        </w:rPr>
        <w:fldChar w:fldCharType="begin"/>
      </w:r>
      <w:r w:rsidR="008024D2" w:rsidRPr="008024D2">
        <w:rPr>
          <w:vertAlign w:val="superscript"/>
        </w:rPr>
        <w:instrText xml:space="preserve"> NOTEREF _Ref25845111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15</w:t>
      </w:r>
      <w:r w:rsidR="008024D2" w:rsidRPr="008024D2">
        <w:rPr>
          <w:vertAlign w:val="superscript"/>
        </w:rPr>
        <w:fldChar w:fldCharType="end"/>
      </w:r>
      <w:r>
        <w:t xml:space="preserve"> was a single</w:t>
      </w:r>
      <w:r w:rsidR="000A646E">
        <w:t xml:space="preserve"> </w:t>
      </w:r>
      <w:r>
        <w:t xml:space="preserve">centre, non-randomised study comparing </w:t>
      </w:r>
      <w:r w:rsidR="00DC7D20">
        <w:t>inhaled nitric oxide</w:t>
      </w:r>
      <w:r>
        <w:t xml:space="preserve"> 20 ppm in 16 consecutive adults heart transplant recipients with </w:t>
      </w:r>
      <w:r w:rsidR="000E74EA">
        <w:t>mean pulmonary</w:t>
      </w:r>
      <w:r w:rsidR="00BB39E5">
        <w:t xml:space="preserve"> arterial pressure</w:t>
      </w:r>
      <w:r>
        <w:t xml:space="preserve"> ≥</w:t>
      </w:r>
      <w:r w:rsidR="00FB373C">
        <w:t xml:space="preserve"> </w:t>
      </w:r>
      <w:r>
        <w:t>25 mmHg</w:t>
      </w:r>
      <w:r w:rsidR="00D42948">
        <w:t xml:space="preserve"> </w:t>
      </w:r>
      <w:r>
        <w:t xml:space="preserve">with 16 historical controls given standard treatment. Treatment was continued until haemodynamic stability or the cessation of mechanical ventilation. Treatment was interrupted at 6 and 12 hours to record on-treatment then discontinued for 15 minutes to measure off-treatment </w:t>
      </w:r>
      <w:proofErr w:type="spellStart"/>
      <w:r>
        <w:t>haemodynamics</w:t>
      </w:r>
      <w:proofErr w:type="spellEnd"/>
      <w:r>
        <w:t xml:space="preserve">. Acute withdrawal of </w:t>
      </w:r>
      <w:r w:rsidR="00DC7D20">
        <w:t>inhaled nitric oxide</w:t>
      </w:r>
      <w:r>
        <w:t xml:space="preserve"> resulted in elevations of </w:t>
      </w:r>
      <w:r w:rsidR="00DC7D20">
        <w:t>inhaled nitric oxide</w:t>
      </w:r>
      <w:r>
        <w:t xml:space="preserve">, significant at 6 hours. Compared with historical controls </w:t>
      </w:r>
      <w:r w:rsidR="00C46EB9">
        <w:t>right ventricular</w:t>
      </w:r>
      <w:r>
        <w:t xml:space="preserve"> dysfunction was much less frequent (1</w:t>
      </w:r>
      <w:r w:rsidR="000A646E">
        <w:t> </w:t>
      </w:r>
      <w:r>
        <w:t xml:space="preserve">patient with </w:t>
      </w:r>
      <w:r w:rsidR="00DC7D20">
        <w:t>inhaled nitric oxide</w:t>
      </w:r>
      <w:r>
        <w:t xml:space="preserve"> and 6 patients with standard therapy).</w:t>
      </w:r>
    </w:p>
    <w:p w14:paraId="287638AE" w14:textId="77777777" w:rsidR="006C537A" w:rsidRDefault="006C537A" w:rsidP="006C537A">
      <w:pPr>
        <w:pStyle w:val="Heading6"/>
      </w:pPr>
      <w:proofErr w:type="spellStart"/>
      <w:r>
        <w:t>Radovancevic</w:t>
      </w:r>
      <w:proofErr w:type="spellEnd"/>
      <w:r>
        <w:t xml:space="preserve"> et al. 2005</w:t>
      </w:r>
    </w:p>
    <w:p w14:paraId="5A693A8F" w14:textId="79AFA454" w:rsidR="00BF4601" w:rsidRDefault="00BF4601" w:rsidP="00BF4601">
      <w:proofErr w:type="spellStart"/>
      <w:r>
        <w:t>Radovancevic</w:t>
      </w:r>
      <w:proofErr w:type="spellEnd"/>
      <w:r>
        <w:t xml:space="preserve"> </w:t>
      </w:r>
      <w:r w:rsidR="00FB373C">
        <w:t xml:space="preserve">et al. </w:t>
      </w:r>
      <w:r>
        <w:t>2005</w:t>
      </w:r>
      <w:r w:rsidR="00F601A9">
        <w:t>;</w:t>
      </w:r>
      <w:r w:rsidR="008024D2" w:rsidRPr="008024D2">
        <w:rPr>
          <w:vertAlign w:val="superscript"/>
        </w:rPr>
        <w:fldChar w:fldCharType="begin"/>
      </w:r>
      <w:r w:rsidR="008024D2" w:rsidRPr="008024D2">
        <w:rPr>
          <w:vertAlign w:val="superscript"/>
        </w:rPr>
        <w:instrText xml:space="preserve"> NOTEREF _Ref25845157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17</w:t>
      </w:r>
      <w:r w:rsidR="008024D2" w:rsidRPr="008024D2">
        <w:rPr>
          <w:vertAlign w:val="superscript"/>
        </w:rPr>
        <w:fldChar w:fldCharType="end"/>
      </w:r>
      <w:r>
        <w:t xml:space="preserve"> compared </w:t>
      </w:r>
      <w:r w:rsidR="00DC7D20">
        <w:t>inhaled nitric oxide</w:t>
      </w:r>
      <w:r>
        <w:t xml:space="preserve"> and </w:t>
      </w:r>
      <w:r w:rsidR="008E64F9">
        <w:t>IV</w:t>
      </w:r>
      <w:r>
        <w:t xml:space="preserve"> PGE1 in an open</w:t>
      </w:r>
      <w:r w:rsidR="00266766">
        <w:t xml:space="preserve"> </w:t>
      </w:r>
      <w:r>
        <w:t xml:space="preserve">label, crossover study to assess the haemodynamic effects of each in 19 adult patients, aged 20 </w:t>
      </w:r>
      <w:r w:rsidR="00266766">
        <w:t>to</w:t>
      </w:r>
      <w:r>
        <w:t xml:space="preserve"> 63 years with </w:t>
      </w:r>
      <w:r w:rsidR="00544EAE">
        <w:t>pulmonary hypertension</w:t>
      </w:r>
      <w:r>
        <w:t xml:space="preserve"> (</w:t>
      </w:r>
      <w:r w:rsidR="00BB39E5">
        <w:t>pulmonary vascular resistance</w:t>
      </w:r>
      <w:r>
        <w:t xml:space="preserve"> of</w:t>
      </w:r>
      <w:r w:rsidR="003B08F8">
        <w:t xml:space="preserve"> </w:t>
      </w:r>
      <w:r>
        <w:t>&gt;</w:t>
      </w:r>
      <w:r w:rsidR="00266766">
        <w:t xml:space="preserve"> </w:t>
      </w:r>
      <w:r>
        <w:t xml:space="preserve">4 Wood units; </w:t>
      </w:r>
      <w:proofErr w:type="spellStart"/>
      <w:r>
        <w:t>transpulmonary</w:t>
      </w:r>
      <w:proofErr w:type="spellEnd"/>
      <w:r>
        <w:t xml:space="preserve"> </w:t>
      </w:r>
      <w:r w:rsidR="00FB373C">
        <w:t xml:space="preserve">pressure </w:t>
      </w:r>
      <w:r>
        <w:t>gradient (TPG) of</w:t>
      </w:r>
      <w:r w:rsidR="003B08F8">
        <w:t xml:space="preserve"> </w:t>
      </w:r>
      <w:r>
        <w:t>&gt;</w:t>
      </w:r>
      <w:r w:rsidR="00266766">
        <w:t xml:space="preserve"> </w:t>
      </w:r>
      <w:r>
        <w:t>12 mm Hg; or systolic pulmonary artery pressure of &gt;</w:t>
      </w:r>
      <w:r w:rsidR="00FB373C">
        <w:t> </w:t>
      </w:r>
      <w:r>
        <w:t>60</w:t>
      </w:r>
      <w:r w:rsidR="00FB373C">
        <w:t> </w:t>
      </w:r>
      <w:r>
        <w:t xml:space="preserve">mmHg) and a mean </w:t>
      </w:r>
      <w:r w:rsidR="00266766">
        <w:t>left ventricular ejection fraction</w:t>
      </w:r>
      <w:r>
        <w:t xml:space="preserve"> of 21</w:t>
      </w:r>
      <w:r w:rsidR="00266766">
        <w:t xml:space="preserve"> </w:t>
      </w:r>
      <w:r>
        <w:t>±</w:t>
      </w:r>
      <w:r w:rsidR="00266766">
        <w:t xml:space="preserve"> </w:t>
      </w:r>
      <w:r>
        <w:t xml:space="preserve">4% under consideration for a heart transplant. PGE1 was administered at a dose of 0.05, 0.2 and 0.5 </w:t>
      </w:r>
      <w:proofErr w:type="spellStart"/>
      <w:r>
        <w:t>μg</w:t>
      </w:r>
      <w:proofErr w:type="spellEnd"/>
      <w:r>
        <w:t xml:space="preserve">/kg/min for 10 minutes each. Inhaled </w:t>
      </w:r>
      <w:r w:rsidR="00266766">
        <w:t>nitric oxide</w:t>
      </w:r>
      <w:r>
        <w:t xml:space="preserve"> was administered via a tight-fitting facemask in a non-rebreathing system at doses of 40, 60 and 80 ppm. Inspired oxygen concentration was kept constant, and other management was according to standard care. </w:t>
      </w:r>
      <w:proofErr w:type="spellStart"/>
      <w:r w:rsidR="00266766">
        <w:t>Transpulmonary</w:t>
      </w:r>
      <w:proofErr w:type="spellEnd"/>
      <w:r w:rsidR="00266766">
        <w:t xml:space="preserve"> </w:t>
      </w:r>
      <w:r w:rsidR="00FB373C">
        <w:t xml:space="preserve">pressure </w:t>
      </w:r>
      <w:r w:rsidR="00266766">
        <w:t>gradient</w:t>
      </w:r>
      <w:r>
        <w:t xml:space="preserve"> reduction was significant for the higher doses of PGE1, but not the lowest of PGE1 and for all doses of </w:t>
      </w:r>
      <w:r w:rsidR="00DC7D20">
        <w:t>inhaled nitric oxide</w:t>
      </w:r>
      <w:r>
        <w:t>, compared to baseline. There was no apparent dose trend for haemodynamic response across the range of 40</w:t>
      </w:r>
      <w:r w:rsidR="00266766">
        <w:t xml:space="preserve"> to </w:t>
      </w:r>
      <w:r>
        <w:t xml:space="preserve">80 ppm </w:t>
      </w:r>
      <w:r w:rsidR="00DC7D20">
        <w:t>inhaled nitric oxide</w:t>
      </w:r>
      <w:r>
        <w:t xml:space="preserve">. The reductions in </w:t>
      </w:r>
      <w:r w:rsidR="00BB39E5">
        <w:t>pulmonary vascular resistance</w:t>
      </w:r>
      <w:r>
        <w:t xml:space="preserve"> and </w:t>
      </w:r>
      <w:proofErr w:type="spellStart"/>
      <w:r w:rsidR="00266766">
        <w:t>transpulmonary</w:t>
      </w:r>
      <w:proofErr w:type="spellEnd"/>
      <w:r w:rsidR="00266766">
        <w:t xml:space="preserve"> pressure gradient</w:t>
      </w:r>
      <w:r>
        <w:t xml:space="preserve"> was not significantly different for the two agents, but were numerically greater during </w:t>
      </w:r>
      <w:r w:rsidR="00DC7D20">
        <w:t>inhaled nitric oxide</w:t>
      </w:r>
      <w:r>
        <w:t xml:space="preserve"> treatment. A mean reduction from baseline in </w:t>
      </w:r>
      <w:r w:rsidRPr="00FB373C">
        <w:t>S</w:t>
      </w:r>
      <w:r w:rsidR="00FB373C" w:rsidRPr="00FB373C">
        <w:t>ys</w:t>
      </w:r>
      <w:r w:rsidR="00544EAE">
        <w:t>tol</w:t>
      </w:r>
      <w:r w:rsidR="00FB373C" w:rsidRPr="00FB373C">
        <w:t xml:space="preserve">ic </w:t>
      </w:r>
      <w:r w:rsidR="00BB39E5" w:rsidRPr="00FB373C">
        <w:t>pulmonary arterial pressure</w:t>
      </w:r>
      <w:r w:rsidRPr="00FB373C">
        <w:t xml:space="preserve"> with PGE1 of 15% compared to 8% with </w:t>
      </w:r>
      <w:r w:rsidR="00DC7D20" w:rsidRPr="00FB373C">
        <w:t>inhaled nitric</w:t>
      </w:r>
      <w:r w:rsidR="00DC7D20">
        <w:t xml:space="preserve"> oxide</w:t>
      </w:r>
      <w:r>
        <w:t xml:space="preserve">, was not statistically significant between the groups. The two groups were significantly different for changes in systemic circulation (BP, </w:t>
      </w:r>
      <w:r w:rsidR="00BB39E5">
        <w:t>systemic vascular resistance</w:t>
      </w:r>
      <w:r>
        <w:t xml:space="preserve"> and </w:t>
      </w:r>
      <w:r w:rsidR="00266766">
        <w:t>cardiac index</w:t>
      </w:r>
      <w:r>
        <w:t>).</w:t>
      </w:r>
    </w:p>
    <w:p w14:paraId="11F86781" w14:textId="77777777" w:rsidR="006C537A" w:rsidRDefault="006C537A" w:rsidP="006C537A">
      <w:pPr>
        <w:pStyle w:val="Heading6"/>
      </w:pPr>
      <w:proofErr w:type="spellStart"/>
      <w:r>
        <w:lastRenderedPageBreak/>
        <w:t>Kieler</w:t>
      </w:r>
      <w:proofErr w:type="spellEnd"/>
      <w:r>
        <w:t>-Jensen et al. 1994</w:t>
      </w:r>
    </w:p>
    <w:p w14:paraId="01A77464" w14:textId="018C8E19" w:rsidR="00BF4601" w:rsidRDefault="00BF4601" w:rsidP="00BF4601">
      <w:proofErr w:type="spellStart"/>
      <w:r>
        <w:t>Kieler</w:t>
      </w:r>
      <w:proofErr w:type="spellEnd"/>
      <w:r>
        <w:t xml:space="preserve">-Jensen </w:t>
      </w:r>
      <w:r w:rsidR="00FB373C">
        <w:t xml:space="preserve">et al. </w:t>
      </w:r>
      <w:r>
        <w:t>1994</w:t>
      </w:r>
      <w:r w:rsidR="006C537A">
        <w:t>;</w:t>
      </w:r>
      <w:r w:rsidR="00FB373C" w:rsidRPr="00FB373C">
        <w:rPr>
          <w:vertAlign w:val="superscript"/>
        </w:rPr>
        <w:fldChar w:fldCharType="begin"/>
      </w:r>
      <w:r w:rsidR="00FB373C" w:rsidRPr="00FB373C">
        <w:rPr>
          <w:vertAlign w:val="superscript"/>
        </w:rPr>
        <w:instrText xml:space="preserve"> NOTEREF _Ref10648701 \h </w:instrText>
      </w:r>
      <w:r w:rsidR="00FB373C">
        <w:rPr>
          <w:vertAlign w:val="superscript"/>
        </w:rPr>
        <w:instrText xml:space="preserve"> \* MERGEFORMAT </w:instrText>
      </w:r>
      <w:r w:rsidR="00FB373C" w:rsidRPr="00FB373C">
        <w:rPr>
          <w:vertAlign w:val="superscript"/>
        </w:rPr>
      </w:r>
      <w:r w:rsidR="00FB373C" w:rsidRPr="00FB373C">
        <w:rPr>
          <w:vertAlign w:val="superscript"/>
        </w:rPr>
        <w:fldChar w:fldCharType="separate"/>
      </w:r>
      <w:r w:rsidR="00A50889">
        <w:rPr>
          <w:vertAlign w:val="superscript"/>
        </w:rPr>
        <w:t>1</w:t>
      </w:r>
      <w:r w:rsidR="00FB373C" w:rsidRPr="00FB373C">
        <w:rPr>
          <w:vertAlign w:val="superscript"/>
        </w:rPr>
        <w:fldChar w:fldCharType="end"/>
      </w:r>
      <w:r>
        <w:t xml:space="preserve"> in an open</w:t>
      </w:r>
      <w:r w:rsidR="000A646E">
        <w:t xml:space="preserve"> </w:t>
      </w:r>
      <w:r>
        <w:t xml:space="preserve">label, crossover study, compared the haemodynamic effects of </w:t>
      </w:r>
      <w:r w:rsidR="00DC7D20">
        <w:t>inhaled nitric oxide</w:t>
      </w:r>
      <w:r>
        <w:t xml:space="preserve"> (20, 40 and 80 ppm for 10 minutes each via tight fitting face mask</w:t>
      </w:r>
      <w:r w:rsidR="00FB373C">
        <w:t xml:space="preserve">) with </w:t>
      </w:r>
      <w:r w:rsidR="000A646E">
        <w:t>IV</w:t>
      </w:r>
      <w:r w:rsidR="00FB373C">
        <w:t xml:space="preserve"> sodium nitroprusside</w:t>
      </w:r>
      <w:r>
        <w:t xml:space="preserve"> and prostacyclin (PGI2) titrated to approximately 15% reduction in </w:t>
      </w:r>
      <w:r w:rsidR="00266766">
        <w:t>mean arterial pressure</w:t>
      </w:r>
      <w:r>
        <w:t xml:space="preserve"> (but not &lt; 60 mmHg) in 12 patients with elevated </w:t>
      </w:r>
      <w:r w:rsidR="00BB39E5">
        <w:t>pulmonary vascular resistance</w:t>
      </w:r>
      <w:r>
        <w:t xml:space="preserve"> (&gt;</w:t>
      </w:r>
      <w:r w:rsidR="00B25F29">
        <w:t xml:space="preserve"> </w:t>
      </w:r>
      <w:r>
        <w:t xml:space="preserve">2.5 </w:t>
      </w:r>
      <w:r w:rsidR="00266766">
        <w:t>Wood units</w:t>
      </w:r>
      <w:r>
        <w:t xml:space="preserve">) undergoing diagnostic right heart </w:t>
      </w:r>
      <w:proofErr w:type="spellStart"/>
      <w:r>
        <w:t>catherisation</w:t>
      </w:r>
      <w:proofErr w:type="spellEnd"/>
      <w:r>
        <w:t xml:space="preserve"> preoperatively prior to heart transplant. </w:t>
      </w:r>
      <w:r w:rsidR="00544EAE">
        <w:t>P</w:t>
      </w:r>
      <w:r w:rsidR="00BB39E5">
        <w:t>ulmonary vascular resistance</w:t>
      </w:r>
      <w:r>
        <w:t xml:space="preserve"> reduced significantly from baseline (5.9 to 3.7 </w:t>
      </w:r>
      <w:r w:rsidR="00266766">
        <w:t>Wood units</w:t>
      </w:r>
      <w:r>
        <w:t xml:space="preserve">) during </w:t>
      </w:r>
      <w:r w:rsidR="00DC7D20">
        <w:t>inhaled nitric oxide</w:t>
      </w:r>
      <w:r>
        <w:t xml:space="preserve"> therapy, beginning with 20 ppm but without further reduction with </w:t>
      </w:r>
      <w:r w:rsidR="00DC7D20">
        <w:t>inhaled nitric oxide</w:t>
      </w:r>
      <w:r>
        <w:t xml:space="preserve"> dose escalation. </w:t>
      </w:r>
      <w:r w:rsidR="00544EAE">
        <w:t>P</w:t>
      </w:r>
      <w:r w:rsidR="00BB39E5">
        <w:t>ulmonary vascular resistance</w:t>
      </w:r>
      <w:r>
        <w:t xml:space="preserve"> returned to baseline in the second control period. Changes in </w:t>
      </w:r>
      <w:proofErr w:type="spellStart"/>
      <w:r w:rsidR="00266766">
        <w:t>transpulmonary</w:t>
      </w:r>
      <w:proofErr w:type="spellEnd"/>
      <w:r w:rsidR="00266766">
        <w:t xml:space="preserve"> pressure gradient</w:t>
      </w:r>
      <w:r>
        <w:t xml:space="preserve"> were similar to </w:t>
      </w:r>
      <w:r w:rsidR="00BB39E5">
        <w:t>pulmonary vascular resistance</w:t>
      </w:r>
      <w:r>
        <w:t xml:space="preserve">, but </w:t>
      </w:r>
      <w:r w:rsidR="000E74EA">
        <w:t>mean pulmonary</w:t>
      </w:r>
      <w:r w:rsidR="00BB39E5">
        <w:t xml:space="preserve"> arterial pressure</w:t>
      </w:r>
      <w:r>
        <w:t xml:space="preserve"> did not change. Both IV vasodilators reduced </w:t>
      </w:r>
      <w:r w:rsidR="00266766">
        <w:t>mean arterial pressure</w:t>
      </w:r>
      <w:r>
        <w:t xml:space="preserve"> relative to baseline (significantly different from </w:t>
      </w:r>
      <w:r w:rsidR="00DC7D20">
        <w:t>inhaled nitric oxide</w:t>
      </w:r>
      <w:r>
        <w:t xml:space="preserve">). Both also reduced </w:t>
      </w:r>
      <w:r w:rsidR="00BB39E5">
        <w:t>pulmonary vascular resistance</w:t>
      </w:r>
      <w:r>
        <w:t xml:space="preserve">, with PGI2 producing numerically but not statistically significantly greater reduction than </w:t>
      </w:r>
      <w:r w:rsidR="00DC7D20">
        <w:t>inhaled nitric oxide</w:t>
      </w:r>
      <w:r>
        <w:t xml:space="preserve">. Compared to baseline and to </w:t>
      </w:r>
      <w:r w:rsidR="00DC7D20">
        <w:t>inhaled nitric oxide</w:t>
      </w:r>
      <w:r w:rsidR="0091439A">
        <w:t>,</w:t>
      </w:r>
      <w:r>
        <w:t xml:space="preserve"> the IV vasodilators significantly reduced </w:t>
      </w:r>
      <w:r w:rsidR="000E74EA">
        <w:t>mean pulmonary</w:t>
      </w:r>
      <w:r w:rsidR="00BB39E5">
        <w:t xml:space="preserve"> arterial pressure</w:t>
      </w:r>
      <w:r>
        <w:t xml:space="preserve">. The </w:t>
      </w:r>
      <w:r w:rsidR="00BB39E5">
        <w:t>pulmonary vascular resistance</w:t>
      </w:r>
      <w:r>
        <w:t>/</w:t>
      </w:r>
      <w:r w:rsidR="00BB39E5">
        <w:t>systemic vascular resistance</w:t>
      </w:r>
      <w:r>
        <w:t xml:space="preserve"> ratio was reduced with </w:t>
      </w:r>
      <w:r w:rsidR="00DC7D20">
        <w:t>inhaled nitric oxide</w:t>
      </w:r>
      <w:r>
        <w:t xml:space="preserve"> but not with the IV groups and the difference between </w:t>
      </w:r>
      <w:r w:rsidR="000A646E">
        <w:t>sodium nitroprusside</w:t>
      </w:r>
      <w:r>
        <w:t xml:space="preserve"> and </w:t>
      </w:r>
      <w:r w:rsidR="00DC7D20">
        <w:t>inhaled nitric oxide</w:t>
      </w:r>
      <w:r>
        <w:t xml:space="preserve"> was significant.</w:t>
      </w:r>
    </w:p>
    <w:p w14:paraId="1028E078" w14:textId="77777777" w:rsidR="006C537A" w:rsidRDefault="006C537A" w:rsidP="006C537A">
      <w:pPr>
        <w:pStyle w:val="Heading6"/>
      </w:pPr>
      <w:proofErr w:type="spellStart"/>
      <w:r>
        <w:t>Rajek</w:t>
      </w:r>
      <w:proofErr w:type="spellEnd"/>
      <w:r>
        <w:t xml:space="preserve"> et al. 2000</w:t>
      </w:r>
    </w:p>
    <w:p w14:paraId="0B3821A8" w14:textId="21743518" w:rsidR="00BF4601" w:rsidRDefault="00FB373C" w:rsidP="00BF4601">
      <w:proofErr w:type="spellStart"/>
      <w:r>
        <w:t>Rajek</w:t>
      </w:r>
      <w:proofErr w:type="spellEnd"/>
      <w:r>
        <w:t xml:space="preserve"> et al. </w:t>
      </w:r>
      <w:r w:rsidR="00BF4601">
        <w:t>2000</w:t>
      </w:r>
      <w:r w:rsidR="00F601A9">
        <w:t>;</w:t>
      </w:r>
      <w:r w:rsidR="008024D2" w:rsidRPr="008024D2">
        <w:rPr>
          <w:vertAlign w:val="superscript"/>
        </w:rPr>
        <w:fldChar w:fldCharType="begin"/>
      </w:r>
      <w:r w:rsidR="008024D2" w:rsidRPr="008024D2">
        <w:rPr>
          <w:vertAlign w:val="superscript"/>
        </w:rPr>
        <w:instrText xml:space="preserve"> NOTEREF _Ref25843771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16</w:t>
      </w:r>
      <w:r w:rsidR="008024D2" w:rsidRPr="008024D2">
        <w:rPr>
          <w:vertAlign w:val="superscript"/>
        </w:rPr>
        <w:fldChar w:fldCharType="end"/>
      </w:r>
      <w:r w:rsidR="00BF4601">
        <w:t xml:space="preserve"> was a randomised, double</w:t>
      </w:r>
      <w:r w:rsidR="000A646E">
        <w:t xml:space="preserve"> </w:t>
      </w:r>
      <w:r w:rsidR="00BF4601">
        <w:t>blind study that compared IV PGE1 (n</w:t>
      </w:r>
      <w:r w:rsidR="00D42948">
        <w:t xml:space="preserve"> = </w:t>
      </w:r>
      <w:r w:rsidR="00BF4601">
        <w:t xml:space="preserve">34) and </w:t>
      </w:r>
      <w:r w:rsidR="00DC7D20">
        <w:t>inhaled nitric oxide</w:t>
      </w:r>
      <w:r w:rsidR="00BF4601">
        <w:t xml:space="preserve"> (n</w:t>
      </w:r>
      <w:r w:rsidR="00D42948">
        <w:t xml:space="preserve"> = </w:t>
      </w:r>
      <w:r w:rsidR="00BF4601">
        <w:t xml:space="preserve">34) for </w:t>
      </w:r>
      <w:r w:rsidR="00544EAE">
        <w:t>pulmonary hypertension</w:t>
      </w:r>
      <w:r w:rsidR="00BF4601">
        <w:t xml:space="preserve"> in adult patients undergoing </w:t>
      </w:r>
      <w:proofErr w:type="spellStart"/>
      <w:r w:rsidR="00BF4601">
        <w:t>orthoptic</w:t>
      </w:r>
      <w:proofErr w:type="spellEnd"/>
      <w:r w:rsidR="00BF4601">
        <w:t xml:space="preserve"> heart transplant for ischaemic or idiopathic dilated cardiomyopathy. Both treatments started 10</w:t>
      </w:r>
      <w:r>
        <w:t> </w:t>
      </w:r>
      <w:r w:rsidR="00BF4601">
        <w:t xml:space="preserve">minutes before weaning from </w:t>
      </w:r>
      <w:r w:rsidR="00266766">
        <w:t>cardiopulmonary bypass</w:t>
      </w:r>
      <w:r w:rsidR="00BF4601">
        <w:t xml:space="preserve"> at 8</w:t>
      </w:r>
      <w:r w:rsidR="00544EAE">
        <w:t> </w:t>
      </w:r>
      <w:r w:rsidR="00BF4601">
        <w:t>ng/kg/min and 4 ppm respectively, and were increased as required to a maximum of 24</w:t>
      </w:r>
      <w:r w:rsidR="00544EAE">
        <w:t> </w:t>
      </w:r>
      <w:r w:rsidR="00BF4601">
        <w:t xml:space="preserve">ng/kg/min or 24 ppm, respectively with the aim of reduction of </w:t>
      </w:r>
      <w:r w:rsidR="000E74EA">
        <w:t>mean pulmonary</w:t>
      </w:r>
      <w:r w:rsidR="00BB39E5">
        <w:t xml:space="preserve"> arterial pressure</w:t>
      </w:r>
      <w:r w:rsidR="00BF4601">
        <w:t xml:space="preserve"> to &lt; 25</w:t>
      </w:r>
      <w:r w:rsidR="00266766">
        <w:t xml:space="preserve"> </w:t>
      </w:r>
      <w:r w:rsidR="00BF4601">
        <w:t xml:space="preserve">mmHg. Both treatments were stopped 6 hours postoperatively. Patients were switched to alternative treatments if the </w:t>
      </w:r>
      <w:r w:rsidR="000E74EA">
        <w:t>mean pulmonary</w:t>
      </w:r>
      <w:r w:rsidR="00BB39E5">
        <w:t xml:space="preserve"> arterial pressure</w:t>
      </w:r>
      <w:r w:rsidR="00BF4601">
        <w:t xml:space="preserve"> was consistently elevated on maximal treatment with the allocated therapy, and weaning from </w:t>
      </w:r>
      <w:r w:rsidR="00266766">
        <w:t>cardiopulmonary bypass</w:t>
      </w:r>
      <w:r w:rsidR="00BF4601">
        <w:t xml:space="preserve"> was difficult because of right heart failure. Immediately after weaning from </w:t>
      </w:r>
      <w:r w:rsidR="00266766">
        <w:t>cardiopulmonary bypass</w:t>
      </w:r>
      <w:r w:rsidR="00BF4601">
        <w:t xml:space="preserve">, </w:t>
      </w:r>
      <w:r w:rsidR="00BB39E5">
        <w:t>pulmonary vascular resistance</w:t>
      </w:r>
      <w:r w:rsidR="00BF4601">
        <w:t xml:space="preserve"> in the </w:t>
      </w:r>
      <w:r w:rsidR="00DC7D20">
        <w:t>inhaled nitric oxide</w:t>
      </w:r>
      <w:r w:rsidR="00BF4601">
        <w:t xml:space="preserve"> group was reduced by about half and in the PGE1 group by 10%. </w:t>
      </w:r>
      <w:r w:rsidR="00266766">
        <w:t>M</w:t>
      </w:r>
      <w:r w:rsidR="000E74EA">
        <w:t>ean pulmonary</w:t>
      </w:r>
      <w:r w:rsidR="00BB39E5">
        <w:t xml:space="preserve"> arterial pressure</w:t>
      </w:r>
      <w:r w:rsidR="00BF4601">
        <w:t xml:space="preserve"> was reduced by 30% and 16% in the </w:t>
      </w:r>
      <w:r w:rsidR="00DC7D20">
        <w:t>inhaled nitric oxide</w:t>
      </w:r>
      <w:r w:rsidR="00BF4601">
        <w:t xml:space="preserve"> and PGE1 groups, respectively. At 6 hours after surgery, </w:t>
      </w:r>
      <w:r w:rsidR="00BB39E5">
        <w:t>pulmonary vascular resistance</w:t>
      </w:r>
      <w:r w:rsidR="00BF4601">
        <w:t xml:space="preserve"> and </w:t>
      </w:r>
      <w:r w:rsidR="000E74EA">
        <w:t>mean pulmonary</w:t>
      </w:r>
      <w:r w:rsidR="00BB39E5">
        <w:t xml:space="preserve"> arterial pressure</w:t>
      </w:r>
      <w:r w:rsidR="00BF4601">
        <w:t xml:space="preserve"> were similar in both groups but in the PGE1 group the </w:t>
      </w:r>
      <w:r w:rsidR="00BB39E5">
        <w:t>pulmonary vascular resistance</w:t>
      </w:r>
      <w:r w:rsidR="00BF4601">
        <w:t>/</w:t>
      </w:r>
      <w:r w:rsidR="00BB39E5">
        <w:t>systemic vascular resistance</w:t>
      </w:r>
      <w:r w:rsidR="00BF4601">
        <w:t xml:space="preserve"> ratio increased by about 30% while in the </w:t>
      </w:r>
      <w:r w:rsidR="00DC7D20">
        <w:t>inhaled nitric oxide</w:t>
      </w:r>
      <w:r w:rsidR="00BF4601">
        <w:t xml:space="preserve"> group the ratio reduced by about 20%. </w:t>
      </w:r>
      <w:r w:rsidR="00266766">
        <w:t>Cardiac output</w:t>
      </w:r>
      <w:r w:rsidR="00BF4601">
        <w:t xml:space="preserve">, </w:t>
      </w:r>
      <w:r w:rsidR="00266766">
        <w:t>heart rate</w:t>
      </w:r>
      <w:r w:rsidR="00BF4601">
        <w:t xml:space="preserve">, </w:t>
      </w:r>
      <w:r w:rsidR="00266766">
        <w:t>mean systemic arterial pressure</w:t>
      </w:r>
      <w:r w:rsidR="00BF4601">
        <w:t xml:space="preserve">, right atrial pressure and </w:t>
      </w:r>
      <w:r w:rsidR="00266766">
        <w:t>pulmonary capillary wedge pressure</w:t>
      </w:r>
      <w:r w:rsidR="00BF4601">
        <w:t xml:space="preserve"> did not differ between the groups. Six patients were switched from the PGE1 to </w:t>
      </w:r>
      <w:r w:rsidR="00DC7D20">
        <w:t>inhaled nitric oxide</w:t>
      </w:r>
      <w:r w:rsidR="00BF4601">
        <w:t xml:space="preserve"> because of high </w:t>
      </w:r>
      <w:r w:rsidR="00BB39E5">
        <w:t>pulmonary vascular resistance</w:t>
      </w:r>
      <w:r w:rsidR="00BF4601">
        <w:t xml:space="preserve"> and right ventricular failure, and by 6</w:t>
      </w:r>
      <w:r w:rsidR="00266766">
        <w:t> </w:t>
      </w:r>
      <w:r w:rsidR="00BF4601">
        <w:t xml:space="preserve">hours postoperatively these parameters had shown improvement. These patients were excluded from the analysis. Weaning from </w:t>
      </w:r>
      <w:r w:rsidR="00266766">
        <w:t>cardiopulmonary bypass</w:t>
      </w:r>
      <w:r w:rsidR="00BF4601">
        <w:t xml:space="preserve"> was successful in all </w:t>
      </w:r>
      <w:r w:rsidR="00DC7D20">
        <w:t>inhaled nitric oxide</w:t>
      </w:r>
      <w:r w:rsidR="00BF4601">
        <w:t xml:space="preserve"> patients. The evaluator considered this an important study given the methodological flaws of many of the other studies.</w:t>
      </w:r>
    </w:p>
    <w:p w14:paraId="036FE2A5" w14:textId="77777777" w:rsidR="006C537A" w:rsidRDefault="006C537A" w:rsidP="006C537A">
      <w:pPr>
        <w:pStyle w:val="Heading6"/>
      </w:pPr>
      <w:proofErr w:type="spellStart"/>
      <w:r>
        <w:t>Argenziano</w:t>
      </w:r>
      <w:proofErr w:type="spellEnd"/>
      <w:r>
        <w:t xml:space="preserve"> et al. 1998</w:t>
      </w:r>
    </w:p>
    <w:p w14:paraId="76567D09" w14:textId="46876BB6" w:rsidR="00BF4601" w:rsidRDefault="00BF4601" w:rsidP="00BF4601">
      <w:proofErr w:type="spellStart"/>
      <w:r>
        <w:t>Argenziano</w:t>
      </w:r>
      <w:proofErr w:type="spellEnd"/>
      <w:r>
        <w:t xml:space="preserve"> </w:t>
      </w:r>
      <w:r w:rsidR="00FB373C">
        <w:t xml:space="preserve">et al. </w:t>
      </w:r>
      <w:r>
        <w:t>1998</w:t>
      </w:r>
      <w:r w:rsidR="00F601A9">
        <w:t>;</w:t>
      </w:r>
      <w:r w:rsidR="008024D2" w:rsidRPr="008024D2">
        <w:rPr>
          <w:vertAlign w:val="superscript"/>
        </w:rPr>
        <w:fldChar w:fldCharType="begin"/>
      </w:r>
      <w:r w:rsidR="008024D2" w:rsidRPr="008024D2">
        <w:rPr>
          <w:vertAlign w:val="superscript"/>
        </w:rPr>
        <w:instrText xml:space="preserve"> NOTEREF _Ref20404654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18</w:t>
      </w:r>
      <w:r w:rsidR="008024D2" w:rsidRPr="008024D2">
        <w:rPr>
          <w:vertAlign w:val="superscript"/>
        </w:rPr>
        <w:fldChar w:fldCharType="end"/>
      </w:r>
      <w:r>
        <w:t xml:space="preserve"> was a randomised, placebo</w:t>
      </w:r>
      <w:r w:rsidR="000A646E">
        <w:t xml:space="preserve"> </w:t>
      </w:r>
      <w:r>
        <w:t xml:space="preserve">controlled study to assess the short term haemodynamic effects of </w:t>
      </w:r>
      <w:r w:rsidR="00DC7D20">
        <w:t>inhaled nitric oxide</w:t>
      </w:r>
      <w:r>
        <w:t xml:space="preserve"> at 20 ppm in 11 adults with a mean age of 55</w:t>
      </w:r>
      <w:r w:rsidR="00B25F29">
        <w:t> </w:t>
      </w:r>
      <w:r>
        <w:t xml:space="preserve">years undergoing </w:t>
      </w:r>
      <w:r w:rsidR="00BB39E5">
        <w:t>left ventricular assist device</w:t>
      </w:r>
      <w:r>
        <w:t xml:space="preserve"> insertion with elevated </w:t>
      </w:r>
      <w:r w:rsidR="00BB39E5">
        <w:t>pulmonary vascular resistance</w:t>
      </w:r>
      <w:r>
        <w:t xml:space="preserve"> (mean pulmonary artery pressure &gt;25 mm Hg and </w:t>
      </w:r>
      <w:r w:rsidR="00BB39E5">
        <w:t>left ventricular assist device</w:t>
      </w:r>
      <w:r>
        <w:t xml:space="preserve"> flow rate &lt;</w:t>
      </w:r>
      <w:r w:rsidR="00544EAE">
        <w:t xml:space="preserve"> </w:t>
      </w:r>
      <w:r>
        <w:t>2.5 L/min/m</w:t>
      </w:r>
      <w:r w:rsidRPr="00544EAE">
        <w:rPr>
          <w:vertAlign w:val="superscript"/>
        </w:rPr>
        <w:t>2</w:t>
      </w:r>
      <w:r>
        <w:t>).</w:t>
      </w:r>
      <w:r w:rsidR="00D42948">
        <w:t xml:space="preserve"> </w:t>
      </w:r>
      <w:r>
        <w:t xml:space="preserve">Non-responders at 15 minutes were switched to </w:t>
      </w:r>
      <w:r>
        <w:lastRenderedPageBreak/>
        <w:t xml:space="preserve">alternative therapy. </w:t>
      </w:r>
      <w:r w:rsidR="000E74EA">
        <w:t>mean pulmonary</w:t>
      </w:r>
      <w:r w:rsidR="00BB39E5">
        <w:t xml:space="preserve"> arterial pressure</w:t>
      </w:r>
      <w:r>
        <w:t xml:space="preserve">, </w:t>
      </w:r>
      <w:r w:rsidR="009061E2">
        <w:t>mean arterial pressure</w:t>
      </w:r>
      <w:r>
        <w:t xml:space="preserve"> and </w:t>
      </w:r>
      <w:r w:rsidR="00BB39E5">
        <w:t>left ventricular assist device</w:t>
      </w:r>
      <w:r>
        <w:t xml:space="preserve"> flow were assessed. Patients randomised to </w:t>
      </w:r>
      <w:r w:rsidR="00DC7D20">
        <w:t>inhaled nitric oxide</w:t>
      </w:r>
      <w:r>
        <w:t xml:space="preserve"> showed a reduction in </w:t>
      </w:r>
      <w:r w:rsidR="000E74EA">
        <w:t>mean pulmonary</w:t>
      </w:r>
      <w:r w:rsidR="00BB39E5">
        <w:t xml:space="preserve"> arterial pressure</w:t>
      </w:r>
      <w:r>
        <w:t xml:space="preserve"> from 35±6 mmHg to 24</w:t>
      </w:r>
      <w:r w:rsidR="00266766">
        <w:t xml:space="preserve"> </w:t>
      </w:r>
      <w:r>
        <w:t>±</w:t>
      </w:r>
      <w:r w:rsidR="00266766">
        <w:t xml:space="preserve"> </w:t>
      </w:r>
      <w:r>
        <w:t>4</w:t>
      </w:r>
      <w:r w:rsidR="009061E2">
        <w:rPr>
          <w:vertAlign w:val="superscript"/>
        </w:rPr>
        <w:t> </w:t>
      </w:r>
      <w:r>
        <w:t>mmHg (p</w:t>
      </w:r>
      <w:r w:rsidR="00B25F29">
        <w:t> </w:t>
      </w:r>
      <w:r w:rsidR="00D42948">
        <w:t>=</w:t>
      </w:r>
      <w:r w:rsidR="00B25F29">
        <w:t> </w:t>
      </w:r>
      <w:r>
        <w:t xml:space="preserve">0.02) and an increase in the </w:t>
      </w:r>
      <w:r w:rsidR="00BB39E5">
        <w:t>left ventricular assist device</w:t>
      </w:r>
      <w:r>
        <w:t xml:space="preserve"> flow index from 1.9</w:t>
      </w:r>
      <w:r w:rsidR="00FB373C">
        <w:t> </w:t>
      </w:r>
      <w:r>
        <w:t>±</w:t>
      </w:r>
      <w:r w:rsidR="00FB373C">
        <w:t> </w:t>
      </w:r>
      <w:r>
        <w:t>0.2</w:t>
      </w:r>
      <w:r w:rsidR="00FB373C">
        <w:t> </w:t>
      </w:r>
      <w:r>
        <w:t>L/min/m</w:t>
      </w:r>
      <w:r w:rsidRPr="00266766">
        <w:rPr>
          <w:vertAlign w:val="superscript"/>
        </w:rPr>
        <w:t>2</w:t>
      </w:r>
      <w:r w:rsidR="00266766">
        <w:rPr>
          <w:vertAlign w:val="superscript"/>
        </w:rPr>
        <w:t xml:space="preserve"> </w:t>
      </w:r>
      <w:r>
        <w:t>to 2.7</w:t>
      </w:r>
      <w:r w:rsidR="00266766">
        <w:t> </w:t>
      </w:r>
      <w:r>
        <w:t>±</w:t>
      </w:r>
      <w:r w:rsidR="00266766">
        <w:t> </w:t>
      </w:r>
      <w:r>
        <w:t>0.3</w:t>
      </w:r>
      <w:r w:rsidR="00266766">
        <w:t> </w:t>
      </w:r>
      <w:r>
        <w:t>L/min/m</w:t>
      </w:r>
      <w:r w:rsidRPr="00266766">
        <w:rPr>
          <w:vertAlign w:val="superscript"/>
        </w:rPr>
        <w:t>2</w:t>
      </w:r>
      <w:r>
        <w:t xml:space="preserve"> (p</w:t>
      </w:r>
      <w:r w:rsidR="00D42948">
        <w:t xml:space="preserve"> = </w:t>
      </w:r>
      <w:r>
        <w:t xml:space="preserve">0.02). Those randomised to nitrogen placebo showed no significant haemodynamic response, but subsequently responded to crossover therapy with </w:t>
      </w:r>
      <w:r w:rsidR="00DC7D20">
        <w:t>inhaled nitric oxide</w:t>
      </w:r>
      <w:r>
        <w:t xml:space="preserve">, with a reduction in </w:t>
      </w:r>
      <w:r w:rsidR="000E74EA">
        <w:t>mean pulmonary</w:t>
      </w:r>
      <w:r w:rsidR="00BB39E5">
        <w:t xml:space="preserve"> arterial pressure</w:t>
      </w:r>
      <w:r>
        <w:t xml:space="preserve"> from 31</w:t>
      </w:r>
      <w:r w:rsidR="00266766">
        <w:t> </w:t>
      </w:r>
      <w:r>
        <w:t>±</w:t>
      </w:r>
      <w:r w:rsidR="00266766">
        <w:t> </w:t>
      </w:r>
      <w:r>
        <w:t>4 mm Hg to 22</w:t>
      </w:r>
      <w:r w:rsidR="00266766">
        <w:t xml:space="preserve"> </w:t>
      </w:r>
      <w:r>
        <w:t>±</w:t>
      </w:r>
      <w:r w:rsidR="00266766">
        <w:t xml:space="preserve"> </w:t>
      </w:r>
      <w:r>
        <w:t>3 mm Hg (p</w:t>
      </w:r>
      <w:r w:rsidR="00D42948">
        <w:t xml:space="preserve"> = </w:t>
      </w:r>
      <w:r>
        <w:t xml:space="preserve">0.02) and an increase in the </w:t>
      </w:r>
      <w:r w:rsidR="00BB39E5">
        <w:t>left ventricular assist device</w:t>
      </w:r>
      <w:r>
        <w:t xml:space="preserve"> flow index from 2.0</w:t>
      </w:r>
      <w:r w:rsidR="00F859E6">
        <w:t xml:space="preserve"> </w:t>
      </w:r>
      <w:r>
        <w:t>±</w:t>
      </w:r>
      <w:r w:rsidR="00F859E6">
        <w:t xml:space="preserve"> </w:t>
      </w:r>
      <w:r>
        <w:t>0.2 L/min/m</w:t>
      </w:r>
      <w:r w:rsidRPr="00F859E6">
        <w:rPr>
          <w:vertAlign w:val="superscript"/>
        </w:rPr>
        <w:t>2</w:t>
      </w:r>
      <w:r w:rsidR="00F859E6">
        <w:t xml:space="preserve"> </w:t>
      </w:r>
      <w:r>
        <w:t>to 2.5</w:t>
      </w:r>
      <w:r w:rsidR="00266766">
        <w:t xml:space="preserve"> </w:t>
      </w:r>
      <w:r>
        <w:t>±</w:t>
      </w:r>
      <w:r w:rsidR="00266766">
        <w:t xml:space="preserve"> </w:t>
      </w:r>
      <w:r>
        <w:t>0.2 L/min/m</w:t>
      </w:r>
      <w:r w:rsidRPr="00266766">
        <w:rPr>
          <w:vertAlign w:val="superscript"/>
        </w:rPr>
        <w:t>2</w:t>
      </w:r>
      <w:r>
        <w:t xml:space="preserve"> (p</w:t>
      </w:r>
      <w:r w:rsidR="0091439A">
        <w:t> </w:t>
      </w:r>
      <w:r w:rsidR="00D42948">
        <w:t>=</w:t>
      </w:r>
      <w:r w:rsidR="0091439A">
        <w:t> </w:t>
      </w:r>
      <w:r>
        <w:t xml:space="preserve">0.002). </w:t>
      </w:r>
      <w:r w:rsidR="00F859E6">
        <w:t>I</w:t>
      </w:r>
      <w:r w:rsidR="00DC7D20">
        <w:t>nhaled nitric oxide</w:t>
      </w:r>
      <w:r>
        <w:t xml:space="preserve"> had no effect on systemic blood pressure.</w:t>
      </w:r>
    </w:p>
    <w:p w14:paraId="6F07C774" w14:textId="77777777" w:rsidR="00BF4601" w:rsidRDefault="00BF4601" w:rsidP="00266766">
      <w:pPr>
        <w:pStyle w:val="Heading4"/>
      </w:pPr>
      <w:r>
        <w:t>Safety</w:t>
      </w:r>
    </w:p>
    <w:p w14:paraId="187B9512" w14:textId="479C87CB" w:rsidR="00BF4601" w:rsidRDefault="00BF4601" w:rsidP="00BF4601">
      <w:r>
        <w:t>A total of 562 adult patient</w:t>
      </w:r>
      <w:r w:rsidR="000A646E">
        <w:t>s</w:t>
      </w:r>
      <w:r>
        <w:t xml:space="preserve"> were exposed to any dose of </w:t>
      </w:r>
      <w:r w:rsidR="00DC7D20">
        <w:t>inhaled nitric oxide</w:t>
      </w:r>
      <w:r>
        <w:t>, of whom most were exposed for &lt; 48 hours and 150 were exposed for &lt;</w:t>
      </w:r>
      <w:r w:rsidR="00B25F29">
        <w:t xml:space="preserve"> </w:t>
      </w:r>
      <w:r>
        <w:t xml:space="preserve">1 hour. Three hundred and </w:t>
      </w:r>
      <w:r w:rsidR="00527AF3">
        <w:t>twenty-seven</w:t>
      </w:r>
      <w:r>
        <w:t xml:space="preserve"> patients were exposed to 10 </w:t>
      </w:r>
      <w:r w:rsidR="00B25F29">
        <w:t>to</w:t>
      </w:r>
      <w:r>
        <w:t xml:space="preserve"> 20 ppm. One hundred and </w:t>
      </w:r>
      <w:r w:rsidR="00527AF3">
        <w:t>fifty-four</w:t>
      </w:r>
      <w:r>
        <w:t xml:space="preserve"> patients were exposed to the highest requested dose of 40 ppm, including 69 patients from </w:t>
      </w:r>
      <w:r w:rsidR="00BB7C54">
        <w:t>Study </w:t>
      </w:r>
      <w:r w:rsidR="00BB39E5">
        <w:t>INOT41</w:t>
      </w:r>
      <w:r>
        <w:t>.</w:t>
      </w:r>
      <w:r w:rsidR="00D42948">
        <w:t xml:space="preserve"> </w:t>
      </w:r>
      <w:r w:rsidR="00527AF3">
        <w:t>Thirty-one</w:t>
      </w:r>
      <w:r>
        <w:t xml:space="preserve"> patients were exposed to more than 40 ppm.</w:t>
      </w:r>
    </w:p>
    <w:p w14:paraId="5812849E" w14:textId="6F1C97FB" w:rsidR="00BF4601" w:rsidRDefault="00BF4601" w:rsidP="00BF4601">
      <w:r>
        <w:t xml:space="preserve">The safety events were more comprehensively reported in the clinical study report for </w:t>
      </w:r>
      <w:r w:rsidR="00BB7C54">
        <w:t>Study </w:t>
      </w:r>
      <w:r w:rsidR="00BB39E5">
        <w:t>INOT41</w:t>
      </w:r>
      <w:r>
        <w:t xml:space="preserve"> than the publications.</w:t>
      </w:r>
      <w:r w:rsidR="00D42948">
        <w:t xml:space="preserve"> </w:t>
      </w:r>
      <w:r>
        <w:t>In this study</w:t>
      </w:r>
      <w:r w:rsidR="00BB7C54">
        <w:t>,</w:t>
      </w:r>
      <w:r>
        <w:t xml:space="preserve"> 69 patients received blinded </w:t>
      </w:r>
      <w:r w:rsidR="00DC7D20">
        <w:t>inhaled nitric oxide</w:t>
      </w:r>
      <w:r>
        <w:t xml:space="preserve">, 68 received placebo and 34 received open label </w:t>
      </w:r>
      <w:r w:rsidR="00DC7D20">
        <w:t>inhaled nitric oxide</w:t>
      </w:r>
      <w:r>
        <w:t xml:space="preserve">. AEs were in similar proportions in the </w:t>
      </w:r>
      <w:r w:rsidR="00DC7D20">
        <w:t>inhaled nitric oxide</w:t>
      </w:r>
      <w:r>
        <w:t xml:space="preserve"> and placebo groups (26.1% and 26.5%), and 38.2% of the open</w:t>
      </w:r>
      <w:r w:rsidR="00B25F29">
        <w:t xml:space="preserve"> </w:t>
      </w:r>
      <w:r>
        <w:t>label gr</w:t>
      </w:r>
      <w:r w:rsidR="000A646E">
        <w:t xml:space="preserve">oup. Of those, 8.7%/11.8%/20.6% </w:t>
      </w:r>
      <w:r>
        <w:t xml:space="preserve">were severe, and 13.0%/7.4%/29.4% were considered drug related. AEs leading to dose modification occurred in 4.3%/5.9%/20.6% of the blinded </w:t>
      </w:r>
      <w:r w:rsidR="00DC7D20">
        <w:t>inhaled nitric oxide</w:t>
      </w:r>
      <w:r>
        <w:t>/placebo/</w:t>
      </w:r>
      <w:r w:rsidR="00DC7D20">
        <w:t>inhaled nitric oxide</w:t>
      </w:r>
      <w:r>
        <w:t xml:space="preserve"> open label groups, and 4.3%/5.9%/0% lead to permanent discontinuation.</w:t>
      </w:r>
    </w:p>
    <w:p w14:paraId="59767A43" w14:textId="36FF7BAF" w:rsidR="003B08F8" w:rsidRDefault="00BF4601" w:rsidP="00BF4601">
      <w:r>
        <w:t xml:space="preserve">In </w:t>
      </w:r>
      <w:r w:rsidR="00BB7C54">
        <w:t xml:space="preserve">Study </w:t>
      </w:r>
      <w:r w:rsidR="00BB39E5">
        <w:t>INOT41</w:t>
      </w:r>
      <w:r>
        <w:t xml:space="preserve"> the most common </w:t>
      </w:r>
      <w:r w:rsidR="00B25F29">
        <w:t xml:space="preserve">treatment related </w:t>
      </w:r>
      <w:r>
        <w:t>AE</w:t>
      </w:r>
      <w:r w:rsidR="0091439A">
        <w:t>s</w:t>
      </w:r>
      <w:r>
        <w:t xml:space="preserve"> were right ventricular failure and post-procedural haemorrhage.</w:t>
      </w:r>
    </w:p>
    <w:p w14:paraId="313D4684" w14:textId="0238BA06" w:rsidR="003B08F8" w:rsidRDefault="00BF4601" w:rsidP="00BF4601">
      <w:r>
        <w:t xml:space="preserve">SAEs in </w:t>
      </w:r>
      <w:r w:rsidR="00BB7C54">
        <w:t xml:space="preserve">Study </w:t>
      </w:r>
      <w:r w:rsidR="00BB39E5">
        <w:t>INOT41</w:t>
      </w:r>
      <w:r>
        <w:t xml:space="preserve"> occurred in 10.1%/16.2%/17.6% of the blinded </w:t>
      </w:r>
      <w:r w:rsidR="00DC7D20">
        <w:t>inhaled nitric oxide</w:t>
      </w:r>
      <w:r>
        <w:t>/placebo/</w:t>
      </w:r>
      <w:r w:rsidR="00DC7D20">
        <w:t>inhaled nitric oxide</w:t>
      </w:r>
      <w:r>
        <w:t xml:space="preserve"> open label groups. Renal replacement therapy (14.1%/11.4%/0%), post-procedural haemorrhage (4.3%/7.4%/5.9%), </w:t>
      </w:r>
      <w:r w:rsidR="00B25F29">
        <w:t>right ventricular failure</w:t>
      </w:r>
      <w:r>
        <w:t xml:space="preserve"> (4.3%/5.9%/2.9%), and pyrexia (0%/0%/11.4%) were the most common events.</w:t>
      </w:r>
    </w:p>
    <w:p w14:paraId="16C6F831" w14:textId="5C352059" w:rsidR="00BF4601" w:rsidRDefault="00BF4601" w:rsidP="00BF4601">
      <w:r>
        <w:t xml:space="preserve">Deaths occurred in 1.4%/1.5%/5.9% in </w:t>
      </w:r>
      <w:r w:rsidR="00BB7C54">
        <w:t xml:space="preserve">Study </w:t>
      </w:r>
      <w:r w:rsidR="00BB39E5">
        <w:t>INOT41</w:t>
      </w:r>
      <w:r>
        <w:t xml:space="preserve">. Of the 4 deaths in the open label group, two had been on placebo before switching to </w:t>
      </w:r>
      <w:r w:rsidR="00DC7D20">
        <w:t>inhaled nitric oxide</w:t>
      </w:r>
      <w:r>
        <w:t xml:space="preserve"> 40 ppm. Two deaths were attributed </w:t>
      </w:r>
      <w:r w:rsidR="008E64F9">
        <w:t xml:space="preserve">to </w:t>
      </w:r>
      <w:r w:rsidR="008E64F9">
        <w:rPr>
          <w:rFonts w:eastAsia="TimesNewRoman"/>
        </w:rPr>
        <w:t>right ventricular failure</w:t>
      </w:r>
      <w:r w:rsidR="008E64F9">
        <w:t xml:space="preserve"> (</w:t>
      </w:r>
      <w:r>
        <w:t>RVF</w:t>
      </w:r>
      <w:r w:rsidR="008E64F9">
        <w:t>)</w:t>
      </w:r>
      <w:r>
        <w:t>, and two to multiple organ failure (one with severe renal failure). Deaths were reported in a number of publications (</w:t>
      </w:r>
      <w:r w:rsidR="00BB7C54">
        <w:t xml:space="preserve">see </w:t>
      </w:r>
      <w:r w:rsidRPr="000A646E">
        <w:t xml:space="preserve">Table </w:t>
      </w:r>
      <w:r w:rsidR="002445FA">
        <w:t>21</w:t>
      </w:r>
      <w:r>
        <w:t xml:space="preserve">), but the evaluator considered, that because these patients had severe cardiac dysfunction and had been exposed to general anaesthesia and mechanical ventilation, on balance there was no evidence that </w:t>
      </w:r>
      <w:r w:rsidR="00DC7D20">
        <w:t>inhaled nitric oxide</w:t>
      </w:r>
      <w:r>
        <w:t xml:space="preserve"> increased the risk of death.</w:t>
      </w:r>
    </w:p>
    <w:p w14:paraId="6A2C3927" w14:textId="77777777" w:rsidR="009061E2" w:rsidRDefault="002445FA" w:rsidP="009061E2">
      <w:pPr>
        <w:pStyle w:val="TableTitle"/>
      </w:pPr>
      <w:r>
        <w:lastRenderedPageBreak/>
        <w:t>Table 21</w:t>
      </w:r>
      <w:r w:rsidR="009061E2">
        <w:t xml:space="preserve">: </w:t>
      </w:r>
      <w:r w:rsidR="009061E2" w:rsidRPr="009061E2">
        <w:t xml:space="preserve">Deaths reported in the </w:t>
      </w:r>
      <w:r w:rsidR="006C537A" w:rsidRPr="009061E2">
        <w:t>published literature</w:t>
      </w:r>
    </w:p>
    <w:p w14:paraId="3D9986B4" w14:textId="77777777" w:rsidR="009061E2" w:rsidRDefault="009061E2" w:rsidP="00BF4601">
      <w:r>
        <w:rPr>
          <w:noProof/>
          <w:lang w:eastAsia="en-AU"/>
        </w:rPr>
        <w:drawing>
          <wp:inline distT="0" distB="0" distL="0" distR="0" wp14:anchorId="7F53552A" wp14:editId="3AF72F62">
            <wp:extent cx="5400040" cy="2970981"/>
            <wp:effectExtent l="0" t="0" r="0" b="1270"/>
            <wp:docPr id="3" name="Picture 3" descr="Deaths reported in the Published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2970981"/>
                    </a:xfrm>
                    <a:prstGeom prst="rect">
                      <a:avLst/>
                    </a:prstGeom>
                    <a:noFill/>
                    <a:ln>
                      <a:noFill/>
                    </a:ln>
                  </pic:spPr>
                </pic:pic>
              </a:graphicData>
            </a:graphic>
          </wp:inline>
        </w:drawing>
      </w:r>
    </w:p>
    <w:p w14:paraId="45D172B2" w14:textId="2A985829" w:rsidR="00BF4601" w:rsidRDefault="00BF4601" w:rsidP="00BF4601">
      <w:r>
        <w:t xml:space="preserve">The safety information in the literature was limited, and mostly referred to the known effects of </w:t>
      </w:r>
      <w:proofErr w:type="spellStart"/>
      <w:r w:rsidR="00931948">
        <w:rPr>
          <w:rFonts w:eastAsia="TimesNewRoman"/>
        </w:rPr>
        <w:t>metHB</w:t>
      </w:r>
      <w:proofErr w:type="spellEnd"/>
      <w:r>
        <w:t xml:space="preserve"> and </w:t>
      </w:r>
      <w:r w:rsidR="00B25F29">
        <w:t>nitrogen dioxide</w:t>
      </w:r>
      <w:r>
        <w:t xml:space="preserve"> production. As examples, in Schmidt</w:t>
      </w:r>
      <w:r w:rsidR="009061E2">
        <w:t xml:space="preserve"> et al. </w:t>
      </w:r>
      <w:r>
        <w:t>1999</w:t>
      </w:r>
      <w:r w:rsidR="00F601A9">
        <w:t>;</w:t>
      </w:r>
      <w:r w:rsidR="008024D2" w:rsidRPr="008024D2">
        <w:rPr>
          <w:vertAlign w:val="superscript"/>
        </w:rPr>
        <w:fldChar w:fldCharType="begin"/>
      </w:r>
      <w:r w:rsidR="008024D2" w:rsidRPr="008024D2">
        <w:rPr>
          <w:vertAlign w:val="superscript"/>
        </w:rPr>
        <w:instrText xml:space="preserve"> NOTEREF _Ref20404887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11</w:t>
      </w:r>
      <w:r w:rsidR="008024D2" w:rsidRPr="008024D2">
        <w:rPr>
          <w:vertAlign w:val="superscript"/>
        </w:rPr>
        <w:fldChar w:fldCharType="end"/>
      </w:r>
      <w:r>
        <w:t xml:space="preserve"> 40 ppm for 20 minutes maximum </w:t>
      </w:r>
      <w:proofErr w:type="spellStart"/>
      <w:r w:rsidR="00931948">
        <w:rPr>
          <w:rFonts w:eastAsia="TimesNewRoman"/>
        </w:rPr>
        <w:t>metHB</w:t>
      </w:r>
      <w:proofErr w:type="spellEnd"/>
      <w:r>
        <w:t xml:space="preserve"> was 1.55% (median increased from 0.64% in the control group to 1.06% with </w:t>
      </w:r>
      <w:r w:rsidR="00DC7D20">
        <w:t>inhaled nitric oxide</w:t>
      </w:r>
      <w:r>
        <w:t xml:space="preserve">). </w:t>
      </w:r>
      <w:r w:rsidR="00B25F29">
        <w:t>Nitrogen dioxide</w:t>
      </w:r>
      <w:r>
        <w:t xml:space="preserve"> levels of 2.4 ppm (95% CI; 1.8</w:t>
      </w:r>
      <w:r w:rsidR="00B25F29">
        <w:t xml:space="preserve"> to</w:t>
      </w:r>
      <w:r>
        <w:t xml:space="preserve"> 4.2) were detected with a peak of 6.4 ppm. In </w:t>
      </w:r>
      <w:proofErr w:type="spellStart"/>
      <w:r>
        <w:t>Ardehali</w:t>
      </w:r>
      <w:proofErr w:type="spellEnd"/>
      <w:r>
        <w:t xml:space="preserve"> </w:t>
      </w:r>
      <w:r w:rsidR="009061E2">
        <w:t xml:space="preserve">et al. </w:t>
      </w:r>
      <w:r>
        <w:t>2001</w:t>
      </w:r>
      <w:r w:rsidR="00F601A9">
        <w:t>;</w:t>
      </w:r>
      <w:r w:rsidR="008024D2" w:rsidRPr="008024D2">
        <w:rPr>
          <w:vertAlign w:val="superscript"/>
        </w:rPr>
        <w:fldChar w:fldCharType="begin"/>
      </w:r>
      <w:r w:rsidR="008024D2" w:rsidRPr="008024D2">
        <w:rPr>
          <w:vertAlign w:val="superscript"/>
        </w:rPr>
        <w:instrText xml:space="preserve"> NOTEREF _Ref25845111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15</w:t>
      </w:r>
      <w:r w:rsidR="008024D2" w:rsidRPr="008024D2">
        <w:rPr>
          <w:vertAlign w:val="superscript"/>
        </w:rPr>
        <w:fldChar w:fldCharType="end"/>
      </w:r>
      <w:r w:rsidR="0091439A">
        <w:t xml:space="preserve"> with exposures of 20 ppm no </w:t>
      </w:r>
      <w:proofErr w:type="spellStart"/>
      <w:r w:rsidR="00931948">
        <w:rPr>
          <w:rFonts w:eastAsia="TimesNewRoman"/>
        </w:rPr>
        <w:t>metHB</w:t>
      </w:r>
      <w:proofErr w:type="spellEnd"/>
      <w:r>
        <w:t xml:space="preserve"> was reported and </w:t>
      </w:r>
      <w:r w:rsidR="00B25F29">
        <w:t>nitrogen dioxide</w:t>
      </w:r>
      <w:r>
        <w:t xml:space="preserve"> did not exceed 0.5 ppm. In the three new controlled</w:t>
      </w:r>
      <w:r w:rsidR="00D42948">
        <w:t xml:space="preserve"> </w:t>
      </w:r>
      <w:r>
        <w:t xml:space="preserve">studies presented in this submission </w:t>
      </w:r>
      <w:proofErr w:type="spellStart"/>
      <w:r w:rsidR="00931948">
        <w:rPr>
          <w:rFonts w:eastAsia="TimesNewRoman"/>
        </w:rPr>
        <w:t>metHB</w:t>
      </w:r>
      <w:proofErr w:type="spellEnd"/>
      <w:r>
        <w:t xml:space="preserve"> was not reported in </w:t>
      </w:r>
      <w:proofErr w:type="spellStart"/>
      <w:r>
        <w:t>Fernandes</w:t>
      </w:r>
      <w:proofErr w:type="spellEnd"/>
      <w:r>
        <w:t xml:space="preserve"> </w:t>
      </w:r>
      <w:r w:rsidR="009061E2">
        <w:t xml:space="preserve">et al. </w:t>
      </w:r>
      <w:r>
        <w:t>2011</w:t>
      </w:r>
      <w:r w:rsidR="00F601A9">
        <w:t>;</w:t>
      </w:r>
      <w:r w:rsidR="008024D2" w:rsidRPr="008024D2">
        <w:rPr>
          <w:vertAlign w:val="superscript"/>
        </w:rPr>
        <w:fldChar w:fldCharType="begin"/>
      </w:r>
      <w:r w:rsidR="008024D2" w:rsidRPr="008024D2">
        <w:rPr>
          <w:vertAlign w:val="superscript"/>
        </w:rPr>
        <w:instrText xml:space="preserve"> NOTEREF _Ref25843676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20</w:t>
      </w:r>
      <w:r w:rsidR="008024D2" w:rsidRPr="008024D2">
        <w:rPr>
          <w:vertAlign w:val="superscript"/>
        </w:rPr>
        <w:fldChar w:fldCharType="end"/>
      </w:r>
      <w:r w:rsidRPr="009061E2">
        <w:rPr>
          <w:vertAlign w:val="superscript"/>
        </w:rPr>
        <w:t xml:space="preserve"> </w:t>
      </w:r>
      <w:r>
        <w:t xml:space="preserve">with 10 ppm dosing, and was not reported as having been observed in Khan </w:t>
      </w:r>
      <w:r w:rsidR="009061E2">
        <w:t xml:space="preserve">et al. </w:t>
      </w:r>
      <w:r>
        <w:t>2009</w:t>
      </w:r>
      <w:r w:rsidR="00F601A9">
        <w:t>;</w:t>
      </w:r>
      <w:r w:rsidR="008024D2" w:rsidRPr="008024D2">
        <w:rPr>
          <w:vertAlign w:val="superscript"/>
        </w:rPr>
        <w:fldChar w:fldCharType="begin"/>
      </w:r>
      <w:r w:rsidR="008024D2" w:rsidRPr="008024D2">
        <w:rPr>
          <w:vertAlign w:val="superscript"/>
        </w:rPr>
        <w:instrText xml:space="preserve"> NOTEREF _Ref25843937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21</w:t>
      </w:r>
      <w:r w:rsidR="008024D2" w:rsidRPr="008024D2">
        <w:rPr>
          <w:vertAlign w:val="superscript"/>
        </w:rPr>
        <w:fldChar w:fldCharType="end"/>
      </w:r>
      <w:r w:rsidR="009061E2">
        <w:t xml:space="preserve"> and </w:t>
      </w:r>
      <w:proofErr w:type="spellStart"/>
      <w:r w:rsidR="009061E2">
        <w:t>Knothe</w:t>
      </w:r>
      <w:proofErr w:type="spellEnd"/>
      <w:r w:rsidR="009061E2">
        <w:t xml:space="preserve"> et al. </w:t>
      </w:r>
      <w:r>
        <w:t>1996</w:t>
      </w:r>
      <w:r w:rsidR="00F601A9">
        <w:t>;</w:t>
      </w:r>
      <w:r w:rsidR="008024D2" w:rsidRPr="008024D2">
        <w:rPr>
          <w:vertAlign w:val="superscript"/>
        </w:rPr>
        <w:fldChar w:fldCharType="begin"/>
      </w:r>
      <w:r w:rsidR="008024D2" w:rsidRPr="008024D2">
        <w:rPr>
          <w:vertAlign w:val="superscript"/>
        </w:rPr>
        <w:instrText xml:space="preserve"> NOTEREF _Ref25843632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22</w:t>
      </w:r>
      <w:r w:rsidR="008024D2" w:rsidRPr="008024D2">
        <w:rPr>
          <w:vertAlign w:val="superscript"/>
        </w:rPr>
        <w:fldChar w:fldCharType="end"/>
      </w:r>
      <w:r>
        <w:t xml:space="preserve"> with 20 ppm and 30 ppm </w:t>
      </w:r>
      <w:r w:rsidR="00DC7D20">
        <w:t>inhaled nitric oxide</w:t>
      </w:r>
      <w:r>
        <w:t xml:space="preserve"> dosing, respectively. Some limited safety information was found in case reports. The evaluator noted </w:t>
      </w:r>
      <w:r w:rsidR="009061E2">
        <w:t>that</w:t>
      </w:r>
      <w:r w:rsidR="0066542D">
        <w:t xml:space="preserve"> </w:t>
      </w:r>
      <w:proofErr w:type="spellStart"/>
      <w:r w:rsidR="00931948">
        <w:rPr>
          <w:rFonts w:eastAsia="TimesNewRoman"/>
        </w:rPr>
        <w:t>metHB</w:t>
      </w:r>
      <w:proofErr w:type="spellEnd"/>
      <w:r>
        <w:t xml:space="preserve"> and </w:t>
      </w:r>
      <w:r w:rsidR="00B25F29">
        <w:t>nitrogen dioxide</w:t>
      </w:r>
      <w:r>
        <w:t xml:space="preserve"> production are known adverse effects of </w:t>
      </w:r>
      <w:r w:rsidR="00DC7D20">
        <w:t>inhaled nitric oxide</w:t>
      </w:r>
      <w:r>
        <w:t xml:space="preserve"> and are covered in the current PI.</w:t>
      </w:r>
    </w:p>
    <w:p w14:paraId="0F29DF33" w14:textId="207FB851" w:rsidR="003B08F8" w:rsidRDefault="00BF4601" w:rsidP="00BF4601">
      <w:r>
        <w:t xml:space="preserve">Through activation </w:t>
      </w:r>
      <w:r w:rsidR="00931948">
        <w:t>of</w:t>
      </w:r>
      <w:r w:rsidR="00931948" w:rsidRPr="00931948">
        <w:rPr>
          <w:rFonts w:eastAsia="TimesNewRoman"/>
        </w:rPr>
        <w:t xml:space="preserve"> </w:t>
      </w:r>
      <w:r w:rsidR="00931948">
        <w:rPr>
          <w:rFonts w:eastAsia="TimesNewRoman"/>
        </w:rPr>
        <w:t>cyclic guanosine monophosphate</w:t>
      </w:r>
      <w:r w:rsidR="00931948">
        <w:t xml:space="preserve"> (</w:t>
      </w:r>
      <w:r>
        <w:t>cGMP</w:t>
      </w:r>
      <w:r w:rsidR="00931948">
        <w:t>)</w:t>
      </w:r>
      <w:r>
        <w:t xml:space="preserve">, </w:t>
      </w:r>
      <w:r w:rsidR="00DC7D20">
        <w:t>inhaled nitric oxide</w:t>
      </w:r>
      <w:r>
        <w:t xml:space="preserve"> may have an effect on platelets, as shown in animal models, although human data are inconsistent. In </w:t>
      </w:r>
      <w:r w:rsidR="00BB7C54">
        <w:t xml:space="preserve">Study </w:t>
      </w:r>
      <w:r w:rsidR="00BB39E5">
        <w:t>INOT41</w:t>
      </w:r>
      <w:r>
        <w:t xml:space="preserve"> and in the post-marketing surveillance safety data no signals for increased bleeding or </w:t>
      </w:r>
      <w:proofErr w:type="spellStart"/>
      <w:r>
        <w:t>thrombocytop</w:t>
      </w:r>
      <w:r w:rsidR="00BB7C54">
        <w:t>a</w:t>
      </w:r>
      <w:r>
        <w:t>enia</w:t>
      </w:r>
      <w:proofErr w:type="spellEnd"/>
      <w:r>
        <w:t xml:space="preserve"> were detected.</w:t>
      </w:r>
    </w:p>
    <w:p w14:paraId="54645469" w14:textId="77777777" w:rsidR="00BF4601" w:rsidRDefault="0091439A" w:rsidP="00BF4601">
      <w:r>
        <w:t>I</w:t>
      </w:r>
      <w:r w:rsidR="00DC7D20">
        <w:t>nhaled nitric oxide</w:t>
      </w:r>
      <w:r w:rsidR="00BF4601">
        <w:t xml:space="preserve"> can increase left atrial filling potentially exacerbating cardiac failure or pulmonary oedema in patients with left ventricular dysfunction. This is already mentioned in the PI.</w:t>
      </w:r>
    </w:p>
    <w:p w14:paraId="2807126B" w14:textId="77777777" w:rsidR="00BF4601" w:rsidRDefault="00BF4601" w:rsidP="00BF4601">
      <w:r>
        <w:t xml:space="preserve">Rebound pulmonary hypertension is a known safety concern if the withdrawal of </w:t>
      </w:r>
      <w:r w:rsidR="00DC7D20">
        <w:t>inhaled nitric oxide</w:t>
      </w:r>
      <w:r>
        <w:t xml:space="preserve"> is not carefully managed. This is a known safety concern with no specific signal emerging in the adult cardiac surgical population.</w:t>
      </w:r>
    </w:p>
    <w:p w14:paraId="325A5748" w14:textId="77777777" w:rsidR="00BF4601" w:rsidRDefault="00BF4601" w:rsidP="00B25F29">
      <w:pPr>
        <w:pStyle w:val="Heading5"/>
      </w:pPr>
      <w:r>
        <w:t>Post market</w:t>
      </w:r>
    </w:p>
    <w:p w14:paraId="4ED338C7" w14:textId="77777777" w:rsidR="00BF4601" w:rsidRPr="007B6132" w:rsidRDefault="00BF4601" w:rsidP="00BF4601">
      <w:r>
        <w:t xml:space="preserve">From the post-marketing safety data, an estimated 877,196 patients have been exposed to </w:t>
      </w:r>
      <w:r w:rsidR="00DC7D20">
        <w:t>inhaled nitric oxide</w:t>
      </w:r>
      <w:r>
        <w:t xml:space="preserve"> for all approved indications. Adverse events including fatal events have occurred in association with sudden disconnection of </w:t>
      </w:r>
      <w:r w:rsidR="00DC7D20">
        <w:t>inhaled nitric oxide</w:t>
      </w:r>
      <w:r>
        <w:t xml:space="preserve"> or delivery device malfunction. From the review of the post-marketing data the evaluator found no new safety signals.</w:t>
      </w:r>
    </w:p>
    <w:p w14:paraId="1835F90C" w14:textId="77777777" w:rsidR="008E7846" w:rsidRDefault="00386150" w:rsidP="007B6132">
      <w:pPr>
        <w:pStyle w:val="Heading3"/>
        <w:rPr>
          <w:lang w:eastAsia="en-AU"/>
        </w:rPr>
      </w:pPr>
      <w:bookmarkStart w:id="153" w:name="_Toc28009961"/>
      <w:r>
        <w:rPr>
          <w:lang w:eastAsia="en-AU"/>
        </w:rPr>
        <w:lastRenderedPageBreak/>
        <w:t>Risk m</w:t>
      </w:r>
      <w:r w:rsidR="008E7846">
        <w:rPr>
          <w:lang w:eastAsia="en-AU"/>
        </w:rPr>
        <w:t xml:space="preserve">anagement </w:t>
      </w:r>
      <w:r>
        <w:rPr>
          <w:lang w:eastAsia="en-AU"/>
        </w:rPr>
        <w:t>p</w:t>
      </w:r>
      <w:r w:rsidR="008E7846">
        <w:rPr>
          <w:lang w:eastAsia="en-AU"/>
        </w:rPr>
        <w:t>lan</w:t>
      </w:r>
      <w:bookmarkEnd w:id="152"/>
      <w:bookmarkEnd w:id="153"/>
    </w:p>
    <w:p w14:paraId="699FF129" w14:textId="14B17B3E" w:rsidR="008E7846" w:rsidRDefault="00BF4601" w:rsidP="008E7846">
      <w:r w:rsidRPr="00BF4601">
        <w:t xml:space="preserve">The RMP evaluator has reviewed the </w:t>
      </w:r>
      <w:proofErr w:type="spellStart"/>
      <w:r w:rsidR="00C40BA7">
        <w:t>INOmax</w:t>
      </w:r>
      <w:proofErr w:type="spellEnd"/>
      <w:r w:rsidRPr="00BF4601">
        <w:t xml:space="preserve"> Australian RMP (version 4, dated 23 October 2018, data lock point 31 January 2018).</w:t>
      </w:r>
      <w:r w:rsidR="00D42948">
        <w:t xml:space="preserve"> </w:t>
      </w:r>
      <w:r w:rsidRPr="00BF4601">
        <w:t>A comparison of the proposed and previously approved Summary of Safety Concerns is tabulated below.</w:t>
      </w:r>
    </w:p>
    <w:p w14:paraId="37F3ADC0" w14:textId="77777777" w:rsidR="00BF4601" w:rsidRDefault="009061E2" w:rsidP="00EB16B8">
      <w:pPr>
        <w:pStyle w:val="TableTitle"/>
      </w:pPr>
      <w:r>
        <w:t xml:space="preserve">Table </w:t>
      </w:r>
      <w:r w:rsidR="002445FA">
        <w:t>22</w:t>
      </w:r>
      <w:r>
        <w:t>: Summary of safety concerns</w:t>
      </w:r>
    </w:p>
    <w:tbl>
      <w:tblPr>
        <w:tblStyle w:val="TableTGAblue"/>
        <w:tblW w:w="8613" w:type="dxa"/>
        <w:tblLook w:val="04A0" w:firstRow="1" w:lastRow="0" w:firstColumn="1" w:lastColumn="0" w:noHBand="0" w:noVBand="1"/>
      </w:tblPr>
      <w:tblGrid>
        <w:gridCol w:w="1612"/>
        <w:gridCol w:w="3316"/>
        <w:gridCol w:w="3685"/>
      </w:tblGrid>
      <w:tr w:rsidR="00BF4601" w:rsidRPr="00527AF3" w14:paraId="105AD9D9" w14:textId="77777777" w:rsidTr="006771F2">
        <w:trPr>
          <w:cnfStyle w:val="100000000000" w:firstRow="1" w:lastRow="0" w:firstColumn="0" w:lastColumn="0" w:oddVBand="0" w:evenVBand="0" w:oddHBand="0" w:evenHBand="0" w:firstRowFirstColumn="0" w:firstRowLastColumn="0" w:lastRowFirstColumn="0" w:lastRowLastColumn="0"/>
          <w:trHeight w:val="227"/>
        </w:trPr>
        <w:tc>
          <w:tcPr>
            <w:tcW w:w="8613" w:type="dxa"/>
            <w:gridSpan w:val="3"/>
          </w:tcPr>
          <w:p w14:paraId="1A5D8242" w14:textId="77777777" w:rsidR="00BF4601" w:rsidRPr="00527AF3" w:rsidRDefault="00BF4601" w:rsidP="00527AF3">
            <w:pPr>
              <w:rPr>
                <w:sz w:val="20"/>
                <w:szCs w:val="20"/>
              </w:rPr>
            </w:pPr>
            <w:r w:rsidRPr="00527AF3">
              <w:rPr>
                <w:sz w:val="20"/>
                <w:szCs w:val="20"/>
              </w:rPr>
              <w:t xml:space="preserve">Summary of safety concerns </w:t>
            </w:r>
          </w:p>
        </w:tc>
      </w:tr>
      <w:tr w:rsidR="00BF4601" w:rsidRPr="00527AF3" w14:paraId="339D33BB" w14:textId="77777777" w:rsidTr="006771F2">
        <w:trPr>
          <w:trHeight w:val="137"/>
        </w:trPr>
        <w:tc>
          <w:tcPr>
            <w:tcW w:w="1612" w:type="dxa"/>
          </w:tcPr>
          <w:p w14:paraId="08641255" w14:textId="77777777" w:rsidR="00BF4601" w:rsidRPr="00527AF3" w:rsidRDefault="00BF4601" w:rsidP="00527AF3">
            <w:pPr>
              <w:rPr>
                <w:sz w:val="20"/>
                <w:szCs w:val="20"/>
              </w:rPr>
            </w:pPr>
            <w:r w:rsidRPr="00527AF3">
              <w:rPr>
                <w:sz w:val="20"/>
                <w:szCs w:val="20"/>
              </w:rPr>
              <w:t>Submission</w:t>
            </w:r>
          </w:p>
        </w:tc>
        <w:tc>
          <w:tcPr>
            <w:tcW w:w="3316" w:type="dxa"/>
          </w:tcPr>
          <w:p w14:paraId="021FF8B6" w14:textId="77777777" w:rsidR="00BF4601" w:rsidRPr="00527AF3" w:rsidRDefault="00BF4601" w:rsidP="00527AF3">
            <w:pPr>
              <w:rPr>
                <w:sz w:val="20"/>
                <w:szCs w:val="20"/>
              </w:rPr>
            </w:pPr>
            <w:r w:rsidRPr="00527AF3">
              <w:rPr>
                <w:sz w:val="20"/>
                <w:szCs w:val="20"/>
              </w:rPr>
              <w:t xml:space="preserve">Current </w:t>
            </w:r>
          </w:p>
        </w:tc>
        <w:tc>
          <w:tcPr>
            <w:tcW w:w="3685" w:type="dxa"/>
          </w:tcPr>
          <w:p w14:paraId="1F950994" w14:textId="77777777" w:rsidR="00BF4601" w:rsidRPr="00527AF3" w:rsidRDefault="00BF4601" w:rsidP="00527AF3">
            <w:pPr>
              <w:rPr>
                <w:sz w:val="20"/>
                <w:szCs w:val="20"/>
              </w:rPr>
            </w:pPr>
            <w:r w:rsidRPr="00527AF3">
              <w:rPr>
                <w:sz w:val="20"/>
                <w:szCs w:val="20"/>
              </w:rPr>
              <w:t>Previous</w:t>
            </w:r>
          </w:p>
        </w:tc>
      </w:tr>
      <w:tr w:rsidR="00BF4601" w:rsidRPr="00527AF3" w14:paraId="525F15FC" w14:textId="77777777" w:rsidTr="006771F2">
        <w:trPr>
          <w:trHeight w:val="137"/>
        </w:trPr>
        <w:tc>
          <w:tcPr>
            <w:tcW w:w="1612" w:type="dxa"/>
            <w:vMerge w:val="restart"/>
          </w:tcPr>
          <w:p w14:paraId="30D669EC" w14:textId="77777777" w:rsidR="00BF4601" w:rsidRPr="00527AF3" w:rsidRDefault="00BF4601" w:rsidP="00527AF3">
            <w:pPr>
              <w:rPr>
                <w:sz w:val="20"/>
                <w:szCs w:val="20"/>
              </w:rPr>
            </w:pPr>
            <w:r w:rsidRPr="00527AF3">
              <w:rPr>
                <w:sz w:val="20"/>
                <w:szCs w:val="20"/>
              </w:rPr>
              <w:t>Important identified risks</w:t>
            </w:r>
          </w:p>
        </w:tc>
        <w:tc>
          <w:tcPr>
            <w:tcW w:w="3316" w:type="dxa"/>
          </w:tcPr>
          <w:p w14:paraId="2CAA462C" w14:textId="77777777" w:rsidR="00BF4601" w:rsidRPr="00527AF3" w:rsidRDefault="00931948" w:rsidP="00527AF3">
            <w:pPr>
              <w:rPr>
                <w:sz w:val="20"/>
                <w:szCs w:val="20"/>
              </w:rPr>
            </w:pPr>
            <w:r>
              <w:rPr>
                <w:sz w:val="20"/>
                <w:szCs w:val="20"/>
              </w:rPr>
              <w:t xml:space="preserve">Hypoxemia from </w:t>
            </w:r>
            <w:proofErr w:type="spellStart"/>
            <w:r>
              <w:rPr>
                <w:sz w:val="20"/>
                <w:szCs w:val="20"/>
              </w:rPr>
              <w:t>methaemo</w:t>
            </w:r>
            <w:r w:rsidR="002445FA" w:rsidRPr="00527AF3">
              <w:rPr>
                <w:sz w:val="20"/>
                <w:szCs w:val="20"/>
              </w:rPr>
              <w:t>globinaemia</w:t>
            </w:r>
            <w:proofErr w:type="spellEnd"/>
          </w:p>
        </w:tc>
        <w:tc>
          <w:tcPr>
            <w:tcW w:w="3685" w:type="dxa"/>
          </w:tcPr>
          <w:p w14:paraId="1B52CBBF" w14:textId="77777777" w:rsidR="00BF4601" w:rsidRPr="00527AF3" w:rsidRDefault="00931948" w:rsidP="00527AF3">
            <w:pPr>
              <w:rPr>
                <w:sz w:val="20"/>
                <w:szCs w:val="20"/>
              </w:rPr>
            </w:pPr>
            <w:proofErr w:type="spellStart"/>
            <w:r>
              <w:rPr>
                <w:sz w:val="20"/>
                <w:szCs w:val="20"/>
              </w:rPr>
              <w:t>Methaemo</w:t>
            </w:r>
            <w:r w:rsidR="00BF4601" w:rsidRPr="00527AF3">
              <w:rPr>
                <w:sz w:val="20"/>
                <w:szCs w:val="20"/>
              </w:rPr>
              <w:t>globinemia</w:t>
            </w:r>
            <w:proofErr w:type="spellEnd"/>
          </w:p>
        </w:tc>
      </w:tr>
      <w:tr w:rsidR="00BF4601" w:rsidRPr="00527AF3" w14:paraId="6ED0146A" w14:textId="77777777" w:rsidTr="006771F2">
        <w:trPr>
          <w:trHeight w:val="1189"/>
        </w:trPr>
        <w:tc>
          <w:tcPr>
            <w:tcW w:w="1612" w:type="dxa"/>
            <w:vMerge/>
          </w:tcPr>
          <w:p w14:paraId="24DB35D9" w14:textId="77777777" w:rsidR="00BF4601" w:rsidRPr="00527AF3" w:rsidRDefault="00BF4601" w:rsidP="00527AF3">
            <w:pPr>
              <w:rPr>
                <w:sz w:val="20"/>
                <w:szCs w:val="20"/>
              </w:rPr>
            </w:pPr>
          </w:p>
        </w:tc>
        <w:tc>
          <w:tcPr>
            <w:tcW w:w="3316" w:type="dxa"/>
          </w:tcPr>
          <w:p w14:paraId="08AD7C62" w14:textId="77777777" w:rsidR="00BF4601" w:rsidRPr="00527AF3" w:rsidRDefault="00BF4601" w:rsidP="00527AF3">
            <w:pPr>
              <w:rPr>
                <w:sz w:val="20"/>
                <w:szCs w:val="20"/>
              </w:rPr>
            </w:pPr>
            <w:r w:rsidRPr="00527AF3">
              <w:rPr>
                <w:sz w:val="20"/>
                <w:szCs w:val="20"/>
              </w:rPr>
              <w:t>Acute cardiac failure, pulmonary oedema, circulatory collapse</w:t>
            </w:r>
          </w:p>
        </w:tc>
        <w:tc>
          <w:tcPr>
            <w:tcW w:w="3685" w:type="dxa"/>
          </w:tcPr>
          <w:p w14:paraId="02897813" w14:textId="77777777" w:rsidR="00BF4601" w:rsidRPr="00527AF3" w:rsidRDefault="00BF4601" w:rsidP="00527AF3">
            <w:pPr>
              <w:rPr>
                <w:sz w:val="20"/>
                <w:szCs w:val="20"/>
              </w:rPr>
            </w:pPr>
            <w:r w:rsidRPr="00527AF3">
              <w:rPr>
                <w:sz w:val="20"/>
                <w:szCs w:val="20"/>
              </w:rPr>
              <w:t>Risk of acute cardiac failure with circulatory collapse in certain patient populations and Risk of heart failure or pulmonary oedema in certain patient populations</w:t>
            </w:r>
          </w:p>
        </w:tc>
      </w:tr>
      <w:tr w:rsidR="00BF4601" w:rsidRPr="00527AF3" w14:paraId="6622D3BA" w14:textId="77777777" w:rsidTr="006771F2">
        <w:trPr>
          <w:trHeight w:val="94"/>
        </w:trPr>
        <w:tc>
          <w:tcPr>
            <w:tcW w:w="1612" w:type="dxa"/>
            <w:vMerge/>
          </w:tcPr>
          <w:p w14:paraId="3FAC2A76" w14:textId="77777777" w:rsidR="00BF4601" w:rsidRPr="00527AF3" w:rsidRDefault="00BF4601" w:rsidP="00527AF3">
            <w:pPr>
              <w:rPr>
                <w:sz w:val="20"/>
                <w:szCs w:val="20"/>
              </w:rPr>
            </w:pPr>
          </w:p>
        </w:tc>
        <w:tc>
          <w:tcPr>
            <w:tcW w:w="3316" w:type="dxa"/>
          </w:tcPr>
          <w:p w14:paraId="4AE5B653" w14:textId="77777777" w:rsidR="00BF4601" w:rsidRPr="00527AF3" w:rsidRDefault="00BF4601" w:rsidP="00527AF3">
            <w:pPr>
              <w:rPr>
                <w:sz w:val="20"/>
                <w:szCs w:val="20"/>
              </w:rPr>
            </w:pPr>
            <w:r w:rsidRPr="00527AF3">
              <w:rPr>
                <w:sz w:val="20"/>
                <w:szCs w:val="20"/>
              </w:rPr>
              <w:t>Rebound pulmonary hypertension</w:t>
            </w:r>
          </w:p>
        </w:tc>
        <w:tc>
          <w:tcPr>
            <w:tcW w:w="3685" w:type="dxa"/>
          </w:tcPr>
          <w:p w14:paraId="6990769A" w14:textId="77777777" w:rsidR="00BF4601" w:rsidRPr="00527AF3" w:rsidRDefault="00BF4601" w:rsidP="00527AF3">
            <w:pPr>
              <w:rPr>
                <w:sz w:val="20"/>
                <w:szCs w:val="20"/>
              </w:rPr>
            </w:pPr>
            <w:r w:rsidRPr="00527AF3">
              <w:rPr>
                <w:sz w:val="20"/>
                <w:szCs w:val="20"/>
              </w:rPr>
              <w:t>Rebound reactions (pulmonary hypertension) with abrupt withdrawal</w:t>
            </w:r>
          </w:p>
        </w:tc>
      </w:tr>
      <w:tr w:rsidR="00BF4601" w:rsidRPr="00527AF3" w14:paraId="76F3B9E8" w14:textId="77777777" w:rsidTr="006771F2">
        <w:trPr>
          <w:trHeight w:val="195"/>
        </w:trPr>
        <w:tc>
          <w:tcPr>
            <w:tcW w:w="1612" w:type="dxa"/>
            <w:vMerge w:val="restart"/>
          </w:tcPr>
          <w:p w14:paraId="612161FB" w14:textId="77777777" w:rsidR="00BF4601" w:rsidRPr="00527AF3" w:rsidRDefault="00BF4601" w:rsidP="00527AF3">
            <w:pPr>
              <w:rPr>
                <w:sz w:val="20"/>
                <w:szCs w:val="20"/>
              </w:rPr>
            </w:pPr>
            <w:r w:rsidRPr="00527AF3">
              <w:rPr>
                <w:sz w:val="20"/>
                <w:szCs w:val="20"/>
              </w:rPr>
              <w:t>Important potential risks</w:t>
            </w:r>
          </w:p>
        </w:tc>
        <w:tc>
          <w:tcPr>
            <w:tcW w:w="3316" w:type="dxa"/>
          </w:tcPr>
          <w:p w14:paraId="58B8CB19" w14:textId="77777777" w:rsidR="00BF4601" w:rsidRPr="00527AF3" w:rsidRDefault="00BF4601" w:rsidP="00527AF3">
            <w:pPr>
              <w:rPr>
                <w:sz w:val="20"/>
                <w:szCs w:val="20"/>
              </w:rPr>
            </w:pPr>
            <w:r w:rsidRPr="00527AF3">
              <w:rPr>
                <w:sz w:val="20"/>
                <w:szCs w:val="20"/>
              </w:rPr>
              <w:t>Airway injury</w:t>
            </w:r>
          </w:p>
        </w:tc>
        <w:tc>
          <w:tcPr>
            <w:tcW w:w="3685" w:type="dxa"/>
          </w:tcPr>
          <w:p w14:paraId="44547405" w14:textId="77777777" w:rsidR="00BF4601" w:rsidRPr="00527AF3" w:rsidRDefault="008B0479" w:rsidP="00527AF3">
            <w:pPr>
              <w:rPr>
                <w:sz w:val="20"/>
                <w:szCs w:val="20"/>
              </w:rPr>
            </w:pPr>
            <w:r w:rsidRPr="00527AF3">
              <w:rPr>
                <w:sz w:val="20"/>
                <w:szCs w:val="20"/>
              </w:rPr>
              <w:t>Nitrogen dioxide</w:t>
            </w:r>
            <w:r w:rsidR="00BF4601" w:rsidRPr="00527AF3">
              <w:rPr>
                <w:sz w:val="20"/>
                <w:szCs w:val="20"/>
              </w:rPr>
              <w:t xml:space="preserve"> formation</w:t>
            </w:r>
          </w:p>
        </w:tc>
      </w:tr>
      <w:tr w:rsidR="00BF4601" w:rsidRPr="00527AF3" w14:paraId="4C398C59" w14:textId="77777777" w:rsidTr="006771F2">
        <w:trPr>
          <w:trHeight w:val="122"/>
        </w:trPr>
        <w:tc>
          <w:tcPr>
            <w:tcW w:w="1612" w:type="dxa"/>
            <w:vMerge/>
          </w:tcPr>
          <w:p w14:paraId="7F2FEE2A" w14:textId="77777777" w:rsidR="00BF4601" w:rsidRPr="00527AF3" w:rsidRDefault="00BF4601" w:rsidP="00527AF3">
            <w:pPr>
              <w:rPr>
                <w:sz w:val="20"/>
                <w:szCs w:val="20"/>
              </w:rPr>
            </w:pPr>
          </w:p>
        </w:tc>
        <w:tc>
          <w:tcPr>
            <w:tcW w:w="3316" w:type="dxa"/>
          </w:tcPr>
          <w:p w14:paraId="6CD0CF3F" w14:textId="77777777" w:rsidR="00BF4601" w:rsidRPr="00527AF3" w:rsidRDefault="00BF4601" w:rsidP="00527AF3">
            <w:pPr>
              <w:rPr>
                <w:sz w:val="20"/>
                <w:szCs w:val="20"/>
              </w:rPr>
            </w:pPr>
            <w:r w:rsidRPr="00527AF3">
              <w:rPr>
                <w:sz w:val="20"/>
                <w:szCs w:val="20"/>
              </w:rPr>
              <w:t>Increased bleeding time</w:t>
            </w:r>
          </w:p>
        </w:tc>
        <w:tc>
          <w:tcPr>
            <w:tcW w:w="3685" w:type="dxa"/>
          </w:tcPr>
          <w:p w14:paraId="21AB85D2" w14:textId="77777777" w:rsidR="00BF4601" w:rsidRPr="00527AF3" w:rsidRDefault="00BF4601" w:rsidP="00527AF3">
            <w:pPr>
              <w:rPr>
                <w:sz w:val="20"/>
                <w:szCs w:val="20"/>
              </w:rPr>
            </w:pPr>
            <w:r w:rsidRPr="00527AF3">
              <w:rPr>
                <w:sz w:val="20"/>
                <w:szCs w:val="20"/>
              </w:rPr>
              <w:t>Increased bleeding time</w:t>
            </w:r>
          </w:p>
        </w:tc>
      </w:tr>
      <w:tr w:rsidR="00BF4601" w:rsidRPr="00527AF3" w14:paraId="39A50377" w14:textId="77777777" w:rsidTr="006771F2">
        <w:trPr>
          <w:trHeight w:val="122"/>
        </w:trPr>
        <w:tc>
          <w:tcPr>
            <w:tcW w:w="1612" w:type="dxa"/>
            <w:vMerge/>
          </w:tcPr>
          <w:p w14:paraId="56CA21F9" w14:textId="77777777" w:rsidR="00BF4601" w:rsidRPr="00527AF3" w:rsidRDefault="00BF4601" w:rsidP="00527AF3">
            <w:pPr>
              <w:rPr>
                <w:sz w:val="20"/>
                <w:szCs w:val="20"/>
              </w:rPr>
            </w:pPr>
          </w:p>
        </w:tc>
        <w:tc>
          <w:tcPr>
            <w:tcW w:w="3316" w:type="dxa"/>
          </w:tcPr>
          <w:p w14:paraId="23864006" w14:textId="77777777" w:rsidR="00BF4601" w:rsidRPr="00527AF3" w:rsidRDefault="00BF4601" w:rsidP="00527AF3">
            <w:pPr>
              <w:rPr>
                <w:sz w:val="20"/>
                <w:szCs w:val="20"/>
              </w:rPr>
            </w:pPr>
            <w:r w:rsidRPr="00527AF3">
              <w:rPr>
                <w:sz w:val="20"/>
                <w:szCs w:val="20"/>
              </w:rPr>
              <w:t>Critical failure of the delivery system</w:t>
            </w:r>
          </w:p>
        </w:tc>
        <w:tc>
          <w:tcPr>
            <w:tcW w:w="3685" w:type="dxa"/>
          </w:tcPr>
          <w:p w14:paraId="7052F59A" w14:textId="77777777" w:rsidR="00BF4601" w:rsidRPr="00527AF3" w:rsidRDefault="00BF4601" w:rsidP="00527AF3">
            <w:pPr>
              <w:rPr>
                <w:sz w:val="20"/>
                <w:szCs w:val="20"/>
              </w:rPr>
            </w:pPr>
            <w:r w:rsidRPr="00527AF3">
              <w:rPr>
                <w:sz w:val="20"/>
                <w:szCs w:val="20"/>
              </w:rPr>
              <w:t>Critical failure of the delivery system</w:t>
            </w:r>
          </w:p>
        </w:tc>
      </w:tr>
      <w:tr w:rsidR="00BF4601" w:rsidRPr="00527AF3" w14:paraId="4A62A1D7" w14:textId="77777777" w:rsidTr="006771F2">
        <w:trPr>
          <w:trHeight w:val="178"/>
        </w:trPr>
        <w:tc>
          <w:tcPr>
            <w:tcW w:w="1612" w:type="dxa"/>
            <w:vMerge w:val="restart"/>
          </w:tcPr>
          <w:p w14:paraId="0A82C313" w14:textId="77777777" w:rsidR="00BF4601" w:rsidRPr="00527AF3" w:rsidRDefault="00BF4601" w:rsidP="00527AF3">
            <w:pPr>
              <w:rPr>
                <w:sz w:val="20"/>
                <w:szCs w:val="20"/>
              </w:rPr>
            </w:pPr>
            <w:r w:rsidRPr="00527AF3">
              <w:rPr>
                <w:sz w:val="20"/>
                <w:szCs w:val="20"/>
              </w:rPr>
              <w:t>Missing information</w:t>
            </w:r>
          </w:p>
        </w:tc>
        <w:tc>
          <w:tcPr>
            <w:tcW w:w="3316" w:type="dxa"/>
          </w:tcPr>
          <w:p w14:paraId="55827762" w14:textId="77777777" w:rsidR="00BF4601" w:rsidRPr="00527AF3" w:rsidRDefault="00BF4601" w:rsidP="00527AF3">
            <w:pPr>
              <w:rPr>
                <w:sz w:val="20"/>
                <w:szCs w:val="20"/>
              </w:rPr>
            </w:pPr>
            <w:r w:rsidRPr="00527AF3">
              <w:rPr>
                <w:sz w:val="20"/>
                <w:szCs w:val="20"/>
              </w:rPr>
              <w:t>Combined use with other vasodilators</w:t>
            </w:r>
          </w:p>
        </w:tc>
        <w:tc>
          <w:tcPr>
            <w:tcW w:w="3685" w:type="dxa"/>
          </w:tcPr>
          <w:p w14:paraId="092ACF62" w14:textId="77777777" w:rsidR="00BF4601" w:rsidRPr="00527AF3" w:rsidRDefault="00BF4601" w:rsidP="00527AF3">
            <w:pPr>
              <w:rPr>
                <w:sz w:val="20"/>
                <w:szCs w:val="20"/>
              </w:rPr>
            </w:pPr>
            <w:r w:rsidRPr="00527AF3">
              <w:rPr>
                <w:sz w:val="20"/>
                <w:szCs w:val="20"/>
              </w:rPr>
              <w:t>Combined use with other vasodilators</w:t>
            </w:r>
          </w:p>
        </w:tc>
      </w:tr>
      <w:tr w:rsidR="00BF4601" w:rsidRPr="00527AF3" w14:paraId="4256F5F5" w14:textId="77777777" w:rsidTr="006771F2">
        <w:trPr>
          <w:trHeight w:val="103"/>
        </w:trPr>
        <w:tc>
          <w:tcPr>
            <w:tcW w:w="1612" w:type="dxa"/>
            <w:vMerge/>
          </w:tcPr>
          <w:p w14:paraId="44E79AA2" w14:textId="77777777" w:rsidR="00BF4601" w:rsidRPr="00527AF3" w:rsidRDefault="00BF4601" w:rsidP="00527AF3">
            <w:pPr>
              <w:rPr>
                <w:sz w:val="20"/>
                <w:szCs w:val="20"/>
              </w:rPr>
            </w:pPr>
          </w:p>
        </w:tc>
        <w:tc>
          <w:tcPr>
            <w:tcW w:w="3316" w:type="dxa"/>
          </w:tcPr>
          <w:p w14:paraId="0424176A" w14:textId="77777777" w:rsidR="00BF4601" w:rsidRPr="00527AF3" w:rsidRDefault="00BF4601" w:rsidP="00527AF3">
            <w:pPr>
              <w:rPr>
                <w:sz w:val="20"/>
                <w:szCs w:val="20"/>
              </w:rPr>
            </w:pPr>
            <w:r w:rsidRPr="00527AF3">
              <w:rPr>
                <w:sz w:val="20"/>
                <w:szCs w:val="20"/>
              </w:rPr>
              <w:t>Use during pregnancy and lactation</w:t>
            </w:r>
          </w:p>
        </w:tc>
        <w:tc>
          <w:tcPr>
            <w:tcW w:w="3685" w:type="dxa"/>
          </w:tcPr>
          <w:p w14:paraId="77A2F9D2" w14:textId="77777777" w:rsidR="00BF4601" w:rsidRPr="00527AF3" w:rsidRDefault="00BF4601" w:rsidP="00527AF3">
            <w:pPr>
              <w:rPr>
                <w:sz w:val="20"/>
                <w:szCs w:val="20"/>
              </w:rPr>
            </w:pPr>
            <w:r w:rsidRPr="00527AF3">
              <w:rPr>
                <w:sz w:val="20"/>
                <w:szCs w:val="20"/>
              </w:rPr>
              <w:t>Use during pregnancy and lactation</w:t>
            </w:r>
          </w:p>
        </w:tc>
      </w:tr>
      <w:tr w:rsidR="00EB16B8" w:rsidRPr="00527AF3" w14:paraId="6E98F555" w14:textId="77777777" w:rsidTr="006771F2">
        <w:trPr>
          <w:trHeight w:val="140"/>
        </w:trPr>
        <w:tc>
          <w:tcPr>
            <w:tcW w:w="1612" w:type="dxa"/>
            <w:vMerge/>
          </w:tcPr>
          <w:p w14:paraId="1D269DD5" w14:textId="77777777" w:rsidR="00EB16B8" w:rsidRPr="00527AF3" w:rsidRDefault="00EB16B8" w:rsidP="00527AF3">
            <w:pPr>
              <w:rPr>
                <w:sz w:val="20"/>
                <w:szCs w:val="20"/>
              </w:rPr>
            </w:pPr>
          </w:p>
        </w:tc>
        <w:tc>
          <w:tcPr>
            <w:tcW w:w="3316" w:type="dxa"/>
          </w:tcPr>
          <w:p w14:paraId="6D81C872" w14:textId="77777777" w:rsidR="00EB16B8" w:rsidRPr="00527AF3" w:rsidRDefault="00EB16B8" w:rsidP="00527AF3">
            <w:pPr>
              <w:rPr>
                <w:sz w:val="20"/>
                <w:szCs w:val="20"/>
              </w:rPr>
            </w:pPr>
            <w:r w:rsidRPr="00527AF3">
              <w:rPr>
                <w:sz w:val="20"/>
                <w:szCs w:val="20"/>
              </w:rPr>
              <w:t>Paediatric Use &lt; 34 gestational age for persistent pulmonary hypertension of the newborn</w:t>
            </w:r>
          </w:p>
        </w:tc>
        <w:tc>
          <w:tcPr>
            <w:tcW w:w="3685" w:type="dxa"/>
          </w:tcPr>
          <w:p w14:paraId="26F3B5FA" w14:textId="77777777" w:rsidR="00EB16B8" w:rsidRPr="00527AF3" w:rsidRDefault="00EB16B8" w:rsidP="00527AF3">
            <w:pPr>
              <w:rPr>
                <w:sz w:val="20"/>
                <w:szCs w:val="20"/>
              </w:rPr>
            </w:pPr>
            <w:r w:rsidRPr="00527AF3">
              <w:rPr>
                <w:sz w:val="20"/>
                <w:szCs w:val="20"/>
              </w:rPr>
              <w:t>Paediatric Use &lt; 34 gestational age for persistent pulmonary hypertension of the newborn</w:t>
            </w:r>
          </w:p>
        </w:tc>
      </w:tr>
      <w:tr w:rsidR="00BF4601" w:rsidRPr="00527AF3" w14:paraId="198B9710" w14:textId="77777777" w:rsidTr="006771F2">
        <w:trPr>
          <w:trHeight w:val="140"/>
        </w:trPr>
        <w:tc>
          <w:tcPr>
            <w:tcW w:w="1612" w:type="dxa"/>
            <w:vMerge/>
          </w:tcPr>
          <w:p w14:paraId="7D08C2F3" w14:textId="77777777" w:rsidR="00BF4601" w:rsidRPr="00527AF3" w:rsidRDefault="00BF4601" w:rsidP="00527AF3">
            <w:pPr>
              <w:rPr>
                <w:sz w:val="20"/>
                <w:szCs w:val="20"/>
              </w:rPr>
            </w:pPr>
          </w:p>
        </w:tc>
        <w:tc>
          <w:tcPr>
            <w:tcW w:w="3316" w:type="dxa"/>
          </w:tcPr>
          <w:p w14:paraId="542BD4E5" w14:textId="77777777" w:rsidR="00BF4601" w:rsidRPr="00527AF3" w:rsidRDefault="00BF4601" w:rsidP="00527AF3">
            <w:pPr>
              <w:rPr>
                <w:sz w:val="20"/>
                <w:szCs w:val="20"/>
              </w:rPr>
            </w:pPr>
            <w:r w:rsidRPr="00527AF3">
              <w:rPr>
                <w:sz w:val="20"/>
                <w:szCs w:val="20"/>
              </w:rPr>
              <w:t>Patients 12</w:t>
            </w:r>
            <w:r w:rsidR="008B0479" w:rsidRPr="00527AF3">
              <w:rPr>
                <w:sz w:val="20"/>
                <w:szCs w:val="20"/>
              </w:rPr>
              <w:t xml:space="preserve"> to</w:t>
            </w:r>
            <w:r w:rsidRPr="00527AF3">
              <w:rPr>
                <w:sz w:val="20"/>
                <w:szCs w:val="20"/>
              </w:rPr>
              <w:t>17 years treated for pulmonary hypertension in conjunction with heart surgery</w:t>
            </w:r>
          </w:p>
        </w:tc>
        <w:tc>
          <w:tcPr>
            <w:tcW w:w="3685" w:type="dxa"/>
          </w:tcPr>
          <w:p w14:paraId="30932F55" w14:textId="77777777" w:rsidR="00BF4601" w:rsidRPr="00527AF3" w:rsidRDefault="00BF4601" w:rsidP="00527AF3">
            <w:pPr>
              <w:rPr>
                <w:sz w:val="20"/>
                <w:szCs w:val="20"/>
              </w:rPr>
            </w:pPr>
            <w:r w:rsidRPr="00527AF3">
              <w:rPr>
                <w:sz w:val="20"/>
                <w:szCs w:val="20"/>
              </w:rPr>
              <w:t>patients 12</w:t>
            </w:r>
            <w:r w:rsidR="008B0479" w:rsidRPr="00527AF3">
              <w:rPr>
                <w:sz w:val="20"/>
                <w:szCs w:val="20"/>
              </w:rPr>
              <w:t xml:space="preserve"> to</w:t>
            </w:r>
            <w:r w:rsidRPr="00527AF3">
              <w:rPr>
                <w:sz w:val="20"/>
                <w:szCs w:val="20"/>
              </w:rPr>
              <w:t>17 years treated for pulmonary hypertension in conjunction with heart surgery</w:t>
            </w:r>
          </w:p>
        </w:tc>
      </w:tr>
    </w:tbl>
    <w:p w14:paraId="1B2F09B8" w14:textId="0ECCD9D4" w:rsidR="00BF4601" w:rsidRDefault="00BF4601" w:rsidP="00BF4601">
      <w:r>
        <w:t xml:space="preserve">At </w:t>
      </w:r>
      <w:r w:rsidR="006C537A">
        <w:t>the second round</w:t>
      </w:r>
      <w:r>
        <w:t xml:space="preserve"> there were two remaining issues identified by the evaluator. These can be summarised as the provision of the sponsor’s proposed communication to health care professionals regarding the new indication prior to product launch, and the provision of the details of its plan to evaluate, evaluate, and report, the effectiveness of the additional risk minimisation activities outlined in the risk management plan. The evaluator has requested the sponsor include this information in the next updated version of the RMP, and post </w:t>
      </w:r>
      <w:r w:rsidR="006C537A">
        <w:t>second round</w:t>
      </w:r>
      <w:r>
        <w:t xml:space="preserve">, the sponsor has advised it will provide a copy of the updated RMP incorporating further information on the additional risk minimisation activities in </w:t>
      </w:r>
      <w:r>
        <w:lastRenderedPageBreak/>
        <w:t>February 2019. The sponsor has also advised it will provide a copy of its proposed health professional communication prior to launch of the product.</w:t>
      </w:r>
      <w:r w:rsidR="007A7B5A">
        <w:rPr>
          <w:rStyle w:val="FootnoteReference"/>
        </w:rPr>
        <w:footnoteReference w:id="59"/>
      </w:r>
    </w:p>
    <w:p w14:paraId="7694A790" w14:textId="77777777" w:rsidR="00BF4601" w:rsidRDefault="00BF4601" w:rsidP="00BF4601">
      <w:r>
        <w:t>This product is not proposed for the Black Triangle Scheme.</w:t>
      </w:r>
    </w:p>
    <w:p w14:paraId="3FED49B5" w14:textId="77777777" w:rsidR="008E7846" w:rsidRDefault="00AA0ED0" w:rsidP="008E7846">
      <w:pPr>
        <w:pStyle w:val="Heading3"/>
      </w:pPr>
      <w:bookmarkStart w:id="154" w:name="_Toc247691531"/>
      <w:bookmarkStart w:id="155" w:name="_Toc314842515"/>
      <w:bookmarkStart w:id="156" w:name="_Toc196046505"/>
      <w:bookmarkStart w:id="157" w:name="_Toc196046949"/>
      <w:bookmarkStart w:id="158" w:name="_Toc28009962"/>
      <w:r>
        <w:t>Risk-benefit a</w:t>
      </w:r>
      <w:r w:rsidR="008E7846">
        <w:t>nalysis</w:t>
      </w:r>
      <w:bookmarkEnd w:id="154"/>
      <w:bookmarkEnd w:id="155"/>
      <w:bookmarkEnd w:id="158"/>
    </w:p>
    <w:p w14:paraId="0D316B1D" w14:textId="7B350F3B" w:rsidR="00BF4601" w:rsidRDefault="00BF4601" w:rsidP="00BF4601">
      <w:r>
        <w:t>The evaluator has recommended the following condition of registration</w:t>
      </w:r>
      <w:r w:rsidR="00BB7C54">
        <w:t>:</w:t>
      </w:r>
    </w:p>
    <w:p w14:paraId="3BE70084" w14:textId="44B9CB61" w:rsidR="00BF4601" w:rsidRDefault="00BF4601" w:rsidP="006C537A">
      <w:pPr>
        <w:pStyle w:val="ListBullet"/>
      </w:pPr>
      <w:r>
        <w:t xml:space="preserve">The </w:t>
      </w:r>
      <w:proofErr w:type="spellStart"/>
      <w:r w:rsidR="00C40BA7">
        <w:t>INOmax</w:t>
      </w:r>
      <w:proofErr w:type="spellEnd"/>
      <w:r>
        <w:t xml:space="preserve"> Australian RMP (version 4, dated 23 October 2018, data lock point 31 January 2018) included with </w:t>
      </w:r>
      <w:r w:rsidR="008B0479">
        <w:t xml:space="preserve">this </w:t>
      </w:r>
      <w:r>
        <w:t>submission, and any subsequent revisions, as agreed with the TGA will be implemented in Australia.</w:t>
      </w:r>
    </w:p>
    <w:p w14:paraId="280B9EA6" w14:textId="77777777" w:rsidR="00BF4601" w:rsidRDefault="00BF4601" w:rsidP="00BF4601">
      <w:r>
        <w:t>The evaluator recommended the following wording as the PSUR requirement:</w:t>
      </w:r>
    </w:p>
    <w:p w14:paraId="60D1FFD9" w14:textId="77777777" w:rsidR="00BF4601" w:rsidRDefault="00BF4601" w:rsidP="00BB7C54">
      <w:r>
        <w:t>An obligatory component of risk management plans is routine pharmacovigilance. Routine pharmacovigilance includes the submission of periodic safety update reports (PSURs).</w:t>
      </w:r>
    </w:p>
    <w:p w14:paraId="735114DA" w14:textId="77777777" w:rsidR="00BF4601" w:rsidRDefault="00BF4601" w:rsidP="00BB7C54">
      <w:r>
        <w:t>Reports are to be provided in line with the current published list of EU reference dates and frequency of submission of PSURs until the period covered by such reports is not less than three years from the date of this approval letter.</w:t>
      </w:r>
    </w:p>
    <w:p w14:paraId="0899D40D" w14:textId="77777777" w:rsidR="00C15E92" w:rsidRPr="00BF4601" w:rsidRDefault="00C15E92" w:rsidP="004A1E4E">
      <w:r w:rsidRPr="00C15E9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1068BD15" w14:textId="77777777" w:rsidR="003B08F8" w:rsidRDefault="00D23139" w:rsidP="00D23139">
      <w:pPr>
        <w:pStyle w:val="Heading4"/>
      </w:pPr>
      <w:r w:rsidRPr="00D23139">
        <w:t>Delegate’s considerations</w:t>
      </w:r>
    </w:p>
    <w:p w14:paraId="1D2A979D" w14:textId="682DE560" w:rsidR="00C15E92" w:rsidRDefault="00C15E92" w:rsidP="00C15E92">
      <w:r>
        <w:t>The sponsor has provided a largely literature based submission to support its proposed extension of indications to include adults with pulmonary hypertension in cardiac surgery. This is supplemented by a single study</w:t>
      </w:r>
      <w:r w:rsidR="0019250C">
        <w:t xml:space="preserve">, Study </w:t>
      </w:r>
      <w:r w:rsidR="00BB39E5">
        <w:t>INOT41</w:t>
      </w:r>
      <w:r>
        <w:t xml:space="preserve">, considered of importance by the evaluator because it was the only clinical study report </w:t>
      </w:r>
      <w:r w:rsidR="00533F50">
        <w:t xml:space="preserve">to </w:t>
      </w:r>
      <w:r>
        <w:t>provide more detailed information, particularly about safety, than a publication.</w:t>
      </w:r>
    </w:p>
    <w:p w14:paraId="0607125E" w14:textId="77777777" w:rsidR="003B08F8" w:rsidRDefault="00C15E92" w:rsidP="00C15E92">
      <w:r>
        <w:t>Among the publications there was considerable heterogeneity in the study design, differences in the definition of pulmonary hypertension, differences in endpoints measured, and matters of interpretation and presentation of results that, while not unusual in literature based submissions, challenge the strength of the conclusions that can be drawn. Matters of internal inconsistency within individual papers were difficult to conclusively resolve. Many papers were reporting studies more than a decade old. Generally, the studies were small and many were underpowered for the comparisons made.</w:t>
      </w:r>
    </w:p>
    <w:p w14:paraId="585859B1" w14:textId="77777777" w:rsidR="003B08F8" w:rsidRDefault="00C15E92" w:rsidP="00C15E92">
      <w:r>
        <w:t xml:space="preserve">The outcomes reported were predominantly haemodynamic improvement rather than the typical harder clinical endpoints such as mortality, or number of ventilator days. Nitric oxide was frequently the ‘standard of care’ option when investigating a new agent so, as seen in other submissions, the study hypothesis and design was not necessarily aiming to address the question of efficacy or safety specifically for </w:t>
      </w:r>
      <w:r w:rsidR="00DC7D20">
        <w:t>inhaled nitric oxide</w:t>
      </w:r>
      <w:r>
        <w:t>.</w:t>
      </w:r>
    </w:p>
    <w:p w14:paraId="5075C852" w14:textId="77777777" w:rsidR="003B08F8" w:rsidRDefault="00C15E92" w:rsidP="00C15E92">
      <w:r>
        <w:t xml:space="preserve">Exposure to </w:t>
      </w:r>
      <w:r w:rsidR="00DC7D20">
        <w:t>inhaled nitric oxide</w:t>
      </w:r>
      <w:r>
        <w:t xml:space="preserve"> was variable from 10 minutes to more than 24 hours.</w:t>
      </w:r>
    </w:p>
    <w:p w14:paraId="5192D6A4" w14:textId="1DB602AD" w:rsidR="003B08F8" w:rsidRDefault="00C15E92" w:rsidP="00C15E92">
      <w:r>
        <w:t xml:space="preserve">Patients undergoing cardiac surgery had indications including valve replacement, heart transplant and </w:t>
      </w:r>
      <w:r w:rsidR="00BB39E5">
        <w:t>left ventricular assist device</w:t>
      </w:r>
      <w:r>
        <w:t xml:space="preserve"> placement. A range of ages </w:t>
      </w:r>
      <w:r w:rsidR="00076C8F">
        <w:t xml:space="preserve">was </w:t>
      </w:r>
      <w:r>
        <w:t>represented including small numbers of elderly patients.</w:t>
      </w:r>
    </w:p>
    <w:p w14:paraId="09413E27" w14:textId="77777777" w:rsidR="003B08F8" w:rsidRDefault="00C15E92" w:rsidP="00C15E92">
      <w:r>
        <w:lastRenderedPageBreak/>
        <w:t xml:space="preserve">Many of the studies included dosing in the range of 20 </w:t>
      </w:r>
      <w:r w:rsidR="008B0479">
        <w:t>to</w:t>
      </w:r>
      <w:r>
        <w:t xml:space="preserve"> 40 ppm proposed. There was no clear dose-dependent efficacy response over the range 10 </w:t>
      </w:r>
      <w:r w:rsidR="008B0479">
        <w:t>to</w:t>
      </w:r>
      <w:r>
        <w:t xml:space="preserve"> 80 ppm.</w:t>
      </w:r>
    </w:p>
    <w:p w14:paraId="26FA1937" w14:textId="53DC75A0" w:rsidR="003B08F8" w:rsidRDefault="00C15E92" w:rsidP="00C15E92">
      <w:r>
        <w:t xml:space="preserve">The haemodynamic effects of </w:t>
      </w:r>
      <w:r w:rsidR="00DC7D20">
        <w:t>inhaled nitric oxide</w:t>
      </w:r>
      <w:r>
        <w:t xml:space="preserve"> on the pulmonary circulation and the pulmonary selectivity of </w:t>
      </w:r>
      <w:r w:rsidR="00DC7D20">
        <w:t>inhaled nitric oxide</w:t>
      </w:r>
      <w:r>
        <w:t xml:space="preserve"> compared with other inhaled or systemic vasodilators in adult patients undergoing has been demonstrated in </w:t>
      </w:r>
      <w:r w:rsidR="0019250C">
        <w:t xml:space="preserve">Study </w:t>
      </w:r>
      <w:r w:rsidR="00BB39E5">
        <w:t>INOT41</w:t>
      </w:r>
      <w:r>
        <w:t xml:space="preserve"> and in the majority of the literature. Pulmonary selectivity in adults has been shown in comparison studies with systemic vasodilators. A reduction in </w:t>
      </w:r>
      <w:r w:rsidR="00BB39E5">
        <w:t>pulmonary vascular resistance</w:t>
      </w:r>
      <w:r>
        <w:t xml:space="preserve"> and </w:t>
      </w:r>
      <w:r w:rsidR="000E74EA">
        <w:t>mean pulmonary</w:t>
      </w:r>
      <w:r w:rsidR="00BB39E5">
        <w:t xml:space="preserve"> arterial pressure</w:t>
      </w:r>
      <w:r>
        <w:t xml:space="preserve"> in a number of settings including valve replacement, heart transplant, </w:t>
      </w:r>
      <w:r w:rsidR="00BB39E5">
        <w:t>left ventricular assist device</w:t>
      </w:r>
      <w:r>
        <w:t xml:space="preserve"> insertion and </w:t>
      </w:r>
      <w:r w:rsidR="00EB16B8">
        <w:t>coronary artery bypass graft</w:t>
      </w:r>
      <w:r>
        <w:t xml:space="preserve"> compared with baseline have been shown, and overall, the body of evidence supports this understanding and is consistent with the literature supporting the use of </w:t>
      </w:r>
      <w:r w:rsidR="00DC7D20">
        <w:t>inhaled nitric oxide</w:t>
      </w:r>
      <w:r>
        <w:t xml:space="preserve"> in children.</w:t>
      </w:r>
    </w:p>
    <w:p w14:paraId="63A60B8D" w14:textId="77777777" w:rsidR="003B08F8" w:rsidRDefault="00C15E92" w:rsidP="00C15E92">
      <w:r>
        <w:t xml:space="preserve">An impact on right ventricular function may be extrapolated from a reduction in </w:t>
      </w:r>
      <w:r w:rsidR="00BB39E5">
        <w:t>pulmonary vascular resistance</w:t>
      </w:r>
      <w:r>
        <w:t xml:space="preserve"> and </w:t>
      </w:r>
      <w:r w:rsidR="000E74EA">
        <w:t>mean pulmonary</w:t>
      </w:r>
      <w:r w:rsidR="00BB39E5">
        <w:t xml:space="preserve"> arterial pressure</w:t>
      </w:r>
      <w:r>
        <w:t xml:space="preserve"> but few studies included direct measurements. Improvements in oxygenation were not a key feature of the studies included, and there are issues with other factors affecting pulmonary function in the ventilated, peri-operative patient, including fluid overload making the measurements reported more difficult to interpret, particularly as many of the studies have very small patient numbers.</w:t>
      </w:r>
    </w:p>
    <w:p w14:paraId="7415FF61" w14:textId="54E75332" w:rsidR="003B08F8" w:rsidRDefault="0019250C" w:rsidP="00C15E92">
      <w:r>
        <w:t xml:space="preserve">Study </w:t>
      </w:r>
      <w:r w:rsidR="00BB39E5">
        <w:t>INOT41</w:t>
      </w:r>
      <w:r w:rsidR="00C15E92">
        <w:t xml:space="preserve"> was underpowered and had a negative outcome for </w:t>
      </w:r>
      <w:r w:rsidR="00DC7D20">
        <w:t>inhaled nitric oxide</w:t>
      </w:r>
      <w:r w:rsidR="00C15E92">
        <w:t xml:space="preserve"> for the prevention of right ventricular failure. As noted by the evaluator, early switching to open-label </w:t>
      </w:r>
      <w:r w:rsidR="00DC7D20">
        <w:t>inhaled nitric oxide</w:t>
      </w:r>
      <w:r w:rsidR="00C15E92">
        <w:t xml:space="preserve"> before reaching the formal criteria for switching has potentially influenced the outcome of this study.</w:t>
      </w:r>
    </w:p>
    <w:p w14:paraId="0AF3204E" w14:textId="51B3F3FC" w:rsidR="003B08F8" w:rsidRDefault="00C15E92" w:rsidP="00C15E92">
      <w:r>
        <w:t xml:space="preserve">Nevertheless, </w:t>
      </w:r>
      <w:r w:rsidR="0019250C">
        <w:t xml:space="preserve">Study </w:t>
      </w:r>
      <w:r w:rsidR="00BB39E5">
        <w:t>INOT41</w:t>
      </w:r>
      <w:r>
        <w:t xml:space="preserve"> provides the most comprehensive assessment of safety in the adult population. Limited safety information is included from literature with additional information from case reports. Overall, the known safety concerns of rebound pulmonary hypertension and the risk of pulmonary hypertensive crisis with sudden withdrawal of </w:t>
      </w:r>
      <w:r w:rsidR="00DC7D20">
        <w:t>inhaled nitric oxide</w:t>
      </w:r>
      <w:r>
        <w:t xml:space="preserve"> are well known and serious AEs including deaths have resulted. Monitoring for NO</w:t>
      </w:r>
      <w:r w:rsidRPr="00931948">
        <w:rPr>
          <w:vertAlign w:val="subscript"/>
        </w:rPr>
        <w:t>2</w:t>
      </w:r>
      <w:r>
        <w:t xml:space="preserve"> and </w:t>
      </w:r>
      <w:proofErr w:type="spellStart"/>
      <w:r w:rsidR="00931948">
        <w:rPr>
          <w:rFonts w:eastAsia="TimesNewRoman"/>
        </w:rPr>
        <w:t>metHB</w:t>
      </w:r>
      <w:proofErr w:type="spellEnd"/>
      <w:r>
        <w:t xml:space="preserve">, both of which are potentially dose related adverse effects of </w:t>
      </w:r>
      <w:r w:rsidR="00DC7D20">
        <w:t>inhaled nitric oxide</w:t>
      </w:r>
      <w:r>
        <w:t xml:space="preserve"> are supported by the safety information, although this is largely extrapolated from other sources and managed as a known effect in the literature. No new safety signals were derived from the review of the literature,</w:t>
      </w:r>
      <w:r w:rsidR="0019250C">
        <w:t xml:space="preserve"> Study </w:t>
      </w:r>
      <w:r w:rsidR="00BB39E5">
        <w:t>INOT41</w:t>
      </w:r>
      <w:r>
        <w:t xml:space="preserve"> and the PSURs.</w:t>
      </w:r>
    </w:p>
    <w:p w14:paraId="2C2B11C0" w14:textId="77777777" w:rsidR="00C15E92" w:rsidRDefault="00C15E92" w:rsidP="008B0479">
      <w:pPr>
        <w:pStyle w:val="Heading5"/>
      </w:pPr>
      <w:r>
        <w:t>Indication</w:t>
      </w:r>
    </w:p>
    <w:p w14:paraId="0B54BC2F" w14:textId="77777777" w:rsidR="00C15E92" w:rsidRDefault="00C15E92" w:rsidP="00C15E92">
      <w:r>
        <w:t xml:space="preserve">The sponsor has requested an indication for treatment of </w:t>
      </w:r>
      <w:r w:rsidR="008B0479">
        <w:t>pulmonary hypertension</w:t>
      </w:r>
      <w:r>
        <w:t xml:space="preserve"> in all patients in the setting of peri-and postoperative setting and the range of setting is noted above and would appear representative of expected use.</w:t>
      </w:r>
    </w:p>
    <w:p w14:paraId="4CC40AD9" w14:textId="77777777" w:rsidR="00C15E92" w:rsidRDefault="00C15E92" w:rsidP="00C15E92">
      <w:r>
        <w:t>The indication claims to decrease in pulmonary arterial pressure, and improve right ventricular function and oxygenation, and the ACM’s advice regarding the indication is sought regarding the claims in the wording for the reasons outlined below.</w:t>
      </w:r>
    </w:p>
    <w:p w14:paraId="17E11461" w14:textId="77777777" w:rsidR="00C15E92" w:rsidRDefault="00C15E92" w:rsidP="00C15E92">
      <w:r>
        <w:t>Across the studies pulmonary artery pressure reduction was commonly reported, with significant reductions from baseline and against inactive comparators. These reductions were seen in a range of patients groups. The collective evidence provides sufficient support for the claim of reduction in pulmonary artery pressure proposed by the sponsor for the indication in adult patients. Pulmonary selectivity was demonstrated in a number of studies against systemic vasodilators and the collective evidence is considered sufficient to support this aspect of the indication in adult patients.</w:t>
      </w:r>
    </w:p>
    <w:p w14:paraId="30D79625" w14:textId="04B0DA0B" w:rsidR="00C15E92" w:rsidRDefault="00C15E92" w:rsidP="00C15E92">
      <w:r>
        <w:t>A few of the adult studies included oxygenation as a specific</w:t>
      </w:r>
      <w:r w:rsidR="00F601A9">
        <w:t xml:space="preserve"> endpoint. As examples, in Khan;</w:t>
      </w:r>
      <w:r w:rsidR="008024D2" w:rsidRPr="008024D2">
        <w:rPr>
          <w:vertAlign w:val="superscript"/>
        </w:rPr>
        <w:fldChar w:fldCharType="begin"/>
      </w:r>
      <w:r w:rsidR="008024D2" w:rsidRPr="008024D2">
        <w:rPr>
          <w:vertAlign w:val="superscript"/>
        </w:rPr>
        <w:instrText xml:space="preserve"> NOTEREF _Ref25843937 \h  \* MERGEFORMAT </w:instrText>
      </w:r>
      <w:r w:rsidR="008024D2" w:rsidRPr="008024D2">
        <w:rPr>
          <w:vertAlign w:val="superscript"/>
        </w:rPr>
      </w:r>
      <w:r w:rsidR="008024D2" w:rsidRPr="008024D2">
        <w:rPr>
          <w:vertAlign w:val="superscript"/>
        </w:rPr>
        <w:fldChar w:fldCharType="separate"/>
      </w:r>
      <w:r w:rsidR="008024D2" w:rsidRPr="008024D2">
        <w:rPr>
          <w:vertAlign w:val="superscript"/>
        </w:rPr>
        <w:t>21</w:t>
      </w:r>
      <w:r w:rsidR="008024D2" w:rsidRPr="008024D2">
        <w:rPr>
          <w:vertAlign w:val="superscript"/>
        </w:rPr>
        <w:fldChar w:fldCharType="end"/>
      </w:r>
      <w:r>
        <w:t xml:space="preserve"> </w:t>
      </w:r>
      <w:r w:rsidR="00DC7D20">
        <w:t>inhaled nitric oxide</w:t>
      </w:r>
      <w:r>
        <w:t xml:space="preserve"> did not affect the oxygenation index, in </w:t>
      </w:r>
      <w:proofErr w:type="spellStart"/>
      <w:r>
        <w:t>Knothe</w:t>
      </w:r>
      <w:proofErr w:type="spellEnd"/>
      <w:r w:rsidR="00EB16B8">
        <w:t xml:space="preserve"> et al.</w:t>
      </w:r>
      <w:r w:rsidR="00F601A9">
        <w:t>;</w:t>
      </w:r>
      <w:r w:rsidR="008024D2" w:rsidRPr="008168B3">
        <w:rPr>
          <w:vertAlign w:val="superscript"/>
        </w:rPr>
        <w:fldChar w:fldCharType="begin"/>
      </w:r>
      <w:r w:rsidR="008024D2" w:rsidRPr="008168B3">
        <w:rPr>
          <w:vertAlign w:val="superscript"/>
        </w:rPr>
        <w:instrText xml:space="preserve"> NOTEREF _Ref25843632 \h </w:instrText>
      </w:r>
      <w:r w:rsidR="008168B3" w:rsidRPr="008168B3">
        <w:rPr>
          <w:vertAlign w:val="superscript"/>
        </w:rPr>
        <w:instrText xml:space="preserve"> \* MERGEFORMAT </w:instrText>
      </w:r>
      <w:r w:rsidR="008024D2" w:rsidRPr="008168B3">
        <w:rPr>
          <w:vertAlign w:val="superscript"/>
        </w:rPr>
      </w:r>
      <w:r w:rsidR="008024D2" w:rsidRPr="008168B3">
        <w:rPr>
          <w:vertAlign w:val="superscript"/>
        </w:rPr>
        <w:fldChar w:fldCharType="separate"/>
      </w:r>
      <w:r w:rsidR="008024D2" w:rsidRPr="008168B3">
        <w:rPr>
          <w:vertAlign w:val="superscript"/>
        </w:rPr>
        <w:t>22</w:t>
      </w:r>
      <w:r w:rsidR="008024D2" w:rsidRPr="008168B3">
        <w:rPr>
          <w:vertAlign w:val="superscript"/>
        </w:rPr>
        <w:fldChar w:fldCharType="end"/>
      </w:r>
      <w:r w:rsidRPr="00EB16B8">
        <w:rPr>
          <w:vertAlign w:val="superscript"/>
        </w:rPr>
        <w:t xml:space="preserve"> </w:t>
      </w:r>
      <w:r>
        <w:t xml:space="preserve">there were no important differences between the groups in oxygenation status, and oxygenation </w:t>
      </w:r>
      <w:r>
        <w:lastRenderedPageBreak/>
        <w:t xml:space="preserve">was improved from baseline in </w:t>
      </w:r>
      <w:proofErr w:type="spellStart"/>
      <w:r>
        <w:t>Winterhalter</w:t>
      </w:r>
      <w:proofErr w:type="spellEnd"/>
      <w:r w:rsidR="00EB16B8">
        <w:t xml:space="preserve"> et al.</w:t>
      </w:r>
      <w:r w:rsidR="00F601A9">
        <w:t>;</w:t>
      </w:r>
      <w:r w:rsidR="008168B3" w:rsidRPr="008168B3">
        <w:rPr>
          <w:vertAlign w:val="superscript"/>
        </w:rPr>
        <w:fldChar w:fldCharType="begin"/>
      </w:r>
      <w:r w:rsidR="008168B3" w:rsidRPr="008168B3">
        <w:rPr>
          <w:vertAlign w:val="superscript"/>
        </w:rPr>
        <w:instrText xml:space="preserve"> NOTEREF _Ref25843903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12</w:t>
      </w:r>
      <w:r w:rsidR="008168B3" w:rsidRPr="008168B3">
        <w:rPr>
          <w:vertAlign w:val="superscript"/>
        </w:rPr>
        <w:fldChar w:fldCharType="end"/>
      </w:r>
      <w:r>
        <w:t xml:space="preserve"> but there was no difference in the between group comparison. It is unclear whether sufficient direct evidence has been provided to support this claim for the indication.</w:t>
      </w:r>
    </w:p>
    <w:p w14:paraId="59A7D92A" w14:textId="75A526E2" w:rsidR="00C15E92" w:rsidRDefault="00C15E92" w:rsidP="00C15E92">
      <w:r>
        <w:t xml:space="preserve">Direct measurements of right ventricular function were included in only some studies: in </w:t>
      </w:r>
      <w:r w:rsidR="0019250C">
        <w:t xml:space="preserve">Study </w:t>
      </w:r>
      <w:r w:rsidR="00BB39E5">
        <w:t>INOT41</w:t>
      </w:r>
      <w:r>
        <w:t xml:space="preserve"> right ventricular failure was the efficacy outcome measure, however this was a negative study with only a trend for differences between </w:t>
      </w:r>
      <w:r w:rsidR="00DC7D20">
        <w:t>inhaled nitric oxide</w:t>
      </w:r>
      <w:r>
        <w:t xml:space="preserve"> and placebo. </w:t>
      </w:r>
      <w:proofErr w:type="spellStart"/>
      <w:r>
        <w:t>Knothe</w:t>
      </w:r>
      <w:proofErr w:type="spellEnd"/>
      <w:r w:rsidR="00EB16B8">
        <w:t xml:space="preserve"> et al.</w:t>
      </w:r>
      <w:r w:rsidR="007F6489">
        <w:t>;</w:t>
      </w:r>
      <w:r w:rsidR="008168B3" w:rsidRPr="008168B3">
        <w:rPr>
          <w:vertAlign w:val="superscript"/>
        </w:rPr>
        <w:fldChar w:fldCharType="begin"/>
      </w:r>
      <w:r w:rsidR="008168B3" w:rsidRPr="008168B3">
        <w:rPr>
          <w:vertAlign w:val="superscript"/>
        </w:rPr>
        <w:instrText xml:space="preserve"> NOTEREF _Ref25843632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22</w:t>
      </w:r>
      <w:r w:rsidR="008168B3" w:rsidRPr="008168B3">
        <w:rPr>
          <w:vertAlign w:val="superscript"/>
        </w:rPr>
        <w:fldChar w:fldCharType="end"/>
      </w:r>
      <w:r w:rsidR="007F6489">
        <w:t xml:space="preserve"> </w:t>
      </w:r>
      <w:r>
        <w:t xml:space="preserve">mentions there were no changes seen in directly measured parameters for right ventricular function, </w:t>
      </w:r>
      <w:proofErr w:type="spellStart"/>
      <w:r>
        <w:t>Schmid</w:t>
      </w:r>
      <w:proofErr w:type="spellEnd"/>
      <w:r w:rsidR="00EB16B8">
        <w:t xml:space="preserve"> et al</w:t>
      </w:r>
      <w:r w:rsidR="007F6489">
        <w:t>;</w:t>
      </w:r>
      <w:r w:rsidR="008168B3" w:rsidRPr="008168B3">
        <w:rPr>
          <w:vertAlign w:val="superscript"/>
        </w:rPr>
        <w:fldChar w:fldCharType="begin"/>
      </w:r>
      <w:r w:rsidR="008168B3" w:rsidRPr="008168B3">
        <w:rPr>
          <w:vertAlign w:val="superscript"/>
        </w:rPr>
        <w:instrText xml:space="preserve"> NOTEREF _Ref20404887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11</w:t>
      </w:r>
      <w:r w:rsidR="008168B3" w:rsidRPr="008168B3">
        <w:rPr>
          <w:vertAlign w:val="superscript"/>
        </w:rPr>
        <w:fldChar w:fldCharType="end"/>
      </w:r>
      <w:r>
        <w:t xml:space="preserve"> found no change in </w:t>
      </w:r>
      <w:r w:rsidR="00EB16B8">
        <w:t>right ventricular ejection fraction</w:t>
      </w:r>
      <w:r>
        <w:t xml:space="preserve"> with </w:t>
      </w:r>
      <w:r w:rsidR="00DC7D20">
        <w:t>inhaled nitric oxide</w:t>
      </w:r>
      <w:r>
        <w:t xml:space="preserve"> and no reduction in intrapulmonary shunting, but </w:t>
      </w:r>
      <w:proofErr w:type="spellStart"/>
      <w:r>
        <w:t>Fattouch</w:t>
      </w:r>
      <w:proofErr w:type="spellEnd"/>
      <w:r w:rsidR="00EB16B8">
        <w:t xml:space="preserve"> et al.</w:t>
      </w:r>
      <w:r>
        <w:t xml:space="preserve"> 2006</w:t>
      </w:r>
      <w:r w:rsidR="007F6489">
        <w:t>;</w:t>
      </w:r>
      <w:r w:rsidR="008168B3" w:rsidRPr="008168B3">
        <w:rPr>
          <w:vertAlign w:val="superscript"/>
        </w:rPr>
        <w:fldChar w:fldCharType="begin"/>
      </w:r>
      <w:r w:rsidR="008168B3" w:rsidRPr="008168B3">
        <w:rPr>
          <w:vertAlign w:val="superscript"/>
        </w:rPr>
        <w:instrText xml:space="preserve"> NOTEREF _Ref25843875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9</w:t>
      </w:r>
      <w:r w:rsidR="008168B3" w:rsidRPr="008168B3">
        <w:rPr>
          <w:vertAlign w:val="superscript"/>
        </w:rPr>
        <w:fldChar w:fldCharType="end"/>
      </w:r>
      <w:r>
        <w:t xml:space="preserve"> showed improvement in </w:t>
      </w:r>
      <w:r w:rsidR="008B0479">
        <w:t xml:space="preserve">right ventricular ejection fraction </w:t>
      </w:r>
      <w:r>
        <w:t>against control. Only a small number of patients contributed data to these findings, raising a question as to whether the evidence is sufficiently robust for these claims in adult patients.</w:t>
      </w:r>
      <w:r w:rsidR="00D42948">
        <w:t xml:space="preserve"> </w:t>
      </w:r>
      <w:r>
        <w:t xml:space="preserve">Although there are indirect measures and improvement in </w:t>
      </w:r>
      <w:r w:rsidR="00BB39E5">
        <w:t>pulmonary vascular resistance</w:t>
      </w:r>
      <w:r>
        <w:t xml:space="preserve"> and </w:t>
      </w:r>
      <w:r w:rsidR="000E74EA">
        <w:t>mean pulmonary</w:t>
      </w:r>
      <w:r w:rsidR="00BB39E5">
        <w:t xml:space="preserve"> arterial pressure</w:t>
      </w:r>
      <w:r>
        <w:t xml:space="preserve"> may be anticipated to allow improvement in right ventricular function, but the issue is whether there has been consistent demonstration across the range of studies sufficient to support this claim in the indication.</w:t>
      </w:r>
    </w:p>
    <w:p w14:paraId="1743044A" w14:textId="77777777" w:rsidR="00C15E92" w:rsidRDefault="00C15E92" w:rsidP="008B0479">
      <w:pPr>
        <w:pStyle w:val="Heading5"/>
      </w:pPr>
      <w:r>
        <w:t>Dose</w:t>
      </w:r>
    </w:p>
    <w:p w14:paraId="0108512B" w14:textId="77777777" w:rsidR="003B08F8" w:rsidRDefault="00C15E92" w:rsidP="00C15E92">
      <w:r>
        <w:t>One of the main considerations for this submission is the dosing. There was not a clear efficacy dose-response relationship demonstrated in the literature for inhaled nitric oxide.</w:t>
      </w:r>
    </w:p>
    <w:p w14:paraId="371EA0A2" w14:textId="7277A0E3" w:rsidR="00C15E92" w:rsidRDefault="00C15E92" w:rsidP="00C15E92">
      <w:r>
        <w:t xml:space="preserve">In adults the sponsor proposes a starting dose of 20 ppm, in contrast to the 10 ppm for children. The majority of the studies in the submission have a commencing dose of 20 ppm with some including </w:t>
      </w:r>
      <w:r w:rsidR="0019250C">
        <w:t xml:space="preserve">Study </w:t>
      </w:r>
      <w:r w:rsidR="00BB39E5">
        <w:t>INOT41</w:t>
      </w:r>
      <w:r>
        <w:t xml:space="preserve"> starting at 40 ppm. </w:t>
      </w:r>
      <w:proofErr w:type="spellStart"/>
      <w:r>
        <w:t>Solina</w:t>
      </w:r>
      <w:proofErr w:type="spellEnd"/>
      <w:r w:rsidR="00EB16B8">
        <w:t xml:space="preserve"> et al.</w:t>
      </w:r>
      <w:r>
        <w:t xml:space="preserve"> 2001</w:t>
      </w:r>
      <w:r w:rsidR="007F6489">
        <w:t>;</w:t>
      </w:r>
      <w:r w:rsidR="008168B3" w:rsidRPr="008168B3">
        <w:rPr>
          <w:vertAlign w:val="superscript"/>
        </w:rPr>
        <w:fldChar w:fldCharType="begin"/>
      </w:r>
      <w:r w:rsidR="008168B3" w:rsidRPr="008168B3">
        <w:rPr>
          <w:vertAlign w:val="superscript"/>
        </w:rPr>
        <w:instrText xml:space="preserve"> NOTEREF _Ref25844324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14</w:t>
      </w:r>
      <w:r w:rsidR="008168B3" w:rsidRPr="008168B3">
        <w:rPr>
          <w:vertAlign w:val="superscript"/>
        </w:rPr>
        <w:fldChar w:fldCharType="end"/>
      </w:r>
      <w:r>
        <w:t xml:space="preserve"> showed a post-baseline 38% reduction in </w:t>
      </w:r>
      <w:r w:rsidR="00BB39E5">
        <w:t>pulmonary vascular resistance</w:t>
      </w:r>
      <w:r>
        <w:t xml:space="preserve"> with </w:t>
      </w:r>
      <w:r w:rsidR="00DC7D20">
        <w:t>inhaled nitric oxide</w:t>
      </w:r>
      <w:r>
        <w:t xml:space="preserve">10 ppm. In that study there was no placebo group for comparison to assess whether this is reflected an expected improvement in </w:t>
      </w:r>
      <w:r w:rsidR="00BB39E5">
        <w:t>pulmonary vascular resistance</w:t>
      </w:r>
      <w:r>
        <w:t xml:space="preserve"> off </w:t>
      </w:r>
      <w:r w:rsidR="00EB16B8">
        <w:t>cardiopulmonary bypass</w:t>
      </w:r>
      <w:r>
        <w:t xml:space="preserve">. Also, in </w:t>
      </w:r>
      <w:proofErr w:type="spellStart"/>
      <w:r>
        <w:t>Fernandes</w:t>
      </w:r>
      <w:proofErr w:type="spellEnd"/>
      <w:r w:rsidR="00EB16B8">
        <w:t xml:space="preserve"> et al.</w:t>
      </w:r>
      <w:r w:rsidR="007F6489">
        <w:t>;</w:t>
      </w:r>
      <w:r w:rsidR="008168B3" w:rsidRPr="008168B3">
        <w:rPr>
          <w:vertAlign w:val="superscript"/>
        </w:rPr>
        <w:fldChar w:fldCharType="begin"/>
      </w:r>
      <w:r w:rsidR="008168B3" w:rsidRPr="008168B3">
        <w:rPr>
          <w:vertAlign w:val="superscript"/>
        </w:rPr>
        <w:instrText xml:space="preserve"> NOTEREF _Ref25843676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20</w:t>
      </w:r>
      <w:r w:rsidR="008168B3" w:rsidRPr="008168B3">
        <w:rPr>
          <w:vertAlign w:val="superscript"/>
        </w:rPr>
        <w:fldChar w:fldCharType="end"/>
      </w:r>
      <w:r w:rsidR="00493F1B">
        <w:t xml:space="preserve">, </w:t>
      </w:r>
      <w:r>
        <w:t xml:space="preserve">although the evaluator took issue with the reporting of some of the results there was agreement of a significant post baseline improvement in </w:t>
      </w:r>
      <w:r w:rsidR="00BB39E5">
        <w:t>pulmonary vascular resistance</w:t>
      </w:r>
      <w:r>
        <w:t xml:space="preserve"> and that is reached statistical significant over placebo oxygen at 48 hours. As such, there may be a case for commencing at 10 ppm with upward titration if there is not a rapid response.</w:t>
      </w:r>
    </w:p>
    <w:p w14:paraId="2D0541AB" w14:textId="76D33E28" w:rsidR="003B08F8" w:rsidRDefault="00C15E92" w:rsidP="00C15E92">
      <w:r>
        <w:t xml:space="preserve">The major concern is the maximum dose. In this submission there are new data describing the use of </w:t>
      </w:r>
      <w:r w:rsidR="00DC7D20">
        <w:t>inhaled nitric oxide</w:t>
      </w:r>
      <w:r>
        <w:t xml:space="preserve"> at 40 ppm, particularly from </w:t>
      </w:r>
      <w:r w:rsidR="0019250C">
        <w:t xml:space="preserve">Study </w:t>
      </w:r>
      <w:r w:rsidR="00BB39E5">
        <w:t>INOT41</w:t>
      </w:r>
      <w:r w:rsidR="0019250C">
        <w:t xml:space="preserve"> </w:t>
      </w:r>
      <w:r>
        <w:t xml:space="preserve"> that provided 69 additional patients to the safety set from the literature for this dose. In this submission 154 patients were exposed to a dose of 40 ppm, including the 69 patients in </w:t>
      </w:r>
      <w:r w:rsidR="0019250C">
        <w:t xml:space="preserve">Study </w:t>
      </w:r>
      <w:r w:rsidR="00BB39E5">
        <w:t>INOT41</w:t>
      </w:r>
      <w:r>
        <w:t>.</w:t>
      </w:r>
    </w:p>
    <w:p w14:paraId="3DB501C2" w14:textId="77777777" w:rsidR="003B08F8" w:rsidRDefault="00C15E92" w:rsidP="00C15E92">
      <w:r>
        <w:t>There is a concern from nonclinical data the regarding possible pulmonary toxicity, in particular with doses over 20 ppm. A literature based submission limits the detail of the safety analysis to that reported in the publications and it is possible that lack of response attributed to other factors may have been related in part to pulmonary toxicity. There is no direct evidence to support this concern although none of the publications have addressed this question specifically.</w:t>
      </w:r>
    </w:p>
    <w:p w14:paraId="641131A3" w14:textId="77777777" w:rsidR="003B08F8" w:rsidRDefault="00C15E92" w:rsidP="00C15E92">
      <w:r>
        <w:t xml:space="preserve">In some </w:t>
      </w:r>
      <w:r w:rsidR="007F6489">
        <w:t>studies,</w:t>
      </w:r>
      <w:r>
        <w:t xml:space="preserve"> consequences of higher doses included </w:t>
      </w:r>
      <w:proofErr w:type="spellStart"/>
      <w:r w:rsidR="00931948">
        <w:rPr>
          <w:rFonts w:eastAsia="TimesNewRoman"/>
        </w:rPr>
        <w:t>metHB</w:t>
      </w:r>
      <w:proofErr w:type="spellEnd"/>
      <w:r>
        <w:t xml:space="preserve"> and increases in </w:t>
      </w:r>
      <w:r w:rsidR="008B0479">
        <w:t>nitrogen dioxide</w:t>
      </w:r>
      <w:r>
        <w:t>, however these effects were not found in all studies of 40 ppm dosing, and in other studies were reported for lower doses.</w:t>
      </w:r>
    </w:p>
    <w:p w14:paraId="02AA22F8" w14:textId="1DCEED65" w:rsidR="003B08F8" w:rsidRDefault="00C15E92" w:rsidP="00C15E92">
      <w:r>
        <w:t>Efficacy data to support the 40 ppm dose was mixed. For example</w:t>
      </w:r>
      <w:r w:rsidR="00EB16B8">
        <w:t>,</w:t>
      </w:r>
      <w:r>
        <w:t xml:space="preserve"> </w:t>
      </w:r>
      <w:proofErr w:type="spellStart"/>
      <w:r>
        <w:t>Solina</w:t>
      </w:r>
      <w:proofErr w:type="spellEnd"/>
      <w:r w:rsidR="00EB16B8">
        <w:t xml:space="preserve"> et al.</w:t>
      </w:r>
      <w:r>
        <w:t xml:space="preserve"> 2000</w:t>
      </w:r>
      <w:r w:rsidR="007F6489">
        <w:t>;</w:t>
      </w:r>
      <w:r w:rsidR="008168B3" w:rsidRPr="008168B3">
        <w:rPr>
          <w:vertAlign w:val="superscript"/>
        </w:rPr>
        <w:fldChar w:fldCharType="begin"/>
      </w:r>
      <w:r w:rsidR="008168B3" w:rsidRPr="008168B3">
        <w:rPr>
          <w:vertAlign w:val="superscript"/>
        </w:rPr>
        <w:instrText xml:space="preserve"> NOTEREF _Ref25843707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13</w:t>
      </w:r>
      <w:r w:rsidR="008168B3" w:rsidRPr="008168B3">
        <w:rPr>
          <w:vertAlign w:val="superscript"/>
        </w:rPr>
        <w:fldChar w:fldCharType="end"/>
      </w:r>
      <w:r>
        <w:t xml:space="preserve"> showed improvement in </w:t>
      </w:r>
      <w:r w:rsidR="008B0479">
        <w:t>right ventricular ejection fraction</w:t>
      </w:r>
      <w:r w:rsidR="003B08F8">
        <w:t xml:space="preserve"> </w:t>
      </w:r>
      <w:r>
        <w:t xml:space="preserve">by the time of ICU arrival with 40 ppm over 20 ppm and </w:t>
      </w:r>
      <w:proofErr w:type="spellStart"/>
      <w:r>
        <w:t>milrinone</w:t>
      </w:r>
      <w:proofErr w:type="spellEnd"/>
      <w:r>
        <w:t xml:space="preserve"> but the dose was not different from the 20 ppm and </w:t>
      </w:r>
      <w:proofErr w:type="spellStart"/>
      <w:r>
        <w:t>milrinone</w:t>
      </w:r>
      <w:proofErr w:type="spellEnd"/>
      <w:r>
        <w:t xml:space="preserve"> comparators for the many other haemodynamic parameters measured.</w:t>
      </w:r>
      <w:r w:rsidR="00D42948">
        <w:t xml:space="preserve"> </w:t>
      </w:r>
      <w:r>
        <w:t xml:space="preserve">Efficacy (events of right ventricular failure) was also not demonstrated for 40 ppm in </w:t>
      </w:r>
      <w:r w:rsidR="0019250C">
        <w:t>Study</w:t>
      </w:r>
      <w:r w:rsidR="00ED4EF9">
        <w:t> </w:t>
      </w:r>
      <w:r w:rsidR="00BB39E5">
        <w:t>INOT41</w:t>
      </w:r>
      <w:r>
        <w:t>. However</w:t>
      </w:r>
      <w:r w:rsidR="007F6489">
        <w:t>,</w:t>
      </w:r>
      <w:r>
        <w:t xml:space="preserve"> </w:t>
      </w:r>
      <w:proofErr w:type="spellStart"/>
      <w:r>
        <w:t>Solina</w:t>
      </w:r>
      <w:proofErr w:type="spellEnd"/>
      <w:r>
        <w:t xml:space="preserve"> </w:t>
      </w:r>
      <w:r w:rsidR="00EB16B8">
        <w:t xml:space="preserve">et al. </w:t>
      </w:r>
      <w:r>
        <w:t>2001</w:t>
      </w:r>
      <w:r w:rsidR="007F6489">
        <w:t>;</w:t>
      </w:r>
      <w:r w:rsidR="008168B3" w:rsidRPr="008168B3">
        <w:rPr>
          <w:vertAlign w:val="superscript"/>
        </w:rPr>
        <w:fldChar w:fldCharType="begin"/>
      </w:r>
      <w:r w:rsidR="008168B3" w:rsidRPr="008168B3">
        <w:rPr>
          <w:vertAlign w:val="superscript"/>
        </w:rPr>
        <w:instrText xml:space="preserve"> NOTEREF _Ref25844324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14</w:t>
      </w:r>
      <w:r w:rsidR="008168B3" w:rsidRPr="008168B3">
        <w:rPr>
          <w:vertAlign w:val="superscript"/>
        </w:rPr>
        <w:fldChar w:fldCharType="end"/>
      </w:r>
      <w:r>
        <w:t xml:space="preserve"> did not show benefit for </w:t>
      </w:r>
      <w:r w:rsidR="00BB39E5">
        <w:t xml:space="preserve">pulmonary vascular </w:t>
      </w:r>
      <w:r w:rsidR="00BB39E5">
        <w:lastRenderedPageBreak/>
        <w:t>resistance</w:t>
      </w:r>
      <w:r>
        <w:t xml:space="preserve"> reduction between the 20 ppm (50% reduction) and the 40 ppm (36% reduction) dosing groups.</w:t>
      </w:r>
    </w:p>
    <w:p w14:paraId="540C3505" w14:textId="780F90C7" w:rsidR="00C15E92" w:rsidRDefault="00C15E92" w:rsidP="00C15E92">
      <w:r>
        <w:t>The sponsor proposes, in response to the recommendations of the clinical evaluator, that although the general maximum dose is 20 ppm, under exceptional and in infrequent circumstances for patients with refractory pulmonary hypertension a dose of 40 ppm could be considered, there is limited direct evidence of use of this dose as rescue therapy.</w:t>
      </w:r>
      <w:r w:rsidR="00D42948">
        <w:t xml:space="preserve"> </w:t>
      </w:r>
      <w:r>
        <w:t xml:space="preserve">The advice of the </w:t>
      </w:r>
      <w:r w:rsidR="0019250C">
        <w:t>Advisory Committee on Medicines (</w:t>
      </w:r>
      <w:r>
        <w:t>ACM</w:t>
      </w:r>
      <w:r w:rsidR="0019250C">
        <w:t>)</w:t>
      </w:r>
      <w:r>
        <w:t xml:space="preserve"> is sought on the adequacy of the evidence to support the 40 ppm maximum dosing as requested by the sponsor, and whether the starting dose should be the same as for children.</w:t>
      </w:r>
    </w:p>
    <w:p w14:paraId="735AF21C" w14:textId="77777777" w:rsidR="00C15E92" w:rsidRDefault="00C15E92" w:rsidP="008B0479">
      <w:pPr>
        <w:pStyle w:val="Heading5"/>
      </w:pPr>
      <w:r>
        <w:t>Data deficiencies</w:t>
      </w:r>
    </w:p>
    <w:p w14:paraId="0306FF3B" w14:textId="77777777" w:rsidR="003B08F8" w:rsidRDefault="00C15E92" w:rsidP="00C15E92">
      <w:r>
        <w:t>This is predominantly a literature based submission. Limitations of such submissions include publication bias, although with the number of negative studies presented this seems not to be an issue, inconsistent definition of the condition treated and the measurement of the endpoints used. Generally, with a literature based submission the evaluator is unable to ask further questions of the data or seek clarification regarding the results or conclusions drawn. Some of the literature is over two decades old. Standard of care, and other confounders such as patient selection for surgery, surgical and anaesthetic techniques have evolved over time, limiting the generalisability of some of these studies. While some residual uncertainty could be resolved with a large contemporary study this is unlikely to be conducted.</w:t>
      </w:r>
    </w:p>
    <w:p w14:paraId="3E7A3301" w14:textId="77777777" w:rsidR="00C15E92" w:rsidRDefault="00C15E92" w:rsidP="00C15E92">
      <w:r>
        <w:t>There are limited data on the use in pregnancy or lactating patients. Because of other risks of cardiac surgery in pregnancy it is expected that such data may be difficult to interpret.</w:t>
      </w:r>
    </w:p>
    <w:p w14:paraId="71038C86" w14:textId="77777777" w:rsidR="00C15E92" w:rsidRDefault="00C15E92" w:rsidP="008B0479">
      <w:pPr>
        <w:pStyle w:val="Heading5"/>
      </w:pPr>
      <w:r>
        <w:t>Special populations</w:t>
      </w:r>
    </w:p>
    <w:p w14:paraId="3032D562" w14:textId="77777777" w:rsidR="003B08F8" w:rsidRDefault="00C15E92" w:rsidP="00C15E92">
      <w:r>
        <w:t>No new paediatric data were included however because the indication extension was specifically for adults this was noted but not considered a specific deficiency in the submission.</w:t>
      </w:r>
    </w:p>
    <w:p w14:paraId="2930EF3D" w14:textId="77777777" w:rsidR="00C15E92" w:rsidRDefault="00C15E92" w:rsidP="008B0479">
      <w:pPr>
        <w:pStyle w:val="Heading5"/>
      </w:pPr>
      <w:r>
        <w:t>Conclusion</w:t>
      </w:r>
    </w:p>
    <w:p w14:paraId="5556BA72" w14:textId="77777777" w:rsidR="003B08F8" w:rsidRDefault="00C15E92" w:rsidP="00C15E92">
      <w:r>
        <w:t xml:space="preserve">These types of submissions for indications in small patient groups in settings of off-label use over decades can be challenging when applying contemporary evidentiary standards. This submission has included a number of publications where methodological issues or lack of clarity or inconsistency in the report of results have limited the conclusions that can be drawn. Many of the studies were not designed to address the clinical efficacy of </w:t>
      </w:r>
      <w:r w:rsidR="00DC7D20">
        <w:t>inhaled nitric oxide</w:t>
      </w:r>
      <w:r>
        <w:t xml:space="preserve"> using hard clinical endpoints but were designed to address the utility of </w:t>
      </w:r>
      <w:r w:rsidR="00DC7D20">
        <w:t>inhaled nitric oxide</w:t>
      </w:r>
      <w:r>
        <w:t xml:space="preserve"> and other therapies for the short term modification of haemodynamic endpoints relating to the pulmonary vasculature.</w:t>
      </w:r>
    </w:p>
    <w:p w14:paraId="7B3B8598" w14:textId="77777777" w:rsidR="003B08F8" w:rsidRDefault="00C15E92" w:rsidP="00C15E92">
      <w:r>
        <w:t xml:space="preserve">The interpretation of the data and the contribution of each study to the overall understanding of the place of </w:t>
      </w:r>
      <w:r w:rsidR="00DC7D20">
        <w:t>inhaled nitric oxide</w:t>
      </w:r>
      <w:r>
        <w:t xml:space="preserve"> in peri-and post-operative cardiac surgical management takes into account, decades of use off-label, and to some extent extrapolation from knowledge in the paediatric data. Some reassurance of the similarity of the effects on the pulmonary vasculature has been demonstrated including a consistent reduction in </w:t>
      </w:r>
      <w:r w:rsidR="000E74EA">
        <w:t>mean pulmonary</w:t>
      </w:r>
      <w:r w:rsidR="00BB39E5">
        <w:t xml:space="preserve"> arterial pressure</w:t>
      </w:r>
      <w:r>
        <w:t xml:space="preserve"> and pulmonary vascular resistance across broad patient groups. Data are less robust to demonstrate direct improvements in right ventricular function although it could be argued that a reduction in </w:t>
      </w:r>
      <w:r w:rsidR="00BB39E5">
        <w:t>pulmonary vascular resistance</w:t>
      </w:r>
      <w:r>
        <w:t xml:space="preserve"> should result in improved </w:t>
      </w:r>
      <w:r w:rsidR="008B0479">
        <w:t>right ventricular ejection fraction</w:t>
      </w:r>
      <w:r>
        <w:t>.</w:t>
      </w:r>
    </w:p>
    <w:p w14:paraId="358124C9" w14:textId="77777777" w:rsidR="00456765" w:rsidRDefault="00C15E92" w:rsidP="00C15E92">
      <w:r>
        <w:t xml:space="preserve">Overall, and on balance, taking into consideration the evidence presented in the submission notwithstanding its limitations, decades of use internationally either approved or off-label in adults, and the proposal that use of </w:t>
      </w:r>
      <w:r w:rsidR="00DC7D20">
        <w:t>inhaled nitric oxide</w:t>
      </w:r>
      <w:r>
        <w:t xml:space="preserve"> is restricted to situations directly supervised by specialists experienced in managing the complexities of patient in the peri-and postoperative surgical environment, the preliminary conclusion is </w:t>
      </w:r>
      <w:r>
        <w:lastRenderedPageBreak/>
        <w:t xml:space="preserve">favourable for </w:t>
      </w:r>
      <w:r w:rsidR="00DC7D20">
        <w:t>inhaled nitric oxide</w:t>
      </w:r>
      <w:r>
        <w:t xml:space="preserve"> for the proposed use. However, the advice of the ACM is sought regarding dosing and some aspects of the wording of the indication.</w:t>
      </w:r>
    </w:p>
    <w:p w14:paraId="366D0391" w14:textId="77777777" w:rsidR="00BF4601" w:rsidRDefault="00BF4601" w:rsidP="008B0479">
      <w:pPr>
        <w:pStyle w:val="Heading5"/>
      </w:pPr>
      <w:r>
        <w:t>Summary of issues</w:t>
      </w:r>
    </w:p>
    <w:p w14:paraId="0F2EB5A2" w14:textId="77777777" w:rsidR="00BF4601" w:rsidRDefault="00BF4601" w:rsidP="006771F2">
      <w:pPr>
        <w:pStyle w:val="ListBullet"/>
      </w:pPr>
      <w:r>
        <w:t>Whether there is sufficient evidence to support all the elements of the wording of the requested indication as it applies to adults. In particular, whether there is sufficient direct evidence of improvement in right ventricular function and oxygenation to support the claims.</w:t>
      </w:r>
    </w:p>
    <w:p w14:paraId="0DFAC72B" w14:textId="77777777" w:rsidR="003B08F8" w:rsidRDefault="00BF4601" w:rsidP="006771F2">
      <w:pPr>
        <w:pStyle w:val="ListBullet"/>
      </w:pPr>
      <w:r>
        <w:t>Whether sufficient evidence has been presented to support the efficacy and safety of 40 ppm as the maximum dose for adults, in the dosing regimen proposed.</w:t>
      </w:r>
    </w:p>
    <w:p w14:paraId="68B782C0" w14:textId="77777777" w:rsidR="00BF4601" w:rsidRDefault="00BF4601" w:rsidP="006771F2">
      <w:pPr>
        <w:pStyle w:val="ListBullet"/>
      </w:pPr>
      <w:r>
        <w:t xml:space="preserve">Whether the adult dosing regimen should commence with </w:t>
      </w:r>
      <w:r w:rsidR="00DC7D20">
        <w:t>inhaled nitric oxide</w:t>
      </w:r>
      <w:r>
        <w:t xml:space="preserve"> 10 ppm.</w:t>
      </w:r>
    </w:p>
    <w:p w14:paraId="6320008D" w14:textId="77777777" w:rsidR="00C15E92" w:rsidRDefault="00C15E92" w:rsidP="008B0479">
      <w:pPr>
        <w:pStyle w:val="Heading4"/>
      </w:pPr>
      <w:r>
        <w:t>Conditions of registration</w:t>
      </w:r>
    </w:p>
    <w:p w14:paraId="5DC20447" w14:textId="77777777" w:rsidR="00C15E92" w:rsidRDefault="00C15E92" w:rsidP="00C15E92">
      <w:r>
        <w:t>The following is the proposed condition of registration for nitric oxide:</w:t>
      </w:r>
    </w:p>
    <w:p w14:paraId="772AF693" w14:textId="2BA54D15" w:rsidR="00C15E92" w:rsidRDefault="00C15E92" w:rsidP="006C537A">
      <w:pPr>
        <w:ind w:left="567"/>
      </w:pPr>
      <w:r>
        <w:t xml:space="preserve">The </w:t>
      </w:r>
      <w:proofErr w:type="spellStart"/>
      <w:r w:rsidR="00C40BA7">
        <w:t>INOmax</w:t>
      </w:r>
      <w:proofErr w:type="spellEnd"/>
      <w:r>
        <w:t xml:space="preserve"> Australian RMP (version 4, dated 23 October 2018, data lock point 31 January 2018) included with </w:t>
      </w:r>
      <w:r w:rsidR="008B0479">
        <w:t>this submission</w:t>
      </w:r>
      <w:r>
        <w:t>, and any subsequent revisions, as agreed with the TGA will be implemented in Australia.</w:t>
      </w:r>
    </w:p>
    <w:p w14:paraId="46425CFD" w14:textId="77777777" w:rsidR="00C15E92" w:rsidRDefault="00C15E92" w:rsidP="006C537A">
      <w:pPr>
        <w:ind w:left="567"/>
      </w:pPr>
      <w:r>
        <w:t>An obligatory component of risk management plans is routine pharmacovigilance. Routine pharmacovigilance includes the submission of periodic safety update reports (PSURs).</w:t>
      </w:r>
    </w:p>
    <w:p w14:paraId="7AF62BDA" w14:textId="77777777" w:rsidR="003B08F8" w:rsidRDefault="00C15E92" w:rsidP="006C537A">
      <w:pPr>
        <w:ind w:left="567"/>
      </w:pPr>
      <w:r>
        <w:t>Reports are to be provided in line with the current published list of EU reference dates and frequency of submission of PSURs until the period covered by such reports is not less than three years from the date of this approval letter.</w:t>
      </w:r>
    </w:p>
    <w:p w14:paraId="50FD3125" w14:textId="77777777" w:rsidR="003B08F8" w:rsidRDefault="00C15E92" w:rsidP="006C537A">
      <w:pPr>
        <w:ind w:left="567"/>
      </w:pPr>
      <w:r>
        <w:t>The reports are to at least meet the requirements for PSURs as described in the European Medicines Agency’s Guideline on good pharmacovigilance practices Module VII-periodic safety update report (Rev 1), Part VII.B Structures and processes. Note that submission of a PSUR does not constitute an application to vary the registration.</w:t>
      </w:r>
    </w:p>
    <w:p w14:paraId="1C534876" w14:textId="77777777" w:rsidR="00C15E92" w:rsidRDefault="00C15E92" w:rsidP="008B0479">
      <w:pPr>
        <w:pStyle w:val="Heading5"/>
      </w:pPr>
      <w:r>
        <w:t>Questions for sponsor</w:t>
      </w:r>
    </w:p>
    <w:p w14:paraId="420F9F8C" w14:textId="77777777" w:rsidR="00C15E92" w:rsidRDefault="00C15E92" w:rsidP="008B0479">
      <w:pPr>
        <w:pStyle w:val="Numberbullet0"/>
      </w:pPr>
      <w:r>
        <w:t xml:space="preserve">The clinical evaluator has noted an estimate of the total of patients exposed to </w:t>
      </w:r>
      <w:r w:rsidR="00DC7D20">
        <w:t>inhaled nitric oxide</w:t>
      </w:r>
      <w:r>
        <w:t>. If possible, please provide an estimate of the exposure in adults in the post-market setting. How do the adverse events differ by age?</w:t>
      </w:r>
    </w:p>
    <w:p w14:paraId="6C689F0A" w14:textId="77777777" w:rsidR="003B08F8" w:rsidRDefault="00C15E92" w:rsidP="008B0479">
      <w:pPr>
        <w:pStyle w:val="Numberbullet0"/>
      </w:pPr>
      <w:r>
        <w:t>Please provide an estimate of the number of patients aged &gt;</w:t>
      </w:r>
      <w:r w:rsidR="006C537A">
        <w:t xml:space="preserve"> </w:t>
      </w:r>
      <w:r>
        <w:t>70 years and &gt;</w:t>
      </w:r>
      <w:r w:rsidR="006771F2">
        <w:t> </w:t>
      </w:r>
      <w:r>
        <w:t>80</w:t>
      </w:r>
      <w:r w:rsidR="006771F2">
        <w:t> </w:t>
      </w:r>
      <w:r>
        <w:t>years were included in the literature and in the safety information in the post-market setting?</w:t>
      </w:r>
    </w:p>
    <w:p w14:paraId="04AA3307" w14:textId="77777777" w:rsidR="00C15E92" w:rsidRPr="00456765" w:rsidRDefault="00C15E92" w:rsidP="008B0479">
      <w:pPr>
        <w:pStyle w:val="Numberbullet0"/>
      </w:pPr>
      <w:r>
        <w:t xml:space="preserve">The sponsor has included an upper limit of mean exposure to </w:t>
      </w:r>
      <w:r w:rsidR="008B0479">
        <w:t>nitric oxide</w:t>
      </w:r>
      <w:r>
        <w:t xml:space="preserve"> for personnel in the PI? Please advise whether this exposure limit is consistent with current Australian legislation.</w:t>
      </w:r>
    </w:p>
    <w:p w14:paraId="107458B4" w14:textId="77777777" w:rsidR="00D23139" w:rsidRDefault="00D23139" w:rsidP="00D23139">
      <w:pPr>
        <w:pStyle w:val="Heading4"/>
      </w:pPr>
      <w:r w:rsidRPr="00D23139">
        <w:t>Proposed action</w:t>
      </w:r>
    </w:p>
    <w:p w14:paraId="5A7BBDF7" w14:textId="77777777" w:rsidR="00456765" w:rsidRPr="00456765" w:rsidRDefault="000B694E" w:rsidP="00456765">
      <w:r>
        <w:t>The Delegate has</w:t>
      </w:r>
      <w:r w:rsidR="00BF4601" w:rsidRPr="00BF4601">
        <w:t xml:space="preserve"> no reason to say, at this time, that the application for nitric oxide (</w:t>
      </w:r>
      <w:proofErr w:type="spellStart"/>
      <w:r w:rsidR="00C40BA7">
        <w:t>INOmax</w:t>
      </w:r>
      <w:proofErr w:type="spellEnd"/>
      <w:r w:rsidR="00BF4601" w:rsidRPr="00BF4601">
        <w:t>) should not be approved. The wording of the indication is an issue for which the ACM’s advice is sought.</w:t>
      </w:r>
    </w:p>
    <w:p w14:paraId="58339EFF" w14:textId="77777777" w:rsidR="00D23139" w:rsidRDefault="00A22D57" w:rsidP="00D23139">
      <w:pPr>
        <w:pStyle w:val="Heading4"/>
      </w:pPr>
      <w:r>
        <w:t>Request for AC</w:t>
      </w:r>
      <w:r w:rsidR="00D23139" w:rsidRPr="00D23139">
        <w:t>M advice</w:t>
      </w:r>
    </w:p>
    <w:p w14:paraId="4F67768D" w14:textId="77777777" w:rsidR="00BF4601" w:rsidRDefault="00BF4601" w:rsidP="00BF4601">
      <w:r>
        <w:t>The committee is requested to provide advice on the following specific issues:</w:t>
      </w:r>
    </w:p>
    <w:p w14:paraId="4F3BD7DD" w14:textId="77777777" w:rsidR="00BF4601" w:rsidRPr="008B0479" w:rsidRDefault="00BF4601" w:rsidP="006C537A">
      <w:pPr>
        <w:pStyle w:val="Numberbullet0"/>
        <w:numPr>
          <w:ilvl w:val="0"/>
          <w:numId w:val="34"/>
        </w:numPr>
      </w:pPr>
      <w:r w:rsidRPr="008B0479">
        <w:lastRenderedPageBreak/>
        <w:t>Has sufficient evidence been provided to support the claim of treatment of pulmonary hypertension in adult patients undergoing cardiac surgery, or should the indication be limited to haemodynamic effects?</w:t>
      </w:r>
    </w:p>
    <w:p w14:paraId="45D50E8E" w14:textId="77777777" w:rsidR="00BF4601" w:rsidRDefault="00BF4601" w:rsidP="006C537A">
      <w:pPr>
        <w:pStyle w:val="Numberbullet0"/>
        <w:numPr>
          <w:ilvl w:val="0"/>
          <w:numId w:val="34"/>
        </w:numPr>
      </w:pPr>
      <w:r w:rsidRPr="008B0479">
        <w:t>Has sufficient evidence been provided to support the proposed maximum 40 ppm dosing</w:t>
      </w:r>
      <w:r>
        <w:t xml:space="preserve"> in adults? Should adult dosing commence at 10 ppm?</w:t>
      </w:r>
    </w:p>
    <w:p w14:paraId="199C2C30" w14:textId="77777777" w:rsidR="00456765" w:rsidRPr="00456765" w:rsidRDefault="00BF4601" w:rsidP="00BF4601">
      <w:r>
        <w:t>The committee is (also) requested to provide advice on any other issues that it thinks may be relevant to a decision on whether or not to approve this application.</w:t>
      </w:r>
    </w:p>
    <w:p w14:paraId="1757F5AC" w14:textId="77777777" w:rsidR="00D23139" w:rsidRDefault="00456765" w:rsidP="00C15E92">
      <w:pPr>
        <w:pStyle w:val="Heading4"/>
      </w:pPr>
      <w:r>
        <w:t xml:space="preserve">Response from </w:t>
      </w:r>
      <w:r w:rsidR="009402F9">
        <w:t>sponsor</w:t>
      </w:r>
    </w:p>
    <w:p w14:paraId="24787EDC" w14:textId="77777777" w:rsidR="00C15E92" w:rsidRPr="00ED4EF9" w:rsidRDefault="008B0479" w:rsidP="00C15E92">
      <w:pPr>
        <w:rPr>
          <w:b/>
          <w:i/>
        </w:rPr>
      </w:pPr>
      <w:r w:rsidRPr="008B0479">
        <w:rPr>
          <w:b/>
          <w:i/>
        </w:rPr>
        <w:t xml:space="preserve">Question </w:t>
      </w:r>
      <w:r w:rsidR="00C15E92" w:rsidRPr="008B0479">
        <w:rPr>
          <w:b/>
          <w:i/>
        </w:rPr>
        <w:t>1</w:t>
      </w:r>
      <w:r w:rsidRPr="008B0479">
        <w:rPr>
          <w:b/>
          <w:i/>
        </w:rPr>
        <w:t>:</w:t>
      </w:r>
      <w:r w:rsidR="00527AF3">
        <w:rPr>
          <w:b/>
          <w:i/>
        </w:rPr>
        <w:t xml:space="preserve"> </w:t>
      </w:r>
      <w:r w:rsidR="00C15E92" w:rsidRPr="00ED4EF9">
        <w:rPr>
          <w:b/>
          <w:i/>
        </w:rPr>
        <w:t>Has sufficient evidence been provided to support the claim of treatment of pulmonary hypertension in adult patients undergoing cardiac surgery, or should the indication be limited to haemodynamic effects?</w:t>
      </w:r>
    </w:p>
    <w:p w14:paraId="3DA77A51" w14:textId="77777777" w:rsidR="00C15E92" w:rsidRDefault="00C15E92" w:rsidP="00C15E92">
      <w:r>
        <w:t xml:space="preserve">The </w:t>
      </w:r>
      <w:r w:rsidR="009402F9">
        <w:t>sponsor</w:t>
      </w:r>
      <w:r>
        <w:t xml:space="preserve"> believes that sufficient evidence has been provided to demonstrate efficacy and safety</w:t>
      </w:r>
      <w:r w:rsidR="00D42948">
        <w:t xml:space="preserve"> </w:t>
      </w:r>
      <w:r>
        <w:t xml:space="preserve">of </w:t>
      </w:r>
      <w:proofErr w:type="spellStart"/>
      <w:r w:rsidR="00C40BA7">
        <w:t>INOmax</w:t>
      </w:r>
      <w:proofErr w:type="spellEnd"/>
      <w:r>
        <w:t xml:space="preserve"> for the treatment of pulmonary hypertension in adult patients undergoing cardiac surgery and therefore the indication should not be limited to haemodynamic effects only. The wording of the proposed indication is in line with the EU indication approved in 2011, current off-label clinical practice in Australia and the clinical data submitted in this application.</w:t>
      </w:r>
    </w:p>
    <w:p w14:paraId="5D0C3856" w14:textId="69F0D9B4" w:rsidR="00C15E92" w:rsidRDefault="00C15E92" w:rsidP="00C15E92">
      <w:r>
        <w:t xml:space="preserve">The clinical data consist of </w:t>
      </w:r>
      <w:r w:rsidR="009402F9">
        <w:t>sponsor</w:t>
      </w:r>
      <w:r>
        <w:t xml:space="preserve"> </w:t>
      </w:r>
      <w:r w:rsidR="0019250C">
        <w:t xml:space="preserve">Study </w:t>
      </w:r>
      <w:r w:rsidR="00BB39E5">
        <w:t>INOT41</w:t>
      </w:r>
      <w:r>
        <w:t xml:space="preserve"> and a number of published </w:t>
      </w:r>
      <w:r w:rsidR="00525573">
        <w:t>randomised clinical trials</w:t>
      </w:r>
      <w:r>
        <w:t xml:space="preserve">. Since the majority of </w:t>
      </w:r>
      <w:r w:rsidR="00525573">
        <w:t>randomised clinical trials</w:t>
      </w:r>
      <w:r>
        <w:t xml:space="preserve"> submitted have been conducted as independent trials, they are heterogeneous with regard to populations, endpoints, control treatments, and when in the peri-operative course treatment has been implemented. Also the duration of </w:t>
      </w:r>
      <w:r w:rsidR="00DC7D20">
        <w:t>inhaled nitric oxide</w:t>
      </w:r>
      <w:r>
        <w:t xml:space="preserve"> administration varies from short term exposures to treatment lasting for several days. The limited size (usually 10</w:t>
      </w:r>
      <w:r w:rsidR="00525573">
        <w:t xml:space="preserve"> to </w:t>
      </w:r>
      <w:r>
        <w:t>35</w:t>
      </w:r>
      <w:r w:rsidR="0019250C">
        <w:t> </w:t>
      </w:r>
      <w:r>
        <w:t xml:space="preserve">patients) published studies have focused on haemodynamic endpoints such as the rapid and selective effects of </w:t>
      </w:r>
      <w:r w:rsidR="00DC7D20">
        <w:t>inhaled nitric oxide</w:t>
      </w:r>
      <w:r>
        <w:t xml:space="preserve"> on pulmonary vascular resistance (</w:t>
      </w:r>
      <w:r w:rsidR="00BB39E5">
        <w:t>pulmonary vascular resistance</w:t>
      </w:r>
      <w:r>
        <w:t>) and pulmonary arterial hypertension and oxygenation saturation. High pulmonary pressure interferes with clinical management of the patient and is a recognised marker for poor prognosis and in</w:t>
      </w:r>
      <w:r w:rsidR="0091439A">
        <w:t xml:space="preserve">creased morbidity and </w:t>
      </w:r>
      <w:r w:rsidR="0091439A" w:rsidRPr="0091439A">
        <w:t>mortality</w:t>
      </w:r>
      <w:r w:rsidR="007F6489">
        <w:t>.</w:t>
      </w:r>
      <w:r w:rsidR="004452B9" w:rsidRPr="0091439A">
        <w:rPr>
          <w:rStyle w:val="FootnoteReference"/>
        </w:rPr>
        <w:footnoteReference w:id="60"/>
      </w:r>
    </w:p>
    <w:p w14:paraId="38DA1CF3" w14:textId="30CBBF3D" w:rsidR="00C15E92" w:rsidRDefault="00C15E92" w:rsidP="00C15E92">
      <w:r>
        <w:t>Studies investigating clinical endpoints such as the occurrence of pulmonary hypertensive crises and right ventricular failure generally require larger patient numbers to have sufficient statistical power. Still, a number of the presented studies (</w:t>
      </w:r>
      <w:r w:rsidR="0019250C">
        <w:t xml:space="preserve">Study </w:t>
      </w:r>
      <w:r w:rsidR="00BB39E5">
        <w:t>INOT41</w:t>
      </w:r>
      <w:r>
        <w:t xml:space="preserve">, </w:t>
      </w:r>
      <w:proofErr w:type="spellStart"/>
      <w:r>
        <w:t>Fattouch</w:t>
      </w:r>
      <w:proofErr w:type="spellEnd"/>
      <w:r>
        <w:t xml:space="preserve"> 2006</w:t>
      </w:r>
      <w:r w:rsidR="007F6489">
        <w:t>;</w:t>
      </w:r>
      <w:r w:rsidR="008168B3" w:rsidRPr="008168B3">
        <w:rPr>
          <w:vertAlign w:val="superscript"/>
        </w:rPr>
        <w:fldChar w:fldCharType="begin"/>
      </w:r>
      <w:r w:rsidR="008168B3" w:rsidRPr="008168B3">
        <w:rPr>
          <w:vertAlign w:val="superscript"/>
        </w:rPr>
        <w:instrText xml:space="preserve"> NOTEREF _Ref25843875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9</w:t>
      </w:r>
      <w:r w:rsidR="008168B3" w:rsidRPr="008168B3">
        <w:rPr>
          <w:vertAlign w:val="superscript"/>
        </w:rPr>
        <w:fldChar w:fldCharType="end"/>
      </w:r>
      <w:r>
        <w:t xml:space="preserve"> </w:t>
      </w:r>
      <w:proofErr w:type="spellStart"/>
      <w:r>
        <w:t>Fernandes</w:t>
      </w:r>
      <w:proofErr w:type="spellEnd"/>
      <w:r>
        <w:t xml:space="preserve"> 2011</w:t>
      </w:r>
      <w:r w:rsidR="007F6489">
        <w:t>;</w:t>
      </w:r>
      <w:r w:rsidR="008168B3" w:rsidRPr="008168B3">
        <w:rPr>
          <w:vertAlign w:val="superscript"/>
        </w:rPr>
        <w:fldChar w:fldCharType="begin"/>
      </w:r>
      <w:r w:rsidR="008168B3" w:rsidRPr="008168B3">
        <w:rPr>
          <w:vertAlign w:val="superscript"/>
        </w:rPr>
        <w:instrText xml:space="preserve"> NOTEREF _Ref25843676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20</w:t>
      </w:r>
      <w:r w:rsidR="008168B3" w:rsidRPr="008168B3">
        <w:rPr>
          <w:vertAlign w:val="superscript"/>
        </w:rPr>
        <w:fldChar w:fldCharType="end"/>
      </w:r>
      <w:r>
        <w:t xml:space="preserve"> </w:t>
      </w:r>
      <w:proofErr w:type="spellStart"/>
      <w:r>
        <w:t>Rajek</w:t>
      </w:r>
      <w:proofErr w:type="spellEnd"/>
      <w:r>
        <w:t>, 2000</w:t>
      </w:r>
      <w:r w:rsidR="007F6489">
        <w:t>;</w:t>
      </w:r>
      <w:r w:rsidR="008168B3" w:rsidRPr="008168B3">
        <w:rPr>
          <w:vertAlign w:val="superscript"/>
        </w:rPr>
        <w:fldChar w:fldCharType="begin"/>
      </w:r>
      <w:r w:rsidR="008168B3" w:rsidRPr="008168B3">
        <w:rPr>
          <w:vertAlign w:val="superscript"/>
        </w:rPr>
        <w:instrText xml:space="preserve"> NOTEREF _Ref25843771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16</w:t>
      </w:r>
      <w:r w:rsidR="008168B3" w:rsidRPr="008168B3">
        <w:rPr>
          <w:vertAlign w:val="superscript"/>
        </w:rPr>
        <w:fldChar w:fldCharType="end"/>
      </w:r>
      <w:r>
        <w:t xml:space="preserve">) have shown statistically significant effects of </w:t>
      </w:r>
      <w:proofErr w:type="spellStart"/>
      <w:r w:rsidR="00C40BA7">
        <w:t>INOmax</w:t>
      </w:r>
      <w:proofErr w:type="spellEnd"/>
      <w:r>
        <w:t xml:space="preserve"> (p</w:t>
      </w:r>
      <w:r w:rsidR="00525573">
        <w:t xml:space="preserve"> </w:t>
      </w:r>
      <w:r>
        <w:t>&lt;</w:t>
      </w:r>
      <w:r w:rsidR="00525573">
        <w:t xml:space="preserve"> </w:t>
      </w:r>
      <w:r>
        <w:t xml:space="preserve">0.05) for clinical endpoints such as pulmonary hypertensive crises, time to </w:t>
      </w:r>
      <w:proofErr w:type="spellStart"/>
      <w:r>
        <w:t>extubation</w:t>
      </w:r>
      <w:proofErr w:type="spellEnd"/>
      <w:r>
        <w:t>, weaning rate, time in ICU, reduced use of systemic vasoactive agents.</w:t>
      </w:r>
    </w:p>
    <w:p w14:paraId="22956AB9" w14:textId="77777777" w:rsidR="00C15E92" w:rsidRDefault="00C15E92" w:rsidP="00C15E92">
      <w:r>
        <w:t xml:space="preserve">The wording of the </w:t>
      </w:r>
      <w:r w:rsidR="009402F9">
        <w:t>sponsor</w:t>
      </w:r>
      <w:r>
        <w:t xml:space="preserve">’s proposed indication for treatment of </w:t>
      </w:r>
      <w:r w:rsidR="00525573">
        <w:t>pulmonary hypertension</w:t>
      </w:r>
      <w:r>
        <w:t xml:space="preserve"> in adults undergoing cardiac surgery is supported by International Clinical Guidelines as follows:</w:t>
      </w:r>
    </w:p>
    <w:p w14:paraId="592C09E1" w14:textId="15F234FC" w:rsidR="00C15E92" w:rsidRDefault="00C15E92" w:rsidP="00F86E3E">
      <w:pPr>
        <w:pStyle w:val="ListBullet"/>
      </w:pPr>
      <w:r>
        <w:t xml:space="preserve">EU consensus for </w:t>
      </w:r>
      <w:r w:rsidR="00DC7D20">
        <w:t>inhaled nitric oxide</w:t>
      </w:r>
      <w:r>
        <w:t xml:space="preserve"> use</w:t>
      </w:r>
      <w:r w:rsidR="0019250C">
        <w:t>;</w:t>
      </w:r>
      <w:r w:rsidR="00463098">
        <w:rPr>
          <w:rStyle w:val="FootnoteReference"/>
        </w:rPr>
        <w:footnoteReference w:id="61"/>
      </w:r>
      <w:r>
        <w:t xml:space="preserve"> states: </w:t>
      </w:r>
      <w:r w:rsidR="0019250C">
        <w:t>‘</w:t>
      </w:r>
      <w:r>
        <w:t xml:space="preserve">Clinical experience suggests that in patients with confirmed right ventricular dysfunction and elevated </w:t>
      </w:r>
      <w:r w:rsidR="00BB39E5">
        <w:t>pulmonary vascular resistance</w:t>
      </w:r>
      <w:r>
        <w:t xml:space="preserve">, use of </w:t>
      </w:r>
      <w:r w:rsidR="00DC7D20">
        <w:t>inhaled nitric oxide</w:t>
      </w:r>
      <w:r>
        <w:t xml:space="preserve"> may result in haemodynamic improvement when used during or after cardiac surgery.</w:t>
      </w:r>
      <w:r w:rsidR="0019250C">
        <w:t>’</w:t>
      </w:r>
    </w:p>
    <w:p w14:paraId="0983F24E" w14:textId="70943F26" w:rsidR="00C15E92" w:rsidRDefault="00C15E92" w:rsidP="00F86E3E">
      <w:pPr>
        <w:pStyle w:val="ListBullet"/>
      </w:pPr>
      <w:r>
        <w:t xml:space="preserve">American College of Cardiology Foundation/ American Heart Association Guidelines advocate </w:t>
      </w:r>
      <w:r w:rsidR="00DC7D20">
        <w:t>inhaled nitric oxide</w:t>
      </w:r>
      <w:r>
        <w:t xml:space="preserve"> as an effective short-term therapy for pulmonary </w:t>
      </w:r>
      <w:r>
        <w:lastRenderedPageBreak/>
        <w:t xml:space="preserve">hypertension in conjunction with heart surgery: </w:t>
      </w:r>
      <w:r w:rsidR="0019250C">
        <w:t>‘</w:t>
      </w:r>
      <w:r>
        <w:t xml:space="preserve">On balance, inhaled </w:t>
      </w:r>
      <w:r w:rsidR="00525573">
        <w:t>nitric oxide</w:t>
      </w:r>
      <w:r>
        <w:t xml:space="preserve"> is an effective short-term strategy for the management of PH following cardiac surgery</w:t>
      </w:r>
      <w:r w:rsidR="0019250C">
        <w:t>’.</w:t>
      </w:r>
      <w:r w:rsidR="00463098">
        <w:rPr>
          <w:rStyle w:val="FootnoteReference"/>
        </w:rPr>
        <w:footnoteReference w:id="62"/>
      </w:r>
    </w:p>
    <w:p w14:paraId="25F34D97" w14:textId="77777777" w:rsidR="00C15E92" w:rsidRDefault="00C15E92" w:rsidP="00C15E92">
      <w:r>
        <w:t>For the registered paediatric cardiac surgery indication based on similar standard of clinical data, TGA approved the following wording, consistent with the current proposal for the adult indication:</w:t>
      </w:r>
    </w:p>
    <w:p w14:paraId="01F456A0" w14:textId="77777777" w:rsidR="00C15E92" w:rsidRDefault="00C15E92" w:rsidP="00F86E3E">
      <w:pPr>
        <w:pStyle w:val="ListBullet"/>
      </w:pPr>
      <w:r>
        <w:t>as part of the treatment of peri- and post-operative pulmonary hypertension in newborn infants, infants and toddlers, children and adolescents, ages 0</w:t>
      </w:r>
      <w:r w:rsidR="00463098">
        <w:t xml:space="preserve"> to</w:t>
      </w:r>
      <w:r>
        <w:t>17 years in conjunction with heart surgery, in order to selectively decrease pulmonary arterial pressure and improve right ventricular function and oxygenation.</w:t>
      </w:r>
    </w:p>
    <w:p w14:paraId="15ABF784" w14:textId="77777777" w:rsidR="00C15E92" w:rsidRPr="00525573" w:rsidRDefault="00525573" w:rsidP="00C15E92">
      <w:pPr>
        <w:rPr>
          <w:b/>
          <w:i/>
        </w:rPr>
      </w:pPr>
      <w:r w:rsidRPr="00525573">
        <w:rPr>
          <w:b/>
          <w:i/>
        </w:rPr>
        <w:t xml:space="preserve">Question </w:t>
      </w:r>
      <w:r w:rsidR="00C15E92" w:rsidRPr="00525573">
        <w:rPr>
          <w:b/>
          <w:i/>
        </w:rPr>
        <w:t>2</w:t>
      </w:r>
      <w:r w:rsidRPr="00525573">
        <w:rPr>
          <w:b/>
          <w:i/>
        </w:rPr>
        <w:t>:</w:t>
      </w:r>
      <w:r w:rsidR="00527AF3" w:rsidRPr="00ED4EF9">
        <w:rPr>
          <w:b/>
          <w:i/>
        </w:rPr>
        <w:t xml:space="preserve"> </w:t>
      </w:r>
      <w:r w:rsidR="00C15E92" w:rsidRPr="00ED4EF9">
        <w:rPr>
          <w:b/>
          <w:i/>
        </w:rPr>
        <w:t>Has sufficient evidence been provided to support the proposed maximum 40 ppm dosing in adults: Should adult dosing commence at 10 ppm?</w:t>
      </w:r>
    </w:p>
    <w:p w14:paraId="01435010" w14:textId="77777777" w:rsidR="00C15E92" w:rsidRDefault="00C15E92" w:rsidP="00C15E92">
      <w:r>
        <w:t xml:space="preserve">The </w:t>
      </w:r>
      <w:r w:rsidR="009402F9">
        <w:t>sponsor</w:t>
      </w:r>
      <w:r>
        <w:t xml:space="preserve"> believes that the recommendations for the initial adult dose of 20 ppm to a maximum of 40 ppm only in those </w:t>
      </w:r>
      <w:r w:rsidR="006C537A">
        <w:t>patients</w:t>
      </w:r>
      <w:r>
        <w:t xml:space="preserve"> refractory to lower doses is supported by the doses used in Study </w:t>
      </w:r>
      <w:r w:rsidR="00BB39E5">
        <w:t>INOT41</w:t>
      </w:r>
      <w:r>
        <w:t xml:space="preserve"> and the published literature as summarised </w:t>
      </w:r>
      <w:r w:rsidRPr="002C066B">
        <w:t xml:space="preserve">in Table </w:t>
      </w:r>
      <w:r w:rsidR="002445FA">
        <w:t>23</w:t>
      </w:r>
      <w:r>
        <w:t xml:space="preserve">. Other published studies used starting doses ranging from 4 </w:t>
      </w:r>
      <w:r w:rsidR="00525573">
        <w:t>to</w:t>
      </w:r>
      <w:r>
        <w:t xml:space="preserve"> 5 ppm titrated to 20 </w:t>
      </w:r>
      <w:r w:rsidR="00525573">
        <w:t>to</w:t>
      </w:r>
      <w:r>
        <w:t xml:space="preserve"> 25 ppm or investigated dose comparisons of various combinations of 10, 20, 30, 40, 60 or 80 ppm. In terms of the safety of 40 ppm as a maximum dose in refractory patients, Study </w:t>
      </w:r>
      <w:r w:rsidR="00BB39E5">
        <w:t>INOT41</w:t>
      </w:r>
      <w:r>
        <w:t xml:space="preserve"> in a total of 150 patients treated with 40 ppm </w:t>
      </w:r>
      <w:r w:rsidR="00DC7D20">
        <w:t>inhaled nitric oxide</w:t>
      </w:r>
      <w:r>
        <w:t xml:space="preserve"> or placebo showed no safety concerns, including no evidence of potential pulmonary toxicity, even though the primary efficacy outcomes were not met in this study.</w:t>
      </w:r>
    </w:p>
    <w:p w14:paraId="0E631669" w14:textId="77777777" w:rsidR="00C15E92" w:rsidRDefault="00C15E92" w:rsidP="00463098">
      <w:pPr>
        <w:pStyle w:val="TableTitle"/>
      </w:pPr>
      <w:r>
        <w:t xml:space="preserve">Table </w:t>
      </w:r>
      <w:r w:rsidR="002445FA">
        <w:t>23</w:t>
      </w:r>
      <w:r>
        <w:t xml:space="preserve">: Starting dose of </w:t>
      </w:r>
      <w:r w:rsidR="00DC7D20">
        <w:t>inhaled nitric oxide</w:t>
      </w:r>
      <w:r>
        <w:t xml:space="preserve"> in published clinical studies in adult cardiac surgery</w:t>
      </w:r>
    </w:p>
    <w:tbl>
      <w:tblPr>
        <w:tblStyle w:val="TableTGAblue"/>
        <w:tblW w:w="8613" w:type="dxa"/>
        <w:tblLayout w:type="fixed"/>
        <w:tblLook w:val="01E0" w:firstRow="1" w:lastRow="1" w:firstColumn="1" w:lastColumn="1" w:noHBand="0" w:noVBand="0"/>
      </w:tblPr>
      <w:tblGrid>
        <w:gridCol w:w="5389"/>
        <w:gridCol w:w="1523"/>
        <w:gridCol w:w="1701"/>
      </w:tblGrid>
      <w:tr w:rsidR="00BA44DF" w:rsidRPr="00894DC3" w14:paraId="1C0A4758" w14:textId="77777777" w:rsidTr="00BA44DF">
        <w:trPr>
          <w:cnfStyle w:val="100000000000" w:firstRow="1" w:lastRow="0" w:firstColumn="0" w:lastColumn="0" w:oddVBand="0" w:evenVBand="0" w:oddHBand="0" w:evenHBand="0" w:firstRowFirstColumn="0" w:firstRowLastColumn="0" w:lastRowFirstColumn="0" w:lastRowLastColumn="0"/>
          <w:trHeight w:val="251"/>
        </w:trPr>
        <w:tc>
          <w:tcPr>
            <w:tcW w:w="5389" w:type="dxa"/>
          </w:tcPr>
          <w:p w14:paraId="0A5F6E26" w14:textId="77777777" w:rsidR="00BA44DF" w:rsidRPr="00894DC3" w:rsidRDefault="00BA44DF" w:rsidP="00527AF3">
            <w:pPr>
              <w:rPr>
                <w:sz w:val="20"/>
                <w:szCs w:val="20"/>
              </w:rPr>
            </w:pPr>
            <w:r w:rsidRPr="00894DC3">
              <w:rPr>
                <w:sz w:val="20"/>
                <w:szCs w:val="20"/>
              </w:rPr>
              <w:t>Publication</w:t>
            </w:r>
          </w:p>
        </w:tc>
        <w:tc>
          <w:tcPr>
            <w:tcW w:w="1523" w:type="dxa"/>
          </w:tcPr>
          <w:p w14:paraId="0A116909" w14:textId="77777777" w:rsidR="00BA44DF" w:rsidRPr="00894DC3" w:rsidRDefault="00BA44DF" w:rsidP="00527AF3">
            <w:pPr>
              <w:rPr>
                <w:sz w:val="20"/>
                <w:szCs w:val="20"/>
              </w:rPr>
            </w:pPr>
            <w:r w:rsidRPr="00894DC3">
              <w:rPr>
                <w:sz w:val="20"/>
                <w:szCs w:val="20"/>
              </w:rPr>
              <w:t>Total no. patients</w:t>
            </w:r>
          </w:p>
        </w:tc>
        <w:tc>
          <w:tcPr>
            <w:tcW w:w="1701" w:type="dxa"/>
          </w:tcPr>
          <w:p w14:paraId="58F72318" w14:textId="77777777" w:rsidR="00BA44DF" w:rsidRPr="00894DC3" w:rsidRDefault="00BA44DF" w:rsidP="00527AF3">
            <w:pPr>
              <w:rPr>
                <w:sz w:val="20"/>
                <w:szCs w:val="20"/>
              </w:rPr>
            </w:pPr>
            <w:r w:rsidRPr="00894DC3">
              <w:rPr>
                <w:sz w:val="20"/>
                <w:szCs w:val="20"/>
              </w:rPr>
              <w:t>Initial dose inhaled nitric oxide</w:t>
            </w:r>
          </w:p>
        </w:tc>
      </w:tr>
      <w:tr w:rsidR="00BA44DF" w:rsidRPr="00894DC3" w14:paraId="091D56BA" w14:textId="77777777" w:rsidTr="00BA44DF">
        <w:trPr>
          <w:trHeight w:val="254"/>
        </w:trPr>
        <w:tc>
          <w:tcPr>
            <w:tcW w:w="5389" w:type="dxa"/>
          </w:tcPr>
          <w:p w14:paraId="515FC140" w14:textId="7F157709" w:rsidR="00BA44DF" w:rsidRPr="00894DC3" w:rsidRDefault="00BA44DF" w:rsidP="008168B3">
            <w:pPr>
              <w:rPr>
                <w:sz w:val="20"/>
                <w:szCs w:val="20"/>
              </w:rPr>
            </w:pPr>
            <w:proofErr w:type="spellStart"/>
            <w:r w:rsidRPr="00894DC3">
              <w:rPr>
                <w:sz w:val="20"/>
                <w:szCs w:val="20"/>
              </w:rPr>
              <w:t>Fernandes</w:t>
            </w:r>
            <w:proofErr w:type="spellEnd"/>
            <w:r w:rsidRPr="00894DC3">
              <w:rPr>
                <w:sz w:val="20"/>
                <w:szCs w:val="20"/>
              </w:rPr>
              <w:t xml:space="preserve"> 2011</w:t>
            </w:r>
            <w:r w:rsidR="007F6489" w:rsidRP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_Ref25843676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20</w:t>
            </w:r>
            <w:r w:rsidR="008168B3" w:rsidRPr="008168B3">
              <w:rPr>
                <w:sz w:val="20"/>
                <w:szCs w:val="20"/>
                <w:vertAlign w:val="superscript"/>
              </w:rPr>
              <w:fldChar w:fldCharType="end"/>
            </w:r>
          </w:p>
        </w:tc>
        <w:tc>
          <w:tcPr>
            <w:tcW w:w="1523" w:type="dxa"/>
          </w:tcPr>
          <w:p w14:paraId="61859CA0" w14:textId="77777777" w:rsidR="00BA44DF" w:rsidRPr="00894DC3" w:rsidRDefault="00BA44DF" w:rsidP="00527AF3">
            <w:pPr>
              <w:rPr>
                <w:sz w:val="20"/>
                <w:szCs w:val="20"/>
              </w:rPr>
            </w:pPr>
            <w:r w:rsidRPr="00894DC3">
              <w:rPr>
                <w:sz w:val="20"/>
                <w:szCs w:val="20"/>
              </w:rPr>
              <w:t>14</w:t>
            </w:r>
          </w:p>
        </w:tc>
        <w:tc>
          <w:tcPr>
            <w:tcW w:w="1701" w:type="dxa"/>
          </w:tcPr>
          <w:p w14:paraId="5DD680F0" w14:textId="77777777" w:rsidR="00BA44DF" w:rsidRPr="00894DC3" w:rsidRDefault="00BA44DF" w:rsidP="00527AF3">
            <w:pPr>
              <w:rPr>
                <w:sz w:val="20"/>
                <w:szCs w:val="20"/>
              </w:rPr>
            </w:pPr>
            <w:r w:rsidRPr="00894DC3">
              <w:rPr>
                <w:sz w:val="20"/>
                <w:szCs w:val="20"/>
              </w:rPr>
              <w:t>10 ppm</w:t>
            </w:r>
          </w:p>
        </w:tc>
      </w:tr>
      <w:tr w:rsidR="00BA44DF" w:rsidRPr="00894DC3" w14:paraId="13F2CA70" w14:textId="77777777" w:rsidTr="00BA44DF">
        <w:trPr>
          <w:trHeight w:val="757"/>
        </w:trPr>
        <w:tc>
          <w:tcPr>
            <w:tcW w:w="5389" w:type="dxa"/>
          </w:tcPr>
          <w:p w14:paraId="4594C163" w14:textId="7ED1155C" w:rsidR="00BA44DF" w:rsidRPr="00894DC3" w:rsidRDefault="00BA44DF" w:rsidP="00527AF3">
            <w:pPr>
              <w:rPr>
                <w:sz w:val="20"/>
                <w:szCs w:val="20"/>
              </w:rPr>
            </w:pPr>
            <w:r w:rsidRPr="00894DC3">
              <w:rPr>
                <w:sz w:val="20"/>
                <w:szCs w:val="20"/>
              </w:rPr>
              <w:t>Khan 2009</w:t>
            </w:r>
            <w:r w:rsidR="00FA0473" w:rsidRP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_Ref25843937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21</w:t>
            </w:r>
            <w:r w:rsidR="008168B3" w:rsidRPr="008168B3">
              <w:rPr>
                <w:sz w:val="20"/>
                <w:szCs w:val="20"/>
                <w:vertAlign w:val="superscript"/>
              </w:rPr>
              <w:fldChar w:fldCharType="end"/>
            </w:r>
            <w:r w:rsidRPr="00894DC3">
              <w:rPr>
                <w:sz w:val="20"/>
                <w:szCs w:val="20"/>
              </w:rPr>
              <w:t xml:space="preserve">; </w:t>
            </w:r>
            <w:proofErr w:type="spellStart"/>
            <w:r w:rsidRPr="00894DC3">
              <w:rPr>
                <w:sz w:val="20"/>
                <w:szCs w:val="20"/>
              </w:rPr>
              <w:t>Razzaq</w:t>
            </w:r>
            <w:proofErr w:type="spellEnd"/>
            <w:r w:rsidRPr="00894DC3">
              <w:rPr>
                <w:sz w:val="20"/>
                <w:szCs w:val="20"/>
              </w:rPr>
              <w:t xml:space="preserve"> 2009</w:t>
            </w:r>
            <w:r w:rsidR="008168B3">
              <w:rPr>
                <w:sz w:val="20"/>
                <w:szCs w:val="20"/>
              </w:rPr>
              <w:t>;</w:t>
            </w:r>
            <w:r w:rsidR="008168B3">
              <w:rPr>
                <w:sz w:val="20"/>
                <w:szCs w:val="20"/>
                <w:vertAlign w:val="superscript"/>
              </w:rPr>
              <w:fldChar w:fldCharType="begin"/>
            </w:r>
            <w:r w:rsidR="008168B3">
              <w:rPr>
                <w:sz w:val="20"/>
                <w:szCs w:val="20"/>
                <w:vertAlign w:val="superscript"/>
              </w:rPr>
              <w:instrText xml:space="preserve"> NOTEREF _Ref22570085 \h </w:instrText>
            </w:r>
            <w:r w:rsidR="008168B3">
              <w:rPr>
                <w:sz w:val="20"/>
                <w:szCs w:val="20"/>
                <w:vertAlign w:val="superscript"/>
              </w:rPr>
            </w:r>
            <w:r w:rsidR="008168B3">
              <w:rPr>
                <w:sz w:val="20"/>
                <w:szCs w:val="20"/>
                <w:vertAlign w:val="superscript"/>
              </w:rPr>
              <w:fldChar w:fldCharType="separate"/>
            </w:r>
            <w:r w:rsidR="008168B3">
              <w:rPr>
                <w:sz w:val="20"/>
                <w:szCs w:val="20"/>
                <w:vertAlign w:val="superscript"/>
              </w:rPr>
              <w:t>31</w:t>
            </w:r>
            <w:r w:rsidR="008168B3">
              <w:rPr>
                <w:sz w:val="20"/>
                <w:szCs w:val="20"/>
                <w:vertAlign w:val="superscript"/>
              </w:rPr>
              <w:fldChar w:fldCharType="end"/>
            </w:r>
            <w:r w:rsidR="00FA0473" w:rsidRPr="00894DC3">
              <w:rPr>
                <w:sz w:val="20"/>
                <w:szCs w:val="20"/>
              </w:rPr>
              <w:t xml:space="preserve"> </w:t>
            </w:r>
            <w:r w:rsidRPr="00894DC3">
              <w:rPr>
                <w:sz w:val="20"/>
                <w:szCs w:val="20"/>
              </w:rPr>
              <w:t>Beck 1999</w:t>
            </w:r>
            <w:r w:rsidR="00FA0473" w:rsidRP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_Ref22563174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35</w:t>
            </w:r>
            <w:r w:rsidR="008168B3" w:rsidRPr="008168B3">
              <w:rPr>
                <w:sz w:val="20"/>
                <w:szCs w:val="20"/>
                <w:vertAlign w:val="superscript"/>
              </w:rPr>
              <w:fldChar w:fldCharType="end"/>
            </w:r>
            <w:r w:rsidR="00FA0473" w:rsidRPr="00894DC3">
              <w:rPr>
                <w:sz w:val="20"/>
                <w:szCs w:val="20"/>
              </w:rPr>
              <w:t xml:space="preserve"> </w:t>
            </w:r>
            <w:r w:rsidRPr="00894DC3">
              <w:rPr>
                <w:sz w:val="20"/>
                <w:szCs w:val="20"/>
              </w:rPr>
              <w:t>MacDonald 1998</w:t>
            </w:r>
            <w:r w:rsidR="00FA0473" w:rsidRP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_Ref22570179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33</w:t>
            </w:r>
            <w:r w:rsidR="008168B3" w:rsidRPr="008168B3">
              <w:rPr>
                <w:sz w:val="20"/>
                <w:szCs w:val="20"/>
                <w:vertAlign w:val="superscript"/>
              </w:rPr>
              <w:fldChar w:fldCharType="end"/>
            </w:r>
            <w:r w:rsidRPr="00894DC3">
              <w:rPr>
                <w:sz w:val="20"/>
                <w:szCs w:val="20"/>
              </w:rPr>
              <w:t xml:space="preserve"> Maxey 2002</w:t>
            </w:r>
            <w:r w:rsid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_Ref22571259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38</w:t>
            </w:r>
            <w:r w:rsidR="008168B3" w:rsidRPr="008168B3">
              <w:rPr>
                <w:sz w:val="20"/>
                <w:szCs w:val="20"/>
                <w:vertAlign w:val="superscript"/>
              </w:rPr>
              <w:fldChar w:fldCharType="end"/>
            </w:r>
            <w:r w:rsidRPr="00894DC3">
              <w:rPr>
                <w:sz w:val="20"/>
                <w:szCs w:val="20"/>
              </w:rPr>
              <w:t xml:space="preserve">; </w:t>
            </w:r>
            <w:proofErr w:type="spellStart"/>
            <w:r w:rsidRPr="00894DC3">
              <w:rPr>
                <w:sz w:val="20"/>
                <w:szCs w:val="20"/>
              </w:rPr>
              <w:t>Fattouch</w:t>
            </w:r>
            <w:proofErr w:type="spellEnd"/>
            <w:r w:rsidRPr="00894DC3">
              <w:rPr>
                <w:sz w:val="20"/>
                <w:szCs w:val="20"/>
              </w:rPr>
              <w:t xml:space="preserve"> 2005*;</w:t>
            </w:r>
            <w:r w:rsidR="008168B3" w:rsidRPr="008168B3">
              <w:rPr>
                <w:sz w:val="20"/>
                <w:szCs w:val="20"/>
                <w:vertAlign w:val="superscript"/>
              </w:rPr>
              <w:fldChar w:fldCharType="begin"/>
            </w:r>
            <w:r w:rsidR="008168B3" w:rsidRPr="008168B3">
              <w:rPr>
                <w:sz w:val="20"/>
                <w:szCs w:val="20"/>
                <w:vertAlign w:val="superscript"/>
              </w:rPr>
              <w:instrText xml:space="preserve"> NOTEREF _Ref25843832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8</w:t>
            </w:r>
            <w:r w:rsidR="008168B3" w:rsidRPr="008168B3">
              <w:rPr>
                <w:sz w:val="20"/>
                <w:szCs w:val="20"/>
                <w:vertAlign w:val="superscript"/>
              </w:rPr>
              <w:fldChar w:fldCharType="end"/>
            </w:r>
            <w:r w:rsidRPr="00894DC3">
              <w:rPr>
                <w:sz w:val="20"/>
                <w:szCs w:val="20"/>
              </w:rPr>
              <w:t xml:space="preserve"> </w:t>
            </w:r>
            <w:proofErr w:type="spellStart"/>
            <w:r w:rsidRPr="00894DC3">
              <w:rPr>
                <w:sz w:val="20"/>
                <w:szCs w:val="20"/>
              </w:rPr>
              <w:t>Fattouch</w:t>
            </w:r>
            <w:proofErr w:type="spellEnd"/>
            <w:r w:rsidRPr="00894DC3">
              <w:rPr>
                <w:sz w:val="20"/>
                <w:szCs w:val="20"/>
              </w:rPr>
              <w:t xml:space="preserve"> 2006*;</w:t>
            </w:r>
            <w:r w:rsidR="008168B3" w:rsidRPr="008168B3">
              <w:rPr>
                <w:sz w:val="20"/>
                <w:szCs w:val="20"/>
                <w:vertAlign w:val="superscript"/>
              </w:rPr>
              <w:fldChar w:fldCharType="begin"/>
            </w:r>
            <w:r w:rsidR="008168B3" w:rsidRPr="008168B3">
              <w:rPr>
                <w:sz w:val="20"/>
                <w:szCs w:val="20"/>
                <w:vertAlign w:val="superscript"/>
              </w:rPr>
              <w:instrText xml:space="preserve"> NOTEREF _Ref25843875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9</w:t>
            </w:r>
            <w:r w:rsidR="008168B3" w:rsidRPr="008168B3">
              <w:rPr>
                <w:sz w:val="20"/>
                <w:szCs w:val="20"/>
                <w:vertAlign w:val="superscript"/>
              </w:rPr>
              <w:fldChar w:fldCharType="end"/>
            </w:r>
          </w:p>
          <w:p w14:paraId="76CBC60F" w14:textId="562F0450" w:rsidR="00BA44DF" w:rsidRPr="00894DC3" w:rsidRDefault="00BA44DF" w:rsidP="008168B3">
            <w:pPr>
              <w:rPr>
                <w:sz w:val="20"/>
                <w:szCs w:val="20"/>
              </w:rPr>
            </w:pPr>
            <w:proofErr w:type="spellStart"/>
            <w:r w:rsidRPr="00894DC3">
              <w:rPr>
                <w:sz w:val="20"/>
                <w:szCs w:val="20"/>
              </w:rPr>
              <w:t>Winterhalter</w:t>
            </w:r>
            <w:proofErr w:type="spellEnd"/>
            <w:r w:rsidRPr="00894DC3">
              <w:rPr>
                <w:sz w:val="20"/>
                <w:szCs w:val="20"/>
              </w:rPr>
              <w:t xml:space="preserve"> 2008*;</w:t>
            </w:r>
            <w:r w:rsidR="008168B3" w:rsidRPr="008168B3">
              <w:rPr>
                <w:sz w:val="20"/>
                <w:szCs w:val="20"/>
                <w:vertAlign w:val="superscript"/>
              </w:rPr>
              <w:fldChar w:fldCharType="begin"/>
            </w:r>
            <w:r w:rsidR="008168B3" w:rsidRPr="008168B3">
              <w:rPr>
                <w:sz w:val="20"/>
                <w:szCs w:val="20"/>
                <w:vertAlign w:val="superscript"/>
              </w:rPr>
              <w:instrText xml:space="preserve"> NOTEREF _Ref25843903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12</w:t>
            </w:r>
            <w:r w:rsidR="008168B3" w:rsidRPr="008168B3">
              <w:rPr>
                <w:sz w:val="20"/>
                <w:szCs w:val="20"/>
                <w:vertAlign w:val="superscript"/>
              </w:rPr>
              <w:fldChar w:fldCharType="end"/>
            </w:r>
            <w:r w:rsidRPr="00894DC3">
              <w:rPr>
                <w:sz w:val="20"/>
                <w:szCs w:val="20"/>
              </w:rPr>
              <w:t xml:space="preserve"> </w:t>
            </w:r>
            <w:proofErr w:type="spellStart"/>
            <w:r w:rsidRPr="00894DC3">
              <w:rPr>
                <w:sz w:val="20"/>
                <w:szCs w:val="20"/>
              </w:rPr>
              <w:t>Argenziano</w:t>
            </w:r>
            <w:proofErr w:type="spellEnd"/>
            <w:r w:rsidRPr="00894DC3">
              <w:rPr>
                <w:sz w:val="20"/>
                <w:szCs w:val="20"/>
              </w:rPr>
              <w:t xml:space="preserve"> 1998*;</w:t>
            </w:r>
            <w:r w:rsidR="008168B3" w:rsidRPr="008168B3">
              <w:rPr>
                <w:sz w:val="20"/>
                <w:szCs w:val="20"/>
                <w:vertAlign w:val="superscript"/>
              </w:rPr>
              <w:fldChar w:fldCharType="begin"/>
            </w:r>
            <w:r w:rsidR="008168B3" w:rsidRPr="008168B3">
              <w:rPr>
                <w:sz w:val="20"/>
                <w:szCs w:val="20"/>
                <w:vertAlign w:val="superscript"/>
              </w:rPr>
              <w:instrText xml:space="preserve"> NOTEREF _Ref20404654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18</w:t>
            </w:r>
            <w:r w:rsidR="008168B3" w:rsidRPr="008168B3">
              <w:rPr>
                <w:sz w:val="20"/>
                <w:szCs w:val="20"/>
                <w:vertAlign w:val="superscript"/>
              </w:rPr>
              <w:fldChar w:fldCharType="end"/>
            </w:r>
            <w:r w:rsidRPr="008168B3">
              <w:rPr>
                <w:sz w:val="20"/>
                <w:szCs w:val="20"/>
                <w:vertAlign w:val="superscript"/>
              </w:rPr>
              <w:t xml:space="preserve"> </w:t>
            </w:r>
            <w:proofErr w:type="spellStart"/>
            <w:r w:rsidRPr="00894DC3">
              <w:rPr>
                <w:sz w:val="20"/>
                <w:szCs w:val="20"/>
              </w:rPr>
              <w:t>Ardehali</w:t>
            </w:r>
            <w:proofErr w:type="spellEnd"/>
            <w:r w:rsidRPr="00894DC3">
              <w:rPr>
                <w:sz w:val="20"/>
                <w:szCs w:val="20"/>
              </w:rPr>
              <w:t xml:space="preserve"> 2001*</w:t>
            </w:r>
            <w:r w:rsidR="00FA0473" w:rsidRP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_Ref25845111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15</w:t>
            </w:r>
            <w:r w:rsidR="008168B3" w:rsidRPr="008168B3">
              <w:rPr>
                <w:sz w:val="20"/>
                <w:szCs w:val="20"/>
                <w:vertAlign w:val="superscript"/>
              </w:rPr>
              <w:fldChar w:fldCharType="end"/>
            </w:r>
          </w:p>
        </w:tc>
        <w:tc>
          <w:tcPr>
            <w:tcW w:w="1523" w:type="dxa"/>
          </w:tcPr>
          <w:p w14:paraId="20FD3675" w14:textId="77777777" w:rsidR="00BA44DF" w:rsidRPr="00894DC3" w:rsidRDefault="00BA44DF" w:rsidP="00527AF3">
            <w:pPr>
              <w:rPr>
                <w:sz w:val="20"/>
                <w:szCs w:val="20"/>
              </w:rPr>
            </w:pPr>
            <w:r w:rsidRPr="00894DC3">
              <w:rPr>
                <w:sz w:val="20"/>
                <w:szCs w:val="20"/>
              </w:rPr>
              <w:t>195</w:t>
            </w:r>
          </w:p>
        </w:tc>
        <w:tc>
          <w:tcPr>
            <w:tcW w:w="1701" w:type="dxa"/>
          </w:tcPr>
          <w:p w14:paraId="1851C4AC" w14:textId="77777777" w:rsidR="00BA44DF" w:rsidRPr="00894DC3" w:rsidRDefault="00BA44DF" w:rsidP="00527AF3">
            <w:pPr>
              <w:rPr>
                <w:sz w:val="20"/>
                <w:szCs w:val="20"/>
              </w:rPr>
            </w:pPr>
            <w:r w:rsidRPr="00894DC3">
              <w:rPr>
                <w:sz w:val="20"/>
                <w:szCs w:val="20"/>
              </w:rPr>
              <w:t>20 ppm</w:t>
            </w:r>
          </w:p>
        </w:tc>
      </w:tr>
      <w:tr w:rsidR="00BA44DF" w:rsidRPr="00894DC3" w14:paraId="2DF1FEC1" w14:textId="77777777" w:rsidTr="00BA44DF">
        <w:trPr>
          <w:trHeight w:val="253"/>
        </w:trPr>
        <w:tc>
          <w:tcPr>
            <w:tcW w:w="5389" w:type="dxa"/>
          </w:tcPr>
          <w:p w14:paraId="644CD6E5" w14:textId="5C74FB08" w:rsidR="00BA44DF" w:rsidRPr="00894DC3" w:rsidRDefault="00BA44DF" w:rsidP="008168B3">
            <w:pPr>
              <w:rPr>
                <w:sz w:val="20"/>
                <w:szCs w:val="20"/>
              </w:rPr>
            </w:pPr>
            <w:proofErr w:type="spellStart"/>
            <w:r w:rsidRPr="00894DC3">
              <w:rPr>
                <w:sz w:val="20"/>
                <w:szCs w:val="20"/>
              </w:rPr>
              <w:t>Knothe</w:t>
            </w:r>
            <w:proofErr w:type="spellEnd"/>
            <w:r w:rsidRPr="00894DC3">
              <w:rPr>
                <w:sz w:val="20"/>
                <w:szCs w:val="20"/>
              </w:rPr>
              <w:t xml:space="preserve"> 1996</w:t>
            </w:r>
            <w:r w:rsidR="00FA0473" w:rsidRP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_Ref25843632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22</w:t>
            </w:r>
            <w:r w:rsidR="008168B3" w:rsidRPr="008168B3">
              <w:rPr>
                <w:sz w:val="20"/>
                <w:szCs w:val="20"/>
                <w:vertAlign w:val="superscript"/>
              </w:rPr>
              <w:fldChar w:fldCharType="end"/>
            </w:r>
          </w:p>
        </w:tc>
        <w:tc>
          <w:tcPr>
            <w:tcW w:w="1523" w:type="dxa"/>
          </w:tcPr>
          <w:p w14:paraId="72DCEF79" w14:textId="77777777" w:rsidR="00BA44DF" w:rsidRPr="00894DC3" w:rsidRDefault="00BA44DF" w:rsidP="00527AF3">
            <w:pPr>
              <w:rPr>
                <w:sz w:val="20"/>
                <w:szCs w:val="20"/>
              </w:rPr>
            </w:pPr>
            <w:r w:rsidRPr="00894DC3">
              <w:rPr>
                <w:sz w:val="20"/>
                <w:szCs w:val="20"/>
              </w:rPr>
              <w:t>10</w:t>
            </w:r>
          </w:p>
        </w:tc>
        <w:tc>
          <w:tcPr>
            <w:tcW w:w="1701" w:type="dxa"/>
          </w:tcPr>
          <w:p w14:paraId="20DBDE75" w14:textId="77777777" w:rsidR="00BA44DF" w:rsidRPr="00894DC3" w:rsidRDefault="00BA44DF" w:rsidP="00527AF3">
            <w:pPr>
              <w:rPr>
                <w:sz w:val="20"/>
                <w:szCs w:val="20"/>
              </w:rPr>
            </w:pPr>
            <w:r w:rsidRPr="00894DC3">
              <w:rPr>
                <w:sz w:val="20"/>
                <w:szCs w:val="20"/>
              </w:rPr>
              <w:t>30 ppm</w:t>
            </w:r>
          </w:p>
        </w:tc>
      </w:tr>
      <w:tr w:rsidR="00BA44DF" w:rsidRPr="00894DC3" w14:paraId="2ADCD750" w14:textId="77777777" w:rsidTr="00BA44DF">
        <w:trPr>
          <w:trHeight w:val="251"/>
        </w:trPr>
        <w:tc>
          <w:tcPr>
            <w:tcW w:w="5389" w:type="dxa"/>
          </w:tcPr>
          <w:p w14:paraId="37C6FA32" w14:textId="5C88314E" w:rsidR="00BA44DF" w:rsidRPr="00894DC3" w:rsidRDefault="00BA44DF" w:rsidP="008168B3">
            <w:pPr>
              <w:rPr>
                <w:sz w:val="20"/>
                <w:szCs w:val="20"/>
              </w:rPr>
            </w:pPr>
            <w:proofErr w:type="spellStart"/>
            <w:r w:rsidRPr="00894DC3">
              <w:rPr>
                <w:sz w:val="20"/>
                <w:szCs w:val="20"/>
              </w:rPr>
              <w:t>Kukucka</w:t>
            </w:r>
            <w:proofErr w:type="spellEnd"/>
            <w:r w:rsidRPr="00894DC3">
              <w:rPr>
                <w:sz w:val="20"/>
                <w:szCs w:val="20"/>
              </w:rPr>
              <w:t xml:space="preserve"> 2011;</w:t>
            </w:r>
            <w:r w:rsidR="008168B3" w:rsidRPr="008168B3">
              <w:rPr>
                <w:sz w:val="20"/>
                <w:szCs w:val="20"/>
                <w:vertAlign w:val="superscript"/>
              </w:rPr>
              <w:fldChar w:fldCharType="begin"/>
            </w:r>
            <w:r w:rsidR="008168B3" w:rsidRPr="008168B3">
              <w:rPr>
                <w:sz w:val="20"/>
                <w:szCs w:val="20"/>
                <w:vertAlign w:val="superscript"/>
              </w:rPr>
              <w:instrText xml:space="preserve"> NOTEREF _Ref22221489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19</w:t>
            </w:r>
            <w:r w:rsidR="008168B3" w:rsidRPr="008168B3">
              <w:rPr>
                <w:sz w:val="20"/>
                <w:szCs w:val="20"/>
                <w:vertAlign w:val="superscript"/>
              </w:rPr>
              <w:fldChar w:fldCharType="end"/>
            </w:r>
            <w:r w:rsidRPr="00894DC3">
              <w:rPr>
                <w:sz w:val="20"/>
                <w:szCs w:val="20"/>
              </w:rPr>
              <w:t xml:space="preserve"> </w:t>
            </w:r>
            <w:proofErr w:type="spellStart"/>
            <w:r w:rsidRPr="00894DC3">
              <w:rPr>
                <w:sz w:val="20"/>
                <w:szCs w:val="20"/>
              </w:rPr>
              <w:t>Schmid</w:t>
            </w:r>
            <w:proofErr w:type="spellEnd"/>
            <w:r w:rsidRPr="00894DC3">
              <w:rPr>
                <w:sz w:val="20"/>
                <w:szCs w:val="20"/>
              </w:rPr>
              <w:t xml:space="preserve"> 2009</w:t>
            </w:r>
            <w:r w:rsidR="00FA0473" w:rsidRPr="00894DC3">
              <w:rPr>
                <w:sz w:val="20"/>
                <w:szCs w:val="20"/>
              </w:rPr>
              <w:t>;</w:t>
            </w:r>
            <w:r w:rsidR="008168B3" w:rsidRPr="008168B3">
              <w:rPr>
                <w:sz w:val="20"/>
                <w:szCs w:val="20"/>
                <w:vertAlign w:val="superscript"/>
              </w:rPr>
              <w:fldChar w:fldCharType="begin"/>
            </w:r>
            <w:r w:rsidR="008168B3" w:rsidRPr="008168B3">
              <w:rPr>
                <w:sz w:val="20"/>
                <w:szCs w:val="20"/>
                <w:vertAlign w:val="superscript"/>
              </w:rPr>
              <w:instrText xml:space="preserve"> NOTEREF _Ref20404887 \h  \* MERGEFORMAT </w:instrText>
            </w:r>
            <w:r w:rsidR="008168B3" w:rsidRPr="008168B3">
              <w:rPr>
                <w:sz w:val="20"/>
                <w:szCs w:val="20"/>
                <w:vertAlign w:val="superscript"/>
              </w:rPr>
            </w:r>
            <w:r w:rsidR="008168B3" w:rsidRPr="008168B3">
              <w:rPr>
                <w:sz w:val="20"/>
                <w:szCs w:val="20"/>
                <w:vertAlign w:val="superscript"/>
              </w:rPr>
              <w:fldChar w:fldCharType="separate"/>
            </w:r>
            <w:r w:rsidR="008168B3" w:rsidRPr="008168B3">
              <w:rPr>
                <w:sz w:val="20"/>
                <w:szCs w:val="20"/>
                <w:vertAlign w:val="superscript"/>
              </w:rPr>
              <w:t>11</w:t>
            </w:r>
            <w:r w:rsidR="008168B3" w:rsidRPr="008168B3">
              <w:rPr>
                <w:sz w:val="20"/>
                <w:szCs w:val="20"/>
                <w:vertAlign w:val="superscript"/>
              </w:rPr>
              <w:fldChar w:fldCharType="end"/>
            </w:r>
          </w:p>
        </w:tc>
        <w:tc>
          <w:tcPr>
            <w:tcW w:w="1523" w:type="dxa"/>
          </w:tcPr>
          <w:p w14:paraId="67791FF6" w14:textId="77777777" w:rsidR="00BA44DF" w:rsidRPr="00894DC3" w:rsidRDefault="00BA44DF" w:rsidP="00527AF3">
            <w:pPr>
              <w:rPr>
                <w:sz w:val="20"/>
                <w:szCs w:val="20"/>
              </w:rPr>
            </w:pPr>
            <w:r w:rsidRPr="00894DC3">
              <w:rPr>
                <w:sz w:val="20"/>
                <w:szCs w:val="20"/>
              </w:rPr>
              <w:t>38</w:t>
            </w:r>
          </w:p>
        </w:tc>
        <w:tc>
          <w:tcPr>
            <w:tcW w:w="1701" w:type="dxa"/>
          </w:tcPr>
          <w:p w14:paraId="2CCC0B5E" w14:textId="77777777" w:rsidR="00BA44DF" w:rsidRPr="00894DC3" w:rsidRDefault="00BA44DF" w:rsidP="00527AF3">
            <w:pPr>
              <w:rPr>
                <w:sz w:val="20"/>
                <w:szCs w:val="20"/>
              </w:rPr>
            </w:pPr>
            <w:r w:rsidRPr="00894DC3">
              <w:rPr>
                <w:sz w:val="20"/>
                <w:szCs w:val="20"/>
              </w:rPr>
              <w:t>40 ppm</w:t>
            </w:r>
          </w:p>
        </w:tc>
      </w:tr>
    </w:tbl>
    <w:p w14:paraId="753CDA72" w14:textId="77777777" w:rsidR="00C15E92" w:rsidRDefault="00C15E92" w:rsidP="00ED4EF9">
      <w:pPr>
        <w:pStyle w:val="TableDescription"/>
      </w:pPr>
      <w:r>
        <w:t>* previously evaluated by TGA</w:t>
      </w:r>
    </w:p>
    <w:p w14:paraId="3A954512" w14:textId="77777777" w:rsidR="00C15E92" w:rsidRDefault="00C40BA7" w:rsidP="00C15E92">
      <w:proofErr w:type="spellStart"/>
      <w:r>
        <w:t>INOmax</w:t>
      </w:r>
      <w:proofErr w:type="spellEnd"/>
      <w:r w:rsidR="00C15E92">
        <w:t xml:space="preserve"> has been approved for the adult cardiac surgery indication in the EU since 2011 and the EU </w:t>
      </w:r>
      <w:proofErr w:type="spellStart"/>
      <w:r w:rsidR="00C15E92">
        <w:t>SmPC</w:t>
      </w:r>
      <w:proofErr w:type="spellEnd"/>
      <w:r w:rsidR="00C15E92">
        <w:t xml:space="preserve"> provides the same dosing recommendations for adults as the proposed Australian </w:t>
      </w:r>
      <w:r w:rsidR="00FA0473">
        <w:t>PI</w:t>
      </w:r>
      <w:r w:rsidR="00C15E92">
        <w:t xml:space="preserve">. In addition, the wording of the proposed PI provides further control over safe dosing, monitoring and weaning of </w:t>
      </w:r>
      <w:proofErr w:type="spellStart"/>
      <w:r>
        <w:t>INOmax</w:t>
      </w:r>
      <w:proofErr w:type="spellEnd"/>
      <w:r w:rsidR="00C15E92">
        <w:t xml:space="preserve"> by limiting prescription of the drug to specialist physicians experienced in cardiothoracic an</w:t>
      </w:r>
      <w:r w:rsidR="00525573">
        <w:t>a</w:t>
      </w:r>
      <w:r w:rsidR="00C15E92">
        <w:t xml:space="preserve">esthesia </w:t>
      </w:r>
      <w:r w:rsidR="00463098">
        <w:t>and</w:t>
      </w:r>
      <w:r w:rsidR="00C15E92">
        <w:t xml:space="preserve"> intensive care.</w:t>
      </w:r>
    </w:p>
    <w:p w14:paraId="0B878E8C" w14:textId="77777777" w:rsidR="00C15E92" w:rsidRDefault="00BA44DF" w:rsidP="00BA44DF">
      <w:pPr>
        <w:pStyle w:val="Heading5"/>
      </w:pPr>
      <w:r>
        <w:lastRenderedPageBreak/>
        <w:t>Condition</w:t>
      </w:r>
      <w:r w:rsidR="006C537A">
        <w:t>s of r</w:t>
      </w:r>
      <w:r>
        <w:t>egistration</w:t>
      </w:r>
    </w:p>
    <w:p w14:paraId="6A743D84" w14:textId="63397874" w:rsidR="00C15E92" w:rsidRDefault="00C15E92" w:rsidP="00C15E92">
      <w:r>
        <w:t xml:space="preserve">The </w:t>
      </w:r>
      <w:r w:rsidR="009402F9">
        <w:t>sponsor</w:t>
      </w:r>
      <w:r>
        <w:t xml:space="preserve"> provides an</w:t>
      </w:r>
      <w:r w:rsidR="006C537A">
        <w:t xml:space="preserve"> assurance that the Australian</w:t>
      </w:r>
      <w:r>
        <w:t xml:space="preserve"> RMP </w:t>
      </w:r>
      <w:r w:rsidR="0019250C">
        <w:t>version 4</w:t>
      </w:r>
      <w:r>
        <w:t>.0 (dated 23</w:t>
      </w:r>
      <w:r w:rsidR="0019250C">
        <w:t xml:space="preserve"> October 20</w:t>
      </w:r>
      <w:r>
        <w:t xml:space="preserve">18) and any future updates will be implemented post-approval. PSURs will be submitted for not less than 3 years from date of approval and follow a time schedule based on TGA requirements rather than the EU PSUR schedule, as Ikaria Pty Ltd is not the EU </w:t>
      </w:r>
      <w:r w:rsidR="009402F9">
        <w:t>sponsor</w:t>
      </w:r>
      <w:r>
        <w:t xml:space="preserve"> for </w:t>
      </w:r>
      <w:proofErr w:type="spellStart"/>
      <w:r w:rsidR="00C40BA7">
        <w:t>INOmax</w:t>
      </w:r>
      <w:proofErr w:type="spellEnd"/>
      <w:r>
        <w:t xml:space="preserve"> (Linde Healthcare AB).</w:t>
      </w:r>
    </w:p>
    <w:p w14:paraId="0868D4B0" w14:textId="37020B37" w:rsidR="00C15E92" w:rsidRDefault="00BA44DF" w:rsidP="00BA44DF">
      <w:pPr>
        <w:pStyle w:val="Heading5"/>
      </w:pPr>
      <w:r>
        <w:t xml:space="preserve">Specific </w:t>
      </w:r>
      <w:r w:rsidR="006F789A">
        <w:t>q</w:t>
      </w:r>
      <w:r>
        <w:t>uestions</w:t>
      </w:r>
    </w:p>
    <w:p w14:paraId="38B40E59" w14:textId="77777777" w:rsidR="00C15E92" w:rsidRPr="00527AF3" w:rsidRDefault="00C15E92" w:rsidP="00527AF3">
      <w:pPr>
        <w:pStyle w:val="Numberbullet0"/>
        <w:numPr>
          <w:ilvl w:val="0"/>
          <w:numId w:val="33"/>
        </w:numPr>
        <w:rPr>
          <w:b/>
          <w:i/>
        </w:rPr>
      </w:pPr>
      <w:r w:rsidRPr="00527AF3">
        <w:rPr>
          <w:b/>
          <w:i/>
        </w:rPr>
        <w:t xml:space="preserve">The clinical evaluation has noted an estimate of the total of patients exposed to </w:t>
      </w:r>
      <w:r w:rsidR="00DC7D20" w:rsidRPr="00527AF3">
        <w:rPr>
          <w:b/>
          <w:i/>
        </w:rPr>
        <w:t>inhaled nitric oxide</w:t>
      </w:r>
      <w:r w:rsidRPr="00527AF3">
        <w:rPr>
          <w:b/>
          <w:i/>
        </w:rPr>
        <w:t>. If possible, please provide an estimate of the exposure in adults in the post-market setting. How do the adverse events differ by age?</w:t>
      </w:r>
    </w:p>
    <w:p w14:paraId="6E973ED3" w14:textId="77777777" w:rsidR="00C15E92" w:rsidRDefault="00527AF3" w:rsidP="00BA44DF">
      <w:pPr>
        <w:pStyle w:val="Heading6"/>
      </w:pPr>
      <w:r>
        <w:t>Sponsor r</w:t>
      </w:r>
      <w:r w:rsidR="00C15E92">
        <w:t>esponse</w:t>
      </w:r>
    </w:p>
    <w:p w14:paraId="3B522455" w14:textId="77777777" w:rsidR="00C15E92" w:rsidRDefault="00C15E92" w:rsidP="00C15E92">
      <w:r>
        <w:t>Data about the drug exposure in adults in the post-market setting is not available. Data in relation to age was available by either recorded patient age or recorded age group (either newborn infants, child, adolescent, infant / toddler for age group 0</w:t>
      </w:r>
      <w:r w:rsidR="00BA44DF">
        <w:t xml:space="preserve"> to</w:t>
      </w:r>
      <w:r>
        <w:t>17 years or adult, elderly for age group &gt; 17 years). Therefore, the provided percentage of the events (</w:t>
      </w:r>
      <w:r w:rsidRPr="002C066B">
        <w:t>Table</w:t>
      </w:r>
      <w:r w:rsidR="002445FA">
        <w:t> </w:t>
      </w:r>
      <w:r>
        <w:t>2</w:t>
      </w:r>
      <w:r w:rsidR="002445FA">
        <w:t>4</w:t>
      </w:r>
      <w:r>
        <w:t>) was calculated on the total numbers of events of the respective age group and not on the drug exposure. On the first view, the comparison of adverse events related to a specific age group shows notable differences in following System Organ Classes (SOC):</w:t>
      </w:r>
    </w:p>
    <w:p w14:paraId="59489822" w14:textId="77777777" w:rsidR="00C15E92" w:rsidRPr="00C15E92" w:rsidRDefault="00C15E92" w:rsidP="00F86E3E">
      <w:pPr>
        <w:pStyle w:val="ListBullet"/>
      </w:pPr>
      <w:r w:rsidRPr="00C15E92">
        <w:t>Injury, poisoning and procedural complications: 25.05% in the adult group versus 4.58% in the age group of 0</w:t>
      </w:r>
      <w:r w:rsidR="00BA44DF">
        <w:t xml:space="preserve"> to</w:t>
      </w:r>
      <w:r w:rsidRPr="00C15E92">
        <w:t>17 years.</w:t>
      </w:r>
    </w:p>
    <w:p w14:paraId="51014696" w14:textId="77777777" w:rsidR="00C15E92" w:rsidRPr="00C15E92" w:rsidRDefault="00C15E92" w:rsidP="00F86E3E">
      <w:pPr>
        <w:pStyle w:val="ListBullet"/>
      </w:pPr>
      <w:r w:rsidRPr="00C15E92">
        <w:t>Respiratory, thoracic and mediastinal disorders: 7.46% in the adult group versus 17.19% in the age group of 0</w:t>
      </w:r>
      <w:r w:rsidR="00BA44DF">
        <w:t xml:space="preserve"> to</w:t>
      </w:r>
      <w:r w:rsidRPr="00C15E92">
        <w:t>17 years.</w:t>
      </w:r>
    </w:p>
    <w:p w14:paraId="38FDDA75" w14:textId="77777777" w:rsidR="00C15E92" w:rsidRDefault="00C15E92" w:rsidP="00463098">
      <w:pPr>
        <w:pStyle w:val="TableTitle"/>
      </w:pPr>
      <w:r w:rsidRPr="00C15E92">
        <w:t>Table 2</w:t>
      </w:r>
      <w:r w:rsidR="002445FA">
        <w:t>4</w:t>
      </w:r>
      <w:r w:rsidRPr="00C15E92">
        <w:t>: Num</w:t>
      </w:r>
      <w:r w:rsidR="002445FA">
        <w:t>ber and % of adverse events by s</w:t>
      </w:r>
      <w:r w:rsidR="00463098">
        <w:t>ystem organ class</w:t>
      </w:r>
      <w:r w:rsidRPr="00C15E92">
        <w:t xml:space="preserve"> by age group</w:t>
      </w:r>
    </w:p>
    <w:p w14:paraId="7DB29EE8" w14:textId="77777777" w:rsidR="00FA0473" w:rsidRDefault="00894DC3" w:rsidP="006C537A">
      <w:r>
        <w:rPr>
          <w:noProof/>
          <w:lang w:eastAsia="en-AU"/>
        </w:rPr>
        <w:drawing>
          <wp:inline distT="0" distB="0" distL="0" distR="0" wp14:anchorId="37E197A5" wp14:editId="648374FF">
            <wp:extent cx="5400040" cy="4241800"/>
            <wp:effectExtent l="0" t="0" r="0" b="6350"/>
            <wp:docPr id="1" name="Picture 1" descr="Number and % of adverse events by system organ clas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4241800"/>
                    </a:xfrm>
                    <a:prstGeom prst="rect">
                      <a:avLst/>
                    </a:prstGeom>
                  </pic:spPr>
                </pic:pic>
              </a:graphicData>
            </a:graphic>
          </wp:inline>
        </w:drawing>
      </w:r>
    </w:p>
    <w:p w14:paraId="48871368" w14:textId="77777777" w:rsidR="00C15E92" w:rsidRDefault="00C15E92" w:rsidP="00C15E92">
      <w:r>
        <w:lastRenderedPageBreak/>
        <w:t xml:space="preserve">For Injury, poisoning and procedural complications in the adult group: 19.88% of events in the adult population are driven by the following Preferred Terms (PTs): accidental exposure to product (6.69%), occupational exposure to product (6.88%) and off label use (6.31%). These PTs are not adverse events according to the </w:t>
      </w:r>
      <w:r w:rsidR="00931948">
        <w:rPr>
          <w:rFonts w:eastAsia="TimesNewRoman"/>
        </w:rPr>
        <w:t>International Council for Harmonisation</w:t>
      </w:r>
      <w:r w:rsidR="00931948">
        <w:t xml:space="preserve"> (</w:t>
      </w:r>
      <w:r>
        <w:t>ICH</w:t>
      </w:r>
      <w:r w:rsidR="00931948">
        <w:t>)</w:t>
      </w:r>
      <w:r>
        <w:t xml:space="preserve"> definition. Therefore, these terms do not indicate per se a higher risk in the adult population. When disregarding these events both age groups seem to be comparable.</w:t>
      </w:r>
    </w:p>
    <w:p w14:paraId="010050A1" w14:textId="77777777" w:rsidR="00C15E92" w:rsidRDefault="00C15E92" w:rsidP="00C15E92">
      <w:r>
        <w:t>For Respiratory, thoracic and mediastinal disorders: 8.60% of the events in the p</w:t>
      </w:r>
      <w:r w:rsidR="00BA44DF">
        <w:t>a</w:t>
      </w:r>
      <w:r>
        <w:t>ediatric group are driven by the following PTs: hypoxia (2.44%), neonatal respiratory failure (2.01%) and pulmonary haemorrhage (4.15%). It has to be noted that the target population for the approved p</w:t>
      </w:r>
      <w:r w:rsidR="00BA44DF">
        <w:t>a</w:t>
      </w:r>
      <w:r>
        <w:t>ediatric indication is prone to experience such events because of their medical condition (</w:t>
      </w:r>
      <w:r w:rsidR="00BA44DF">
        <w:t>for example,</w:t>
      </w:r>
      <w:r>
        <w:t xml:space="preserve"> premature birth). Therefore, this could be an explanation of the observed discrepancy between the age groups, which is in favo</w:t>
      </w:r>
      <w:r w:rsidR="00BA44DF">
        <w:t>u</w:t>
      </w:r>
      <w:r>
        <w:t>r of the proposed adult target population.</w:t>
      </w:r>
    </w:p>
    <w:p w14:paraId="0421EDC9" w14:textId="77777777" w:rsidR="00C15E92" w:rsidRDefault="00C15E92" w:rsidP="00C15E92">
      <w:r>
        <w:t>In summary, it can be concluded that except for respiratory disorders, the pattern of adverse events in the adult age group are comparable to the pattern of adverse events in the p</w:t>
      </w:r>
      <w:r w:rsidR="00BA44DF">
        <w:t>a</w:t>
      </w:r>
      <w:r>
        <w:t>ediatric age group. The discrepancy that is seen in the SOC Respiratory, thoracic and mediastinal disorders favo</w:t>
      </w:r>
      <w:r w:rsidR="00BA44DF">
        <w:t>u</w:t>
      </w:r>
      <w:r>
        <w:t>rs the adult age group and is most probably related to medical condition of the p</w:t>
      </w:r>
      <w:r w:rsidR="00BA44DF">
        <w:t>a</w:t>
      </w:r>
      <w:r>
        <w:t>ediatric patients.</w:t>
      </w:r>
    </w:p>
    <w:p w14:paraId="24ABDB77" w14:textId="77777777" w:rsidR="00C15E92" w:rsidRPr="00527AF3" w:rsidRDefault="00C15E92" w:rsidP="00527AF3">
      <w:pPr>
        <w:pStyle w:val="Numberbullet0"/>
        <w:rPr>
          <w:b/>
          <w:i/>
        </w:rPr>
      </w:pPr>
      <w:r w:rsidRPr="00527AF3">
        <w:rPr>
          <w:b/>
          <w:i/>
        </w:rPr>
        <w:t>Please provide an estimate of the number of patients aged &gt;70 years and &gt;</w:t>
      </w:r>
      <w:r w:rsidR="008245A6" w:rsidRPr="00527AF3">
        <w:rPr>
          <w:b/>
          <w:i/>
        </w:rPr>
        <w:t> </w:t>
      </w:r>
      <w:r w:rsidRPr="00527AF3">
        <w:rPr>
          <w:b/>
          <w:i/>
        </w:rPr>
        <w:t>80</w:t>
      </w:r>
      <w:r w:rsidR="008245A6" w:rsidRPr="00527AF3">
        <w:rPr>
          <w:b/>
          <w:i/>
        </w:rPr>
        <w:t> </w:t>
      </w:r>
      <w:r w:rsidRPr="00527AF3">
        <w:rPr>
          <w:b/>
          <w:i/>
        </w:rPr>
        <w:t>years were included in the literature and in the safety information in the post-market setting?</w:t>
      </w:r>
    </w:p>
    <w:p w14:paraId="700F1FFA" w14:textId="77777777" w:rsidR="00C15E92" w:rsidRDefault="00C15E92" w:rsidP="00BA44DF">
      <w:pPr>
        <w:pStyle w:val="Heading6"/>
      </w:pPr>
      <w:r>
        <w:t>Published literature</w:t>
      </w:r>
    </w:p>
    <w:p w14:paraId="0F4AC022" w14:textId="77777777" w:rsidR="00C15E92" w:rsidRDefault="00C15E92" w:rsidP="00C15E92">
      <w:r>
        <w:t xml:space="preserve">A review of the published literature for the adult indication of cardiac surgery has indicated that the majority of publications provide only a mean age for patients studied, with no individual patient data available to identify patients aged over 70 or 80 years. The mean age of </w:t>
      </w:r>
      <w:proofErr w:type="spellStart"/>
      <w:r w:rsidR="00C40BA7">
        <w:t>INOmax</w:t>
      </w:r>
      <w:proofErr w:type="spellEnd"/>
      <w:r>
        <w:t xml:space="preserve"> treated patients in the published studies evaluated by the TGA in the current application is listed in Table </w:t>
      </w:r>
      <w:r w:rsidR="002445FA">
        <w:t>25</w:t>
      </w:r>
      <w:r>
        <w:t>, indicating</w:t>
      </w:r>
      <w:r w:rsidR="00D42948">
        <w:t xml:space="preserve"> </w:t>
      </w:r>
      <w:r>
        <w:t>a mean age range of 48 to 64 years. Previously evaluated studies reported similar mean age values.</w:t>
      </w:r>
    </w:p>
    <w:p w14:paraId="41B98F6D" w14:textId="77777777" w:rsidR="00C15E92" w:rsidRDefault="00C15E92" w:rsidP="00463098">
      <w:pPr>
        <w:pStyle w:val="TableTitle"/>
      </w:pPr>
      <w:r w:rsidRPr="00C15E92">
        <w:t xml:space="preserve">Table </w:t>
      </w:r>
      <w:r w:rsidR="002445FA">
        <w:t>25</w:t>
      </w:r>
      <w:r w:rsidRPr="00C15E92">
        <w:t>: Mean age of patients treated in published studies in adult cardiac surgery</w:t>
      </w:r>
    </w:p>
    <w:tbl>
      <w:tblPr>
        <w:tblStyle w:val="TableTGAblue"/>
        <w:tblW w:w="0" w:type="auto"/>
        <w:tblLayout w:type="fixed"/>
        <w:tblLook w:val="01E0" w:firstRow="1" w:lastRow="1" w:firstColumn="1" w:lastColumn="1" w:noHBand="0" w:noVBand="0"/>
      </w:tblPr>
      <w:tblGrid>
        <w:gridCol w:w="2410"/>
        <w:gridCol w:w="2268"/>
        <w:gridCol w:w="3118"/>
      </w:tblGrid>
      <w:tr w:rsidR="00C15E92" w:rsidRPr="00894DC3" w14:paraId="72BA247C" w14:textId="77777777" w:rsidTr="00C15E92">
        <w:trPr>
          <w:cnfStyle w:val="100000000000" w:firstRow="1" w:lastRow="0" w:firstColumn="0" w:lastColumn="0" w:oddVBand="0" w:evenVBand="0" w:oddHBand="0" w:evenHBand="0" w:firstRowFirstColumn="0" w:firstRowLastColumn="0" w:lastRowFirstColumn="0" w:lastRowLastColumn="0"/>
          <w:trHeight w:val="251"/>
        </w:trPr>
        <w:tc>
          <w:tcPr>
            <w:tcW w:w="2410" w:type="dxa"/>
            <w:hideMark/>
          </w:tcPr>
          <w:p w14:paraId="06C00F7C" w14:textId="77777777" w:rsidR="00C15E92" w:rsidRPr="00894DC3" w:rsidRDefault="00C15E92" w:rsidP="00894DC3">
            <w:pPr>
              <w:rPr>
                <w:lang w:eastAsia="en-US"/>
              </w:rPr>
            </w:pPr>
            <w:r w:rsidRPr="00894DC3">
              <w:t>Publication</w:t>
            </w:r>
          </w:p>
        </w:tc>
        <w:tc>
          <w:tcPr>
            <w:tcW w:w="2268" w:type="dxa"/>
            <w:hideMark/>
          </w:tcPr>
          <w:p w14:paraId="111EB515" w14:textId="77777777" w:rsidR="00C15E92" w:rsidRPr="00894DC3" w:rsidRDefault="00C15E92" w:rsidP="00894DC3">
            <w:pPr>
              <w:rPr>
                <w:lang w:eastAsia="en-US"/>
              </w:rPr>
            </w:pPr>
            <w:r w:rsidRPr="00894DC3">
              <w:t xml:space="preserve">No. </w:t>
            </w:r>
            <w:r w:rsidR="00DC7D20" w:rsidRPr="00894DC3">
              <w:t>inhaled nitric oxide</w:t>
            </w:r>
            <w:r w:rsidRPr="00894DC3">
              <w:t xml:space="preserve"> p</w:t>
            </w:r>
            <w:r w:rsidR="008245A6" w:rsidRPr="00894DC3">
              <w:t>atien</w:t>
            </w:r>
            <w:r w:rsidRPr="00894DC3">
              <w:t>ts</w:t>
            </w:r>
          </w:p>
        </w:tc>
        <w:tc>
          <w:tcPr>
            <w:tcW w:w="3118" w:type="dxa"/>
            <w:hideMark/>
          </w:tcPr>
          <w:p w14:paraId="6215A079" w14:textId="77777777" w:rsidR="00C15E92" w:rsidRPr="00894DC3" w:rsidRDefault="00C15E92" w:rsidP="00894DC3">
            <w:pPr>
              <w:rPr>
                <w:lang w:eastAsia="en-US"/>
              </w:rPr>
            </w:pPr>
            <w:r w:rsidRPr="00894DC3">
              <w:t>Age: Mean ± SD (</w:t>
            </w:r>
            <w:r w:rsidR="00BA44DF" w:rsidRPr="00894DC3">
              <w:t>y</w:t>
            </w:r>
            <w:r w:rsidRPr="00894DC3">
              <w:t>)</w:t>
            </w:r>
          </w:p>
        </w:tc>
      </w:tr>
      <w:tr w:rsidR="00C15E92" w:rsidRPr="00894DC3" w14:paraId="08627ED6" w14:textId="77777777" w:rsidTr="00C15E92">
        <w:trPr>
          <w:trHeight w:val="253"/>
        </w:trPr>
        <w:tc>
          <w:tcPr>
            <w:tcW w:w="2410" w:type="dxa"/>
            <w:hideMark/>
          </w:tcPr>
          <w:p w14:paraId="6A16A3C7" w14:textId="0B4B2DC9" w:rsidR="00C15E92" w:rsidRPr="00894DC3" w:rsidRDefault="00C15E92" w:rsidP="008168B3">
            <w:pPr>
              <w:pStyle w:val="TableParagraph"/>
              <w:spacing w:line="234" w:lineRule="exact"/>
              <w:rPr>
                <w:rFonts w:asciiTheme="minorHAnsi" w:hAnsiTheme="minorHAnsi"/>
                <w:sz w:val="20"/>
                <w:szCs w:val="20"/>
                <w:lang w:eastAsia="en-US"/>
              </w:rPr>
            </w:pPr>
            <w:proofErr w:type="spellStart"/>
            <w:r w:rsidRPr="00894DC3">
              <w:rPr>
                <w:rFonts w:asciiTheme="minorHAnsi" w:hAnsiTheme="minorHAnsi"/>
                <w:sz w:val="20"/>
                <w:szCs w:val="20"/>
              </w:rPr>
              <w:t>Kukucka</w:t>
            </w:r>
            <w:proofErr w:type="spellEnd"/>
            <w:r w:rsidRPr="00894DC3">
              <w:rPr>
                <w:rFonts w:asciiTheme="minorHAnsi" w:hAnsiTheme="minorHAnsi"/>
                <w:sz w:val="20"/>
                <w:szCs w:val="20"/>
              </w:rPr>
              <w:t xml:space="preserve"> 2011</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_Ref22221489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19</w:t>
            </w:r>
            <w:r w:rsidR="008168B3" w:rsidRPr="008168B3">
              <w:rPr>
                <w:rFonts w:asciiTheme="minorHAnsi" w:hAnsiTheme="minorHAnsi"/>
                <w:sz w:val="20"/>
                <w:szCs w:val="20"/>
                <w:vertAlign w:val="superscript"/>
              </w:rPr>
              <w:fldChar w:fldCharType="end"/>
            </w:r>
          </w:p>
        </w:tc>
        <w:tc>
          <w:tcPr>
            <w:tcW w:w="2268" w:type="dxa"/>
            <w:hideMark/>
          </w:tcPr>
          <w:p w14:paraId="0195F784" w14:textId="77777777" w:rsidR="00C15E92" w:rsidRPr="00894DC3" w:rsidRDefault="00C15E92">
            <w:pPr>
              <w:pStyle w:val="TableParagraph"/>
              <w:spacing w:line="234" w:lineRule="exact"/>
              <w:ind w:left="554" w:right="552"/>
              <w:jc w:val="center"/>
              <w:rPr>
                <w:rFonts w:asciiTheme="minorHAnsi" w:hAnsiTheme="minorHAnsi"/>
                <w:sz w:val="20"/>
                <w:szCs w:val="20"/>
                <w:lang w:eastAsia="en-US"/>
              </w:rPr>
            </w:pPr>
            <w:r w:rsidRPr="00894DC3">
              <w:rPr>
                <w:rFonts w:asciiTheme="minorHAnsi" w:hAnsiTheme="minorHAnsi"/>
                <w:sz w:val="20"/>
                <w:szCs w:val="20"/>
              </w:rPr>
              <w:t>24</w:t>
            </w:r>
          </w:p>
        </w:tc>
        <w:tc>
          <w:tcPr>
            <w:tcW w:w="3118" w:type="dxa"/>
            <w:hideMark/>
          </w:tcPr>
          <w:p w14:paraId="71453DD8" w14:textId="77777777" w:rsidR="00C15E92" w:rsidRPr="00894DC3" w:rsidRDefault="00C15E92">
            <w:pPr>
              <w:pStyle w:val="TableParagraph"/>
              <w:spacing w:line="234" w:lineRule="exact"/>
              <w:ind w:left="492" w:right="485"/>
              <w:jc w:val="center"/>
              <w:rPr>
                <w:rFonts w:asciiTheme="minorHAnsi" w:hAnsiTheme="minorHAnsi"/>
                <w:sz w:val="20"/>
                <w:szCs w:val="20"/>
                <w:lang w:eastAsia="en-US"/>
              </w:rPr>
            </w:pPr>
            <w:r w:rsidRPr="00894DC3">
              <w:rPr>
                <w:rFonts w:asciiTheme="minorHAnsi" w:hAnsiTheme="minorHAnsi"/>
                <w:sz w:val="20"/>
                <w:szCs w:val="20"/>
              </w:rPr>
              <w:t>56 ± 10</w:t>
            </w:r>
          </w:p>
        </w:tc>
      </w:tr>
      <w:tr w:rsidR="00C15E92" w:rsidRPr="00894DC3" w14:paraId="79EC9014" w14:textId="77777777" w:rsidTr="00C15E92">
        <w:trPr>
          <w:trHeight w:val="251"/>
        </w:trPr>
        <w:tc>
          <w:tcPr>
            <w:tcW w:w="2410" w:type="dxa"/>
            <w:hideMark/>
          </w:tcPr>
          <w:p w14:paraId="45A87E08" w14:textId="29FBEAB0" w:rsidR="00C15E92" w:rsidRPr="00894DC3" w:rsidRDefault="00C15E92" w:rsidP="008168B3">
            <w:pPr>
              <w:pStyle w:val="TableParagraph"/>
              <w:spacing w:line="232" w:lineRule="exact"/>
              <w:rPr>
                <w:rFonts w:asciiTheme="minorHAnsi" w:hAnsiTheme="minorHAnsi"/>
                <w:sz w:val="20"/>
                <w:szCs w:val="20"/>
                <w:lang w:eastAsia="en-US"/>
              </w:rPr>
            </w:pPr>
            <w:proofErr w:type="spellStart"/>
            <w:r w:rsidRPr="00894DC3">
              <w:rPr>
                <w:rFonts w:asciiTheme="minorHAnsi" w:hAnsiTheme="minorHAnsi"/>
                <w:sz w:val="20"/>
                <w:szCs w:val="20"/>
              </w:rPr>
              <w:t>Fernandes</w:t>
            </w:r>
            <w:proofErr w:type="spellEnd"/>
            <w:r w:rsidRPr="00894DC3">
              <w:rPr>
                <w:rFonts w:asciiTheme="minorHAnsi" w:hAnsiTheme="minorHAnsi"/>
                <w:sz w:val="20"/>
                <w:szCs w:val="20"/>
              </w:rPr>
              <w:t xml:space="preserve"> 2011</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_Ref25843676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20</w:t>
            </w:r>
            <w:r w:rsidR="008168B3" w:rsidRPr="008168B3">
              <w:rPr>
                <w:rFonts w:asciiTheme="minorHAnsi" w:hAnsiTheme="minorHAnsi"/>
                <w:sz w:val="20"/>
                <w:szCs w:val="20"/>
                <w:vertAlign w:val="superscript"/>
              </w:rPr>
              <w:fldChar w:fldCharType="end"/>
            </w:r>
          </w:p>
        </w:tc>
        <w:tc>
          <w:tcPr>
            <w:tcW w:w="2268" w:type="dxa"/>
            <w:hideMark/>
          </w:tcPr>
          <w:p w14:paraId="6BF7CBC6" w14:textId="77777777" w:rsidR="00C15E92" w:rsidRPr="00894DC3" w:rsidRDefault="00C15E92">
            <w:pPr>
              <w:pStyle w:val="TableParagraph"/>
              <w:spacing w:line="232" w:lineRule="exact"/>
              <w:ind w:left="554" w:right="552"/>
              <w:jc w:val="center"/>
              <w:rPr>
                <w:rFonts w:asciiTheme="minorHAnsi" w:hAnsiTheme="minorHAnsi"/>
                <w:sz w:val="20"/>
                <w:szCs w:val="20"/>
                <w:lang w:eastAsia="en-US"/>
              </w:rPr>
            </w:pPr>
            <w:r w:rsidRPr="00894DC3">
              <w:rPr>
                <w:rFonts w:asciiTheme="minorHAnsi" w:hAnsiTheme="minorHAnsi"/>
                <w:sz w:val="20"/>
                <w:szCs w:val="20"/>
              </w:rPr>
              <w:t>14</w:t>
            </w:r>
          </w:p>
        </w:tc>
        <w:tc>
          <w:tcPr>
            <w:tcW w:w="3118" w:type="dxa"/>
            <w:hideMark/>
          </w:tcPr>
          <w:p w14:paraId="1C516717" w14:textId="77777777" w:rsidR="00C15E92" w:rsidRPr="00894DC3" w:rsidRDefault="00C15E92">
            <w:pPr>
              <w:pStyle w:val="TableParagraph"/>
              <w:spacing w:line="232" w:lineRule="exact"/>
              <w:ind w:left="492" w:right="485"/>
              <w:jc w:val="center"/>
              <w:rPr>
                <w:rFonts w:asciiTheme="minorHAnsi" w:hAnsiTheme="minorHAnsi"/>
                <w:sz w:val="20"/>
                <w:szCs w:val="20"/>
                <w:lang w:eastAsia="en-US"/>
              </w:rPr>
            </w:pPr>
            <w:r w:rsidRPr="00894DC3">
              <w:rPr>
                <w:rFonts w:asciiTheme="minorHAnsi" w:hAnsiTheme="minorHAnsi"/>
                <w:sz w:val="20"/>
                <w:szCs w:val="20"/>
              </w:rPr>
              <w:t>48 ± 11</w:t>
            </w:r>
          </w:p>
        </w:tc>
      </w:tr>
      <w:tr w:rsidR="00C15E92" w:rsidRPr="00894DC3" w14:paraId="1393D5E8" w14:textId="77777777" w:rsidTr="00C15E92">
        <w:trPr>
          <w:trHeight w:val="253"/>
        </w:trPr>
        <w:tc>
          <w:tcPr>
            <w:tcW w:w="2410" w:type="dxa"/>
            <w:hideMark/>
          </w:tcPr>
          <w:p w14:paraId="03604E59" w14:textId="757BD15C" w:rsidR="00C15E92" w:rsidRPr="00894DC3" w:rsidRDefault="00C15E92" w:rsidP="008168B3">
            <w:pPr>
              <w:pStyle w:val="TableParagraph"/>
              <w:spacing w:line="234" w:lineRule="exact"/>
              <w:rPr>
                <w:rFonts w:asciiTheme="minorHAnsi" w:hAnsiTheme="minorHAnsi"/>
                <w:sz w:val="20"/>
                <w:szCs w:val="20"/>
                <w:lang w:eastAsia="en-US"/>
              </w:rPr>
            </w:pPr>
            <w:r w:rsidRPr="00894DC3">
              <w:rPr>
                <w:rFonts w:asciiTheme="minorHAnsi" w:hAnsiTheme="minorHAnsi"/>
                <w:sz w:val="20"/>
                <w:szCs w:val="20"/>
              </w:rPr>
              <w:t>Khan 2009</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_Ref25843937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21</w:t>
            </w:r>
            <w:r w:rsidR="008168B3" w:rsidRPr="008168B3">
              <w:rPr>
                <w:rFonts w:asciiTheme="minorHAnsi" w:hAnsiTheme="minorHAnsi"/>
                <w:sz w:val="20"/>
                <w:szCs w:val="20"/>
                <w:vertAlign w:val="superscript"/>
              </w:rPr>
              <w:fldChar w:fldCharType="end"/>
            </w:r>
          </w:p>
        </w:tc>
        <w:tc>
          <w:tcPr>
            <w:tcW w:w="2268" w:type="dxa"/>
            <w:hideMark/>
          </w:tcPr>
          <w:p w14:paraId="20AA6235" w14:textId="77777777" w:rsidR="00C15E92" w:rsidRPr="00894DC3" w:rsidRDefault="00C15E92">
            <w:pPr>
              <w:pStyle w:val="TableParagraph"/>
              <w:spacing w:line="234" w:lineRule="exact"/>
              <w:ind w:left="554" w:right="552"/>
              <w:jc w:val="center"/>
              <w:rPr>
                <w:rFonts w:asciiTheme="minorHAnsi" w:hAnsiTheme="minorHAnsi"/>
                <w:sz w:val="20"/>
                <w:szCs w:val="20"/>
                <w:lang w:eastAsia="en-US"/>
              </w:rPr>
            </w:pPr>
            <w:r w:rsidRPr="00894DC3">
              <w:rPr>
                <w:rFonts w:asciiTheme="minorHAnsi" w:hAnsiTheme="minorHAnsi"/>
                <w:sz w:val="20"/>
                <w:szCs w:val="20"/>
              </w:rPr>
              <w:t>14</w:t>
            </w:r>
          </w:p>
        </w:tc>
        <w:tc>
          <w:tcPr>
            <w:tcW w:w="3118" w:type="dxa"/>
            <w:hideMark/>
          </w:tcPr>
          <w:p w14:paraId="438655BC" w14:textId="77777777" w:rsidR="00C15E92" w:rsidRPr="00894DC3" w:rsidRDefault="00C15E92">
            <w:pPr>
              <w:pStyle w:val="TableParagraph"/>
              <w:spacing w:line="234" w:lineRule="exact"/>
              <w:ind w:left="494" w:right="484"/>
              <w:jc w:val="center"/>
              <w:rPr>
                <w:rFonts w:asciiTheme="minorHAnsi" w:hAnsiTheme="minorHAnsi"/>
                <w:sz w:val="20"/>
                <w:szCs w:val="20"/>
                <w:lang w:eastAsia="en-US"/>
              </w:rPr>
            </w:pPr>
            <w:r w:rsidRPr="00894DC3">
              <w:rPr>
                <w:rFonts w:asciiTheme="minorHAnsi" w:hAnsiTheme="minorHAnsi"/>
                <w:sz w:val="20"/>
                <w:szCs w:val="20"/>
              </w:rPr>
              <w:t>59 ± 2</w:t>
            </w:r>
          </w:p>
        </w:tc>
      </w:tr>
      <w:tr w:rsidR="00C15E92" w:rsidRPr="00894DC3" w14:paraId="6771988D" w14:textId="77777777" w:rsidTr="00C15E92">
        <w:trPr>
          <w:trHeight w:val="253"/>
        </w:trPr>
        <w:tc>
          <w:tcPr>
            <w:tcW w:w="2410" w:type="dxa"/>
            <w:hideMark/>
          </w:tcPr>
          <w:p w14:paraId="2981D922" w14:textId="6C09E8A5" w:rsidR="00C15E92" w:rsidRPr="00894DC3" w:rsidRDefault="00C15E92" w:rsidP="008168B3">
            <w:pPr>
              <w:pStyle w:val="TableParagraph"/>
              <w:spacing w:line="234" w:lineRule="exact"/>
              <w:rPr>
                <w:rFonts w:asciiTheme="minorHAnsi" w:hAnsiTheme="minorHAnsi"/>
                <w:sz w:val="20"/>
                <w:szCs w:val="20"/>
                <w:lang w:eastAsia="en-US"/>
              </w:rPr>
            </w:pPr>
            <w:proofErr w:type="spellStart"/>
            <w:r w:rsidRPr="00894DC3">
              <w:rPr>
                <w:rFonts w:asciiTheme="minorHAnsi" w:hAnsiTheme="minorHAnsi"/>
                <w:sz w:val="20"/>
                <w:szCs w:val="20"/>
              </w:rPr>
              <w:t>Elahi</w:t>
            </w:r>
            <w:proofErr w:type="spellEnd"/>
            <w:r w:rsidRPr="00894DC3">
              <w:rPr>
                <w:rFonts w:asciiTheme="minorHAnsi" w:hAnsiTheme="minorHAnsi"/>
                <w:sz w:val="20"/>
                <w:szCs w:val="20"/>
              </w:rPr>
              <w:t xml:space="preserve"> 2009</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_Ref22570904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37</w:t>
            </w:r>
            <w:r w:rsidR="008168B3" w:rsidRPr="008168B3">
              <w:rPr>
                <w:rFonts w:asciiTheme="minorHAnsi" w:hAnsiTheme="minorHAnsi"/>
                <w:sz w:val="20"/>
                <w:szCs w:val="20"/>
                <w:vertAlign w:val="superscript"/>
              </w:rPr>
              <w:fldChar w:fldCharType="end"/>
            </w:r>
          </w:p>
        </w:tc>
        <w:tc>
          <w:tcPr>
            <w:tcW w:w="2268" w:type="dxa"/>
            <w:hideMark/>
          </w:tcPr>
          <w:p w14:paraId="7573BB80" w14:textId="77777777" w:rsidR="00C15E92" w:rsidRPr="00894DC3" w:rsidRDefault="00C15E92">
            <w:pPr>
              <w:pStyle w:val="TableParagraph"/>
              <w:spacing w:line="234" w:lineRule="exact"/>
              <w:ind w:left="554" w:right="552"/>
              <w:jc w:val="center"/>
              <w:rPr>
                <w:rFonts w:asciiTheme="minorHAnsi" w:hAnsiTheme="minorHAnsi"/>
                <w:sz w:val="20"/>
                <w:szCs w:val="20"/>
                <w:lang w:eastAsia="en-US"/>
              </w:rPr>
            </w:pPr>
            <w:r w:rsidRPr="00894DC3">
              <w:rPr>
                <w:rFonts w:asciiTheme="minorHAnsi" w:hAnsiTheme="minorHAnsi"/>
                <w:sz w:val="20"/>
                <w:szCs w:val="20"/>
              </w:rPr>
              <w:t>15</w:t>
            </w:r>
          </w:p>
        </w:tc>
        <w:tc>
          <w:tcPr>
            <w:tcW w:w="3118" w:type="dxa"/>
            <w:hideMark/>
          </w:tcPr>
          <w:p w14:paraId="73ED08A5" w14:textId="77777777" w:rsidR="00C15E92" w:rsidRPr="00894DC3" w:rsidRDefault="00C15E92">
            <w:pPr>
              <w:pStyle w:val="TableParagraph"/>
              <w:spacing w:line="234" w:lineRule="exact"/>
              <w:ind w:left="490" w:right="485"/>
              <w:jc w:val="center"/>
              <w:rPr>
                <w:rFonts w:asciiTheme="minorHAnsi" w:hAnsiTheme="minorHAnsi"/>
                <w:sz w:val="20"/>
                <w:szCs w:val="20"/>
                <w:lang w:eastAsia="en-US"/>
              </w:rPr>
            </w:pPr>
            <w:r w:rsidRPr="00894DC3">
              <w:rPr>
                <w:rFonts w:asciiTheme="minorHAnsi" w:hAnsiTheme="minorHAnsi"/>
                <w:sz w:val="20"/>
                <w:szCs w:val="20"/>
              </w:rPr>
              <w:t>62 ± 4.5</w:t>
            </w:r>
          </w:p>
        </w:tc>
      </w:tr>
      <w:tr w:rsidR="00C15E92" w:rsidRPr="00894DC3" w14:paraId="4E5732E1" w14:textId="77777777" w:rsidTr="00C15E92">
        <w:trPr>
          <w:trHeight w:val="251"/>
        </w:trPr>
        <w:tc>
          <w:tcPr>
            <w:tcW w:w="2410" w:type="dxa"/>
            <w:hideMark/>
          </w:tcPr>
          <w:p w14:paraId="0BF647BF" w14:textId="32D8BF46" w:rsidR="00C15E92" w:rsidRPr="00894DC3" w:rsidRDefault="00C15E92" w:rsidP="008168B3">
            <w:pPr>
              <w:pStyle w:val="TableParagraph"/>
              <w:spacing w:line="232" w:lineRule="exact"/>
              <w:rPr>
                <w:rFonts w:asciiTheme="minorHAnsi" w:hAnsiTheme="minorHAnsi"/>
                <w:sz w:val="20"/>
                <w:szCs w:val="20"/>
                <w:lang w:eastAsia="en-US"/>
              </w:rPr>
            </w:pPr>
            <w:proofErr w:type="spellStart"/>
            <w:r w:rsidRPr="00894DC3">
              <w:rPr>
                <w:rFonts w:asciiTheme="minorHAnsi" w:hAnsiTheme="minorHAnsi"/>
                <w:sz w:val="20"/>
                <w:szCs w:val="20"/>
              </w:rPr>
              <w:t>Razzaq</w:t>
            </w:r>
            <w:proofErr w:type="spellEnd"/>
            <w:r w:rsidRPr="00894DC3">
              <w:rPr>
                <w:rFonts w:asciiTheme="minorHAnsi" w:hAnsiTheme="minorHAnsi"/>
                <w:sz w:val="20"/>
                <w:szCs w:val="20"/>
              </w:rPr>
              <w:t xml:space="preserve"> 2009</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_Ref22570085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31</w:t>
            </w:r>
            <w:r w:rsidR="008168B3" w:rsidRPr="008168B3">
              <w:rPr>
                <w:rFonts w:asciiTheme="minorHAnsi" w:hAnsiTheme="minorHAnsi"/>
                <w:sz w:val="20"/>
                <w:szCs w:val="20"/>
                <w:vertAlign w:val="superscript"/>
              </w:rPr>
              <w:fldChar w:fldCharType="end"/>
            </w:r>
          </w:p>
        </w:tc>
        <w:tc>
          <w:tcPr>
            <w:tcW w:w="2268" w:type="dxa"/>
            <w:hideMark/>
          </w:tcPr>
          <w:p w14:paraId="022B1ACB" w14:textId="77777777" w:rsidR="00C15E92" w:rsidRPr="00894DC3" w:rsidRDefault="00C15E92">
            <w:pPr>
              <w:pStyle w:val="TableParagraph"/>
              <w:spacing w:line="232" w:lineRule="exact"/>
              <w:ind w:left="554" w:right="552"/>
              <w:jc w:val="center"/>
              <w:rPr>
                <w:rFonts w:asciiTheme="minorHAnsi" w:hAnsiTheme="minorHAnsi"/>
                <w:sz w:val="20"/>
                <w:szCs w:val="20"/>
                <w:lang w:eastAsia="en-US"/>
              </w:rPr>
            </w:pPr>
            <w:r w:rsidRPr="00894DC3">
              <w:rPr>
                <w:rFonts w:asciiTheme="minorHAnsi" w:hAnsiTheme="minorHAnsi"/>
                <w:sz w:val="20"/>
                <w:szCs w:val="20"/>
              </w:rPr>
              <w:t>30</w:t>
            </w:r>
          </w:p>
        </w:tc>
        <w:tc>
          <w:tcPr>
            <w:tcW w:w="3118" w:type="dxa"/>
            <w:hideMark/>
          </w:tcPr>
          <w:p w14:paraId="4AAF9E42" w14:textId="77777777" w:rsidR="00C15E92" w:rsidRPr="00894DC3" w:rsidRDefault="00C15E92">
            <w:pPr>
              <w:pStyle w:val="TableParagraph"/>
              <w:spacing w:line="232" w:lineRule="exact"/>
              <w:ind w:left="492" w:right="485"/>
              <w:jc w:val="center"/>
              <w:rPr>
                <w:rFonts w:asciiTheme="minorHAnsi" w:hAnsiTheme="minorHAnsi"/>
                <w:sz w:val="20"/>
                <w:szCs w:val="20"/>
                <w:lang w:eastAsia="en-US"/>
              </w:rPr>
            </w:pPr>
            <w:r w:rsidRPr="00894DC3">
              <w:rPr>
                <w:rFonts w:asciiTheme="minorHAnsi" w:hAnsiTheme="minorHAnsi"/>
                <w:sz w:val="20"/>
                <w:szCs w:val="20"/>
              </w:rPr>
              <w:t>30.4 ± 8.9</w:t>
            </w:r>
          </w:p>
        </w:tc>
      </w:tr>
      <w:tr w:rsidR="00C15E92" w:rsidRPr="00894DC3" w14:paraId="484F01BF" w14:textId="77777777" w:rsidTr="00C15E92">
        <w:trPr>
          <w:trHeight w:val="253"/>
        </w:trPr>
        <w:tc>
          <w:tcPr>
            <w:tcW w:w="2410" w:type="dxa"/>
            <w:hideMark/>
          </w:tcPr>
          <w:p w14:paraId="0247B79C" w14:textId="30510A7F" w:rsidR="00C15E92" w:rsidRPr="00894DC3" w:rsidRDefault="00C15E92" w:rsidP="008168B3">
            <w:pPr>
              <w:pStyle w:val="TableParagraph"/>
              <w:spacing w:line="234" w:lineRule="exact"/>
              <w:rPr>
                <w:rFonts w:asciiTheme="minorHAnsi" w:hAnsiTheme="minorHAnsi"/>
                <w:sz w:val="20"/>
                <w:szCs w:val="20"/>
                <w:lang w:eastAsia="en-US"/>
              </w:rPr>
            </w:pPr>
            <w:proofErr w:type="spellStart"/>
            <w:r w:rsidRPr="00894DC3">
              <w:rPr>
                <w:rFonts w:asciiTheme="minorHAnsi" w:hAnsiTheme="minorHAnsi"/>
                <w:sz w:val="20"/>
                <w:szCs w:val="20"/>
              </w:rPr>
              <w:t>Makker</w:t>
            </w:r>
            <w:proofErr w:type="spellEnd"/>
            <w:r w:rsidRPr="00894DC3">
              <w:rPr>
                <w:rFonts w:asciiTheme="minorHAnsi" w:hAnsiTheme="minorHAnsi"/>
                <w:sz w:val="20"/>
                <w:szCs w:val="20"/>
              </w:rPr>
              <w:t xml:space="preserve"> 2006</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_Ref22570947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32</w:t>
            </w:r>
            <w:r w:rsidR="008168B3" w:rsidRPr="008168B3">
              <w:rPr>
                <w:rFonts w:asciiTheme="minorHAnsi" w:hAnsiTheme="minorHAnsi"/>
                <w:sz w:val="20"/>
                <w:szCs w:val="20"/>
                <w:vertAlign w:val="superscript"/>
              </w:rPr>
              <w:fldChar w:fldCharType="end"/>
            </w:r>
          </w:p>
        </w:tc>
        <w:tc>
          <w:tcPr>
            <w:tcW w:w="2268" w:type="dxa"/>
            <w:hideMark/>
          </w:tcPr>
          <w:p w14:paraId="145B954B" w14:textId="77777777" w:rsidR="00C15E92" w:rsidRPr="00894DC3" w:rsidRDefault="00C15E92">
            <w:pPr>
              <w:pStyle w:val="TableParagraph"/>
              <w:spacing w:line="234" w:lineRule="exact"/>
              <w:ind w:left="554" w:right="552"/>
              <w:jc w:val="center"/>
              <w:rPr>
                <w:rFonts w:asciiTheme="minorHAnsi" w:hAnsiTheme="minorHAnsi"/>
                <w:sz w:val="20"/>
                <w:szCs w:val="20"/>
                <w:lang w:eastAsia="en-US"/>
              </w:rPr>
            </w:pPr>
            <w:r w:rsidRPr="00894DC3">
              <w:rPr>
                <w:rFonts w:asciiTheme="minorHAnsi" w:hAnsiTheme="minorHAnsi"/>
                <w:sz w:val="20"/>
                <w:szCs w:val="20"/>
              </w:rPr>
              <w:t>14</w:t>
            </w:r>
          </w:p>
        </w:tc>
        <w:tc>
          <w:tcPr>
            <w:tcW w:w="3118" w:type="dxa"/>
            <w:hideMark/>
          </w:tcPr>
          <w:p w14:paraId="187B2BE0" w14:textId="77777777" w:rsidR="00C15E92" w:rsidRPr="00894DC3" w:rsidRDefault="00C15E92">
            <w:pPr>
              <w:pStyle w:val="TableParagraph"/>
              <w:spacing w:line="234" w:lineRule="exact"/>
              <w:ind w:left="492" w:right="485"/>
              <w:jc w:val="center"/>
              <w:rPr>
                <w:rFonts w:asciiTheme="minorHAnsi" w:hAnsiTheme="minorHAnsi"/>
                <w:sz w:val="20"/>
                <w:szCs w:val="20"/>
                <w:lang w:eastAsia="en-US"/>
              </w:rPr>
            </w:pPr>
            <w:r w:rsidRPr="00894DC3">
              <w:rPr>
                <w:rFonts w:asciiTheme="minorHAnsi" w:hAnsiTheme="minorHAnsi"/>
                <w:sz w:val="20"/>
                <w:szCs w:val="20"/>
              </w:rPr>
              <w:t>58.5 ± 9.0</w:t>
            </w:r>
          </w:p>
        </w:tc>
      </w:tr>
      <w:tr w:rsidR="00C15E92" w:rsidRPr="00894DC3" w14:paraId="1358B5FB" w14:textId="77777777" w:rsidTr="00C15E92">
        <w:trPr>
          <w:trHeight w:val="251"/>
        </w:trPr>
        <w:tc>
          <w:tcPr>
            <w:tcW w:w="2410" w:type="dxa"/>
            <w:hideMark/>
          </w:tcPr>
          <w:p w14:paraId="1A02E045" w14:textId="289BE81F" w:rsidR="00C15E92" w:rsidRPr="00894DC3" w:rsidRDefault="00C15E92" w:rsidP="008168B3">
            <w:pPr>
              <w:pStyle w:val="TableParagraph"/>
              <w:spacing w:line="232" w:lineRule="exact"/>
              <w:rPr>
                <w:rFonts w:asciiTheme="minorHAnsi" w:hAnsiTheme="minorHAnsi"/>
                <w:sz w:val="20"/>
                <w:szCs w:val="20"/>
                <w:lang w:eastAsia="en-US"/>
              </w:rPr>
            </w:pPr>
            <w:r w:rsidRPr="00894DC3">
              <w:rPr>
                <w:rFonts w:asciiTheme="minorHAnsi" w:hAnsiTheme="minorHAnsi"/>
                <w:sz w:val="20"/>
                <w:szCs w:val="20"/>
              </w:rPr>
              <w:t>Beck 1999</w:t>
            </w:r>
            <w:r w:rsidR="008168B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_Ref22563174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35</w:t>
            </w:r>
            <w:r w:rsidR="008168B3" w:rsidRPr="008168B3">
              <w:rPr>
                <w:rFonts w:asciiTheme="minorHAnsi" w:hAnsiTheme="minorHAnsi"/>
                <w:sz w:val="20"/>
                <w:szCs w:val="20"/>
                <w:vertAlign w:val="superscript"/>
              </w:rPr>
              <w:fldChar w:fldCharType="end"/>
            </w:r>
          </w:p>
        </w:tc>
        <w:tc>
          <w:tcPr>
            <w:tcW w:w="2268" w:type="dxa"/>
            <w:hideMark/>
          </w:tcPr>
          <w:p w14:paraId="7B626F69" w14:textId="77777777" w:rsidR="00C15E92" w:rsidRPr="00894DC3" w:rsidRDefault="00C15E92">
            <w:pPr>
              <w:pStyle w:val="TableParagraph"/>
              <w:spacing w:line="232" w:lineRule="exact"/>
              <w:ind w:left="554" w:right="552"/>
              <w:jc w:val="center"/>
              <w:rPr>
                <w:rFonts w:asciiTheme="minorHAnsi" w:hAnsiTheme="minorHAnsi"/>
                <w:sz w:val="20"/>
                <w:szCs w:val="20"/>
                <w:lang w:eastAsia="en-US"/>
              </w:rPr>
            </w:pPr>
            <w:r w:rsidRPr="00894DC3">
              <w:rPr>
                <w:rFonts w:asciiTheme="minorHAnsi" w:hAnsiTheme="minorHAnsi"/>
                <w:sz w:val="20"/>
                <w:szCs w:val="20"/>
              </w:rPr>
              <w:t>34</w:t>
            </w:r>
          </w:p>
        </w:tc>
        <w:tc>
          <w:tcPr>
            <w:tcW w:w="3118" w:type="dxa"/>
            <w:hideMark/>
          </w:tcPr>
          <w:p w14:paraId="0A58FFC4" w14:textId="77777777" w:rsidR="00C15E92" w:rsidRPr="00894DC3" w:rsidRDefault="00C15E92">
            <w:pPr>
              <w:pStyle w:val="TableParagraph"/>
              <w:spacing w:line="232" w:lineRule="exact"/>
              <w:ind w:left="492" w:right="485"/>
              <w:jc w:val="center"/>
              <w:rPr>
                <w:rFonts w:asciiTheme="minorHAnsi" w:hAnsiTheme="minorHAnsi"/>
                <w:sz w:val="20"/>
                <w:szCs w:val="20"/>
                <w:lang w:eastAsia="en-US"/>
              </w:rPr>
            </w:pPr>
            <w:r w:rsidRPr="00894DC3">
              <w:rPr>
                <w:rFonts w:asciiTheme="minorHAnsi" w:hAnsiTheme="minorHAnsi"/>
                <w:sz w:val="20"/>
                <w:szCs w:val="20"/>
              </w:rPr>
              <w:t>59.1 ± 1.6</w:t>
            </w:r>
          </w:p>
        </w:tc>
      </w:tr>
      <w:tr w:rsidR="00C15E92" w:rsidRPr="00894DC3" w14:paraId="141D013B" w14:textId="77777777" w:rsidTr="00C15E92">
        <w:trPr>
          <w:trHeight w:val="253"/>
        </w:trPr>
        <w:tc>
          <w:tcPr>
            <w:tcW w:w="2410" w:type="dxa"/>
            <w:hideMark/>
          </w:tcPr>
          <w:p w14:paraId="4D4A255D" w14:textId="24C5DE7A" w:rsidR="00C15E92" w:rsidRPr="00894DC3" w:rsidRDefault="00C15E92" w:rsidP="008168B3">
            <w:pPr>
              <w:pStyle w:val="TableParagraph"/>
              <w:spacing w:line="234" w:lineRule="exact"/>
              <w:rPr>
                <w:rFonts w:asciiTheme="minorHAnsi" w:hAnsiTheme="minorHAnsi"/>
                <w:sz w:val="20"/>
                <w:szCs w:val="20"/>
                <w:lang w:eastAsia="en-US"/>
              </w:rPr>
            </w:pPr>
            <w:r w:rsidRPr="00894DC3">
              <w:rPr>
                <w:rFonts w:asciiTheme="minorHAnsi" w:hAnsiTheme="minorHAnsi"/>
                <w:sz w:val="20"/>
                <w:szCs w:val="20"/>
              </w:rPr>
              <w:t>MacDonald 1998</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_Ref22570179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33</w:t>
            </w:r>
            <w:r w:rsidR="008168B3" w:rsidRPr="008168B3">
              <w:rPr>
                <w:rFonts w:asciiTheme="minorHAnsi" w:hAnsiTheme="minorHAnsi"/>
                <w:sz w:val="20"/>
                <w:szCs w:val="20"/>
                <w:vertAlign w:val="superscript"/>
              </w:rPr>
              <w:fldChar w:fldCharType="end"/>
            </w:r>
          </w:p>
        </w:tc>
        <w:tc>
          <w:tcPr>
            <w:tcW w:w="2268" w:type="dxa"/>
            <w:hideMark/>
          </w:tcPr>
          <w:p w14:paraId="3088500E" w14:textId="77777777" w:rsidR="00C15E92" w:rsidRPr="00894DC3" w:rsidRDefault="00C15E92">
            <w:pPr>
              <w:pStyle w:val="TableParagraph"/>
              <w:spacing w:line="234" w:lineRule="exact"/>
              <w:ind w:left="2"/>
              <w:jc w:val="center"/>
              <w:rPr>
                <w:rFonts w:asciiTheme="minorHAnsi" w:hAnsiTheme="minorHAnsi"/>
                <w:sz w:val="20"/>
                <w:szCs w:val="20"/>
                <w:lang w:eastAsia="en-US"/>
              </w:rPr>
            </w:pPr>
            <w:r w:rsidRPr="00894DC3">
              <w:rPr>
                <w:rFonts w:asciiTheme="minorHAnsi" w:hAnsiTheme="minorHAnsi"/>
                <w:sz w:val="20"/>
                <w:szCs w:val="20"/>
              </w:rPr>
              <w:t>7</w:t>
            </w:r>
          </w:p>
        </w:tc>
        <w:tc>
          <w:tcPr>
            <w:tcW w:w="3118" w:type="dxa"/>
            <w:hideMark/>
          </w:tcPr>
          <w:p w14:paraId="7873F8CE" w14:textId="77777777" w:rsidR="00C15E92" w:rsidRPr="00894DC3" w:rsidRDefault="00C15E92" w:rsidP="008245A6">
            <w:pPr>
              <w:pStyle w:val="TableParagraph"/>
              <w:spacing w:line="234" w:lineRule="exact"/>
              <w:ind w:left="493" w:right="485"/>
              <w:jc w:val="center"/>
              <w:rPr>
                <w:rFonts w:asciiTheme="minorHAnsi" w:hAnsiTheme="minorHAnsi"/>
                <w:sz w:val="20"/>
                <w:szCs w:val="20"/>
                <w:lang w:eastAsia="en-US"/>
              </w:rPr>
            </w:pPr>
            <w:r w:rsidRPr="00894DC3">
              <w:rPr>
                <w:rFonts w:asciiTheme="minorHAnsi" w:hAnsiTheme="minorHAnsi"/>
                <w:sz w:val="20"/>
                <w:szCs w:val="20"/>
              </w:rPr>
              <w:t>Range 19</w:t>
            </w:r>
            <w:r w:rsidR="008245A6" w:rsidRPr="00894DC3">
              <w:rPr>
                <w:rFonts w:asciiTheme="minorHAnsi" w:hAnsiTheme="minorHAnsi"/>
                <w:sz w:val="20"/>
                <w:szCs w:val="20"/>
              </w:rPr>
              <w:t xml:space="preserve"> to </w:t>
            </w:r>
            <w:r w:rsidRPr="00894DC3">
              <w:rPr>
                <w:rFonts w:asciiTheme="minorHAnsi" w:hAnsiTheme="minorHAnsi"/>
                <w:sz w:val="20"/>
                <w:szCs w:val="20"/>
              </w:rPr>
              <w:t>64</w:t>
            </w:r>
          </w:p>
        </w:tc>
      </w:tr>
      <w:tr w:rsidR="00C15E92" w:rsidRPr="00894DC3" w14:paraId="125DBE40" w14:textId="77777777" w:rsidTr="00C15E92">
        <w:trPr>
          <w:trHeight w:val="251"/>
        </w:trPr>
        <w:tc>
          <w:tcPr>
            <w:tcW w:w="2410" w:type="dxa"/>
            <w:hideMark/>
          </w:tcPr>
          <w:p w14:paraId="37C4FACB" w14:textId="61C9D54F" w:rsidR="00C15E92" w:rsidRPr="00894DC3" w:rsidRDefault="00C15E92" w:rsidP="008168B3">
            <w:pPr>
              <w:pStyle w:val="TableParagraph"/>
              <w:spacing w:line="232" w:lineRule="exact"/>
              <w:rPr>
                <w:rFonts w:asciiTheme="minorHAnsi" w:hAnsiTheme="minorHAnsi"/>
                <w:sz w:val="20"/>
                <w:szCs w:val="20"/>
                <w:lang w:eastAsia="en-US"/>
              </w:rPr>
            </w:pPr>
            <w:r w:rsidRPr="00894DC3">
              <w:rPr>
                <w:rFonts w:asciiTheme="minorHAnsi" w:hAnsiTheme="minorHAnsi"/>
                <w:sz w:val="20"/>
                <w:szCs w:val="20"/>
              </w:rPr>
              <w:t>Fullerton 1996</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_Ref22563188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36</w:t>
            </w:r>
            <w:r w:rsidR="008168B3" w:rsidRPr="008168B3">
              <w:rPr>
                <w:rFonts w:asciiTheme="minorHAnsi" w:hAnsiTheme="minorHAnsi"/>
                <w:sz w:val="20"/>
                <w:szCs w:val="20"/>
                <w:vertAlign w:val="superscript"/>
              </w:rPr>
              <w:fldChar w:fldCharType="end"/>
            </w:r>
          </w:p>
        </w:tc>
        <w:tc>
          <w:tcPr>
            <w:tcW w:w="2268" w:type="dxa"/>
            <w:hideMark/>
          </w:tcPr>
          <w:p w14:paraId="1AD606BB" w14:textId="77777777" w:rsidR="00C15E92" w:rsidRPr="00894DC3" w:rsidRDefault="00C15E92">
            <w:pPr>
              <w:pStyle w:val="TableParagraph"/>
              <w:spacing w:line="232" w:lineRule="exact"/>
              <w:ind w:left="554" w:right="552"/>
              <w:jc w:val="center"/>
              <w:rPr>
                <w:rFonts w:asciiTheme="minorHAnsi" w:hAnsiTheme="minorHAnsi"/>
                <w:sz w:val="20"/>
                <w:szCs w:val="20"/>
                <w:lang w:eastAsia="en-US"/>
              </w:rPr>
            </w:pPr>
            <w:r w:rsidRPr="00894DC3">
              <w:rPr>
                <w:rFonts w:asciiTheme="minorHAnsi" w:hAnsiTheme="minorHAnsi"/>
                <w:sz w:val="20"/>
                <w:szCs w:val="20"/>
              </w:rPr>
              <w:t>20</w:t>
            </w:r>
          </w:p>
        </w:tc>
        <w:tc>
          <w:tcPr>
            <w:tcW w:w="3118" w:type="dxa"/>
            <w:hideMark/>
          </w:tcPr>
          <w:p w14:paraId="1FCCE444" w14:textId="77777777" w:rsidR="00C15E92" w:rsidRPr="00894DC3" w:rsidRDefault="00C15E92">
            <w:pPr>
              <w:pStyle w:val="TableParagraph"/>
              <w:spacing w:line="232" w:lineRule="exact"/>
              <w:ind w:left="490" w:right="485"/>
              <w:jc w:val="center"/>
              <w:rPr>
                <w:rFonts w:asciiTheme="minorHAnsi" w:hAnsiTheme="minorHAnsi"/>
                <w:sz w:val="20"/>
                <w:szCs w:val="20"/>
                <w:lang w:eastAsia="en-US"/>
              </w:rPr>
            </w:pPr>
            <w:r w:rsidRPr="00894DC3">
              <w:rPr>
                <w:rFonts w:asciiTheme="minorHAnsi" w:hAnsiTheme="minorHAnsi"/>
                <w:sz w:val="20"/>
                <w:szCs w:val="20"/>
              </w:rPr>
              <w:t>57 ± 6</w:t>
            </w:r>
          </w:p>
        </w:tc>
      </w:tr>
      <w:tr w:rsidR="00C15E92" w:rsidRPr="00894DC3" w14:paraId="59965324" w14:textId="77777777" w:rsidTr="00C15E92">
        <w:trPr>
          <w:trHeight w:val="254"/>
        </w:trPr>
        <w:tc>
          <w:tcPr>
            <w:tcW w:w="2410" w:type="dxa"/>
            <w:hideMark/>
          </w:tcPr>
          <w:p w14:paraId="315863E9" w14:textId="2C1C0D88" w:rsidR="00C15E92" w:rsidRPr="00894DC3" w:rsidRDefault="00C15E92" w:rsidP="008168B3">
            <w:pPr>
              <w:pStyle w:val="TableParagraph"/>
              <w:spacing w:line="234" w:lineRule="exact"/>
              <w:rPr>
                <w:rFonts w:asciiTheme="minorHAnsi" w:hAnsiTheme="minorHAnsi"/>
                <w:sz w:val="20"/>
                <w:szCs w:val="20"/>
                <w:lang w:eastAsia="en-US"/>
              </w:rPr>
            </w:pPr>
            <w:proofErr w:type="spellStart"/>
            <w:r w:rsidRPr="00894DC3">
              <w:rPr>
                <w:rFonts w:asciiTheme="minorHAnsi" w:hAnsiTheme="minorHAnsi"/>
                <w:sz w:val="20"/>
                <w:szCs w:val="20"/>
              </w:rPr>
              <w:t>Kieler</w:t>
            </w:r>
            <w:proofErr w:type="spellEnd"/>
            <w:r w:rsidRPr="00894DC3">
              <w:rPr>
                <w:rFonts w:asciiTheme="minorHAnsi" w:hAnsiTheme="minorHAnsi"/>
                <w:sz w:val="20"/>
                <w:szCs w:val="20"/>
              </w:rPr>
              <w:t>-Jensen 1995</w:t>
            </w:r>
            <w:r w:rsidR="00FA0473" w:rsidRPr="00894DC3">
              <w:rPr>
                <w:rFonts w:asciiTheme="minorHAnsi" w:hAnsiTheme="minorHAnsi"/>
                <w:sz w:val="20"/>
                <w:szCs w:val="20"/>
                <w:vertAlign w:val="superscript"/>
              </w:rPr>
              <w:t>;</w:t>
            </w:r>
            <w:r w:rsidR="008168B3">
              <w:rPr>
                <w:rFonts w:asciiTheme="minorHAnsi" w:hAnsiTheme="minorHAnsi"/>
                <w:sz w:val="20"/>
                <w:szCs w:val="20"/>
                <w:vertAlign w:val="superscript"/>
              </w:rPr>
              <w:fldChar w:fldCharType="begin"/>
            </w:r>
            <w:r w:rsidR="008168B3">
              <w:rPr>
                <w:rFonts w:asciiTheme="minorHAnsi" w:hAnsiTheme="minorHAnsi"/>
                <w:sz w:val="20"/>
                <w:szCs w:val="20"/>
                <w:vertAlign w:val="superscript"/>
              </w:rPr>
              <w:instrText xml:space="preserve"> NOTEREF _Ref22571011 \h </w:instrText>
            </w:r>
            <w:r w:rsidR="008168B3">
              <w:rPr>
                <w:rFonts w:asciiTheme="minorHAnsi" w:hAnsiTheme="minorHAnsi"/>
                <w:sz w:val="20"/>
                <w:szCs w:val="20"/>
                <w:vertAlign w:val="superscript"/>
              </w:rPr>
            </w:r>
            <w:r w:rsidR="008168B3">
              <w:rPr>
                <w:rFonts w:asciiTheme="minorHAnsi" w:hAnsiTheme="minorHAnsi"/>
                <w:sz w:val="20"/>
                <w:szCs w:val="20"/>
                <w:vertAlign w:val="superscript"/>
              </w:rPr>
              <w:fldChar w:fldCharType="separate"/>
            </w:r>
            <w:r w:rsidR="008168B3">
              <w:rPr>
                <w:rFonts w:asciiTheme="minorHAnsi" w:hAnsiTheme="minorHAnsi"/>
                <w:sz w:val="20"/>
                <w:szCs w:val="20"/>
                <w:vertAlign w:val="superscript"/>
              </w:rPr>
              <w:t>34</w:t>
            </w:r>
            <w:r w:rsidR="008168B3">
              <w:rPr>
                <w:rFonts w:asciiTheme="minorHAnsi" w:hAnsiTheme="minorHAnsi"/>
                <w:sz w:val="20"/>
                <w:szCs w:val="20"/>
                <w:vertAlign w:val="superscript"/>
              </w:rPr>
              <w:fldChar w:fldCharType="end"/>
            </w:r>
          </w:p>
        </w:tc>
        <w:tc>
          <w:tcPr>
            <w:tcW w:w="2268" w:type="dxa"/>
            <w:hideMark/>
          </w:tcPr>
          <w:p w14:paraId="26FDA023" w14:textId="77777777" w:rsidR="00C15E92" w:rsidRPr="00894DC3" w:rsidRDefault="00C15E92">
            <w:pPr>
              <w:pStyle w:val="TableParagraph"/>
              <w:spacing w:line="234" w:lineRule="exact"/>
              <w:ind w:left="554" w:right="552"/>
              <w:jc w:val="center"/>
              <w:rPr>
                <w:rFonts w:asciiTheme="minorHAnsi" w:hAnsiTheme="minorHAnsi"/>
                <w:sz w:val="20"/>
                <w:szCs w:val="20"/>
                <w:lang w:eastAsia="en-US"/>
              </w:rPr>
            </w:pPr>
            <w:r w:rsidRPr="00894DC3">
              <w:rPr>
                <w:rFonts w:asciiTheme="minorHAnsi" w:hAnsiTheme="minorHAnsi"/>
                <w:sz w:val="20"/>
                <w:szCs w:val="20"/>
              </w:rPr>
              <w:t>13</w:t>
            </w:r>
          </w:p>
        </w:tc>
        <w:tc>
          <w:tcPr>
            <w:tcW w:w="3118" w:type="dxa"/>
            <w:hideMark/>
          </w:tcPr>
          <w:p w14:paraId="6AF524EC" w14:textId="77777777" w:rsidR="00C15E92" w:rsidRPr="00894DC3" w:rsidRDefault="00C15E92">
            <w:pPr>
              <w:pStyle w:val="TableParagraph"/>
              <w:spacing w:line="234" w:lineRule="exact"/>
              <w:ind w:left="488" w:right="485"/>
              <w:jc w:val="center"/>
              <w:rPr>
                <w:rFonts w:asciiTheme="minorHAnsi" w:hAnsiTheme="minorHAnsi"/>
                <w:sz w:val="20"/>
                <w:szCs w:val="20"/>
                <w:lang w:eastAsia="en-US"/>
              </w:rPr>
            </w:pPr>
            <w:r w:rsidRPr="00894DC3">
              <w:rPr>
                <w:rFonts w:asciiTheme="minorHAnsi" w:hAnsiTheme="minorHAnsi"/>
                <w:sz w:val="20"/>
                <w:szCs w:val="20"/>
              </w:rPr>
              <w:t>R</w:t>
            </w:r>
            <w:r w:rsidR="008245A6" w:rsidRPr="00894DC3">
              <w:rPr>
                <w:rFonts w:asciiTheme="minorHAnsi" w:hAnsiTheme="minorHAnsi"/>
                <w:sz w:val="20"/>
                <w:szCs w:val="20"/>
              </w:rPr>
              <w:t xml:space="preserve">ange 18 to </w:t>
            </w:r>
            <w:r w:rsidRPr="00894DC3">
              <w:rPr>
                <w:rFonts w:asciiTheme="minorHAnsi" w:hAnsiTheme="minorHAnsi"/>
                <w:sz w:val="20"/>
                <w:szCs w:val="20"/>
              </w:rPr>
              <w:t>59</w:t>
            </w:r>
          </w:p>
        </w:tc>
      </w:tr>
      <w:tr w:rsidR="00C15E92" w:rsidRPr="00894DC3" w14:paraId="5DCADEB8" w14:textId="77777777" w:rsidTr="00C15E92">
        <w:trPr>
          <w:trHeight w:val="253"/>
        </w:trPr>
        <w:tc>
          <w:tcPr>
            <w:tcW w:w="2410" w:type="dxa"/>
            <w:hideMark/>
          </w:tcPr>
          <w:p w14:paraId="77006B02" w14:textId="78D893EF" w:rsidR="00C15E92" w:rsidRPr="00894DC3" w:rsidRDefault="00C15E92" w:rsidP="008168B3">
            <w:pPr>
              <w:pStyle w:val="TableParagraph"/>
              <w:spacing w:line="234" w:lineRule="exact"/>
              <w:rPr>
                <w:rFonts w:asciiTheme="minorHAnsi" w:hAnsiTheme="minorHAnsi"/>
                <w:sz w:val="20"/>
                <w:szCs w:val="20"/>
                <w:lang w:eastAsia="en-US"/>
              </w:rPr>
            </w:pPr>
            <w:proofErr w:type="spellStart"/>
            <w:r w:rsidRPr="00894DC3">
              <w:rPr>
                <w:rFonts w:asciiTheme="minorHAnsi" w:hAnsiTheme="minorHAnsi"/>
                <w:sz w:val="20"/>
                <w:szCs w:val="20"/>
              </w:rPr>
              <w:t>McGinn</w:t>
            </w:r>
            <w:proofErr w:type="spellEnd"/>
            <w:r w:rsidRPr="00894DC3">
              <w:rPr>
                <w:rFonts w:asciiTheme="minorHAnsi" w:hAnsiTheme="minorHAnsi"/>
                <w:sz w:val="20"/>
                <w:szCs w:val="20"/>
              </w:rPr>
              <w:t xml:space="preserve"> 2016</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_Ref22563213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39</w:t>
            </w:r>
            <w:r w:rsidR="008168B3" w:rsidRPr="008168B3">
              <w:rPr>
                <w:rFonts w:asciiTheme="minorHAnsi" w:hAnsiTheme="minorHAnsi"/>
                <w:sz w:val="20"/>
                <w:szCs w:val="20"/>
                <w:vertAlign w:val="superscript"/>
              </w:rPr>
              <w:fldChar w:fldCharType="end"/>
            </w:r>
          </w:p>
        </w:tc>
        <w:tc>
          <w:tcPr>
            <w:tcW w:w="2268" w:type="dxa"/>
            <w:hideMark/>
          </w:tcPr>
          <w:p w14:paraId="6616313F" w14:textId="77777777" w:rsidR="00C15E92" w:rsidRPr="00894DC3" w:rsidRDefault="00C15E92">
            <w:pPr>
              <w:pStyle w:val="TableParagraph"/>
              <w:spacing w:line="234" w:lineRule="exact"/>
              <w:ind w:left="554" w:right="552"/>
              <w:jc w:val="center"/>
              <w:rPr>
                <w:rFonts w:asciiTheme="minorHAnsi" w:hAnsiTheme="minorHAnsi"/>
                <w:sz w:val="20"/>
                <w:szCs w:val="20"/>
                <w:lang w:eastAsia="en-US"/>
              </w:rPr>
            </w:pPr>
            <w:r w:rsidRPr="00894DC3">
              <w:rPr>
                <w:rFonts w:asciiTheme="minorHAnsi" w:hAnsiTheme="minorHAnsi"/>
                <w:sz w:val="20"/>
                <w:szCs w:val="20"/>
              </w:rPr>
              <w:t>49</w:t>
            </w:r>
          </w:p>
        </w:tc>
        <w:tc>
          <w:tcPr>
            <w:tcW w:w="3118" w:type="dxa"/>
            <w:hideMark/>
          </w:tcPr>
          <w:p w14:paraId="7C6C3219" w14:textId="77777777" w:rsidR="00C15E92" w:rsidRPr="00894DC3" w:rsidRDefault="00C15E92">
            <w:pPr>
              <w:pStyle w:val="TableParagraph"/>
              <w:spacing w:line="234" w:lineRule="exact"/>
              <w:ind w:left="492" w:right="485"/>
              <w:jc w:val="center"/>
              <w:rPr>
                <w:rFonts w:asciiTheme="minorHAnsi" w:hAnsiTheme="minorHAnsi"/>
                <w:sz w:val="20"/>
                <w:szCs w:val="20"/>
                <w:lang w:eastAsia="en-US"/>
              </w:rPr>
            </w:pPr>
            <w:r w:rsidRPr="00894DC3">
              <w:rPr>
                <w:rFonts w:asciiTheme="minorHAnsi" w:hAnsiTheme="minorHAnsi"/>
                <w:sz w:val="20"/>
                <w:szCs w:val="20"/>
              </w:rPr>
              <w:t>63 ± 16</w:t>
            </w:r>
          </w:p>
        </w:tc>
      </w:tr>
      <w:tr w:rsidR="00C15E92" w:rsidRPr="00894DC3" w14:paraId="5C7B23AC" w14:textId="77777777" w:rsidTr="00C15E92">
        <w:trPr>
          <w:trHeight w:val="251"/>
        </w:trPr>
        <w:tc>
          <w:tcPr>
            <w:tcW w:w="2410" w:type="dxa"/>
            <w:hideMark/>
          </w:tcPr>
          <w:p w14:paraId="4ACF1993" w14:textId="20CE4467" w:rsidR="00C15E92" w:rsidRPr="00894DC3" w:rsidRDefault="00C15E92" w:rsidP="008168B3">
            <w:pPr>
              <w:pStyle w:val="TableParagraph"/>
              <w:spacing w:line="232" w:lineRule="exact"/>
              <w:rPr>
                <w:rFonts w:asciiTheme="minorHAnsi" w:hAnsiTheme="minorHAnsi"/>
                <w:sz w:val="20"/>
                <w:szCs w:val="20"/>
                <w:lang w:eastAsia="en-US"/>
              </w:rPr>
            </w:pPr>
            <w:r w:rsidRPr="00894DC3">
              <w:rPr>
                <w:rFonts w:asciiTheme="minorHAnsi" w:hAnsiTheme="minorHAnsi"/>
                <w:sz w:val="20"/>
                <w:szCs w:val="20"/>
              </w:rPr>
              <w:t>Maxey 2002</w:t>
            </w:r>
            <w:r w:rsidR="00FA0473" w:rsidRPr="00894DC3">
              <w:rPr>
                <w:rFonts w:asciiTheme="minorHAnsi" w:hAnsiTheme="minorHAnsi"/>
                <w:sz w:val="20"/>
                <w:szCs w:val="20"/>
              </w:rPr>
              <w:t>;</w:t>
            </w:r>
            <w:r w:rsidR="008168B3" w:rsidRPr="008168B3">
              <w:rPr>
                <w:rFonts w:asciiTheme="minorHAnsi" w:hAnsiTheme="minorHAnsi"/>
                <w:sz w:val="20"/>
                <w:szCs w:val="20"/>
                <w:vertAlign w:val="superscript"/>
              </w:rPr>
              <w:fldChar w:fldCharType="begin"/>
            </w:r>
            <w:r w:rsidR="008168B3" w:rsidRPr="008168B3">
              <w:rPr>
                <w:rFonts w:asciiTheme="minorHAnsi" w:hAnsiTheme="minorHAnsi"/>
                <w:sz w:val="20"/>
                <w:szCs w:val="20"/>
                <w:vertAlign w:val="superscript"/>
              </w:rPr>
              <w:instrText xml:space="preserve"> NOTEREF _Ref22571259 \h  \* MERGEFORMAT </w:instrText>
            </w:r>
            <w:r w:rsidR="008168B3" w:rsidRPr="008168B3">
              <w:rPr>
                <w:rFonts w:asciiTheme="minorHAnsi" w:hAnsiTheme="minorHAnsi"/>
                <w:sz w:val="20"/>
                <w:szCs w:val="20"/>
                <w:vertAlign w:val="superscript"/>
              </w:rPr>
            </w:r>
            <w:r w:rsidR="008168B3" w:rsidRPr="008168B3">
              <w:rPr>
                <w:rFonts w:asciiTheme="minorHAnsi" w:hAnsiTheme="minorHAnsi"/>
                <w:sz w:val="20"/>
                <w:szCs w:val="20"/>
                <w:vertAlign w:val="superscript"/>
              </w:rPr>
              <w:fldChar w:fldCharType="separate"/>
            </w:r>
            <w:r w:rsidR="008168B3" w:rsidRPr="008168B3">
              <w:rPr>
                <w:rFonts w:asciiTheme="minorHAnsi" w:hAnsiTheme="minorHAnsi"/>
                <w:sz w:val="20"/>
                <w:szCs w:val="20"/>
                <w:vertAlign w:val="superscript"/>
              </w:rPr>
              <w:t>38</w:t>
            </w:r>
            <w:r w:rsidR="008168B3" w:rsidRPr="008168B3">
              <w:rPr>
                <w:rFonts w:asciiTheme="minorHAnsi" w:hAnsiTheme="minorHAnsi"/>
                <w:sz w:val="20"/>
                <w:szCs w:val="20"/>
                <w:vertAlign w:val="superscript"/>
              </w:rPr>
              <w:fldChar w:fldCharType="end"/>
            </w:r>
          </w:p>
        </w:tc>
        <w:tc>
          <w:tcPr>
            <w:tcW w:w="2268" w:type="dxa"/>
            <w:hideMark/>
          </w:tcPr>
          <w:p w14:paraId="0615095A" w14:textId="77777777" w:rsidR="00C15E92" w:rsidRPr="00894DC3" w:rsidRDefault="00C15E92">
            <w:pPr>
              <w:pStyle w:val="TableParagraph"/>
              <w:spacing w:line="232" w:lineRule="exact"/>
              <w:ind w:left="554" w:right="552"/>
              <w:jc w:val="center"/>
              <w:rPr>
                <w:rFonts w:asciiTheme="minorHAnsi" w:hAnsiTheme="minorHAnsi"/>
                <w:sz w:val="20"/>
                <w:szCs w:val="20"/>
                <w:lang w:eastAsia="en-US"/>
              </w:rPr>
            </w:pPr>
            <w:r w:rsidRPr="00894DC3">
              <w:rPr>
                <w:rFonts w:asciiTheme="minorHAnsi" w:hAnsiTheme="minorHAnsi"/>
                <w:sz w:val="20"/>
                <w:szCs w:val="20"/>
              </w:rPr>
              <w:t>17</w:t>
            </w:r>
          </w:p>
        </w:tc>
        <w:tc>
          <w:tcPr>
            <w:tcW w:w="3118" w:type="dxa"/>
            <w:hideMark/>
          </w:tcPr>
          <w:p w14:paraId="70147937" w14:textId="77777777" w:rsidR="00C15E92" w:rsidRPr="00894DC3" w:rsidRDefault="00C15E92">
            <w:pPr>
              <w:pStyle w:val="TableParagraph"/>
              <w:spacing w:line="232" w:lineRule="exact"/>
              <w:ind w:left="493" w:right="485"/>
              <w:jc w:val="center"/>
              <w:rPr>
                <w:rFonts w:asciiTheme="minorHAnsi" w:hAnsiTheme="minorHAnsi"/>
                <w:sz w:val="20"/>
                <w:szCs w:val="20"/>
                <w:lang w:eastAsia="en-US"/>
              </w:rPr>
            </w:pPr>
            <w:r w:rsidRPr="00894DC3">
              <w:rPr>
                <w:rFonts w:asciiTheme="minorHAnsi" w:hAnsiTheme="minorHAnsi"/>
                <w:sz w:val="20"/>
                <w:szCs w:val="20"/>
              </w:rPr>
              <w:t>64</w:t>
            </w:r>
          </w:p>
        </w:tc>
      </w:tr>
    </w:tbl>
    <w:p w14:paraId="7B145E83" w14:textId="77777777" w:rsidR="00C15E92" w:rsidRDefault="00C15E92" w:rsidP="00EE41FA">
      <w:pPr>
        <w:pageBreakBefore/>
      </w:pPr>
      <w:r>
        <w:lastRenderedPageBreak/>
        <w:t>The following published studies provide data on a small number of patients aged over 70</w:t>
      </w:r>
      <w:r w:rsidR="008245A6">
        <w:t> </w:t>
      </w:r>
      <w:r>
        <w:t>years:</w:t>
      </w:r>
    </w:p>
    <w:p w14:paraId="577AD068" w14:textId="5E9375CF" w:rsidR="00C15E92" w:rsidRDefault="00C15E92" w:rsidP="00F86E3E">
      <w:pPr>
        <w:pStyle w:val="ListBullet"/>
      </w:pPr>
      <w:proofErr w:type="spellStart"/>
      <w:r>
        <w:t>Knothe</w:t>
      </w:r>
      <w:proofErr w:type="spellEnd"/>
      <w:r>
        <w:t xml:space="preserve"> 1996</w:t>
      </w:r>
      <w:r w:rsidR="00FA0473">
        <w:t>;</w:t>
      </w:r>
      <w:r w:rsidR="008168B3" w:rsidRPr="008168B3">
        <w:rPr>
          <w:vertAlign w:val="superscript"/>
        </w:rPr>
        <w:fldChar w:fldCharType="begin"/>
      </w:r>
      <w:r w:rsidR="008168B3" w:rsidRPr="008168B3">
        <w:rPr>
          <w:vertAlign w:val="superscript"/>
        </w:rPr>
        <w:instrText xml:space="preserve"> NOTEREF _Ref25843632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22</w:t>
      </w:r>
      <w:r w:rsidR="008168B3" w:rsidRPr="008168B3">
        <w:rPr>
          <w:vertAlign w:val="superscript"/>
        </w:rPr>
        <w:fldChar w:fldCharType="end"/>
      </w:r>
      <w:r w:rsidRPr="00463098">
        <w:rPr>
          <w:vertAlign w:val="superscript"/>
        </w:rPr>
        <w:t xml:space="preserve"> </w:t>
      </w:r>
      <w:r>
        <w:t>(n</w:t>
      </w:r>
      <w:r w:rsidR="00D42948">
        <w:t xml:space="preserve"> = </w:t>
      </w:r>
      <w:r>
        <w:t>20) reported 4 patients over 70 years and 1 patient over 80 years</w:t>
      </w:r>
    </w:p>
    <w:p w14:paraId="1D9A19B3" w14:textId="6E225BBA" w:rsidR="00C15E92" w:rsidRDefault="00C15E92" w:rsidP="00F86E3E">
      <w:pPr>
        <w:pStyle w:val="ListBullet"/>
      </w:pPr>
      <w:proofErr w:type="spellStart"/>
      <w:r>
        <w:t>Schmid</w:t>
      </w:r>
      <w:proofErr w:type="spellEnd"/>
      <w:r>
        <w:t xml:space="preserve"> </w:t>
      </w:r>
      <w:r w:rsidR="001656D3">
        <w:t>199</w:t>
      </w:r>
      <w:r>
        <w:t>9</w:t>
      </w:r>
      <w:r w:rsidR="00FA0473">
        <w:t>;</w:t>
      </w:r>
      <w:r w:rsidR="008168B3" w:rsidRPr="008168B3">
        <w:rPr>
          <w:vertAlign w:val="superscript"/>
        </w:rPr>
        <w:fldChar w:fldCharType="begin"/>
      </w:r>
      <w:r w:rsidR="008168B3" w:rsidRPr="008168B3">
        <w:rPr>
          <w:vertAlign w:val="superscript"/>
        </w:rPr>
        <w:instrText xml:space="preserve"> NOTEREF _Ref20404887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11</w:t>
      </w:r>
      <w:r w:rsidR="008168B3" w:rsidRPr="008168B3">
        <w:rPr>
          <w:vertAlign w:val="superscript"/>
        </w:rPr>
        <w:fldChar w:fldCharType="end"/>
      </w:r>
      <w:r>
        <w:t xml:space="preserve"> (n</w:t>
      </w:r>
      <w:r w:rsidR="00D42948">
        <w:t xml:space="preserve"> = </w:t>
      </w:r>
      <w:r>
        <w:t>14) reported 1 patient over 70 years</w:t>
      </w:r>
    </w:p>
    <w:p w14:paraId="3BD89B6E" w14:textId="772BBEBC" w:rsidR="00C15E92" w:rsidRDefault="00C15E92" w:rsidP="00F86E3E">
      <w:pPr>
        <w:pStyle w:val="ListBullet"/>
      </w:pPr>
      <w:proofErr w:type="spellStart"/>
      <w:r>
        <w:t>Solina</w:t>
      </w:r>
      <w:proofErr w:type="spellEnd"/>
      <w:r>
        <w:t xml:space="preserve"> 2000</w:t>
      </w:r>
      <w:r w:rsidR="001656D3">
        <w:t>;</w:t>
      </w:r>
      <w:r w:rsidR="008168B3" w:rsidRPr="008168B3">
        <w:rPr>
          <w:vertAlign w:val="superscript"/>
        </w:rPr>
        <w:fldChar w:fldCharType="begin"/>
      </w:r>
      <w:r w:rsidR="008168B3" w:rsidRPr="008168B3">
        <w:rPr>
          <w:vertAlign w:val="superscript"/>
        </w:rPr>
        <w:instrText xml:space="preserve"> NOTEREF _Ref25843707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13</w:t>
      </w:r>
      <w:r w:rsidR="008168B3" w:rsidRPr="008168B3">
        <w:rPr>
          <w:vertAlign w:val="superscript"/>
        </w:rPr>
        <w:fldChar w:fldCharType="end"/>
      </w:r>
      <w:r>
        <w:t xml:space="preserve"> (n</w:t>
      </w:r>
      <w:r w:rsidR="00D42948">
        <w:t xml:space="preserve"> = </w:t>
      </w:r>
      <w:r>
        <w:t>30) reported mean ages of 73 ± 11 y</w:t>
      </w:r>
      <w:r w:rsidR="006C537A">
        <w:t>ears</w:t>
      </w:r>
      <w:r>
        <w:t xml:space="preserve"> (20 ppm group) and 62 ± 15 y</w:t>
      </w:r>
      <w:r w:rsidR="006C537A">
        <w:t>ears</w:t>
      </w:r>
      <w:r>
        <w:t xml:space="preserve"> (40 ppm group)</w:t>
      </w:r>
    </w:p>
    <w:p w14:paraId="7FCF95A9" w14:textId="23283052" w:rsidR="00C15E92" w:rsidRDefault="00C15E92" w:rsidP="00F86E3E">
      <w:pPr>
        <w:pStyle w:val="ListBullet"/>
      </w:pPr>
      <w:proofErr w:type="spellStart"/>
      <w:r>
        <w:t>Solina</w:t>
      </w:r>
      <w:proofErr w:type="spellEnd"/>
      <w:r>
        <w:t xml:space="preserve"> 2001</w:t>
      </w:r>
      <w:r w:rsidR="001656D3">
        <w:t>;</w:t>
      </w:r>
      <w:r w:rsidR="008168B3" w:rsidRPr="008168B3">
        <w:rPr>
          <w:vertAlign w:val="superscript"/>
        </w:rPr>
        <w:fldChar w:fldCharType="begin"/>
      </w:r>
      <w:r w:rsidR="008168B3" w:rsidRPr="008168B3">
        <w:rPr>
          <w:vertAlign w:val="superscript"/>
        </w:rPr>
        <w:instrText xml:space="preserve"> NOTEREF _Ref25844324 \h  \* MERGEFORMAT </w:instrText>
      </w:r>
      <w:r w:rsidR="008168B3" w:rsidRPr="008168B3">
        <w:rPr>
          <w:vertAlign w:val="superscript"/>
        </w:rPr>
      </w:r>
      <w:r w:rsidR="008168B3" w:rsidRPr="008168B3">
        <w:rPr>
          <w:vertAlign w:val="superscript"/>
        </w:rPr>
        <w:fldChar w:fldCharType="separate"/>
      </w:r>
      <w:r w:rsidR="008168B3" w:rsidRPr="008168B3">
        <w:rPr>
          <w:vertAlign w:val="superscript"/>
        </w:rPr>
        <w:t>14</w:t>
      </w:r>
      <w:r w:rsidR="008168B3" w:rsidRPr="008168B3">
        <w:rPr>
          <w:vertAlign w:val="superscript"/>
        </w:rPr>
        <w:fldChar w:fldCharType="end"/>
      </w:r>
      <w:r w:rsidRPr="001656D3">
        <w:t xml:space="preserve"> </w:t>
      </w:r>
      <w:r>
        <w:t>(n</w:t>
      </w:r>
      <w:r w:rsidR="00D42948">
        <w:t xml:space="preserve"> = </w:t>
      </w:r>
      <w:r>
        <w:t>47) reported mean ages of 68 ± 6 y (10ppm); 70 ± 12 y</w:t>
      </w:r>
      <w:r w:rsidR="006C537A">
        <w:t>ears</w:t>
      </w:r>
      <w:r>
        <w:t xml:space="preserve"> (20</w:t>
      </w:r>
      <w:r w:rsidR="006F789A">
        <w:t> </w:t>
      </w:r>
      <w:r>
        <w:t>ppm); 73 ± 10 y</w:t>
      </w:r>
      <w:r w:rsidR="006C537A">
        <w:t>ears</w:t>
      </w:r>
      <w:r>
        <w:t xml:space="preserve"> (30 ppm) and 69 ± 10 y</w:t>
      </w:r>
      <w:r w:rsidR="006C537A">
        <w:t>ears</w:t>
      </w:r>
      <w:r>
        <w:t xml:space="preserve"> (40 ppm)</w:t>
      </w:r>
    </w:p>
    <w:p w14:paraId="59AD7844" w14:textId="77777777" w:rsidR="00C15E92" w:rsidRDefault="00C15E92" w:rsidP="008245A6">
      <w:pPr>
        <w:pStyle w:val="Heading6"/>
      </w:pPr>
      <w:r>
        <w:t>S</w:t>
      </w:r>
      <w:r w:rsidR="008245A6">
        <w:t>tudy</w:t>
      </w:r>
      <w:r>
        <w:t xml:space="preserve"> </w:t>
      </w:r>
      <w:r w:rsidR="00DC7D20">
        <w:t>I</w:t>
      </w:r>
      <w:r w:rsidR="008245A6">
        <w:t>NOT</w:t>
      </w:r>
      <w:r>
        <w:t>41</w:t>
      </w:r>
    </w:p>
    <w:p w14:paraId="6EEBBCEA" w14:textId="77777777" w:rsidR="00C15E92" w:rsidRDefault="00C15E92" w:rsidP="00C15E92">
      <w:r>
        <w:t xml:space="preserve">In the </w:t>
      </w:r>
      <w:r w:rsidR="009402F9">
        <w:t>sponsor</w:t>
      </w:r>
      <w:r w:rsidR="008245A6">
        <w:t xml:space="preserve"> </w:t>
      </w:r>
      <w:r>
        <w:t>initiated randomized, placebo</w:t>
      </w:r>
      <w:r w:rsidR="008245A6">
        <w:t xml:space="preserve"> </w:t>
      </w:r>
      <w:r>
        <w:t xml:space="preserve">controlled Study </w:t>
      </w:r>
      <w:r w:rsidR="00BB39E5">
        <w:t>INOT41</w:t>
      </w:r>
      <w:r>
        <w:t xml:space="preserve">, the mean age was reported as 57.6 ± 9.75 and 54.0 ± 11.95 years, for 73 </w:t>
      </w:r>
      <w:r w:rsidR="00DC7D20">
        <w:t>inhaled nitric oxide</w:t>
      </w:r>
      <w:r>
        <w:t>-treated and 77 placebo</w:t>
      </w:r>
      <w:r w:rsidR="008245A6">
        <w:t xml:space="preserve"> </w:t>
      </w:r>
      <w:r>
        <w:t xml:space="preserve">treated patients respectively. Study Report for </w:t>
      </w:r>
      <w:r w:rsidR="00BB39E5">
        <w:t>INOT41</w:t>
      </w:r>
      <w:r>
        <w:t xml:space="preserve"> indicated that 14 of 150 (1.5%) patients were aged over 70 years and no patient was over 80 years.</w:t>
      </w:r>
    </w:p>
    <w:p w14:paraId="64BB52A5" w14:textId="77777777" w:rsidR="00C15E92" w:rsidRDefault="00C15E92" w:rsidP="008245A6">
      <w:pPr>
        <w:pStyle w:val="Heading6"/>
      </w:pPr>
      <w:r>
        <w:t>Post-marketing safety database</w:t>
      </w:r>
    </w:p>
    <w:p w14:paraId="015E64AE" w14:textId="77777777" w:rsidR="00C15E92" w:rsidRDefault="00C15E92" w:rsidP="00C15E92">
      <w:r>
        <w:t>The post-marketing experience (excluding data from clinical trials) includes a total of 30 cases with patients aged &gt; 70 years and 7 cases with patients aged &gt; 80 years.</w:t>
      </w:r>
    </w:p>
    <w:p w14:paraId="1D49076F" w14:textId="77777777" w:rsidR="00C15E92" w:rsidRPr="00527AF3" w:rsidRDefault="00C15E92" w:rsidP="00527AF3">
      <w:pPr>
        <w:pStyle w:val="Numberbullet0"/>
        <w:rPr>
          <w:b/>
          <w:i/>
        </w:rPr>
      </w:pPr>
      <w:r w:rsidRPr="00527AF3">
        <w:rPr>
          <w:b/>
          <w:i/>
        </w:rPr>
        <w:t>The sponsor has included an upper limit of mean exposure to NO for personnel in the PI? Please advise whether this exposure limit is consistent with Australian legislation</w:t>
      </w:r>
      <w:r w:rsidR="00527AF3">
        <w:rPr>
          <w:b/>
          <w:i/>
        </w:rPr>
        <w:t>.</w:t>
      </w:r>
    </w:p>
    <w:p w14:paraId="15AEE4DA" w14:textId="77777777" w:rsidR="00C15E92" w:rsidRDefault="00C15E92" w:rsidP="00C15E92">
      <w:r>
        <w:t>The Safe Work Australia Workplace Exposure Standards for Airborne Contaminants (dated 27 April 2018) provide 8</w:t>
      </w:r>
      <w:r w:rsidR="008245A6">
        <w:t xml:space="preserve"> </w:t>
      </w:r>
      <w:r>
        <w:t>Hour Time-Weighted Average (TWA) values for Nitric oxide of 25 ppm or 31 mg/m</w:t>
      </w:r>
      <w:r w:rsidRPr="008245A6">
        <w:rPr>
          <w:vertAlign w:val="superscript"/>
        </w:rPr>
        <w:t>3</w:t>
      </w:r>
      <w:r>
        <w:t xml:space="preserve">. The environmental build-up of </w:t>
      </w:r>
      <w:r w:rsidR="008245A6">
        <w:t>nitric oxide</w:t>
      </w:r>
      <w:r>
        <w:t xml:space="preserve"> in a well-ventilated ICU room can be evaluated using the calculation below.</w:t>
      </w:r>
    </w:p>
    <w:p w14:paraId="718E2EA9" w14:textId="77777777" w:rsidR="00C15E92" w:rsidRDefault="002445FA" w:rsidP="008E1F3D">
      <w:pPr>
        <w:pStyle w:val="TableTitle"/>
      </w:pPr>
      <w:r>
        <w:t>Table 26</w:t>
      </w:r>
      <w:r w:rsidR="006C537A">
        <w:t>: Environmental build-</w:t>
      </w:r>
      <w:r w:rsidR="008E1F3D">
        <w:t>up of nitric oxide f</w:t>
      </w:r>
      <w:r w:rsidR="00C15E92" w:rsidRPr="00C15E92">
        <w:t>or DSIR (</w:t>
      </w:r>
      <w:r w:rsidR="006C537A" w:rsidRPr="00C15E92">
        <w:t>del</w:t>
      </w:r>
      <w:r w:rsidR="006C537A">
        <w:t>ivery system</w:t>
      </w:r>
      <w:r w:rsidR="00894DC3">
        <w:t>)</w:t>
      </w:r>
    </w:p>
    <w:p w14:paraId="76A0F912" w14:textId="77777777" w:rsidR="00894DC3" w:rsidRDefault="00894DC3" w:rsidP="00894DC3">
      <w:r>
        <w:rPr>
          <w:noProof/>
          <w:lang w:eastAsia="en-AU"/>
        </w:rPr>
        <w:drawing>
          <wp:inline distT="0" distB="0" distL="0" distR="0" wp14:anchorId="222C5599" wp14:editId="19DC84D5">
            <wp:extent cx="4953000" cy="981075"/>
            <wp:effectExtent l="0" t="0" r="0" b="9525"/>
            <wp:docPr id="4" name="Picture 4" descr="Environmental build-up of nitric oxide for DSIR (delive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53000" cy="981075"/>
                    </a:xfrm>
                    <a:prstGeom prst="rect">
                      <a:avLst/>
                    </a:prstGeom>
                  </pic:spPr>
                </pic:pic>
              </a:graphicData>
            </a:graphic>
          </wp:inline>
        </w:drawing>
      </w:r>
    </w:p>
    <w:p w14:paraId="188030E3" w14:textId="77777777" w:rsidR="00FE6A47" w:rsidRDefault="006C537A" w:rsidP="008E1F3D">
      <w:pPr>
        <w:pStyle w:val="TableTitle"/>
      </w:pPr>
      <w:r>
        <w:t>Ta</w:t>
      </w:r>
      <w:r w:rsidR="002445FA">
        <w:t>ble 27</w:t>
      </w:r>
      <w:r>
        <w:t>: Environmental build-</w:t>
      </w:r>
      <w:r w:rsidR="008E1F3D">
        <w:t>up of nitric oxide f</w:t>
      </w:r>
      <w:r w:rsidR="00FE6A47" w:rsidRPr="00FE6A47">
        <w:t xml:space="preserve">or DSIR Plus and </w:t>
      </w:r>
      <w:r w:rsidR="00894DC3">
        <w:t>DSIR Plus MRI (</w:t>
      </w:r>
      <w:r>
        <w:t>delivery s</w:t>
      </w:r>
      <w:r w:rsidR="00894DC3">
        <w:t>ystem)</w:t>
      </w:r>
    </w:p>
    <w:p w14:paraId="08E025FF" w14:textId="77777777" w:rsidR="00894DC3" w:rsidRDefault="00894DC3" w:rsidP="00894DC3">
      <w:r>
        <w:rPr>
          <w:noProof/>
          <w:lang w:eastAsia="en-AU"/>
        </w:rPr>
        <w:drawing>
          <wp:inline distT="0" distB="0" distL="0" distR="0" wp14:anchorId="3BE0A656" wp14:editId="345A0B9B">
            <wp:extent cx="4953000" cy="857250"/>
            <wp:effectExtent l="0" t="0" r="0" b="0"/>
            <wp:docPr id="5" name="Picture 5" descr="Environmental build-up of nitric oxide for DSIR Plus and DSIR Plus MRI (delive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53000" cy="857250"/>
                    </a:xfrm>
                    <a:prstGeom prst="rect">
                      <a:avLst/>
                    </a:prstGeom>
                  </pic:spPr>
                </pic:pic>
              </a:graphicData>
            </a:graphic>
          </wp:inline>
        </w:drawing>
      </w:r>
    </w:p>
    <w:p w14:paraId="1A1E5D96" w14:textId="77777777" w:rsidR="003B08F8" w:rsidRDefault="00FE6A47" w:rsidP="00FE6A47">
      <w:r>
        <w:t xml:space="preserve">This theoretic calculation can be supplemented by measurements as performed by </w:t>
      </w:r>
      <w:r w:rsidRPr="008E1F3D">
        <w:t>Hess et</w:t>
      </w:r>
      <w:r>
        <w:t xml:space="preserve"> al, 1996</w:t>
      </w:r>
      <w:r w:rsidR="008E1F3D">
        <w:rPr>
          <w:rStyle w:val="FootnoteReference"/>
        </w:rPr>
        <w:footnoteReference w:id="63"/>
      </w:r>
      <w:r>
        <w:t xml:space="preserve">. The </w:t>
      </w:r>
      <w:r w:rsidR="008245A6">
        <w:t>nitric oxide</w:t>
      </w:r>
      <w:r>
        <w:t xml:space="preserve"> and </w:t>
      </w:r>
      <w:r w:rsidR="008245A6">
        <w:t>nitrogen dioxide</w:t>
      </w:r>
      <w:r>
        <w:t xml:space="preserve"> concentrations were measured using a </w:t>
      </w:r>
      <w:proofErr w:type="spellStart"/>
      <w:r>
        <w:t>chemiluminescence</w:t>
      </w:r>
      <w:proofErr w:type="spellEnd"/>
      <w:r>
        <w:t xml:space="preserve"> analy</w:t>
      </w:r>
      <w:r w:rsidR="008245A6">
        <w:t>s</w:t>
      </w:r>
      <w:r>
        <w:t xml:space="preserve">er when 100 ppm of </w:t>
      </w:r>
      <w:r w:rsidR="008245A6">
        <w:t>nitric oxide</w:t>
      </w:r>
      <w:r>
        <w:t xml:space="preserve"> at 8</w:t>
      </w:r>
      <w:r w:rsidR="00F86E3E">
        <w:t xml:space="preserve"> </w:t>
      </w:r>
      <w:r>
        <w:t xml:space="preserve">L/min was delivered into a room with no scavenging being used. The maximum </w:t>
      </w:r>
      <w:r w:rsidR="008245A6">
        <w:t>nitric oxide</w:t>
      </w:r>
      <w:r>
        <w:t xml:space="preserve"> and </w:t>
      </w:r>
      <w:r w:rsidR="008245A6">
        <w:t>nitrogen dioxide</w:t>
      </w:r>
      <w:r>
        <w:t xml:space="preserve"> concentrations measured over a one</w:t>
      </w:r>
      <w:r w:rsidR="008245A6">
        <w:t xml:space="preserve"> hour period were 0.12 ppm of nitric oxide a</w:t>
      </w:r>
      <w:r>
        <w:t>nd 0.03</w:t>
      </w:r>
      <w:r w:rsidR="008245A6">
        <w:t> </w:t>
      </w:r>
      <w:r>
        <w:t xml:space="preserve">ppm of </w:t>
      </w:r>
      <w:r w:rsidR="008245A6">
        <w:t>nitrogen dioxide</w:t>
      </w:r>
      <w:r>
        <w:t xml:space="preserve">. Both these methods show that the exposure levels are </w:t>
      </w:r>
      <w:r>
        <w:lastRenderedPageBreak/>
        <w:t xml:space="preserve">significantly less than the levels recommended by </w:t>
      </w:r>
      <w:r w:rsidR="008E1F3D">
        <w:t>t</w:t>
      </w:r>
      <w:r>
        <w:t>he Safe Work Australia Workplace Exposure Stan</w:t>
      </w:r>
      <w:r w:rsidR="008E1F3D">
        <w:t>dards for Airborne Contaminants</w:t>
      </w:r>
      <w:r>
        <w:t>.</w:t>
      </w:r>
    </w:p>
    <w:p w14:paraId="19F914F1" w14:textId="77777777" w:rsidR="00FE6A47" w:rsidRDefault="006C537A" w:rsidP="008245A6">
      <w:pPr>
        <w:pStyle w:val="Heading5"/>
      </w:pPr>
      <w:r>
        <w:t>Point of c</w:t>
      </w:r>
      <w:r w:rsidR="008245A6">
        <w:t>larification</w:t>
      </w:r>
    </w:p>
    <w:p w14:paraId="03A5260A" w14:textId="2F0636D2" w:rsidR="00FE6A47" w:rsidRDefault="00FE6A47" w:rsidP="00FE6A47">
      <w:r>
        <w:t xml:space="preserve">The TGA Delegate’s Summary states that </w:t>
      </w:r>
      <w:r w:rsidR="0019250C">
        <w:t>‘</w:t>
      </w:r>
      <w:r>
        <w:t>The sponsor has no plans [sic] make a similar application with USA or Canada</w:t>
      </w:r>
      <w:r w:rsidR="0019250C">
        <w:t>.’</w:t>
      </w:r>
      <w:r>
        <w:t xml:space="preserve"> The </w:t>
      </w:r>
      <w:r w:rsidR="009402F9">
        <w:t>sponsor</w:t>
      </w:r>
      <w:r>
        <w:t xml:space="preserve"> would like to clarify the registration plan for these two regions:</w:t>
      </w:r>
    </w:p>
    <w:p w14:paraId="71B101DB" w14:textId="77777777" w:rsidR="00FE6A47" w:rsidRDefault="00FE6A47" w:rsidP="00FE6A47">
      <w:r>
        <w:t xml:space="preserve">USA: Due to recent US legislation exploring the use of real world data in FDA applications, the </w:t>
      </w:r>
      <w:r w:rsidR="009402F9">
        <w:t>sponsor</w:t>
      </w:r>
      <w:r>
        <w:t xml:space="preserve"> is planning to submit a meeting request to the FDA to discuss the appropriate use of such data to expand the currently approved </w:t>
      </w:r>
      <w:proofErr w:type="spellStart"/>
      <w:r w:rsidR="00C40BA7">
        <w:t>INOmax</w:t>
      </w:r>
      <w:proofErr w:type="spellEnd"/>
      <w:r>
        <w:t xml:space="preserve"> indication to include the </w:t>
      </w:r>
      <w:r w:rsidR="003B08F8" w:rsidRPr="00546B8A">
        <w:t>cardiac surgery</w:t>
      </w:r>
      <w:r w:rsidRPr="00546B8A">
        <w:t xml:space="preserve"> indication</w:t>
      </w:r>
      <w:r>
        <w:t>.</w:t>
      </w:r>
    </w:p>
    <w:p w14:paraId="2EA11F8D" w14:textId="77777777" w:rsidR="00FE6A47" w:rsidRDefault="00FE6A47" w:rsidP="00FE6A47">
      <w:r>
        <w:t xml:space="preserve">Canada: The </w:t>
      </w:r>
      <w:r w:rsidR="009402F9">
        <w:t>sponsor</w:t>
      </w:r>
      <w:r>
        <w:t xml:space="preserve"> plans </w:t>
      </w:r>
      <w:r w:rsidR="004F411B">
        <w:t>make a submission</w:t>
      </w:r>
      <w:r>
        <w:t xml:space="preserve"> to Health Canada in Q4 2019 in order to expand the currently approved </w:t>
      </w:r>
      <w:proofErr w:type="spellStart"/>
      <w:r w:rsidR="00C40BA7">
        <w:t>INOmax</w:t>
      </w:r>
      <w:proofErr w:type="spellEnd"/>
      <w:r>
        <w:t xml:space="preserve"> indication to include the </w:t>
      </w:r>
      <w:r w:rsidR="003B08F8">
        <w:t>cardiac surgery</w:t>
      </w:r>
      <w:r>
        <w:t xml:space="preserve"> indication.</w:t>
      </w:r>
    </w:p>
    <w:p w14:paraId="76443AC3" w14:textId="77777777" w:rsidR="00FE6A47" w:rsidRDefault="004F411B" w:rsidP="004F411B">
      <w:pPr>
        <w:pStyle w:val="Heading5"/>
      </w:pPr>
      <w:r>
        <w:t>Conclusion</w:t>
      </w:r>
    </w:p>
    <w:p w14:paraId="328F432D" w14:textId="7EE459AE" w:rsidR="00FE6A47" w:rsidRDefault="00FE6A47" w:rsidP="00FE6A47">
      <w:r>
        <w:t>T</w:t>
      </w:r>
      <w:r w:rsidR="001656D3">
        <w:t xml:space="preserve">he Delegate’s Overview states </w:t>
      </w:r>
      <w:r w:rsidR="0019250C">
        <w:t>‘</w:t>
      </w:r>
      <w:r>
        <w:t xml:space="preserve">interpretation of the data and the contribution of each study to the overall understanding of the place of </w:t>
      </w:r>
      <w:r w:rsidR="00DC7D20">
        <w:t>inhaled nitric oxide</w:t>
      </w:r>
      <w:r>
        <w:t xml:space="preserve"> in peri-and post-operative cardiac surgical management takes into account decades of use off-label, and to some extent extrapolation from knowledge in the paediatric data. Some reassurance of the similarity of the effects on the pulmonary vasculature has been demonstrated including a consistent reduction in </w:t>
      </w:r>
      <w:r w:rsidR="000E74EA">
        <w:t>mean pulmonary</w:t>
      </w:r>
      <w:r w:rsidR="00BB39E5">
        <w:t xml:space="preserve"> arterial pressure</w:t>
      </w:r>
      <w:r>
        <w:t xml:space="preserve"> and pulmonary vascular resistance across broad patient groups. Data are less robust to demonstrate direct improvements in </w:t>
      </w:r>
      <w:r w:rsidR="004F411B">
        <w:t>right ventricular</w:t>
      </w:r>
      <w:r>
        <w:t xml:space="preserve"> function although it could be argued that a reduction in </w:t>
      </w:r>
      <w:r w:rsidR="00BB39E5">
        <w:t>pulmonary vascular resistance</w:t>
      </w:r>
      <w:r>
        <w:t xml:space="preserve"> should result in improved </w:t>
      </w:r>
      <w:r w:rsidR="004F411B">
        <w:t>right ventricular ejection fraction</w:t>
      </w:r>
      <w:r>
        <w:t>.</w:t>
      </w:r>
      <w:r w:rsidR="0019250C">
        <w:t>’</w:t>
      </w:r>
    </w:p>
    <w:p w14:paraId="3D10E466" w14:textId="2D601C3D" w:rsidR="00FE6A47" w:rsidRDefault="00FE6A47" w:rsidP="00FE6A47">
      <w:r>
        <w:t xml:space="preserve">The Delegate concludes </w:t>
      </w:r>
      <w:r w:rsidR="004A1E4E">
        <w:t>‘</w:t>
      </w:r>
      <w:r>
        <w:t xml:space="preserve">Overall, and on balance, taking into consideration the evidence presented in the submission notwithstanding its limitations, decades of use internationally either approved or off-label in adults, and the proposal that use of </w:t>
      </w:r>
      <w:r w:rsidR="00DC7D20">
        <w:t>inhaled nitric oxide</w:t>
      </w:r>
      <w:r>
        <w:t xml:space="preserve"> is restricted to situations directly supervised by specialists experienced in managing the complexities of patient in the peri- and postoperative surgical environment, the preliminary conclusion is favourable for </w:t>
      </w:r>
      <w:r w:rsidR="00DC7D20">
        <w:t>inhaled nitric oxide</w:t>
      </w:r>
      <w:r>
        <w:t xml:space="preserve"> for the proposed use</w:t>
      </w:r>
      <w:r w:rsidR="004A1E4E">
        <w:t>’</w:t>
      </w:r>
      <w:r>
        <w:t>.</w:t>
      </w:r>
    </w:p>
    <w:p w14:paraId="4C16E8BB" w14:textId="77777777" w:rsidR="00FE6A47" w:rsidRDefault="00FE6A47" w:rsidP="00FE6A47">
      <w:r>
        <w:t xml:space="preserve">The </w:t>
      </w:r>
      <w:r w:rsidR="009402F9">
        <w:t>sponsor</w:t>
      </w:r>
      <w:r>
        <w:t xml:space="preserve"> has presented the above justifications to support</w:t>
      </w:r>
      <w:r w:rsidR="00955D80">
        <w:t>:</w:t>
      </w:r>
    </w:p>
    <w:p w14:paraId="25EB394F" w14:textId="5B281804" w:rsidR="00FE6A47" w:rsidRDefault="004A1E4E" w:rsidP="00955D80">
      <w:pPr>
        <w:pStyle w:val="ListBullet"/>
      </w:pPr>
      <w:r>
        <w:t xml:space="preserve">retention </w:t>
      </w:r>
      <w:r w:rsidR="00FE6A47">
        <w:t xml:space="preserve">of the wording of the indication as proposed by the </w:t>
      </w:r>
      <w:r w:rsidR="009402F9">
        <w:t>sponsor</w:t>
      </w:r>
      <w:r>
        <w:t>; and</w:t>
      </w:r>
    </w:p>
    <w:p w14:paraId="4C024A57" w14:textId="2C2E32B6" w:rsidR="00C15E92" w:rsidRPr="00C15E92" w:rsidRDefault="004A1E4E" w:rsidP="00955D80">
      <w:pPr>
        <w:pStyle w:val="ListBullet"/>
      </w:pPr>
      <w:r>
        <w:t xml:space="preserve">minimum </w:t>
      </w:r>
      <w:r w:rsidR="00FE6A47">
        <w:t>and maximum dosing recommendations in line with published data and worldwide clinical experience in the adult population</w:t>
      </w:r>
      <w:r>
        <w:t>.</w:t>
      </w:r>
    </w:p>
    <w:p w14:paraId="0EEABFC1" w14:textId="77777777" w:rsidR="008E7846" w:rsidRDefault="008E7846" w:rsidP="008E7846">
      <w:pPr>
        <w:pStyle w:val="Heading4"/>
      </w:pPr>
      <w:r>
        <w:t>Advisory Committee Considerations</w:t>
      </w:r>
      <w:r w:rsidR="00456765">
        <w:rPr>
          <w:rStyle w:val="FootnoteReference"/>
        </w:rPr>
        <w:footnoteReference w:id="64"/>
      </w:r>
    </w:p>
    <w:p w14:paraId="5ECB01EA" w14:textId="77777777"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2D154DB1" w14:textId="77777777" w:rsidR="00AB67ED" w:rsidRPr="00AB67ED" w:rsidRDefault="00AB67ED" w:rsidP="00AB67ED">
      <w:pPr>
        <w:rPr>
          <w:bCs/>
        </w:rPr>
      </w:pPr>
      <w:r w:rsidRPr="00AB67ED">
        <w:rPr>
          <w:bCs/>
        </w:rPr>
        <w:lastRenderedPageBreak/>
        <w:t xml:space="preserve">The ACM, taking into account the submitted evidence of efficacy and safety, agreed that </w:t>
      </w:r>
      <w:proofErr w:type="spellStart"/>
      <w:r w:rsidR="00C40BA7">
        <w:rPr>
          <w:bCs/>
        </w:rPr>
        <w:t>INOmax</w:t>
      </w:r>
      <w:proofErr w:type="spellEnd"/>
      <w:r w:rsidRPr="00AB67ED">
        <w:rPr>
          <w:bCs/>
        </w:rPr>
        <w:t xml:space="preserve"> medicinal gas containing nitric oxide 800 ppm for inhalation, starting dose for adults (over 17 years) of 10 ppm inhaled gas and increasing up to 20 ppm if required, has an overall positive benefit-risk profile for the indication:</w:t>
      </w:r>
    </w:p>
    <w:p w14:paraId="62F06EB9" w14:textId="657AADA8" w:rsidR="00035230" w:rsidRPr="001656D3" w:rsidRDefault="00AB67ED" w:rsidP="00ED4EF9">
      <w:pPr>
        <w:ind w:left="1134"/>
      </w:pPr>
      <w:r w:rsidRPr="00035230">
        <w:rPr>
          <w:i/>
        </w:rPr>
        <w:t>to selectively decrease pulmonary arterial pressure in patients with perioperative pulmonary hypertension in conjunction with heart surgery.</w:t>
      </w:r>
    </w:p>
    <w:p w14:paraId="3CD49AA8" w14:textId="77777777" w:rsidR="00AB67ED" w:rsidRPr="00AB67ED" w:rsidRDefault="00AB67ED" w:rsidP="00AB67ED">
      <w:pPr>
        <w:rPr>
          <w:bCs/>
        </w:rPr>
      </w:pPr>
      <w:r w:rsidRPr="00AB67ED">
        <w:rPr>
          <w:bCs/>
        </w:rPr>
        <w:t>In providing this advice the ACM noted that:</w:t>
      </w:r>
    </w:p>
    <w:p w14:paraId="433DE4A4" w14:textId="77777777" w:rsidR="00AB67ED" w:rsidRPr="00AB67ED" w:rsidRDefault="00AB67ED" w:rsidP="00955D80">
      <w:pPr>
        <w:pStyle w:val="ListBullet"/>
      </w:pPr>
      <w:r w:rsidRPr="00AB67ED">
        <w:t xml:space="preserve">The two currently approved indications for </w:t>
      </w:r>
      <w:proofErr w:type="spellStart"/>
      <w:r w:rsidR="00C40BA7">
        <w:t>INOmax</w:t>
      </w:r>
      <w:proofErr w:type="spellEnd"/>
      <w:r w:rsidRPr="00AB67ED">
        <w:t xml:space="preserve"> are:</w:t>
      </w:r>
    </w:p>
    <w:p w14:paraId="3879379A" w14:textId="77777777" w:rsidR="00AB67ED" w:rsidRPr="00035230" w:rsidRDefault="00AB67ED" w:rsidP="00035230">
      <w:pPr>
        <w:pStyle w:val="ListBullet"/>
        <w:ind w:left="924" w:hanging="357"/>
        <w:rPr>
          <w:i/>
        </w:rPr>
      </w:pPr>
      <w:r w:rsidRPr="00035230">
        <w:rPr>
          <w:i/>
        </w:rPr>
        <w:t>for the tr</w:t>
      </w:r>
      <w:r w:rsidR="001656D3" w:rsidRPr="00035230">
        <w:rPr>
          <w:i/>
        </w:rPr>
        <w:t>eatment of term and near-term (</w:t>
      </w:r>
      <w:r w:rsidRPr="00035230">
        <w:rPr>
          <w:i/>
        </w:rPr>
        <w:t>&gt; 34 weeks) neonates with hypoxic respiratory failure associated with clinical or echocardiographic evidence of pulmonary hypertension, in order to improve oxygenation and to reduce the need for extracorporeal membrane oxygenation.</w:t>
      </w:r>
    </w:p>
    <w:p w14:paraId="1D56E87D" w14:textId="77777777" w:rsidR="003B08F8" w:rsidRPr="00035230" w:rsidRDefault="00AB67ED" w:rsidP="00035230">
      <w:pPr>
        <w:pStyle w:val="ListBullet"/>
        <w:ind w:left="924" w:hanging="357"/>
        <w:rPr>
          <w:i/>
        </w:rPr>
      </w:pPr>
      <w:r w:rsidRPr="00035230">
        <w:rPr>
          <w:i/>
        </w:rPr>
        <w:t>as part of the treatment of peri- and post-operative pulmonary hypertension in newborn infants, infants and toddlers, children and adolescents, ages 0</w:t>
      </w:r>
      <w:r w:rsidR="00951337" w:rsidRPr="00035230">
        <w:rPr>
          <w:i/>
        </w:rPr>
        <w:t xml:space="preserve"> to</w:t>
      </w:r>
      <w:r w:rsidRPr="00035230">
        <w:rPr>
          <w:i/>
        </w:rPr>
        <w:t>17 years in conjunction with heart surgery, in order to selectively decrease pulmonary arterial pressure and improve right ventricular function and oxygenation.</w:t>
      </w:r>
    </w:p>
    <w:p w14:paraId="2A21B936" w14:textId="1E23A64A" w:rsidR="00AB67ED" w:rsidRPr="00AB67ED" w:rsidRDefault="00AB67ED" w:rsidP="00955D80">
      <w:pPr>
        <w:pStyle w:val="ListBullet"/>
      </w:pPr>
      <w:r w:rsidRPr="00AB67ED">
        <w:t xml:space="preserve">The </w:t>
      </w:r>
      <w:r w:rsidR="009402F9">
        <w:t>sponsor</w:t>
      </w:r>
      <w:r w:rsidRPr="00AB67ED">
        <w:t xml:space="preserve"> is seeking to expand the peri and post-operative indication to an adult setting as follows: </w:t>
      </w:r>
      <w:r w:rsidR="004A1E4E">
        <w:t>‘</w:t>
      </w:r>
      <w:r w:rsidRPr="00035230">
        <w:rPr>
          <w:i/>
        </w:rPr>
        <w:t>as part of the treatment of peri- and post-operative pulmonary hypertension in conjunction with heart surgery, in order to selectively decrease pulmonary arterial pressure and improve right ventricular function and oxygenation</w:t>
      </w:r>
      <w:r w:rsidR="004A1E4E">
        <w:t>’</w:t>
      </w:r>
      <w:r w:rsidRPr="00AB67ED">
        <w:t>.</w:t>
      </w:r>
    </w:p>
    <w:p w14:paraId="6ACB1020" w14:textId="77777777" w:rsidR="00AB67ED" w:rsidRPr="00AB67ED" w:rsidRDefault="00AB67ED" w:rsidP="00955D80">
      <w:pPr>
        <w:pStyle w:val="ListBullet"/>
      </w:pPr>
      <w:r w:rsidRPr="00AB67ED">
        <w:t>The requested extension of indication also includes a proposed higher dosing in adults, up to 40 ppm, as opposed to the currently approved 20 ppm limit in paediatric use.</w:t>
      </w:r>
    </w:p>
    <w:p w14:paraId="0B368EB8" w14:textId="549BE12C" w:rsidR="00AB67ED" w:rsidRPr="00AB67ED" w:rsidRDefault="00AB67ED" w:rsidP="00955D80">
      <w:pPr>
        <w:pStyle w:val="ListBullet"/>
      </w:pPr>
      <w:r w:rsidRPr="00AB67ED">
        <w:t xml:space="preserve">In 2017, a similar product, </w:t>
      </w:r>
      <w:proofErr w:type="spellStart"/>
      <w:r w:rsidR="000E07C6">
        <w:t>Vasokinox</w:t>
      </w:r>
      <w:proofErr w:type="spellEnd"/>
      <w:r w:rsidRPr="00AB67ED">
        <w:t xml:space="preserve">, was registered with the following indication </w:t>
      </w:r>
      <w:r w:rsidR="004A1E4E">
        <w:t>‘</w:t>
      </w:r>
      <w:r w:rsidRPr="00035230">
        <w:rPr>
          <w:i/>
        </w:rPr>
        <w:t>to selectively decrease pulmonary arterial pressure in patients with perioperative pulmonary hypertension in conjunction with heart surgery</w:t>
      </w:r>
      <w:r w:rsidR="004A1E4E">
        <w:t>’</w:t>
      </w:r>
      <w:r w:rsidRPr="00AB67ED">
        <w:t>. Dosage up to 20ppm is approved for this product.</w:t>
      </w:r>
    </w:p>
    <w:p w14:paraId="470DDC52" w14:textId="77777777" w:rsidR="00AB67ED" w:rsidRDefault="00AB67ED" w:rsidP="00955D80">
      <w:pPr>
        <w:pStyle w:val="ListBullet"/>
      </w:pPr>
      <w:r w:rsidRPr="00AB67ED">
        <w:t xml:space="preserve">Evidence supplied by the </w:t>
      </w:r>
      <w:r w:rsidR="009402F9">
        <w:t>sponsor</w:t>
      </w:r>
      <w:r w:rsidRPr="00AB67ED">
        <w:t xml:space="preserve"> was not considered to show any benefit in higher doses up to 40 ppm of nitric oxide and, additionally, higher doses would result in an increased risk of adverse outcomes. Accordingly, the ACM was of the view that the upper limit for </w:t>
      </w:r>
      <w:proofErr w:type="spellStart"/>
      <w:r w:rsidR="00C40BA7">
        <w:t>INOmax</w:t>
      </w:r>
      <w:proofErr w:type="spellEnd"/>
      <w:r w:rsidRPr="00AB67ED">
        <w:t xml:space="preserve"> dosing should be restricted to 20 ppm, consistent with the maximum dosage for </w:t>
      </w:r>
      <w:proofErr w:type="spellStart"/>
      <w:r w:rsidR="000E07C6">
        <w:t>Vasokinox</w:t>
      </w:r>
      <w:proofErr w:type="spellEnd"/>
      <w:r w:rsidRPr="00AB67ED">
        <w:t>.</w:t>
      </w:r>
    </w:p>
    <w:p w14:paraId="79CA0775" w14:textId="77777777" w:rsidR="00AB67ED" w:rsidRPr="00AB67ED" w:rsidRDefault="00AB67ED" w:rsidP="00955D80">
      <w:pPr>
        <w:pStyle w:val="ListBullet"/>
      </w:pPr>
      <w:r w:rsidRPr="00AB67ED">
        <w:t xml:space="preserve">As the evidence supplied by the </w:t>
      </w:r>
      <w:r w:rsidR="009402F9">
        <w:t>sponsor</w:t>
      </w:r>
      <w:r w:rsidRPr="00AB67ED">
        <w:t xml:space="preserve"> was not considered to show consistent significant improvements in oxygenation or right ventricular function, the ACM was of the view that reference to these outcomes be removed from the proposed indication.</w:t>
      </w:r>
    </w:p>
    <w:p w14:paraId="568D1341" w14:textId="77777777" w:rsidR="00AB67ED" w:rsidRPr="00AB67ED" w:rsidRDefault="00AB67ED" w:rsidP="008F2097">
      <w:pPr>
        <w:pStyle w:val="Heading5"/>
      </w:pPr>
      <w:r w:rsidRPr="00AB67ED">
        <w:t>Proposed conditions of registration</w:t>
      </w:r>
    </w:p>
    <w:p w14:paraId="7D289946" w14:textId="77777777" w:rsidR="00AB67ED" w:rsidRDefault="00AB67ED" w:rsidP="00AB67ED">
      <w:pPr>
        <w:rPr>
          <w:bCs/>
        </w:rPr>
      </w:pPr>
      <w:r w:rsidRPr="00AB67ED">
        <w:rPr>
          <w:bCs/>
        </w:rPr>
        <w:t xml:space="preserve">The ACM agreed with the </w:t>
      </w:r>
      <w:r w:rsidR="00035230">
        <w:rPr>
          <w:bCs/>
        </w:rPr>
        <w:t>Delegate</w:t>
      </w:r>
      <w:r w:rsidRPr="00AB67ED">
        <w:rPr>
          <w:bCs/>
        </w:rPr>
        <w:t xml:space="preserve"> on the proposed conditions of registration.</w:t>
      </w:r>
    </w:p>
    <w:p w14:paraId="198D0B84" w14:textId="77777777" w:rsidR="00955D80" w:rsidRDefault="00955D80" w:rsidP="008F2097">
      <w:pPr>
        <w:pStyle w:val="Heading5"/>
      </w:pPr>
      <w:r>
        <w:t>Specific advice</w:t>
      </w:r>
    </w:p>
    <w:p w14:paraId="52FF8ECF" w14:textId="77777777" w:rsidR="00AB67ED" w:rsidRPr="00894DC3" w:rsidRDefault="008F2097" w:rsidP="008F2097">
      <w:pPr>
        <w:pStyle w:val="Numberbullet0"/>
        <w:numPr>
          <w:ilvl w:val="0"/>
          <w:numId w:val="0"/>
        </w:numPr>
        <w:ind w:left="426" w:hanging="426"/>
        <w:rPr>
          <w:b/>
          <w:i/>
        </w:rPr>
      </w:pPr>
      <w:r w:rsidRPr="00894DC3">
        <w:rPr>
          <w:b/>
          <w:i/>
        </w:rPr>
        <w:t>1.</w:t>
      </w:r>
      <w:r>
        <w:tab/>
      </w:r>
      <w:r w:rsidR="00AB67ED" w:rsidRPr="00894DC3">
        <w:rPr>
          <w:b/>
          <w:i/>
        </w:rPr>
        <w:t>Has sufficient evidence been provided to support the claim of treatment of pulmonary hypertension in adult patients undergoing cardiac surgery, or should the indication be limited to haemodynamic effects?</w:t>
      </w:r>
    </w:p>
    <w:p w14:paraId="31167C75" w14:textId="77777777" w:rsidR="003B08F8" w:rsidRDefault="00AB67ED" w:rsidP="00AB67ED">
      <w:pPr>
        <w:rPr>
          <w:bCs/>
        </w:rPr>
      </w:pPr>
      <w:r w:rsidRPr="00AB67ED">
        <w:rPr>
          <w:bCs/>
        </w:rPr>
        <w:t xml:space="preserve">The ACM was of the view that there was not sufficient evidence provided to support a specific reference to improvements to right ventricular function and oxygenation and suggested that the indication be limited to decreasing pulmonary arterial pressure, consistent with the approved indication for </w:t>
      </w:r>
      <w:proofErr w:type="spellStart"/>
      <w:r w:rsidR="000E07C6">
        <w:rPr>
          <w:bCs/>
        </w:rPr>
        <w:t>Vasokinox</w:t>
      </w:r>
      <w:proofErr w:type="spellEnd"/>
      <w:r w:rsidRPr="00AB67ED">
        <w:rPr>
          <w:bCs/>
        </w:rPr>
        <w:t>.</w:t>
      </w:r>
    </w:p>
    <w:p w14:paraId="46B16580" w14:textId="77777777" w:rsidR="00AB67ED" w:rsidRPr="00AB67ED" w:rsidRDefault="00AB67ED" w:rsidP="00AB67ED">
      <w:pPr>
        <w:rPr>
          <w:bCs/>
        </w:rPr>
      </w:pPr>
      <w:r w:rsidRPr="00AB67ED">
        <w:rPr>
          <w:bCs/>
        </w:rPr>
        <w:t xml:space="preserve">The ACM also noted that, while evidence for the use of nitric oxide in adults is sparse generally, there is already significant off-label use occurring, and so approved indications </w:t>
      </w:r>
      <w:r w:rsidRPr="00AB67ED">
        <w:rPr>
          <w:bCs/>
        </w:rPr>
        <w:lastRenderedPageBreak/>
        <w:t>with increased associated pharmacovigilance would provide an opportunity to gather better data about real-world outcomes.</w:t>
      </w:r>
    </w:p>
    <w:p w14:paraId="1E8FC6E7" w14:textId="77777777" w:rsidR="00AB67ED" w:rsidRPr="001656D3" w:rsidRDefault="008F2097" w:rsidP="003B08F8">
      <w:pPr>
        <w:pStyle w:val="Numberbullet0"/>
        <w:numPr>
          <w:ilvl w:val="0"/>
          <w:numId w:val="0"/>
        </w:numPr>
        <w:ind w:left="426" w:hanging="426"/>
        <w:rPr>
          <w:b/>
          <w:i/>
        </w:rPr>
      </w:pPr>
      <w:r w:rsidRPr="00894DC3">
        <w:rPr>
          <w:b/>
          <w:i/>
        </w:rPr>
        <w:t>2.</w:t>
      </w:r>
      <w:r w:rsidRPr="00894DC3">
        <w:rPr>
          <w:b/>
          <w:i/>
        </w:rPr>
        <w:tab/>
      </w:r>
      <w:r w:rsidR="00AB67ED" w:rsidRPr="001656D3">
        <w:rPr>
          <w:b/>
          <w:i/>
        </w:rPr>
        <w:t>Has sufficient evidence been provided to support the proposed maximum 40 ppm dosing in adults? Should adult dosing commence at 10 ppm?</w:t>
      </w:r>
    </w:p>
    <w:p w14:paraId="0CCE58DF" w14:textId="77777777" w:rsidR="00AB67ED" w:rsidRPr="00AB67ED" w:rsidRDefault="00AB67ED" w:rsidP="00AB67ED">
      <w:pPr>
        <w:rPr>
          <w:bCs/>
        </w:rPr>
      </w:pPr>
      <w:r w:rsidRPr="00AB67ED">
        <w:rPr>
          <w:bCs/>
        </w:rPr>
        <w:t>The ACM was of the view that sufficient evidence had not been provided to support increased dosing to 40 ppm for adults and therefore the approved upper limit should be maintained at 20 ppm. The ACM agreed 10 ppm was an appropriate starting dose for use in adults.</w:t>
      </w:r>
    </w:p>
    <w:p w14:paraId="63342B64" w14:textId="77777777" w:rsidR="00AB67ED" w:rsidRPr="001656D3" w:rsidRDefault="003B08F8" w:rsidP="003B08F8">
      <w:pPr>
        <w:pStyle w:val="Numberbullet0"/>
        <w:numPr>
          <w:ilvl w:val="0"/>
          <w:numId w:val="0"/>
        </w:numPr>
        <w:ind w:left="426" w:hanging="426"/>
        <w:rPr>
          <w:b/>
          <w:i/>
        </w:rPr>
      </w:pPr>
      <w:r w:rsidRPr="00894DC3">
        <w:rPr>
          <w:b/>
          <w:i/>
        </w:rPr>
        <w:t>3.</w:t>
      </w:r>
      <w:r w:rsidRPr="00894DC3">
        <w:rPr>
          <w:b/>
          <w:i/>
        </w:rPr>
        <w:tab/>
      </w:r>
      <w:r w:rsidR="00AB67ED" w:rsidRPr="001656D3">
        <w:rPr>
          <w:b/>
          <w:i/>
        </w:rPr>
        <w:t>The committee is (also) requested to provide advice on any other issues that it thinks may be relevant to a decision on whether or not to approve this application.</w:t>
      </w:r>
    </w:p>
    <w:p w14:paraId="63718700" w14:textId="77777777" w:rsidR="00AB67ED" w:rsidRPr="00AB67ED" w:rsidRDefault="00AB67ED" w:rsidP="00AB67ED">
      <w:pPr>
        <w:rPr>
          <w:bCs/>
        </w:rPr>
      </w:pPr>
      <w:r w:rsidRPr="00AB67ED">
        <w:rPr>
          <w:bCs/>
        </w:rPr>
        <w:t xml:space="preserve">The ACM noted that the PI for </w:t>
      </w:r>
      <w:proofErr w:type="spellStart"/>
      <w:r w:rsidR="00C40BA7">
        <w:rPr>
          <w:bCs/>
        </w:rPr>
        <w:t>INOmax</w:t>
      </w:r>
      <w:proofErr w:type="spellEnd"/>
      <w:r w:rsidRPr="00AB67ED">
        <w:rPr>
          <w:bCs/>
        </w:rPr>
        <w:t xml:space="preserve"> currently describes the use of methylene blue as a reversal agent for elevated </w:t>
      </w:r>
      <w:proofErr w:type="spellStart"/>
      <w:r w:rsidRPr="00AB67ED">
        <w:rPr>
          <w:bCs/>
        </w:rPr>
        <w:t>meth</w:t>
      </w:r>
      <w:r w:rsidR="00931948">
        <w:rPr>
          <w:bCs/>
        </w:rPr>
        <w:t>aemo</w:t>
      </w:r>
      <w:r w:rsidRPr="00AB67ED">
        <w:rPr>
          <w:bCs/>
        </w:rPr>
        <w:t>globinaemia</w:t>
      </w:r>
      <w:proofErr w:type="spellEnd"/>
      <w:r w:rsidRPr="00AB67ED">
        <w:rPr>
          <w:bCs/>
        </w:rPr>
        <w:t xml:space="preserve"> at levels of 2.5 % and 5 %. The Committee considered that this may be problematic for several reasons:</w:t>
      </w:r>
    </w:p>
    <w:p w14:paraId="1554E584" w14:textId="77777777" w:rsidR="00AB67ED" w:rsidRDefault="00AB67ED" w:rsidP="00955D80">
      <w:pPr>
        <w:pStyle w:val="ListBullet"/>
      </w:pPr>
      <w:r w:rsidRPr="00AB67ED">
        <w:t>methylene blue can negatively interact with other medications likely to be in use in these settings, such as phosphodiesterase inhibitors, which could result in a worse patien</w:t>
      </w:r>
      <w:r w:rsidR="00931948">
        <w:t xml:space="preserve">t outcome than elevated </w:t>
      </w:r>
      <w:proofErr w:type="spellStart"/>
      <w:r w:rsidR="00931948">
        <w:t>methaemo</w:t>
      </w:r>
      <w:r w:rsidRPr="00AB67ED">
        <w:t>globinaemia</w:t>
      </w:r>
      <w:proofErr w:type="spellEnd"/>
    </w:p>
    <w:p w14:paraId="74F5BC9C" w14:textId="77777777" w:rsidR="007B4354" w:rsidRPr="007B4354" w:rsidRDefault="007B4354" w:rsidP="00955D80">
      <w:pPr>
        <w:pStyle w:val="ListBullet"/>
      </w:pPr>
      <w:r w:rsidRPr="007B4354">
        <w:t xml:space="preserve">the levels of </w:t>
      </w:r>
      <w:proofErr w:type="spellStart"/>
      <w:r w:rsidRPr="007B4354">
        <w:t>methaemaglobinaemia</w:t>
      </w:r>
      <w:proofErr w:type="spellEnd"/>
      <w:r w:rsidRPr="007B4354">
        <w:t xml:space="preserve"> described are not particularly high and would in practice more likely be managed through titration of nitric oxide dosing, rather than with a reversal agent</w:t>
      </w:r>
    </w:p>
    <w:p w14:paraId="1251ADB4" w14:textId="77777777" w:rsidR="007B4354" w:rsidRPr="007B4354" w:rsidRDefault="00931948" w:rsidP="00955D80">
      <w:pPr>
        <w:pStyle w:val="ListBullet"/>
      </w:pPr>
      <w:r>
        <w:t xml:space="preserve">elevated </w:t>
      </w:r>
      <w:proofErr w:type="spellStart"/>
      <w:r>
        <w:t>methaemo</w:t>
      </w:r>
      <w:r w:rsidR="007B4354" w:rsidRPr="007B4354">
        <w:t>globinaemia</w:t>
      </w:r>
      <w:proofErr w:type="spellEnd"/>
      <w:r w:rsidR="007B4354" w:rsidRPr="007B4354">
        <w:t xml:space="preserve"> (for example, 10 % or above) should more accurately be considered a failure of treatment and/or monitoring and alternative treatment for the pulmonary hypertension should be considered.</w:t>
      </w:r>
    </w:p>
    <w:p w14:paraId="62817DC6" w14:textId="77777777" w:rsidR="007B4354" w:rsidRPr="007B4354" w:rsidRDefault="007B4354" w:rsidP="007B4354">
      <w:pPr>
        <w:rPr>
          <w:bCs/>
        </w:rPr>
      </w:pPr>
      <w:r w:rsidRPr="007B4354">
        <w:rPr>
          <w:bCs/>
        </w:rPr>
        <w:t>The ACM therefore advised that the PI relating to use of methylene blue should be revised or removed.</w:t>
      </w:r>
    </w:p>
    <w:p w14:paraId="1CC2F54A" w14:textId="77777777" w:rsidR="007B4354" w:rsidRDefault="007B4354" w:rsidP="007B4354">
      <w:pPr>
        <w:rPr>
          <w:bCs/>
        </w:rPr>
      </w:pPr>
      <w:r w:rsidRPr="007B4354">
        <w:rPr>
          <w:bCs/>
        </w:rPr>
        <w:t>The ACM advised that implementation by the sponsor of the recommendations outlined above to the satisfaction of the TGA, in addition to the evidence of efficacy and safety provided would support the safe and effective use of this product.</w:t>
      </w:r>
    </w:p>
    <w:p w14:paraId="7E48E1FC" w14:textId="77777777" w:rsidR="008E7846" w:rsidRPr="002E238E" w:rsidRDefault="008E7846" w:rsidP="008E7846">
      <w:pPr>
        <w:pStyle w:val="Heading3"/>
      </w:pPr>
      <w:bookmarkStart w:id="159" w:name="_Toc247691532"/>
      <w:bookmarkStart w:id="160" w:name="_Toc314842516"/>
      <w:bookmarkStart w:id="161" w:name="_Toc28009963"/>
      <w:bookmarkEnd w:id="108"/>
      <w:bookmarkEnd w:id="156"/>
      <w:bookmarkEnd w:id="157"/>
      <w:r>
        <w:t>Outcome</w:t>
      </w:r>
      <w:bookmarkEnd w:id="159"/>
      <w:bookmarkEnd w:id="160"/>
      <w:bookmarkEnd w:id="161"/>
    </w:p>
    <w:p w14:paraId="4D127309" w14:textId="77777777" w:rsidR="00D23139" w:rsidRDefault="00D23139" w:rsidP="00D23139">
      <w:bookmarkStart w:id="162" w:name="_Toc247691533"/>
      <w:bookmarkStart w:id="163" w:name="_Toc314842517"/>
      <w:r w:rsidRPr="00D23139">
        <w:t xml:space="preserve">Based on a review of quality, safety and efficacy, the registration of </w:t>
      </w:r>
      <w:proofErr w:type="spellStart"/>
      <w:r w:rsidR="00C40BA7">
        <w:t>INOmax</w:t>
      </w:r>
      <w:proofErr w:type="spellEnd"/>
      <w:r w:rsidR="007B4354">
        <w:t xml:space="preserve"> nitric oxide 800 ppm medicinal gas</w:t>
      </w:r>
      <w:r w:rsidRPr="00D23139">
        <w:t xml:space="preserve"> for</w:t>
      </w:r>
      <w:r w:rsidR="007B4354">
        <w:t xml:space="preserve"> inhalation</w:t>
      </w:r>
      <w:r w:rsidR="00951337">
        <w:t xml:space="preserve"> was approved</w:t>
      </w:r>
      <w:r w:rsidR="00894DC3">
        <w:t xml:space="preserve"> for</w:t>
      </w:r>
      <w:r w:rsidRPr="00D23139">
        <w:t>:</w:t>
      </w:r>
    </w:p>
    <w:p w14:paraId="57D40F16" w14:textId="77777777" w:rsidR="00894DC3" w:rsidRPr="007B4354" w:rsidRDefault="00894DC3" w:rsidP="00035230">
      <w:pPr>
        <w:pStyle w:val="ListBullet"/>
        <w:numPr>
          <w:ilvl w:val="0"/>
          <w:numId w:val="3"/>
        </w:numPr>
        <w:ind w:left="924" w:hanging="357"/>
        <w:rPr>
          <w:i/>
        </w:rPr>
      </w:pPr>
      <w:r w:rsidRPr="007B4354">
        <w:rPr>
          <w:i/>
        </w:rPr>
        <w:t>to selectively decrease pulmonary arterial pressure in patients with perioperative pulmonary hypertension in</w:t>
      </w:r>
      <w:r>
        <w:rPr>
          <w:i/>
        </w:rPr>
        <w:t xml:space="preserve"> conjunction with heart surgery</w:t>
      </w:r>
      <w:r w:rsidRPr="007B4354">
        <w:rPr>
          <w:i/>
        </w:rPr>
        <w:t>.</w:t>
      </w:r>
    </w:p>
    <w:p w14:paraId="7D53B1A1" w14:textId="77777777" w:rsidR="00894DC3" w:rsidRPr="00D23139" w:rsidRDefault="00894DC3" w:rsidP="00D23139">
      <w:r>
        <w:t>The full indications are:</w:t>
      </w:r>
    </w:p>
    <w:p w14:paraId="0ED26A3F" w14:textId="77777777" w:rsidR="007B4354" w:rsidRPr="007B4354" w:rsidRDefault="00C40BA7" w:rsidP="007B4354">
      <w:pPr>
        <w:rPr>
          <w:i/>
        </w:rPr>
      </w:pPr>
      <w:proofErr w:type="spellStart"/>
      <w:r>
        <w:rPr>
          <w:i/>
        </w:rPr>
        <w:t>INOmax</w:t>
      </w:r>
      <w:proofErr w:type="spellEnd"/>
      <w:r w:rsidR="007B4354" w:rsidRPr="007B4354">
        <w:rPr>
          <w:i/>
        </w:rPr>
        <w:t xml:space="preserve">, in conjunction with </w:t>
      </w:r>
      <w:proofErr w:type="spellStart"/>
      <w:r w:rsidR="007B4354" w:rsidRPr="007B4354">
        <w:rPr>
          <w:i/>
        </w:rPr>
        <w:t>ventilatory</w:t>
      </w:r>
      <w:proofErr w:type="spellEnd"/>
      <w:r w:rsidR="007B4354" w:rsidRPr="007B4354">
        <w:rPr>
          <w:i/>
        </w:rPr>
        <w:t xml:space="preserve"> support and other appropriate agents, is indicated:</w:t>
      </w:r>
    </w:p>
    <w:p w14:paraId="3942B6FF" w14:textId="77777777" w:rsidR="007B4354" w:rsidRPr="007B4354" w:rsidRDefault="007B4354" w:rsidP="007B4354">
      <w:pPr>
        <w:pStyle w:val="ListBullet"/>
        <w:rPr>
          <w:i/>
        </w:rPr>
      </w:pPr>
      <w:r w:rsidRPr="007B4354">
        <w:rPr>
          <w:i/>
        </w:rPr>
        <w:t>for the treatment of term and near-term (&gt;</w:t>
      </w:r>
      <w:r w:rsidR="003B08F8">
        <w:rPr>
          <w:i/>
        </w:rPr>
        <w:t xml:space="preserve"> </w:t>
      </w:r>
      <w:r w:rsidRPr="007B4354">
        <w:rPr>
          <w:i/>
        </w:rPr>
        <w:t>34 weeks) neonates with hypoxic respiratory failure associated with clinical or echocardiographic evidence of pulmonary hypertension, in order to improve oxygenation and to reduce the need for extracorporeal membrane oxygenation.</w:t>
      </w:r>
    </w:p>
    <w:p w14:paraId="4F7332BF" w14:textId="77777777" w:rsidR="00D23139" w:rsidRPr="007B4354" w:rsidRDefault="007B4354" w:rsidP="007B4354">
      <w:pPr>
        <w:pStyle w:val="ListBullet"/>
        <w:rPr>
          <w:i/>
        </w:rPr>
      </w:pPr>
      <w:r w:rsidRPr="007B4354">
        <w:rPr>
          <w:i/>
        </w:rPr>
        <w:t>to selectively decrease pulmonary arterial pressure in patients with perioperative pulmonary hypertension in</w:t>
      </w:r>
      <w:r w:rsidR="001656D3">
        <w:rPr>
          <w:i/>
        </w:rPr>
        <w:t xml:space="preserve"> conjunction with heart surgery</w:t>
      </w:r>
      <w:r w:rsidRPr="007B4354">
        <w:rPr>
          <w:i/>
        </w:rPr>
        <w:t>.</w:t>
      </w:r>
    </w:p>
    <w:p w14:paraId="116EA8A0" w14:textId="77777777" w:rsidR="00D23139" w:rsidRPr="00D23139" w:rsidRDefault="00D23139" w:rsidP="00D23139">
      <w:pPr>
        <w:pStyle w:val="Heading4"/>
      </w:pPr>
      <w:r w:rsidRPr="00D23139">
        <w:t>Specific conditions of registration applying to these goods</w:t>
      </w:r>
    </w:p>
    <w:p w14:paraId="5D47B06E" w14:textId="77777777" w:rsidR="00546B8A" w:rsidRDefault="00546B8A" w:rsidP="00546B8A">
      <w:r>
        <w:t>The following is the proposed condition of registration for nitric oxide:</w:t>
      </w:r>
    </w:p>
    <w:p w14:paraId="22484F8B" w14:textId="06AFFBF2" w:rsidR="00546B8A" w:rsidRDefault="00546B8A" w:rsidP="00546B8A">
      <w:pPr>
        <w:pStyle w:val="ListBullet"/>
      </w:pPr>
      <w:r>
        <w:lastRenderedPageBreak/>
        <w:t xml:space="preserve">The </w:t>
      </w:r>
      <w:proofErr w:type="spellStart"/>
      <w:r w:rsidR="00C40BA7">
        <w:t>INOmax</w:t>
      </w:r>
      <w:proofErr w:type="spellEnd"/>
      <w:r>
        <w:t xml:space="preserve"> Australian RMP (version 4, dated 23 October 2018, data lock point 31 January 2018) included with this submission, and any subsequent revisions, as agreed with the TGA will be implemented in Australia.</w:t>
      </w:r>
    </w:p>
    <w:p w14:paraId="4B204A55" w14:textId="77777777" w:rsidR="00546B8A" w:rsidRDefault="00546B8A" w:rsidP="001656D3">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30D0799E" w14:textId="77777777" w:rsidR="00546B8A" w:rsidRDefault="00546B8A" w:rsidP="001656D3">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48D67AF7" w14:textId="77777777" w:rsidR="00546B8A" w:rsidRDefault="00546B8A" w:rsidP="001656D3">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67382407" w14:textId="77777777" w:rsidR="001656D3" w:rsidRDefault="001656D3" w:rsidP="001656D3">
      <w:pPr>
        <w:pStyle w:val="Heading2"/>
      </w:pPr>
      <w:bookmarkStart w:id="164" w:name="_Toc513017758"/>
      <w:bookmarkStart w:id="165" w:name="_Toc28009964"/>
      <w:r>
        <w:t>Attachment 1. Product Information</w:t>
      </w:r>
      <w:bookmarkEnd w:id="164"/>
      <w:bookmarkEnd w:id="165"/>
    </w:p>
    <w:p w14:paraId="6FCB19A0" w14:textId="77777777" w:rsidR="001656D3" w:rsidRPr="00035230" w:rsidRDefault="001656D3" w:rsidP="00035230">
      <w:pPr>
        <w:rPr>
          <w:color w:val="000000"/>
          <w:lang w:eastAsia="en-AU"/>
        </w:rPr>
      </w:pPr>
      <w:r w:rsidRPr="002B3624">
        <w:t xml:space="preserve">The </w:t>
      </w:r>
      <w:r>
        <w:t>PI</w:t>
      </w:r>
      <w:r w:rsidRPr="002B3624">
        <w:t xml:space="preserve"> for </w:t>
      </w:r>
      <w:proofErr w:type="spellStart"/>
      <w:r>
        <w:t>INOmax</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35" w:history="1">
        <w:r w:rsidRPr="007C6B9B">
          <w:rPr>
            <w:rStyle w:val="Hyperlink"/>
          </w:rPr>
          <w:t>https://www.tga.gov.au/product-information-pi</w:t>
        </w:r>
      </w:hyperlink>
      <w:r w:rsidRPr="007C6B9B">
        <w:t xml:space="preserve">&gt;. </w:t>
      </w:r>
    </w:p>
    <w:p w14:paraId="5DA2FD58" w14:textId="77777777" w:rsidR="003B08F8" w:rsidRPr="001656D3" w:rsidRDefault="003B08F8" w:rsidP="001656D3"/>
    <w:bookmarkEnd w:id="162"/>
    <w:bookmarkEnd w:id="163"/>
    <w:p w14:paraId="50DDFA4D" w14:textId="77777777" w:rsidR="00C80137" w:rsidRPr="001D043B" w:rsidRDefault="00C80137" w:rsidP="003A7F6C">
      <w:pPr>
        <w:pStyle w:val="TableTitle"/>
        <w:sectPr w:rsidR="00C80137" w:rsidRPr="001D043B" w:rsidSect="00B452CE">
          <w:headerReference w:type="even" r:id="rId36"/>
          <w:headerReference w:type="default" r:id="rId37"/>
          <w:headerReference w:type="first" r:id="rId38"/>
          <w:footerReference w:type="first" r:id="rId3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74D6177" w14:textId="77777777" w:rsidTr="00A05FA4">
        <w:trPr>
          <w:trHeight w:hRule="exact" w:val="704"/>
        </w:trPr>
        <w:tc>
          <w:tcPr>
            <w:tcW w:w="9175" w:type="dxa"/>
          </w:tcPr>
          <w:p w14:paraId="6ED833F0" w14:textId="77777777" w:rsidR="001C32CD" w:rsidRPr="00487162" w:rsidRDefault="001C32CD" w:rsidP="00A05FA4">
            <w:pPr>
              <w:pStyle w:val="TGASignoff"/>
            </w:pPr>
            <w:r w:rsidRPr="00487162">
              <w:lastRenderedPageBreak/>
              <w:t>Therapeutic Goods Administration</w:t>
            </w:r>
          </w:p>
        </w:tc>
      </w:tr>
      <w:tr w:rsidR="001C32CD" w:rsidRPr="004C239D" w14:paraId="060397E0" w14:textId="77777777" w:rsidTr="00A05FA4">
        <w:trPr>
          <w:trHeight w:val="1221"/>
        </w:trPr>
        <w:tc>
          <w:tcPr>
            <w:tcW w:w="9175" w:type="dxa"/>
            <w:tcMar>
              <w:top w:w="28" w:type="dxa"/>
            </w:tcMar>
          </w:tcPr>
          <w:p w14:paraId="6EA105FE" w14:textId="77777777" w:rsidR="001C32CD" w:rsidRPr="00487162" w:rsidRDefault="001C32CD" w:rsidP="00A05FA4">
            <w:pPr>
              <w:pStyle w:val="Address"/>
            </w:pPr>
            <w:r w:rsidRPr="00487162">
              <w:t>PO Box 100 Woden ACT 2606 Australia</w:t>
            </w:r>
          </w:p>
          <w:p w14:paraId="326FD38A" w14:textId="77777777" w:rsidR="001C32CD" w:rsidRPr="00487162" w:rsidRDefault="001C32CD" w:rsidP="00A05FA4">
            <w:pPr>
              <w:pStyle w:val="Address"/>
            </w:pPr>
            <w:r w:rsidRPr="00487162">
              <w:t xml:space="preserve">Email: </w:t>
            </w:r>
            <w:hyperlink r:id="rId40" w:history="1">
              <w:r w:rsidRPr="004C239D">
                <w:rPr>
                  <w:rStyle w:val="Hyperlink"/>
                </w:rPr>
                <w:t>info@tga.gov.au</w:t>
              </w:r>
            </w:hyperlink>
            <w:r w:rsidR="00D42948">
              <w:t xml:space="preserve"> </w:t>
            </w:r>
            <w:r w:rsidRPr="00487162">
              <w:t>Phone: 1800 020 653</w:t>
            </w:r>
            <w:r w:rsidR="00D42948">
              <w:t xml:space="preserve"> </w:t>
            </w:r>
            <w:r w:rsidRPr="00487162">
              <w:t>Fax: 02 6232 8605</w:t>
            </w:r>
          </w:p>
          <w:p w14:paraId="07132F20" w14:textId="77777777" w:rsidR="001C32CD" w:rsidRPr="004C239D" w:rsidRDefault="002F1E61" w:rsidP="00A05FA4">
            <w:pPr>
              <w:pStyle w:val="Address"/>
              <w:spacing w:line="260" w:lineRule="atLeast"/>
              <w:rPr>
                <w:b/>
                <w:color w:val="0000FF"/>
                <w:u w:val="single"/>
              </w:rPr>
            </w:pPr>
            <w:hyperlink r:id="rId41" w:history="1">
              <w:r w:rsidR="007C6B9B" w:rsidRPr="007C6B9B">
                <w:rPr>
                  <w:rStyle w:val="Hyperlink"/>
                  <w:b/>
                </w:rPr>
                <w:t>https://www.tga.gov.au</w:t>
              </w:r>
            </w:hyperlink>
          </w:p>
        </w:tc>
      </w:tr>
    </w:tbl>
    <w:p w14:paraId="52E61729" w14:textId="77777777" w:rsidR="00774E1D" w:rsidRPr="008A5E0B" w:rsidRDefault="00774E1D" w:rsidP="004C239D"/>
    <w:sectPr w:rsidR="00774E1D" w:rsidRPr="008A5E0B"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CA0B9" w14:textId="77777777" w:rsidR="002F1E61" w:rsidRDefault="002F1E61" w:rsidP="00C40A36">
      <w:pPr>
        <w:spacing w:after="0"/>
      </w:pPr>
      <w:r>
        <w:separator/>
      </w:r>
    </w:p>
  </w:endnote>
  <w:endnote w:type="continuationSeparator" w:id="0">
    <w:p w14:paraId="172DC01F" w14:textId="77777777" w:rsidR="002F1E61" w:rsidRDefault="002F1E6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49FF" w14:textId="77777777" w:rsidR="002F1E61" w:rsidRDefault="002F1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F1E61" w:rsidRPr="00487162" w14:paraId="69FD818D" w14:textId="77777777" w:rsidTr="00DB750B">
      <w:trPr>
        <w:trHeight w:val="269"/>
      </w:trPr>
      <w:tc>
        <w:tcPr>
          <w:tcW w:w="7371" w:type="dxa"/>
          <w:tcMar>
            <w:top w:w="142" w:type="dxa"/>
            <w:bottom w:w="0" w:type="dxa"/>
          </w:tcMar>
        </w:tcPr>
        <w:p w14:paraId="327C1DBA" w14:textId="3B6B4C47" w:rsidR="002F1E61" w:rsidRPr="00487162" w:rsidRDefault="002F1E61" w:rsidP="00674F5D">
          <w:pPr>
            <w:pStyle w:val="Footer"/>
          </w:pPr>
          <w:r w:rsidRPr="00487162">
            <w:t>AusPA</w:t>
          </w:r>
          <w:r>
            <w:t xml:space="preserve">R </w:t>
          </w:r>
          <w:proofErr w:type="spellStart"/>
          <w:r>
            <w:t>INOmax</w:t>
          </w:r>
          <w:proofErr w:type="spellEnd"/>
          <w:r>
            <w:t xml:space="preserve"> medicinal gas nitric oxide Ikaria Australia Pty. Ltd. PM-2018-00306–1-3 - FINAL 28 November 2019</w:t>
          </w:r>
        </w:p>
      </w:tc>
      <w:tc>
        <w:tcPr>
          <w:tcW w:w="1490" w:type="dxa"/>
          <w:tcMar>
            <w:top w:w="142" w:type="dxa"/>
            <w:bottom w:w="0" w:type="dxa"/>
          </w:tcMar>
        </w:tcPr>
        <w:p w14:paraId="5E8D337F" w14:textId="3327000A" w:rsidR="002F1E61" w:rsidRPr="00487162" w:rsidRDefault="002F1E61" w:rsidP="00DB750B">
          <w:pPr>
            <w:pStyle w:val="Footer"/>
            <w:jc w:val="right"/>
          </w:pPr>
          <w:r w:rsidRPr="00487162">
            <w:t xml:space="preserve">Page </w:t>
          </w:r>
          <w:r>
            <w:fldChar w:fldCharType="begin"/>
          </w:r>
          <w:r>
            <w:instrText xml:space="preserve"> PAGE  \* Arabic </w:instrText>
          </w:r>
          <w:r>
            <w:fldChar w:fldCharType="separate"/>
          </w:r>
          <w:r w:rsidR="00EE41FA">
            <w:rPr>
              <w:noProof/>
            </w:rPr>
            <w:t>21</w:t>
          </w:r>
          <w:r>
            <w:fldChar w:fldCharType="end"/>
          </w:r>
          <w:r w:rsidRPr="00487162">
            <w:t xml:space="preserve"> of </w:t>
          </w:r>
          <w:fldSimple w:instr=" NUMPAGES  \* Arabic ">
            <w:r w:rsidR="00EE41FA">
              <w:rPr>
                <w:noProof/>
              </w:rPr>
              <w:t>76</w:t>
            </w:r>
          </w:fldSimple>
        </w:p>
      </w:tc>
    </w:tr>
  </w:tbl>
  <w:p w14:paraId="3D5FE613" w14:textId="77777777" w:rsidR="002F1E61" w:rsidRDefault="002F1E6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12B8" w14:textId="77777777" w:rsidR="002F1E61" w:rsidRDefault="002F1E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F1E61" w:rsidRPr="00487162" w14:paraId="283BD928" w14:textId="77777777" w:rsidTr="00E45619">
      <w:trPr>
        <w:trHeight w:val="269"/>
      </w:trPr>
      <w:tc>
        <w:tcPr>
          <w:tcW w:w="4519" w:type="dxa"/>
          <w:tcBorders>
            <w:top w:val="single" w:sz="4" w:space="0" w:color="auto"/>
          </w:tcBorders>
          <w:tcMar>
            <w:top w:w="142" w:type="dxa"/>
            <w:bottom w:w="0" w:type="dxa"/>
          </w:tcMar>
        </w:tcPr>
        <w:p w14:paraId="7222B431" w14:textId="77777777" w:rsidR="002F1E61" w:rsidRPr="00487162" w:rsidRDefault="002F1E61" w:rsidP="00FE1DEE">
          <w:pPr>
            <w:pStyle w:val="Footer"/>
          </w:pPr>
          <w:r w:rsidRPr="00487162">
            <w:t>Document title, Part #, Section # - Section title</w:t>
          </w:r>
        </w:p>
        <w:p w14:paraId="3867BA35" w14:textId="77777777" w:rsidR="002F1E61" w:rsidRPr="00487162" w:rsidRDefault="002F1E61" w:rsidP="00FE1DEE">
          <w:pPr>
            <w:pStyle w:val="Footer"/>
          </w:pPr>
          <w:r w:rsidRPr="00487162">
            <w:t>V1.0 October 2010</w:t>
          </w:r>
        </w:p>
      </w:tc>
      <w:tc>
        <w:tcPr>
          <w:tcW w:w="4342" w:type="dxa"/>
          <w:tcBorders>
            <w:top w:val="single" w:sz="4" w:space="0" w:color="auto"/>
          </w:tcBorders>
          <w:tcMar>
            <w:top w:w="142" w:type="dxa"/>
            <w:bottom w:w="0" w:type="dxa"/>
          </w:tcMar>
        </w:tcPr>
        <w:p w14:paraId="7E5F4736" w14:textId="77777777" w:rsidR="002F1E61" w:rsidRPr="00487162" w:rsidRDefault="002F1E6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76</w:t>
            </w:r>
          </w:fldSimple>
        </w:p>
      </w:tc>
    </w:tr>
  </w:tbl>
  <w:p w14:paraId="1B0694CC" w14:textId="77777777" w:rsidR="002F1E61" w:rsidRDefault="002F1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BF3DC" w14:textId="77777777" w:rsidR="002F1E61" w:rsidRPr="001C32CD" w:rsidRDefault="002F1E6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F1E61" w14:paraId="658A69A3" w14:textId="77777777" w:rsidTr="0010601F">
      <w:trPr>
        <w:trHeight w:val="108"/>
      </w:trPr>
      <w:tc>
        <w:tcPr>
          <w:tcW w:w="8875" w:type="dxa"/>
          <w:gridSpan w:val="2"/>
          <w:tcBorders>
            <w:bottom w:val="single" w:sz="4" w:space="0" w:color="auto"/>
          </w:tcBorders>
          <w:tcMar>
            <w:right w:w="284" w:type="dxa"/>
          </w:tcMar>
        </w:tcPr>
        <w:p w14:paraId="6C46A689" w14:textId="77777777" w:rsidR="002F1E61" w:rsidRDefault="002F1E61" w:rsidP="006E08B3">
          <w:pPr>
            <w:pStyle w:val="Heading3"/>
          </w:pPr>
          <w:r>
            <w:t>Copyright</w:t>
          </w:r>
        </w:p>
        <w:p w14:paraId="6D6FB7B3" w14:textId="77777777" w:rsidR="002F1E61" w:rsidRDefault="002F1E61" w:rsidP="006E08B3">
          <w:r>
            <w:rPr>
              <w:rFonts w:cs="Arial"/>
            </w:rPr>
            <w:t>©</w:t>
          </w:r>
          <w:r>
            <w:t xml:space="preserve"> Commonwealth of Australia [add year]</w:t>
          </w:r>
        </w:p>
        <w:p w14:paraId="71E73773" w14:textId="77777777" w:rsidR="002F1E61" w:rsidRDefault="002F1E6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E47267F" w14:textId="77777777" w:rsidR="002F1E61" w:rsidRDefault="002F1E61" w:rsidP="006E08B3">
          <w:pPr>
            <w:pStyle w:val="Heading3"/>
          </w:pPr>
          <w:r>
            <w:t>Confidentiality</w:t>
          </w:r>
        </w:p>
        <w:p w14:paraId="1A9CA962" w14:textId="77777777" w:rsidR="002F1E61" w:rsidRDefault="002F1E6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71AE6E0" w14:textId="77777777" w:rsidR="002F1E61" w:rsidRDefault="002F1E61" w:rsidP="006E08B3">
          <w:r>
            <w:t>For submission made by individuals, all personal details, other than your name, will be removed from your submission before it is published on the TGA’s Internet site.</w:t>
          </w:r>
        </w:p>
        <w:p w14:paraId="2E17E3C9" w14:textId="77777777" w:rsidR="002F1E61" w:rsidRDefault="002F1E6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F1E61" w14:paraId="1CB551AF" w14:textId="77777777" w:rsidTr="0010601F">
      <w:trPr>
        <w:trHeight w:val="417"/>
      </w:trPr>
      <w:tc>
        <w:tcPr>
          <w:tcW w:w="4519" w:type="dxa"/>
          <w:tcBorders>
            <w:top w:val="single" w:sz="4" w:space="0" w:color="auto"/>
          </w:tcBorders>
          <w:tcMar>
            <w:top w:w="142" w:type="dxa"/>
            <w:bottom w:w="0" w:type="dxa"/>
          </w:tcMar>
        </w:tcPr>
        <w:p w14:paraId="0A038755" w14:textId="77777777" w:rsidR="002F1E61" w:rsidRDefault="002F1E61" w:rsidP="006E08B3">
          <w:r>
            <w:t>Document title, Part #, Section # - Section title</w:t>
          </w:r>
        </w:p>
        <w:p w14:paraId="446B77AF" w14:textId="77777777" w:rsidR="002F1E61" w:rsidRDefault="002F1E61" w:rsidP="006E08B3">
          <w:r>
            <w:t>V1.0 October 2010</w:t>
          </w:r>
        </w:p>
      </w:tc>
      <w:tc>
        <w:tcPr>
          <w:tcW w:w="4356" w:type="dxa"/>
          <w:tcBorders>
            <w:top w:val="single" w:sz="4" w:space="0" w:color="auto"/>
          </w:tcBorders>
          <w:tcMar>
            <w:top w:w="142" w:type="dxa"/>
            <w:bottom w:w="0" w:type="dxa"/>
          </w:tcMar>
        </w:tcPr>
        <w:p w14:paraId="69DB4A11" w14:textId="77777777" w:rsidR="002F1E61" w:rsidRDefault="002F1E6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76</w:t>
            </w:r>
          </w:fldSimple>
          <w:r>
            <w:t xml:space="preserve"> </w:t>
          </w:r>
        </w:p>
      </w:tc>
    </w:tr>
  </w:tbl>
  <w:p w14:paraId="730B6270" w14:textId="77777777" w:rsidR="002F1E61" w:rsidRDefault="002F1E6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C2656" w14:textId="77777777" w:rsidR="002F1E61" w:rsidRDefault="002F1E61" w:rsidP="00C40A36">
      <w:pPr>
        <w:spacing w:after="0"/>
      </w:pPr>
      <w:r>
        <w:separator/>
      </w:r>
    </w:p>
  </w:footnote>
  <w:footnote w:type="continuationSeparator" w:id="0">
    <w:p w14:paraId="45A61E3F" w14:textId="77777777" w:rsidR="002F1E61" w:rsidRDefault="002F1E61" w:rsidP="00C40A36">
      <w:pPr>
        <w:spacing w:after="0"/>
      </w:pPr>
      <w:r>
        <w:continuationSeparator/>
      </w:r>
    </w:p>
  </w:footnote>
  <w:footnote w:id="1">
    <w:p w14:paraId="4DD0C0AC" w14:textId="77777777" w:rsidR="002F1E61" w:rsidRDefault="002F1E61">
      <w:pPr>
        <w:pStyle w:val="FootnoteText"/>
      </w:pPr>
      <w:r>
        <w:rPr>
          <w:rStyle w:val="FootnoteReference"/>
        </w:rPr>
        <w:footnoteRef/>
      </w:r>
      <w:r>
        <w:t xml:space="preserve"> </w:t>
      </w:r>
      <w:proofErr w:type="spellStart"/>
      <w:r w:rsidRPr="00DE4675">
        <w:t>Kieler</w:t>
      </w:r>
      <w:proofErr w:type="spellEnd"/>
      <w:r w:rsidRPr="00DE4675">
        <w:t xml:space="preserve">-Jensen, N. et al., 1994. Inhaled nitric oxide in the evaluation of heart transplant candidates with elevated pulmonary vascular resistance. </w:t>
      </w:r>
      <w:r w:rsidRPr="00DE4675">
        <w:rPr>
          <w:i/>
        </w:rPr>
        <w:t>J Heart Lung Transplant</w:t>
      </w:r>
      <w:r w:rsidRPr="00DE4675">
        <w:t xml:space="preserve">, </w:t>
      </w:r>
      <w:r>
        <w:t xml:space="preserve">1994; 13: </w:t>
      </w:r>
      <w:r w:rsidRPr="00DE4675">
        <w:t>366-</w:t>
      </w:r>
      <w:r>
        <w:t>3</w:t>
      </w:r>
      <w:r w:rsidRPr="00DE4675">
        <w:t>75</w:t>
      </w:r>
    </w:p>
  </w:footnote>
  <w:footnote w:id="2">
    <w:p w14:paraId="4A7F2FA2" w14:textId="78DBA213" w:rsidR="002F1E61" w:rsidRDefault="002F1E61">
      <w:pPr>
        <w:pStyle w:val="FootnoteText"/>
      </w:pPr>
      <w:r>
        <w:rPr>
          <w:rStyle w:val="FootnoteReference"/>
        </w:rPr>
        <w:footnoteRef/>
      </w:r>
      <w:r>
        <w:t xml:space="preserve"> Clarification: The limitations of the available clinical data were identified in pre-submission discussions between the sponsor and the TGA</w:t>
      </w:r>
    </w:p>
  </w:footnote>
  <w:footnote w:id="3">
    <w:p w14:paraId="5C7C6844" w14:textId="77777777" w:rsidR="002F1E61" w:rsidRDefault="002F1E61">
      <w:pPr>
        <w:pStyle w:val="FootnoteText"/>
      </w:pPr>
      <w:r>
        <w:rPr>
          <w:rStyle w:val="FootnoteReference"/>
        </w:rPr>
        <w:footnoteRef/>
      </w:r>
      <w:r>
        <w:t xml:space="preserve"> </w:t>
      </w:r>
      <w:proofErr w:type="spellStart"/>
      <w:r w:rsidRPr="00DE4675">
        <w:t>Matamis</w:t>
      </w:r>
      <w:proofErr w:type="spellEnd"/>
      <w:r w:rsidRPr="00DE4675">
        <w:t xml:space="preserve"> D et al., 2012 Inhaled NO and sildenafil combination in cardiac surgery patients with out-of-proportion pulmonary hypertension: acute effects on postoperative gas exchange and </w:t>
      </w:r>
      <w:proofErr w:type="spellStart"/>
      <w:r w:rsidRPr="00DE4675">
        <w:t>hemodynamics</w:t>
      </w:r>
      <w:proofErr w:type="spellEnd"/>
      <w:r w:rsidRPr="00DE4675">
        <w:t xml:space="preserve">. </w:t>
      </w:r>
      <w:proofErr w:type="spellStart"/>
      <w:r w:rsidRPr="00DE4675">
        <w:rPr>
          <w:i/>
        </w:rPr>
        <w:t>Circ</w:t>
      </w:r>
      <w:proofErr w:type="spellEnd"/>
      <w:r w:rsidRPr="00DE4675">
        <w:rPr>
          <w:i/>
        </w:rPr>
        <w:t xml:space="preserve"> Heart Fail. </w:t>
      </w:r>
      <w:r w:rsidRPr="00DE4675">
        <w:t>2012 Jan;5(1):47-53</w:t>
      </w:r>
    </w:p>
  </w:footnote>
  <w:footnote w:id="4">
    <w:p w14:paraId="2BB8D41E" w14:textId="77777777" w:rsidR="002F1E61" w:rsidRDefault="002F1E61" w:rsidP="0042347A">
      <w:pPr>
        <w:pStyle w:val="FootnoteText"/>
      </w:pPr>
      <w:r>
        <w:rPr>
          <w:rStyle w:val="FootnoteReference"/>
        </w:rPr>
        <w:footnoteRef/>
      </w:r>
      <w:r>
        <w:t xml:space="preserve"> </w:t>
      </w:r>
      <w:proofErr w:type="spellStart"/>
      <w:r w:rsidRPr="00724497">
        <w:t>Potapov</w:t>
      </w:r>
      <w:proofErr w:type="spellEnd"/>
      <w:r w:rsidRPr="00724497">
        <w:t xml:space="preserve"> E et al., 2011. Inhaled nitric oxide after left ventricular assist device implantation: a prospective, randomised, double-blind, </w:t>
      </w:r>
      <w:proofErr w:type="spellStart"/>
      <w:r w:rsidRPr="00724497">
        <w:t>multicenter</w:t>
      </w:r>
      <w:proofErr w:type="spellEnd"/>
      <w:r w:rsidRPr="00724497">
        <w:t xml:space="preserve">, placebo-controlled trial. </w:t>
      </w:r>
      <w:r w:rsidRPr="00724497">
        <w:rPr>
          <w:i/>
        </w:rPr>
        <w:t>Journal of Heart and Lung</w:t>
      </w:r>
      <w:r w:rsidRPr="00724497">
        <w:t>, 30(8), pp. 870-878</w:t>
      </w:r>
    </w:p>
  </w:footnote>
  <w:footnote w:id="5">
    <w:p w14:paraId="6CAE4D73" w14:textId="77777777" w:rsidR="002F1E61" w:rsidRDefault="002F1E61">
      <w:pPr>
        <w:pStyle w:val="FootnoteText"/>
      </w:pPr>
      <w:r>
        <w:rPr>
          <w:rStyle w:val="FootnoteReference"/>
        </w:rPr>
        <w:footnoteRef/>
      </w:r>
      <w:r>
        <w:t xml:space="preserve">Girard C et al 1992 </w:t>
      </w:r>
      <w:r w:rsidRPr="006669E4">
        <w:t xml:space="preserve">Inhaled nitric oxide after mitral valve replacement in patients with chronic pulmonary artery hypertension. </w:t>
      </w:r>
      <w:proofErr w:type="spellStart"/>
      <w:r w:rsidRPr="006669E4">
        <w:rPr>
          <w:i/>
        </w:rPr>
        <w:t>Anesthesiology</w:t>
      </w:r>
      <w:proofErr w:type="spellEnd"/>
      <w:r w:rsidRPr="006669E4">
        <w:rPr>
          <w:i/>
        </w:rPr>
        <w:t>,</w:t>
      </w:r>
      <w:r w:rsidRPr="006669E4">
        <w:t xml:space="preserve"> </w:t>
      </w:r>
      <w:r>
        <w:t xml:space="preserve">1992; 77: </w:t>
      </w:r>
      <w:r w:rsidRPr="006669E4">
        <w:t>880-</w:t>
      </w:r>
      <w:r>
        <w:t>883</w:t>
      </w:r>
    </w:p>
  </w:footnote>
  <w:footnote w:id="6">
    <w:p w14:paraId="75DE2AB6" w14:textId="77777777" w:rsidR="002F1E61" w:rsidRDefault="002F1E61">
      <w:pPr>
        <w:pStyle w:val="FootnoteText"/>
      </w:pPr>
      <w:r>
        <w:rPr>
          <w:rStyle w:val="FootnoteReference"/>
        </w:rPr>
        <w:footnoteRef/>
      </w:r>
      <w:r>
        <w:t xml:space="preserve"> </w:t>
      </w:r>
      <w:proofErr w:type="spellStart"/>
      <w:r>
        <w:t>Lepore</w:t>
      </w:r>
      <w:proofErr w:type="spellEnd"/>
      <w:r>
        <w:t xml:space="preserve"> J et al 2005 </w:t>
      </w:r>
      <w:r w:rsidRPr="006669E4">
        <w:t xml:space="preserve">Combined administration of intravenous dipyridamole and inhaled nitric oxide to assess reversibility of pulmonary arterial hypertension in potential cardiac transplant recipients. </w:t>
      </w:r>
      <w:r w:rsidRPr="006669E4">
        <w:rPr>
          <w:i/>
        </w:rPr>
        <w:t>J Heart Lung Transplant</w:t>
      </w:r>
      <w:r w:rsidRPr="006669E4">
        <w:t xml:space="preserve">, </w:t>
      </w:r>
      <w:r>
        <w:t xml:space="preserve">2005; 24: </w:t>
      </w:r>
      <w:r w:rsidRPr="006669E4">
        <w:t>1950</w:t>
      </w:r>
      <w:r>
        <w:t>-195</w:t>
      </w:r>
      <w:r w:rsidRPr="006669E4">
        <w:t>6</w:t>
      </w:r>
    </w:p>
  </w:footnote>
  <w:footnote w:id="7">
    <w:p w14:paraId="671984B9" w14:textId="77777777" w:rsidR="002F1E61" w:rsidRDefault="002F1E61">
      <w:pPr>
        <w:pStyle w:val="FootnoteText"/>
      </w:pPr>
      <w:r>
        <w:rPr>
          <w:rStyle w:val="FootnoteReference"/>
        </w:rPr>
        <w:footnoteRef/>
      </w:r>
      <w:r>
        <w:t xml:space="preserve"> Lindberg L et al 1994 </w:t>
      </w:r>
      <w:r w:rsidRPr="006669E4">
        <w:t>Nitric oxide gives maximal response after coronary artery bypass surgery</w:t>
      </w:r>
      <w:r w:rsidRPr="006669E4">
        <w:rPr>
          <w:i/>
        </w:rPr>
        <w:t xml:space="preserve">. J </w:t>
      </w:r>
      <w:proofErr w:type="spellStart"/>
      <w:r w:rsidRPr="006669E4">
        <w:rPr>
          <w:i/>
        </w:rPr>
        <w:t>Cardiothorac</w:t>
      </w:r>
      <w:proofErr w:type="spellEnd"/>
      <w:r w:rsidRPr="006669E4">
        <w:rPr>
          <w:i/>
        </w:rPr>
        <w:t xml:space="preserve"> </w:t>
      </w:r>
      <w:proofErr w:type="spellStart"/>
      <w:r w:rsidRPr="006669E4">
        <w:rPr>
          <w:i/>
        </w:rPr>
        <w:t>Vasc</w:t>
      </w:r>
      <w:proofErr w:type="spellEnd"/>
      <w:r w:rsidRPr="006669E4">
        <w:rPr>
          <w:i/>
        </w:rPr>
        <w:t xml:space="preserve"> </w:t>
      </w:r>
      <w:proofErr w:type="spellStart"/>
      <w:r w:rsidRPr="006669E4">
        <w:rPr>
          <w:i/>
        </w:rPr>
        <w:t>Anesth</w:t>
      </w:r>
      <w:proofErr w:type="spellEnd"/>
      <w:r w:rsidRPr="006669E4">
        <w:t xml:space="preserve">, </w:t>
      </w:r>
      <w:r>
        <w:t xml:space="preserve">1994; 8: </w:t>
      </w:r>
      <w:r w:rsidRPr="006669E4">
        <w:t>182-</w:t>
      </w:r>
      <w:r>
        <w:t>18</w:t>
      </w:r>
      <w:r w:rsidRPr="006669E4">
        <w:t>7</w:t>
      </w:r>
    </w:p>
  </w:footnote>
  <w:footnote w:id="8">
    <w:p w14:paraId="590589BE" w14:textId="77777777" w:rsidR="002F1E61" w:rsidRDefault="002F1E61">
      <w:pPr>
        <w:pStyle w:val="FootnoteText"/>
      </w:pPr>
      <w:r>
        <w:rPr>
          <w:rStyle w:val="FootnoteReference"/>
        </w:rPr>
        <w:footnoteRef/>
      </w:r>
      <w:r>
        <w:t xml:space="preserve"> </w:t>
      </w:r>
      <w:proofErr w:type="spellStart"/>
      <w:r>
        <w:t>Fattouch</w:t>
      </w:r>
      <w:proofErr w:type="spellEnd"/>
      <w:r>
        <w:t xml:space="preserve"> K et al 2005 </w:t>
      </w:r>
      <w:r w:rsidRPr="006669E4">
        <w:t xml:space="preserve">Inhaled prostacyclin, nitric oxide, and nitroprusside in pulmonary hypertension after mitral valve replacement. </w:t>
      </w:r>
      <w:r w:rsidRPr="00FC1D30">
        <w:rPr>
          <w:i/>
        </w:rPr>
        <w:t xml:space="preserve">J Card </w:t>
      </w:r>
      <w:proofErr w:type="spellStart"/>
      <w:r w:rsidRPr="00FC1D30">
        <w:rPr>
          <w:i/>
        </w:rPr>
        <w:t>Surg</w:t>
      </w:r>
      <w:proofErr w:type="spellEnd"/>
      <w:r w:rsidRPr="006669E4">
        <w:t xml:space="preserve">, </w:t>
      </w:r>
      <w:r>
        <w:t xml:space="preserve">2005; 20: </w:t>
      </w:r>
      <w:r w:rsidRPr="006669E4">
        <w:t>171</w:t>
      </w:r>
      <w:r>
        <w:t>-17</w:t>
      </w:r>
      <w:r w:rsidRPr="006669E4">
        <w:t>6</w:t>
      </w:r>
    </w:p>
  </w:footnote>
  <w:footnote w:id="9">
    <w:p w14:paraId="44822460" w14:textId="77777777" w:rsidR="002F1E61" w:rsidRDefault="002F1E61">
      <w:pPr>
        <w:pStyle w:val="FootnoteText"/>
      </w:pPr>
      <w:r>
        <w:rPr>
          <w:rStyle w:val="FootnoteReference"/>
        </w:rPr>
        <w:footnoteRef/>
      </w:r>
      <w:r>
        <w:t xml:space="preserve"> </w:t>
      </w:r>
      <w:proofErr w:type="spellStart"/>
      <w:r>
        <w:t>Fattouch</w:t>
      </w:r>
      <w:proofErr w:type="spellEnd"/>
      <w:r>
        <w:t xml:space="preserve"> K et al 2006 </w:t>
      </w:r>
      <w:r w:rsidRPr="00FC1D30">
        <w:t xml:space="preserve">Treatment of pulmonary hypertension in patients undergoing cardiac surgery with cardiopulmonary bypass: a randomised, prospective, double-blind study. </w:t>
      </w:r>
      <w:r w:rsidRPr="00FC1D30">
        <w:rPr>
          <w:i/>
        </w:rPr>
        <w:t xml:space="preserve">J </w:t>
      </w:r>
      <w:proofErr w:type="spellStart"/>
      <w:r w:rsidRPr="00FC1D30">
        <w:rPr>
          <w:i/>
        </w:rPr>
        <w:t>Cardiovasc</w:t>
      </w:r>
      <w:proofErr w:type="spellEnd"/>
      <w:r w:rsidRPr="00FC1D30">
        <w:rPr>
          <w:i/>
        </w:rPr>
        <w:t xml:space="preserve"> Med</w:t>
      </w:r>
      <w:r w:rsidRPr="00FC1D30">
        <w:t xml:space="preserve"> (Hagerstown ), </w:t>
      </w:r>
      <w:r>
        <w:t xml:space="preserve">2006; 7: </w:t>
      </w:r>
      <w:r w:rsidRPr="00FC1D30">
        <w:t>119</w:t>
      </w:r>
      <w:r>
        <w:t>-1</w:t>
      </w:r>
      <w:r w:rsidRPr="00FC1D30">
        <w:t>23</w:t>
      </w:r>
    </w:p>
  </w:footnote>
  <w:footnote w:id="10">
    <w:p w14:paraId="4FBA555C" w14:textId="77777777" w:rsidR="002F1E61" w:rsidRDefault="002F1E61">
      <w:pPr>
        <w:pStyle w:val="FootnoteText"/>
      </w:pPr>
      <w:r>
        <w:rPr>
          <w:rStyle w:val="FootnoteReference"/>
        </w:rPr>
        <w:footnoteRef/>
      </w:r>
      <w:r>
        <w:t xml:space="preserve"> </w:t>
      </w:r>
      <w:proofErr w:type="spellStart"/>
      <w:r>
        <w:t>Gianetti</w:t>
      </w:r>
      <w:proofErr w:type="spellEnd"/>
      <w:r>
        <w:t xml:space="preserve"> J et al 2004 </w:t>
      </w:r>
      <w:r w:rsidRPr="00FC1D30">
        <w:t xml:space="preserve">Supplemental nitric oxide and its effect on myocardial injury and function in patients undergoing cardiac surgery with extracorporeal circulation. </w:t>
      </w:r>
      <w:r w:rsidRPr="00FC1D30">
        <w:rPr>
          <w:i/>
        </w:rPr>
        <w:t xml:space="preserve">J </w:t>
      </w:r>
      <w:proofErr w:type="spellStart"/>
      <w:r w:rsidRPr="00FC1D30">
        <w:rPr>
          <w:i/>
        </w:rPr>
        <w:t>Thorac</w:t>
      </w:r>
      <w:proofErr w:type="spellEnd"/>
      <w:r w:rsidRPr="00FC1D30">
        <w:rPr>
          <w:i/>
        </w:rPr>
        <w:t xml:space="preserve"> </w:t>
      </w:r>
      <w:proofErr w:type="spellStart"/>
      <w:r w:rsidRPr="00FC1D30">
        <w:rPr>
          <w:i/>
        </w:rPr>
        <w:t>Cardiovasc</w:t>
      </w:r>
      <w:proofErr w:type="spellEnd"/>
      <w:r w:rsidRPr="00FC1D30">
        <w:rPr>
          <w:i/>
        </w:rPr>
        <w:t xml:space="preserve"> </w:t>
      </w:r>
      <w:proofErr w:type="spellStart"/>
      <w:r w:rsidRPr="00FC1D30">
        <w:rPr>
          <w:i/>
        </w:rPr>
        <w:t>Surg</w:t>
      </w:r>
      <w:proofErr w:type="spellEnd"/>
      <w:r w:rsidRPr="00FC1D30">
        <w:t xml:space="preserve">, </w:t>
      </w:r>
      <w:r>
        <w:t xml:space="preserve">2004; 127: </w:t>
      </w:r>
      <w:r w:rsidRPr="00FC1D30">
        <w:t>44-50</w:t>
      </w:r>
    </w:p>
  </w:footnote>
  <w:footnote w:id="11">
    <w:p w14:paraId="3A698623" w14:textId="77777777" w:rsidR="002F1E61" w:rsidRDefault="002F1E61">
      <w:pPr>
        <w:pStyle w:val="FootnoteText"/>
      </w:pPr>
      <w:r>
        <w:rPr>
          <w:rStyle w:val="FootnoteReference"/>
        </w:rPr>
        <w:footnoteRef/>
      </w:r>
      <w:r>
        <w:t xml:space="preserve"> </w:t>
      </w:r>
      <w:proofErr w:type="spellStart"/>
      <w:r>
        <w:t>Schmid</w:t>
      </w:r>
      <w:proofErr w:type="spellEnd"/>
      <w:r>
        <w:t xml:space="preserve"> E et al 1999 </w:t>
      </w:r>
      <w:r w:rsidRPr="00FC1D30">
        <w:t xml:space="preserve">Inhaled nitric oxide versus intravenous vasodilators in severe pulmonary hypertension after cardiac surgery. </w:t>
      </w:r>
      <w:proofErr w:type="spellStart"/>
      <w:r w:rsidRPr="00FC1D30">
        <w:rPr>
          <w:i/>
        </w:rPr>
        <w:t>Anesth</w:t>
      </w:r>
      <w:proofErr w:type="spellEnd"/>
      <w:r w:rsidRPr="00FC1D30">
        <w:rPr>
          <w:i/>
        </w:rPr>
        <w:t xml:space="preserve"> </w:t>
      </w:r>
      <w:proofErr w:type="spellStart"/>
      <w:r w:rsidRPr="00FC1D30">
        <w:rPr>
          <w:i/>
        </w:rPr>
        <w:t>Analg</w:t>
      </w:r>
      <w:proofErr w:type="spellEnd"/>
      <w:r w:rsidRPr="00FC1D30">
        <w:t xml:space="preserve">, </w:t>
      </w:r>
      <w:r>
        <w:t xml:space="preserve">1999; 89: </w:t>
      </w:r>
      <w:r w:rsidRPr="00FC1D30">
        <w:t>1108-</w:t>
      </w:r>
      <w:r>
        <w:t>11</w:t>
      </w:r>
      <w:r w:rsidRPr="00FC1D30">
        <w:t>15</w:t>
      </w:r>
    </w:p>
  </w:footnote>
  <w:footnote w:id="12">
    <w:p w14:paraId="7D4BACC6" w14:textId="77777777" w:rsidR="002F1E61" w:rsidRDefault="002F1E61">
      <w:pPr>
        <w:pStyle w:val="FootnoteText"/>
      </w:pPr>
      <w:r>
        <w:rPr>
          <w:rStyle w:val="FootnoteReference"/>
        </w:rPr>
        <w:footnoteRef/>
      </w:r>
      <w:r>
        <w:t xml:space="preserve"> </w:t>
      </w:r>
      <w:proofErr w:type="spellStart"/>
      <w:r>
        <w:t>Winterhalter</w:t>
      </w:r>
      <w:proofErr w:type="spellEnd"/>
      <w:r>
        <w:t xml:space="preserve"> M et al 2008 </w:t>
      </w:r>
      <w:r w:rsidRPr="00FC1D30">
        <w:t xml:space="preserve">Comparison of inhaled </w:t>
      </w:r>
      <w:proofErr w:type="spellStart"/>
      <w:r w:rsidRPr="00FC1D30">
        <w:t>iloprost</w:t>
      </w:r>
      <w:proofErr w:type="spellEnd"/>
      <w:r w:rsidRPr="00FC1D30">
        <w:t xml:space="preserve"> and nitric oxide in patients with pulmonary hypertension during weaning from cardiopulmonary bypass in cardiac surgery: a prospective randomised trial</w:t>
      </w:r>
      <w:r w:rsidRPr="00FC1D30">
        <w:rPr>
          <w:i/>
        </w:rPr>
        <w:t xml:space="preserve">. J </w:t>
      </w:r>
      <w:proofErr w:type="spellStart"/>
      <w:r w:rsidRPr="00FC1D30">
        <w:rPr>
          <w:i/>
        </w:rPr>
        <w:t>Cardiothorac</w:t>
      </w:r>
      <w:proofErr w:type="spellEnd"/>
      <w:r w:rsidRPr="00FC1D30">
        <w:rPr>
          <w:i/>
        </w:rPr>
        <w:t xml:space="preserve"> </w:t>
      </w:r>
      <w:proofErr w:type="spellStart"/>
      <w:r w:rsidRPr="00FC1D30">
        <w:rPr>
          <w:i/>
        </w:rPr>
        <w:t>Vasc</w:t>
      </w:r>
      <w:proofErr w:type="spellEnd"/>
      <w:r w:rsidRPr="00FC1D30">
        <w:rPr>
          <w:i/>
        </w:rPr>
        <w:t xml:space="preserve"> </w:t>
      </w:r>
      <w:proofErr w:type="spellStart"/>
      <w:r w:rsidRPr="00FC1D30">
        <w:rPr>
          <w:i/>
        </w:rPr>
        <w:t>Anesth</w:t>
      </w:r>
      <w:proofErr w:type="spellEnd"/>
      <w:r w:rsidRPr="00FC1D30">
        <w:t xml:space="preserve">, </w:t>
      </w:r>
      <w:r>
        <w:t xml:space="preserve">2008; 22: </w:t>
      </w:r>
      <w:r w:rsidRPr="00FC1D30">
        <w:t>406-</w:t>
      </w:r>
      <w:r>
        <w:t>40</w:t>
      </w:r>
      <w:r w:rsidRPr="00FC1D30">
        <w:t>1</w:t>
      </w:r>
    </w:p>
  </w:footnote>
  <w:footnote w:id="13">
    <w:p w14:paraId="5B3033BF" w14:textId="77777777" w:rsidR="002F1E61" w:rsidRDefault="002F1E61">
      <w:pPr>
        <w:pStyle w:val="FootnoteText"/>
      </w:pPr>
      <w:r>
        <w:rPr>
          <w:rStyle w:val="FootnoteReference"/>
        </w:rPr>
        <w:footnoteRef/>
      </w:r>
      <w:r>
        <w:t xml:space="preserve"> </w:t>
      </w:r>
      <w:proofErr w:type="spellStart"/>
      <w:r>
        <w:t>Solina</w:t>
      </w:r>
      <w:proofErr w:type="spellEnd"/>
      <w:r>
        <w:t xml:space="preserve"> A et al 2000 </w:t>
      </w:r>
      <w:r w:rsidRPr="00FC1D30">
        <w:t xml:space="preserve">A comparison of inhaled nitric oxide and </w:t>
      </w:r>
      <w:proofErr w:type="spellStart"/>
      <w:r w:rsidRPr="00FC1D30">
        <w:t>milrinone</w:t>
      </w:r>
      <w:proofErr w:type="spellEnd"/>
      <w:r w:rsidRPr="00FC1D30">
        <w:t xml:space="preserve"> for the treatment of pulmonary hypertension in adult cardiac surgery patients</w:t>
      </w:r>
      <w:r w:rsidRPr="00FC1D30">
        <w:rPr>
          <w:i/>
        </w:rPr>
        <w:t xml:space="preserve">. J </w:t>
      </w:r>
      <w:proofErr w:type="spellStart"/>
      <w:r w:rsidRPr="00FC1D30">
        <w:rPr>
          <w:i/>
        </w:rPr>
        <w:t>Cardiothorac</w:t>
      </w:r>
      <w:proofErr w:type="spellEnd"/>
      <w:r w:rsidRPr="00FC1D30">
        <w:rPr>
          <w:i/>
        </w:rPr>
        <w:t xml:space="preserve"> </w:t>
      </w:r>
      <w:proofErr w:type="spellStart"/>
      <w:r w:rsidRPr="00FC1D30">
        <w:rPr>
          <w:i/>
        </w:rPr>
        <w:t>Vasc</w:t>
      </w:r>
      <w:proofErr w:type="spellEnd"/>
      <w:r w:rsidRPr="00FC1D30">
        <w:rPr>
          <w:i/>
        </w:rPr>
        <w:t xml:space="preserve"> </w:t>
      </w:r>
      <w:proofErr w:type="spellStart"/>
      <w:r w:rsidRPr="00FC1D30">
        <w:rPr>
          <w:i/>
        </w:rPr>
        <w:t>Anesth</w:t>
      </w:r>
      <w:proofErr w:type="spellEnd"/>
      <w:r w:rsidRPr="00FC1D30">
        <w:t xml:space="preserve">, </w:t>
      </w:r>
      <w:r>
        <w:t xml:space="preserve">2000; 14: </w:t>
      </w:r>
      <w:r w:rsidRPr="00FC1D30">
        <w:t>12-</w:t>
      </w:r>
      <w:r>
        <w:t>1</w:t>
      </w:r>
      <w:r w:rsidRPr="00FC1D30">
        <w:t>7.</w:t>
      </w:r>
    </w:p>
  </w:footnote>
  <w:footnote w:id="14">
    <w:p w14:paraId="633DFE20" w14:textId="77777777" w:rsidR="002F1E61" w:rsidRDefault="002F1E61">
      <w:pPr>
        <w:pStyle w:val="FootnoteText"/>
      </w:pPr>
      <w:r>
        <w:rPr>
          <w:rStyle w:val="FootnoteReference"/>
        </w:rPr>
        <w:footnoteRef/>
      </w:r>
      <w:r>
        <w:t xml:space="preserve"> </w:t>
      </w:r>
      <w:proofErr w:type="spellStart"/>
      <w:r>
        <w:t>Solina</w:t>
      </w:r>
      <w:proofErr w:type="spellEnd"/>
      <w:r>
        <w:t xml:space="preserve"> A et al 2001 </w:t>
      </w:r>
      <w:r w:rsidRPr="00FC1D30">
        <w:t xml:space="preserve">Dose response to nitric oxide in adult cardiac surgery patients. </w:t>
      </w:r>
      <w:r w:rsidRPr="00FC1D30">
        <w:rPr>
          <w:i/>
        </w:rPr>
        <w:t xml:space="preserve">J </w:t>
      </w:r>
      <w:proofErr w:type="spellStart"/>
      <w:r w:rsidRPr="00FC1D30">
        <w:rPr>
          <w:i/>
        </w:rPr>
        <w:t>Clin</w:t>
      </w:r>
      <w:proofErr w:type="spellEnd"/>
      <w:r w:rsidRPr="00FC1D30">
        <w:rPr>
          <w:i/>
        </w:rPr>
        <w:t xml:space="preserve"> </w:t>
      </w:r>
      <w:proofErr w:type="spellStart"/>
      <w:r w:rsidRPr="00FC1D30">
        <w:rPr>
          <w:i/>
        </w:rPr>
        <w:t>Anesth</w:t>
      </w:r>
      <w:proofErr w:type="spellEnd"/>
      <w:r w:rsidRPr="00FC1D30">
        <w:t xml:space="preserve">, </w:t>
      </w:r>
      <w:r>
        <w:t xml:space="preserve">2001; 13: </w:t>
      </w:r>
      <w:r w:rsidRPr="00FC1D30">
        <w:t>281-</w:t>
      </w:r>
      <w:r>
        <w:t>28</w:t>
      </w:r>
      <w:r w:rsidRPr="00FC1D30">
        <w:t>6</w:t>
      </w:r>
    </w:p>
  </w:footnote>
  <w:footnote w:id="15">
    <w:p w14:paraId="5C4B065D" w14:textId="276A5A01" w:rsidR="002F1E61" w:rsidRDefault="002F1E61">
      <w:pPr>
        <w:pStyle w:val="FootnoteText"/>
      </w:pPr>
      <w:r>
        <w:rPr>
          <w:rStyle w:val="FootnoteReference"/>
        </w:rPr>
        <w:footnoteRef/>
      </w:r>
      <w:r>
        <w:t xml:space="preserve"> </w:t>
      </w:r>
      <w:proofErr w:type="spellStart"/>
      <w:r>
        <w:t>Ardehali</w:t>
      </w:r>
      <w:proofErr w:type="spellEnd"/>
      <w:r>
        <w:t xml:space="preserve"> A et al 2001 </w:t>
      </w:r>
      <w:r w:rsidRPr="002F49E8">
        <w:t xml:space="preserve">Inhaled nitric oxide for pulmonary hypertension after heart transplantation. </w:t>
      </w:r>
      <w:r w:rsidRPr="002F49E8">
        <w:rPr>
          <w:i/>
        </w:rPr>
        <w:t>Transplantation,</w:t>
      </w:r>
      <w:r w:rsidRPr="002F49E8">
        <w:t xml:space="preserve"> </w:t>
      </w:r>
      <w:r>
        <w:t xml:space="preserve">2001; 72: </w:t>
      </w:r>
      <w:r w:rsidRPr="002F49E8">
        <w:t>638-</w:t>
      </w:r>
      <w:r>
        <w:t>6</w:t>
      </w:r>
      <w:r w:rsidRPr="002F49E8">
        <w:t>41</w:t>
      </w:r>
    </w:p>
  </w:footnote>
  <w:footnote w:id="16">
    <w:p w14:paraId="453FF779" w14:textId="77777777" w:rsidR="002F1E61" w:rsidRDefault="002F1E61">
      <w:pPr>
        <w:pStyle w:val="FootnoteText"/>
      </w:pPr>
      <w:r>
        <w:rPr>
          <w:rStyle w:val="FootnoteReference"/>
        </w:rPr>
        <w:footnoteRef/>
      </w:r>
      <w:r>
        <w:t xml:space="preserve"> </w:t>
      </w:r>
      <w:proofErr w:type="spellStart"/>
      <w:r>
        <w:t>Rajek</w:t>
      </w:r>
      <w:proofErr w:type="spellEnd"/>
      <w:r>
        <w:t xml:space="preserve"> A et al 2000 </w:t>
      </w:r>
      <w:r w:rsidRPr="005E6F6C">
        <w:t xml:space="preserve">Inhaled nitric oxide reduces pulmonary vascular resistance more than prostaglandin E(1) during heart transplantation. </w:t>
      </w:r>
      <w:proofErr w:type="spellStart"/>
      <w:r w:rsidRPr="005E6F6C">
        <w:rPr>
          <w:i/>
        </w:rPr>
        <w:t>Anesth</w:t>
      </w:r>
      <w:proofErr w:type="spellEnd"/>
      <w:r w:rsidRPr="005E6F6C">
        <w:rPr>
          <w:i/>
        </w:rPr>
        <w:t xml:space="preserve"> </w:t>
      </w:r>
      <w:proofErr w:type="spellStart"/>
      <w:r w:rsidRPr="005E6F6C">
        <w:rPr>
          <w:i/>
        </w:rPr>
        <w:t>Analg</w:t>
      </w:r>
      <w:proofErr w:type="spellEnd"/>
      <w:r w:rsidRPr="005E6F6C">
        <w:rPr>
          <w:i/>
        </w:rPr>
        <w:t>,</w:t>
      </w:r>
      <w:r w:rsidRPr="005E6F6C">
        <w:t xml:space="preserve"> </w:t>
      </w:r>
      <w:r>
        <w:t>2000; 90:</w:t>
      </w:r>
      <w:r w:rsidRPr="005E6F6C">
        <w:t>523-</w:t>
      </w:r>
      <w:r>
        <w:t>5</w:t>
      </w:r>
      <w:r w:rsidRPr="005E6F6C">
        <w:t>30.</w:t>
      </w:r>
    </w:p>
  </w:footnote>
  <w:footnote w:id="17">
    <w:p w14:paraId="4205C70E" w14:textId="77777777" w:rsidR="002F1E61" w:rsidRDefault="002F1E61">
      <w:pPr>
        <w:pStyle w:val="FootnoteText"/>
      </w:pPr>
      <w:r>
        <w:rPr>
          <w:rStyle w:val="FootnoteReference"/>
        </w:rPr>
        <w:footnoteRef/>
      </w:r>
      <w:r>
        <w:t xml:space="preserve"> </w:t>
      </w:r>
      <w:proofErr w:type="spellStart"/>
      <w:r>
        <w:t>Radovancevic</w:t>
      </w:r>
      <w:proofErr w:type="spellEnd"/>
      <w:r>
        <w:t xml:space="preserve"> B et al 2005 </w:t>
      </w:r>
      <w:r w:rsidRPr="005E6F6C">
        <w:t xml:space="preserve">Nitric oxide versus prostaglandin E1 for reduction of pulmonary hypertension in heart transplant candidates. </w:t>
      </w:r>
      <w:r w:rsidRPr="005E6F6C">
        <w:rPr>
          <w:i/>
        </w:rPr>
        <w:t>J Heart Lung Transplant</w:t>
      </w:r>
      <w:r w:rsidRPr="005E6F6C">
        <w:t xml:space="preserve">, </w:t>
      </w:r>
      <w:r>
        <w:t xml:space="preserve">2005; 24: </w:t>
      </w:r>
      <w:r w:rsidRPr="005E6F6C">
        <w:t>690-</w:t>
      </w:r>
      <w:r>
        <w:t>69</w:t>
      </w:r>
      <w:r w:rsidRPr="005E6F6C">
        <w:t>5</w:t>
      </w:r>
    </w:p>
  </w:footnote>
  <w:footnote w:id="18">
    <w:p w14:paraId="72B245B7" w14:textId="77777777" w:rsidR="002F1E61" w:rsidRPr="005E6F6C" w:rsidRDefault="002F1E61" w:rsidP="005E6F6C">
      <w:pPr>
        <w:pStyle w:val="FootnoteText"/>
      </w:pPr>
      <w:r>
        <w:rPr>
          <w:rStyle w:val="FootnoteReference"/>
        </w:rPr>
        <w:footnoteRef/>
      </w:r>
      <w:r>
        <w:t xml:space="preserve"> </w:t>
      </w:r>
      <w:proofErr w:type="spellStart"/>
      <w:r>
        <w:t>Argenziano</w:t>
      </w:r>
      <w:proofErr w:type="spellEnd"/>
      <w:r>
        <w:t xml:space="preserve"> M et al 1998 </w:t>
      </w:r>
      <w:r w:rsidRPr="005E6F6C">
        <w:t xml:space="preserve">Randomised, double-blind trial of inhaled nitric oxide in LVAD recipients with pulmonary hypertension. </w:t>
      </w:r>
      <w:r w:rsidRPr="005E6F6C">
        <w:rPr>
          <w:i/>
        </w:rPr>
        <w:t xml:space="preserve">Ann </w:t>
      </w:r>
      <w:proofErr w:type="spellStart"/>
      <w:r w:rsidRPr="005E6F6C">
        <w:rPr>
          <w:i/>
        </w:rPr>
        <w:t>Thorac</w:t>
      </w:r>
      <w:proofErr w:type="spellEnd"/>
      <w:r w:rsidRPr="005E6F6C">
        <w:rPr>
          <w:i/>
        </w:rPr>
        <w:t xml:space="preserve"> </w:t>
      </w:r>
      <w:proofErr w:type="spellStart"/>
      <w:r w:rsidRPr="005E6F6C">
        <w:rPr>
          <w:i/>
        </w:rPr>
        <w:t>Surg</w:t>
      </w:r>
      <w:proofErr w:type="spellEnd"/>
      <w:r w:rsidRPr="005E6F6C">
        <w:rPr>
          <w:i/>
        </w:rPr>
        <w:t>,</w:t>
      </w:r>
      <w:r w:rsidRPr="005E6F6C">
        <w:t xml:space="preserve"> </w:t>
      </w:r>
      <w:r>
        <w:t xml:space="preserve">1998; 65: </w:t>
      </w:r>
      <w:r w:rsidRPr="005E6F6C">
        <w:t>340-</w:t>
      </w:r>
      <w:r>
        <w:t>34</w:t>
      </w:r>
      <w:r w:rsidRPr="005E6F6C">
        <w:t>5</w:t>
      </w:r>
    </w:p>
  </w:footnote>
  <w:footnote w:id="19">
    <w:p w14:paraId="3C297152" w14:textId="77777777" w:rsidR="002F1E61" w:rsidRDefault="002F1E61">
      <w:pPr>
        <w:pStyle w:val="FootnoteText"/>
      </w:pPr>
      <w:r>
        <w:rPr>
          <w:rStyle w:val="FootnoteReference"/>
        </w:rPr>
        <w:footnoteRef/>
      </w:r>
      <w:r>
        <w:t xml:space="preserve"> </w:t>
      </w:r>
      <w:proofErr w:type="spellStart"/>
      <w:r w:rsidRPr="00DB1246">
        <w:t>Kukucka</w:t>
      </w:r>
      <w:proofErr w:type="spellEnd"/>
      <w:r w:rsidRPr="00DB1246">
        <w:t xml:space="preserve"> M et al., 2011. Acute impact of left ventricular unloading by left ventricular assist device on the right ventricle geometry and function: effect of nitric oxide inhalation </w:t>
      </w:r>
      <w:r w:rsidRPr="00DB1246">
        <w:rPr>
          <w:i/>
        </w:rPr>
        <w:t xml:space="preserve">J </w:t>
      </w:r>
      <w:proofErr w:type="spellStart"/>
      <w:r w:rsidRPr="00DB1246">
        <w:rPr>
          <w:i/>
        </w:rPr>
        <w:t>Thorac</w:t>
      </w:r>
      <w:proofErr w:type="spellEnd"/>
      <w:r w:rsidRPr="00DB1246">
        <w:rPr>
          <w:i/>
        </w:rPr>
        <w:t xml:space="preserve"> </w:t>
      </w:r>
      <w:proofErr w:type="spellStart"/>
      <w:r w:rsidRPr="00DB1246">
        <w:rPr>
          <w:i/>
        </w:rPr>
        <w:t>Cardiovasc</w:t>
      </w:r>
      <w:proofErr w:type="spellEnd"/>
      <w:r w:rsidRPr="00DB1246">
        <w:rPr>
          <w:i/>
        </w:rPr>
        <w:t xml:space="preserve"> Surgery, </w:t>
      </w:r>
      <w:r>
        <w:t xml:space="preserve">2011; 141: </w:t>
      </w:r>
      <w:r w:rsidRPr="00DB1246">
        <w:t>1009-1014.</w:t>
      </w:r>
    </w:p>
  </w:footnote>
  <w:footnote w:id="20">
    <w:p w14:paraId="1CED29BD" w14:textId="77777777" w:rsidR="002F1E61" w:rsidRDefault="002F1E61">
      <w:pPr>
        <w:pStyle w:val="FootnoteText"/>
      </w:pPr>
      <w:r>
        <w:rPr>
          <w:rStyle w:val="FootnoteReference"/>
        </w:rPr>
        <w:footnoteRef/>
      </w:r>
      <w:r>
        <w:t xml:space="preserve"> </w:t>
      </w:r>
      <w:proofErr w:type="spellStart"/>
      <w:r w:rsidRPr="00DB1246">
        <w:t>Fernandes</w:t>
      </w:r>
      <w:proofErr w:type="spellEnd"/>
      <w:r w:rsidRPr="00DB1246">
        <w:t xml:space="preserve"> J.L., et al., 2011. Comparison of inhaled nitric oxide versus oxygen on </w:t>
      </w:r>
      <w:proofErr w:type="spellStart"/>
      <w:r w:rsidRPr="00DB1246">
        <w:t>hemodynamics</w:t>
      </w:r>
      <w:proofErr w:type="spellEnd"/>
      <w:r w:rsidRPr="00DB1246">
        <w:t xml:space="preserve"> in patients with mitral stenosis and severe pulmonary hypertensi</w:t>
      </w:r>
      <w:r>
        <w:t xml:space="preserve">on after mitral valve surgery. </w:t>
      </w:r>
      <w:proofErr w:type="spellStart"/>
      <w:r w:rsidRPr="00DB1246">
        <w:rPr>
          <w:i/>
        </w:rPr>
        <w:t>Amer</w:t>
      </w:r>
      <w:proofErr w:type="spellEnd"/>
      <w:r w:rsidRPr="00DB1246">
        <w:rPr>
          <w:i/>
        </w:rPr>
        <w:t xml:space="preserve"> J </w:t>
      </w:r>
      <w:proofErr w:type="spellStart"/>
      <w:r w:rsidRPr="00DB1246">
        <w:rPr>
          <w:i/>
        </w:rPr>
        <w:t>Cardiol</w:t>
      </w:r>
      <w:proofErr w:type="spellEnd"/>
      <w:r w:rsidRPr="00DB1246">
        <w:t xml:space="preserve">, </w:t>
      </w:r>
      <w:r>
        <w:t xml:space="preserve">2011; 107: </w:t>
      </w:r>
      <w:r w:rsidRPr="00DB1246">
        <w:t>1040</w:t>
      </w:r>
      <w:r>
        <w:t>-</w:t>
      </w:r>
      <w:r w:rsidRPr="00DB1246">
        <w:t>1045.</w:t>
      </w:r>
    </w:p>
  </w:footnote>
  <w:footnote w:id="21">
    <w:p w14:paraId="5166EE0F" w14:textId="77777777" w:rsidR="002F1E61" w:rsidRDefault="002F1E61">
      <w:pPr>
        <w:pStyle w:val="FootnoteText"/>
      </w:pPr>
      <w:r>
        <w:rPr>
          <w:rStyle w:val="FootnoteReference"/>
        </w:rPr>
        <w:footnoteRef/>
      </w:r>
      <w:r>
        <w:t xml:space="preserve"> Khan T et al 2009 A prospective, randomised, crossover pilot study of inhaled nitric oxide versus inhaled prostacyclin in heart transplant and lung transplant recipients</w:t>
      </w:r>
      <w:r w:rsidRPr="00081AFF">
        <w:rPr>
          <w:i/>
        </w:rPr>
        <w:t xml:space="preserve">. J </w:t>
      </w:r>
      <w:proofErr w:type="spellStart"/>
      <w:r w:rsidRPr="00081AFF">
        <w:rPr>
          <w:i/>
        </w:rPr>
        <w:t>Thorac</w:t>
      </w:r>
      <w:proofErr w:type="spellEnd"/>
      <w:r w:rsidRPr="00081AFF">
        <w:rPr>
          <w:i/>
        </w:rPr>
        <w:t xml:space="preserve"> </w:t>
      </w:r>
      <w:proofErr w:type="spellStart"/>
      <w:r w:rsidRPr="00081AFF">
        <w:rPr>
          <w:i/>
        </w:rPr>
        <w:t>Cardiovasc</w:t>
      </w:r>
      <w:proofErr w:type="spellEnd"/>
      <w:r w:rsidRPr="00081AFF">
        <w:rPr>
          <w:i/>
        </w:rPr>
        <w:t xml:space="preserve"> </w:t>
      </w:r>
      <w:proofErr w:type="spellStart"/>
      <w:r w:rsidRPr="00081AFF">
        <w:rPr>
          <w:i/>
        </w:rPr>
        <w:t>Surg</w:t>
      </w:r>
      <w:proofErr w:type="spellEnd"/>
      <w:r>
        <w:t xml:space="preserve"> 2009; 138: 1417-1420</w:t>
      </w:r>
    </w:p>
  </w:footnote>
  <w:footnote w:id="22">
    <w:p w14:paraId="74C78A57" w14:textId="77777777" w:rsidR="002F1E61" w:rsidRDefault="002F1E61">
      <w:pPr>
        <w:pStyle w:val="FootnoteText"/>
      </w:pPr>
      <w:r>
        <w:rPr>
          <w:rStyle w:val="FootnoteReference"/>
        </w:rPr>
        <w:footnoteRef/>
      </w:r>
      <w:r>
        <w:t xml:space="preserve"> </w:t>
      </w:r>
      <w:proofErr w:type="spellStart"/>
      <w:r>
        <w:t>Knothe</w:t>
      </w:r>
      <w:proofErr w:type="spellEnd"/>
      <w:r>
        <w:t xml:space="preserve"> </w:t>
      </w:r>
      <w:proofErr w:type="spellStart"/>
      <w:r>
        <w:t>Ch</w:t>
      </w:r>
      <w:proofErr w:type="spellEnd"/>
      <w:r>
        <w:t xml:space="preserve"> et al 1996 </w:t>
      </w:r>
      <w:r w:rsidRPr="00081AFF">
        <w:t xml:space="preserve">NO inhalation in heart surgery procedures: Relevance </w:t>
      </w:r>
      <w:r>
        <w:t xml:space="preserve">for right-side heart function. </w:t>
      </w:r>
      <w:proofErr w:type="spellStart"/>
      <w:r w:rsidRPr="00081AFF">
        <w:rPr>
          <w:i/>
        </w:rPr>
        <w:t>Anaesthesist</w:t>
      </w:r>
      <w:proofErr w:type="spellEnd"/>
      <w:r w:rsidRPr="00081AFF">
        <w:rPr>
          <w:i/>
        </w:rPr>
        <w:t>.</w:t>
      </w:r>
      <w:r w:rsidRPr="00081AFF">
        <w:t xml:space="preserve"> </w:t>
      </w:r>
      <w:r>
        <w:t xml:space="preserve">1996; 45: </w:t>
      </w:r>
      <w:r w:rsidRPr="00081AFF">
        <w:t>240-248</w:t>
      </w:r>
    </w:p>
  </w:footnote>
  <w:footnote w:id="23">
    <w:p w14:paraId="6BAEC2FF" w14:textId="619720ED" w:rsidR="002F1E61" w:rsidRDefault="002F1E61">
      <w:pPr>
        <w:pStyle w:val="FootnoteText"/>
      </w:pPr>
      <w:r>
        <w:rPr>
          <w:rStyle w:val="FootnoteReference"/>
        </w:rPr>
        <w:footnoteRef/>
      </w:r>
      <w:r>
        <w:t xml:space="preserve"> Clarification: some of the inaccuracies identified arose from the published reports themselves and the text of the approved PI for </w:t>
      </w:r>
      <w:proofErr w:type="spellStart"/>
      <w:r>
        <w:t>VasoKINOX</w:t>
      </w:r>
      <w:proofErr w:type="spellEnd"/>
    </w:p>
  </w:footnote>
  <w:footnote w:id="24">
    <w:p w14:paraId="26132418" w14:textId="77777777" w:rsidR="002F1E61" w:rsidRDefault="002F1E61">
      <w:pPr>
        <w:pStyle w:val="FootnoteText"/>
      </w:pPr>
      <w:r>
        <w:rPr>
          <w:rStyle w:val="FootnoteReference"/>
        </w:rPr>
        <w:footnoteRef/>
      </w:r>
      <w:r>
        <w:t xml:space="preserve"> </w:t>
      </w:r>
      <w:r w:rsidRPr="000D37D1">
        <w:t>Miller, O. et al., 2000. Inhaled nitric oxide and prevention of pulmonary hypertension after congenital heart surgery: a randomised double</w:t>
      </w:r>
      <w:r>
        <w:t xml:space="preserve"> </w:t>
      </w:r>
      <w:r w:rsidRPr="000D37D1">
        <w:t xml:space="preserve">blind study. </w:t>
      </w:r>
      <w:r w:rsidRPr="000D37D1">
        <w:rPr>
          <w:i/>
        </w:rPr>
        <w:t>Lancet,</w:t>
      </w:r>
      <w:r w:rsidRPr="000D37D1">
        <w:t xml:space="preserve"> </w:t>
      </w:r>
      <w:r>
        <w:t xml:space="preserve">2000; 356: </w:t>
      </w:r>
      <w:r w:rsidRPr="000D37D1">
        <w:t>1464-</w:t>
      </w:r>
      <w:r>
        <w:t>146</w:t>
      </w:r>
      <w:r w:rsidRPr="000D37D1">
        <w:t>9</w:t>
      </w:r>
    </w:p>
  </w:footnote>
  <w:footnote w:id="25">
    <w:p w14:paraId="475C6331" w14:textId="77777777" w:rsidR="002F1E61" w:rsidRDefault="002F1E61">
      <w:pPr>
        <w:pStyle w:val="FootnoteText"/>
      </w:pPr>
      <w:r>
        <w:rPr>
          <w:rStyle w:val="FootnoteReference"/>
        </w:rPr>
        <w:footnoteRef/>
      </w:r>
      <w:r>
        <w:t xml:space="preserve"> </w:t>
      </w:r>
      <w:proofErr w:type="spellStart"/>
      <w:r>
        <w:t>Bocchi</w:t>
      </w:r>
      <w:proofErr w:type="spellEnd"/>
      <w:r>
        <w:t xml:space="preserve"> EA et al. </w:t>
      </w:r>
      <w:r w:rsidRPr="00D41314">
        <w:t xml:space="preserve">Inhaled nitric oxide leading to pulmonary </w:t>
      </w:r>
      <w:proofErr w:type="spellStart"/>
      <w:r w:rsidRPr="00D41314">
        <w:t>edema</w:t>
      </w:r>
      <w:proofErr w:type="spellEnd"/>
      <w:r w:rsidRPr="00D41314">
        <w:t xml:space="preserve"> in stable severe heart failure. </w:t>
      </w:r>
      <w:r w:rsidRPr="00D41314">
        <w:rPr>
          <w:i/>
        </w:rPr>
        <w:t xml:space="preserve">Am J </w:t>
      </w:r>
      <w:proofErr w:type="spellStart"/>
      <w:r w:rsidRPr="00D41314">
        <w:rPr>
          <w:i/>
        </w:rPr>
        <w:t>Cardiol</w:t>
      </w:r>
      <w:proofErr w:type="spellEnd"/>
      <w:r w:rsidRPr="00D41314">
        <w:t>. 1994 Jul 1;74(1):70-2</w:t>
      </w:r>
    </w:p>
  </w:footnote>
  <w:footnote w:id="26">
    <w:p w14:paraId="3E562AAA" w14:textId="77777777" w:rsidR="002F1E61" w:rsidRDefault="002F1E61">
      <w:pPr>
        <w:pStyle w:val="FootnoteText"/>
      </w:pPr>
      <w:r>
        <w:rPr>
          <w:rStyle w:val="FootnoteReference"/>
        </w:rPr>
        <w:footnoteRef/>
      </w:r>
      <w:r>
        <w:t xml:space="preserve"> </w:t>
      </w:r>
      <w:proofErr w:type="spellStart"/>
      <w:r w:rsidRPr="00D41314">
        <w:t>Semigran</w:t>
      </w:r>
      <w:proofErr w:type="spellEnd"/>
      <w:r w:rsidRPr="00D41314">
        <w:t xml:space="preserve"> MJ et al. Hemodynamic effects of inhaled nitric oxide in heart failure. </w:t>
      </w:r>
      <w:r w:rsidRPr="00D41314">
        <w:rPr>
          <w:i/>
        </w:rPr>
        <w:t xml:space="preserve">J Am </w:t>
      </w:r>
      <w:proofErr w:type="spellStart"/>
      <w:r w:rsidRPr="00D41314">
        <w:rPr>
          <w:i/>
        </w:rPr>
        <w:t>Coll</w:t>
      </w:r>
      <w:proofErr w:type="spellEnd"/>
      <w:r w:rsidRPr="00D41314">
        <w:rPr>
          <w:i/>
        </w:rPr>
        <w:t xml:space="preserve"> </w:t>
      </w:r>
      <w:proofErr w:type="spellStart"/>
      <w:r w:rsidRPr="00D41314">
        <w:rPr>
          <w:i/>
        </w:rPr>
        <w:t>Cardiol</w:t>
      </w:r>
      <w:proofErr w:type="spellEnd"/>
      <w:r w:rsidRPr="00D41314">
        <w:t>. 1994 Oct;24(4):982-8</w:t>
      </w:r>
    </w:p>
  </w:footnote>
  <w:footnote w:id="27">
    <w:p w14:paraId="0AAF89C3" w14:textId="77777777" w:rsidR="002F1E61" w:rsidRDefault="002F1E61">
      <w:pPr>
        <w:pStyle w:val="FootnoteText"/>
      </w:pPr>
      <w:r>
        <w:rPr>
          <w:rStyle w:val="FootnoteReference"/>
        </w:rPr>
        <w:footnoteRef/>
      </w:r>
      <w:r>
        <w:t xml:space="preserve"> </w:t>
      </w:r>
      <w:proofErr w:type="spellStart"/>
      <w:r>
        <w:t>Efron</w:t>
      </w:r>
      <w:proofErr w:type="spellEnd"/>
      <w:r>
        <w:t xml:space="preserve"> DT et al. Nitric oxide generation from </w:t>
      </w:r>
      <w:proofErr w:type="spellStart"/>
      <w:r>
        <w:t>LArginine</w:t>
      </w:r>
      <w:proofErr w:type="spellEnd"/>
      <w:r>
        <w:t xml:space="preserve"> is required for optimal human peripheral blood lymphocyte DNA synthesis. </w:t>
      </w:r>
      <w:r w:rsidRPr="008A05B9">
        <w:rPr>
          <w:i/>
        </w:rPr>
        <w:t xml:space="preserve">Surgery </w:t>
      </w:r>
      <w:r>
        <w:t>1991; 110: 327.</w:t>
      </w:r>
    </w:p>
  </w:footnote>
  <w:footnote w:id="28">
    <w:p w14:paraId="0B44B4B1" w14:textId="77777777" w:rsidR="002F1E61" w:rsidRDefault="002F1E61">
      <w:pPr>
        <w:pStyle w:val="FootnoteText"/>
      </w:pPr>
      <w:r>
        <w:rPr>
          <w:rStyle w:val="FootnoteReference"/>
        </w:rPr>
        <w:footnoteRef/>
      </w:r>
      <w:r>
        <w:t xml:space="preserve"> </w:t>
      </w:r>
      <w:proofErr w:type="spellStart"/>
      <w:r>
        <w:t>Kuo</w:t>
      </w:r>
      <w:proofErr w:type="spellEnd"/>
      <w:r>
        <w:t xml:space="preserve"> PC, et al. Differential localization of allograft nitric oxide synthesis: comparison of liver and heart transplantation in the rat model. </w:t>
      </w:r>
      <w:r w:rsidRPr="008A05B9">
        <w:rPr>
          <w:i/>
        </w:rPr>
        <w:t>Immunology</w:t>
      </w:r>
      <w:r>
        <w:t xml:space="preserve"> 1996; 87: 647.</w:t>
      </w:r>
    </w:p>
  </w:footnote>
  <w:footnote w:id="29">
    <w:p w14:paraId="65D49C47" w14:textId="77777777" w:rsidR="002F1E61" w:rsidRDefault="002F1E61">
      <w:pPr>
        <w:pStyle w:val="FootnoteText"/>
      </w:pPr>
      <w:r>
        <w:rPr>
          <w:rStyle w:val="FootnoteReference"/>
        </w:rPr>
        <w:footnoteRef/>
      </w:r>
      <w:r>
        <w:t xml:space="preserve"> </w:t>
      </w:r>
      <w:proofErr w:type="spellStart"/>
      <w:r>
        <w:t>Albin</w:t>
      </w:r>
      <w:proofErr w:type="spellEnd"/>
      <w:r>
        <w:t xml:space="preserve"> JE, et al. Nitric oxide production is required for murine resident peritoneal macrophage to suppress mitogen stimulated T-cell proliferation. </w:t>
      </w:r>
      <w:r w:rsidRPr="008A05B9">
        <w:rPr>
          <w:i/>
        </w:rPr>
        <w:t xml:space="preserve">J </w:t>
      </w:r>
      <w:proofErr w:type="spellStart"/>
      <w:r w:rsidRPr="008A05B9">
        <w:rPr>
          <w:i/>
        </w:rPr>
        <w:t>Immunol</w:t>
      </w:r>
      <w:proofErr w:type="spellEnd"/>
      <w:r>
        <w:t xml:space="preserve"> 1991; 147: 144.</w:t>
      </w:r>
    </w:p>
  </w:footnote>
  <w:footnote w:id="30">
    <w:p w14:paraId="287C2F8E" w14:textId="77777777" w:rsidR="002F1E61" w:rsidRDefault="002F1E61">
      <w:pPr>
        <w:pStyle w:val="FootnoteText"/>
      </w:pPr>
      <w:r>
        <w:rPr>
          <w:rStyle w:val="FootnoteReference"/>
        </w:rPr>
        <w:footnoteRef/>
      </w:r>
      <w:r>
        <w:t xml:space="preserve"> </w:t>
      </w:r>
      <w:proofErr w:type="spellStart"/>
      <w:r>
        <w:t>Sichel</w:t>
      </w:r>
      <w:proofErr w:type="spellEnd"/>
      <w:r>
        <w:t xml:space="preserve"> SC, et al. Inhibition of macrophage I-A expression by nitric oxide. </w:t>
      </w:r>
      <w:r w:rsidRPr="008A05B9">
        <w:rPr>
          <w:i/>
        </w:rPr>
        <w:t xml:space="preserve">J </w:t>
      </w:r>
      <w:proofErr w:type="spellStart"/>
      <w:r w:rsidRPr="008A05B9">
        <w:rPr>
          <w:i/>
        </w:rPr>
        <w:t>Immunol</w:t>
      </w:r>
      <w:proofErr w:type="spellEnd"/>
      <w:r>
        <w:t xml:space="preserve"> 1994; 163: 1293.</w:t>
      </w:r>
    </w:p>
  </w:footnote>
  <w:footnote w:id="31">
    <w:p w14:paraId="3F39134F" w14:textId="77777777" w:rsidR="002F1E61" w:rsidRDefault="002F1E61">
      <w:pPr>
        <w:pStyle w:val="FootnoteText"/>
      </w:pPr>
      <w:r>
        <w:rPr>
          <w:rStyle w:val="FootnoteReference"/>
        </w:rPr>
        <w:footnoteRef/>
      </w:r>
      <w:r>
        <w:t xml:space="preserve"> </w:t>
      </w:r>
      <w:proofErr w:type="spellStart"/>
      <w:r w:rsidRPr="003D3248">
        <w:t>Razzaq</w:t>
      </w:r>
      <w:proofErr w:type="spellEnd"/>
      <w:r w:rsidRPr="003D3248">
        <w:t xml:space="preserve"> RZ et al., 2009. Variable response to inhaled nitric oxide in postoperative patients of mitral stenosis with pulmonary hypertension J </w:t>
      </w:r>
      <w:proofErr w:type="spellStart"/>
      <w:r w:rsidRPr="003D3248">
        <w:t>Ayub</w:t>
      </w:r>
      <w:proofErr w:type="spellEnd"/>
      <w:r w:rsidRPr="003D3248">
        <w:t xml:space="preserve"> Medical College, Abbottabad </w:t>
      </w:r>
      <w:r w:rsidRPr="003D3248">
        <w:rPr>
          <w:i/>
        </w:rPr>
        <w:t>JAMC,</w:t>
      </w:r>
      <w:r>
        <w:t xml:space="preserve"> 2009; 21:</w:t>
      </w:r>
      <w:r w:rsidRPr="003D3248">
        <w:t>98-102</w:t>
      </w:r>
    </w:p>
  </w:footnote>
  <w:footnote w:id="32">
    <w:p w14:paraId="0BA6846F" w14:textId="77777777" w:rsidR="002F1E61" w:rsidRDefault="002F1E61">
      <w:pPr>
        <w:pStyle w:val="FootnoteText"/>
      </w:pPr>
      <w:r>
        <w:rPr>
          <w:rStyle w:val="FootnoteReference"/>
        </w:rPr>
        <w:footnoteRef/>
      </w:r>
      <w:r>
        <w:t xml:space="preserve"> </w:t>
      </w:r>
      <w:proofErr w:type="spellStart"/>
      <w:r w:rsidRPr="003D3248">
        <w:t>Makker</w:t>
      </w:r>
      <w:proofErr w:type="spellEnd"/>
      <w:r w:rsidRPr="003D3248">
        <w:t xml:space="preserve"> R., </w:t>
      </w:r>
      <w:r>
        <w:t>et al</w:t>
      </w:r>
      <w:r w:rsidRPr="003D3248">
        <w:t xml:space="preserve"> 2006. Therapeutic application of inhaled nitric oxide in adult cardiac surgical patients. </w:t>
      </w:r>
      <w:r w:rsidRPr="003D3248">
        <w:rPr>
          <w:i/>
        </w:rPr>
        <w:t>Indian Heart Journal</w:t>
      </w:r>
      <w:r w:rsidRPr="003D3248">
        <w:t xml:space="preserve">, </w:t>
      </w:r>
      <w:r>
        <w:t xml:space="preserve">2006; 58: </w:t>
      </w:r>
      <w:r w:rsidRPr="003D3248">
        <w:t>432-436</w:t>
      </w:r>
    </w:p>
  </w:footnote>
  <w:footnote w:id="33">
    <w:p w14:paraId="0E335BC9" w14:textId="77777777" w:rsidR="002F1E61" w:rsidRDefault="002F1E61">
      <w:pPr>
        <w:pStyle w:val="FootnoteText"/>
      </w:pPr>
      <w:r>
        <w:rPr>
          <w:rStyle w:val="FootnoteReference"/>
        </w:rPr>
        <w:footnoteRef/>
      </w:r>
      <w:r>
        <w:t xml:space="preserve"> </w:t>
      </w:r>
      <w:r w:rsidRPr="003D3248">
        <w:t>Macdonald P.S., et al., 1998. Adjunctive use of inhaled nitric oxide during implantation of a left ventricular assist device</w:t>
      </w:r>
      <w:r w:rsidRPr="003D3248">
        <w:rPr>
          <w:i/>
        </w:rPr>
        <w:t>. J Heart Lung Transplant</w:t>
      </w:r>
      <w:r>
        <w:t xml:space="preserve"> 1998; 17: </w:t>
      </w:r>
      <w:r w:rsidRPr="003D3248">
        <w:t>312-16.</w:t>
      </w:r>
    </w:p>
  </w:footnote>
  <w:footnote w:id="34">
    <w:p w14:paraId="6354F01B" w14:textId="77777777" w:rsidR="002F1E61" w:rsidRDefault="002F1E61">
      <w:pPr>
        <w:pStyle w:val="FootnoteText"/>
      </w:pPr>
      <w:r>
        <w:rPr>
          <w:rStyle w:val="FootnoteReference"/>
        </w:rPr>
        <w:footnoteRef/>
      </w:r>
      <w:r>
        <w:t xml:space="preserve"> </w:t>
      </w:r>
      <w:proofErr w:type="spellStart"/>
      <w:r w:rsidRPr="003D3248">
        <w:t>Kieler</w:t>
      </w:r>
      <w:proofErr w:type="spellEnd"/>
      <w:r w:rsidRPr="003D3248">
        <w:t xml:space="preserve">-Jensen N., </w:t>
      </w:r>
      <w:r>
        <w:t>et al</w:t>
      </w:r>
      <w:r w:rsidRPr="003D3248">
        <w:t xml:space="preserve">, 1995. Vasodilator therapy after heart transplantation: Effects of inhaled nitric oxide and intravenous prostacyclin, prostaglandin E1, and sodium nitroprusside. </w:t>
      </w:r>
      <w:r w:rsidRPr="003D3248">
        <w:rPr>
          <w:i/>
        </w:rPr>
        <w:t>J Heart Lung Transplant,</w:t>
      </w:r>
      <w:r w:rsidRPr="003D3248">
        <w:t xml:space="preserve"> </w:t>
      </w:r>
      <w:r>
        <w:t xml:space="preserve">1995; 14: </w:t>
      </w:r>
      <w:r w:rsidRPr="003D3248">
        <w:t>436-</w:t>
      </w:r>
      <w:r>
        <w:t>4</w:t>
      </w:r>
      <w:r w:rsidRPr="003D3248">
        <w:t>43</w:t>
      </w:r>
    </w:p>
  </w:footnote>
  <w:footnote w:id="35">
    <w:p w14:paraId="4C8C1D97" w14:textId="77777777" w:rsidR="002F1E61" w:rsidRDefault="002F1E61">
      <w:pPr>
        <w:pStyle w:val="FootnoteText"/>
      </w:pPr>
      <w:r>
        <w:rPr>
          <w:rStyle w:val="FootnoteReference"/>
        </w:rPr>
        <w:footnoteRef/>
      </w:r>
      <w:r>
        <w:t xml:space="preserve"> </w:t>
      </w:r>
      <w:r w:rsidRPr="003D3248">
        <w:t xml:space="preserve">Beck JR. et al., 1999. Inhaled nitric oxide improves </w:t>
      </w:r>
      <w:proofErr w:type="spellStart"/>
      <w:r w:rsidRPr="003D3248">
        <w:t>hemodynamics</w:t>
      </w:r>
      <w:proofErr w:type="spellEnd"/>
      <w:r w:rsidRPr="003D3248">
        <w:t xml:space="preserve"> in patients with acute pulmonary hypertension after high-risk cardiac surgery. </w:t>
      </w:r>
      <w:r w:rsidRPr="003D3248">
        <w:rPr>
          <w:i/>
        </w:rPr>
        <w:t>Perfusion</w:t>
      </w:r>
      <w:r w:rsidRPr="003D3248">
        <w:t xml:space="preserve">, </w:t>
      </w:r>
      <w:r>
        <w:t xml:space="preserve">1999; 14: </w:t>
      </w:r>
      <w:r w:rsidRPr="003D3248">
        <w:t>37-42</w:t>
      </w:r>
    </w:p>
  </w:footnote>
  <w:footnote w:id="36">
    <w:p w14:paraId="36580545" w14:textId="77777777" w:rsidR="002F1E61" w:rsidRDefault="002F1E61">
      <w:pPr>
        <w:pStyle w:val="FootnoteText"/>
      </w:pPr>
      <w:r>
        <w:rPr>
          <w:rStyle w:val="FootnoteReference"/>
        </w:rPr>
        <w:footnoteRef/>
      </w:r>
      <w:r>
        <w:t xml:space="preserve"> </w:t>
      </w:r>
      <w:r w:rsidRPr="00371686">
        <w:t xml:space="preserve">Fullerton D.A., et al., 1996. Effective control of pulmonary vascular resistance with inhaled nitric oxide after cardiac operation.  J </w:t>
      </w:r>
      <w:proofErr w:type="spellStart"/>
      <w:r w:rsidRPr="00371686">
        <w:t>Thorac</w:t>
      </w:r>
      <w:proofErr w:type="spellEnd"/>
      <w:r w:rsidRPr="00371686">
        <w:t xml:space="preserve"> </w:t>
      </w:r>
      <w:proofErr w:type="spellStart"/>
      <w:r w:rsidRPr="00371686">
        <w:t>Cardiovasc</w:t>
      </w:r>
      <w:proofErr w:type="spellEnd"/>
      <w:r w:rsidRPr="00371686">
        <w:t xml:space="preserve"> </w:t>
      </w:r>
      <w:proofErr w:type="spellStart"/>
      <w:r w:rsidRPr="00371686">
        <w:t>Surg</w:t>
      </w:r>
      <w:proofErr w:type="spellEnd"/>
      <w:r w:rsidRPr="00371686">
        <w:t xml:space="preserve">, </w:t>
      </w:r>
      <w:r>
        <w:t xml:space="preserve">1996; 111: </w:t>
      </w:r>
      <w:r w:rsidRPr="00371686">
        <w:t>753-</w:t>
      </w:r>
      <w:r>
        <w:t>7</w:t>
      </w:r>
      <w:r w:rsidRPr="00371686">
        <w:t>63</w:t>
      </w:r>
    </w:p>
  </w:footnote>
  <w:footnote w:id="37">
    <w:p w14:paraId="69CEF29E" w14:textId="77777777" w:rsidR="002F1E61" w:rsidRDefault="002F1E61">
      <w:pPr>
        <w:pStyle w:val="FootnoteText"/>
      </w:pPr>
      <w:r>
        <w:rPr>
          <w:rStyle w:val="FootnoteReference"/>
        </w:rPr>
        <w:footnoteRef/>
      </w:r>
      <w:r>
        <w:t xml:space="preserve"> </w:t>
      </w:r>
      <w:proofErr w:type="spellStart"/>
      <w:r w:rsidRPr="00C93FBB">
        <w:t>Elahi</w:t>
      </w:r>
      <w:proofErr w:type="spellEnd"/>
      <w:r w:rsidRPr="00C93FBB">
        <w:t xml:space="preserve"> MM. et al., 2009. Inspired nitric oxide and modulation of oxidative stress during cardiac surgery. </w:t>
      </w:r>
      <w:r w:rsidRPr="00C93FBB">
        <w:rPr>
          <w:i/>
        </w:rPr>
        <w:t>Current Drug Safety</w:t>
      </w:r>
      <w:r w:rsidRPr="00C93FBB">
        <w:t>,</w:t>
      </w:r>
      <w:r>
        <w:t xml:space="preserve">2009; 4: </w:t>
      </w:r>
      <w:r w:rsidRPr="00C93FBB">
        <w:t>188-</w:t>
      </w:r>
      <w:r>
        <w:t>1</w:t>
      </w:r>
      <w:r w:rsidRPr="00C93FBB">
        <w:t>98</w:t>
      </w:r>
    </w:p>
  </w:footnote>
  <w:footnote w:id="38">
    <w:p w14:paraId="433E8D56" w14:textId="77777777" w:rsidR="002F1E61" w:rsidRDefault="002F1E61">
      <w:pPr>
        <w:pStyle w:val="FootnoteText"/>
      </w:pPr>
      <w:r>
        <w:rPr>
          <w:rStyle w:val="FootnoteReference"/>
        </w:rPr>
        <w:footnoteRef/>
      </w:r>
      <w:r>
        <w:t xml:space="preserve"> </w:t>
      </w:r>
      <w:r w:rsidRPr="00463098">
        <w:t xml:space="preserve">Maxey TS et al., 2002. Beneficial effects of inhaled nitric oxide in adult cardiac surgical patients. </w:t>
      </w:r>
      <w:r w:rsidRPr="00463098">
        <w:rPr>
          <w:i/>
        </w:rPr>
        <w:t xml:space="preserve">Ann </w:t>
      </w:r>
      <w:proofErr w:type="spellStart"/>
      <w:r w:rsidRPr="00463098">
        <w:rPr>
          <w:i/>
        </w:rPr>
        <w:t>Thorac</w:t>
      </w:r>
      <w:proofErr w:type="spellEnd"/>
      <w:r w:rsidRPr="00463098">
        <w:rPr>
          <w:i/>
        </w:rPr>
        <w:t xml:space="preserve"> </w:t>
      </w:r>
      <w:proofErr w:type="spellStart"/>
      <w:r w:rsidRPr="00463098">
        <w:rPr>
          <w:i/>
        </w:rPr>
        <w:t>Surg</w:t>
      </w:r>
      <w:proofErr w:type="spellEnd"/>
      <w:r w:rsidRPr="00463098">
        <w:t>, 73(2), pp.529-32; discussion, pp.532-33</w:t>
      </w:r>
    </w:p>
  </w:footnote>
  <w:footnote w:id="39">
    <w:p w14:paraId="51C0F256" w14:textId="77777777" w:rsidR="002F1E61" w:rsidRDefault="002F1E61">
      <w:pPr>
        <w:pStyle w:val="FootnoteText"/>
      </w:pPr>
      <w:r>
        <w:rPr>
          <w:rStyle w:val="FootnoteReference"/>
        </w:rPr>
        <w:footnoteRef/>
      </w:r>
      <w:r>
        <w:t xml:space="preserve"> </w:t>
      </w:r>
      <w:proofErr w:type="spellStart"/>
      <w:r w:rsidRPr="00C93FBB">
        <w:t>McGinn</w:t>
      </w:r>
      <w:proofErr w:type="spellEnd"/>
      <w:r w:rsidRPr="00C93FBB">
        <w:t xml:space="preserve"> K., Reichert M., 2016. A comparison of inhaled nitric oxide versus inhaled </w:t>
      </w:r>
      <w:proofErr w:type="spellStart"/>
      <w:r w:rsidRPr="00C93FBB">
        <w:t>epoprostenol</w:t>
      </w:r>
      <w:proofErr w:type="spellEnd"/>
      <w:r w:rsidRPr="00C93FBB">
        <w:t xml:space="preserve"> for acute pulmonary hyperten</w:t>
      </w:r>
      <w:r>
        <w:t>sion following cardiac surgery.</w:t>
      </w:r>
      <w:r w:rsidRPr="00C93FBB">
        <w:t xml:space="preserve"> </w:t>
      </w:r>
      <w:r w:rsidRPr="00C93FBB">
        <w:rPr>
          <w:i/>
        </w:rPr>
        <w:t>Ann Pharmacother</w:t>
      </w:r>
      <w:r w:rsidRPr="00C93FBB">
        <w:t>,</w:t>
      </w:r>
      <w:r>
        <w:t xml:space="preserve">2016; 50: </w:t>
      </w:r>
      <w:r w:rsidRPr="00C93FBB">
        <w:t>22-26.</w:t>
      </w:r>
    </w:p>
  </w:footnote>
  <w:footnote w:id="40">
    <w:p w14:paraId="721D9BC4" w14:textId="77777777" w:rsidR="002F1E61" w:rsidRDefault="002F1E61">
      <w:pPr>
        <w:pStyle w:val="FootnoteText"/>
      </w:pPr>
      <w:r>
        <w:rPr>
          <w:rStyle w:val="FootnoteReference"/>
        </w:rPr>
        <w:footnoteRef/>
      </w:r>
      <w:r>
        <w:t xml:space="preserve"> </w:t>
      </w:r>
      <w:r w:rsidRPr="00CC1FBD">
        <w:t>Albert J et al.</w:t>
      </w:r>
      <w:r>
        <w:t xml:space="preserve"> 1999</w:t>
      </w:r>
      <w:r w:rsidRPr="00CC1FBD">
        <w:t xml:space="preserve"> Inhaled nitric oxide does not influence bleeding time or platelet function in healthy volunteers, </w:t>
      </w:r>
      <w:proofErr w:type="spellStart"/>
      <w:r w:rsidRPr="00CC1FBD">
        <w:rPr>
          <w:i/>
        </w:rPr>
        <w:t>Eur</w:t>
      </w:r>
      <w:proofErr w:type="spellEnd"/>
      <w:r w:rsidRPr="00CC1FBD">
        <w:rPr>
          <w:i/>
        </w:rPr>
        <w:t xml:space="preserve"> J </w:t>
      </w:r>
      <w:proofErr w:type="spellStart"/>
      <w:r w:rsidRPr="00CC1FBD">
        <w:rPr>
          <w:i/>
        </w:rPr>
        <w:t>Clin</w:t>
      </w:r>
      <w:proofErr w:type="spellEnd"/>
      <w:r w:rsidRPr="00CC1FBD">
        <w:rPr>
          <w:i/>
        </w:rPr>
        <w:t xml:space="preserve"> Invest</w:t>
      </w:r>
      <w:r w:rsidRPr="00CC1FBD">
        <w:t>. 1999;</w:t>
      </w:r>
      <w:r>
        <w:t xml:space="preserve"> </w:t>
      </w:r>
      <w:r w:rsidRPr="00CC1FBD">
        <w:t>29:</w:t>
      </w:r>
      <w:r>
        <w:t xml:space="preserve"> </w:t>
      </w:r>
      <w:r w:rsidRPr="00CC1FBD">
        <w:t>953-</w:t>
      </w:r>
      <w:r>
        <w:t>95</w:t>
      </w:r>
      <w:r w:rsidRPr="00CC1FBD">
        <w:t>9</w:t>
      </w:r>
    </w:p>
  </w:footnote>
  <w:footnote w:id="41">
    <w:p w14:paraId="74ED95D3" w14:textId="77777777" w:rsidR="002F1E61" w:rsidRDefault="002F1E61">
      <w:pPr>
        <w:pStyle w:val="FootnoteText"/>
      </w:pPr>
      <w:r>
        <w:rPr>
          <w:rStyle w:val="FootnoteReference"/>
        </w:rPr>
        <w:footnoteRef/>
      </w:r>
      <w:r>
        <w:t xml:space="preserve"> </w:t>
      </w:r>
      <w:proofErr w:type="spellStart"/>
      <w:r w:rsidRPr="00133DAB">
        <w:t>Mellgren</w:t>
      </w:r>
      <w:proofErr w:type="spellEnd"/>
      <w:r w:rsidRPr="00133DAB">
        <w:t xml:space="preserve"> K et al.</w:t>
      </w:r>
      <w:r>
        <w:t xml:space="preserve"> 1998</w:t>
      </w:r>
      <w:r w:rsidRPr="00133DAB">
        <w:t xml:space="preserve"> Effect of nitric oxide gas on platelets during open heart operations. </w:t>
      </w:r>
      <w:r w:rsidRPr="00133DAB">
        <w:rPr>
          <w:i/>
        </w:rPr>
        <w:t xml:space="preserve">Ann </w:t>
      </w:r>
      <w:proofErr w:type="spellStart"/>
      <w:r w:rsidRPr="00133DAB">
        <w:rPr>
          <w:i/>
        </w:rPr>
        <w:t>Thorac</w:t>
      </w:r>
      <w:proofErr w:type="spellEnd"/>
      <w:r w:rsidRPr="00133DAB">
        <w:rPr>
          <w:i/>
        </w:rPr>
        <w:t xml:space="preserve"> Surg</w:t>
      </w:r>
      <w:r>
        <w:t>. 1998; 65</w:t>
      </w:r>
      <w:r w:rsidRPr="00133DAB">
        <w:t>:</w:t>
      </w:r>
      <w:r>
        <w:t xml:space="preserve"> </w:t>
      </w:r>
      <w:r w:rsidRPr="00133DAB">
        <w:t>1335-</w:t>
      </w:r>
      <w:r>
        <w:t>13</w:t>
      </w:r>
      <w:r w:rsidRPr="00133DAB">
        <w:t>41</w:t>
      </w:r>
    </w:p>
  </w:footnote>
  <w:footnote w:id="42">
    <w:p w14:paraId="5999C7F2" w14:textId="77777777" w:rsidR="002F1E61" w:rsidRDefault="002F1E61">
      <w:pPr>
        <w:pStyle w:val="FootnoteText"/>
      </w:pPr>
      <w:r>
        <w:rPr>
          <w:rStyle w:val="FootnoteReference"/>
        </w:rPr>
        <w:footnoteRef/>
      </w:r>
      <w:r>
        <w:t xml:space="preserve"> </w:t>
      </w:r>
      <w:r w:rsidRPr="00133DAB">
        <w:t xml:space="preserve">de </w:t>
      </w:r>
      <w:proofErr w:type="spellStart"/>
      <w:r w:rsidRPr="00133DAB">
        <w:t>Mol</w:t>
      </w:r>
      <w:proofErr w:type="spellEnd"/>
      <w:r w:rsidRPr="00133DAB">
        <w:t xml:space="preserve"> AC et al.</w:t>
      </w:r>
      <w:r>
        <w:t xml:space="preserve"> 2007</w:t>
      </w:r>
      <w:r w:rsidRPr="00133DAB">
        <w:t xml:space="preserve"> Abnormalities of coagulation related to the use of inhaled nitric oxide before extracorporeal membrane oxygenation, </w:t>
      </w:r>
      <w:proofErr w:type="spellStart"/>
      <w:r w:rsidRPr="00133DAB">
        <w:rPr>
          <w:i/>
        </w:rPr>
        <w:t>Pediatr</w:t>
      </w:r>
      <w:proofErr w:type="spellEnd"/>
      <w:r w:rsidRPr="00133DAB">
        <w:rPr>
          <w:i/>
        </w:rPr>
        <w:t xml:space="preserve"> </w:t>
      </w:r>
      <w:proofErr w:type="spellStart"/>
      <w:r w:rsidRPr="00133DAB">
        <w:rPr>
          <w:i/>
        </w:rPr>
        <w:t>Crit</w:t>
      </w:r>
      <w:proofErr w:type="spellEnd"/>
      <w:r w:rsidRPr="00133DAB">
        <w:rPr>
          <w:i/>
        </w:rPr>
        <w:t xml:space="preserve"> Care Med</w:t>
      </w:r>
      <w:r w:rsidRPr="00133DAB">
        <w:t>. 2007</w:t>
      </w:r>
      <w:r>
        <w:t>; 8</w:t>
      </w:r>
      <w:r w:rsidRPr="00133DAB">
        <w:t>:</w:t>
      </w:r>
      <w:r>
        <w:t xml:space="preserve"> </w:t>
      </w:r>
      <w:r w:rsidRPr="00133DAB">
        <w:t>261-</w:t>
      </w:r>
      <w:r>
        <w:t>26</w:t>
      </w:r>
      <w:r w:rsidRPr="00133DAB">
        <w:t>3</w:t>
      </w:r>
    </w:p>
  </w:footnote>
  <w:footnote w:id="43">
    <w:p w14:paraId="5BE508E5" w14:textId="098410EE" w:rsidR="002F1E61" w:rsidRDefault="002F1E61">
      <w:pPr>
        <w:pStyle w:val="FootnoteText"/>
      </w:pPr>
      <w:r>
        <w:rPr>
          <w:rStyle w:val="FootnoteReference"/>
        </w:rPr>
        <w:footnoteRef/>
      </w:r>
      <w:r>
        <w:t xml:space="preserve"> Clarification: </w:t>
      </w:r>
      <w:r>
        <w:rPr>
          <w:lang w:eastAsia="ja-JP"/>
        </w:rPr>
        <w:t>The Beck et al and Fullerton et al studies were not reviewed by the clinical evaluator.</w:t>
      </w:r>
    </w:p>
  </w:footnote>
  <w:footnote w:id="44">
    <w:p w14:paraId="7B987856" w14:textId="77777777" w:rsidR="002F1E61" w:rsidRDefault="002F1E61">
      <w:pPr>
        <w:pStyle w:val="FootnoteText"/>
      </w:pPr>
      <w:r>
        <w:rPr>
          <w:rStyle w:val="FootnoteReference"/>
        </w:rPr>
        <w:footnoteRef/>
      </w:r>
      <w:r>
        <w:t xml:space="preserve"> Griffiths, M. and</w:t>
      </w:r>
      <w:r w:rsidRPr="00E56750">
        <w:t xml:space="preserve"> Evans, T., 2005. Inhaled nitric oxide therapy in adults</w:t>
      </w:r>
      <w:r w:rsidRPr="00E56750">
        <w:rPr>
          <w:i/>
        </w:rPr>
        <w:t xml:space="preserve">. N </w:t>
      </w:r>
      <w:proofErr w:type="spellStart"/>
      <w:r w:rsidRPr="00E56750">
        <w:rPr>
          <w:i/>
        </w:rPr>
        <w:t>Engl</w:t>
      </w:r>
      <w:proofErr w:type="spellEnd"/>
      <w:r w:rsidRPr="00E56750">
        <w:rPr>
          <w:i/>
        </w:rPr>
        <w:t xml:space="preserve"> J Med</w:t>
      </w:r>
      <w:r w:rsidRPr="00E56750">
        <w:t xml:space="preserve">, </w:t>
      </w:r>
      <w:r>
        <w:t xml:space="preserve">2005; 353: </w:t>
      </w:r>
      <w:r w:rsidRPr="00E56750">
        <w:t>2683-</w:t>
      </w:r>
      <w:r>
        <w:t>26</w:t>
      </w:r>
      <w:r w:rsidRPr="00E56750">
        <w:t>95</w:t>
      </w:r>
    </w:p>
  </w:footnote>
  <w:footnote w:id="45">
    <w:p w14:paraId="234D6AE3" w14:textId="77777777" w:rsidR="002F1E61" w:rsidRDefault="002F1E61">
      <w:pPr>
        <w:pStyle w:val="FootnoteText"/>
      </w:pPr>
      <w:r>
        <w:rPr>
          <w:rStyle w:val="FootnoteReference"/>
        </w:rPr>
        <w:footnoteRef/>
      </w:r>
      <w:r>
        <w:t xml:space="preserve"> </w:t>
      </w:r>
      <w:proofErr w:type="spellStart"/>
      <w:r w:rsidRPr="00E56750">
        <w:t>Hugod</w:t>
      </w:r>
      <w:proofErr w:type="spellEnd"/>
      <w:r w:rsidRPr="00E56750">
        <w:t xml:space="preserve"> C Effect of exposure to 43 ppm nitric oxide and 3.6 ppm nitrogen dioxide on rabbit lung: a light and electron microscopic study</w:t>
      </w:r>
      <w:r w:rsidRPr="00E56750">
        <w:rPr>
          <w:i/>
        </w:rPr>
        <w:t xml:space="preserve">. </w:t>
      </w:r>
      <w:proofErr w:type="spellStart"/>
      <w:r w:rsidRPr="00E56750">
        <w:rPr>
          <w:i/>
        </w:rPr>
        <w:t>Int</w:t>
      </w:r>
      <w:proofErr w:type="spellEnd"/>
      <w:r w:rsidRPr="00E56750">
        <w:rPr>
          <w:i/>
        </w:rPr>
        <w:t xml:space="preserve"> Arch </w:t>
      </w:r>
      <w:proofErr w:type="spellStart"/>
      <w:r w:rsidRPr="00E56750">
        <w:rPr>
          <w:i/>
        </w:rPr>
        <w:t>Occup</w:t>
      </w:r>
      <w:proofErr w:type="spellEnd"/>
      <w:r w:rsidRPr="00E56750">
        <w:rPr>
          <w:i/>
        </w:rPr>
        <w:t xml:space="preserve"> Environ Health</w:t>
      </w:r>
      <w:r w:rsidRPr="00E56750">
        <w:t xml:space="preserve"> 1979;</w:t>
      </w:r>
      <w:r>
        <w:t xml:space="preserve"> </w:t>
      </w:r>
      <w:r w:rsidRPr="00E56750">
        <w:t>42:</w:t>
      </w:r>
      <w:r>
        <w:t xml:space="preserve"> </w:t>
      </w:r>
      <w:r w:rsidRPr="00E56750">
        <w:t>159-</w:t>
      </w:r>
      <w:r>
        <w:t>1</w:t>
      </w:r>
      <w:r w:rsidRPr="00E56750">
        <w:t>67</w:t>
      </w:r>
    </w:p>
  </w:footnote>
  <w:footnote w:id="46">
    <w:p w14:paraId="6C0A52D0" w14:textId="77777777" w:rsidR="002F1E61" w:rsidRDefault="002F1E61">
      <w:pPr>
        <w:pStyle w:val="FootnoteText"/>
      </w:pPr>
      <w:r>
        <w:rPr>
          <w:rStyle w:val="FootnoteReference"/>
        </w:rPr>
        <w:footnoteRef/>
      </w:r>
      <w:r>
        <w:t xml:space="preserve"> Dellinger RP, </w:t>
      </w:r>
      <w:r w:rsidRPr="00E56750">
        <w:t xml:space="preserve">et al. </w:t>
      </w:r>
      <w:r>
        <w:t xml:space="preserve">1998 </w:t>
      </w:r>
      <w:r w:rsidRPr="00E56750">
        <w:t xml:space="preserve">Effects of inhaled nitric oxide in patients with acute respiratory distress syndrome: results of a randomized phase II trial. </w:t>
      </w:r>
      <w:proofErr w:type="spellStart"/>
      <w:r w:rsidRPr="00E56750">
        <w:rPr>
          <w:i/>
        </w:rPr>
        <w:t>Crit</w:t>
      </w:r>
      <w:proofErr w:type="spellEnd"/>
      <w:r w:rsidRPr="00E56750">
        <w:rPr>
          <w:i/>
        </w:rPr>
        <w:t xml:space="preserve"> Care Med</w:t>
      </w:r>
      <w:r w:rsidRPr="00E56750">
        <w:t xml:space="preserve"> 1998;</w:t>
      </w:r>
      <w:r>
        <w:t xml:space="preserve"> </w:t>
      </w:r>
      <w:r w:rsidRPr="00E56750">
        <w:t>26:</w:t>
      </w:r>
      <w:r>
        <w:t xml:space="preserve"> </w:t>
      </w:r>
      <w:r w:rsidRPr="00E56750">
        <w:t>15-2</w:t>
      </w:r>
      <w:r>
        <w:t>0</w:t>
      </w:r>
    </w:p>
  </w:footnote>
  <w:footnote w:id="47">
    <w:p w14:paraId="6317F949" w14:textId="77777777" w:rsidR="002F1E61" w:rsidRDefault="002F1E61">
      <w:pPr>
        <w:pStyle w:val="FootnoteText"/>
      </w:pPr>
      <w:r>
        <w:rPr>
          <w:rStyle w:val="FootnoteReference"/>
        </w:rPr>
        <w:footnoteRef/>
      </w:r>
      <w:r>
        <w:t xml:space="preserve"> </w:t>
      </w:r>
      <w:proofErr w:type="spellStart"/>
      <w:r>
        <w:t>Troncy</w:t>
      </w:r>
      <w:proofErr w:type="spellEnd"/>
      <w:r>
        <w:t>, E. et al</w:t>
      </w:r>
      <w:r w:rsidRPr="007B2D51">
        <w:t xml:space="preserve">., 1997. Inhaled nitric oxide: clinical applications, indications, and toxicology. </w:t>
      </w:r>
      <w:r w:rsidRPr="007B2D51">
        <w:rPr>
          <w:i/>
        </w:rPr>
        <w:t xml:space="preserve">Can J </w:t>
      </w:r>
      <w:proofErr w:type="spellStart"/>
      <w:r w:rsidRPr="007B2D51">
        <w:rPr>
          <w:i/>
        </w:rPr>
        <w:t>Anaesth</w:t>
      </w:r>
      <w:proofErr w:type="spellEnd"/>
      <w:r w:rsidRPr="007B2D51">
        <w:t xml:space="preserve">, </w:t>
      </w:r>
      <w:r>
        <w:t xml:space="preserve">1997; 44: </w:t>
      </w:r>
      <w:r w:rsidRPr="007B2D51">
        <w:t>973-</w:t>
      </w:r>
      <w:r>
        <w:t>9</w:t>
      </w:r>
      <w:r w:rsidRPr="007B2D51">
        <w:t>88</w:t>
      </w:r>
    </w:p>
  </w:footnote>
  <w:footnote w:id="48">
    <w:p w14:paraId="29C34BF3" w14:textId="77777777" w:rsidR="002F1E61" w:rsidRDefault="002F1E61">
      <w:pPr>
        <w:pStyle w:val="FootnoteText"/>
      </w:pPr>
      <w:r>
        <w:rPr>
          <w:rStyle w:val="FootnoteReference"/>
        </w:rPr>
        <w:footnoteRef/>
      </w:r>
      <w:r>
        <w:t xml:space="preserve"> </w:t>
      </w:r>
      <w:proofErr w:type="spellStart"/>
      <w:r w:rsidRPr="00E56750">
        <w:t>Hogman</w:t>
      </w:r>
      <w:proofErr w:type="spellEnd"/>
      <w:r w:rsidRPr="00E56750">
        <w:t xml:space="preserve"> M, </w:t>
      </w:r>
      <w:r>
        <w:t>1993et al</w:t>
      </w:r>
      <w:r w:rsidRPr="00E56750">
        <w:t xml:space="preserve">. Inhalation of nitric oxide modulates adult human </w:t>
      </w:r>
      <w:proofErr w:type="spellStart"/>
      <w:r w:rsidRPr="00E56750">
        <w:t>bronvchial</w:t>
      </w:r>
      <w:proofErr w:type="spellEnd"/>
      <w:r w:rsidRPr="00E56750">
        <w:t xml:space="preserve"> tone </w:t>
      </w:r>
      <w:r w:rsidRPr="00E56750">
        <w:rPr>
          <w:i/>
        </w:rPr>
        <w:t xml:space="preserve">Am Rev </w:t>
      </w:r>
      <w:proofErr w:type="spellStart"/>
      <w:r w:rsidRPr="00E56750">
        <w:rPr>
          <w:i/>
        </w:rPr>
        <w:t>Resp</w:t>
      </w:r>
      <w:proofErr w:type="spellEnd"/>
      <w:r w:rsidRPr="00E56750">
        <w:rPr>
          <w:i/>
        </w:rPr>
        <w:t xml:space="preserve"> Dis</w:t>
      </w:r>
      <w:r w:rsidRPr="00E56750">
        <w:t xml:space="preserve"> 1993; 148: 1474-8</w:t>
      </w:r>
    </w:p>
  </w:footnote>
  <w:footnote w:id="49">
    <w:p w14:paraId="4445685E" w14:textId="77777777" w:rsidR="002F1E61" w:rsidRDefault="002F1E61">
      <w:pPr>
        <w:pStyle w:val="FootnoteText"/>
      </w:pPr>
      <w:r>
        <w:rPr>
          <w:rStyle w:val="FootnoteReference"/>
        </w:rPr>
        <w:footnoteRef/>
      </w:r>
      <w:r>
        <w:t xml:space="preserve"> </w:t>
      </w:r>
      <w:proofErr w:type="spellStart"/>
      <w:r w:rsidRPr="00E56750">
        <w:t>Abman</w:t>
      </w:r>
      <w:proofErr w:type="spellEnd"/>
      <w:r w:rsidRPr="00E56750">
        <w:t xml:space="preserve">, SH. et al., 2015. </w:t>
      </w:r>
      <w:proofErr w:type="spellStart"/>
      <w:r w:rsidRPr="00E56750">
        <w:t>Pediatric</w:t>
      </w:r>
      <w:proofErr w:type="spellEnd"/>
      <w:r w:rsidRPr="00E56750">
        <w:t xml:space="preserve"> Pulmonary Hypertension Guidelines from the American Heart Association/American Thoracic Society </w:t>
      </w:r>
      <w:r w:rsidRPr="00E56750">
        <w:rPr>
          <w:i/>
        </w:rPr>
        <w:t>Circulation</w:t>
      </w:r>
      <w:r w:rsidRPr="00E56750">
        <w:t xml:space="preserve"> 2015. 132(21), pp. 2037-99</w:t>
      </w:r>
    </w:p>
  </w:footnote>
  <w:footnote w:id="50">
    <w:p w14:paraId="35C1B5BE" w14:textId="77777777" w:rsidR="002F1E61" w:rsidRDefault="002F1E61">
      <w:pPr>
        <w:pStyle w:val="FootnoteText"/>
      </w:pPr>
      <w:r>
        <w:rPr>
          <w:rStyle w:val="FootnoteReference"/>
        </w:rPr>
        <w:footnoteRef/>
      </w:r>
      <w:r>
        <w:t xml:space="preserve"> </w:t>
      </w:r>
      <w:r w:rsidRPr="00E56750">
        <w:t>Griffiths, M. &amp; Evans, T., 2005. Inhaled nitric oxide therapy in adults</w:t>
      </w:r>
      <w:r w:rsidRPr="00E56750">
        <w:rPr>
          <w:i/>
        </w:rPr>
        <w:t xml:space="preserve">. N </w:t>
      </w:r>
      <w:proofErr w:type="spellStart"/>
      <w:r w:rsidRPr="00E56750">
        <w:rPr>
          <w:i/>
        </w:rPr>
        <w:t>Engl</w:t>
      </w:r>
      <w:proofErr w:type="spellEnd"/>
      <w:r w:rsidRPr="00E56750">
        <w:rPr>
          <w:i/>
        </w:rPr>
        <w:t xml:space="preserve"> J Med</w:t>
      </w:r>
      <w:r w:rsidRPr="00E56750">
        <w:t>, 353(25), pp.2683-95</w:t>
      </w:r>
    </w:p>
  </w:footnote>
  <w:footnote w:id="51">
    <w:p w14:paraId="0DAE2382" w14:textId="52422B13" w:rsidR="002F1E61" w:rsidRDefault="002F1E61">
      <w:pPr>
        <w:pStyle w:val="FootnoteText"/>
      </w:pPr>
      <w:r>
        <w:rPr>
          <w:rStyle w:val="FootnoteReference"/>
        </w:rPr>
        <w:footnoteRef/>
      </w:r>
      <w:r>
        <w:t xml:space="preserve"> Clarification; the </w:t>
      </w:r>
      <w:r w:rsidRPr="00096D71">
        <w:t>Griffiths et al, 2005</w:t>
      </w:r>
      <w:r w:rsidRPr="00A1020D">
        <w:t xml:space="preserve"> </w:t>
      </w:r>
      <w:r w:rsidRPr="00096D71">
        <w:t xml:space="preserve">and </w:t>
      </w:r>
      <w:proofErr w:type="spellStart"/>
      <w:r w:rsidRPr="00096D71">
        <w:t>Troncy</w:t>
      </w:r>
      <w:proofErr w:type="spellEnd"/>
      <w:r w:rsidRPr="00096D71">
        <w:t xml:space="preserve"> et al, 1997</w:t>
      </w:r>
      <w:r>
        <w:t xml:space="preserve"> publications although provided were not reviewed by the clinical evaluator.</w:t>
      </w:r>
    </w:p>
  </w:footnote>
  <w:footnote w:id="52">
    <w:p w14:paraId="3A2C166F" w14:textId="5FC6005D" w:rsidR="002F1E61" w:rsidRDefault="002F1E61">
      <w:pPr>
        <w:pStyle w:val="FootnoteText"/>
      </w:pPr>
      <w:r>
        <w:rPr>
          <w:rStyle w:val="FootnoteReference"/>
        </w:rPr>
        <w:footnoteRef/>
      </w:r>
      <w:r>
        <w:t xml:space="preserve"> Clarification: The sponsor does not agree that Study INOT41 is the ‘single most important study’ for efficacy as the study was underpowered; it was a key study for safety findings particularly at the dose of 40 ppm</w:t>
      </w:r>
    </w:p>
  </w:footnote>
  <w:footnote w:id="53">
    <w:p w14:paraId="6DFCDBB7" w14:textId="77BA32C5" w:rsidR="002F1E61" w:rsidRDefault="002F1E61">
      <w:pPr>
        <w:pStyle w:val="FootnoteText"/>
      </w:pPr>
      <w:r>
        <w:rPr>
          <w:rStyle w:val="FootnoteReference"/>
        </w:rPr>
        <w:footnoteRef/>
      </w:r>
      <w:r>
        <w:t xml:space="preserve"> Clarification: the sponsor included </w:t>
      </w:r>
      <w:r w:rsidRPr="004203B7">
        <w:t xml:space="preserve">the </w:t>
      </w:r>
      <w:r w:rsidRPr="00DF4942">
        <w:t>published</w:t>
      </w:r>
      <w:r>
        <w:t xml:space="preserve"> study by </w:t>
      </w:r>
      <w:proofErr w:type="spellStart"/>
      <w:r>
        <w:t>Kukucka</w:t>
      </w:r>
      <w:proofErr w:type="spellEnd"/>
      <w:r>
        <w:t xml:space="preserve">, 2011 (reporting a sub-study of Study INOT41) on the basis that the Clinical Trials section of the approved PI for </w:t>
      </w:r>
      <w:proofErr w:type="spellStart"/>
      <w:r>
        <w:t>VasoKINOX</w:t>
      </w:r>
      <w:proofErr w:type="spellEnd"/>
      <w:r>
        <w:t xml:space="preserve"> included </w:t>
      </w:r>
      <w:r w:rsidRPr="00DF4942">
        <w:t>published</w:t>
      </w:r>
      <w:r w:rsidRPr="004203B7">
        <w:t xml:space="preserve"> </w:t>
      </w:r>
      <w:r>
        <w:t>study reports for the other 4 controlled studies cited.</w:t>
      </w:r>
    </w:p>
  </w:footnote>
  <w:footnote w:id="54">
    <w:p w14:paraId="5E6F34EA" w14:textId="66429CD9" w:rsidR="002F1E61" w:rsidRDefault="002F1E61">
      <w:pPr>
        <w:pStyle w:val="FootnoteText"/>
      </w:pPr>
      <w:r>
        <w:rPr>
          <w:rStyle w:val="FootnoteReference"/>
        </w:rPr>
        <w:footnoteRef/>
      </w:r>
      <w:r>
        <w:t xml:space="preserve"> Clarification: Note: The dose of 40 ppm inhaled NO was not recommended by ACPM so the approved </w:t>
      </w:r>
      <w:proofErr w:type="spellStart"/>
      <w:r>
        <w:t>INOmax</w:t>
      </w:r>
      <w:proofErr w:type="spellEnd"/>
      <w:r>
        <w:t xml:space="preserve"> Product Information contains no reference to Study INOT4.</w:t>
      </w:r>
    </w:p>
  </w:footnote>
  <w:footnote w:id="55">
    <w:p w14:paraId="6365FA76" w14:textId="77777777" w:rsidR="002F1E61" w:rsidRDefault="002F1E61" w:rsidP="006C537A">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A4662CC" w14:textId="77777777" w:rsidR="002F1E61" w:rsidRDefault="002F1E61" w:rsidP="006C537A">
      <w:pPr>
        <w:pStyle w:val="FootnoteText"/>
      </w:pPr>
      <w:r w:rsidRPr="00F12492">
        <w:rPr>
          <w:i/>
        </w:rPr>
        <w:t>Routine pharmacovigilance</w:t>
      </w:r>
      <w:r>
        <w:t xml:space="preserve"> practices involve the following activities:</w:t>
      </w:r>
    </w:p>
    <w:p w14:paraId="59491575" w14:textId="77777777" w:rsidR="002F1E61" w:rsidRDefault="002F1E61" w:rsidP="006C537A">
      <w:pPr>
        <w:pStyle w:val="FootnoteText"/>
        <w:numPr>
          <w:ilvl w:val="0"/>
          <w:numId w:val="28"/>
        </w:numPr>
      </w:pPr>
      <w:r>
        <w:t>All suspected adverse reactions that are reported to the personnel of the company are collected and collated in an accessible manner;</w:t>
      </w:r>
    </w:p>
    <w:p w14:paraId="63C9122D" w14:textId="77777777" w:rsidR="002F1E61" w:rsidRDefault="002F1E61" w:rsidP="006C537A">
      <w:pPr>
        <w:pStyle w:val="FootnoteText"/>
        <w:numPr>
          <w:ilvl w:val="0"/>
          <w:numId w:val="28"/>
        </w:numPr>
      </w:pPr>
      <w:r>
        <w:t>Reporting to regulatory authorities;</w:t>
      </w:r>
    </w:p>
    <w:p w14:paraId="33CB3F09" w14:textId="77777777" w:rsidR="002F1E61" w:rsidRDefault="002F1E61" w:rsidP="006C537A">
      <w:pPr>
        <w:pStyle w:val="FootnoteText"/>
        <w:numPr>
          <w:ilvl w:val="0"/>
          <w:numId w:val="28"/>
        </w:numPr>
      </w:pPr>
      <w:r>
        <w:t xml:space="preserve">Continuous monitoring of the safety profiles of approved products including signal detection and updating of </w:t>
      </w:r>
      <w:proofErr w:type="spellStart"/>
      <w:r>
        <w:t>labeling</w:t>
      </w:r>
      <w:proofErr w:type="spellEnd"/>
      <w:r>
        <w:t>;</w:t>
      </w:r>
    </w:p>
    <w:p w14:paraId="173E0B52" w14:textId="77777777" w:rsidR="002F1E61" w:rsidRDefault="002F1E61" w:rsidP="006C537A">
      <w:pPr>
        <w:pStyle w:val="FootnoteText"/>
        <w:numPr>
          <w:ilvl w:val="0"/>
          <w:numId w:val="28"/>
        </w:numPr>
      </w:pPr>
      <w:r>
        <w:t>Submission of PSURs;</w:t>
      </w:r>
    </w:p>
    <w:p w14:paraId="42451478" w14:textId="77777777" w:rsidR="002F1E61" w:rsidRPr="00F12492" w:rsidRDefault="002F1E61" w:rsidP="006C537A">
      <w:pPr>
        <w:pStyle w:val="FootnoteText"/>
        <w:numPr>
          <w:ilvl w:val="0"/>
          <w:numId w:val="28"/>
        </w:numPr>
        <w:rPr>
          <w:lang w:val="en-US"/>
        </w:rPr>
      </w:pPr>
      <w:r>
        <w:t>Meeting other local regulatory agency requirements.</w:t>
      </w:r>
    </w:p>
  </w:footnote>
  <w:footnote w:id="56">
    <w:p w14:paraId="2A3A2193" w14:textId="21990A8B" w:rsidR="002F1E61" w:rsidRPr="00462AEC" w:rsidRDefault="002F1E61">
      <w:pPr>
        <w:pStyle w:val="FootnoteText"/>
      </w:pPr>
      <w:r>
        <w:rPr>
          <w:rStyle w:val="FootnoteReference"/>
        </w:rPr>
        <w:footnoteRef/>
      </w:r>
      <w:r>
        <w:t xml:space="preserve"> Comment: </w:t>
      </w:r>
      <w:r w:rsidRPr="00DF4942">
        <w:t>The above recommendations were addressed by the sponsor prior to approval</w:t>
      </w:r>
    </w:p>
  </w:footnote>
  <w:footnote w:id="57">
    <w:p w14:paraId="57F5E2CC" w14:textId="68A4C490" w:rsidR="002F1E61" w:rsidRPr="003B6712" w:rsidRDefault="002F1E61" w:rsidP="003B6712">
      <w:pPr>
        <w:pStyle w:val="FootnoteText"/>
      </w:pPr>
      <w:r>
        <w:rPr>
          <w:rStyle w:val="FootnoteReference"/>
        </w:rPr>
        <w:footnoteRef/>
      </w:r>
      <w:r>
        <w:t xml:space="preserve"> NYHA functional Class II: Slight limitation of physical activity. Comfortable at rest. Ordinary physical activity results in fatigue, palpitation, dyspnoea (shortness of breath). NYHA functional Class III: Marked limitation of physical activity. Comfortable at rest. Less than ordinary activity causes fatigue, palpitation, or dyspnoea.</w:t>
      </w:r>
    </w:p>
  </w:footnote>
  <w:footnote w:id="58">
    <w:p w14:paraId="374849A8" w14:textId="470E0451" w:rsidR="002F1E61" w:rsidRDefault="002F1E61">
      <w:pPr>
        <w:pStyle w:val="FootnoteText"/>
      </w:pPr>
      <w:r>
        <w:rPr>
          <w:rStyle w:val="FootnoteReference"/>
        </w:rPr>
        <w:footnoteRef/>
      </w:r>
      <w:r>
        <w:t xml:space="preserve"> Clarifications: </w:t>
      </w:r>
      <w:proofErr w:type="spellStart"/>
      <w:r>
        <w:t>Gianetti</w:t>
      </w:r>
      <w:proofErr w:type="spellEnd"/>
      <w:r>
        <w:t xml:space="preserve"> J et al 2004 </w:t>
      </w:r>
      <w:r w:rsidRPr="00FC1D30">
        <w:t xml:space="preserve">Supplemental nitric oxide and its effect on myocardial injury and function in patients undergoing cardiac surgery with extracorporeal circulation. </w:t>
      </w:r>
      <w:r w:rsidRPr="00FC1D30">
        <w:rPr>
          <w:i/>
        </w:rPr>
        <w:t xml:space="preserve">J </w:t>
      </w:r>
      <w:proofErr w:type="spellStart"/>
      <w:r w:rsidRPr="00FC1D30">
        <w:rPr>
          <w:i/>
        </w:rPr>
        <w:t>Thorac</w:t>
      </w:r>
      <w:proofErr w:type="spellEnd"/>
      <w:r w:rsidRPr="00FC1D30">
        <w:rPr>
          <w:i/>
        </w:rPr>
        <w:t xml:space="preserve"> </w:t>
      </w:r>
      <w:proofErr w:type="spellStart"/>
      <w:r w:rsidRPr="00FC1D30">
        <w:rPr>
          <w:i/>
        </w:rPr>
        <w:t>Cardiovasc</w:t>
      </w:r>
      <w:proofErr w:type="spellEnd"/>
      <w:r w:rsidRPr="00FC1D30">
        <w:rPr>
          <w:i/>
        </w:rPr>
        <w:t xml:space="preserve"> </w:t>
      </w:r>
      <w:proofErr w:type="spellStart"/>
      <w:r w:rsidRPr="00FC1D30">
        <w:rPr>
          <w:i/>
        </w:rPr>
        <w:t>Surg</w:t>
      </w:r>
      <w:proofErr w:type="spellEnd"/>
      <w:r w:rsidRPr="00FC1D30">
        <w:t xml:space="preserve">, </w:t>
      </w:r>
      <w:r>
        <w:t xml:space="preserve">2004; 127: </w:t>
      </w:r>
      <w:r w:rsidRPr="00FC1D30">
        <w:t>44-50</w:t>
      </w:r>
      <w:r>
        <w:t xml:space="preserve"> was not included in the Delegate’s overview.</w:t>
      </w:r>
    </w:p>
  </w:footnote>
  <w:footnote w:id="59">
    <w:p w14:paraId="0CC1D957" w14:textId="63B7AA44" w:rsidR="002F1E61" w:rsidRDefault="002F1E61">
      <w:pPr>
        <w:pStyle w:val="FootnoteText"/>
      </w:pPr>
      <w:r>
        <w:rPr>
          <w:rStyle w:val="FootnoteReference"/>
        </w:rPr>
        <w:footnoteRef/>
      </w:r>
      <w:r>
        <w:t xml:space="preserve"> Clarification: This was provided by the sponsor prior to TGA approval.</w:t>
      </w:r>
    </w:p>
  </w:footnote>
  <w:footnote w:id="60">
    <w:p w14:paraId="6F2F049A" w14:textId="77777777" w:rsidR="002F1E61" w:rsidRDefault="002F1E61">
      <w:pPr>
        <w:pStyle w:val="FootnoteText"/>
      </w:pPr>
      <w:r>
        <w:rPr>
          <w:rStyle w:val="FootnoteReference"/>
        </w:rPr>
        <w:footnoteRef/>
      </w:r>
      <w:r>
        <w:t xml:space="preserve"> </w:t>
      </w:r>
      <w:proofErr w:type="spellStart"/>
      <w:r w:rsidRPr="004452B9">
        <w:t>Hoskote</w:t>
      </w:r>
      <w:proofErr w:type="spellEnd"/>
      <w:r w:rsidRPr="004452B9">
        <w:t xml:space="preserve"> A et al., Acute right ventricular failure after </w:t>
      </w:r>
      <w:proofErr w:type="spellStart"/>
      <w:r w:rsidRPr="004452B9">
        <w:t>pediatric</w:t>
      </w:r>
      <w:proofErr w:type="spellEnd"/>
      <w:r w:rsidRPr="004452B9">
        <w:t xml:space="preserve"> cardiac transplant: predictors and long-term outcome in current era of transplantation medicine,  </w:t>
      </w:r>
      <w:r w:rsidRPr="004452B9">
        <w:rPr>
          <w:i/>
        </w:rPr>
        <w:t xml:space="preserve">J </w:t>
      </w:r>
      <w:proofErr w:type="spellStart"/>
      <w:r w:rsidRPr="004452B9">
        <w:rPr>
          <w:i/>
        </w:rPr>
        <w:t>Thorac</w:t>
      </w:r>
      <w:proofErr w:type="spellEnd"/>
      <w:r w:rsidRPr="004452B9">
        <w:rPr>
          <w:i/>
        </w:rPr>
        <w:t xml:space="preserve"> </w:t>
      </w:r>
      <w:proofErr w:type="spellStart"/>
      <w:r w:rsidRPr="004452B9">
        <w:rPr>
          <w:i/>
        </w:rPr>
        <w:t>Cardiovasc</w:t>
      </w:r>
      <w:proofErr w:type="spellEnd"/>
      <w:r w:rsidRPr="004452B9">
        <w:rPr>
          <w:i/>
        </w:rPr>
        <w:t xml:space="preserve"> Surg</w:t>
      </w:r>
      <w:r>
        <w:t>. 2010; 139</w:t>
      </w:r>
      <w:r w:rsidRPr="004452B9">
        <w:t>:</w:t>
      </w:r>
      <w:r>
        <w:t xml:space="preserve"> </w:t>
      </w:r>
      <w:r w:rsidRPr="004452B9">
        <w:t>146-</w:t>
      </w:r>
      <w:r>
        <w:t>1</w:t>
      </w:r>
      <w:r w:rsidRPr="004452B9">
        <w:t>53.</w:t>
      </w:r>
    </w:p>
  </w:footnote>
  <w:footnote w:id="61">
    <w:p w14:paraId="79D06CF2" w14:textId="77777777" w:rsidR="002F1E61" w:rsidRDefault="002F1E61">
      <w:pPr>
        <w:pStyle w:val="FootnoteText"/>
      </w:pPr>
      <w:r>
        <w:rPr>
          <w:rStyle w:val="FootnoteReference"/>
        </w:rPr>
        <w:footnoteRef/>
      </w:r>
      <w:r>
        <w:t xml:space="preserve"> </w:t>
      </w:r>
      <w:proofErr w:type="spellStart"/>
      <w:r w:rsidRPr="00463098">
        <w:t>Germann</w:t>
      </w:r>
      <w:proofErr w:type="spellEnd"/>
      <w:r w:rsidRPr="00463098">
        <w:t xml:space="preserve"> et al. 2005 Inhaled nitric oxide therapy in adults: European expert recommendations, </w:t>
      </w:r>
      <w:r w:rsidRPr="00463098">
        <w:rPr>
          <w:i/>
        </w:rPr>
        <w:t>Intensive Care Med</w:t>
      </w:r>
      <w:r>
        <w:t>. 2005; 31</w:t>
      </w:r>
      <w:r w:rsidRPr="00463098">
        <w:t>:1029-</w:t>
      </w:r>
      <w:r>
        <w:t>10</w:t>
      </w:r>
      <w:r w:rsidRPr="00463098">
        <w:t>41</w:t>
      </w:r>
    </w:p>
  </w:footnote>
  <w:footnote w:id="62">
    <w:p w14:paraId="4BF07A6C" w14:textId="77777777" w:rsidR="002F1E61" w:rsidRDefault="002F1E61">
      <w:pPr>
        <w:pStyle w:val="FootnoteText"/>
      </w:pPr>
      <w:r>
        <w:rPr>
          <w:rStyle w:val="FootnoteReference"/>
        </w:rPr>
        <w:footnoteRef/>
      </w:r>
      <w:r>
        <w:t xml:space="preserve"> </w:t>
      </w:r>
      <w:r w:rsidRPr="00463098">
        <w:t>McLaughlin, V. et al., 2009. ACCF/AHA 2009 expert consensus document on pulmonary hypertension a report of the American College of Cardiology Foundation Task Force on Expert Consensus Documents and the American Heart Association</w:t>
      </w:r>
      <w:r w:rsidRPr="00463098">
        <w:rPr>
          <w:i/>
        </w:rPr>
        <w:t xml:space="preserve">. J Am </w:t>
      </w:r>
      <w:proofErr w:type="spellStart"/>
      <w:r w:rsidRPr="00463098">
        <w:rPr>
          <w:i/>
        </w:rPr>
        <w:t>Coll</w:t>
      </w:r>
      <w:proofErr w:type="spellEnd"/>
      <w:r w:rsidRPr="00463098">
        <w:rPr>
          <w:i/>
        </w:rPr>
        <w:t xml:space="preserve"> </w:t>
      </w:r>
      <w:proofErr w:type="spellStart"/>
      <w:r w:rsidRPr="00463098">
        <w:rPr>
          <w:i/>
        </w:rPr>
        <w:t>Cardiol</w:t>
      </w:r>
      <w:proofErr w:type="spellEnd"/>
      <w:r w:rsidRPr="00463098">
        <w:t>,</w:t>
      </w:r>
      <w:r>
        <w:t xml:space="preserve"> 2009; 53: 1</w:t>
      </w:r>
      <w:r w:rsidRPr="00463098">
        <w:t>573-</w:t>
      </w:r>
      <w:r>
        <w:t>1</w:t>
      </w:r>
      <w:r w:rsidRPr="00463098">
        <w:t>619</w:t>
      </w:r>
    </w:p>
  </w:footnote>
  <w:footnote w:id="63">
    <w:p w14:paraId="63955A79" w14:textId="1C1A7592" w:rsidR="002F1E61" w:rsidRDefault="002F1E61">
      <w:pPr>
        <w:pStyle w:val="FootnoteText"/>
      </w:pPr>
      <w:r>
        <w:rPr>
          <w:rStyle w:val="FootnoteReference"/>
        </w:rPr>
        <w:footnoteRef/>
      </w:r>
      <w:r>
        <w:t xml:space="preserve"> </w:t>
      </w:r>
      <w:r w:rsidRPr="008E1F3D">
        <w:t xml:space="preserve">Hess D., et al, 1996 </w:t>
      </w:r>
      <w:r>
        <w:t xml:space="preserve">Use of inhaled nitric oxide in patients with acute respiratory distress syndrome. </w:t>
      </w:r>
      <w:r w:rsidRPr="008E1F3D">
        <w:rPr>
          <w:i/>
        </w:rPr>
        <w:t>Respiratory Care</w:t>
      </w:r>
      <w:r w:rsidRPr="008E1F3D">
        <w:t>, 41(5): 424-446</w:t>
      </w:r>
    </w:p>
  </w:footnote>
  <w:footnote w:id="64">
    <w:p w14:paraId="73BCBA9B" w14:textId="77777777" w:rsidR="002F1E61" w:rsidRDefault="002F1E6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A4FC6AB" w14:textId="77777777" w:rsidR="002F1E61" w:rsidRPr="00456765" w:rsidRDefault="002F1E6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0658" w14:textId="77777777" w:rsidR="002F1E61" w:rsidRDefault="002F1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41EB7" w14:textId="77777777" w:rsidR="002F1E61" w:rsidRDefault="002F1E6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5AFD" w14:textId="77777777" w:rsidR="002F1E61" w:rsidRDefault="002F1E61">
    <w:pPr>
      <w:rPr>
        <w:noProof/>
        <w:lang w:eastAsia="en-AU"/>
      </w:rPr>
    </w:pPr>
    <w:r w:rsidRPr="00347824">
      <w:rPr>
        <w:noProof/>
        <w:lang w:eastAsia="en-AU"/>
      </w:rPr>
      <w:drawing>
        <wp:anchor distT="0" distB="0" distL="114300" distR="114300" simplePos="0" relativeHeight="251659264" behindDoc="1" locked="0" layoutInCell="1" allowOverlap="1" wp14:anchorId="39DFFC4E" wp14:editId="60DF1B6B">
          <wp:simplePos x="0" y="0"/>
          <wp:positionH relativeFrom="column">
            <wp:posOffset>-1089660</wp:posOffset>
          </wp:positionH>
          <wp:positionV relativeFrom="paragraph">
            <wp:posOffset>-585470</wp:posOffset>
          </wp:positionV>
          <wp:extent cx="7572375" cy="10706100"/>
          <wp:effectExtent l="19050" t="0" r="0" b="0"/>
          <wp:wrapNone/>
          <wp:docPr id="1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7C789D5" w14:textId="77777777" w:rsidR="002F1E61" w:rsidRDefault="002F1E61" w:rsidP="00593AD1">
    <w:pPr>
      <w:pStyle w:val="HeaderNoLine"/>
    </w:pPr>
    <w:r>
      <w:rPr>
        <w:noProof/>
        <w:lang w:eastAsia="en-AU"/>
      </w:rPr>
      <w:drawing>
        <wp:inline distT="0" distB="0" distL="0" distR="0" wp14:anchorId="6A2BC4F7" wp14:editId="2C30238E">
          <wp:extent cx="5400675" cy="7639050"/>
          <wp:effectExtent l="0" t="0" r="9525" b="0"/>
          <wp:docPr id="20" name="Picture 2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59B52" w14:textId="77777777" w:rsidR="002F1E61" w:rsidRDefault="002F1E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D2756" w14:textId="77777777" w:rsidR="002F1E61" w:rsidRDefault="002F1E6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9143" w14:textId="77777777" w:rsidR="002F1E61" w:rsidRDefault="002F1E6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2353" w14:textId="77777777" w:rsidR="002F1E61" w:rsidRDefault="002F1E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5213A" w14:textId="77777777" w:rsidR="002F1E61" w:rsidRDefault="002F1E6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9675B" w14:textId="77777777" w:rsidR="002F1E61" w:rsidRDefault="002F1E61" w:rsidP="006E08B3">
    <w:r>
      <w:t>Therapeutic Goods Administration</w:t>
    </w:r>
  </w:p>
  <w:p w14:paraId="754ED204" w14:textId="77777777" w:rsidR="002F1E61" w:rsidRDefault="002F1E6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3046747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658E5770"/>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30F0137A"/>
    <w:multiLevelType w:val="hybridMultilevel"/>
    <w:tmpl w:val="AD60D1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B166AE"/>
    <w:multiLevelType w:val="hybridMultilevel"/>
    <w:tmpl w:val="C6B0CC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12737D0"/>
    <w:multiLevelType w:val="hybridMultilevel"/>
    <w:tmpl w:val="DB5A8F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82203F7"/>
    <w:multiLevelType w:val="hybridMultilevel"/>
    <w:tmpl w:val="B9CEC2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10"/>
  </w:num>
  <w:num w:numId="29">
    <w:abstractNumId w:val="6"/>
  </w:num>
  <w:num w:numId="30">
    <w:abstractNumId w:val="9"/>
  </w:num>
  <w:num w:numId="31">
    <w:abstractNumId w:val="11"/>
  </w:num>
  <w:num w:numId="32">
    <w:abstractNumId w:val="8"/>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E30"/>
    <w:rsid w:val="00002031"/>
    <w:rsid w:val="00004734"/>
    <w:rsid w:val="00006B22"/>
    <w:rsid w:val="0001276A"/>
    <w:rsid w:val="000246AE"/>
    <w:rsid w:val="00025C67"/>
    <w:rsid w:val="0003380E"/>
    <w:rsid w:val="00033D5E"/>
    <w:rsid w:val="00035230"/>
    <w:rsid w:val="000439FE"/>
    <w:rsid w:val="000441EA"/>
    <w:rsid w:val="00044772"/>
    <w:rsid w:val="0004541C"/>
    <w:rsid w:val="0005559E"/>
    <w:rsid w:val="000604D6"/>
    <w:rsid w:val="000612F3"/>
    <w:rsid w:val="00070C45"/>
    <w:rsid w:val="000734D8"/>
    <w:rsid w:val="00073F90"/>
    <w:rsid w:val="00075BE2"/>
    <w:rsid w:val="00076C8F"/>
    <w:rsid w:val="00077775"/>
    <w:rsid w:val="00081AFF"/>
    <w:rsid w:val="00090471"/>
    <w:rsid w:val="00096AA7"/>
    <w:rsid w:val="00096D71"/>
    <w:rsid w:val="000A3AED"/>
    <w:rsid w:val="000A646E"/>
    <w:rsid w:val="000B3532"/>
    <w:rsid w:val="000B3A75"/>
    <w:rsid w:val="000B694E"/>
    <w:rsid w:val="000C00C2"/>
    <w:rsid w:val="000C6497"/>
    <w:rsid w:val="000C6882"/>
    <w:rsid w:val="000C690F"/>
    <w:rsid w:val="000D1295"/>
    <w:rsid w:val="000D1F00"/>
    <w:rsid w:val="000D37D1"/>
    <w:rsid w:val="000D391B"/>
    <w:rsid w:val="000D3D6D"/>
    <w:rsid w:val="000D4FC7"/>
    <w:rsid w:val="000D6B57"/>
    <w:rsid w:val="000E07C6"/>
    <w:rsid w:val="000E262B"/>
    <w:rsid w:val="000E4197"/>
    <w:rsid w:val="000E6196"/>
    <w:rsid w:val="000E74EA"/>
    <w:rsid w:val="000F4869"/>
    <w:rsid w:val="000F5B42"/>
    <w:rsid w:val="000F6E6F"/>
    <w:rsid w:val="0010601F"/>
    <w:rsid w:val="0010788A"/>
    <w:rsid w:val="00107A31"/>
    <w:rsid w:val="00110EA5"/>
    <w:rsid w:val="0011189C"/>
    <w:rsid w:val="00112F56"/>
    <w:rsid w:val="001205A9"/>
    <w:rsid w:val="00124ACD"/>
    <w:rsid w:val="00125318"/>
    <w:rsid w:val="001305A2"/>
    <w:rsid w:val="00133238"/>
    <w:rsid w:val="00133A1B"/>
    <w:rsid w:val="00133DAB"/>
    <w:rsid w:val="0014197B"/>
    <w:rsid w:val="001447CD"/>
    <w:rsid w:val="001516B1"/>
    <w:rsid w:val="00152620"/>
    <w:rsid w:val="00154958"/>
    <w:rsid w:val="00154EBB"/>
    <w:rsid w:val="00156316"/>
    <w:rsid w:val="00161181"/>
    <w:rsid w:val="00161DF3"/>
    <w:rsid w:val="00162D14"/>
    <w:rsid w:val="00163780"/>
    <w:rsid w:val="00165389"/>
    <w:rsid w:val="001656D3"/>
    <w:rsid w:val="00165C0E"/>
    <w:rsid w:val="0017693F"/>
    <w:rsid w:val="00177361"/>
    <w:rsid w:val="0018110E"/>
    <w:rsid w:val="00181684"/>
    <w:rsid w:val="001843C6"/>
    <w:rsid w:val="001850E0"/>
    <w:rsid w:val="001878B0"/>
    <w:rsid w:val="0019250C"/>
    <w:rsid w:val="00197A6F"/>
    <w:rsid w:val="001A03AF"/>
    <w:rsid w:val="001A2158"/>
    <w:rsid w:val="001A525F"/>
    <w:rsid w:val="001A613A"/>
    <w:rsid w:val="001B09F9"/>
    <w:rsid w:val="001B2C16"/>
    <w:rsid w:val="001B4A60"/>
    <w:rsid w:val="001B5C90"/>
    <w:rsid w:val="001B6448"/>
    <w:rsid w:val="001C32CD"/>
    <w:rsid w:val="001C4B7A"/>
    <w:rsid w:val="001D2984"/>
    <w:rsid w:val="001E07CF"/>
    <w:rsid w:val="001E59F1"/>
    <w:rsid w:val="001F2CEE"/>
    <w:rsid w:val="001F49EB"/>
    <w:rsid w:val="001F51B9"/>
    <w:rsid w:val="001F5D2F"/>
    <w:rsid w:val="001F6CBA"/>
    <w:rsid w:val="00201D4E"/>
    <w:rsid w:val="002076C9"/>
    <w:rsid w:val="00207775"/>
    <w:rsid w:val="0021039D"/>
    <w:rsid w:val="00220B8A"/>
    <w:rsid w:val="00222B2F"/>
    <w:rsid w:val="002257F3"/>
    <w:rsid w:val="0022764F"/>
    <w:rsid w:val="002333F9"/>
    <w:rsid w:val="00233456"/>
    <w:rsid w:val="002339A5"/>
    <w:rsid w:val="002355B2"/>
    <w:rsid w:val="002369F5"/>
    <w:rsid w:val="00237676"/>
    <w:rsid w:val="002445FA"/>
    <w:rsid w:val="00245FA4"/>
    <w:rsid w:val="00250ABB"/>
    <w:rsid w:val="00257848"/>
    <w:rsid w:val="00257E73"/>
    <w:rsid w:val="00266766"/>
    <w:rsid w:val="0027084A"/>
    <w:rsid w:val="00280265"/>
    <w:rsid w:val="00283A50"/>
    <w:rsid w:val="00286434"/>
    <w:rsid w:val="00286C59"/>
    <w:rsid w:val="00291957"/>
    <w:rsid w:val="00293B03"/>
    <w:rsid w:val="002942D1"/>
    <w:rsid w:val="0029501A"/>
    <w:rsid w:val="002A3721"/>
    <w:rsid w:val="002B1638"/>
    <w:rsid w:val="002B3624"/>
    <w:rsid w:val="002B53F7"/>
    <w:rsid w:val="002C066B"/>
    <w:rsid w:val="002C18B7"/>
    <w:rsid w:val="002D0475"/>
    <w:rsid w:val="002D0952"/>
    <w:rsid w:val="002D3165"/>
    <w:rsid w:val="002E40B3"/>
    <w:rsid w:val="002E4C9A"/>
    <w:rsid w:val="002E59D2"/>
    <w:rsid w:val="002F0A76"/>
    <w:rsid w:val="002F11F8"/>
    <w:rsid w:val="002F1E61"/>
    <w:rsid w:val="002F1ED5"/>
    <w:rsid w:val="002F2A49"/>
    <w:rsid w:val="002F3F56"/>
    <w:rsid w:val="002F44B5"/>
    <w:rsid w:val="002F451E"/>
    <w:rsid w:val="002F49E8"/>
    <w:rsid w:val="002F5122"/>
    <w:rsid w:val="0031037B"/>
    <w:rsid w:val="00311AC0"/>
    <w:rsid w:val="003176FC"/>
    <w:rsid w:val="0032583B"/>
    <w:rsid w:val="00327883"/>
    <w:rsid w:val="00334022"/>
    <w:rsid w:val="00335504"/>
    <w:rsid w:val="00340C18"/>
    <w:rsid w:val="00341A54"/>
    <w:rsid w:val="003442FD"/>
    <w:rsid w:val="00347824"/>
    <w:rsid w:val="00350567"/>
    <w:rsid w:val="003521E8"/>
    <w:rsid w:val="00356864"/>
    <w:rsid w:val="003637ED"/>
    <w:rsid w:val="00370CE3"/>
    <w:rsid w:val="00371686"/>
    <w:rsid w:val="003728F3"/>
    <w:rsid w:val="003735BC"/>
    <w:rsid w:val="003736CF"/>
    <w:rsid w:val="0037496E"/>
    <w:rsid w:val="00383221"/>
    <w:rsid w:val="00386150"/>
    <w:rsid w:val="00386E79"/>
    <w:rsid w:val="003874CE"/>
    <w:rsid w:val="00390900"/>
    <w:rsid w:val="003A00CA"/>
    <w:rsid w:val="003A10AE"/>
    <w:rsid w:val="003A7F6C"/>
    <w:rsid w:val="003B08F8"/>
    <w:rsid w:val="003B4D60"/>
    <w:rsid w:val="003B6712"/>
    <w:rsid w:val="003B7E39"/>
    <w:rsid w:val="003C58DC"/>
    <w:rsid w:val="003D17B8"/>
    <w:rsid w:val="003D1E62"/>
    <w:rsid w:val="003D3248"/>
    <w:rsid w:val="003D4003"/>
    <w:rsid w:val="003E0B99"/>
    <w:rsid w:val="003E117D"/>
    <w:rsid w:val="003E2486"/>
    <w:rsid w:val="003E31FD"/>
    <w:rsid w:val="003E3208"/>
    <w:rsid w:val="003E6F92"/>
    <w:rsid w:val="003F0B04"/>
    <w:rsid w:val="0040134E"/>
    <w:rsid w:val="00403B2D"/>
    <w:rsid w:val="004055F7"/>
    <w:rsid w:val="004073F4"/>
    <w:rsid w:val="0041263E"/>
    <w:rsid w:val="0041273A"/>
    <w:rsid w:val="004203B7"/>
    <w:rsid w:val="00421104"/>
    <w:rsid w:val="0042347A"/>
    <w:rsid w:val="004334C7"/>
    <w:rsid w:val="00440A2D"/>
    <w:rsid w:val="00441C3F"/>
    <w:rsid w:val="004425AD"/>
    <w:rsid w:val="004452B9"/>
    <w:rsid w:val="0045186A"/>
    <w:rsid w:val="004564A7"/>
    <w:rsid w:val="00456765"/>
    <w:rsid w:val="004617BF"/>
    <w:rsid w:val="00462AEC"/>
    <w:rsid w:val="00463098"/>
    <w:rsid w:val="00463658"/>
    <w:rsid w:val="004637A0"/>
    <w:rsid w:val="00463CFB"/>
    <w:rsid w:val="004722CC"/>
    <w:rsid w:val="0047268A"/>
    <w:rsid w:val="00473611"/>
    <w:rsid w:val="00477B4B"/>
    <w:rsid w:val="004807CC"/>
    <w:rsid w:val="004936E4"/>
    <w:rsid w:val="00493F1B"/>
    <w:rsid w:val="00494E60"/>
    <w:rsid w:val="00497487"/>
    <w:rsid w:val="004A1E4E"/>
    <w:rsid w:val="004A6189"/>
    <w:rsid w:val="004A7390"/>
    <w:rsid w:val="004B7B76"/>
    <w:rsid w:val="004C096D"/>
    <w:rsid w:val="004C237F"/>
    <w:rsid w:val="004C239D"/>
    <w:rsid w:val="004C2DCA"/>
    <w:rsid w:val="004C61D2"/>
    <w:rsid w:val="004C6256"/>
    <w:rsid w:val="004C6504"/>
    <w:rsid w:val="004C6567"/>
    <w:rsid w:val="004D08E6"/>
    <w:rsid w:val="004F0C4A"/>
    <w:rsid w:val="004F0F38"/>
    <w:rsid w:val="004F40A2"/>
    <w:rsid w:val="004F411B"/>
    <w:rsid w:val="004F47D6"/>
    <w:rsid w:val="004F47DC"/>
    <w:rsid w:val="00500337"/>
    <w:rsid w:val="00501921"/>
    <w:rsid w:val="00525573"/>
    <w:rsid w:val="005266E3"/>
    <w:rsid w:val="00527AF3"/>
    <w:rsid w:val="00530354"/>
    <w:rsid w:val="00533F50"/>
    <w:rsid w:val="005355E3"/>
    <w:rsid w:val="0053625B"/>
    <w:rsid w:val="00542C30"/>
    <w:rsid w:val="005434C6"/>
    <w:rsid w:val="00543B39"/>
    <w:rsid w:val="00544EAE"/>
    <w:rsid w:val="00546154"/>
    <w:rsid w:val="00546B8A"/>
    <w:rsid w:val="00550096"/>
    <w:rsid w:val="00555280"/>
    <w:rsid w:val="00556566"/>
    <w:rsid w:val="00557FF9"/>
    <w:rsid w:val="00562327"/>
    <w:rsid w:val="00564A63"/>
    <w:rsid w:val="005711D5"/>
    <w:rsid w:val="00576378"/>
    <w:rsid w:val="00577130"/>
    <w:rsid w:val="00577945"/>
    <w:rsid w:val="00577E38"/>
    <w:rsid w:val="00585322"/>
    <w:rsid w:val="005857C6"/>
    <w:rsid w:val="00592F6E"/>
    <w:rsid w:val="00593AD1"/>
    <w:rsid w:val="005A68B6"/>
    <w:rsid w:val="005B616E"/>
    <w:rsid w:val="005B7AC9"/>
    <w:rsid w:val="005C5570"/>
    <w:rsid w:val="005C79A4"/>
    <w:rsid w:val="005D5442"/>
    <w:rsid w:val="005E041B"/>
    <w:rsid w:val="005E2C8E"/>
    <w:rsid w:val="005E6F6C"/>
    <w:rsid w:val="005F6DB9"/>
    <w:rsid w:val="00603F32"/>
    <w:rsid w:val="00605AD4"/>
    <w:rsid w:val="006136D7"/>
    <w:rsid w:val="00625A6E"/>
    <w:rsid w:val="00632398"/>
    <w:rsid w:val="00640FC3"/>
    <w:rsid w:val="00642020"/>
    <w:rsid w:val="0065337B"/>
    <w:rsid w:val="0065419D"/>
    <w:rsid w:val="00654D20"/>
    <w:rsid w:val="006603BC"/>
    <w:rsid w:val="006604D8"/>
    <w:rsid w:val="00661A5A"/>
    <w:rsid w:val="00663EFB"/>
    <w:rsid w:val="00664A5B"/>
    <w:rsid w:val="0066542D"/>
    <w:rsid w:val="006669E4"/>
    <w:rsid w:val="0066735C"/>
    <w:rsid w:val="006673FA"/>
    <w:rsid w:val="00674F5D"/>
    <w:rsid w:val="006763D2"/>
    <w:rsid w:val="00676C19"/>
    <w:rsid w:val="006771F2"/>
    <w:rsid w:val="00680C08"/>
    <w:rsid w:val="00686838"/>
    <w:rsid w:val="006916A0"/>
    <w:rsid w:val="006931B1"/>
    <w:rsid w:val="006A0985"/>
    <w:rsid w:val="006A15C0"/>
    <w:rsid w:val="006A58A8"/>
    <w:rsid w:val="006A6896"/>
    <w:rsid w:val="006C3A30"/>
    <w:rsid w:val="006C3E2A"/>
    <w:rsid w:val="006C5049"/>
    <w:rsid w:val="006C537A"/>
    <w:rsid w:val="006C642F"/>
    <w:rsid w:val="006D03E5"/>
    <w:rsid w:val="006D5D3E"/>
    <w:rsid w:val="006E08B3"/>
    <w:rsid w:val="006F17AC"/>
    <w:rsid w:val="006F25B8"/>
    <w:rsid w:val="006F386C"/>
    <w:rsid w:val="006F572E"/>
    <w:rsid w:val="006F789A"/>
    <w:rsid w:val="007046D6"/>
    <w:rsid w:val="00705DB0"/>
    <w:rsid w:val="007146D8"/>
    <w:rsid w:val="00722B57"/>
    <w:rsid w:val="00722F10"/>
    <w:rsid w:val="00724497"/>
    <w:rsid w:val="00730F8A"/>
    <w:rsid w:val="00735A8C"/>
    <w:rsid w:val="0074253D"/>
    <w:rsid w:val="0074429B"/>
    <w:rsid w:val="0074498A"/>
    <w:rsid w:val="00760CF6"/>
    <w:rsid w:val="007615BC"/>
    <w:rsid w:val="00762F05"/>
    <w:rsid w:val="00763370"/>
    <w:rsid w:val="007652FF"/>
    <w:rsid w:val="00770CAC"/>
    <w:rsid w:val="00770EF1"/>
    <w:rsid w:val="00773645"/>
    <w:rsid w:val="00773EF7"/>
    <w:rsid w:val="00774E1D"/>
    <w:rsid w:val="007765D8"/>
    <w:rsid w:val="0077675A"/>
    <w:rsid w:val="00780355"/>
    <w:rsid w:val="007819FD"/>
    <w:rsid w:val="00785717"/>
    <w:rsid w:val="00785721"/>
    <w:rsid w:val="00793A59"/>
    <w:rsid w:val="0079411D"/>
    <w:rsid w:val="007A46F5"/>
    <w:rsid w:val="007A6505"/>
    <w:rsid w:val="007A7B5A"/>
    <w:rsid w:val="007B2D51"/>
    <w:rsid w:val="007B4354"/>
    <w:rsid w:val="007B6132"/>
    <w:rsid w:val="007B6E9F"/>
    <w:rsid w:val="007C1216"/>
    <w:rsid w:val="007C1AF7"/>
    <w:rsid w:val="007C59F5"/>
    <w:rsid w:val="007C6B9B"/>
    <w:rsid w:val="007C777F"/>
    <w:rsid w:val="007D4CFE"/>
    <w:rsid w:val="007E2F4E"/>
    <w:rsid w:val="007E4E46"/>
    <w:rsid w:val="007F549D"/>
    <w:rsid w:val="007F6489"/>
    <w:rsid w:val="00802484"/>
    <w:rsid w:val="008024D2"/>
    <w:rsid w:val="00805D27"/>
    <w:rsid w:val="00806DCB"/>
    <w:rsid w:val="0081505B"/>
    <w:rsid w:val="008168B3"/>
    <w:rsid w:val="00821776"/>
    <w:rsid w:val="008245A6"/>
    <w:rsid w:val="00826248"/>
    <w:rsid w:val="00827612"/>
    <w:rsid w:val="00830ACE"/>
    <w:rsid w:val="008321F5"/>
    <w:rsid w:val="00832369"/>
    <w:rsid w:val="00834660"/>
    <w:rsid w:val="00836BC2"/>
    <w:rsid w:val="008423DE"/>
    <w:rsid w:val="00845B95"/>
    <w:rsid w:val="0085156D"/>
    <w:rsid w:val="00852B28"/>
    <w:rsid w:val="0085641B"/>
    <w:rsid w:val="00856911"/>
    <w:rsid w:val="00857136"/>
    <w:rsid w:val="00875A6B"/>
    <w:rsid w:val="00885B11"/>
    <w:rsid w:val="00886D15"/>
    <w:rsid w:val="00887DD8"/>
    <w:rsid w:val="00891BA9"/>
    <w:rsid w:val="0089214E"/>
    <w:rsid w:val="00894DC3"/>
    <w:rsid w:val="00896018"/>
    <w:rsid w:val="008960DD"/>
    <w:rsid w:val="0089635C"/>
    <w:rsid w:val="008A05B9"/>
    <w:rsid w:val="008A14FF"/>
    <w:rsid w:val="008A2B9D"/>
    <w:rsid w:val="008A39B6"/>
    <w:rsid w:val="008A3D9F"/>
    <w:rsid w:val="008A5E0B"/>
    <w:rsid w:val="008A6D59"/>
    <w:rsid w:val="008A6E9B"/>
    <w:rsid w:val="008B0479"/>
    <w:rsid w:val="008B4B03"/>
    <w:rsid w:val="008B596F"/>
    <w:rsid w:val="008B79B3"/>
    <w:rsid w:val="008B7C54"/>
    <w:rsid w:val="008C159F"/>
    <w:rsid w:val="008C1623"/>
    <w:rsid w:val="008C1850"/>
    <w:rsid w:val="008C51A9"/>
    <w:rsid w:val="008D31EE"/>
    <w:rsid w:val="008D4710"/>
    <w:rsid w:val="008E1F3D"/>
    <w:rsid w:val="008E4488"/>
    <w:rsid w:val="008E534C"/>
    <w:rsid w:val="008E64F9"/>
    <w:rsid w:val="008E7846"/>
    <w:rsid w:val="008F02E5"/>
    <w:rsid w:val="008F1CCC"/>
    <w:rsid w:val="008F2097"/>
    <w:rsid w:val="008F2967"/>
    <w:rsid w:val="008F6943"/>
    <w:rsid w:val="00902A21"/>
    <w:rsid w:val="009061E2"/>
    <w:rsid w:val="0091246B"/>
    <w:rsid w:val="0091439A"/>
    <w:rsid w:val="00914B03"/>
    <w:rsid w:val="0091523F"/>
    <w:rsid w:val="00920330"/>
    <w:rsid w:val="009219D7"/>
    <w:rsid w:val="00922D53"/>
    <w:rsid w:val="00923B70"/>
    <w:rsid w:val="00924482"/>
    <w:rsid w:val="00930237"/>
    <w:rsid w:val="00931948"/>
    <w:rsid w:val="00937C17"/>
    <w:rsid w:val="009402F9"/>
    <w:rsid w:val="00940A89"/>
    <w:rsid w:val="00941F77"/>
    <w:rsid w:val="00946EA5"/>
    <w:rsid w:val="00951337"/>
    <w:rsid w:val="00955D80"/>
    <w:rsid w:val="00963C08"/>
    <w:rsid w:val="0097238C"/>
    <w:rsid w:val="00974613"/>
    <w:rsid w:val="009752A5"/>
    <w:rsid w:val="0098585A"/>
    <w:rsid w:val="009874EA"/>
    <w:rsid w:val="009A00FF"/>
    <w:rsid w:val="009A4CED"/>
    <w:rsid w:val="009A57C7"/>
    <w:rsid w:val="009A690D"/>
    <w:rsid w:val="009B08F3"/>
    <w:rsid w:val="009B1D12"/>
    <w:rsid w:val="009B416B"/>
    <w:rsid w:val="009B5F6B"/>
    <w:rsid w:val="009C4BD5"/>
    <w:rsid w:val="009D2451"/>
    <w:rsid w:val="009D7B77"/>
    <w:rsid w:val="009E0BB0"/>
    <w:rsid w:val="009E3FBB"/>
    <w:rsid w:val="009E4D0E"/>
    <w:rsid w:val="009F103F"/>
    <w:rsid w:val="009F44FC"/>
    <w:rsid w:val="009F4F47"/>
    <w:rsid w:val="009F6B44"/>
    <w:rsid w:val="009F7353"/>
    <w:rsid w:val="00A04F85"/>
    <w:rsid w:val="00A051C2"/>
    <w:rsid w:val="00A05FA4"/>
    <w:rsid w:val="00A1020D"/>
    <w:rsid w:val="00A102E4"/>
    <w:rsid w:val="00A12C42"/>
    <w:rsid w:val="00A14DF7"/>
    <w:rsid w:val="00A22D57"/>
    <w:rsid w:val="00A3246D"/>
    <w:rsid w:val="00A36FA7"/>
    <w:rsid w:val="00A41E30"/>
    <w:rsid w:val="00A44DDB"/>
    <w:rsid w:val="00A46082"/>
    <w:rsid w:val="00A475B7"/>
    <w:rsid w:val="00A47AF7"/>
    <w:rsid w:val="00A47C3E"/>
    <w:rsid w:val="00A50226"/>
    <w:rsid w:val="00A50889"/>
    <w:rsid w:val="00A60BAD"/>
    <w:rsid w:val="00A716A1"/>
    <w:rsid w:val="00A755FA"/>
    <w:rsid w:val="00A77F87"/>
    <w:rsid w:val="00A80B5B"/>
    <w:rsid w:val="00A84E36"/>
    <w:rsid w:val="00A964D1"/>
    <w:rsid w:val="00AA0ED0"/>
    <w:rsid w:val="00AA24CB"/>
    <w:rsid w:val="00AB0883"/>
    <w:rsid w:val="00AB67ED"/>
    <w:rsid w:val="00AC2B40"/>
    <w:rsid w:val="00AC2BB2"/>
    <w:rsid w:val="00AC2C3C"/>
    <w:rsid w:val="00AC512D"/>
    <w:rsid w:val="00AD0083"/>
    <w:rsid w:val="00AD2149"/>
    <w:rsid w:val="00AD3935"/>
    <w:rsid w:val="00AE65EB"/>
    <w:rsid w:val="00AE67A7"/>
    <w:rsid w:val="00AF1D94"/>
    <w:rsid w:val="00AF60C5"/>
    <w:rsid w:val="00AF6E41"/>
    <w:rsid w:val="00B009C6"/>
    <w:rsid w:val="00B01470"/>
    <w:rsid w:val="00B01548"/>
    <w:rsid w:val="00B05199"/>
    <w:rsid w:val="00B13EBD"/>
    <w:rsid w:val="00B21235"/>
    <w:rsid w:val="00B21D29"/>
    <w:rsid w:val="00B25034"/>
    <w:rsid w:val="00B25F29"/>
    <w:rsid w:val="00B30AC4"/>
    <w:rsid w:val="00B33588"/>
    <w:rsid w:val="00B33863"/>
    <w:rsid w:val="00B35299"/>
    <w:rsid w:val="00B37D17"/>
    <w:rsid w:val="00B4175E"/>
    <w:rsid w:val="00B41C85"/>
    <w:rsid w:val="00B452CE"/>
    <w:rsid w:val="00B538FA"/>
    <w:rsid w:val="00B54C25"/>
    <w:rsid w:val="00B54EAF"/>
    <w:rsid w:val="00B614AB"/>
    <w:rsid w:val="00B629B9"/>
    <w:rsid w:val="00B6410F"/>
    <w:rsid w:val="00B76B91"/>
    <w:rsid w:val="00B77EB1"/>
    <w:rsid w:val="00B811C6"/>
    <w:rsid w:val="00B815C7"/>
    <w:rsid w:val="00B8506C"/>
    <w:rsid w:val="00B855B0"/>
    <w:rsid w:val="00B92E08"/>
    <w:rsid w:val="00B9690A"/>
    <w:rsid w:val="00B97846"/>
    <w:rsid w:val="00BA44DF"/>
    <w:rsid w:val="00BB39E5"/>
    <w:rsid w:val="00BB7C54"/>
    <w:rsid w:val="00BB7F60"/>
    <w:rsid w:val="00BC622A"/>
    <w:rsid w:val="00BE0A78"/>
    <w:rsid w:val="00BE79F0"/>
    <w:rsid w:val="00BF046D"/>
    <w:rsid w:val="00BF1190"/>
    <w:rsid w:val="00BF3774"/>
    <w:rsid w:val="00BF4601"/>
    <w:rsid w:val="00BF5D04"/>
    <w:rsid w:val="00C009AA"/>
    <w:rsid w:val="00C06C31"/>
    <w:rsid w:val="00C1164D"/>
    <w:rsid w:val="00C15E92"/>
    <w:rsid w:val="00C16861"/>
    <w:rsid w:val="00C200C8"/>
    <w:rsid w:val="00C3138A"/>
    <w:rsid w:val="00C33C54"/>
    <w:rsid w:val="00C346AB"/>
    <w:rsid w:val="00C404A6"/>
    <w:rsid w:val="00C40A36"/>
    <w:rsid w:val="00C40BA7"/>
    <w:rsid w:val="00C410A0"/>
    <w:rsid w:val="00C4178B"/>
    <w:rsid w:val="00C44419"/>
    <w:rsid w:val="00C45E7B"/>
    <w:rsid w:val="00C46EB9"/>
    <w:rsid w:val="00C471B1"/>
    <w:rsid w:val="00C50B42"/>
    <w:rsid w:val="00C52E24"/>
    <w:rsid w:val="00C6316B"/>
    <w:rsid w:val="00C634A9"/>
    <w:rsid w:val="00C64586"/>
    <w:rsid w:val="00C70D53"/>
    <w:rsid w:val="00C73D0B"/>
    <w:rsid w:val="00C772FF"/>
    <w:rsid w:val="00C80137"/>
    <w:rsid w:val="00C801AF"/>
    <w:rsid w:val="00C80256"/>
    <w:rsid w:val="00C93FBB"/>
    <w:rsid w:val="00C94CD4"/>
    <w:rsid w:val="00C9747E"/>
    <w:rsid w:val="00CB6BC0"/>
    <w:rsid w:val="00CB7A27"/>
    <w:rsid w:val="00CC1B7C"/>
    <w:rsid w:val="00CC1FBD"/>
    <w:rsid w:val="00CC727F"/>
    <w:rsid w:val="00CD4D24"/>
    <w:rsid w:val="00CD4EA3"/>
    <w:rsid w:val="00CF15C3"/>
    <w:rsid w:val="00CF2B6F"/>
    <w:rsid w:val="00CF2F3E"/>
    <w:rsid w:val="00CF58B6"/>
    <w:rsid w:val="00D0062D"/>
    <w:rsid w:val="00D017ED"/>
    <w:rsid w:val="00D040D3"/>
    <w:rsid w:val="00D04C65"/>
    <w:rsid w:val="00D07DB9"/>
    <w:rsid w:val="00D153D8"/>
    <w:rsid w:val="00D201D2"/>
    <w:rsid w:val="00D224FE"/>
    <w:rsid w:val="00D23139"/>
    <w:rsid w:val="00D34387"/>
    <w:rsid w:val="00D41314"/>
    <w:rsid w:val="00D425BB"/>
    <w:rsid w:val="00D42948"/>
    <w:rsid w:val="00D4309C"/>
    <w:rsid w:val="00D431C6"/>
    <w:rsid w:val="00D43D38"/>
    <w:rsid w:val="00D453FA"/>
    <w:rsid w:val="00D5266B"/>
    <w:rsid w:val="00D533F9"/>
    <w:rsid w:val="00D6493E"/>
    <w:rsid w:val="00D66611"/>
    <w:rsid w:val="00D7195D"/>
    <w:rsid w:val="00D7301E"/>
    <w:rsid w:val="00D74999"/>
    <w:rsid w:val="00D75190"/>
    <w:rsid w:val="00D83AE1"/>
    <w:rsid w:val="00D84362"/>
    <w:rsid w:val="00D8505D"/>
    <w:rsid w:val="00D855D4"/>
    <w:rsid w:val="00D902C9"/>
    <w:rsid w:val="00D90D62"/>
    <w:rsid w:val="00D91320"/>
    <w:rsid w:val="00D93466"/>
    <w:rsid w:val="00D9628F"/>
    <w:rsid w:val="00DA1124"/>
    <w:rsid w:val="00DB06B8"/>
    <w:rsid w:val="00DB1246"/>
    <w:rsid w:val="00DB6124"/>
    <w:rsid w:val="00DB750B"/>
    <w:rsid w:val="00DB75B7"/>
    <w:rsid w:val="00DC0A2F"/>
    <w:rsid w:val="00DC6E02"/>
    <w:rsid w:val="00DC7D20"/>
    <w:rsid w:val="00DD28CD"/>
    <w:rsid w:val="00DD5295"/>
    <w:rsid w:val="00DE02AE"/>
    <w:rsid w:val="00DE39D1"/>
    <w:rsid w:val="00DE4675"/>
    <w:rsid w:val="00DF1D7F"/>
    <w:rsid w:val="00DF4942"/>
    <w:rsid w:val="00DF4BE4"/>
    <w:rsid w:val="00DF5D1B"/>
    <w:rsid w:val="00E02382"/>
    <w:rsid w:val="00E02FB4"/>
    <w:rsid w:val="00E13FC7"/>
    <w:rsid w:val="00E20571"/>
    <w:rsid w:val="00E235F7"/>
    <w:rsid w:val="00E23659"/>
    <w:rsid w:val="00E239D4"/>
    <w:rsid w:val="00E26130"/>
    <w:rsid w:val="00E267F5"/>
    <w:rsid w:val="00E26BFB"/>
    <w:rsid w:val="00E3510A"/>
    <w:rsid w:val="00E40B22"/>
    <w:rsid w:val="00E431BF"/>
    <w:rsid w:val="00E44ED1"/>
    <w:rsid w:val="00E45619"/>
    <w:rsid w:val="00E4588F"/>
    <w:rsid w:val="00E4688B"/>
    <w:rsid w:val="00E46DA3"/>
    <w:rsid w:val="00E51BB1"/>
    <w:rsid w:val="00E5323B"/>
    <w:rsid w:val="00E54314"/>
    <w:rsid w:val="00E55CB0"/>
    <w:rsid w:val="00E56750"/>
    <w:rsid w:val="00E624A5"/>
    <w:rsid w:val="00E64BA4"/>
    <w:rsid w:val="00E64EB7"/>
    <w:rsid w:val="00E7344E"/>
    <w:rsid w:val="00E82665"/>
    <w:rsid w:val="00E862E2"/>
    <w:rsid w:val="00EA3A59"/>
    <w:rsid w:val="00EB0090"/>
    <w:rsid w:val="00EB0798"/>
    <w:rsid w:val="00EB16B8"/>
    <w:rsid w:val="00EB34A3"/>
    <w:rsid w:val="00EB40AD"/>
    <w:rsid w:val="00EB41A1"/>
    <w:rsid w:val="00EB4B65"/>
    <w:rsid w:val="00EB52C8"/>
    <w:rsid w:val="00EB586E"/>
    <w:rsid w:val="00EB5FC8"/>
    <w:rsid w:val="00EB7C62"/>
    <w:rsid w:val="00EC228C"/>
    <w:rsid w:val="00EC463D"/>
    <w:rsid w:val="00EC7A85"/>
    <w:rsid w:val="00ED0B6C"/>
    <w:rsid w:val="00ED2922"/>
    <w:rsid w:val="00ED3CAD"/>
    <w:rsid w:val="00ED4EF9"/>
    <w:rsid w:val="00ED5A41"/>
    <w:rsid w:val="00ED6CE0"/>
    <w:rsid w:val="00EE1DE8"/>
    <w:rsid w:val="00EE27C2"/>
    <w:rsid w:val="00EE41FA"/>
    <w:rsid w:val="00EE56C3"/>
    <w:rsid w:val="00EF4BAD"/>
    <w:rsid w:val="00EF59DC"/>
    <w:rsid w:val="00F033EC"/>
    <w:rsid w:val="00F04F68"/>
    <w:rsid w:val="00F12670"/>
    <w:rsid w:val="00F1421D"/>
    <w:rsid w:val="00F14B27"/>
    <w:rsid w:val="00F3148D"/>
    <w:rsid w:val="00F325C5"/>
    <w:rsid w:val="00F32FE0"/>
    <w:rsid w:val="00F35298"/>
    <w:rsid w:val="00F44951"/>
    <w:rsid w:val="00F46B33"/>
    <w:rsid w:val="00F47333"/>
    <w:rsid w:val="00F47E37"/>
    <w:rsid w:val="00F53C07"/>
    <w:rsid w:val="00F54B65"/>
    <w:rsid w:val="00F601A9"/>
    <w:rsid w:val="00F613DE"/>
    <w:rsid w:val="00F637F1"/>
    <w:rsid w:val="00F640B6"/>
    <w:rsid w:val="00F66DF2"/>
    <w:rsid w:val="00F7512D"/>
    <w:rsid w:val="00F80E40"/>
    <w:rsid w:val="00F848D9"/>
    <w:rsid w:val="00F85355"/>
    <w:rsid w:val="00F859E6"/>
    <w:rsid w:val="00F86E3E"/>
    <w:rsid w:val="00FA0473"/>
    <w:rsid w:val="00FA5069"/>
    <w:rsid w:val="00FA5B82"/>
    <w:rsid w:val="00FA639E"/>
    <w:rsid w:val="00FB373C"/>
    <w:rsid w:val="00FC1D30"/>
    <w:rsid w:val="00FC1FCA"/>
    <w:rsid w:val="00FC25E4"/>
    <w:rsid w:val="00FC4EF7"/>
    <w:rsid w:val="00FD0824"/>
    <w:rsid w:val="00FD119B"/>
    <w:rsid w:val="00FD1EDC"/>
    <w:rsid w:val="00FE1DEE"/>
    <w:rsid w:val="00FE2861"/>
    <w:rsid w:val="00FE6A4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2818C3C"/>
  <w15:docId w15:val="{F6A3034F-DCC7-4048-9D6A-CE276C53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F1E61"/>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BF4601"/>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F4601"/>
    <w:rPr>
      <w:rFonts w:ascii="Cambria" w:eastAsia="Times New Roman" w:hAnsi="Cambria" w:cs="Times New Roman"/>
      <w:snapToGrid w:val="0"/>
      <w:kern w:val="16"/>
      <w:sz w:val="23"/>
      <w:szCs w:val="24"/>
    </w:rPr>
  </w:style>
  <w:style w:type="character" w:customStyle="1" w:styleId="SummaryofsafetyconcernsChar">
    <w:name w:val="Summary of safety concerns Char"/>
    <w:basedOn w:val="DefaultParagraphFont"/>
    <w:link w:val="Summaryofsafetyconcerns"/>
    <w:locked/>
    <w:rsid w:val="00BF4601"/>
    <w:rPr>
      <w:rFonts w:ascii="Cambria" w:eastAsia="Cambria" w:hAnsi="Cambria" w:cs="Times New Roman"/>
      <w:b/>
      <w:sz w:val="19"/>
    </w:rPr>
  </w:style>
  <w:style w:type="paragraph" w:customStyle="1" w:styleId="Summaryofsafetyconcerns">
    <w:name w:val="Summary of safety concerns"/>
    <w:basedOn w:val="Tabletext"/>
    <w:link w:val="SummaryofsafetyconcernsChar"/>
    <w:qFormat/>
    <w:rsid w:val="00BF4601"/>
    <w:pPr>
      <w:snapToGrid w:val="0"/>
      <w:spacing w:before="20" w:after="20" w:line="252" w:lineRule="auto"/>
    </w:pPr>
    <w:rPr>
      <w:b/>
    </w:rPr>
  </w:style>
  <w:style w:type="paragraph" w:customStyle="1" w:styleId="TableParagraph">
    <w:name w:val="Table Paragraph"/>
    <w:basedOn w:val="Normal"/>
    <w:uiPriority w:val="1"/>
    <w:qFormat/>
    <w:rsid w:val="00C15E92"/>
    <w:pPr>
      <w:widowControl w:val="0"/>
      <w:autoSpaceDE w:val="0"/>
      <w:autoSpaceDN w:val="0"/>
      <w:spacing w:before="0" w:after="0" w:line="238" w:lineRule="exact"/>
      <w:ind w:left="105"/>
    </w:pPr>
    <w:rPr>
      <w:rFonts w:ascii="Times New Roman" w:eastAsia="Times New Roman" w:hAnsi="Times New Roman"/>
      <w:lang w:val="en-US"/>
    </w:rPr>
  </w:style>
  <w:style w:type="character" w:customStyle="1" w:styleId="TabletextChar">
    <w:name w:val="Table text Char"/>
    <w:basedOn w:val="StandardChar"/>
    <w:link w:val="Tabletext"/>
    <w:rsid w:val="008B79B3"/>
    <w:rPr>
      <w:rFonts w:ascii="Cambria" w:eastAsia="Cambria" w:hAnsi="Cambria" w:cs="Times New Roman"/>
      <w:snapToGrid/>
      <w:kern w:val="16"/>
      <w:sz w:val="19"/>
      <w:szCs w:val="24"/>
    </w:rPr>
  </w:style>
  <w:style w:type="paragraph" w:styleId="ListParagraph">
    <w:name w:val="List Paragraph"/>
    <w:basedOn w:val="Normal"/>
    <w:uiPriority w:val="34"/>
    <w:rsid w:val="008B04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41489">
      <w:bodyDiv w:val="1"/>
      <w:marLeft w:val="0"/>
      <w:marRight w:val="0"/>
      <w:marTop w:val="0"/>
      <w:marBottom w:val="0"/>
      <w:divBdr>
        <w:top w:val="none" w:sz="0" w:space="0" w:color="auto"/>
        <w:left w:val="none" w:sz="0" w:space="0" w:color="auto"/>
        <w:bottom w:val="none" w:sz="0" w:space="0" w:color="auto"/>
        <w:right w:val="none" w:sz="0" w:space="0" w:color="auto"/>
      </w:divBdr>
    </w:div>
    <w:div w:id="170219832">
      <w:bodyDiv w:val="1"/>
      <w:marLeft w:val="0"/>
      <w:marRight w:val="0"/>
      <w:marTop w:val="0"/>
      <w:marBottom w:val="0"/>
      <w:divBdr>
        <w:top w:val="none" w:sz="0" w:space="0" w:color="auto"/>
        <w:left w:val="none" w:sz="0" w:space="0" w:color="auto"/>
        <w:bottom w:val="none" w:sz="0" w:space="0" w:color="auto"/>
        <w:right w:val="none" w:sz="0" w:space="0" w:color="auto"/>
      </w:divBdr>
    </w:div>
    <w:div w:id="439379126">
      <w:bodyDiv w:val="1"/>
      <w:marLeft w:val="0"/>
      <w:marRight w:val="0"/>
      <w:marTop w:val="0"/>
      <w:marBottom w:val="0"/>
      <w:divBdr>
        <w:top w:val="none" w:sz="0" w:space="0" w:color="auto"/>
        <w:left w:val="none" w:sz="0" w:space="0" w:color="auto"/>
        <w:bottom w:val="none" w:sz="0" w:space="0" w:color="auto"/>
        <w:right w:val="none" w:sz="0" w:space="0" w:color="auto"/>
      </w:divBdr>
    </w:div>
    <w:div w:id="739132541">
      <w:bodyDiv w:val="1"/>
      <w:marLeft w:val="0"/>
      <w:marRight w:val="0"/>
      <w:marTop w:val="0"/>
      <w:marBottom w:val="0"/>
      <w:divBdr>
        <w:top w:val="none" w:sz="0" w:space="0" w:color="auto"/>
        <w:left w:val="none" w:sz="0" w:space="0" w:color="auto"/>
        <w:bottom w:val="none" w:sz="0" w:space="0" w:color="auto"/>
        <w:right w:val="none" w:sz="0" w:space="0" w:color="auto"/>
      </w:divBdr>
    </w:div>
    <w:div w:id="1374769067">
      <w:bodyDiv w:val="1"/>
      <w:marLeft w:val="0"/>
      <w:marRight w:val="0"/>
      <w:marTop w:val="0"/>
      <w:marBottom w:val="0"/>
      <w:divBdr>
        <w:top w:val="none" w:sz="0" w:space="0" w:color="auto"/>
        <w:left w:val="none" w:sz="0" w:space="0" w:color="auto"/>
        <w:bottom w:val="none" w:sz="0" w:space="0" w:color="auto"/>
        <w:right w:val="none" w:sz="0" w:space="0" w:color="auto"/>
      </w:divBdr>
    </w:div>
    <w:div w:id="213490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6.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microsoft.com/office/2007/relationships/hdphoto" Target="media/hdphoto1.wdp"/><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hyperlink" Target="mailto:info@tga.gov.au" TargetMode="Externa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tga.gov.au/product-information-pi" TargetMode="External"/><Relationship Id="rId43" Type="http://schemas.openxmlformats.org/officeDocument/2006/relationships/header" Target="header8.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6BEA1-E262-4C19-9CF6-9BD1C434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76</Pages>
  <Words>31115</Words>
  <Characters>171135</Characters>
  <Application>Microsoft Office Word</Application>
  <DocSecurity>0</DocSecurity>
  <Lines>4889</Lines>
  <Paragraphs>3064</Paragraphs>
  <ScaleCrop>false</ScaleCrop>
  <HeadingPairs>
    <vt:vector size="2" baseType="variant">
      <vt:variant>
        <vt:lpstr>Title</vt:lpstr>
      </vt:variant>
      <vt:variant>
        <vt:i4>1</vt:i4>
      </vt:variant>
    </vt:vector>
  </HeadingPairs>
  <TitlesOfParts>
    <vt:vector size="1" baseType="lpstr">
      <vt:lpstr>Australian public assessment for Nitric oxide</vt:lpstr>
    </vt:vector>
  </TitlesOfParts>
  <Company>Department of Health Therapeutic Goods Administration</Company>
  <LinksUpToDate>false</LinksUpToDate>
  <CharactersWithSpaces>199186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Nitric oxide</dc:title>
  <dc:subject>prescription medicines</dc:subject>
  <dc:creator>Therapeutic Goods Administration</dc:creator>
  <cp:keywords/>
  <cp:lastPrinted>2019-10-17T04:29:00Z</cp:lastPrinted>
  <dcterms:created xsi:type="dcterms:W3CDTF">2019-12-23T05:00:00Z</dcterms:created>
  <dcterms:modified xsi:type="dcterms:W3CDTF">2019-12-23T05:12:00Z</dcterms:modified>
  <cp:category/>
</cp:coreProperties>
</file>