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76139FC7" w14:textId="77777777" w:rsidTr="00BF1190">
        <w:trPr>
          <w:trHeight w:val="1863"/>
        </w:trPr>
        <w:tc>
          <w:tcPr>
            <w:tcW w:w="3652" w:type="dxa"/>
            <w:tcBorders>
              <w:top w:val="nil"/>
              <w:left w:val="nil"/>
              <w:bottom w:val="nil"/>
              <w:right w:val="nil"/>
            </w:tcBorders>
          </w:tcPr>
          <w:p w14:paraId="4EED0633" w14:textId="68EC31CB" w:rsidR="008E7846" w:rsidRPr="00096AA7" w:rsidRDefault="00795348" w:rsidP="00096AA7">
            <w:pPr>
              <w:rPr>
                <w:rFonts w:ascii="Arial" w:hAnsi="Arial" w:cs="Arial"/>
                <w:b/>
                <w:color w:val="002C47"/>
                <w:sz w:val="36"/>
                <w:szCs w:val="36"/>
              </w:rPr>
            </w:pPr>
            <w:r>
              <w:rPr>
                <w:rFonts w:ascii="Arial" w:hAnsi="Arial" w:cs="Arial"/>
                <w:b/>
                <w:color w:val="002C47"/>
                <w:sz w:val="36"/>
                <w:szCs w:val="36"/>
              </w:rPr>
              <w:t>October</w:t>
            </w:r>
            <w:r w:rsidR="008E4F2D">
              <w:rPr>
                <w:rFonts w:ascii="Arial" w:hAnsi="Arial" w:cs="Arial"/>
                <w:b/>
                <w:color w:val="002C47"/>
                <w:sz w:val="36"/>
                <w:szCs w:val="36"/>
              </w:rPr>
              <w:t xml:space="preserve">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374CB33" w14:textId="77777777" w:rsidTr="00B238D2">
        <w:trPr>
          <w:trHeight w:val="1701"/>
        </w:trPr>
        <w:tc>
          <w:tcPr>
            <w:tcW w:w="9079" w:type="dxa"/>
          </w:tcPr>
          <w:p w14:paraId="69E5798B" w14:textId="14C6086A" w:rsidR="0032583B" w:rsidRPr="00A964D1" w:rsidRDefault="0032583B" w:rsidP="00A964D1">
            <w:pPr>
              <w:pStyle w:val="Title"/>
              <w:rPr>
                <w:color w:val="FFFFFF" w:themeColor="background1"/>
              </w:rPr>
            </w:pPr>
            <w:r w:rsidRPr="00A964D1">
              <w:rPr>
                <w:color w:val="FFFFFF" w:themeColor="background1"/>
              </w:rPr>
              <w:t xml:space="preserve">Australian </w:t>
            </w:r>
            <w:r w:rsidR="00B238D2">
              <w:rPr>
                <w:color w:val="FFFFFF" w:themeColor="background1"/>
              </w:rPr>
              <w:t xml:space="preserve">Public Assessment Report for </w:t>
            </w:r>
            <w:bookmarkStart w:id="0" w:name="_GoBack"/>
            <w:proofErr w:type="spellStart"/>
            <w:r w:rsidR="00B238D2">
              <w:rPr>
                <w:color w:val="FFFFFF" w:themeColor="background1"/>
              </w:rPr>
              <w:t>N</w:t>
            </w:r>
            <w:r w:rsidR="008E4F2D">
              <w:rPr>
                <w:color w:val="FFFFFF" w:themeColor="background1"/>
              </w:rPr>
              <w:t>ivolumab</w:t>
            </w:r>
            <w:bookmarkEnd w:id="0"/>
            <w:proofErr w:type="spellEnd"/>
          </w:p>
        </w:tc>
      </w:tr>
      <w:tr w:rsidR="0032583B" w:rsidRPr="00B64760" w14:paraId="7E7D573A" w14:textId="77777777" w:rsidTr="0032583B">
        <w:tc>
          <w:tcPr>
            <w:tcW w:w="9079" w:type="dxa"/>
          </w:tcPr>
          <w:p w14:paraId="52A4271D" w14:textId="77777777" w:rsidR="0032583B" w:rsidRPr="008E7846" w:rsidRDefault="0032583B" w:rsidP="008914EA">
            <w:pPr>
              <w:pStyle w:val="Subtitle"/>
              <w:ind w:left="0"/>
              <w:rPr>
                <w:color w:val="FFFFFF" w:themeColor="background1"/>
              </w:rPr>
            </w:pPr>
            <w:r w:rsidRPr="008E7846">
              <w:rPr>
                <w:color w:val="FFFFFF" w:themeColor="background1"/>
              </w:rPr>
              <w:t xml:space="preserve">Proprietary Product Name: </w:t>
            </w:r>
            <w:proofErr w:type="spellStart"/>
            <w:r w:rsidR="008E4F2D">
              <w:rPr>
                <w:color w:val="FFFFFF" w:themeColor="background1"/>
              </w:rPr>
              <w:t>Opdivo</w:t>
            </w:r>
            <w:proofErr w:type="spellEnd"/>
          </w:p>
        </w:tc>
      </w:tr>
      <w:tr w:rsidR="0032583B" w:rsidRPr="00B64760" w14:paraId="6C44D236" w14:textId="77777777" w:rsidTr="0032583B">
        <w:trPr>
          <w:trHeight w:val="486"/>
        </w:trPr>
        <w:tc>
          <w:tcPr>
            <w:tcW w:w="9079" w:type="dxa"/>
          </w:tcPr>
          <w:p w14:paraId="29884827" w14:textId="77777777" w:rsidR="0032583B" w:rsidRPr="008E7846" w:rsidRDefault="0032583B" w:rsidP="008914EA">
            <w:pPr>
              <w:pStyle w:val="Subtitle"/>
              <w:ind w:left="0"/>
              <w:rPr>
                <w:color w:val="FFFFFF" w:themeColor="background1"/>
              </w:rPr>
            </w:pPr>
            <w:r w:rsidRPr="008E7846">
              <w:rPr>
                <w:color w:val="FFFFFF" w:themeColor="background1"/>
              </w:rPr>
              <w:t xml:space="preserve">Sponsor: </w:t>
            </w:r>
            <w:r w:rsidR="004270A3" w:rsidRPr="004270A3">
              <w:rPr>
                <w:rFonts w:asciiTheme="minorHAnsi" w:eastAsia="MS Mincho" w:hAnsiTheme="minorHAnsi" w:cs="Calibri"/>
                <w:sz w:val="24"/>
                <w:lang w:eastAsia="ja-JP"/>
              </w:rPr>
              <w:t xml:space="preserve"> </w:t>
            </w:r>
            <w:r w:rsidR="004270A3" w:rsidRPr="004270A3">
              <w:rPr>
                <w:color w:val="FFFFFF" w:themeColor="background1"/>
              </w:rPr>
              <w:t>Bristol-Myers Squibb Australia Pty Ltd</w:t>
            </w:r>
          </w:p>
        </w:tc>
      </w:tr>
    </w:tbl>
    <w:p w14:paraId="27415DDA" w14:textId="77777777" w:rsidR="008E7846" w:rsidRPr="0085156D" w:rsidRDefault="008E7846" w:rsidP="0085156D">
      <w:r w:rsidRPr="0085156D">
        <w:br w:type="page"/>
      </w:r>
    </w:p>
    <w:p w14:paraId="11BA2DF8" w14:textId="77777777" w:rsidR="008E7846" w:rsidRPr="001F6CBA" w:rsidRDefault="008E7846" w:rsidP="008E7846">
      <w:pPr>
        <w:pStyle w:val="NonTOCHeading2"/>
      </w:pPr>
      <w:r w:rsidRPr="001F6CBA">
        <w:lastRenderedPageBreak/>
        <w:t>About the Therapeutic Goods Administration (TGA)</w:t>
      </w:r>
    </w:p>
    <w:p w14:paraId="2E82384B" w14:textId="77777777" w:rsidR="008E7846" w:rsidRDefault="008E7846" w:rsidP="000E4CD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4B66DBC" w14:textId="77777777" w:rsidR="008E7846" w:rsidRDefault="00C80137" w:rsidP="000E4CD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759CB2FD" w14:textId="77777777" w:rsidR="008E7846" w:rsidRDefault="008E7846" w:rsidP="000E4CD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178B911E" w14:textId="77777777" w:rsidR="008E7846" w:rsidRDefault="008E7846" w:rsidP="000E4CD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604AF374" w14:textId="77777777" w:rsidR="00441C3F" w:rsidRDefault="008E7846" w:rsidP="000E4CDF">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366A94E3" w14:textId="77777777" w:rsidR="008E7846" w:rsidRDefault="008E7846" w:rsidP="00875A6B">
      <w:pPr>
        <w:pStyle w:val="NonTOCHeading2"/>
      </w:pPr>
      <w:r>
        <w:t xml:space="preserve">About </w:t>
      </w:r>
      <w:proofErr w:type="spellStart"/>
      <w:r>
        <w:t>AusPARs</w:t>
      </w:r>
      <w:proofErr w:type="spellEnd"/>
    </w:p>
    <w:p w14:paraId="31DEA9F3" w14:textId="77777777" w:rsidR="008E7846" w:rsidRDefault="008E7846" w:rsidP="000E4CDF">
      <w:pPr>
        <w:pStyle w:val="ListBullet"/>
        <w:numPr>
          <w:ilvl w:val="0"/>
          <w:numId w:val="1"/>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462A8ED1" w14:textId="77777777" w:rsidR="008E7846" w:rsidRDefault="008E7846" w:rsidP="000E4CDF">
      <w:pPr>
        <w:pStyle w:val="ListBullet"/>
        <w:numPr>
          <w:ilvl w:val="0"/>
          <w:numId w:val="1"/>
        </w:numPr>
        <w:ind w:left="357" w:hanging="357"/>
      </w:pPr>
      <w:proofErr w:type="spellStart"/>
      <w:r>
        <w:t>AusPARs</w:t>
      </w:r>
      <w:proofErr w:type="spellEnd"/>
      <w:r>
        <w:t xml:space="preserve"> are prepared and published by the TGA.</w:t>
      </w:r>
    </w:p>
    <w:p w14:paraId="69B5C2F6" w14:textId="77777777" w:rsidR="008E7846" w:rsidRDefault="008E7846" w:rsidP="000E4CDF">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14:paraId="7D054BCD" w14:textId="77777777" w:rsidR="008E7846" w:rsidRDefault="008E7846" w:rsidP="000E4CDF">
      <w:pPr>
        <w:pStyle w:val="ListBullet"/>
        <w:numPr>
          <w:ilvl w:val="0"/>
          <w:numId w:val="1"/>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4F3A0204" w14:textId="77777777" w:rsidR="00B452CE" w:rsidRDefault="008E7846" w:rsidP="000E4CDF">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7F6C27BE" w14:textId="77777777" w:rsidR="00924482" w:rsidRPr="00DF1D7F" w:rsidRDefault="00924482" w:rsidP="00F54B65">
      <w:pPr>
        <w:pStyle w:val="LegalSubheading"/>
        <w:spacing w:before="3120"/>
      </w:pPr>
      <w:r w:rsidRPr="00DF1D7F">
        <w:t>Copyright</w:t>
      </w:r>
    </w:p>
    <w:p w14:paraId="733DB17C" w14:textId="77777777" w:rsidR="00924482" w:rsidRDefault="00924482" w:rsidP="00924482">
      <w:pPr>
        <w:pStyle w:val="LegalCopy"/>
      </w:pPr>
      <w:r w:rsidRPr="00191B3B">
        <w:rPr>
          <w:rFonts w:cs="Arial"/>
          <w:lang w:val="en-GB"/>
        </w:rPr>
        <w:t>© Comm</w:t>
      </w:r>
      <w:r>
        <w:rPr>
          <w:rFonts w:cs="Arial"/>
          <w:lang w:val="en-GB"/>
        </w:rPr>
        <w:t>onwealth of Australia 201</w:t>
      </w:r>
      <w:r w:rsidR="00EF59DC">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20CEDFDB"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B6E8723" w14:textId="77777777" w:rsidR="0089635C" w:rsidRPr="0089635C" w:rsidRDefault="0089635C" w:rsidP="0010788A">
          <w:pPr>
            <w:pStyle w:val="Contents"/>
          </w:pPr>
          <w:r w:rsidRPr="0010788A">
            <w:t>Contents</w:t>
          </w:r>
        </w:p>
        <w:p w14:paraId="67312ADE" w14:textId="77777777" w:rsidR="00636B6C" w:rsidRDefault="00DB6124">
          <w:pPr>
            <w:pStyle w:val="TOC2"/>
            <w:rPr>
              <w:rFonts w:asciiTheme="minorHAnsi" w:eastAsiaTheme="minorEastAsia" w:hAnsiTheme="minorHAnsi" w:cstheme="minorBidi"/>
              <w:b w:val="0"/>
              <w:noProof/>
              <w:sz w:val="24"/>
              <w:szCs w:val="24"/>
              <w:lang w:val="en-GB" w:eastAsia="en-GB"/>
            </w:rPr>
          </w:pPr>
          <w:r>
            <w:fldChar w:fldCharType="begin"/>
          </w:r>
          <w:r w:rsidR="0089635C">
            <w:instrText xml:space="preserve"> TOC \o "1-3" \h \z \u </w:instrText>
          </w:r>
          <w:r>
            <w:fldChar w:fldCharType="separate"/>
          </w:r>
          <w:hyperlink w:anchor="_Toc489277861" w:history="1">
            <w:r w:rsidR="00636B6C" w:rsidRPr="00C71BA4">
              <w:rPr>
                <w:rStyle w:val="Hyperlink"/>
                <w:noProof/>
              </w:rPr>
              <w:t>Common abbreviations</w:t>
            </w:r>
            <w:r w:rsidR="00636B6C">
              <w:rPr>
                <w:noProof/>
                <w:webHidden/>
              </w:rPr>
              <w:tab/>
            </w:r>
            <w:r w:rsidR="00636B6C">
              <w:rPr>
                <w:noProof/>
                <w:webHidden/>
              </w:rPr>
              <w:fldChar w:fldCharType="begin"/>
            </w:r>
            <w:r w:rsidR="00636B6C">
              <w:rPr>
                <w:noProof/>
                <w:webHidden/>
              </w:rPr>
              <w:instrText xml:space="preserve"> PAGEREF _Toc489277861 \h </w:instrText>
            </w:r>
            <w:r w:rsidR="00636B6C">
              <w:rPr>
                <w:noProof/>
                <w:webHidden/>
              </w:rPr>
            </w:r>
            <w:r w:rsidR="00636B6C">
              <w:rPr>
                <w:noProof/>
                <w:webHidden/>
              </w:rPr>
              <w:fldChar w:fldCharType="separate"/>
            </w:r>
            <w:r w:rsidR="00636B6C">
              <w:rPr>
                <w:noProof/>
                <w:webHidden/>
              </w:rPr>
              <w:t>4</w:t>
            </w:r>
            <w:r w:rsidR="00636B6C">
              <w:rPr>
                <w:noProof/>
                <w:webHidden/>
              </w:rPr>
              <w:fldChar w:fldCharType="end"/>
            </w:r>
          </w:hyperlink>
        </w:p>
        <w:p w14:paraId="644661D6" w14:textId="77777777" w:rsidR="00636B6C" w:rsidRDefault="00EF69B9">
          <w:pPr>
            <w:pStyle w:val="TOC2"/>
            <w:rPr>
              <w:rFonts w:asciiTheme="minorHAnsi" w:eastAsiaTheme="minorEastAsia" w:hAnsiTheme="minorHAnsi" w:cstheme="minorBidi"/>
              <w:b w:val="0"/>
              <w:noProof/>
              <w:sz w:val="24"/>
              <w:szCs w:val="24"/>
              <w:lang w:val="en-GB" w:eastAsia="en-GB"/>
            </w:rPr>
          </w:pPr>
          <w:hyperlink w:anchor="_Toc489277862" w:history="1">
            <w:r w:rsidR="00636B6C" w:rsidRPr="00C71BA4">
              <w:rPr>
                <w:rStyle w:val="Hyperlink"/>
                <w:noProof/>
              </w:rPr>
              <w:t>I. Introduction to product submission</w:t>
            </w:r>
            <w:r w:rsidR="00636B6C">
              <w:rPr>
                <w:noProof/>
                <w:webHidden/>
              </w:rPr>
              <w:tab/>
            </w:r>
            <w:r w:rsidR="00636B6C">
              <w:rPr>
                <w:noProof/>
                <w:webHidden/>
              </w:rPr>
              <w:fldChar w:fldCharType="begin"/>
            </w:r>
            <w:r w:rsidR="00636B6C">
              <w:rPr>
                <w:noProof/>
                <w:webHidden/>
              </w:rPr>
              <w:instrText xml:space="preserve"> PAGEREF _Toc489277862 \h </w:instrText>
            </w:r>
            <w:r w:rsidR="00636B6C">
              <w:rPr>
                <w:noProof/>
                <w:webHidden/>
              </w:rPr>
            </w:r>
            <w:r w:rsidR="00636B6C">
              <w:rPr>
                <w:noProof/>
                <w:webHidden/>
              </w:rPr>
              <w:fldChar w:fldCharType="separate"/>
            </w:r>
            <w:r w:rsidR="00636B6C">
              <w:rPr>
                <w:noProof/>
                <w:webHidden/>
              </w:rPr>
              <w:t>8</w:t>
            </w:r>
            <w:r w:rsidR="00636B6C">
              <w:rPr>
                <w:noProof/>
                <w:webHidden/>
              </w:rPr>
              <w:fldChar w:fldCharType="end"/>
            </w:r>
          </w:hyperlink>
        </w:p>
        <w:p w14:paraId="7B242AC0" w14:textId="77777777" w:rsidR="00636B6C" w:rsidRDefault="00EF69B9">
          <w:pPr>
            <w:pStyle w:val="TOC3"/>
            <w:rPr>
              <w:rFonts w:asciiTheme="minorHAnsi" w:eastAsiaTheme="minorEastAsia" w:hAnsiTheme="minorHAnsi" w:cstheme="minorBidi"/>
              <w:noProof/>
              <w:sz w:val="24"/>
              <w:szCs w:val="24"/>
              <w:lang w:val="en-GB" w:eastAsia="en-GB"/>
            </w:rPr>
          </w:pPr>
          <w:hyperlink w:anchor="_Toc489277863" w:history="1">
            <w:r w:rsidR="00636B6C" w:rsidRPr="00C71BA4">
              <w:rPr>
                <w:rStyle w:val="Hyperlink"/>
                <w:noProof/>
                <w:lang w:eastAsia="en-AU"/>
              </w:rPr>
              <w:t>Submission details</w:t>
            </w:r>
            <w:r w:rsidR="00636B6C">
              <w:rPr>
                <w:noProof/>
                <w:webHidden/>
              </w:rPr>
              <w:tab/>
            </w:r>
            <w:r w:rsidR="00636B6C">
              <w:rPr>
                <w:noProof/>
                <w:webHidden/>
              </w:rPr>
              <w:fldChar w:fldCharType="begin"/>
            </w:r>
            <w:r w:rsidR="00636B6C">
              <w:rPr>
                <w:noProof/>
                <w:webHidden/>
              </w:rPr>
              <w:instrText xml:space="preserve"> PAGEREF _Toc489277863 \h </w:instrText>
            </w:r>
            <w:r w:rsidR="00636B6C">
              <w:rPr>
                <w:noProof/>
                <w:webHidden/>
              </w:rPr>
            </w:r>
            <w:r w:rsidR="00636B6C">
              <w:rPr>
                <w:noProof/>
                <w:webHidden/>
              </w:rPr>
              <w:fldChar w:fldCharType="separate"/>
            </w:r>
            <w:r w:rsidR="00636B6C">
              <w:rPr>
                <w:noProof/>
                <w:webHidden/>
              </w:rPr>
              <w:t>8</w:t>
            </w:r>
            <w:r w:rsidR="00636B6C">
              <w:rPr>
                <w:noProof/>
                <w:webHidden/>
              </w:rPr>
              <w:fldChar w:fldCharType="end"/>
            </w:r>
          </w:hyperlink>
        </w:p>
        <w:p w14:paraId="35890A0D" w14:textId="77777777" w:rsidR="00636B6C" w:rsidRDefault="00EF69B9">
          <w:pPr>
            <w:pStyle w:val="TOC3"/>
            <w:rPr>
              <w:rFonts w:asciiTheme="minorHAnsi" w:eastAsiaTheme="minorEastAsia" w:hAnsiTheme="minorHAnsi" w:cstheme="minorBidi"/>
              <w:noProof/>
              <w:sz w:val="24"/>
              <w:szCs w:val="24"/>
              <w:lang w:val="en-GB" w:eastAsia="en-GB"/>
            </w:rPr>
          </w:pPr>
          <w:hyperlink w:anchor="_Toc489277864" w:history="1">
            <w:r w:rsidR="00636B6C" w:rsidRPr="00C71BA4">
              <w:rPr>
                <w:rStyle w:val="Hyperlink"/>
                <w:noProof/>
              </w:rPr>
              <w:t>Product background</w:t>
            </w:r>
            <w:r w:rsidR="00636B6C">
              <w:rPr>
                <w:noProof/>
                <w:webHidden/>
              </w:rPr>
              <w:tab/>
            </w:r>
            <w:r w:rsidR="00636B6C">
              <w:rPr>
                <w:noProof/>
                <w:webHidden/>
              </w:rPr>
              <w:fldChar w:fldCharType="begin"/>
            </w:r>
            <w:r w:rsidR="00636B6C">
              <w:rPr>
                <w:noProof/>
                <w:webHidden/>
              </w:rPr>
              <w:instrText xml:space="preserve"> PAGEREF _Toc489277864 \h </w:instrText>
            </w:r>
            <w:r w:rsidR="00636B6C">
              <w:rPr>
                <w:noProof/>
                <w:webHidden/>
              </w:rPr>
            </w:r>
            <w:r w:rsidR="00636B6C">
              <w:rPr>
                <w:noProof/>
                <w:webHidden/>
              </w:rPr>
              <w:fldChar w:fldCharType="separate"/>
            </w:r>
            <w:r w:rsidR="00636B6C">
              <w:rPr>
                <w:noProof/>
                <w:webHidden/>
              </w:rPr>
              <w:t>8</w:t>
            </w:r>
            <w:r w:rsidR="00636B6C">
              <w:rPr>
                <w:noProof/>
                <w:webHidden/>
              </w:rPr>
              <w:fldChar w:fldCharType="end"/>
            </w:r>
          </w:hyperlink>
        </w:p>
        <w:p w14:paraId="655369C4" w14:textId="77777777" w:rsidR="00636B6C" w:rsidRDefault="00EF69B9">
          <w:pPr>
            <w:pStyle w:val="TOC3"/>
            <w:rPr>
              <w:rFonts w:asciiTheme="minorHAnsi" w:eastAsiaTheme="minorEastAsia" w:hAnsiTheme="minorHAnsi" w:cstheme="minorBidi"/>
              <w:noProof/>
              <w:sz w:val="24"/>
              <w:szCs w:val="24"/>
              <w:lang w:val="en-GB" w:eastAsia="en-GB"/>
            </w:rPr>
          </w:pPr>
          <w:hyperlink w:anchor="_Toc489277865" w:history="1">
            <w:r w:rsidR="00636B6C" w:rsidRPr="00C71BA4">
              <w:rPr>
                <w:rStyle w:val="Hyperlink"/>
                <w:noProof/>
              </w:rPr>
              <w:t>Regulatory status</w:t>
            </w:r>
            <w:r w:rsidR="00636B6C">
              <w:rPr>
                <w:noProof/>
                <w:webHidden/>
              </w:rPr>
              <w:tab/>
            </w:r>
            <w:r w:rsidR="00636B6C">
              <w:rPr>
                <w:noProof/>
                <w:webHidden/>
              </w:rPr>
              <w:fldChar w:fldCharType="begin"/>
            </w:r>
            <w:r w:rsidR="00636B6C">
              <w:rPr>
                <w:noProof/>
                <w:webHidden/>
              </w:rPr>
              <w:instrText xml:space="preserve"> PAGEREF _Toc489277865 \h </w:instrText>
            </w:r>
            <w:r w:rsidR="00636B6C">
              <w:rPr>
                <w:noProof/>
                <w:webHidden/>
              </w:rPr>
            </w:r>
            <w:r w:rsidR="00636B6C">
              <w:rPr>
                <w:noProof/>
                <w:webHidden/>
              </w:rPr>
              <w:fldChar w:fldCharType="separate"/>
            </w:r>
            <w:r w:rsidR="00636B6C">
              <w:rPr>
                <w:noProof/>
                <w:webHidden/>
              </w:rPr>
              <w:t>14</w:t>
            </w:r>
            <w:r w:rsidR="00636B6C">
              <w:rPr>
                <w:noProof/>
                <w:webHidden/>
              </w:rPr>
              <w:fldChar w:fldCharType="end"/>
            </w:r>
          </w:hyperlink>
        </w:p>
        <w:p w14:paraId="4C0D6443" w14:textId="77777777" w:rsidR="00636B6C" w:rsidRDefault="00EF69B9">
          <w:pPr>
            <w:pStyle w:val="TOC3"/>
            <w:rPr>
              <w:rFonts w:asciiTheme="minorHAnsi" w:eastAsiaTheme="minorEastAsia" w:hAnsiTheme="minorHAnsi" w:cstheme="minorBidi"/>
              <w:noProof/>
              <w:sz w:val="24"/>
              <w:szCs w:val="24"/>
              <w:lang w:val="en-GB" w:eastAsia="en-GB"/>
            </w:rPr>
          </w:pPr>
          <w:hyperlink w:anchor="_Toc489277866" w:history="1">
            <w:r w:rsidR="00636B6C" w:rsidRPr="00C71BA4">
              <w:rPr>
                <w:rStyle w:val="Hyperlink"/>
                <w:noProof/>
              </w:rPr>
              <w:t>Product Information</w:t>
            </w:r>
            <w:r w:rsidR="00636B6C">
              <w:rPr>
                <w:noProof/>
                <w:webHidden/>
              </w:rPr>
              <w:tab/>
            </w:r>
            <w:r w:rsidR="00636B6C">
              <w:rPr>
                <w:noProof/>
                <w:webHidden/>
              </w:rPr>
              <w:fldChar w:fldCharType="begin"/>
            </w:r>
            <w:r w:rsidR="00636B6C">
              <w:rPr>
                <w:noProof/>
                <w:webHidden/>
              </w:rPr>
              <w:instrText xml:space="preserve"> PAGEREF _Toc489277866 \h </w:instrText>
            </w:r>
            <w:r w:rsidR="00636B6C">
              <w:rPr>
                <w:noProof/>
                <w:webHidden/>
              </w:rPr>
            </w:r>
            <w:r w:rsidR="00636B6C">
              <w:rPr>
                <w:noProof/>
                <w:webHidden/>
              </w:rPr>
              <w:fldChar w:fldCharType="separate"/>
            </w:r>
            <w:r w:rsidR="00636B6C">
              <w:rPr>
                <w:noProof/>
                <w:webHidden/>
              </w:rPr>
              <w:t>14</w:t>
            </w:r>
            <w:r w:rsidR="00636B6C">
              <w:rPr>
                <w:noProof/>
                <w:webHidden/>
              </w:rPr>
              <w:fldChar w:fldCharType="end"/>
            </w:r>
          </w:hyperlink>
        </w:p>
        <w:p w14:paraId="38CC32EF" w14:textId="77777777" w:rsidR="00636B6C" w:rsidRDefault="00EF69B9">
          <w:pPr>
            <w:pStyle w:val="TOC2"/>
            <w:rPr>
              <w:rFonts w:asciiTheme="minorHAnsi" w:eastAsiaTheme="minorEastAsia" w:hAnsiTheme="minorHAnsi" w:cstheme="minorBidi"/>
              <w:b w:val="0"/>
              <w:noProof/>
              <w:sz w:val="24"/>
              <w:szCs w:val="24"/>
              <w:lang w:val="en-GB" w:eastAsia="en-GB"/>
            </w:rPr>
          </w:pPr>
          <w:hyperlink w:anchor="_Toc489277867" w:history="1">
            <w:r w:rsidR="00636B6C" w:rsidRPr="00C71BA4">
              <w:rPr>
                <w:rStyle w:val="Hyperlink"/>
                <w:noProof/>
              </w:rPr>
              <w:t>II. Quality findings</w:t>
            </w:r>
            <w:r w:rsidR="00636B6C">
              <w:rPr>
                <w:noProof/>
                <w:webHidden/>
              </w:rPr>
              <w:tab/>
            </w:r>
            <w:r w:rsidR="00636B6C">
              <w:rPr>
                <w:noProof/>
                <w:webHidden/>
              </w:rPr>
              <w:fldChar w:fldCharType="begin"/>
            </w:r>
            <w:r w:rsidR="00636B6C">
              <w:rPr>
                <w:noProof/>
                <w:webHidden/>
              </w:rPr>
              <w:instrText xml:space="preserve"> PAGEREF _Toc489277867 \h </w:instrText>
            </w:r>
            <w:r w:rsidR="00636B6C">
              <w:rPr>
                <w:noProof/>
                <w:webHidden/>
              </w:rPr>
            </w:r>
            <w:r w:rsidR="00636B6C">
              <w:rPr>
                <w:noProof/>
                <w:webHidden/>
              </w:rPr>
              <w:fldChar w:fldCharType="separate"/>
            </w:r>
            <w:r w:rsidR="00636B6C">
              <w:rPr>
                <w:noProof/>
                <w:webHidden/>
              </w:rPr>
              <w:t>14</w:t>
            </w:r>
            <w:r w:rsidR="00636B6C">
              <w:rPr>
                <w:noProof/>
                <w:webHidden/>
              </w:rPr>
              <w:fldChar w:fldCharType="end"/>
            </w:r>
          </w:hyperlink>
        </w:p>
        <w:p w14:paraId="0CCAD770" w14:textId="77777777" w:rsidR="00636B6C" w:rsidRDefault="00EF69B9">
          <w:pPr>
            <w:pStyle w:val="TOC2"/>
            <w:rPr>
              <w:rFonts w:asciiTheme="minorHAnsi" w:eastAsiaTheme="minorEastAsia" w:hAnsiTheme="minorHAnsi" w:cstheme="minorBidi"/>
              <w:b w:val="0"/>
              <w:noProof/>
              <w:sz w:val="24"/>
              <w:szCs w:val="24"/>
              <w:lang w:val="en-GB" w:eastAsia="en-GB"/>
            </w:rPr>
          </w:pPr>
          <w:hyperlink w:anchor="_Toc489277868" w:history="1">
            <w:r w:rsidR="00636B6C" w:rsidRPr="00C71BA4">
              <w:rPr>
                <w:rStyle w:val="Hyperlink"/>
                <w:noProof/>
              </w:rPr>
              <w:t>III. Nonclinical findings</w:t>
            </w:r>
            <w:r w:rsidR="00636B6C">
              <w:rPr>
                <w:noProof/>
                <w:webHidden/>
              </w:rPr>
              <w:tab/>
            </w:r>
            <w:r w:rsidR="00636B6C">
              <w:rPr>
                <w:noProof/>
                <w:webHidden/>
              </w:rPr>
              <w:fldChar w:fldCharType="begin"/>
            </w:r>
            <w:r w:rsidR="00636B6C">
              <w:rPr>
                <w:noProof/>
                <w:webHidden/>
              </w:rPr>
              <w:instrText xml:space="preserve"> PAGEREF _Toc489277868 \h </w:instrText>
            </w:r>
            <w:r w:rsidR="00636B6C">
              <w:rPr>
                <w:noProof/>
                <w:webHidden/>
              </w:rPr>
            </w:r>
            <w:r w:rsidR="00636B6C">
              <w:rPr>
                <w:noProof/>
                <w:webHidden/>
              </w:rPr>
              <w:fldChar w:fldCharType="separate"/>
            </w:r>
            <w:r w:rsidR="00636B6C">
              <w:rPr>
                <w:noProof/>
                <w:webHidden/>
              </w:rPr>
              <w:t>14</w:t>
            </w:r>
            <w:r w:rsidR="00636B6C">
              <w:rPr>
                <w:noProof/>
                <w:webHidden/>
              </w:rPr>
              <w:fldChar w:fldCharType="end"/>
            </w:r>
          </w:hyperlink>
        </w:p>
        <w:p w14:paraId="5CB7AAA5" w14:textId="77777777" w:rsidR="00636B6C" w:rsidRDefault="00EF69B9">
          <w:pPr>
            <w:pStyle w:val="TOC2"/>
            <w:rPr>
              <w:rFonts w:asciiTheme="minorHAnsi" w:eastAsiaTheme="minorEastAsia" w:hAnsiTheme="minorHAnsi" w:cstheme="minorBidi"/>
              <w:b w:val="0"/>
              <w:noProof/>
              <w:sz w:val="24"/>
              <w:szCs w:val="24"/>
              <w:lang w:val="en-GB" w:eastAsia="en-GB"/>
            </w:rPr>
          </w:pPr>
          <w:hyperlink w:anchor="_Toc489277869" w:history="1">
            <w:r w:rsidR="00636B6C" w:rsidRPr="00C71BA4">
              <w:rPr>
                <w:rStyle w:val="Hyperlink"/>
                <w:noProof/>
              </w:rPr>
              <w:t>IV. Clinical findings</w:t>
            </w:r>
            <w:r w:rsidR="00636B6C">
              <w:rPr>
                <w:noProof/>
                <w:webHidden/>
              </w:rPr>
              <w:tab/>
            </w:r>
            <w:r w:rsidR="00636B6C">
              <w:rPr>
                <w:noProof/>
                <w:webHidden/>
              </w:rPr>
              <w:fldChar w:fldCharType="begin"/>
            </w:r>
            <w:r w:rsidR="00636B6C">
              <w:rPr>
                <w:noProof/>
                <w:webHidden/>
              </w:rPr>
              <w:instrText xml:space="preserve"> PAGEREF _Toc489277869 \h </w:instrText>
            </w:r>
            <w:r w:rsidR="00636B6C">
              <w:rPr>
                <w:noProof/>
                <w:webHidden/>
              </w:rPr>
            </w:r>
            <w:r w:rsidR="00636B6C">
              <w:rPr>
                <w:noProof/>
                <w:webHidden/>
              </w:rPr>
              <w:fldChar w:fldCharType="separate"/>
            </w:r>
            <w:r w:rsidR="00636B6C">
              <w:rPr>
                <w:noProof/>
                <w:webHidden/>
              </w:rPr>
              <w:t>14</w:t>
            </w:r>
            <w:r w:rsidR="00636B6C">
              <w:rPr>
                <w:noProof/>
                <w:webHidden/>
              </w:rPr>
              <w:fldChar w:fldCharType="end"/>
            </w:r>
          </w:hyperlink>
        </w:p>
        <w:p w14:paraId="0D1A564F" w14:textId="77777777" w:rsidR="00636B6C" w:rsidRDefault="00EF69B9">
          <w:pPr>
            <w:pStyle w:val="TOC3"/>
            <w:rPr>
              <w:rFonts w:asciiTheme="minorHAnsi" w:eastAsiaTheme="minorEastAsia" w:hAnsiTheme="minorHAnsi" w:cstheme="minorBidi"/>
              <w:noProof/>
              <w:sz w:val="24"/>
              <w:szCs w:val="24"/>
              <w:lang w:val="en-GB" w:eastAsia="en-GB"/>
            </w:rPr>
          </w:pPr>
          <w:hyperlink w:anchor="_Toc489277870" w:history="1">
            <w:r w:rsidR="00636B6C" w:rsidRPr="00C71BA4">
              <w:rPr>
                <w:rStyle w:val="Hyperlink"/>
                <w:noProof/>
              </w:rPr>
              <w:t>Introduction</w:t>
            </w:r>
            <w:r w:rsidR="00636B6C">
              <w:rPr>
                <w:noProof/>
                <w:webHidden/>
              </w:rPr>
              <w:tab/>
            </w:r>
            <w:r w:rsidR="00636B6C">
              <w:rPr>
                <w:noProof/>
                <w:webHidden/>
              </w:rPr>
              <w:fldChar w:fldCharType="begin"/>
            </w:r>
            <w:r w:rsidR="00636B6C">
              <w:rPr>
                <w:noProof/>
                <w:webHidden/>
              </w:rPr>
              <w:instrText xml:space="preserve"> PAGEREF _Toc489277870 \h </w:instrText>
            </w:r>
            <w:r w:rsidR="00636B6C">
              <w:rPr>
                <w:noProof/>
                <w:webHidden/>
              </w:rPr>
            </w:r>
            <w:r w:rsidR="00636B6C">
              <w:rPr>
                <w:noProof/>
                <w:webHidden/>
              </w:rPr>
              <w:fldChar w:fldCharType="separate"/>
            </w:r>
            <w:r w:rsidR="00636B6C">
              <w:rPr>
                <w:noProof/>
                <w:webHidden/>
              </w:rPr>
              <w:t>14</w:t>
            </w:r>
            <w:r w:rsidR="00636B6C">
              <w:rPr>
                <w:noProof/>
                <w:webHidden/>
              </w:rPr>
              <w:fldChar w:fldCharType="end"/>
            </w:r>
          </w:hyperlink>
        </w:p>
        <w:p w14:paraId="466DCA6C" w14:textId="77777777" w:rsidR="00636B6C" w:rsidRDefault="00EF69B9">
          <w:pPr>
            <w:pStyle w:val="TOC3"/>
            <w:rPr>
              <w:rFonts w:asciiTheme="minorHAnsi" w:eastAsiaTheme="minorEastAsia" w:hAnsiTheme="minorHAnsi" w:cstheme="minorBidi"/>
              <w:noProof/>
              <w:sz w:val="24"/>
              <w:szCs w:val="24"/>
              <w:lang w:val="en-GB" w:eastAsia="en-GB"/>
            </w:rPr>
          </w:pPr>
          <w:hyperlink w:anchor="_Toc489277871" w:history="1">
            <w:r w:rsidR="00636B6C" w:rsidRPr="00C71BA4">
              <w:rPr>
                <w:rStyle w:val="Hyperlink"/>
                <w:noProof/>
              </w:rPr>
              <w:t>Pharmacokinetics</w:t>
            </w:r>
            <w:r w:rsidR="00636B6C">
              <w:rPr>
                <w:noProof/>
                <w:webHidden/>
              </w:rPr>
              <w:tab/>
            </w:r>
            <w:r w:rsidR="00636B6C">
              <w:rPr>
                <w:noProof/>
                <w:webHidden/>
              </w:rPr>
              <w:fldChar w:fldCharType="begin"/>
            </w:r>
            <w:r w:rsidR="00636B6C">
              <w:rPr>
                <w:noProof/>
                <w:webHidden/>
              </w:rPr>
              <w:instrText xml:space="preserve"> PAGEREF _Toc489277871 \h </w:instrText>
            </w:r>
            <w:r w:rsidR="00636B6C">
              <w:rPr>
                <w:noProof/>
                <w:webHidden/>
              </w:rPr>
            </w:r>
            <w:r w:rsidR="00636B6C">
              <w:rPr>
                <w:noProof/>
                <w:webHidden/>
              </w:rPr>
              <w:fldChar w:fldCharType="separate"/>
            </w:r>
            <w:r w:rsidR="00636B6C">
              <w:rPr>
                <w:noProof/>
                <w:webHidden/>
              </w:rPr>
              <w:t>17</w:t>
            </w:r>
            <w:r w:rsidR="00636B6C">
              <w:rPr>
                <w:noProof/>
                <w:webHidden/>
              </w:rPr>
              <w:fldChar w:fldCharType="end"/>
            </w:r>
          </w:hyperlink>
        </w:p>
        <w:p w14:paraId="7CFB7423" w14:textId="77777777" w:rsidR="00636B6C" w:rsidRDefault="00EF69B9">
          <w:pPr>
            <w:pStyle w:val="TOC3"/>
            <w:rPr>
              <w:rFonts w:asciiTheme="minorHAnsi" w:eastAsiaTheme="minorEastAsia" w:hAnsiTheme="minorHAnsi" w:cstheme="minorBidi"/>
              <w:noProof/>
              <w:sz w:val="24"/>
              <w:szCs w:val="24"/>
              <w:lang w:val="en-GB" w:eastAsia="en-GB"/>
            </w:rPr>
          </w:pPr>
          <w:hyperlink w:anchor="_Toc489277872" w:history="1">
            <w:r w:rsidR="00636B6C" w:rsidRPr="00C71BA4">
              <w:rPr>
                <w:rStyle w:val="Hyperlink"/>
                <w:noProof/>
              </w:rPr>
              <w:t>Pharmacodynamics</w:t>
            </w:r>
            <w:r w:rsidR="00636B6C">
              <w:rPr>
                <w:noProof/>
                <w:webHidden/>
              </w:rPr>
              <w:tab/>
            </w:r>
            <w:r w:rsidR="00636B6C">
              <w:rPr>
                <w:noProof/>
                <w:webHidden/>
              </w:rPr>
              <w:fldChar w:fldCharType="begin"/>
            </w:r>
            <w:r w:rsidR="00636B6C">
              <w:rPr>
                <w:noProof/>
                <w:webHidden/>
              </w:rPr>
              <w:instrText xml:space="preserve"> PAGEREF _Toc489277872 \h </w:instrText>
            </w:r>
            <w:r w:rsidR="00636B6C">
              <w:rPr>
                <w:noProof/>
                <w:webHidden/>
              </w:rPr>
            </w:r>
            <w:r w:rsidR="00636B6C">
              <w:rPr>
                <w:noProof/>
                <w:webHidden/>
              </w:rPr>
              <w:fldChar w:fldCharType="separate"/>
            </w:r>
            <w:r w:rsidR="00636B6C">
              <w:rPr>
                <w:noProof/>
                <w:webHidden/>
              </w:rPr>
              <w:t>18</w:t>
            </w:r>
            <w:r w:rsidR="00636B6C">
              <w:rPr>
                <w:noProof/>
                <w:webHidden/>
              </w:rPr>
              <w:fldChar w:fldCharType="end"/>
            </w:r>
          </w:hyperlink>
        </w:p>
        <w:p w14:paraId="55A359ED" w14:textId="77777777" w:rsidR="00636B6C" w:rsidRDefault="00EF69B9">
          <w:pPr>
            <w:pStyle w:val="TOC3"/>
            <w:rPr>
              <w:rFonts w:asciiTheme="minorHAnsi" w:eastAsiaTheme="minorEastAsia" w:hAnsiTheme="minorHAnsi" w:cstheme="minorBidi"/>
              <w:noProof/>
              <w:sz w:val="24"/>
              <w:szCs w:val="24"/>
              <w:lang w:val="en-GB" w:eastAsia="en-GB"/>
            </w:rPr>
          </w:pPr>
          <w:hyperlink w:anchor="_Toc489277873" w:history="1">
            <w:r w:rsidR="00636B6C" w:rsidRPr="00C71BA4">
              <w:rPr>
                <w:rStyle w:val="Hyperlink"/>
                <w:noProof/>
              </w:rPr>
              <w:t>Dosage selection for the pivotal studies</w:t>
            </w:r>
            <w:r w:rsidR="00636B6C">
              <w:rPr>
                <w:noProof/>
                <w:webHidden/>
              </w:rPr>
              <w:tab/>
            </w:r>
            <w:r w:rsidR="00636B6C">
              <w:rPr>
                <w:noProof/>
                <w:webHidden/>
              </w:rPr>
              <w:fldChar w:fldCharType="begin"/>
            </w:r>
            <w:r w:rsidR="00636B6C">
              <w:rPr>
                <w:noProof/>
                <w:webHidden/>
              </w:rPr>
              <w:instrText xml:space="preserve"> PAGEREF _Toc489277873 \h </w:instrText>
            </w:r>
            <w:r w:rsidR="00636B6C">
              <w:rPr>
                <w:noProof/>
                <w:webHidden/>
              </w:rPr>
            </w:r>
            <w:r w:rsidR="00636B6C">
              <w:rPr>
                <w:noProof/>
                <w:webHidden/>
              </w:rPr>
              <w:fldChar w:fldCharType="separate"/>
            </w:r>
            <w:r w:rsidR="00636B6C">
              <w:rPr>
                <w:noProof/>
                <w:webHidden/>
              </w:rPr>
              <w:t>21</w:t>
            </w:r>
            <w:r w:rsidR="00636B6C">
              <w:rPr>
                <w:noProof/>
                <w:webHidden/>
              </w:rPr>
              <w:fldChar w:fldCharType="end"/>
            </w:r>
          </w:hyperlink>
        </w:p>
        <w:p w14:paraId="76BDB2A2" w14:textId="77777777" w:rsidR="00636B6C" w:rsidRDefault="00EF69B9">
          <w:pPr>
            <w:pStyle w:val="TOC3"/>
            <w:rPr>
              <w:rFonts w:asciiTheme="minorHAnsi" w:eastAsiaTheme="minorEastAsia" w:hAnsiTheme="minorHAnsi" w:cstheme="minorBidi"/>
              <w:noProof/>
              <w:sz w:val="24"/>
              <w:szCs w:val="24"/>
              <w:lang w:val="en-GB" w:eastAsia="en-GB"/>
            </w:rPr>
          </w:pPr>
          <w:hyperlink w:anchor="_Toc489277874" w:history="1">
            <w:r w:rsidR="00636B6C" w:rsidRPr="00C71BA4">
              <w:rPr>
                <w:rStyle w:val="Hyperlink"/>
                <w:noProof/>
              </w:rPr>
              <w:t>Efficacy</w:t>
            </w:r>
            <w:r w:rsidR="00636B6C">
              <w:rPr>
                <w:noProof/>
                <w:webHidden/>
              </w:rPr>
              <w:tab/>
            </w:r>
            <w:r w:rsidR="00636B6C">
              <w:rPr>
                <w:noProof/>
                <w:webHidden/>
              </w:rPr>
              <w:fldChar w:fldCharType="begin"/>
            </w:r>
            <w:r w:rsidR="00636B6C">
              <w:rPr>
                <w:noProof/>
                <w:webHidden/>
              </w:rPr>
              <w:instrText xml:space="preserve"> PAGEREF _Toc489277874 \h </w:instrText>
            </w:r>
            <w:r w:rsidR="00636B6C">
              <w:rPr>
                <w:noProof/>
                <w:webHidden/>
              </w:rPr>
            </w:r>
            <w:r w:rsidR="00636B6C">
              <w:rPr>
                <w:noProof/>
                <w:webHidden/>
              </w:rPr>
              <w:fldChar w:fldCharType="separate"/>
            </w:r>
            <w:r w:rsidR="00636B6C">
              <w:rPr>
                <w:noProof/>
                <w:webHidden/>
              </w:rPr>
              <w:t>21</w:t>
            </w:r>
            <w:r w:rsidR="00636B6C">
              <w:rPr>
                <w:noProof/>
                <w:webHidden/>
              </w:rPr>
              <w:fldChar w:fldCharType="end"/>
            </w:r>
          </w:hyperlink>
        </w:p>
        <w:p w14:paraId="667AF360" w14:textId="77777777" w:rsidR="00636B6C" w:rsidRDefault="00EF69B9">
          <w:pPr>
            <w:pStyle w:val="TOC3"/>
            <w:rPr>
              <w:rFonts w:asciiTheme="minorHAnsi" w:eastAsiaTheme="minorEastAsia" w:hAnsiTheme="minorHAnsi" w:cstheme="minorBidi"/>
              <w:noProof/>
              <w:sz w:val="24"/>
              <w:szCs w:val="24"/>
              <w:lang w:val="en-GB" w:eastAsia="en-GB"/>
            </w:rPr>
          </w:pPr>
          <w:hyperlink w:anchor="_Toc489277875" w:history="1">
            <w:r w:rsidR="00636B6C" w:rsidRPr="00C71BA4">
              <w:rPr>
                <w:rStyle w:val="Hyperlink"/>
                <w:noProof/>
              </w:rPr>
              <w:t>Safety</w:t>
            </w:r>
            <w:r w:rsidR="00636B6C">
              <w:rPr>
                <w:noProof/>
                <w:webHidden/>
              </w:rPr>
              <w:tab/>
            </w:r>
            <w:r w:rsidR="00636B6C">
              <w:rPr>
                <w:noProof/>
                <w:webHidden/>
              </w:rPr>
              <w:fldChar w:fldCharType="begin"/>
            </w:r>
            <w:r w:rsidR="00636B6C">
              <w:rPr>
                <w:noProof/>
                <w:webHidden/>
              </w:rPr>
              <w:instrText xml:space="preserve"> PAGEREF _Toc489277875 \h </w:instrText>
            </w:r>
            <w:r w:rsidR="00636B6C">
              <w:rPr>
                <w:noProof/>
                <w:webHidden/>
              </w:rPr>
            </w:r>
            <w:r w:rsidR="00636B6C">
              <w:rPr>
                <w:noProof/>
                <w:webHidden/>
              </w:rPr>
              <w:fldChar w:fldCharType="separate"/>
            </w:r>
            <w:r w:rsidR="00636B6C">
              <w:rPr>
                <w:noProof/>
                <w:webHidden/>
              </w:rPr>
              <w:t>26</w:t>
            </w:r>
            <w:r w:rsidR="00636B6C">
              <w:rPr>
                <w:noProof/>
                <w:webHidden/>
              </w:rPr>
              <w:fldChar w:fldCharType="end"/>
            </w:r>
          </w:hyperlink>
        </w:p>
        <w:p w14:paraId="15D793E7" w14:textId="77777777" w:rsidR="00636B6C" w:rsidRDefault="00EF69B9">
          <w:pPr>
            <w:pStyle w:val="TOC3"/>
            <w:rPr>
              <w:rFonts w:asciiTheme="minorHAnsi" w:eastAsiaTheme="minorEastAsia" w:hAnsiTheme="minorHAnsi" w:cstheme="minorBidi"/>
              <w:noProof/>
              <w:sz w:val="24"/>
              <w:szCs w:val="24"/>
              <w:lang w:val="en-GB" w:eastAsia="en-GB"/>
            </w:rPr>
          </w:pPr>
          <w:hyperlink w:anchor="_Toc489277876" w:history="1">
            <w:r w:rsidR="00636B6C" w:rsidRPr="00C71BA4">
              <w:rPr>
                <w:rStyle w:val="Hyperlink"/>
                <w:noProof/>
              </w:rPr>
              <w:t>First Round Benefit-Risk Assessment</w:t>
            </w:r>
            <w:r w:rsidR="00636B6C">
              <w:rPr>
                <w:noProof/>
                <w:webHidden/>
              </w:rPr>
              <w:tab/>
            </w:r>
            <w:r w:rsidR="00636B6C">
              <w:rPr>
                <w:noProof/>
                <w:webHidden/>
              </w:rPr>
              <w:fldChar w:fldCharType="begin"/>
            </w:r>
            <w:r w:rsidR="00636B6C">
              <w:rPr>
                <w:noProof/>
                <w:webHidden/>
              </w:rPr>
              <w:instrText xml:space="preserve"> PAGEREF _Toc489277876 \h </w:instrText>
            </w:r>
            <w:r w:rsidR="00636B6C">
              <w:rPr>
                <w:noProof/>
                <w:webHidden/>
              </w:rPr>
            </w:r>
            <w:r w:rsidR="00636B6C">
              <w:rPr>
                <w:noProof/>
                <w:webHidden/>
              </w:rPr>
              <w:fldChar w:fldCharType="separate"/>
            </w:r>
            <w:r w:rsidR="00636B6C">
              <w:rPr>
                <w:noProof/>
                <w:webHidden/>
              </w:rPr>
              <w:t>32</w:t>
            </w:r>
            <w:r w:rsidR="00636B6C">
              <w:rPr>
                <w:noProof/>
                <w:webHidden/>
              </w:rPr>
              <w:fldChar w:fldCharType="end"/>
            </w:r>
          </w:hyperlink>
        </w:p>
        <w:p w14:paraId="0A51B939" w14:textId="77777777" w:rsidR="00636B6C" w:rsidRDefault="00EF69B9">
          <w:pPr>
            <w:pStyle w:val="TOC3"/>
            <w:rPr>
              <w:rFonts w:asciiTheme="minorHAnsi" w:eastAsiaTheme="minorEastAsia" w:hAnsiTheme="minorHAnsi" w:cstheme="minorBidi"/>
              <w:noProof/>
              <w:sz w:val="24"/>
              <w:szCs w:val="24"/>
              <w:lang w:val="en-GB" w:eastAsia="en-GB"/>
            </w:rPr>
          </w:pPr>
          <w:hyperlink w:anchor="_Toc489277877" w:history="1">
            <w:r w:rsidR="00636B6C" w:rsidRPr="00C71BA4">
              <w:rPr>
                <w:rStyle w:val="Hyperlink"/>
                <w:noProof/>
              </w:rPr>
              <w:t>First Round Recommendation Regarding Authorisation</w:t>
            </w:r>
            <w:r w:rsidR="00636B6C">
              <w:rPr>
                <w:noProof/>
                <w:webHidden/>
              </w:rPr>
              <w:tab/>
            </w:r>
            <w:r w:rsidR="00636B6C">
              <w:rPr>
                <w:noProof/>
                <w:webHidden/>
              </w:rPr>
              <w:fldChar w:fldCharType="begin"/>
            </w:r>
            <w:r w:rsidR="00636B6C">
              <w:rPr>
                <w:noProof/>
                <w:webHidden/>
              </w:rPr>
              <w:instrText xml:space="preserve"> PAGEREF _Toc489277877 \h </w:instrText>
            </w:r>
            <w:r w:rsidR="00636B6C">
              <w:rPr>
                <w:noProof/>
                <w:webHidden/>
              </w:rPr>
            </w:r>
            <w:r w:rsidR="00636B6C">
              <w:rPr>
                <w:noProof/>
                <w:webHidden/>
              </w:rPr>
              <w:fldChar w:fldCharType="separate"/>
            </w:r>
            <w:r w:rsidR="00636B6C">
              <w:rPr>
                <w:noProof/>
                <w:webHidden/>
              </w:rPr>
              <w:t>35</w:t>
            </w:r>
            <w:r w:rsidR="00636B6C">
              <w:rPr>
                <w:noProof/>
                <w:webHidden/>
              </w:rPr>
              <w:fldChar w:fldCharType="end"/>
            </w:r>
          </w:hyperlink>
        </w:p>
        <w:p w14:paraId="7C3B6AF0" w14:textId="77777777" w:rsidR="00636B6C" w:rsidRDefault="00EF69B9">
          <w:pPr>
            <w:pStyle w:val="TOC3"/>
            <w:rPr>
              <w:rFonts w:asciiTheme="minorHAnsi" w:eastAsiaTheme="minorEastAsia" w:hAnsiTheme="minorHAnsi" w:cstheme="minorBidi"/>
              <w:noProof/>
              <w:sz w:val="24"/>
              <w:szCs w:val="24"/>
              <w:lang w:val="en-GB" w:eastAsia="en-GB"/>
            </w:rPr>
          </w:pPr>
          <w:hyperlink w:anchor="_Toc489277878" w:history="1">
            <w:r w:rsidR="00636B6C" w:rsidRPr="00C71BA4">
              <w:rPr>
                <w:rStyle w:val="Hyperlink"/>
                <w:noProof/>
              </w:rPr>
              <w:t>Clinical Questions and Second Round Evaluation of clinical data submitted in response to questions</w:t>
            </w:r>
            <w:r w:rsidR="00636B6C">
              <w:rPr>
                <w:noProof/>
                <w:webHidden/>
              </w:rPr>
              <w:tab/>
            </w:r>
            <w:r w:rsidR="00636B6C">
              <w:rPr>
                <w:noProof/>
                <w:webHidden/>
              </w:rPr>
              <w:fldChar w:fldCharType="begin"/>
            </w:r>
            <w:r w:rsidR="00636B6C">
              <w:rPr>
                <w:noProof/>
                <w:webHidden/>
              </w:rPr>
              <w:instrText xml:space="preserve"> PAGEREF _Toc489277878 \h </w:instrText>
            </w:r>
            <w:r w:rsidR="00636B6C">
              <w:rPr>
                <w:noProof/>
                <w:webHidden/>
              </w:rPr>
            </w:r>
            <w:r w:rsidR="00636B6C">
              <w:rPr>
                <w:noProof/>
                <w:webHidden/>
              </w:rPr>
              <w:fldChar w:fldCharType="separate"/>
            </w:r>
            <w:r w:rsidR="00636B6C">
              <w:rPr>
                <w:noProof/>
                <w:webHidden/>
              </w:rPr>
              <w:t>35</w:t>
            </w:r>
            <w:r w:rsidR="00636B6C">
              <w:rPr>
                <w:noProof/>
                <w:webHidden/>
              </w:rPr>
              <w:fldChar w:fldCharType="end"/>
            </w:r>
          </w:hyperlink>
        </w:p>
        <w:p w14:paraId="0E8271FA" w14:textId="77777777" w:rsidR="00636B6C" w:rsidRDefault="00EF69B9">
          <w:pPr>
            <w:pStyle w:val="TOC3"/>
            <w:rPr>
              <w:rFonts w:asciiTheme="minorHAnsi" w:eastAsiaTheme="minorEastAsia" w:hAnsiTheme="minorHAnsi" w:cstheme="minorBidi"/>
              <w:noProof/>
              <w:sz w:val="24"/>
              <w:szCs w:val="24"/>
              <w:lang w:val="en-GB" w:eastAsia="en-GB"/>
            </w:rPr>
          </w:pPr>
          <w:hyperlink w:anchor="_Toc489277879" w:history="1">
            <w:r w:rsidR="00636B6C" w:rsidRPr="00C71BA4">
              <w:rPr>
                <w:rStyle w:val="Hyperlink"/>
                <w:noProof/>
              </w:rPr>
              <w:t>Second Round Benefit-Risk Assessment</w:t>
            </w:r>
            <w:r w:rsidR="00636B6C">
              <w:rPr>
                <w:noProof/>
                <w:webHidden/>
              </w:rPr>
              <w:tab/>
            </w:r>
            <w:r w:rsidR="00636B6C">
              <w:rPr>
                <w:noProof/>
                <w:webHidden/>
              </w:rPr>
              <w:fldChar w:fldCharType="begin"/>
            </w:r>
            <w:r w:rsidR="00636B6C">
              <w:rPr>
                <w:noProof/>
                <w:webHidden/>
              </w:rPr>
              <w:instrText xml:space="preserve"> PAGEREF _Toc489277879 \h </w:instrText>
            </w:r>
            <w:r w:rsidR="00636B6C">
              <w:rPr>
                <w:noProof/>
                <w:webHidden/>
              </w:rPr>
            </w:r>
            <w:r w:rsidR="00636B6C">
              <w:rPr>
                <w:noProof/>
                <w:webHidden/>
              </w:rPr>
              <w:fldChar w:fldCharType="separate"/>
            </w:r>
            <w:r w:rsidR="00636B6C">
              <w:rPr>
                <w:noProof/>
                <w:webHidden/>
              </w:rPr>
              <w:t>36</w:t>
            </w:r>
            <w:r w:rsidR="00636B6C">
              <w:rPr>
                <w:noProof/>
                <w:webHidden/>
              </w:rPr>
              <w:fldChar w:fldCharType="end"/>
            </w:r>
          </w:hyperlink>
        </w:p>
        <w:p w14:paraId="3D5B2FCE" w14:textId="77777777" w:rsidR="00636B6C" w:rsidRDefault="00EF69B9">
          <w:pPr>
            <w:pStyle w:val="TOC2"/>
            <w:rPr>
              <w:rFonts w:asciiTheme="minorHAnsi" w:eastAsiaTheme="minorEastAsia" w:hAnsiTheme="minorHAnsi" w:cstheme="minorBidi"/>
              <w:b w:val="0"/>
              <w:noProof/>
              <w:sz w:val="24"/>
              <w:szCs w:val="24"/>
              <w:lang w:val="en-GB" w:eastAsia="en-GB"/>
            </w:rPr>
          </w:pPr>
          <w:hyperlink w:anchor="_Toc489277880" w:history="1">
            <w:r w:rsidR="00636B6C" w:rsidRPr="00C71BA4">
              <w:rPr>
                <w:rStyle w:val="Hyperlink"/>
                <w:noProof/>
              </w:rPr>
              <w:t>V. Pharmacovigilance findings</w:t>
            </w:r>
            <w:r w:rsidR="00636B6C">
              <w:rPr>
                <w:noProof/>
                <w:webHidden/>
              </w:rPr>
              <w:tab/>
            </w:r>
            <w:r w:rsidR="00636B6C">
              <w:rPr>
                <w:noProof/>
                <w:webHidden/>
              </w:rPr>
              <w:fldChar w:fldCharType="begin"/>
            </w:r>
            <w:r w:rsidR="00636B6C">
              <w:rPr>
                <w:noProof/>
                <w:webHidden/>
              </w:rPr>
              <w:instrText xml:space="preserve"> PAGEREF _Toc489277880 \h </w:instrText>
            </w:r>
            <w:r w:rsidR="00636B6C">
              <w:rPr>
                <w:noProof/>
                <w:webHidden/>
              </w:rPr>
            </w:r>
            <w:r w:rsidR="00636B6C">
              <w:rPr>
                <w:noProof/>
                <w:webHidden/>
              </w:rPr>
              <w:fldChar w:fldCharType="separate"/>
            </w:r>
            <w:r w:rsidR="00636B6C">
              <w:rPr>
                <w:noProof/>
                <w:webHidden/>
              </w:rPr>
              <w:t>39</w:t>
            </w:r>
            <w:r w:rsidR="00636B6C">
              <w:rPr>
                <w:noProof/>
                <w:webHidden/>
              </w:rPr>
              <w:fldChar w:fldCharType="end"/>
            </w:r>
          </w:hyperlink>
        </w:p>
        <w:p w14:paraId="6E45BD36" w14:textId="77777777" w:rsidR="00636B6C" w:rsidRDefault="00EF69B9">
          <w:pPr>
            <w:pStyle w:val="TOC3"/>
            <w:rPr>
              <w:rFonts w:asciiTheme="minorHAnsi" w:eastAsiaTheme="minorEastAsia" w:hAnsiTheme="minorHAnsi" w:cstheme="minorBidi"/>
              <w:noProof/>
              <w:sz w:val="24"/>
              <w:szCs w:val="24"/>
              <w:lang w:val="en-GB" w:eastAsia="en-GB"/>
            </w:rPr>
          </w:pPr>
          <w:hyperlink w:anchor="_Toc489277881" w:history="1">
            <w:r w:rsidR="00636B6C" w:rsidRPr="00C71BA4">
              <w:rPr>
                <w:rStyle w:val="Hyperlink"/>
                <w:noProof/>
                <w:lang w:eastAsia="en-AU"/>
              </w:rPr>
              <w:t>Risk management plan</w:t>
            </w:r>
            <w:r w:rsidR="00636B6C">
              <w:rPr>
                <w:noProof/>
                <w:webHidden/>
              </w:rPr>
              <w:tab/>
            </w:r>
            <w:r w:rsidR="00636B6C">
              <w:rPr>
                <w:noProof/>
                <w:webHidden/>
              </w:rPr>
              <w:fldChar w:fldCharType="begin"/>
            </w:r>
            <w:r w:rsidR="00636B6C">
              <w:rPr>
                <w:noProof/>
                <w:webHidden/>
              </w:rPr>
              <w:instrText xml:space="preserve"> PAGEREF _Toc489277881 \h </w:instrText>
            </w:r>
            <w:r w:rsidR="00636B6C">
              <w:rPr>
                <w:noProof/>
                <w:webHidden/>
              </w:rPr>
            </w:r>
            <w:r w:rsidR="00636B6C">
              <w:rPr>
                <w:noProof/>
                <w:webHidden/>
              </w:rPr>
              <w:fldChar w:fldCharType="separate"/>
            </w:r>
            <w:r w:rsidR="00636B6C">
              <w:rPr>
                <w:noProof/>
                <w:webHidden/>
              </w:rPr>
              <w:t>39</w:t>
            </w:r>
            <w:r w:rsidR="00636B6C">
              <w:rPr>
                <w:noProof/>
                <w:webHidden/>
              </w:rPr>
              <w:fldChar w:fldCharType="end"/>
            </w:r>
          </w:hyperlink>
        </w:p>
        <w:p w14:paraId="0478B67C" w14:textId="77777777" w:rsidR="00636B6C" w:rsidRDefault="00EF69B9">
          <w:pPr>
            <w:pStyle w:val="TOC2"/>
            <w:rPr>
              <w:rFonts w:asciiTheme="minorHAnsi" w:eastAsiaTheme="minorEastAsia" w:hAnsiTheme="minorHAnsi" w:cstheme="minorBidi"/>
              <w:b w:val="0"/>
              <w:noProof/>
              <w:sz w:val="24"/>
              <w:szCs w:val="24"/>
              <w:lang w:val="en-GB" w:eastAsia="en-GB"/>
            </w:rPr>
          </w:pPr>
          <w:hyperlink w:anchor="_Toc489277882" w:history="1">
            <w:r w:rsidR="00636B6C" w:rsidRPr="00C71BA4">
              <w:rPr>
                <w:rStyle w:val="Hyperlink"/>
                <w:noProof/>
              </w:rPr>
              <w:t>VI. Overall conclusion and risk/benefit assessment</w:t>
            </w:r>
            <w:r w:rsidR="00636B6C">
              <w:rPr>
                <w:noProof/>
                <w:webHidden/>
              </w:rPr>
              <w:tab/>
            </w:r>
            <w:r w:rsidR="00636B6C">
              <w:rPr>
                <w:noProof/>
                <w:webHidden/>
              </w:rPr>
              <w:fldChar w:fldCharType="begin"/>
            </w:r>
            <w:r w:rsidR="00636B6C">
              <w:rPr>
                <w:noProof/>
                <w:webHidden/>
              </w:rPr>
              <w:instrText xml:space="preserve"> PAGEREF _Toc489277882 \h </w:instrText>
            </w:r>
            <w:r w:rsidR="00636B6C">
              <w:rPr>
                <w:noProof/>
                <w:webHidden/>
              </w:rPr>
            </w:r>
            <w:r w:rsidR="00636B6C">
              <w:rPr>
                <w:noProof/>
                <w:webHidden/>
              </w:rPr>
              <w:fldChar w:fldCharType="separate"/>
            </w:r>
            <w:r w:rsidR="00636B6C">
              <w:rPr>
                <w:noProof/>
                <w:webHidden/>
              </w:rPr>
              <w:t>46</w:t>
            </w:r>
            <w:r w:rsidR="00636B6C">
              <w:rPr>
                <w:noProof/>
                <w:webHidden/>
              </w:rPr>
              <w:fldChar w:fldCharType="end"/>
            </w:r>
          </w:hyperlink>
        </w:p>
        <w:p w14:paraId="25FD5BE2" w14:textId="77777777" w:rsidR="00636B6C" w:rsidRDefault="00EF69B9">
          <w:pPr>
            <w:pStyle w:val="TOC3"/>
            <w:rPr>
              <w:rFonts w:asciiTheme="minorHAnsi" w:eastAsiaTheme="minorEastAsia" w:hAnsiTheme="minorHAnsi" w:cstheme="minorBidi"/>
              <w:noProof/>
              <w:sz w:val="24"/>
              <w:szCs w:val="24"/>
              <w:lang w:val="en-GB" w:eastAsia="en-GB"/>
            </w:rPr>
          </w:pPr>
          <w:hyperlink w:anchor="_Toc489277883" w:history="1">
            <w:r w:rsidR="00636B6C" w:rsidRPr="00C71BA4">
              <w:rPr>
                <w:rStyle w:val="Hyperlink"/>
                <w:noProof/>
              </w:rPr>
              <w:t>Quality</w:t>
            </w:r>
            <w:r w:rsidR="00636B6C">
              <w:rPr>
                <w:noProof/>
                <w:webHidden/>
              </w:rPr>
              <w:tab/>
            </w:r>
            <w:r w:rsidR="00636B6C">
              <w:rPr>
                <w:noProof/>
                <w:webHidden/>
              </w:rPr>
              <w:fldChar w:fldCharType="begin"/>
            </w:r>
            <w:r w:rsidR="00636B6C">
              <w:rPr>
                <w:noProof/>
                <w:webHidden/>
              </w:rPr>
              <w:instrText xml:space="preserve"> PAGEREF _Toc489277883 \h </w:instrText>
            </w:r>
            <w:r w:rsidR="00636B6C">
              <w:rPr>
                <w:noProof/>
                <w:webHidden/>
              </w:rPr>
            </w:r>
            <w:r w:rsidR="00636B6C">
              <w:rPr>
                <w:noProof/>
                <w:webHidden/>
              </w:rPr>
              <w:fldChar w:fldCharType="separate"/>
            </w:r>
            <w:r w:rsidR="00636B6C">
              <w:rPr>
                <w:noProof/>
                <w:webHidden/>
              </w:rPr>
              <w:t>46</w:t>
            </w:r>
            <w:r w:rsidR="00636B6C">
              <w:rPr>
                <w:noProof/>
                <w:webHidden/>
              </w:rPr>
              <w:fldChar w:fldCharType="end"/>
            </w:r>
          </w:hyperlink>
        </w:p>
        <w:p w14:paraId="03BAC6B8" w14:textId="77777777" w:rsidR="00636B6C" w:rsidRDefault="00EF69B9">
          <w:pPr>
            <w:pStyle w:val="TOC3"/>
            <w:rPr>
              <w:rFonts w:asciiTheme="minorHAnsi" w:eastAsiaTheme="minorEastAsia" w:hAnsiTheme="minorHAnsi" w:cstheme="minorBidi"/>
              <w:noProof/>
              <w:sz w:val="24"/>
              <w:szCs w:val="24"/>
              <w:lang w:val="en-GB" w:eastAsia="en-GB"/>
            </w:rPr>
          </w:pPr>
          <w:hyperlink w:anchor="_Toc489277884" w:history="1">
            <w:r w:rsidR="00636B6C" w:rsidRPr="00C71BA4">
              <w:rPr>
                <w:rStyle w:val="Hyperlink"/>
                <w:noProof/>
              </w:rPr>
              <w:t>Nonclinical</w:t>
            </w:r>
            <w:r w:rsidR="00636B6C">
              <w:rPr>
                <w:noProof/>
                <w:webHidden/>
              </w:rPr>
              <w:tab/>
            </w:r>
            <w:r w:rsidR="00636B6C">
              <w:rPr>
                <w:noProof/>
                <w:webHidden/>
              </w:rPr>
              <w:fldChar w:fldCharType="begin"/>
            </w:r>
            <w:r w:rsidR="00636B6C">
              <w:rPr>
                <w:noProof/>
                <w:webHidden/>
              </w:rPr>
              <w:instrText xml:space="preserve"> PAGEREF _Toc489277884 \h </w:instrText>
            </w:r>
            <w:r w:rsidR="00636B6C">
              <w:rPr>
                <w:noProof/>
                <w:webHidden/>
              </w:rPr>
            </w:r>
            <w:r w:rsidR="00636B6C">
              <w:rPr>
                <w:noProof/>
                <w:webHidden/>
              </w:rPr>
              <w:fldChar w:fldCharType="separate"/>
            </w:r>
            <w:r w:rsidR="00636B6C">
              <w:rPr>
                <w:noProof/>
                <w:webHidden/>
              </w:rPr>
              <w:t>46</w:t>
            </w:r>
            <w:r w:rsidR="00636B6C">
              <w:rPr>
                <w:noProof/>
                <w:webHidden/>
              </w:rPr>
              <w:fldChar w:fldCharType="end"/>
            </w:r>
          </w:hyperlink>
        </w:p>
        <w:p w14:paraId="2F663D9D" w14:textId="77777777" w:rsidR="00636B6C" w:rsidRDefault="00EF69B9">
          <w:pPr>
            <w:pStyle w:val="TOC3"/>
            <w:rPr>
              <w:rFonts w:asciiTheme="minorHAnsi" w:eastAsiaTheme="minorEastAsia" w:hAnsiTheme="minorHAnsi" w:cstheme="minorBidi"/>
              <w:noProof/>
              <w:sz w:val="24"/>
              <w:szCs w:val="24"/>
              <w:lang w:val="en-GB" w:eastAsia="en-GB"/>
            </w:rPr>
          </w:pPr>
          <w:hyperlink w:anchor="_Toc489277885" w:history="1">
            <w:r w:rsidR="00636B6C" w:rsidRPr="00C71BA4">
              <w:rPr>
                <w:rStyle w:val="Hyperlink"/>
                <w:noProof/>
              </w:rPr>
              <w:t>Clinical</w:t>
            </w:r>
            <w:r w:rsidR="00636B6C">
              <w:rPr>
                <w:noProof/>
                <w:webHidden/>
              </w:rPr>
              <w:tab/>
            </w:r>
            <w:r w:rsidR="00636B6C">
              <w:rPr>
                <w:noProof/>
                <w:webHidden/>
              </w:rPr>
              <w:fldChar w:fldCharType="begin"/>
            </w:r>
            <w:r w:rsidR="00636B6C">
              <w:rPr>
                <w:noProof/>
                <w:webHidden/>
              </w:rPr>
              <w:instrText xml:space="preserve"> PAGEREF _Toc489277885 \h </w:instrText>
            </w:r>
            <w:r w:rsidR="00636B6C">
              <w:rPr>
                <w:noProof/>
                <w:webHidden/>
              </w:rPr>
            </w:r>
            <w:r w:rsidR="00636B6C">
              <w:rPr>
                <w:noProof/>
                <w:webHidden/>
              </w:rPr>
              <w:fldChar w:fldCharType="separate"/>
            </w:r>
            <w:r w:rsidR="00636B6C">
              <w:rPr>
                <w:noProof/>
                <w:webHidden/>
              </w:rPr>
              <w:t>47</w:t>
            </w:r>
            <w:r w:rsidR="00636B6C">
              <w:rPr>
                <w:noProof/>
                <w:webHidden/>
              </w:rPr>
              <w:fldChar w:fldCharType="end"/>
            </w:r>
          </w:hyperlink>
        </w:p>
        <w:p w14:paraId="00566F6E" w14:textId="77777777" w:rsidR="00636B6C" w:rsidRDefault="00EF69B9">
          <w:pPr>
            <w:pStyle w:val="TOC3"/>
            <w:rPr>
              <w:rFonts w:asciiTheme="minorHAnsi" w:eastAsiaTheme="minorEastAsia" w:hAnsiTheme="minorHAnsi" w:cstheme="minorBidi"/>
              <w:noProof/>
              <w:sz w:val="24"/>
              <w:szCs w:val="24"/>
              <w:lang w:val="en-GB" w:eastAsia="en-GB"/>
            </w:rPr>
          </w:pPr>
          <w:hyperlink w:anchor="_Toc489277886" w:history="1">
            <w:r w:rsidR="00636B6C" w:rsidRPr="00C71BA4">
              <w:rPr>
                <w:rStyle w:val="Hyperlink"/>
                <w:noProof/>
              </w:rPr>
              <w:t>Risk management plan</w:t>
            </w:r>
            <w:r w:rsidR="00636B6C">
              <w:rPr>
                <w:noProof/>
                <w:webHidden/>
              </w:rPr>
              <w:tab/>
            </w:r>
            <w:r w:rsidR="00636B6C">
              <w:rPr>
                <w:noProof/>
                <w:webHidden/>
              </w:rPr>
              <w:fldChar w:fldCharType="begin"/>
            </w:r>
            <w:r w:rsidR="00636B6C">
              <w:rPr>
                <w:noProof/>
                <w:webHidden/>
              </w:rPr>
              <w:instrText xml:space="preserve"> PAGEREF _Toc489277886 \h </w:instrText>
            </w:r>
            <w:r w:rsidR="00636B6C">
              <w:rPr>
                <w:noProof/>
                <w:webHidden/>
              </w:rPr>
            </w:r>
            <w:r w:rsidR="00636B6C">
              <w:rPr>
                <w:noProof/>
                <w:webHidden/>
              </w:rPr>
              <w:fldChar w:fldCharType="separate"/>
            </w:r>
            <w:r w:rsidR="00636B6C">
              <w:rPr>
                <w:noProof/>
                <w:webHidden/>
              </w:rPr>
              <w:t>48</w:t>
            </w:r>
            <w:r w:rsidR="00636B6C">
              <w:rPr>
                <w:noProof/>
                <w:webHidden/>
              </w:rPr>
              <w:fldChar w:fldCharType="end"/>
            </w:r>
          </w:hyperlink>
        </w:p>
        <w:p w14:paraId="0EFD75B4" w14:textId="77777777" w:rsidR="00636B6C" w:rsidRDefault="00EF69B9">
          <w:pPr>
            <w:pStyle w:val="TOC3"/>
            <w:rPr>
              <w:rFonts w:asciiTheme="minorHAnsi" w:eastAsiaTheme="minorEastAsia" w:hAnsiTheme="minorHAnsi" w:cstheme="minorBidi"/>
              <w:noProof/>
              <w:sz w:val="24"/>
              <w:szCs w:val="24"/>
              <w:lang w:val="en-GB" w:eastAsia="en-GB"/>
            </w:rPr>
          </w:pPr>
          <w:hyperlink w:anchor="_Toc489277887" w:history="1">
            <w:r w:rsidR="00636B6C" w:rsidRPr="00C71BA4">
              <w:rPr>
                <w:rStyle w:val="Hyperlink"/>
                <w:noProof/>
              </w:rPr>
              <w:t>PSUR (January 2016 to July 2016)</w:t>
            </w:r>
            <w:r w:rsidR="00636B6C">
              <w:rPr>
                <w:noProof/>
                <w:webHidden/>
              </w:rPr>
              <w:tab/>
            </w:r>
            <w:r w:rsidR="00636B6C">
              <w:rPr>
                <w:noProof/>
                <w:webHidden/>
              </w:rPr>
              <w:fldChar w:fldCharType="begin"/>
            </w:r>
            <w:r w:rsidR="00636B6C">
              <w:rPr>
                <w:noProof/>
                <w:webHidden/>
              </w:rPr>
              <w:instrText xml:space="preserve"> PAGEREF _Toc489277887 \h </w:instrText>
            </w:r>
            <w:r w:rsidR="00636B6C">
              <w:rPr>
                <w:noProof/>
                <w:webHidden/>
              </w:rPr>
            </w:r>
            <w:r w:rsidR="00636B6C">
              <w:rPr>
                <w:noProof/>
                <w:webHidden/>
              </w:rPr>
              <w:fldChar w:fldCharType="separate"/>
            </w:r>
            <w:r w:rsidR="00636B6C">
              <w:rPr>
                <w:noProof/>
                <w:webHidden/>
              </w:rPr>
              <w:t>49</w:t>
            </w:r>
            <w:r w:rsidR="00636B6C">
              <w:rPr>
                <w:noProof/>
                <w:webHidden/>
              </w:rPr>
              <w:fldChar w:fldCharType="end"/>
            </w:r>
          </w:hyperlink>
        </w:p>
        <w:p w14:paraId="2C992A59" w14:textId="77777777" w:rsidR="00636B6C" w:rsidRDefault="00EF69B9">
          <w:pPr>
            <w:pStyle w:val="TOC3"/>
            <w:rPr>
              <w:rFonts w:asciiTheme="minorHAnsi" w:eastAsiaTheme="minorEastAsia" w:hAnsiTheme="minorHAnsi" w:cstheme="minorBidi"/>
              <w:noProof/>
              <w:sz w:val="24"/>
              <w:szCs w:val="24"/>
              <w:lang w:val="en-GB" w:eastAsia="en-GB"/>
            </w:rPr>
          </w:pPr>
          <w:hyperlink w:anchor="_Toc489277888" w:history="1">
            <w:r w:rsidR="00636B6C" w:rsidRPr="00C71BA4">
              <w:rPr>
                <w:rStyle w:val="Hyperlink"/>
                <w:noProof/>
              </w:rPr>
              <w:t>Risk-benefit analysis</w:t>
            </w:r>
            <w:r w:rsidR="00636B6C">
              <w:rPr>
                <w:noProof/>
                <w:webHidden/>
              </w:rPr>
              <w:tab/>
            </w:r>
            <w:r w:rsidR="00636B6C">
              <w:rPr>
                <w:noProof/>
                <w:webHidden/>
              </w:rPr>
              <w:fldChar w:fldCharType="begin"/>
            </w:r>
            <w:r w:rsidR="00636B6C">
              <w:rPr>
                <w:noProof/>
                <w:webHidden/>
              </w:rPr>
              <w:instrText xml:space="preserve"> PAGEREF _Toc489277888 \h </w:instrText>
            </w:r>
            <w:r w:rsidR="00636B6C">
              <w:rPr>
                <w:noProof/>
                <w:webHidden/>
              </w:rPr>
            </w:r>
            <w:r w:rsidR="00636B6C">
              <w:rPr>
                <w:noProof/>
                <w:webHidden/>
              </w:rPr>
              <w:fldChar w:fldCharType="separate"/>
            </w:r>
            <w:r w:rsidR="00636B6C">
              <w:rPr>
                <w:noProof/>
                <w:webHidden/>
              </w:rPr>
              <w:t>50</w:t>
            </w:r>
            <w:r w:rsidR="00636B6C">
              <w:rPr>
                <w:noProof/>
                <w:webHidden/>
              </w:rPr>
              <w:fldChar w:fldCharType="end"/>
            </w:r>
          </w:hyperlink>
        </w:p>
        <w:p w14:paraId="0AFA63C5" w14:textId="77777777" w:rsidR="00636B6C" w:rsidRDefault="00EF69B9">
          <w:pPr>
            <w:pStyle w:val="TOC3"/>
            <w:rPr>
              <w:rFonts w:asciiTheme="minorHAnsi" w:eastAsiaTheme="minorEastAsia" w:hAnsiTheme="minorHAnsi" w:cstheme="minorBidi"/>
              <w:noProof/>
              <w:sz w:val="24"/>
              <w:szCs w:val="24"/>
              <w:lang w:val="en-GB" w:eastAsia="en-GB"/>
            </w:rPr>
          </w:pPr>
          <w:hyperlink w:anchor="_Toc489277889" w:history="1">
            <w:r w:rsidR="00636B6C" w:rsidRPr="00C71BA4">
              <w:rPr>
                <w:rStyle w:val="Hyperlink"/>
                <w:noProof/>
              </w:rPr>
              <w:t>Outcome</w:t>
            </w:r>
            <w:r w:rsidR="00636B6C">
              <w:rPr>
                <w:noProof/>
                <w:webHidden/>
              </w:rPr>
              <w:tab/>
            </w:r>
            <w:r w:rsidR="00636B6C">
              <w:rPr>
                <w:noProof/>
                <w:webHidden/>
              </w:rPr>
              <w:fldChar w:fldCharType="begin"/>
            </w:r>
            <w:r w:rsidR="00636B6C">
              <w:rPr>
                <w:noProof/>
                <w:webHidden/>
              </w:rPr>
              <w:instrText xml:space="preserve"> PAGEREF _Toc489277889 \h </w:instrText>
            </w:r>
            <w:r w:rsidR="00636B6C">
              <w:rPr>
                <w:noProof/>
                <w:webHidden/>
              </w:rPr>
            </w:r>
            <w:r w:rsidR="00636B6C">
              <w:rPr>
                <w:noProof/>
                <w:webHidden/>
              </w:rPr>
              <w:fldChar w:fldCharType="separate"/>
            </w:r>
            <w:r w:rsidR="00636B6C">
              <w:rPr>
                <w:noProof/>
                <w:webHidden/>
              </w:rPr>
              <w:t>63</w:t>
            </w:r>
            <w:r w:rsidR="00636B6C">
              <w:rPr>
                <w:noProof/>
                <w:webHidden/>
              </w:rPr>
              <w:fldChar w:fldCharType="end"/>
            </w:r>
          </w:hyperlink>
        </w:p>
        <w:p w14:paraId="42D2348A" w14:textId="77777777" w:rsidR="00636B6C" w:rsidRDefault="00EF69B9">
          <w:pPr>
            <w:pStyle w:val="TOC2"/>
            <w:rPr>
              <w:rFonts w:asciiTheme="minorHAnsi" w:eastAsiaTheme="minorEastAsia" w:hAnsiTheme="minorHAnsi" w:cstheme="minorBidi"/>
              <w:b w:val="0"/>
              <w:noProof/>
              <w:sz w:val="24"/>
              <w:szCs w:val="24"/>
              <w:lang w:val="en-GB" w:eastAsia="en-GB"/>
            </w:rPr>
          </w:pPr>
          <w:hyperlink w:anchor="_Toc489277890" w:history="1">
            <w:r w:rsidR="00636B6C" w:rsidRPr="00C71BA4">
              <w:rPr>
                <w:rStyle w:val="Hyperlink"/>
                <w:noProof/>
              </w:rPr>
              <w:t>Attachment 1. Product Information</w:t>
            </w:r>
            <w:r w:rsidR="00636B6C">
              <w:rPr>
                <w:noProof/>
                <w:webHidden/>
              </w:rPr>
              <w:tab/>
            </w:r>
            <w:r w:rsidR="00636B6C">
              <w:rPr>
                <w:noProof/>
                <w:webHidden/>
              </w:rPr>
              <w:fldChar w:fldCharType="begin"/>
            </w:r>
            <w:r w:rsidR="00636B6C">
              <w:rPr>
                <w:noProof/>
                <w:webHidden/>
              </w:rPr>
              <w:instrText xml:space="preserve"> PAGEREF _Toc489277890 \h </w:instrText>
            </w:r>
            <w:r w:rsidR="00636B6C">
              <w:rPr>
                <w:noProof/>
                <w:webHidden/>
              </w:rPr>
            </w:r>
            <w:r w:rsidR="00636B6C">
              <w:rPr>
                <w:noProof/>
                <w:webHidden/>
              </w:rPr>
              <w:fldChar w:fldCharType="separate"/>
            </w:r>
            <w:r w:rsidR="00636B6C">
              <w:rPr>
                <w:noProof/>
                <w:webHidden/>
              </w:rPr>
              <w:t>64</w:t>
            </w:r>
            <w:r w:rsidR="00636B6C">
              <w:rPr>
                <w:noProof/>
                <w:webHidden/>
              </w:rPr>
              <w:fldChar w:fldCharType="end"/>
            </w:r>
          </w:hyperlink>
        </w:p>
        <w:p w14:paraId="15365FE9" w14:textId="77777777" w:rsidR="00636B6C" w:rsidRDefault="00EF69B9">
          <w:pPr>
            <w:pStyle w:val="TOC2"/>
            <w:rPr>
              <w:rFonts w:asciiTheme="minorHAnsi" w:eastAsiaTheme="minorEastAsia" w:hAnsiTheme="minorHAnsi" w:cstheme="minorBidi"/>
              <w:b w:val="0"/>
              <w:noProof/>
              <w:sz w:val="24"/>
              <w:szCs w:val="24"/>
              <w:lang w:val="en-GB" w:eastAsia="en-GB"/>
            </w:rPr>
          </w:pPr>
          <w:hyperlink w:anchor="_Toc489277891" w:history="1">
            <w:r w:rsidR="00636B6C" w:rsidRPr="00C71BA4">
              <w:rPr>
                <w:rStyle w:val="Hyperlink"/>
                <w:noProof/>
                <w:lang w:eastAsia="en-AU"/>
              </w:rPr>
              <w:t>Attachment 2. Extract from the Clinical Evaluation Report</w:t>
            </w:r>
            <w:r w:rsidR="00636B6C">
              <w:rPr>
                <w:noProof/>
                <w:webHidden/>
              </w:rPr>
              <w:tab/>
            </w:r>
            <w:r w:rsidR="00636B6C">
              <w:rPr>
                <w:noProof/>
                <w:webHidden/>
              </w:rPr>
              <w:fldChar w:fldCharType="begin"/>
            </w:r>
            <w:r w:rsidR="00636B6C">
              <w:rPr>
                <w:noProof/>
                <w:webHidden/>
              </w:rPr>
              <w:instrText xml:space="preserve"> PAGEREF _Toc489277891 \h </w:instrText>
            </w:r>
            <w:r w:rsidR="00636B6C">
              <w:rPr>
                <w:noProof/>
                <w:webHidden/>
              </w:rPr>
            </w:r>
            <w:r w:rsidR="00636B6C">
              <w:rPr>
                <w:noProof/>
                <w:webHidden/>
              </w:rPr>
              <w:fldChar w:fldCharType="separate"/>
            </w:r>
            <w:r w:rsidR="00636B6C">
              <w:rPr>
                <w:noProof/>
                <w:webHidden/>
              </w:rPr>
              <w:t>64</w:t>
            </w:r>
            <w:r w:rsidR="00636B6C">
              <w:rPr>
                <w:noProof/>
                <w:webHidden/>
              </w:rPr>
              <w:fldChar w:fldCharType="end"/>
            </w:r>
          </w:hyperlink>
        </w:p>
        <w:p w14:paraId="567CFA02" w14:textId="77777777" w:rsidR="003A7F6C" w:rsidRPr="00B811C6" w:rsidRDefault="00DB6124" w:rsidP="009D34A7">
          <w:pPr>
            <w:pStyle w:val="TOC2"/>
            <w:ind w:left="0"/>
          </w:pPr>
          <w:r>
            <w:fldChar w:fldCharType="end"/>
          </w:r>
        </w:p>
      </w:sdtContent>
    </w:sdt>
    <w:bookmarkStart w:id="3" w:name="_Toc314842482" w:displacedByCustomXml="prev"/>
    <w:p w14:paraId="1390042F" w14:textId="77777777" w:rsidR="00FD119B" w:rsidRDefault="00FD119B">
      <w:pPr>
        <w:spacing w:before="0" w:after="200" w:line="0" w:lineRule="auto"/>
      </w:pPr>
      <w:r>
        <w:br w:type="page"/>
      </w:r>
    </w:p>
    <w:p w14:paraId="16FD304E"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89277861"/>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492E0B" w:rsidRPr="00FD119B" w14:paraId="37EC5A64"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502C1014" w14:textId="77777777" w:rsidR="00492E0B" w:rsidRPr="00FD119B" w:rsidRDefault="00492E0B" w:rsidP="00FD119B">
            <w:pPr>
              <w:keepNext w:val="0"/>
              <w:ind w:left="0" w:right="0"/>
              <w:rPr>
                <w:szCs w:val="22"/>
                <w:lang w:eastAsia="en-US"/>
              </w:rPr>
            </w:pPr>
            <w:r w:rsidRPr="00FD119B">
              <w:rPr>
                <w:szCs w:val="22"/>
                <w:lang w:eastAsia="en-US"/>
              </w:rPr>
              <w:t>Abbreviation</w:t>
            </w:r>
          </w:p>
        </w:tc>
        <w:tc>
          <w:tcPr>
            <w:tcW w:w="6911" w:type="dxa"/>
          </w:tcPr>
          <w:p w14:paraId="4571C055" w14:textId="77777777" w:rsidR="00492E0B" w:rsidRPr="00FD119B" w:rsidRDefault="00492E0B" w:rsidP="00FD119B">
            <w:pPr>
              <w:keepNext w:val="0"/>
              <w:ind w:left="0" w:right="0"/>
              <w:rPr>
                <w:szCs w:val="22"/>
                <w:lang w:eastAsia="en-US"/>
              </w:rPr>
            </w:pPr>
            <w:r w:rsidRPr="00FD119B">
              <w:rPr>
                <w:szCs w:val="22"/>
                <w:lang w:eastAsia="en-US"/>
              </w:rPr>
              <w:t>Meaning</w:t>
            </w:r>
          </w:p>
        </w:tc>
      </w:tr>
      <w:tr w:rsidR="00492E0B" w:rsidRPr="00FD119B" w14:paraId="4CCE0721" w14:textId="77777777" w:rsidTr="00FD119B">
        <w:tc>
          <w:tcPr>
            <w:tcW w:w="1809" w:type="dxa"/>
          </w:tcPr>
          <w:p w14:paraId="01547C2F" w14:textId="77777777" w:rsidR="00492E0B" w:rsidRDefault="00492E0B" w:rsidP="00FD119B">
            <w:r>
              <w:t>ADA</w:t>
            </w:r>
          </w:p>
        </w:tc>
        <w:tc>
          <w:tcPr>
            <w:tcW w:w="6911" w:type="dxa"/>
          </w:tcPr>
          <w:p w14:paraId="212CBFFD" w14:textId="77777777" w:rsidR="00492E0B" w:rsidRPr="005C71C8" w:rsidRDefault="00492E0B" w:rsidP="005C71C8">
            <w:pPr>
              <w:rPr>
                <w:lang w:val="en-GB"/>
              </w:rPr>
            </w:pPr>
            <w:r>
              <w:rPr>
                <w:lang w:val="en-GB"/>
              </w:rPr>
              <w:t>Anti-drug antibodies</w:t>
            </w:r>
          </w:p>
        </w:tc>
      </w:tr>
      <w:tr w:rsidR="00492E0B" w:rsidRPr="00FD119B" w14:paraId="0424D611" w14:textId="77777777" w:rsidTr="00FD119B">
        <w:tc>
          <w:tcPr>
            <w:tcW w:w="1809" w:type="dxa"/>
          </w:tcPr>
          <w:p w14:paraId="16F46780" w14:textId="77777777" w:rsidR="00492E0B" w:rsidRDefault="00492E0B" w:rsidP="00FD119B">
            <w:r>
              <w:t>ADR</w:t>
            </w:r>
          </w:p>
        </w:tc>
        <w:tc>
          <w:tcPr>
            <w:tcW w:w="6911" w:type="dxa"/>
          </w:tcPr>
          <w:p w14:paraId="393367E0" w14:textId="77777777" w:rsidR="00492E0B" w:rsidRDefault="00492E0B" w:rsidP="005C71C8">
            <w:pPr>
              <w:rPr>
                <w:lang w:val="en-GB"/>
              </w:rPr>
            </w:pPr>
            <w:r>
              <w:rPr>
                <w:lang w:val="en-GB"/>
              </w:rPr>
              <w:t>Adverse drug reaction</w:t>
            </w:r>
          </w:p>
        </w:tc>
      </w:tr>
      <w:tr w:rsidR="00492E0B" w:rsidRPr="00FD119B" w14:paraId="4EFCC245" w14:textId="77777777" w:rsidTr="00FD119B">
        <w:tc>
          <w:tcPr>
            <w:tcW w:w="1809" w:type="dxa"/>
          </w:tcPr>
          <w:p w14:paraId="14350DEA" w14:textId="77777777" w:rsidR="00492E0B" w:rsidRDefault="00492E0B" w:rsidP="00FD119B">
            <w:r>
              <w:t>AE</w:t>
            </w:r>
          </w:p>
        </w:tc>
        <w:tc>
          <w:tcPr>
            <w:tcW w:w="6911" w:type="dxa"/>
          </w:tcPr>
          <w:p w14:paraId="52638546" w14:textId="77777777" w:rsidR="00492E0B" w:rsidRDefault="00492E0B" w:rsidP="005C71C8">
            <w:pPr>
              <w:rPr>
                <w:lang w:val="en-GB"/>
              </w:rPr>
            </w:pPr>
            <w:r>
              <w:rPr>
                <w:lang w:val="en-GB"/>
              </w:rPr>
              <w:t>Adverse event</w:t>
            </w:r>
          </w:p>
        </w:tc>
      </w:tr>
      <w:tr w:rsidR="00492E0B" w:rsidRPr="00FD119B" w14:paraId="29E2234F" w14:textId="77777777" w:rsidTr="00FD119B">
        <w:tc>
          <w:tcPr>
            <w:tcW w:w="1809" w:type="dxa"/>
          </w:tcPr>
          <w:p w14:paraId="51B5A3DD" w14:textId="77777777" w:rsidR="00492E0B" w:rsidRDefault="00492E0B" w:rsidP="00FD119B">
            <w:r>
              <w:t>AE-DC/D</w:t>
            </w:r>
          </w:p>
        </w:tc>
        <w:tc>
          <w:tcPr>
            <w:tcW w:w="6911" w:type="dxa"/>
          </w:tcPr>
          <w:p w14:paraId="405C241C" w14:textId="77777777" w:rsidR="00492E0B" w:rsidRPr="0066352C" w:rsidRDefault="00492E0B" w:rsidP="0066352C">
            <w:pPr>
              <w:rPr>
                <w:lang w:val="en-GB"/>
              </w:rPr>
            </w:pPr>
            <w:r w:rsidRPr="0066352C">
              <w:rPr>
                <w:bCs/>
                <w:lang w:val="en-GB"/>
              </w:rPr>
              <w:t>Adverse event</w:t>
            </w:r>
            <w:r w:rsidRPr="0066352C">
              <w:rPr>
                <w:lang w:val="en-GB"/>
              </w:rPr>
              <w:t> leading to discontinuation or death</w:t>
            </w:r>
          </w:p>
        </w:tc>
      </w:tr>
      <w:tr w:rsidR="00492E0B" w:rsidRPr="00FD119B" w14:paraId="6830FC94" w14:textId="77777777" w:rsidTr="00FD119B">
        <w:tc>
          <w:tcPr>
            <w:tcW w:w="1809" w:type="dxa"/>
          </w:tcPr>
          <w:p w14:paraId="63715F12" w14:textId="77777777" w:rsidR="00492E0B" w:rsidRDefault="00492E0B" w:rsidP="00FD119B">
            <w:r>
              <w:t>ARTG</w:t>
            </w:r>
          </w:p>
        </w:tc>
        <w:tc>
          <w:tcPr>
            <w:tcW w:w="6911" w:type="dxa"/>
          </w:tcPr>
          <w:p w14:paraId="0F59196C" w14:textId="77777777" w:rsidR="00492E0B" w:rsidRDefault="00492E0B" w:rsidP="00FD119B">
            <w:r w:rsidRPr="003917B8">
              <w:t>Australian Register of Therapeutic Goods</w:t>
            </w:r>
          </w:p>
        </w:tc>
      </w:tr>
      <w:tr w:rsidR="00492E0B" w:rsidRPr="00FD119B" w14:paraId="2A0A9F56" w14:textId="77777777" w:rsidTr="00FD119B">
        <w:tc>
          <w:tcPr>
            <w:tcW w:w="1809" w:type="dxa"/>
          </w:tcPr>
          <w:p w14:paraId="3A56AA62" w14:textId="77777777" w:rsidR="00492E0B" w:rsidRDefault="00492E0B" w:rsidP="00FD119B">
            <w:r>
              <w:t>ASA</w:t>
            </w:r>
          </w:p>
        </w:tc>
        <w:tc>
          <w:tcPr>
            <w:tcW w:w="6911" w:type="dxa"/>
          </w:tcPr>
          <w:p w14:paraId="29D34BAB" w14:textId="77777777" w:rsidR="00492E0B" w:rsidRDefault="00492E0B" w:rsidP="00FD119B">
            <w:r>
              <w:t>Australian Specific Annex</w:t>
            </w:r>
          </w:p>
        </w:tc>
      </w:tr>
      <w:tr w:rsidR="00492E0B" w:rsidRPr="00FD119B" w14:paraId="1BB1E323" w14:textId="77777777" w:rsidTr="00FD119B">
        <w:tc>
          <w:tcPr>
            <w:tcW w:w="1809" w:type="dxa"/>
          </w:tcPr>
          <w:p w14:paraId="748F7344" w14:textId="77777777" w:rsidR="00492E0B" w:rsidRDefault="00492E0B" w:rsidP="00FD119B">
            <w:r>
              <w:t>CD4+</w:t>
            </w:r>
          </w:p>
        </w:tc>
        <w:tc>
          <w:tcPr>
            <w:tcW w:w="6911" w:type="dxa"/>
          </w:tcPr>
          <w:p w14:paraId="3E45ED6A" w14:textId="77777777" w:rsidR="00492E0B" w:rsidRDefault="00492E0B" w:rsidP="00FD119B">
            <w:r>
              <w:t>Activated helper T cells</w:t>
            </w:r>
          </w:p>
        </w:tc>
      </w:tr>
      <w:tr w:rsidR="00492E0B" w:rsidRPr="00FD119B" w14:paraId="328893A6" w14:textId="77777777" w:rsidTr="00FD119B">
        <w:tc>
          <w:tcPr>
            <w:tcW w:w="1809" w:type="dxa"/>
          </w:tcPr>
          <w:p w14:paraId="12637136" w14:textId="77777777" w:rsidR="00492E0B" w:rsidRDefault="00492E0B" w:rsidP="00FD119B">
            <w:r>
              <w:t>CD8+</w:t>
            </w:r>
          </w:p>
        </w:tc>
        <w:tc>
          <w:tcPr>
            <w:tcW w:w="6911" w:type="dxa"/>
          </w:tcPr>
          <w:p w14:paraId="0BFAE0A3" w14:textId="77777777" w:rsidR="00492E0B" w:rsidRDefault="00492E0B" w:rsidP="00FD119B">
            <w:r>
              <w:t>Activated cytotoxic T cells</w:t>
            </w:r>
          </w:p>
        </w:tc>
      </w:tr>
      <w:tr w:rsidR="00492E0B" w:rsidRPr="00FD119B" w14:paraId="17B04A5C" w14:textId="77777777" w:rsidTr="00FD119B">
        <w:tc>
          <w:tcPr>
            <w:tcW w:w="1809" w:type="dxa"/>
          </w:tcPr>
          <w:p w14:paraId="3C951741" w14:textId="77777777" w:rsidR="00492E0B" w:rsidRDefault="00492E0B" w:rsidP="00FD119B">
            <w:r>
              <w:t>CER</w:t>
            </w:r>
          </w:p>
        </w:tc>
        <w:tc>
          <w:tcPr>
            <w:tcW w:w="6911" w:type="dxa"/>
          </w:tcPr>
          <w:p w14:paraId="3EA9EB2F" w14:textId="77777777" w:rsidR="00492E0B" w:rsidRDefault="00492E0B" w:rsidP="00FD119B">
            <w:r>
              <w:t>Clinical Evaluation Report</w:t>
            </w:r>
          </w:p>
        </w:tc>
      </w:tr>
      <w:tr w:rsidR="00492E0B" w:rsidRPr="00FD119B" w14:paraId="0F2E509D" w14:textId="77777777" w:rsidTr="00FD119B">
        <w:tc>
          <w:tcPr>
            <w:tcW w:w="1809" w:type="dxa"/>
          </w:tcPr>
          <w:p w14:paraId="61216E8E" w14:textId="77777777" w:rsidR="00492E0B" w:rsidRDefault="00492E0B" w:rsidP="00FD119B">
            <w:proofErr w:type="spellStart"/>
            <w:r>
              <w:t>cHL</w:t>
            </w:r>
            <w:proofErr w:type="spellEnd"/>
          </w:p>
        </w:tc>
        <w:tc>
          <w:tcPr>
            <w:tcW w:w="6911" w:type="dxa"/>
          </w:tcPr>
          <w:p w14:paraId="5A9B3432" w14:textId="77777777" w:rsidR="00492E0B" w:rsidRDefault="00492E0B" w:rsidP="005C71C8">
            <w:pPr>
              <w:rPr>
                <w:lang w:val="en-GB"/>
              </w:rPr>
            </w:pPr>
            <w:r>
              <w:rPr>
                <w:lang w:val="en-GB"/>
              </w:rPr>
              <w:t>Classical Hodgkin lymphoma</w:t>
            </w:r>
          </w:p>
        </w:tc>
      </w:tr>
      <w:tr w:rsidR="00492E0B" w:rsidRPr="00FD119B" w14:paraId="4CC25761" w14:textId="77777777" w:rsidTr="00FD119B">
        <w:tc>
          <w:tcPr>
            <w:tcW w:w="1809" w:type="dxa"/>
          </w:tcPr>
          <w:p w14:paraId="7ED74078" w14:textId="77777777" w:rsidR="00492E0B" w:rsidRDefault="00492E0B" w:rsidP="00FD119B">
            <w:r>
              <w:t>CHMP</w:t>
            </w:r>
          </w:p>
        </w:tc>
        <w:tc>
          <w:tcPr>
            <w:tcW w:w="6911" w:type="dxa"/>
          </w:tcPr>
          <w:p w14:paraId="22D12698" w14:textId="77777777" w:rsidR="00492E0B" w:rsidRDefault="00492E0B" w:rsidP="00FD119B">
            <w:r w:rsidRPr="00CD5B41">
              <w:rPr>
                <w:lang w:val="en-GB"/>
              </w:rPr>
              <w:t>Committee for Medicinal Products for Human Use</w:t>
            </w:r>
          </w:p>
        </w:tc>
      </w:tr>
      <w:tr w:rsidR="00492E0B" w:rsidRPr="00FD119B" w14:paraId="67E71ED1" w14:textId="77777777" w:rsidTr="00FD119B">
        <w:tc>
          <w:tcPr>
            <w:tcW w:w="1809" w:type="dxa"/>
          </w:tcPr>
          <w:p w14:paraId="569F0CFD" w14:textId="77777777" w:rsidR="00492E0B" w:rsidRDefault="00492E0B" w:rsidP="00FD119B">
            <w:r>
              <w:t>CI</w:t>
            </w:r>
          </w:p>
        </w:tc>
        <w:tc>
          <w:tcPr>
            <w:tcW w:w="6911" w:type="dxa"/>
          </w:tcPr>
          <w:p w14:paraId="2EC21D34" w14:textId="77777777" w:rsidR="00492E0B" w:rsidRPr="005C71C8" w:rsidRDefault="00492E0B" w:rsidP="005C71C8">
            <w:pPr>
              <w:rPr>
                <w:lang w:val="en-GB"/>
              </w:rPr>
            </w:pPr>
            <w:r>
              <w:rPr>
                <w:lang w:val="en-GB"/>
              </w:rPr>
              <w:t>Confidence interval</w:t>
            </w:r>
          </w:p>
        </w:tc>
      </w:tr>
      <w:tr w:rsidR="00492E0B" w:rsidRPr="00FD119B" w14:paraId="5E39DFE7" w14:textId="77777777" w:rsidTr="00FD119B">
        <w:tc>
          <w:tcPr>
            <w:tcW w:w="1809" w:type="dxa"/>
          </w:tcPr>
          <w:p w14:paraId="28962A58" w14:textId="77777777" w:rsidR="00492E0B" w:rsidRDefault="00492E0B" w:rsidP="00FD119B">
            <w:r>
              <w:t>CMI</w:t>
            </w:r>
          </w:p>
        </w:tc>
        <w:tc>
          <w:tcPr>
            <w:tcW w:w="6911" w:type="dxa"/>
          </w:tcPr>
          <w:p w14:paraId="23E33375" w14:textId="77777777" w:rsidR="00492E0B" w:rsidRDefault="00492E0B" w:rsidP="005C71C8">
            <w:pPr>
              <w:rPr>
                <w:lang w:val="en-GB"/>
              </w:rPr>
            </w:pPr>
            <w:r>
              <w:rPr>
                <w:lang w:val="en-GB"/>
              </w:rPr>
              <w:t>Consumer Medicine Information</w:t>
            </w:r>
          </w:p>
        </w:tc>
      </w:tr>
      <w:tr w:rsidR="00492E0B" w:rsidRPr="00FD119B" w14:paraId="3F9410D8" w14:textId="77777777" w:rsidTr="00FD119B">
        <w:tc>
          <w:tcPr>
            <w:tcW w:w="1809" w:type="dxa"/>
          </w:tcPr>
          <w:p w14:paraId="6D4F76EF" w14:textId="77777777" w:rsidR="00492E0B" w:rsidRDefault="00492E0B" w:rsidP="00FD119B">
            <w:r>
              <w:t>CNS</w:t>
            </w:r>
          </w:p>
        </w:tc>
        <w:tc>
          <w:tcPr>
            <w:tcW w:w="6911" w:type="dxa"/>
          </w:tcPr>
          <w:p w14:paraId="1C929CBF" w14:textId="77777777" w:rsidR="00492E0B" w:rsidRPr="005C71C8" w:rsidRDefault="00492E0B" w:rsidP="005C71C8">
            <w:pPr>
              <w:rPr>
                <w:lang w:val="en-GB"/>
              </w:rPr>
            </w:pPr>
            <w:r>
              <w:rPr>
                <w:lang w:val="en-GB"/>
              </w:rPr>
              <w:t>Central nervous system</w:t>
            </w:r>
          </w:p>
        </w:tc>
      </w:tr>
      <w:tr w:rsidR="00492E0B" w:rsidRPr="00FD119B" w14:paraId="36E00E95" w14:textId="77777777" w:rsidTr="00FD119B">
        <w:tc>
          <w:tcPr>
            <w:tcW w:w="1809" w:type="dxa"/>
          </w:tcPr>
          <w:p w14:paraId="2E5716EC" w14:textId="77777777" w:rsidR="00492E0B" w:rsidRDefault="00492E0B" w:rsidP="00FD119B">
            <w:r>
              <w:t>CSR</w:t>
            </w:r>
          </w:p>
        </w:tc>
        <w:tc>
          <w:tcPr>
            <w:tcW w:w="6911" w:type="dxa"/>
          </w:tcPr>
          <w:p w14:paraId="5E171727" w14:textId="77777777" w:rsidR="00492E0B" w:rsidRDefault="00492E0B" w:rsidP="005C71C8">
            <w:pPr>
              <w:rPr>
                <w:lang w:val="en-GB"/>
              </w:rPr>
            </w:pPr>
            <w:r>
              <w:rPr>
                <w:lang w:val="en-GB"/>
              </w:rPr>
              <w:t>Clinical Study Report</w:t>
            </w:r>
          </w:p>
        </w:tc>
      </w:tr>
      <w:tr w:rsidR="00492E0B" w:rsidRPr="00FD119B" w14:paraId="089FA0E7" w14:textId="77777777" w:rsidTr="00FD119B">
        <w:tc>
          <w:tcPr>
            <w:tcW w:w="1809" w:type="dxa"/>
          </w:tcPr>
          <w:p w14:paraId="4C9C34AF" w14:textId="77777777" w:rsidR="00492E0B" w:rsidRDefault="00492E0B" w:rsidP="00FD119B">
            <w:r>
              <w:t>CTCAE</w:t>
            </w:r>
          </w:p>
        </w:tc>
        <w:tc>
          <w:tcPr>
            <w:tcW w:w="6911" w:type="dxa"/>
          </w:tcPr>
          <w:p w14:paraId="1F9DED26" w14:textId="77777777" w:rsidR="00492E0B" w:rsidRPr="005C718B" w:rsidRDefault="00492E0B" w:rsidP="005C71C8">
            <w:pPr>
              <w:rPr>
                <w:lang w:val="en-GB"/>
              </w:rPr>
            </w:pPr>
            <w:r w:rsidRPr="001A6275">
              <w:rPr>
                <w:lang w:val="en-GB"/>
              </w:rPr>
              <w:t>Common Terminology Criteria for Adverse Events</w:t>
            </w:r>
          </w:p>
        </w:tc>
      </w:tr>
      <w:tr w:rsidR="00492E0B" w:rsidRPr="00FD119B" w14:paraId="0503B0C3" w14:textId="77777777" w:rsidTr="00FD119B">
        <w:tc>
          <w:tcPr>
            <w:tcW w:w="1809" w:type="dxa"/>
          </w:tcPr>
          <w:p w14:paraId="6EEC6614" w14:textId="77777777" w:rsidR="00492E0B" w:rsidRDefault="00492E0B" w:rsidP="00FD119B">
            <w:r>
              <w:t>DHCP</w:t>
            </w:r>
          </w:p>
        </w:tc>
        <w:tc>
          <w:tcPr>
            <w:tcW w:w="6911" w:type="dxa"/>
          </w:tcPr>
          <w:p w14:paraId="7E14F4E3" w14:textId="77777777" w:rsidR="00492E0B" w:rsidRDefault="00492E0B" w:rsidP="005C71C8">
            <w:pPr>
              <w:rPr>
                <w:lang w:val="en-GB"/>
              </w:rPr>
            </w:pPr>
            <w:r>
              <w:rPr>
                <w:lang w:val="en-GB"/>
              </w:rPr>
              <w:t>Dear Healthcare Professional</w:t>
            </w:r>
          </w:p>
        </w:tc>
      </w:tr>
      <w:tr w:rsidR="00492E0B" w:rsidRPr="00FD119B" w14:paraId="266E5EE2" w14:textId="77777777" w:rsidTr="00FD119B">
        <w:tc>
          <w:tcPr>
            <w:tcW w:w="1809" w:type="dxa"/>
          </w:tcPr>
          <w:p w14:paraId="79A0EBE6" w14:textId="77777777" w:rsidR="00492E0B" w:rsidRDefault="00492E0B" w:rsidP="00FD119B">
            <w:r>
              <w:t>EMA</w:t>
            </w:r>
          </w:p>
        </w:tc>
        <w:tc>
          <w:tcPr>
            <w:tcW w:w="6911" w:type="dxa"/>
          </w:tcPr>
          <w:p w14:paraId="2D86C633" w14:textId="77777777" w:rsidR="00492E0B" w:rsidRDefault="00492E0B" w:rsidP="00FD119B">
            <w:r>
              <w:t>European Medicines Agency</w:t>
            </w:r>
          </w:p>
        </w:tc>
      </w:tr>
      <w:tr w:rsidR="00492E0B" w:rsidRPr="00FD119B" w14:paraId="42D06503" w14:textId="77777777" w:rsidTr="00FD119B">
        <w:tc>
          <w:tcPr>
            <w:tcW w:w="1809" w:type="dxa"/>
          </w:tcPr>
          <w:p w14:paraId="733ABB19" w14:textId="77777777" w:rsidR="00492E0B" w:rsidRPr="00FD119B" w:rsidRDefault="00492E0B" w:rsidP="00FD119B">
            <w:r>
              <w:t>ESMO</w:t>
            </w:r>
          </w:p>
        </w:tc>
        <w:tc>
          <w:tcPr>
            <w:tcW w:w="6911" w:type="dxa"/>
          </w:tcPr>
          <w:p w14:paraId="2F28945C" w14:textId="77777777" w:rsidR="00492E0B" w:rsidRPr="00FD119B" w:rsidRDefault="00492E0B" w:rsidP="00FD119B">
            <w:r w:rsidRPr="006F5523">
              <w:t>European Society of Medical Oncology</w:t>
            </w:r>
          </w:p>
        </w:tc>
      </w:tr>
      <w:tr w:rsidR="00492E0B" w:rsidRPr="00FD119B" w14:paraId="523331D3" w14:textId="77777777" w:rsidTr="00FD119B">
        <w:tc>
          <w:tcPr>
            <w:tcW w:w="1809" w:type="dxa"/>
          </w:tcPr>
          <w:p w14:paraId="4FC00AE4" w14:textId="77777777" w:rsidR="00492E0B" w:rsidRDefault="00492E0B" w:rsidP="00FD119B">
            <w:r>
              <w:t>EU</w:t>
            </w:r>
          </w:p>
        </w:tc>
        <w:tc>
          <w:tcPr>
            <w:tcW w:w="6911" w:type="dxa"/>
          </w:tcPr>
          <w:p w14:paraId="156EAEC3" w14:textId="77777777" w:rsidR="00492E0B" w:rsidRDefault="00492E0B" w:rsidP="00FD119B">
            <w:r>
              <w:t>European Union</w:t>
            </w:r>
          </w:p>
        </w:tc>
      </w:tr>
      <w:tr w:rsidR="00492E0B" w:rsidRPr="00FD119B" w14:paraId="23740928" w14:textId="77777777" w:rsidTr="00FD119B">
        <w:tc>
          <w:tcPr>
            <w:tcW w:w="1809" w:type="dxa"/>
          </w:tcPr>
          <w:p w14:paraId="110B5455" w14:textId="77777777" w:rsidR="00492E0B" w:rsidRDefault="00492E0B" w:rsidP="00FD119B">
            <w:r>
              <w:t>FDA</w:t>
            </w:r>
          </w:p>
        </w:tc>
        <w:tc>
          <w:tcPr>
            <w:tcW w:w="6911" w:type="dxa"/>
          </w:tcPr>
          <w:p w14:paraId="7AAEEAD6" w14:textId="77777777" w:rsidR="00492E0B" w:rsidRDefault="00492E0B" w:rsidP="00FD119B">
            <w:r>
              <w:t>Food and Drug Administration (US)</w:t>
            </w:r>
          </w:p>
        </w:tc>
      </w:tr>
      <w:tr w:rsidR="00492E0B" w:rsidRPr="00FD119B" w14:paraId="12D5FC06" w14:textId="77777777" w:rsidTr="00FD119B">
        <w:tc>
          <w:tcPr>
            <w:tcW w:w="1809" w:type="dxa"/>
          </w:tcPr>
          <w:p w14:paraId="35900F49" w14:textId="77777777" w:rsidR="00492E0B" w:rsidRDefault="00492E0B" w:rsidP="00FD119B">
            <w:r>
              <w:t>FKSI-DRS</w:t>
            </w:r>
          </w:p>
        </w:tc>
        <w:tc>
          <w:tcPr>
            <w:tcW w:w="6911" w:type="dxa"/>
          </w:tcPr>
          <w:p w14:paraId="72A72F7E" w14:textId="77777777" w:rsidR="00492E0B" w:rsidRDefault="00492E0B" w:rsidP="005C71C8">
            <w:pPr>
              <w:rPr>
                <w:lang w:val="en-GB"/>
              </w:rPr>
            </w:pPr>
            <w:r w:rsidRPr="00AF0BB6">
              <w:t>Functional Assessment of Cancer Therapy-Kidney Symptom Index</w:t>
            </w:r>
            <w:r>
              <w:t xml:space="preserve"> </w:t>
            </w:r>
            <w:r w:rsidRPr="00AF0BB6">
              <w:t>Disease-Related Symptoms</w:t>
            </w:r>
            <w:r>
              <w:t xml:space="preserve"> scale</w:t>
            </w:r>
          </w:p>
        </w:tc>
      </w:tr>
      <w:tr w:rsidR="00492E0B" w:rsidRPr="00FD119B" w14:paraId="22183170" w14:textId="77777777" w:rsidTr="00FD119B">
        <w:tc>
          <w:tcPr>
            <w:tcW w:w="1809" w:type="dxa"/>
          </w:tcPr>
          <w:p w14:paraId="36322069" w14:textId="77777777" w:rsidR="00492E0B" w:rsidRDefault="00492E0B" w:rsidP="00FD119B">
            <w:r>
              <w:t>GCP</w:t>
            </w:r>
          </w:p>
        </w:tc>
        <w:tc>
          <w:tcPr>
            <w:tcW w:w="6911" w:type="dxa"/>
          </w:tcPr>
          <w:p w14:paraId="3C1238C2" w14:textId="77777777" w:rsidR="00492E0B" w:rsidRPr="005C71C8" w:rsidRDefault="00492E0B" w:rsidP="005C71C8">
            <w:pPr>
              <w:rPr>
                <w:lang w:val="en-GB"/>
              </w:rPr>
            </w:pPr>
            <w:r>
              <w:rPr>
                <w:lang w:val="en-GB"/>
              </w:rPr>
              <w:t>Good Clinical Practice</w:t>
            </w:r>
          </w:p>
        </w:tc>
      </w:tr>
      <w:tr w:rsidR="00492E0B" w:rsidRPr="00FD119B" w14:paraId="51A9E616" w14:textId="77777777" w:rsidTr="00FD119B">
        <w:tc>
          <w:tcPr>
            <w:tcW w:w="1809" w:type="dxa"/>
          </w:tcPr>
          <w:p w14:paraId="152D49B1" w14:textId="77777777" w:rsidR="00492E0B" w:rsidRDefault="00492E0B" w:rsidP="00FD119B">
            <w:r>
              <w:t>HCP</w:t>
            </w:r>
          </w:p>
        </w:tc>
        <w:tc>
          <w:tcPr>
            <w:tcW w:w="6911" w:type="dxa"/>
          </w:tcPr>
          <w:p w14:paraId="0570C107" w14:textId="77777777" w:rsidR="00492E0B" w:rsidRDefault="00492E0B" w:rsidP="005C71C8">
            <w:pPr>
              <w:rPr>
                <w:lang w:val="en-GB"/>
              </w:rPr>
            </w:pPr>
            <w:r>
              <w:rPr>
                <w:lang w:val="en-GB"/>
              </w:rPr>
              <w:t>Healthcare professional</w:t>
            </w:r>
          </w:p>
        </w:tc>
      </w:tr>
      <w:tr w:rsidR="00492E0B" w:rsidRPr="00FD119B" w14:paraId="195B5D63" w14:textId="77777777" w:rsidTr="00FD119B">
        <w:tc>
          <w:tcPr>
            <w:tcW w:w="1809" w:type="dxa"/>
          </w:tcPr>
          <w:p w14:paraId="7DECAAD6" w14:textId="77777777" w:rsidR="00492E0B" w:rsidRDefault="00492E0B" w:rsidP="00FD119B">
            <w:r>
              <w:lastRenderedPageBreak/>
              <w:t>HR</w:t>
            </w:r>
          </w:p>
        </w:tc>
        <w:tc>
          <w:tcPr>
            <w:tcW w:w="6911" w:type="dxa"/>
          </w:tcPr>
          <w:p w14:paraId="7B62D391" w14:textId="77777777" w:rsidR="00492E0B" w:rsidRPr="005C71C8" w:rsidRDefault="00492E0B" w:rsidP="005C71C8">
            <w:pPr>
              <w:rPr>
                <w:lang w:val="en-GB"/>
              </w:rPr>
            </w:pPr>
            <w:r>
              <w:rPr>
                <w:lang w:val="en-GB"/>
              </w:rPr>
              <w:t>Hazard ratio</w:t>
            </w:r>
          </w:p>
        </w:tc>
      </w:tr>
      <w:tr w:rsidR="00492E0B" w:rsidRPr="00FD119B" w14:paraId="1A448AB9" w14:textId="77777777" w:rsidTr="00FD119B">
        <w:tc>
          <w:tcPr>
            <w:tcW w:w="1809" w:type="dxa"/>
          </w:tcPr>
          <w:p w14:paraId="611A4E3E" w14:textId="77777777" w:rsidR="00492E0B" w:rsidRDefault="00492E0B" w:rsidP="00FD119B">
            <w:proofErr w:type="spellStart"/>
            <w:r w:rsidRPr="005670DC">
              <w:t>HuMAb</w:t>
            </w:r>
            <w:proofErr w:type="spellEnd"/>
          </w:p>
        </w:tc>
        <w:tc>
          <w:tcPr>
            <w:tcW w:w="6911" w:type="dxa"/>
          </w:tcPr>
          <w:p w14:paraId="493891F7" w14:textId="77777777" w:rsidR="00492E0B" w:rsidRDefault="00492E0B" w:rsidP="00FD119B">
            <w:r>
              <w:t>Human monoclonal antibody</w:t>
            </w:r>
          </w:p>
        </w:tc>
      </w:tr>
      <w:tr w:rsidR="00492E0B" w:rsidRPr="00FD119B" w14:paraId="7AB4A0DB" w14:textId="77777777" w:rsidTr="00FD119B">
        <w:tc>
          <w:tcPr>
            <w:tcW w:w="1809" w:type="dxa"/>
          </w:tcPr>
          <w:p w14:paraId="528A9474" w14:textId="77777777" w:rsidR="00492E0B" w:rsidRDefault="00492E0B" w:rsidP="00FD119B">
            <w:r>
              <w:t>IL-</w:t>
            </w:r>
          </w:p>
        </w:tc>
        <w:tc>
          <w:tcPr>
            <w:tcW w:w="6911" w:type="dxa"/>
          </w:tcPr>
          <w:p w14:paraId="296DF74A" w14:textId="77777777" w:rsidR="00492E0B" w:rsidRDefault="00492E0B" w:rsidP="00FD119B">
            <w:r>
              <w:t>Interleukin-</w:t>
            </w:r>
          </w:p>
        </w:tc>
      </w:tr>
      <w:tr w:rsidR="00492E0B" w:rsidRPr="00FD119B" w14:paraId="392190C2" w14:textId="77777777" w:rsidTr="00FD119B">
        <w:tc>
          <w:tcPr>
            <w:tcW w:w="1809" w:type="dxa"/>
          </w:tcPr>
          <w:p w14:paraId="7E8BDCA1" w14:textId="77777777" w:rsidR="00492E0B" w:rsidRDefault="00492E0B" w:rsidP="00FD119B">
            <w:r>
              <w:t>IMAE</w:t>
            </w:r>
          </w:p>
        </w:tc>
        <w:tc>
          <w:tcPr>
            <w:tcW w:w="6911" w:type="dxa"/>
          </w:tcPr>
          <w:p w14:paraId="569BFC0E" w14:textId="77777777" w:rsidR="00492E0B" w:rsidRDefault="00492E0B" w:rsidP="005C71C8">
            <w:pPr>
              <w:rPr>
                <w:lang w:val="en-GB"/>
              </w:rPr>
            </w:pPr>
            <w:r>
              <w:rPr>
                <w:lang w:val="en-GB"/>
              </w:rPr>
              <w:t>Immune mediated adverse event</w:t>
            </w:r>
          </w:p>
        </w:tc>
      </w:tr>
      <w:tr w:rsidR="00492E0B" w:rsidRPr="00FD119B" w14:paraId="69476E7C" w14:textId="77777777" w:rsidTr="00FD119B">
        <w:tc>
          <w:tcPr>
            <w:tcW w:w="1809" w:type="dxa"/>
          </w:tcPr>
          <w:p w14:paraId="57BB3CFD" w14:textId="77777777" w:rsidR="00492E0B" w:rsidRDefault="00492E0B" w:rsidP="00FD119B">
            <w:proofErr w:type="spellStart"/>
            <w:r>
              <w:t>irAE</w:t>
            </w:r>
            <w:proofErr w:type="spellEnd"/>
          </w:p>
        </w:tc>
        <w:tc>
          <w:tcPr>
            <w:tcW w:w="6911" w:type="dxa"/>
          </w:tcPr>
          <w:p w14:paraId="451F9FEF" w14:textId="77777777" w:rsidR="00492E0B" w:rsidRDefault="00492E0B" w:rsidP="00FD119B">
            <w:r>
              <w:t>I</w:t>
            </w:r>
            <w:r w:rsidRPr="003917B8">
              <w:t>mmune related adverse event</w:t>
            </w:r>
          </w:p>
        </w:tc>
      </w:tr>
      <w:tr w:rsidR="00492E0B" w:rsidRPr="00FD119B" w14:paraId="31A4A227" w14:textId="77777777" w:rsidTr="00FD119B">
        <w:tc>
          <w:tcPr>
            <w:tcW w:w="1809" w:type="dxa"/>
          </w:tcPr>
          <w:p w14:paraId="74668301" w14:textId="77777777" w:rsidR="00492E0B" w:rsidRDefault="00492E0B" w:rsidP="00FD119B">
            <w:proofErr w:type="spellStart"/>
            <w:r>
              <w:t>irAR</w:t>
            </w:r>
            <w:proofErr w:type="spellEnd"/>
          </w:p>
        </w:tc>
        <w:tc>
          <w:tcPr>
            <w:tcW w:w="6911" w:type="dxa"/>
          </w:tcPr>
          <w:p w14:paraId="1BBCB626" w14:textId="77777777" w:rsidR="00492E0B" w:rsidRPr="005C718B" w:rsidRDefault="00492E0B" w:rsidP="005C71C8">
            <w:pPr>
              <w:rPr>
                <w:lang w:val="en-GB"/>
              </w:rPr>
            </w:pPr>
            <w:r>
              <w:rPr>
                <w:lang w:val="en-GB"/>
              </w:rPr>
              <w:t>Immune related adverse reaction</w:t>
            </w:r>
          </w:p>
        </w:tc>
      </w:tr>
      <w:tr w:rsidR="00492E0B" w:rsidRPr="00FD119B" w14:paraId="381D1F8C" w14:textId="77777777" w:rsidTr="00FD119B">
        <w:tc>
          <w:tcPr>
            <w:tcW w:w="1809" w:type="dxa"/>
          </w:tcPr>
          <w:p w14:paraId="13ED7D8D" w14:textId="77777777" w:rsidR="00492E0B" w:rsidRPr="00FD119B" w:rsidRDefault="00492E0B" w:rsidP="00FD119B">
            <w:r>
              <w:t>IV</w:t>
            </w:r>
          </w:p>
        </w:tc>
        <w:tc>
          <w:tcPr>
            <w:tcW w:w="6911" w:type="dxa"/>
          </w:tcPr>
          <w:p w14:paraId="18F6335C" w14:textId="77777777" w:rsidR="00492E0B" w:rsidRPr="00FD119B" w:rsidRDefault="00492E0B" w:rsidP="00FD119B">
            <w:r>
              <w:t>Intravenous</w:t>
            </w:r>
          </w:p>
        </w:tc>
      </w:tr>
      <w:tr w:rsidR="00492E0B" w:rsidRPr="00FD119B" w14:paraId="595B99E9" w14:textId="77777777" w:rsidTr="00FD119B">
        <w:tc>
          <w:tcPr>
            <w:tcW w:w="1809" w:type="dxa"/>
          </w:tcPr>
          <w:p w14:paraId="50501081" w14:textId="77777777" w:rsidR="00492E0B" w:rsidRDefault="00492E0B" w:rsidP="00FD119B">
            <w:r>
              <w:t>K-M</w:t>
            </w:r>
          </w:p>
        </w:tc>
        <w:tc>
          <w:tcPr>
            <w:tcW w:w="6911" w:type="dxa"/>
          </w:tcPr>
          <w:p w14:paraId="2A960C1E" w14:textId="77777777" w:rsidR="00492E0B" w:rsidRPr="005C71C8" w:rsidRDefault="00492E0B" w:rsidP="005C71C8">
            <w:pPr>
              <w:rPr>
                <w:lang w:val="en-GB"/>
              </w:rPr>
            </w:pPr>
            <w:r>
              <w:rPr>
                <w:lang w:val="en-GB"/>
              </w:rPr>
              <w:t>Kaplan-Meier</w:t>
            </w:r>
          </w:p>
        </w:tc>
      </w:tr>
      <w:tr w:rsidR="00492E0B" w:rsidRPr="00FD119B" w14:paraId="713A42B3" w14:textId="77777777" w:rsidTr="00FD119B">
        <w:tc>
          <w:tcPr>
            <w:tcW w:w="1809" w:type="dxa"/>
          </w:tcPr>
          <w:p w14:paraId="2A2C76A2" w14:textId="77777777" w:rsidR="00492E0B" w:rsidRDefault="00492E0B" w:rsidP="00FD119B">
            <w:r>
              <w:t>KPS</w:t>
            </w:r>
          </w:p>
        </w:tc>
        <w:tc>
          <w:tcPr>
            <w:tcW w:w="6911" w:type="dxa"/>
          </w:tcPr>
          <w:p w14:paraId="06CFE96A" w14:textId="77777777" w:rsidR="00492E0B" w:rsidRPr="005C71C8" w:rsidRDefault="00492E0B" w:rsidP="00003BD9">
            <w:pPr>
              <w:rPr>
                <w:lang w:val="en-GB"/>
              </w:rPr>
            </w:pPr>
            <w:proofErr w:type="spellStart"/>
            <w:r>
              <w:rPr>
                <w:lang w:val="en-GB"/>
              </w:rPr>
              <w:t>Karnofsky</w:t>
            </w:r>
            <w:proofErr w:type="spellEnd"/>
            <w:r>
              <w:rPr>
                <w:lang w:val="en-GB"/>
              </w:rPr>
              <w:t xml:space="preserve"> performance status</w:t>
            </w:r>
          </w:p>
        </w:tc>
      </w:tr>
      <w:tr w:rsidR="00492E0B" w:rsidRPr="00FD119B" w14:paraId="4BD06747" w14:textId="77777777" w:rsidTr="00FD119B">
        <w:tc>
          <w:tcPr>
            <w:tcW w:w="1809" w:type="dxa"/>
          </w:tcPr>
          <w:p w14:paraId="631DB9E5" w14:textId="77777777" w:rsidR="00492E0B" w:rsidRPr="00FD119B" w:rsidRDefault="00492E0B" w:rsidP="00FD119B">
            <w:proofErr w:type="spellStart"/>
            <w:r>
              <w:t>mAb</w:t>
            </w:r>
            <w:proofErr w:type="spellEnd"/>
          </w:p>
        </w:tc>
        <w:tc>
          <w:tcPr>
            <w:tcW w:w="6911" w:type="dxa"/>
          </w:tcPr>
          <w:p w14:paraId="0671838D" w14:textId="77777777" w:rsidR="00492E0B" w:rsidRPr="00FD119B" w:rsidRDefault="00492E0B" w:rsidP="00FD119B">
            <w:r>
              <w:t>Monoclonal antibody</w:t>
            </w:r>
          </w:p>
        </w:tc>
      </w:tr>
      <w:tr w:rsidR="00492E0B" w:rsidRPr="00FD119B" w14:paraId="0B55B223" w14:textId="77777777" w:rsidTr="00FD119B">
        <w:tc>
          <w:tcPr>
            <w:tcW w:w="1809" w:type="dxa"/>
          </w:tcPr>
          <w:p w14:paraId="1516EB55" w14:textId="77777777" w:rsidR="00492E0B" w:rsidRDefault="00492E0B" w:rsidP="00FD119B">
            <w:proofErr w:type="spellStart"/>
            <w:r>
              <w:t>MedDRA</w:t>
            </w:r>
            <w:proofErr w:type="spellEnd"/>
          </w:p>
        </w:tc>
        <w:tc>
          <w:tcPr>
            <w:tcW w:w="6911" w:type="dxa"/>
          </w:tcPr>
          <w:p w14:paraId="2B4EDBDF" w14:textId="77777777" w:rsidR="00492E0B" w:rsidRDefault="00492E0B" w:rsidP="005C71C8">
            <w:pPr>
              <w:rPr>
                <w:lang w:val="en-GB"/>
              </w:rPr>
            </w:pPr>
            <w:r w:rsidRPr="005C718B">
              <w:rPr>
                <w:lang w:val="en-GB"/>
              </w:rPr>
              <w:t>Medical Dictionary for Regulatory Activities</w:t>
            </w:r>
          </w:p>
        </w:tc>
      </w:tr>
      <w:tr w:rsidR="00492E0B" w:rsidRPr="00FD119B" w14:paraId="24E5B3B1" w14:textId="77777777" w:rsidTr="00FD119B">
        <w:tc>
          <w:tcPr>
            <w:tcW w:w="1809" w:type="dxa"/>
          </w:tcPr>
          <w:p w14:paraId="719F9E10" w14:textId="77777777" w:rsidR="00492E0B" w:rsidRDefault="00492E0B" w:rsidP="00FD119B">
            <w:r>
              <w:t>MODS</w:t>
            </w:r>
          </w:p>
        </w:tc>
        <w:tc>
          <w:tcPr>
            <w:tcW w:w="6911" w:type="dxa"/>
          </w:tcPr>
          <w:p w14:paraId="137FB23E" w14:textId="77777777" w:rsidR="00492E0B" w:rsidRDefault="00492E0B" w:rsidP="00CF2E2E">
            <w:pPr>
              <w:rPr>
                <w:lang w:val="en-GB"/>
              </w:rPr>
            </w:pPr>
            <w:r>
              <w:rPr>
                <w:lang w:val="en-GB"/>
              </w:rPr>
              <w:t>M</w:t>
            </w:r>
            <w:r w:rsidRPr="00CF2E2E">
              <w:rPr>
                <w:lang w:val="en-GB"/>
              </w:rPr>
              <w:t>ultiple organ dysfunction syndrome</w:t>
            </w:r>
          </w:p>
        </w:tc>
      </w:tr>
      <w:tr w:rsidR="00492E0B" w:rsidRPr="00FD119B" w14:paraId="746A633B" w14:textId="77777777" w:rsidTr="00FD119B">
        <w:tc>
          <w:tcPr>
            <w:tcW w:w="1809" w:type="dxa"/>
          </w:tcPr>
          <w:p w14:paraId="1B2B4580" w14:textId="77777777" w:rsidR="00492E0B" w:rsidRDefault="00492E0B" w:rsidP="00FD119B">
            <w:r>
              <w:t>MOF</w:t>
            </w:r>
          </w:p>
        </w:tc>
        <w:tc>
          <w:tcPr>
            <w:tcW w:w="6911" w:type="dxa"/>
          </w:tcPr>
          <w:p w14:paraId="6615FBD1" w14:textId="77777777" w:rsidR="00492E0B" w:rsidRDefault="00492E0B" w:rsidP="00CF2E2E">
            <w:pPr>
              <w:rPr>
                <w:lang w:val="en-GB"/>
              </w:rPr>
            </w:pPr>
            <w:r>
              <w:rPr>
                <w:lang w:val="en-GB"/>
              </w:rPr>
              <w:t>M</w:t>
            </w:r>
            <w:r w:rsidRPr="00CF2E2E">
              <w:rPr>
                <w:lang w:val="en-GB"/>
              </w:rPr>
              <w:t>ultiple organ failure</w:t>
            </w:r>
          </w:p>
        </w:tc>
      </w:tr>
      <w:tr w:rsidR="00492E0B" w:rsidRPr="00FD119B" w14:paraId="27686837" w14:textId="77777777" w:rsidTr="00FD119B">
        <w:tc>
          <w:tcPr>
            <w:tcW w:w="1809" w:type="dxa"/>
          </w:tcPr>
          <w:p w14:paraId="306DB443" w14:textId="77777777" w:rsidR="00492E0B" w:rsidRDefault="00492E0B" w:rsidP="00FD119B">
            <w:r>
              <w:t>MSKCC</w:t>
            </w:r>
          </w:p>
        </w:tc>
        <w:tc>
          <w:tcPr>
            <w:tcW w:w="6911" w:type="dxa"/>
          </w:tcPr>
          <w:p w14:paraId="7BA9427B" w14:textId="77777777" w:rsidR="00492E0B" w:rsidRPr="005C71C8" w:rsidRDefault="00492E0B" w:rsidP="005C71C8">
            <w:pPr>
              <w:rPr>
                <w:lang w:val="en-GB"/>
              </w:rPr>
            </w:pPr>
            <w:r w:rsidRPr="005C71C8">
              <w:rPr>
                <w:lang w:val="en-GB"/>
              </w:rPr>
              <w:t xml:space="preserve">Memorial Sloan Kettering Cancer </w:t>
            </w:r>
            <w:proofErr w:type="spellStart"/>
            <w:r w:rsidRPr="005C71C8">
              <w:rPr>
                <w:lang w:val="en-GB"/>
              </w:rPr>
              <w:t>Center</w:t>
            </w:r>
            <w:proofErr w:type="spellEnd"/>
          </w:p>
        </w:tc>
      </w:tr>
      <w:tr w:rsidR="00492E0B" w:rsidRPr="00FD119B" w14:paraId="031FA225" w14:textId="77777777" w:rsidTr="00FD119B">
        <w:tc>
          <w:tcPr>
            <w:tcW w:w="1809" w:type="dxa"/>
          </w:tcPr>
          <w:p w14:paraId="6B72BF73" w14:textId="77777777" w:rsidR="00492E0B" w:rsidRPr="00FD119B" w:rsidRDefault="00492E0B" w:rsidP="00FD119B">
            <w:proofErr w:type="spellStart"/>
            <w:r>
              <w:t>mTOR</w:t>
            </w:r>
            <w:proofErr w:type="spellEnd"/>
          </w:p>
        </w:tc>
        <w:tc>
          <w:tcPr>
            <w:tcW w:w="6911" w:type="dxa"/>
          </w:tcPr>
          <w:p w14:paraId="2C2784D5" w14:textId="77777777" w:rsidR="00492E0B" w:rsidRPr="00FD119B" w:rsidRDefault="00492E0B" w:rsidP="00FD119B">
            <w:r>
              <w:t>M</w:t>
            </w:r>
            <w:r w:rsidRPr="006F5523">
              <w:t>ammalian Target of Rapamycin</w:t>
            </w:r>
          </w:p>
        </w:tc>
      </w:tr>
      <w:tr w:rsidR="00492E0B" w:rsidRPr="00FD119B" w14:paraId="7FD7323E" w14:textId="77777777" w:rsidTr="00FD119B">
        <w:tc>
          <w:tcPr>
            <w:tcW w:w="1809" w:type="dxa"/>
          </w:tcPr>
          <w:p w14:paraId="6F9C12D8" w14:textId="77777777" w:rsidR="00492E0B" w:rsidRDefault="00492E0B" w:rsidP="00FD119B">
            <w:r>
              <w:t>NBE</w:t>
            </w:r>
          </w:p>
        </w:tc>
        <w:tc>
          <w:tcPr>
            <w:tcW w:w="6911" w:type="dxa"/>
          </w:tcPr>
          <w:p w14:paraId="518BEB85" w14:textId="77777777" w:rsidR="00492E0B" w:rsidRDefault="00492E0B" w:rsidP="00FD119B">
            <w:r>
              <w:t>New Biological Entity</w:t>
            </w:r>
          </w:p>
        </w:tc>
      </w:tr>
      <w:tr w:rsidR="00492E0B" w:rsidRPr="00FD119B" w14:paraId="7A145D34" w14:textId="77777777" w:rsidTr="00FD119B">
        <w:tc>
          <w:tcPr>
            <w:tcW w:w="1809" w:type="dxa"/>
          </w:tcPr>
          <w:p w14:paraId="7DAF680F" w14:textId="77777777" w:rsidR="00492E0B" w:rsidRDefault="00492E0B" w:rsidP="00FD119B">
            <w:r>
              <w:t>NCCN</w:t>
            </w:r>
          </w:p>
        </w:tc>
        <w:tc>
          <w:tcPr>
            <w:tcW w:w="6911" w:type="dxa"/>
          </w:tcPr>
          <w:p w14:paraId="4D380B3F" w14:textId="77777777" w:rsidR="00492E0B" w:rsidRDefault="00492E0B" w:rsidP="00FD119B">
            <w:r w:rsidRPr="00663454">
              <w:t>National Cancer Care Network</w:t>
            </w:r>
          </w:p>
        </w:tc>
      </w:tr>
      <w:tr w:rsidR="00492E0B" w:rsidRPr="00FD119B" w14:paraId="680130C4" w14:textId="77777777" w:rsidTr="00FD119B">
        <w:tc>
          <w:tcPr>
            <w:tcW w:w="1809" w:type="dxa"/>
          </w:tcPr>
          <w:p w14:paraId="7A48949D" w14:textId="77777777" w:rsidR="00492E0B" w:rsidRPr="00FD119B" w:rsidRDefault="00492E0B" w:rsidP="00FD119B">
            <w:r>
              <w:t>NCI</w:t>
            </w:r>
          </w:p>
        </w:tc>
        <w:tc>
          <w:tcPr>
            <w:tcW w:w="6911" w:type="dxa"/>
          </w:tcPr>
          <w:p w14:paraId="4D7A4DA2" w14:textId="77777777" w:rsidR="00492E0B" w:rsidRPr="00FD119B" w:rsidRDefault="00492E0B" w:rsidP="00FD119B">
            <w:r>
              <w:t>National Cancer Institute</w:t>
            </w:r>
          </w:p>
        </w:tc>
      </w:tr>
      <w:tr w:rsidR="00492E0B" w:rsidRPr="00FD119B" w14:paraId="2AF88283" w14:textId="77777777" w:rsidTr="00FD119B">
        <w:tc>
          <w:tcPr>
            <w:tcW w:w="1809" w:type="dxa"/>
          </w:tcPr>
          <w:p w14:paraId="10B8C525" w14:textId="77777777" w:rsidR="00492E0B" w:rsidRDefault="00492E0B" w:rsidP="00FD119B">
            <w:r>
              <w:t>NR</w:t>
            </w:r>
          </w:p>
        </w:tc>
        <w:tc>
          <w:tcPr>
            <w:tcW w:w="6911" w:type="dxa"/>
          </w:tcPr>
          <w:p w14:paraId="1B6FCC2C" w14:textId="77777777" w:rsidR="00492E0B" w:rsidRDefault="00492E0B" w:rsidP="009F3A7D">
            <w:pPr>
              <w:rPr>
                <w:lang w:val="en-GB"/>
              </w:rPr>
            </w:pPr>
            <w:r>
              <w:rPr>
                <w:lang w:val="en-GB"/>
              </w:rPr>
              <w:t>Not reached</w:t>
            </w:r>
          </w:p>
        </w:tc>
      </w:tr>
      <w:tr w:rsidR="00492E0B" w:rsidRPr="00FD119B" w14:paraId="32BA8A1B" w14:textId="77777777" w:rsidTr="00FD119B">
        <w:tc>
          <w:tcPr>
            <w:tcW w:w="1809" w:type="dxa"/>
          </w:tcPr>
          <w:p w14:paraId="1AB39CDB" w14:textId="77777777" w:rsidR="00492E0B" w:rsidRDefault="00492E0B" w:rsidP="00FD119B">
            <w:r w:rsidRPr="00DD663B">
              <w:t>NSCLC</w:t>
            </w:r>
          </w:p>
        </w:tc>
        <w:tc>
          <w:tcPr>
            <w:tcW w:w="6911" w:type="dxa"/>
          </w:tcPr>
          <w:p w14:paraId="7795390C" w14:textId="77777777" w:rsidR="00492E0B" w:rsidRDefault="00492E0B" w:rsidP="00FD119B">
            <w:r>
              <w:t>Non-small cell lung cancer</w:t>
            </w:r>
          </w:p>
        </w:tc>
      </w:tr>
      <w:tr w:rsidR="00492E0B" w:rsidRPr="00FD119B" w14:paraId="78FC646A" w14:textId="77777777" w:rsidTr="00FD119B">
        <w:tc>
          <w:tcPr>
            <w:tcW w:w="1809" w:type="dxa"/>
          </w:tcPr>
          <w:p w14:paraId="3950F451" w14:textId="77777777" w:rsidR="00492E0B" w:rsidRDefault="00492E0B" w:rsidP="00FD119B">
            <w:r>
              <w:t>OR</w:t>
            </w:r>
          </w:p>
        </w:tc>
        <w:tc>
          <w:tcPr>
            <w:tcW w:w="6911" w:type="dxa"/>
          </w:tcPr>
          <w:p w14:paraId="71B99E57" w14:textId="77777777" w:rsidR="00492E0B" w:rsidRDefault="00492E0B" w:rsidP="005C71C8">
            <w:pPr>
              <w:rPr>
                <w:lang w:val="en-GB"/>
              </w:rPr>
            </w:pPr>
            <w:r>
              <w:rPr>
                <w:lang w:val="en-GB"/>
              </w:rPr>
              <w:t>Odds ratio</w:t>
            </w:r>
          </w:p>
        </w:tc>
      </w:tr>
      <w:tr w:rsidR="00492E0B" w:rsidRPr="00FD119B" w14:paraId="3F0BCD96" w14:textId="77777777" w:rsidTr="00FD119B">
        <w:tc>
          <w:tcPr>
            <w:tcW w:w="1809" w:type="dxa"/>
          </w:tcPr>
          <w:p w14:paraId="05A53D9B" w14:textId="77777777" w:rsidR="00492E0B" w:rsidRDefault="00492E0B" w:rsidP="00FD119B">
            <w:r>
              <w:t>ORR</w:t>
            </w:r>
          </w:p>
        </w:tc>
        <w:tc>
          <w:tcPr>
            <w:tcW w:w="6911" w:type="dxa"/>
          </w:tcPr>
          <w:p w14:paraId="2F3929F8" w14:textId="77777777" w:rsidR="00492E0B" w:rsidRDefault="00492E0B" w:rsidP="005C71C8">
            <w:pPr>
              <w:rPr>
                <w:lang w:val="en-GB"/>
              </w:rPr>
            </w:pPr>
            <w:r>
              <w:rPr>
                <w:lang w:val="en-GB"/>
              </w:rPr>
              <w:t>Objective response rate</w:t>
            </w:r>
          </w:p>
        </w:tc>
      </w:tr>
      <w:tr w:rsidR="00492E0B" w:rsidRPr="00FD119B" w14:paraId="5C922642" w14:textId="77777777" w:rsidTr="00FD119B">
        <w:tc>
          <w:tcPr>
            <w:tcW w:w="1809" w:type="dxa"/>
          </w:tcPr>
          <w:p w14:paraId="42DAB9B3" w14:textId="77777777" w:rsidR="00492E0B" w:rsidRDefault="00492E0B" w:rsidP="00FD119B">
            <w:r>
              <w:t>OS</w:t>
            </w:r>
          </w:p>
        </w:tc>
        <w:tc>
          <w:tcPr>
            <w:tcW w:w="6911" w:type="dxa"/>
          </w:tcPr>
          <w:p w14:paraId="5C12E96F" w14:textId="77777777" w:rsidR="00492E0B" w:rsidRDefault="00492E0B" w:rsidP="00FD119B">
            <w:r>
              <w:t>Overall survival</w:t>
            </w:r>
          </w:p>
        </w:tc>
      </w:tr>
      <w:tr w:rsidR="00492E0B" w:rsidRPr="00FD119B" w14:paraId="7CD3FF48" w14:textId="77777777" w:rsidTr="00FD119B">
        <w:tc>
          <w:tcPr>
            <w:tcW w:w="1809" w:type="dxa"/>
          </w:tcPr>
          <w:p w14:paraId="6DD29122" w14:textId="77777777" w:rsidR="00492E0B" w:rsidRDefault="00492E0B" w:rsidP="00FD119B">
            <w:r>
              <w:t>PBRER</w:t>
            </w:r>
          </w:p>
        </w:tc>
        <w:tc>
          <w:tcPr>
            <w:tcW w:w="6911" w:type="dxa"/>
          </w:tcPr>
          <w:p w14:paraId="4216B96A" w14:textId="77777777" w:rsidR="00492E0B" w:rsidRDefault="00492E0B" w:rsidP="005C71C8">
            <w:pPr>
              <w:rPr>
                <w:lang w:val="en-GB"/>
              </w:rPr>
            </w:pPr>
            <w:r w:rsidRPr="00D512A6">
              <w:rPr>
                <w:lang w:val="en-GB"/>
              </w:rPr>
              <w:t>Periodic Benefit Risk Evaluation Report</w:t>
            </w:r>
          </w:p>
        </w:tc>
      </w:tr>
      <w:tr w:rsidR="00492E0B" w:rsidRPr="00FD119B" w14:paraId="58ABC020" w14:textId="77777777" w:rsidTr="00FD119B">
        <w:tc>
          <w:tcPr>
            <w:tcW w:w="1809" w:type="dxa"/>
          </w:tcPr>
          <w:p w14:paraId="6BF55CF2" w14:textId="77777777" w:rsidR="00492E0B" w:rsidRDefault="00492E0B" w:rsidP="00FD119B">
            <w:r>
              <w:t>PBS</w:t>
            </w:r>
          </w:p>
        </w:tc>
        <w:tc>
          <w:tcPr>
            <w:tcW w:w="6911" w:type="dxa"/>
          </w:tcPr>
          <w:p w14:paraId="3EFBB06B" w14:textId="77777777" w:rsidR="00492E0B" w:rsidRDefault="00492E0B" w:rsidP="00FD119B">
            <w:r>
              <w:t>Pharmaceutical Benefits Scheme</w:t>
            </w:r>
          </w:p>
        </w:tc>
      </w:tr>
      <w:tr w:rsidR="00492E0B" w:rsidRPr="00FD119B" w14:paraId="503AD6DE" w14:textId="77777777" w:rsidTr="00FD119B">
        <w:tc>
          <w:tcPr>
            <w:tcW w:w="1809" w:type="dxa"/>
          </w:tcPr>
          <w:p w14:paraId="4FF681DC" w14:textId="77777777" w:rsidR="00492E0B" w:rsidRPr="00FD119B" w:rsidRDefault="00492E0B" w:rsidP="00FD119B">
            <w:r>
              <w:t>PD-1</w:t>
            </w:r>
          </w:p>
        </w:tc>
        <w:tc>
          <w:tcPr>
            <w:tcW w:w="6911" w:type="dxa"/>
          </w:tcPr>
          <w:p w14:paraId="3EE0C6E3" w14:textId="77777777" w:rsidR="00492E0B" w:rsidRPr="00FD119B" w:rsidRDefault="00492E0B" w:rsidP="00FD119B">
            <w:r>
              <w:t>Programmed cell death-1 (receptor)</w:t>
            </w:r>
          </w:p>
        </w:tc>
      </w:tr>
      <w:tr w:rsidR="00492E0B" w:rsidRPr="00FD119B" w14:paraId="344255DD" w14:textId="77777777" w:rsidTr="00FD119B">
        <w:tc>
          <w:tcPr>
            <w:tcW w:w="1809" w:type="dxa"/>
          </w:tcPr>
          <w:p w14:paraId="7C51EBC5" w14:textId="77777777" w:rsidR="00492E0B" w:rsidRDefault="00492E0B" w:rsidP="00FD119B">
            <w:r>
              <w:lastRenderedPageBreak/>
              <w:t>PFS</w:t>
            </w:r>
          </w:p>
        </w:tc>
        <w:tc>
          <w:tcPr>
            <w:tcW w:w="6911" w:type="dxa"/>
          </w:tcPr>
          <w:p w14:paraId="6DCEDEB2" w14:textId="77777777" w:rsidR="00492E0B" w:rsidRDefault="00492E0B" w:rsidP="00FD119B">
            <w:r>
              <w:t>Progression free survival</w:t>
            </w:r>
          </w:p>
        </w:tc>
      </w:tr>
      <w:tr w:rsidR="00492E0B" w:rsidRPr="00FD119B" w14:paraId="53633C16" w14:textId="77777777" w:rsidTr="00FD119B">
        <w:tc>
          <w:tcPr>
            <w:tcW w:w="1809" w:type="dxa"/>
          </w:tcPr>
          <w:p w14:paraId="6FE4DB38" w14:textId="77777777" w:rsidR="00492E0B" w:rsidRDefault="00492E0B" w:rsidP="00FD119B">
            <w:r>
              <w:t>PI</w:t>
            </w:r>
          </w:p>
        </w:tc>
        <w:tc>
          <w:tcPr>
            <w:tcW w:w="6911" w:type="dxa"/>
          </w:tcPr>
          <w:p w14:paraId="39BAEEAD" w14:textId="77777777" w:rsidR="00492E0B" w:rsidRDefault="00492E0B" w:rsidP="00FD119B">
            <w:r>
              <w:t>Product Information</w:t>
            </w:r>
          </w:p>
        </w:tc>
      </w:tr>
      <w:tr w:rsidR="00492E0B" w:rsidRPr="00FD119B" w14:paraId="2934696B" w14:textId="77777777" w:rsidTr="00FD119B">
        <w:tc>
          <w:tcPr>
            <w:tcW w:w="1809" w:type="dxa"/>
          </w:tcPr>
          <w:p w14:paraId="2104FEA5" w14:textId="77777777" w:rsidR="00492E0B" w:rsidRPr="00492E0B" w:rsidRDefault="00492E0B" w:rsidP="00FD119B">
            <w:r w:rsidRPr="00492E0B">
              <w:t>PIP</w:t>
            </w:r>
          </w:p>
        </w:tc>
        <w:tc>
          <w:tcPr>
            <w:tcW w:w="6911" w:type="dxa"/>
          </w:tcPr>
          <w:p w14:paraId="57A9D3EF" w14:textId="77777777" w:rsidR="00492E0B" w:rsidRPr="00492E0B" w:rsidRDefault="00492E0B" w:rsidP="005C71C8">
            <w:pPr>
              <w:rPr>
                <w:lang w:val="en-GB"/>
              </w:rPr>
            </w:pPr>
            <w:r w:rsidRPr="00492E0B">
              <w:rPr>
                <w:lang w:val="en-GB"/>
              </w:rPr>
              <w:t>Paediatric Investigation Plan</w:t>
            </w:r>
          </w:p>
        </w:tc>
      </w:tr>
      <w:tr w:rsidR="00492E0B" w:rsidRPr="00FD119B" w14:paraId="609CF432" w14:textId="77777777" w:rsidTr="00FD119B">
        <w:tc>
          <w:tcPr>
            <w:tcW w:w="1809" w:type="dxa"/>
          </w:tcPr>
          <w:p w14:paraId="5ABCEF6F" w14:textId="77777777" w:rsidR="00492E0B" w:rsidRDefault="00492E0B" w:rsidP="00FD119B">
            <w:r>
              <w:t>PK</w:t>
            </w:r>
          </w:p>
        </w:tc>
        <w:tc>
          <w:tcPr>
            <w:tcW w:w="6911" w:type="dxa"/>
          </w:tcPr>
          <w:p w14:paraId="1D3A4CB1" w14:textId="77777777" w:rsidR="00492E0B" w:rsidRDefault="00492E0B" w:rsidP="00FD119B">
            <w:r>
              <w:t>Pharmacokinetics</w:t>
            </w:r>
          </w:p>
        </w:tc>
      </w:tr>
      <w:tr w:rsidR="00492E0B" w:rsidRPr="00FD119B" w14:paraId="024D12D1" w14:textId="77777777" w:rsidTr="00FD119B">
        <w:tc>
          <w:tcPr>
            <w:tcW w:w="1809" w:type="dxa"/>
          </w:tcPr>
          <w:p w14:paraId="00511076" w14:textId="77777777" w:rsidR="00492E0B" w:rsidRDefault="00492E0B" w:rsidP="00FD119B">
            <w:r>
              <w:t>PSUR</w:t>
            </w:r>
          </w:p>
        </w:tc>
        <w:tc>
          <w:tcPr>
            <w:tcW w:w="6911" w:type="dxa"/>
          </w:tcPr>
          <w:p w14:paraId="40F140BB" w14:textId="77777777" w:rsidR="00492E0B" w:rsidRDefault="00492E0B" w:rsidP="005C71C8">
            <w:pPr>
              <w:rPr>
                <w:lang w:val="en-GB"/>
              </w:rPr>
            </w:pPr>
            <w:r>
              <w:rPr>
                <w:lang w:val="en-GB"/>
              </w:rPr>
              <w:t>Periodic Safety Update Report</w:t>
            </w:r>
          </w:p>
        </w:tc>
      </w:tr>
      <w:tr w:rsidR="00492E0B" w:rsidRPr="00FD119B" w14:paraId="14F0D967" w14:textId="77777777" w:rsidTr="00FD119B">
        <w:tc>
          <w:tcPr>
            <w:tcW w:w="1809" w:type="dxa"/>
          </w:tcPr>
          <w:p w14:paraId="61D7855C" w14:textId="77777777" w:rsidR="00492E0B" w:rsidRDefault="00492E0B" w:rsidP="00FD119B">
            <w:r>
              <w:t>QOL</w:t>
            </w:r>
          </w:p>
        </w:tc>
        <w:tc>
          <w:tcPr>
            <w:tcW w:w="6911" w:type="dxa"/>
          </w:tcPr>
          <w:p w14:paraId="2424056D" w14:textId="77777777" w:rsidR="00492E0B" w:rsidRPr="005C71C8" w:rsidRDefault="00492E0B" w:rsidP="005C71C8">
            <w:pPr>
              <w:rPr>
                <w:lang w:val="en-GB"/>
              </w:rPr>
            </w:pPr>
            <w:r>
              <w:rPr>
                <w:lang w:val="en-GB"/>
              </w:rPr>
              <w:t>Quality of life</w:t>
            </w:r>
          </w:p>
        </w:tc>
      </w:tr>
      <w:tr w:rsidR="00492E0B" w:rsidRPr="00FD119B" w14:paraId="6D3A8425" w14:textId="77777777" w:rsidTr="00FD119B">
        <w:tc>
          <w:tcPr>
            <w:tcW w:w="1809" w:type="dxa"/>
          </w:tcPr>
          <w:p w14:paraId="76D0FDBC" w14:textId="77777777" w:rsidR="00492E0B" w:rsidRPr="00FD119B" w:rsidRDefault="00492E0B" w:rsidP="00FD119B">
            <w:r>
              <w:t>RCC</w:t>
            </w:r>
          </w:p>
        </w:tc>
        <w:tc>
          <w:tcPr>
            <w:tcW w:w="6911" w:type="dxa"/>
          </w:tcPr>
          <w:p w14:paraId="4AA313C7" w14:textId="77777777" w:rsidR="00492E0B" w:rsidRPr="00FD119B" w:rsidRDefault="00492E0B" w:rsidP="00FD119B">
            <w:r>
              <w:t>Renal cell carcinoma</w:t>
            </w:r>
          </w:p>
        </w:tc>
      </w:tr>
      <w:tr w:rsidR="00492E0B" w:rsidRPr="00FD119B" w14:paraId="04B1C288" w14:textId="77777777" w:rsidTr="00FD119B">
        <w:tc>
          <w:tcPr>
            <w:tcW w:w="1809" w:type="dxa"/>
          </w:tcPr>
          <w:p w14:paraId="78EC6AE3" w14:textId="77777777" w:rsidR="00492E0B" w:rsidRDefault="00492E0B" w:rsidP="00FD119B">
            <w:r>
              <w:t>RECIST</w:t>
            </w:r>
          </w:p>
        </w:tc>
        <w:tc>
          <w:tcPr>
            <w:tcW w:w="6911" w:type="dxa"/>
          </w:tcPr>
          <w:p w14:paraId="20CD7297" w14:textId="77777777" w:rsidR="00492E0B" w:rsidRDefault="00492E0B" w:rsidP="00FD119B">
            <w:r w:rsidRPr="006F5523">
              <w:t>Response Evaluation Criteria in Solid Tumours</w:t>
            </w:r>
          </w:p>
        </w:tc>
      </w:tr>
      <w:tr w:rsidR="00492E0B" w:rsidRPr="00FD119B" w14:paraId="5F18E69D" w14:textId="77777777" w:rsidTr="00FD119B">
        <w:tc>
          <w:tcPr>
            <w:tcW w:w="1809" w:type="dxa"/>
          </w:tcPr>
          <w:p w14:paraId="32808D4F" w14:textId="77777777" w:rsidR="00492E0B" w:rsidRDefault="00492E0B" w:rsidP="00FD119B">
            <w:r>
              <w:t>RMP</w:t>
            </w:r>
          </w:p>
        </w:tc>
        <w:tc>
          <w:tcPr>
            <w:tcW w:w="6911" w:type="dxa"/>
          </w:tcPr>
          <w:p w14:paraId="08B9E87E" w14:textId="77777777" w:rsidR="00492E0B" w:rsidRDefault="00492E0B" w:rsidP="00FD119B">
            <w:r>
              <w:t>Risk Management Plan</w:t>
            </w:r>
          </w:p>
        </w:tc>
      </w:tr>
      <w:tr w:rsidR="00492E0B" w:rsidRPr="00FD119B" w14:paraId="1686B733" w14:textId="77777777" w:rsidTr="00FD119B">
        <w:tc>
          <w:tcPr>
            <w:tcW w:w="1809" w:type="dxa"/>
          </w:tcPr>
          <w:p w14:paraId="595401C1" w14:textId="77777777" w:rsidR="00492E0B" w:rsidRDefault="00492E0B" w:rsidP="00FD119B">
            <w:r>
              <w:t>SAE</w:t>
            </w:r>
          </w:p>
        </w:tc>
        <w:tc>
          <w:tcPr>
            <w:tcW w:w="6911" w:type="dxa"/>
          </w:tcPr>
          <w:p w14:paraId="06D43876" w14:textId="77777777" w:rsidR="00492E0B" w:rsidRDefault="00492E0B" w:rsidP="005C71C8">
            <w:pPr>
              <w:rPr>
                <w:lang w:val="en-GB"/>
              </w:rPr>
            </w:pPr>
            <w:r>
              <w:rPr>
                <w:lang w:val="en-GB"/>
              </w:rPr>
              <w:t>Serious adverse event</w:t>
            </w:r>
          </w:p>
        </w:tc>
      </w:tr>
      <w:tr w:rsidR="00492E0B" w:rsidRPr="00FD119B" w14:paraId="346676CE" w14:textId="77777777" w:rsidTr="00FD119B">
        <w:tc>
          <w:tcPr>
            <w:tcW w:w="1809" w:type="dxa"/>
          </w:tcPr>
          <w:p w14:paraId="492ED912" w14:textId="77777777" w:rsidR="00492E0B" w:rsidRDefault="00492E0B" w:rsidP="00FD119B">
            <w:r>
              <w:t>SCCHN</w:t>
            </w:r>
          </w:p>
        </w:tc>
        <w:tc>
          <w:tcPr>
            <w:tcW w:w="6911" w:type="dxa"/>
          </w:tcPr>
          <w:p w14:paraId="254A7490" w14:textId="77777777" w:rsidR="00492E0B" w:rsidRPr="00AB2A32" w:rsidRDefault="00492E0B" w:rsidP="005C71C8">
            <w:pPr>
              <w:rPr>
                <w:lang w:val="en-GB"/>
              </w:rPr>
            </w:pPr>
            <w:r>
              <w:t>S</w:t>
            </w:r>
            <w:r w:rsidRPr="00AB2A32">
              <w:t>quamous cell cancer of the head and neck</w:t>
            </w:r>
          </w:p>
        </w:tc>
      </w:tr>
      <w:tr w:rsidR="00492E0B" w:rsidRPr="00FD119B" w14:paraId="14B3345B" w14:textId="77777777" w:rsidTr="00FD119B">
        <w:tc>
          <w:tcPr>
            <w:tcW w:w="1809" w:type="dxa"/>
          </w:tcPr>
          <w:p w14:paraId="59E8830B" w14:textId="77777777" w:rsidR="00492E0B" w:rsidRDefault="00492E0B" w:rsidP="00FD119B">
            <w:r>
              <w:t>SD</w:t>
            </w:r>
          </w:p>
        </w:tc>
        <w:tc>
          <w:tcPr>
            <w:tcW w:w="6911" w:type="dxa"/>
          </w:tcPr>
          <w:p w14:paraId="47F81E67" w14:textId="77777777" w:rsidR="00492E0B" w:rsidRDefault="00492E0B" w:rsidP="005C71C8">
            <w:pPr>
              <w:rPr>
                <w:lang w:val="en-GB"/>
              </w:rPr>
            </w:pPr>
            <w:r>
              <w:rPr>
                <w:lang w:val="en-GB"/>
              </w:rPr>
              <w:t>Standard deviation</w:t>
            </w:r>
          </w:p>
        </w:tc>
      </w:tr>
      <w:tr w:rsidR="00492E0B" w:rsidRPr="00FD119B" w14:paraId="264405AE" w14:textId="77777777" w:rsidTr="00FD119B">
        <w:tc>
          <w:tcPr>
            <w:tcW w:w="1809" w:type="dxa"/>
          </w:tcPr>
          <w:p w14:paraId="39EC3FDB" w14:textId="77777777" w:rsidR="00492E0B" w:rsidRDefault="00492E0B" w:rsidP="00FD119B">
            <w:r>
              <w:t>SIRS</w:t>
            </w:r>
          </w:p>
        </w:tc>
        <w:tc>
          <w:tcPr>
            <w:tcW w:w="6911" w:type="dxa"/>
          </w:tcPr>
          <w:p w14:paraId="375A8243" w14:textId="77777777" w:rsidR="00492E0B" w:rsidRDefault="00492E0B" w:rsidP="005C71C8">
            <w:pPr>
              <w:rPr>
                <w:lang w:val="en-GB"/>
              </w:rPr>
            </w:pPr>
            <w:r>
              <w:rPr>
                <w:lang w:val="en-GB"/>
              </w:rPr>
              <w:t>S</w:t>
            </w:r>
            <w:r w:rsidRPr="00CF2E2E">
              <w:rPr>
                <w:lang w:val="en-GB"/>
              </w:rPr>
              <w:t>ystemic inflammatory response syndrome</w:t>
            </w:r>
          </w:p>
        </w:tc>
      </w:tr>
      <w:tr w:rsidR="00492E0B" w:rsidRPr="00FD119B" w14:paraId="1E855032" w14:textId="77777777" w:rsidTr="00FD119B">
        <w:tc>
          <w:tcPr>
            <w:tcW w:w="1809" w:type="dxa"/>
          </w:tcPr>
          <w:p w14:paraId="1A9AA6AD" w14:textId="77777777" w:rsidR="00492E0B" w:rsidRDefault="00492E0B" w:rsidP="00FD119B">
            <w:r>
              <w:t>SJS</w:t>
            </w:r>
          </w:p>
        </w:tc>
        <w:tc>
          <w:tcPr>
            <w:tcW w:w="6911" w:type="dxa"/>
          </w:tcPr>
          <w:p w14:paraId="39F8F2BF" w14:textId="77777777" w:rsidR="00492E0B" w:rsidRDefault="00492E0B" w:rsidP="005C71C8">
            <w:pPr>
              <w:rPr>
                <w:lang w:val="en-GB"/>
              </w:rPr>
            </w:pPr>
            <w:r>
              <w:rPr>
                <w:lang w:val="en-GB"/>
              </w:rPr>
              <w:t>Stevens-Johnson syndrome</w:t>
            </w:r>
          </w:p>
        </w:tc>
      </w:tr>
      <w:tr w:rsidR="00492E0B" w:rsidRPr="00FD119B" w14:paraId="5F63E84E" w14:textId="77777777" w:rsidTr="00FD119B">
        <w:tc>
          <w:tcPr>
            <w:tcW w:w="1809" w:type="dxa"/>
          </w:tcPr>
          <w:p w14:paraId="7B625A96" w14:textId="77777777" w:rsidR="00492E0B" w:rsidRDefault="00492E0B" w:rsidP="00FD119B">
            <w:proofErr w:type="spellStart"/>
            <w:r>
              <w:t>SmPC</w:t>
            </w:r>
            <w:proofErr w:type="spellEnd"/>
          </w:p>
        </w:tc>
        <w:tc>
          <w:tcPr>
            <w:tcW w:w="6911" w:type="dxa"/>
          </w:tcPr>
          <w:p w14:paraId="073A3730" w14:textId="77777777" w:rsidR="00492E0B" w:rsidRDefault="00492E0B" w:rsidP="005C71C8">
            <w:pPr>
              <w:rPr>
                <w:lang w:val="en-GB"/>
              </w:rPr>
            </w:pPr>
            <w:r>
              <w:rPr>
                <w:lang w:val="en-GB"/>
              </w:rPr>
              <w:t>Summary of Product Characteristics</w:t>
            </w:r>
          </w:p>
        </w:tc>
      </w:tr>
      <w:tr w:rsidR="00492E0B" w:rsidRPr="00FD119B" w14:paraId="315081E2" w14:textId="77777777" w:rsidTr="00FD119B">
        <w:tc>
          <w:tcPr>
            <w:tcW w:w="1809" w:type="dxa"/>
          </w:tcPr>
          <w:p w14:paraId="16D3D733" w14:textId="77777777" w:rsidR="00492E0B" w:rsidRDefault="00492E0B" w:rsidP="00FD119B">
            <w:r>
              <w:t>TEN</w:t>
            </w:r>
          </w:p>
        </w:tc>
        <w:tc>
          <w:tcPr>
            <w:tcW w:w="6911" w:type="dxa"/>
          </w:tcPr>
          <w:p w14:paraId="57F3715B" w14:textId="77777777" w:rsidR="00492E0B" w:rsidRDefault="00492E0B" w:rsidP="00930D79">
            <w:pPr>
              <w:rPr>
                <w:lang w:val="en-GB"/>
              </w:rPr>
            </w:pPr>
            <w:r>
              <w:rPr>
                <w:lang w:val="en-GB"/>
              </w:rPr>
              <w:t>Toxic epidermal necrolysis</w:t>
            </w:r>
          </w:p>
        </w:tc>
      </w:tr>
      <w:tr w:rsidR="00492E0B" w:rsidRPr="00FD119B" w14:paraId="4828178C" w14:textId="77777777" w:rsidTr="00FD119B">
        <w:tc>
          <w:tcPr>
            <w:tcW w:w="1809" w:type="dxa"/>
          </w:tcPr>
          <w:p w14:paraId="78937C10" w14:textId="77777777" w:rsidR="00492E0B" w:rsidRPr="00FD119B" w:rsidRDefault="00492E0B" w:rsidP="00FD119B">
            <w:r>
              <w:t>TGA</w:t>
            </w:r>
          </w:p>
        </w:tc>
        <w:tc>
          <w:tcPr>
            <w:tcW w:w="6911" w:type="dxa"/>
          </w:tcPr>
          <w:p w14:paraId="4D0B5E29" w14:textId="77777777" w:rsidR="00492E0B" w:rsidRPr="00FD119B" w:rsidRDefault="00492E0B" w:rsidP="00FD119B">
            <w:r>
              <w:t>Therapeutic Goods Administration</w:t>
            </w:r>
          </w:p>
        </w:tc>
      </w:tr>
      <w:tr w:rsidR="00492E0B" w:rsidRPr="00FD119B" w14:paraId="6E25AF95" w14:textId="77777777" w:rsidTr="00FD119B">
        <w:tc>
          <w:tcPr>
            <w:tcW w:w="1809" w:type="dxa"/>
          </w:tcPr>
          <w:p w14:paraId="451C28BB" w14:textId="77777777" w:rsidR="00492E0B" w:rsidRPr="00FD119B" w:rsidRDefault="00492E0B" w:rsidP="00FD119B">
            <w:r>
              <w:t>US</w:t>
            </w:r>
          </w:p>
        </w:tc>
        <w:tc>
          <w:tcPr>
            <w:tcW w:w="6911" w:type="dxa"/>
          </w:tcPr>
          <w:p w14:paraId="645363B9" w14:textId="77777777" w:rsidR="00492E0B" w:rsidRPr="00FD119B" w:rsidRDefault="00492E0B" w:rsidP="00FD119B">
            <w:r>
              <w:t>United States</w:t>
            </w:r>
          </w:p>
        </w:tc>
      </w:tr>
      <w:tr w:rsidR="00492E0B" w:rsidRPr="00FD119B" w14:paraId="1D02234B" w14:textId="77777777" w:rsidTr="00FD119B">
        <w:tc>
          <w:tcPr>
            <w:tcW w:w="1809" w:type="dxa"/>
          </w:tcPr>
          <w:p w14:paraId="36CDDF3D" w14:textId="77777777" w:rsidR="00492E0B" w:rsidRPr="00FD119B" w:rsidRDefault="00492E0B" w:rsidP="00FD119B">
            <w:r>
              <w:t>VEGF</w:t>
            </w:r>
          </w:p>
        </w:tc>
        <w:tc>
          <w:tcPr>
            <w:tcW w:w="6911" w:type="dxa"/>
          </w:tcPr>
          <w:p w14:paraId="12FA0799" w14:textId="77777777" w:rsidR="00492E0B" w:rsidRPr="00FD119B" w:rsidRDefault="00492E0B" w:rsidP="00FD119B">
            <w:r>
              <w:t>V</w:t>
            </w:r>
            <w:r w:rsidRPr="006F5523">
              <w:t>ascular endothelial growth factor</w:t>
            </w:r>
          </w:p>
        </w:tc>
      </w:tr>
      <w:tr w:rsidR="00492E0B" w:rsidRPr="00FD119B" w14:paraId="1C20282C" w14:textId="77777777" w:rsidTr="00FD119B">
        <w:tc>
          <w:tcPr>
            <w:tcW w:w="1809" w:type="dxa"/>
          </w:tcPr>
          <w:p w14:paraId="7610BC40" w14:textId="77777777" w:rsidR="00492E0B" w:rsidRPr="00FD119B" w:rsidRDefault="00492E0B" w:rsidP="00FD119B">
            <w:r>
              <w:t>VEGFR</w:t>
            </w:r>
          </w:p>
        </w:tc>
        <w:tc>
          <w:tcPr>
            <w:tcW w:w="6911" w:type="dxa"/>
          </w:tcPr>
          <w:p w14:paraId="7B12D271" w14:textId="77777777" w:rsidR="00492E0B" w:rsidRPr="00FD119B" w:rsidRDefault="00492E0B" w:rsidP="00FD119B">
            <w:r>
              <w:t>V</w:t>
            </w:r>
            <w:r w:rsidRPr="006F5523">
              <w:t>ascular endothelial growth factor receptor</w:t>
            </w:r>
          </w:p>
        </w:tc>
      </w:tr>
      <w:tr w:rsidR="00492E0B" w:rsidRPr="00FD119B" w14:paraId="4A6B1D87" w14:textId="77777777" w:rsidTr="00FD119B">
        <w:tc>
          <w:tcPr>
            <w:tcW w:w="1809" w:type="dxa"/>
          </w:tcPr>
          <w:p w14:paraId="18B1E1D9" w14:textId="77777777" w:rsidR="00492E0B" w:rsidRDefault="00492E0B" w:rsidP="00FD119B">
            <w:r>
              <w:t>WHO</w:t>
            </w:r>
          </w:p>
        </w:tc>
        <w:tc>
          <w:tcPr>
            <w:tcW w:w="6911" w:type="dxa"/>
          </w:tcPr>
          <w:p w14:paraId="7B320EB5" w14:textId="77777777" w:rsidR="00492E0B" w:rsidRDefault="00492E0B" w:rsidP="00FD119B">
            <w:r>
              <w:t>World Health Organization</w:t>
            </w:r>
          </w:p>
        </w:tc>
      </w:tr>
    </w:tbl>
    <w:p w14:paraId="36D2815E" w14:textId="77777777" w:rsidR="00FD119B" w:rsidRPr="00FD119B" w:rsidRDefault="00FD119B" w:rsidP="00FD119B">
      <w:pPr>
        <w:spacing w:before="0" w:after="200" w:line="0" w:lineRule="auto"/>
        <w:rPr>
          <w:b/>
          <w:i/>
          <w:sz w:val="24"/>
          <w:szCs w:val="24"/>
        </w:rPr>
      </w:pPr>
      <w:r w:rsidRPr="00FD119B">
        <w:rPr>
          <w:b/>
          <w:i/>
          <w:sz w:val="24"/>
          <w:szCs w:val="24"/>
        </w:rPr>
        <w:br w:type="page"/>
      </w:r>
    </w:p>
    <w:p w14:paraId="25368BE3" w14:textId="77777777" w:rsidR="008E7846" w:rsidRDefault="00F53C07" w:rsidP="008E7846">
      <w:pPr>
        <w:pStyle w:val="Heading2"/>
      </w:pPr>
      <w:bookmarkStart w:id="9" w:name="_Toc489277862"/>
      <w:r>
        <w:lastRenderedPageBreak/>
        <w:t>I.</w:t>
      </w:r>
      <w:r w:rsidR="008E7846">
        <w:t xml:space="preserve"> Introduction to product submission</w:t>
      </w:r>
      <w:bookmarkEnd w:id="9"/>
      <w:bookmarkEnd w:id="3"/>
      <w:bookmarkEnd w:id="1"/>
    </w:p>
    <w:p w14:paraId="38A157AF" w14:textId="77777777" w:rsidR="008E7846" w:rsidRDefault="008E7846" w:rsidP="008E7846">
      <w:pPr>
        <w:pStyle w:val="Heading3"/>
        <w:rPr>
          <w:lang w:eastAsia="en-AU"/>
        </w:rPr>
      </w:pPr>
      <w:bookmarkStart w:id="10" w:name="_Toc247691502"/>
      <w:bookmarkStart w:id="11" w:name="_Toc314842483"/>
      <w:bookmarkStart w:id="12" w:name="_Toc489277863"/>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14:paraId="1A277EEB" w14:textId="77777777" w:rsidTr="009D34A7">
        <w:trPr>
          <w:trHeight w:hRule="exact" w:val="454"/>
        </w:trPr>
        <w:tc>
          <w:tcPr>
            <w:tcW w:w="2907" w:type="dxa"/>
          </w:tcPr>
          <w:p w14:paraId="20ADB4B6" w14:textId="77777777" w:rsidR="008E7846" w:rsidRPr="003D1E62" w:rsidRDefault="001B5C90" w:rsidP="001B5C90">
            <w:pPr>
              <w:rPr>
                <w:i/>
              </w:rPr>
            </w:pPr>
            <w:r>
              <w:rPr>
                <w:i/>
              </w:rPr>
              <w:t>Type of s</w:t>
            </w:r>
            <w:r w:rsidR="008E7846" w:rsidRPr="003D1E62">
              <w:rPr>
                <w:i/>
              </w:rPr>
              <w:t>ubmission</w:t>
            </w:r>
            <w:r>
              <w:rPr>
                <w:i/>
              </w:rPr>
              <w:t>:</w:t>
            </w:r>
          </w:p>
        </w:tc>
        <w:tc>
          <w:tcPr>
            <w:tcW w:w="6590" w:type="dxa"/>
            <w:gridSpan w:val="2"/>
          </w:tcPr>
          <w:p w14:paraId="42FA5F51" w14:textId="7FAC3192" w:rsidR="008E7846" w:rsidRPr="003D1E62" w:rsidRDefault="009D2061" w:rsidP="001B5C90">
            <w:r>
              <w:t>N</w:t>
            </w:r>
            <w:r w:rsidR="00636B6C">
              <w:t>ew B</w:t>
            </w:r>
            <w:r>
              <w:t xml:space="preserve">iological </w:t>
            </w:r>
            <w:r w:rsidR="00636B6C">
              <w:t>E</w:t>
            </w:r>
            <w:r>
              <w:t>ntity</w:t>
            </w:r>
            <w:bookmarkStart w:id="13" w:name="_Ref489229505"/>
            <w:r>
              <w:rPr>
                <w:rStyle w:val="FootnoteReference"/>
              </w:rPr>
              <w:footnoteReference w:id="1"/>
            </w:r>
            <w:bookmarkEnd w:id="13"/>
          </w:p>
        </w:tc>
      </w:tr>
      <w:tr w:rsidR="008E7846" w:rsidRPr="003D1E62" w14:paraId="61D6395A" w14:textId="77777777" w:rsidTr="009D34A7">
        <w:trPr>
          <w:trHeight w:hRule="exact" w:val="454"/>
        </w:trPr>
        <w:tc>
          <w:tcPr>
            <w:tcW w:w="2907" w:type="dxa"/>
          </w:tcPr>
          <w:p w14:paraId="783CC4B3" w14:textId="77777777" w:rsidR="008E7846" w:rsidRPr="003D1E62" w:rsidRDefault="008E7846" w:rsidP="003D1E62">
            <w:r w:rsidRPr="003D1E62">
              <w:rPr>
                <w:i/>
              </w:rPr>
              <w:t>Decision</w:t>
            </w:r>
            <w:r w:rsidRPr="003D1E62">
              <w:t>:</w:t>
            </w:r>
          </w:p>
        </w:tc>
        <w:tc>
          <w:tcPr>
            <w:tcW w:w="6590" w:type="dxa"/>
            <w:gridSpan w:val="2"/>
          </w:tcPr>
          <w:p w14:paraId="4E53043B" w14:textId="480A393F" w:rsidR="008E7846" w:rsidRPr="003D1E62" w:rsidRDefault="008E7846" w:rsidP="00D95014">
            <w:r w:rsidRPr="003D1E62">
              <w:t>Approved</w:t>
            </w:r>
          </w:p>
        </w:tc>
      </w:tr>
      <w:tr w:rsidR="008E7846" w:rsidRPr="003D1E62" w14:paraId="01109C63" w14:textId="77777777" w:rsidTr="009D34A7">
        <w:trPr>
          <w:trHeight w:hRule="exact" w:val="454"/>
        </w:trPr>
        <w:tc>
          <w:tcPr>
            <w:tcW w:w="2907" w:type="dxa"/>
          </w:tcPr>
          <w:p w14:paraId="72631D70"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14:paraId="5F6D5988" w14:textId="6339E12C" w:rsidR="008E7846" w:rsidRPr="003D1E62" w:rsidRDefault="00D95014" w:rsidP="001B5C90">
            <w:r>
              <w:t>16 November 2016</w:t>
            </w:r>
          </w:p>
        </w:tc>
      </w:tr>
      <w:tr w:rsidR="00ED2922" w:rsidRPr="003D1E62" w14:paraId="3A69114B" w14:textId="77777777" w:rsidTr="009D34A7">
        <w:trPr>
          <w:trHeight w:hRule="exact" w:val="426"/>
        </w:trPr>
        <w:tc>
          <w:tcPr>
            <w:tcW w:w="2907" w:type="dxa"/>
          </w:tcPr>
          <w:p w14:paraId="754C3D9B" w14:textId="77777777" w:rsidR="00ED2922" w:rsidRPr="00441C3F" w:rsidRDefault="00ED2922" w:rsidP="001B5C90">
            <w:pPr>
              <w:rPr>
                <w:i/>
              </w:rPr>
            </w:pPr>
            <w:r w:rsidRPr="00441C3F">
              <w:rPr>
                <w:i/>
              </w:rPr>
              <w:t>Date of entry onto ARTG</w:t>
            </w:r>
          </w:p>
        </w:tc>
        <w:tc>
          <w:tcPr>
            <w:tcW w:w="6590" w:type="dxa"/>
            <w:gridSpan w:val="2"/>
          </w:tcPr>
          <w:p w14:paraId="08E453A2" w14:textId="18629F6C" w:rsidR="00ED2922" w:rsidRPr="00441C3F" w:rsidRDefault="00640FBC" w:rsidP="003C0FA9">
            <w:pPr>
              <w:rPr>
                <w:i/>
              </w:rPr>
            </w:pPr>
            <w:r>
              <w:t>18 November 2016</w:t>
            </w:r>
          </w:p>
        </w:tc>
      </w:tr>
      <w:tr w:rsidR="008E7846" w:rsidRPr="00487162" w14:paraId="46A0272E" w14:textId="77777777" w:rsidTr="009D34A7">
        <w:trPr>
          <w:gridAfter w:val="1"/>
          <w:wAfter w:w="283" w:type="dxa"/>
        </w:trPr>
        <w:tc>
          <w:tcPr>
            <w:tcW w:w="2907" w:type="dxa"/>
          </w:tcPr>
          <w:p w14:paraId="22CA373A" w14:textId="083A015C" w:rsidR="008E7846" w:rsidRPr="00487162" w:rsidRDefault="00D95014" w:rsidP="00E45619">
            <w:pPr>
              <w:rPr>
                <w:i/>
              </w:rPr>
            </w:pPr>
            <w:r>
              <w:rPr>
                <w:i/>
              </w:rPr>
              <w:t>Active ingredient</w:t>
            </w:r>
            <w:r w:rsidR="001B5C90">
              <w:rPr>
                <w:i/>
              </w:rPr>
              <w:t>:</w:t>
            </w:r>
          </w:p>
        </w:tc>
        <w:tc>
          <w:tcPr>
            <w:tcW w:w="6307" w:type="dxa"/>
          </w:tcPr>
          <w:p w14:paraId="42B576ED" w14:textId="16E67091" w:rsidR="008E7846" w:rsidRPr="00487162" w:rsidRDefault="00987298" w:rsidP="00E45619">
            <w:proofErr w:type="spellStart"/>
            <w:r>
              <w:t>Nivolumab</w:t>
            </w:r>
            <w:proofErr w:type="spellEnd"/>
          </w:p>
        </w:tc>
      </w:tr>
      <w:tr w:rsidR="008E7846" w:rsidRPr="00487162" w14:paraId="7B5F1F1E" w14:textId="77777777" w:rsidTr="009D34A7">
        <w:trPr>
          <w:gridAfter w:val="1"/>
          <w:wAfter w:w="283" w:type="dxa"/>
        </w:trPr>
        <w:tc>
          <w:tcPr>
            <w:tcW w:w="2907" w:type="dxa"/>
          </w:tcPr>
          <w:p w14:paraId="090BFBB0" w14:textId="00A9298F" w:rsidR="008E7846" w:rsidRPr="00487162" w:rsidRDefault="008E7846" w:rsidP="001B5C90">
            <w:pPr>
              <w:rPr>
                <w:i/>
              </w:rPr>
            </w:pPr>
            <w:r w:rsidRPr="00487162">
              <w:rPr>
                <w:i/>
              </w:rPr>
              <w:t>Product</w:t>
            </w:r>
            <w:r w:rsidR="00D95014">
              <w:rPr>
                <w:i/>
              </w:rPr>
              <w:t xml:space="preserve"> name</w:t>
            </w:r>
            <w:r w:rsidR="001B5C90">
              <w:rPr>
                <w:i/>
              </w:rPr>
              <w:t>:</w:t>
            </w:r>
          </w:p>
        </w:tc>
        <w:tc>
          <w:tcPr>
            <w:tcW w:w="6307" w:type="dxa"/>
          </w:tcPr>
          <w:p w14:paraId="2BC33899" w14:textId="49FDDA8C" w:rsidR="008E7846" w:rsidRPr="00487162" w:rsidRDefault="00987298" w:rsidP="00E45619">
            <w:proofErr w:type="spellStart"/>
            <w:r>
              <w:t>Opdivo</w:t>
            </w:r>
            <w:proofErr w:type="spellEnd"/>
          </w:p>
        </w:tc>
      </w:tr>
      <w:tr w:rsidR="008E7846" w:rsidRPr="00487162" w14:paraId="786DB7A3" w14:textId="77777777" w:rsidTr="009D34A7">
        <w:trPr>
          <w:gridAfter w:val="1"/>
          <w:wAfter w:w="283" w:type="dxa"/>
        </w:trPr>
        <w:tc>
          <w:tcPr>
            <w:tcW w:w="2907" w:type="dxa"/>
          </w:tcPr>
          <w:p w14:paraId="0B39C46D"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42314D42" w14:textId="422616C2" w:rsidR="008E7846" w:rsidRPr="0040193E" w:rsidRDefault="00987298" w:rsidP="0081576D">
            <w:pPr>
              <w:rPr>
                <w:lang w:val="en-GB"/>
              </w:rPr>
            </w:pPr>
            <w:r w:rsidRPr="00987298">
              <w:t>Bristol-Myers Squibb Australia Pty Ltd</w:t>
            </w:r>
            <w:r w:rsidR="0040193E">
              <w:br/>
            </w:r>
            <w:r w:rsidR="0081576D">
              <w:rPr>
                <w:lang w:val="en-GB"/>
              </w:rPr>
              <w:t>PO BOX 1080</w:t>
            </w:r>
            <w:r w:rsidR="0081576D">
              <w:rPr>
                <w:lang w:val="en-GB"/>
              </w:rPr>
              <w:br/>
              <w:t>Mount Waverly, VIC, 3149</w:t>
            </w:r>
          </w:p>
        </w:tc>
      </w:tr>
      <w:tr w:rsidR="008E7846" w:rsidRPr="00487162" w14:paraId="05B267CA" w14:textId="77777777" w:rsidTr="009D34A7">
        <w:trPr>
          <w:gridAfter w:val="1"/>
          <w:wAfter w:w="283" w:type="dxa"/>
          <w:trHeight w:val="516"/>
        </w:trPr>
        <w:tc>
          <w:tcPr>
            <w:tcW w:w="2907" w:type="dxa"/>
          </w:tcPr>
          <w:p w14:paraId="242AE02D" w14:textId="5AC435F4" w:rsidR="008E7846" w:rsidRPr="00487162" w:rsidRDefault="00D95014" w:rsidP="00E45619">
            <w:pPr>
              <w:rPr>
                <w:i/>
              </w:rPr>
            </w:pPr>
            <w:r>
              <w:rPr>
                <w:i/>
              </w:rPr>
              <w:t>Dose form</w:t>
            </w:r>
            <w:r w:rsidR="001B5C90">
              <w:rPr>
                <w:i/>
              </w:rPr>
              <w:t>:</w:t>
            </w:r>
          </w:p>
        </w:tc>
        <w:tc>
          <w:tcPr>
            <w:tcW w:w="6307" w:type="dxa"/>
          </w:tcPr>
          <w:p w14:paraId="1BE6F0D9" w14:textId="5BB94CFF" w:rsidR="008E7846" w:rsidRPr="00487162" w:rsidRDefault="00987298" w:rsidP="00EC1629">
            <w:r>
              <w:t>Concent</w:t>
            </w:r>
            <w:r w:rsidR="00EC1629">
              <w:t>rate solution for injection</w:t>
            </w:r>
          </w:p>
        </w:tc>
      </w:tr>
      <w:tr w:rsidR="008E7846" w:rsidRPr="00487162" w14:paraId="6A2DCBB9" w14:textId="77777777" w:rsidTr="009D34A7">
        <w:trPr>
          <w:gridAfter w:val="1"/>
          <w:wAfter w:w="283" w:type="dxa"/>
        </w:trPr>
        <w:tc>
          <w:tcPr>
            <w:tcW w:w="2907" w:type="dxa"/>
          </w:tcPr>
          <w:p w14:paraId="28445147" w14:textId="4D0C7941" w:rsidR="008E7846" w:rsidRPr="00487162" w:rsidRDefault="007A0934" w:rsidP="00E45619">
            <w:pPr>
              <w:rPr>
                <w:i/>
              </w:rPr>
            </w:pPr>
            <w:r>
              <w:rPr>
                <w:i/>
              </w:rPr>
              <w:t>Strengths</w:t>
            </w:r>
            <w:r w:rsidR="008E7846" w:rsidRPr="00487162">
              <w:rPr>
                <w:i/>
              </w:rPr>
              <w:t xml:space="preserve">: </w:t>
            </w:r>
          </w:p>
        </w:tc>
        <w:tc>
          <w:tcPr>
            <w:tcW w:w="6307" w:type="dxa"/>
          </w:tcPr>
          <w:p w14:paraId="5FEEE0AA" w14:textId="20DDC880" w:rsidR="008E7846" w:rsidRPr="00987298" w:rsidRDefault="00EC1629" w:rsidP="00987298">
            <w:pPr>
              <w:rPr>
                <w:bCs/>
              </w:rPr>
            </w:pPr>
            <w:r>
              <w:rPr>
                <w:bCs/>
              </w:rPr>
              <w:t>40 mg in 4 mL (10 mg/mL); and 100 mg in 10 mL (10 mg/mL)</w:t>
            </w:r>
          </w:p>
        </w:tc>
      </w:tr>
      <w:tr w:rsidR="008E7846" w:rsidRPr="00487162" w14:paraId="767926F3" w14:textId="77777777" w:rsidTr="009D34A7">
        <w:trPr>
          <w:gridAfter w:val="1"/>
          <w:wAfter w:w="283" w:type="dxa"/>
        </w:trPr>
        <w:tc>
          <w:tcPr>
            <w:tcW w:w="2907" w:type="dxa"/>
          </w:tcPr>
          <w:p w14:paraId="79ED5C9C" w14:textId="1C0B8B03" w:rsidR="008E7846" w:rsidRPr="00487162" w:rsidRDefault="008E7846" w:rsidP="007A0934">
            <w:pPr>
              <w:rPr>
                <w:i/>
              </w:rPr>
            </w:pPr>
            <w:r w:rsidRPr="00487162">
              <w:rPr>
                <w:i/>
              </w:rPr>
              <w:t>Container:</w:t>
            </w:r>
          </w:p>
        </w:tc>
        <w:tc>
          <w:tcPr>
            <w:tcW w:w="6307" w:type="dxa"/>
          </w:tcPr>
          <w:p w14:paraId="2206B5CC" w14:textId="346DE053" w:rsidR="008E7846" w:rsidRPr="00487162" w:rsidRDefault="00EC1629" w:rsidP="00E45619">
            <w:r>
              <w:t>Glass v</w:t>
            </w:r>
            <w:r w:rsidR="00987298">
              <w:t>ial</w:t>
            </w:r>
          </w:p>
        </w:tc>
      </w:tr>
      <w:tr w:rsidR="008E7846" w:rsidRPr="00487162" w14:paraId="3A1EA3DE" w14:textId="77777777" w:rsidTr="009D34A7">
        <w:trPr>
          <w:gridAfter w:val="1"/>
          <w:wAfter w:w="283" w:type="dxa"/>
        </w:trPr>
        <w:tc>
          <w:tcPr>
            <w:tcW w:w="2907" w:type="dxa"/>
          </w:tcPr>
          <w:p w14:paraId="20D8424C" w14:textId="32B931A3" w:rsidR="008E7846" w:rsidRPr="00487162" w:rsidRDefault="008E7846" w:rsidP="007A0934">
            <w:pPr>
              <w:rPr>
                <w:i/>
              </w:rPr>
            </w:pPr>
            <w:r w:rsidRPr="00487162">
              <w:rPr>
                <w:i/>
              </w:rPr>
              <w:t>Pack size</w:t>
            </w:r>
            <w:r w:rsidR="007A0934">
              <w:rPr>
                <w:i/>
              </w:rPr>
              <w:t>:</w:t>
            </w:r>
          </w:p>
        </w:tc>
        <w:tc>
          <w:tcPr>
            <w:tcW w:w="6307" w:type="dxa"/>
          </w:tcPr>
          <w:p w14:paraId="23742791" w14:textId="4F80F257" w:rsidR="008E7846" w:rsidRPr="00487162" w:rsidRDefault="00EC1629" w:rsidP="00E45619">
            <w:r>
              <w:t>1 vial per pack</w:t>
            </w:r>
          </w:p>
        </w:tc>
      </w:tr>
      <w:tr w:rsidR="008E7846" w:rsidRPr="00487162" w14:paraId="47327E5B" w14:textId="77777777" w:rsidTr="009D34A7">
        <w:trPr>
          <w:gridAfter w:val="1"/>
          <w:wAfter w:w="283" w:type="dxa"/>
        </w:trPr>
        <w:tc>
          <w:tcPr>
            <w:tcW w:w="2907" w:type="dxa"/>
          </w:tcPr>
          <w:p w14:paraId="44814C59"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2F5ABDDC" w14:textId="3C9DA106" w:rsidR="008E7846" w:rsidRPr="00EC1629" w:rsidRDefault="00EC1629" w:rsidP="00E45619">
            <w:pPr>
              <w:rPr>
                <w:lang w:val="en-GB"/>
              </w:rPr>
            </w:pPr>
            <w:proofErr w:type="spellStart"/>
            <w:r w:rsidRPr="00EC1629">
              <w:rPr>
                <w:i/>
                <w:iCs/>
                <w:lang w:val="en-GB"/>
              </w:rPr>
              <w:t>O</w:t>
            </w:r>
            <w:r>
              <w:rPr>
                <w:i/>
                <w:iCs/>
                <w:lang w:val="en-GB"/>
              </w:rPr>
              <w:t>pdivo</w:t>
            </w:r>
            <w:proofErr w:type="spellEnd"/>
            <w:r w:rsidRPr="00EC1629">
              <w:rPr>
                <w:i/>
                <w:iCs/>
                <w:lang w:val="en-GB"/>
              </w:rPr>
              <w:t xml:space="preserve"> as monotherapy is indicated for the treatment of patients with advanced clear cell renal cell carcinoma after prior anti-angiogenic therapy in adults.</w:t>
            </w:r>
          </w:p>
        </w:tc>
      </w:tr>
      <w:tr w:rsidR="008E7846" w:rsidRPr="00487162" w14:paraId="1B1A0338" w14:textId="77777777" w:rsidTr="009D34A7">
        <w:trPr>
          <w:gridAfter w:val="1"/>
          <w:wAfter w:w="283" w:type="dxa"/>
        </w:trPr>
        <w:tc>
          <w:tcPr>
            <w:tcW w:w="2907" w:type="dxa"/>
          </w:tcPr>
          <w:p w14:paraId="7726564D" w14:textId="08515127" w:rsidR="008E7846" w:rsidRPr="00487162" w:rsidRDefault="007A0934" w:rsidP="007A0934">
            <w:pPr>
              <w:rPr>
                <w:i/>
              </w:rPr>
            </w:pPr>
            <w:r>
              <w:rPr>
                <w:i/>
              </w:rPr>
              <w:t>Route</w:t>
            </w:r>
            <w:r w:rsidR="008E7846" w:rsidRPr="00487162">
              <w:rPr>
                <w:i/>
              </w:rPr>
              <w:t xml:space="preserve"> of administration:</w:t>
            </w:r>
          </w:p>
        </w:tc>
        <w:tc>
          <w:tcPr>
            <w:tcW w:w="6307" w:type="dxa"/>
          </w:tcPr>
          <w:p w14:paraId="14C9C1BC" w14:textId="1EDEEA9D" w:rsidR="008E7846" w:rsidRPr="00487162" w:rsidRDefault="00EC1629" w:rsidP="00E45619">
            <w:r>
              <w:t>Intravenous infusion</w:t>
            </w:r>
          </w:p>
        </w:tc>
      </w:tr>
      <w:tr w:rsidR="008E7846" w:rsidRPr="00487162" w14:paraId="65FECCE7" w14:textId="77777777" w:rsidTr="009D34A7">
        <w:trPr>
          <w:gridAfter w:val="1"/>
          <w:wAfter w:w="283" w:type="dxa"/>
        </w:trPr>
        <w:tc>
          <w:tcPr>
            <w:tcW w:w="2907" w:type="dxa"/>
          </w:tcPr>
          <w:p w14:paraId="4FFA3E7B" w14:textId="77777777" w:rsidR="008E7846" w:rsidRPr="00487162" w:rsidRDefault="008E7846" w:rsidP="00E45619">
            <w:pPr>
              <w:rPr>
                <w:i/>
              </w:rPr>
            </w:pPr>
            <w:r w:rsidRPr="00487162">
              <w:rPr>
                <w:i/>
              </w:rPr>
              <w:t>Dosage:</w:t>
            </w:r>
          </w:p>
        </w:tc>
        <w:tc>
          <w:tcPr>
            <w:tcW w:w="6307" w:type="dxa"/>
          </w:tcPr>
          <w:p w14:paraId="4E3BC4EE" w14:textId="01C67FE8" w:rsidR="008E7846" w:rsidRPr="00AD45CA" w:rsidRDefault="00AD45CA" w:rsidP="00323735">
            <w:pPr>
              <w:rPr>
                <w:lang w:val="en-GB"/>
              </w:rPr>
            </w:pPr>
            <w:r w:rsidRPr="00AD45CA">
              <w:rPr>
                <w:lang w:val="en-GB"/>
              </w:rPr>
              <w:t xml:space="preserve">Recommended dose of </w:t>
            </w:r>
            <w:proofErr w:type="spellStart"/>
            <w:r w:rsidRPr="00AD45CA">
              <w:rPr>
                <w:lang w:val="en-GB"/>
              </w:rPr>
              <w:t>O</w:t>
            </w:r>
            <w:r w:rsidR="00323735">
              <w:rPr>
                <w:lang w:val="en-GB"/>
              </w:rPr>
              <w:t>pdivo</w:t>
            </w:r>
            <w:proofErr w:type="spellEnd"/>
            <w:r w:rsidRPr="00AD45CA">
              <w:rPr>
                <w:lang w:val="en-GB"/>
              </w:rPr>
              <w:t xml:space="preserve"> as monotherapy is 3 mg/kg administered intravenously (IV) over 60 minutes every 2 weeks. Treatment should be continued as long as clinical benefit is observed or until treatment is no longer tolerated by the patient.</w:t>
            </w:r>
          </w:p>
        </w:tc>
      </w:tr>
      <w:tr w:rsidR="008E7846" w:rsidRPr="00487162" w14:paraId="629424DD" w14:textId="77777777" w:rsidTr="009D34A7">
        <w:trPr>
          <w:gridAfter w:val="1"/>
          <w:wAfter w:w="283" w:type="dxa"/>
        </w:trPr>
        <w:tc>
          <w:tcPr>
            <w:tcW w:w="2907" w:type="dxa"/>
          </w:tcPr>
          <w:p w14:paraId="7B07B014" w14:textId="02CE4F9A" w:rsidR="008E7846" w:rsidRPr="00487162" w:rsidRDefault="008E7846" w:rsidP="001B5C90">
            <w:pPr>
              <w:rPr>
                <w:i/>
              </w:rPr>
            </w:pPr>
            <w:r w:rsidRPr="00487162">
              <w:rPr>
                <w:i/>
              </w:rPr>
              <w:t xml:space="preserve">ARTG </w:t>
            </w:r>
            <w:r w:rsidR="001B5C90">
              <w:rPr>
                <w:i/>
              </w:rPr>
              <w:t>n</w:t>
            </w:r>
            <w:r w:rsidR="007A0934">
              <w:rPr>
                <w:i/>
              </w:rPr>
              <w:t>umbers</w:t>
            </w:r>
            <w:r w:rsidR="001B5C90">
              <w:rPr>
                <w:i/>
              </w:rPr>
              <w:t>:</w:t>
            </w:r>
          </w:p>
        </w:tc>
        <w:tc>
          <w:tcPr>
            <w:tcW w:w="6307" w:type="dxa"/>
          </w:tcPr>
          <w:p w14:paraId="70FADA43" w14:textId="53717286" w:rsidR="008E7846" w:rsidRPr="007A0934" w:rsidRDefault="007A0934" w:rsidP="00E45619">
            <w:pPr>
              <w:rPr>
                <w:lang w:val="en-GB"/>
              </w:rPr>
            </w:pPr>
            <w:r>
              <w:rPr>
                <w:lang w:val="en-GB"/>
              </w:rPr>
              <w:t>231867, 231868</w:t>
            </w:r>
          </w:p>
        </w:tc>
      </w:tr>
    </w:tbl>
    <w:p w14:paraId="68571B1C" w14:textId="77777777" w:rsidR="008E7846" w:rsidRDefault="008E7846" w:rsidP="008E7846">
      <w:pPr>
        <w:pStyle w:val="Heading3"/>
      </w:pPr>
      <w:bookmarkStart w:id="14" w:name="_Toc247691503"/>
      <w:bookmarkStart w:id="15" w:name="_Toc314842484"/>
      <w:bookmarkStart w:id="16" w:name="_Toc489277864"/>
      <w:r>
        <w:t>Product background</w:t>
      </w:r>
      <w:bookmarkEnd w:id="14"/>
      <w:bookmarkEnd w:id="15"/>
      <w:bookmarkEnd w:id="16"/>
    </w:p>
    <w:p w14:paraId="3E834DEA" w14:textId="46CC1F02" w:rsidR="004C1459" w:rsidRDefault="00940A89" w:rsidP="006A5993">
      <w:r w:rsidRPr="00940A89">
        <w:t xml:space="preserve">This </w:t>
      </w:r>
      <w:proofErr w:type="spellStart"/>
      <w:r w:rsidRPr="00940A89">
        <w:t>AusPAR</w:t>
      </w:r>
      <w:proofErr w:type="spellEnd"/>
      <w:r w:rsidRPr="00940A89">
        <w:t xml:space="preserve"> describes the application by the sponsor to </w:t>
      </w:r>
      <w:r w:rsidR="00FE4C74">
        <w:t xml:space="preserve">register </w:t>
      </w:r>
      <w:proofErr w:type="spellStart"/>
      <w:r w:rsidR="00FE4C74">
        <w:t>Opdivo</w:t>
      </w:r>
      <w:proofErr w:type="spellEnd"/>
      <w:r w:rsidR="00FE4C74">
        <w:t xml:space="preserve"> </w:t>
      </w:r>
      <w:proofErr w:type="spellStart"/>
      <w:r w:rsidR="006A5993" w:rsidRPr="006A5993">
        <w:t>nivolumab</w:t>
      </w:r>
      <w:proofErr w:type="spellEnd"/>
      <w:r w:rsidR="006A5993" w:rsidRPr="006A5993">
        <w:t xml:space="preserve"> </w:t>
      </w:r>
      <w:r w:rsidR="00FE4C74">
        <w:t>conce</w:t>
      </w:r>
      <w:r w:rsidR="00D60D57">
        <w:t>ntrate solution for IV infusion</w:t>
      </w:r>
      <w:r w:rsidR="00BD495D">
        <w:t xml:space="preserve"> indicated for</w:t>
      </w:r>
      <w:r w:rsidR="004C1459">
        <w:t>:</w:t>
      </w:r>
    </w:p>
    <w:p w14:paraId="6CB5CB2D" w14:textId="161AC65E" w:rsidR="006A5993" w:rsidRDefault="004C1459" w:rsidP="004C1459">
      <w:pPr>
        <w:ind w:firstLine="720"/>
        <w:rPr>
          <w:i/>
        </w:rPr>
      </w:pPr>
      <w:r w:rsidRPr="004C1459">
        <w:rPr>
          <w:i/>
        </w:rPr>
        <w:t>‘</w:t>
      </w:r>
      <w:proofErr w:type="gramStart"/>
      <w:r w:rsidR="006A5993" w:rsidRPr="004C1459">
        <w:rPr>
          <w:i/>
        </w:rPr>
        <w:t>the</w:t>
      </w:r>
      <w:proofErr w:type="gramEnd"/>
      <w:r w:rsidR="006A5993" w:rsidRPr="004C1459">
        <w:rPr>
          <w:i/>
        </w:rPr>
        <w:t xml:space="preserve"> treatment of patients with advanced renal cell carcinoma (</w:t>
      </w:r>
      <w:r w:rsidR="006A5993" w:rsidRPr="0081576D">
        <w:rPr>
          <w:i/>
        </w:rPr>
        <w:t>RCC</w:t>
      </w:r>
      <w:r w:rsidR="006A5993" w:rsidRPr="004C1459">
        <w:rPr>
          <w:i/>
        </w:rPr>
        <w:t>).</w:t>
      </w:r>
      <w:r w:rsidRPr="004C1459">
        <w:rPr>
          <w:i/>
        </w:rPr>
        <w:t>’</w:t>
      </w:r>
    </w:p>
    <w:p w14:paraId="75E2B80B" w14:textId="77777777" w:rsidR="00EA122B" w:rsidRPr="00EA122B" w:rsidRDefault="00EA122B" w:rsidP="00EA122B">
      <w:proofErr w:type="spellStart"/>
      <w:r w:rsidRPr="00EA122B">
        <w:t>Opdivo</w:t>
      </w:r>
      <w:proofErr w:type="spellEnd"/>
      <w:r w:rsidRPr="00EA122B">
        <w:t xml:space="preserve"> is already approved for the following indications:</w:t>
      </w:r>
    </w:p>
    <w:p w14:paraId="15BB707D" w14:textId="77777777" w:rsidR="00EA122B" w:rsidRPr="00EA122B" w:rsidRDefault="00EA122B" w:rsidP="00EA122B">
      <w:pPr>
        <w:ind w:left="720"/>
        <w:rPr>
          <w:i/>
        </w:rPr>
      </w:pPr>
      <w:r w:rsidRPr="00EA122B">
        <w:rPr>
          <w:i/>
        </w:rPr>
        <w:t xml:space="preserve">‘As monotherapy for the treatment of patients with </w:t>
      </w:r>
      <w:proofErr w:type="spellStart"/>
      <w:r w:rsidRPr="00EA122B">
        <w:rPr>
          <w:i/>
        </w:rPr>
        <w:t>unresectable</w:t>
      </w:r>
      <w:proofErr w:type="spellEnd"/>
      <w:r w:rsidRPr="00EA122B">
        <w:rPr>
          <w:i/>
        </w:rPr>
        <w:t xml:space="preserve"> (Stage III) or metastatic (Stage IV) melanoma</w:t>
      </w:r>
    </w:p>
    <w:p w14:paraId="52D733DD" w14:textId="77777777" w:rsidR="00EA122B" w:rsidRPr="00EA122B" w:rsidRDefault="00EA122B" w:rsidP="00EA122B">
      <w:pPr>
        <w:ind w:left="720"/>
        <w:rPr>
          <w:i/>
        </w:rPr>
      </w:pPr>
      <w:proofErr w:type="gramStart"/>
      <w:r w:rsidRPr="00EA122B">
        <w:rPr>
          <w:i/>
        </w:rPr>
        <w:lastRenderedPageBreak/>
        <w:t xml:space="preserve">In combination with </w:t>
      </w:r>
      <w:proofErr w:type="spellStart"/>
      <w:r w:rsidRPr="00EA122B">
        <w:rPr>
          <w:i/>
        </w:rPr>
        <w:t>Yervoy</w:t>
      </w:r>
      <w:proofErr w:type="spellEnd"/>
      <w:r w:rsidRPr="00EA122B">
        <w:rPr>
          <w:i/>
        </w:rPr>
        <w:t xml:space="preserve"> (</w:t>
      </w:r>
      <w:proofErr w:type="spellStart"/>
      <w:r w:rsidRPr="00EA122B">
        <w:rPr>
          <w:i/>
        </w:rPr>
        <w:t>ipilimumab</w:t>
      </w:r>
      <w:proofErr w:type="spellEnd"/>
      <w:r w:rsidRPr="00EA122B">
        <w:rPr>
          <w:i/>
        </w:rPr>
        <w:t>) for the treatment of patients with metastatic (Stage IV) melanoma with M1c disease or elevated lactic dehydrogenase (LDH).</w:t>
      </w:r>
      <w:proofErr w:type="gramEnd"/>
    </w:p>
    <w:p w14:paraId="24ED97ED" w14:textId="77777777" w:rsidR="00EA122B" w:rsidRPr="00EA122B" w:rsidRDefault="00EA122B" w:rsidP="00EA122B">
      <w:pPr>
        <w:ind w:left="720"/>
        <w:rPr>
          <w:i/>
        </w:rPr>
      </w:pPr>
      <w:r w:rsidRPr="00EA122B">
        <w:rPr>
          <w:i/>
        </w:rPr>
        <w:t>As monotherapy for the treatment of locally advanced or metastatic squamous non-small cell lung cancer (NSCLC) with progression on or after prior chemotherapy</w:t>
      </w:r>
    </w:p>
    <w:p w14:paraId="49EA357D" w14:textId="77777777" w:rsidR="00EA122B" w:rsidRPr="00EA122B" w:rsidRDefault="00EA122B" w:rsidP="00EA122B">
      <w:pPr>
        <w:ind w:left="720"/>
        <w:rPr>
          <w:i/>
        </w:rPr>
      </w:pPr>
      <w:proofErr w:type="gramStart"/>
      <w:r w:rsidRPr="00EA122B">
        <w:rPr>
          <w:i/>
        </w:rPr>
        <w:t>As monotherapy for the treatment of locally advanced or metastatic non-squamous non-small cell lung cancer (NSCLC) with progression on or after prior chemotherapy.</w:t>
      </w:r>
      <w:proofErr w:type="gramEnd"/>
      <w:r w:rsidRPr="00EA122B">
        <w:rPr>
          <w:i/>
        </w:rPr>
        <w:t xml:space="preserve"> In patients with tumour EGFR or ALK genomic aberrations, OPDIVO should be used after progression on or after targeted therapy.’</w:t>
      </w:r>
    </w:p>
    <w:p w14:paraId="76CA251D" w14:textId="16133FB0" w:rsidR="00FE4C74" w:rsidRDefault="00FE4C74" w:rsidP="006A5993">
      <w:r>
        <w:t xml:space="preserve">The proposed dosage </w:t>
      </w:r>
      <w:r w:rsidRPr="00FE4C74">
        <w:t xml:space="preserve">of </w:t>
      </w:r>
      <w:proofErr w:type="spellStart"/>
      <w:r w:rsidRPr="00FE4C74">
        <w:t>O</w:t>
      </w:r>
      <w:r>
        <w:t>pdivo</w:t>
      </w:r>
      <w:proofErr w:type="spellEnd"/>
      <w:r w:rsidRPr="00FE4C74">
        <w:t xml:space="preserve"> as a monotherapy is 3 mg/kg administered intravenously over 60 minutes every 2 weeks. Treatment should be continued as long as clinical benefit is observed or until treatment is no longer tolerated by the patient.</w:t>
      </w:r>
    </w:p>
    <w:p w14:paraId="507237DA" w14:textId="185E047B" w:rsidR="001B0010" w:rsidRPr="006A5993" w:rsidRDefault="001B0010" w:rsidP="006A5993">
      <w:proofErr w:type="spellStart"/>
      <w:r w:rsidRPr="006A5993">
        <w:t>Nivolumab</w:t>
      </w:r>
      <w:proofErr w:type="spellEnd"/>
      <w:r w:rsidRPr="006A5993">
        <w:t xml:space="preserve"> is an immune checkpoint inhibitor. It is a fully human anti-PD-1 monoclonal antibody</w:t>
      </w:r>
      <w:r w:rsidR="004024B1">
        <w:t xml:space="preserve"> </w:t>
      </w:r>
      <w:r>
        <w:t>(</w:t>
      </w:r>
      <w:proofErr w:type="spellStart"/>
      <w:r>
        <w:t>mAb</w:t>
      </w:r>
      <w:proofErr w:type="spellEnd"/>
      <w:r>
        <w:t>)</w:t>
      </w:r>
      <w:r w:rsidRPr="006A5993">
        <w:t xml:space="preserve"> </w:t>
      </w:r>
      <w:r>
        <w:t xml:space="preserve">of the immunoglobulin G4 isotype </w:t>
      </w:r>
      <w:r w:rsidRPr="006A5993">
        <w:t xml:space="preserve">(IgG4) produced by recombinant DNA technology. It binds to programmed cell death-1 </w:t>
      </w:r>
      <w:r>
        <w:t>(PD-1) receptor</w:t>
      </w:r>
      <w:r w:rsidRPr="006A5993">
        <w:t xml:space="preserve"> on cells of the immune system and blocks the interaction between PD-1 receptor and its ligands, PD-L1 and PD-L2. Expression of PD-1 ligands occurs on the cells of some tumour types and signalling through this pathway can contribute to inhibition of active T cell immune surveillance of tumours. By inhibiting the PD-1 receptor from binding to PD-L1 and PD-L2, </w:t>
      </w:r>
      <w:proofErr w:type="spellStart"/>
      <w:r w:rsidRPr="006A5993">
        <w:t>nivolumab</w:t>
      </w:r>
      <w:proofErr w:type="spellEnd"/>
      <w:r w:rsidRPr="006A5993">
        <w:t xml:space="preserve"> reactivates tumour-specific cytotoxic T lymphocytes in the tumour microenvironment and reactivates anti-tumour immunity.</w:t>
      </w:r>
      <w:r>
        <w:t xml:space="preserve"> </w:t>
      </w:r>
      <w:proofErr w:type="spellStart"/>
      <w:r w:rsidRPr="0079222E">
        <w:t>Nivolumab</w:t>
      </w:r>
      <w:proofErr w:type="spellEnd"/>
      <w:r w:rsidRPr="0079222E">
        <w:t xml:space="preserve"> is a ‘second in class’ to be approved for use in Australia. </w:t>
      </w:r>
      <w:proofErr w:type="spellStart"/>
      <w:r w:rsidRPr="0079222E">
        <w:t>Pembrolizumab</w:t>
      </w:r>
      <w:proofErr w:type="spellEnd"/>
      <w:r w:rsidRPr="0079222E">
        <w:t xml:space="preserve">, another anti-PD-1 </w:t>
      </w:r>
      <w:proofErr w:type="spellStart"/>
      <w:r w:rsidRPr="0079222E">
        <w:t>mAb</w:t>
      </w:r>
      <w:proofErr w:type="spellEnd"/>
      <w:r w:rsidRPr="0079222E">
        <w:t>, was approved by the TGA in April 2015 for use in advanced melanoma.</w:t>
      </w:r>
    </w:p>
    <w:p w14:paraId="70CB4964" w14:textId="024F5F7B" w:rsidR="005670DC" w:rsidRDefault="00B5715A" w:rsidP="005670DC">
      <w:pPr>
        <w:pStyle w:val="Heading4"/>
      </w:pPr>
      <w:r>
        <w:t>Therapeutic indication</w:t>
      </w:r>
    </w:p>
    <w:p w14:paraId="5CEC5BDE" w14:textId="469E9842" w:rsidR="00444D6E" w:rsidRPr="00444D6E" w:rsidRDefault="00444D6E" w:rsidP="00444D6E">
      <w:r w:rsidRPr="003442FE">
        <w:rPr>
          <w:lang w:eastAsia="ja-JP"/>
        </w:rPr>
        <w:t>Renal cell carcinoma (RCC) accounts for approximately 90 to 95% of neoplasms arising from the kidney. Several different types of RCC are now recognised, according to histological appearance, chromosomal alterations and molecular pathwa</w:t>
      </w:r>
      <w:r>
        <w:rPr>
          <w:lang w:eastAsia="ja-JP"/>
        </w:rPr>
        <w:t>y abnormalities, with clear cell RCC accounting for 70 to 80% of cases</w:t>
      </w:r>
      <w:r w:rsidR="009F0655">
        <w:rPr>
          <w:lang w:eastAsia="ja-JP"/>
        </w:rPr>
        <w:t>.</w:t>
      </w:r>
      <w:bookmarkStart w:id="17" w:name="_Ref487040782"/>
      <w:bookmarkStart w:id="18" w:name="_Ref487048204"/>
      <w:r w:rsidR="009F0655" w:rsidRPr="005670DC">
        <w:rPr>
          <w:vertAlign w:val="superscript"/>
        </w:rPr>
        <w:footnoteReference w:id="2"/>
      </w:r>
      <w:bookmarkEnd w:id="17"/>
      <w:bookmarkEnd w:id="18"/>
    </w:p>
    <w:p w14:paraId="41CB86C7" w14:textId="77777777" w:rsidR="005670DC" w:rsidRPr="005670DC" w:rsidRDefault="005670DC" w:rsidP="005670DC">
      <w:pPr>
        <w:pStyle w:val="Heading5"/>
      </w:pPr>
      <w:bookmarkStart w:id="19" w:name="_Toc457473398"/>
      <w:r w:rsidRPr="005670DC">
        <w:t>Kidney cancer in Australia</w:t>
      </w:r>
      <w:bookmarkEnd w:id="19"/>
    </w:p>
    <w:p w14:paraId="30FA7CE0" w14:textId="1C53EA9D" w:rsidR="005670DC" w:rsidRPr="005670DC" w:rsidRDefault="005670DC" w:rsidP="005670DC">
      <w:r w:rsidRPr="005670DC">
        <w:t>The overall incidence of kidney cancer in Australia has been increasing since 1978. Kidney cancer is more common in males and the incidence rate generally increases with age, up to the age group of 75 to 79 years, as shown below in Figures 1 and 2</w:t>
      </w:r>
      <w:r w:rsidR="009F0655">
        <w:t>.</w:t>
      </w:r>
      <w:r w:rsidR="009F0655">
        <w:rPr>
          <w:rStyle w:val="FootnoteReference"/>
        </w:rPr>
        <w:footnoteReference w:id="3"/>
      </w:r>
    </w:p>
    <w:p w14:paraId="14955B58" w14:textId="77777777" w:rsidR="005670DC" w:rsidRPr="009D34A7" w:rsidRDefault="005670DC" w:rsidP="005670DC">
      <w:pPr>
        <w:pStyle w:val="FigureTitle"/>
      </w:pPr>
      <w:bookmarkStart w:id="20" w:name="_Toc457473751"/>
      <w:proofErr w:type="gramStart"/>
      <w:r w:rsidRPr="005670DC">
        <w:t>Figure 1.</w:t>
      </w:r>
      <w:proofErr w:type="gramEnd"/>
      <w:r w:rsidRPr="005670DC">
        <w:t xml:space="preserve"> Incidence and mortality of kidney cancer in Australia</w:t>
      </w:r>
      <w:bookmarkEnd w:id="20"/>
      <w:r w:rsidRPr="005670DC">
        <w:t xml:space="preserve"> (1968 to 2012)</w:t>
      </w:r>
    </w:p>
    <w:p w14:paraId="40DDFAC3" w14:textId="77777777" w:rsidR="005670DC" w:rsidRPr="005670DC" w:rsidRDefault="005670DC" w:rsidP="005670DC">
      <w:r w:rsidRPr="005670DC">
        <w:rPr>
          <w:noProof/>
          <w:lang w:eastAsia="en-AU"/>
        </w:rPr>
        <w:drawing>
          <wp:inline distT="0" distB="0" distL="0" distR="0" wp14:anchorId="3B5DFF1D" wp14:editId="60334067">
            <wp:extent cx="3142730" cy="1949450"/>
            <wp:effectExtent l="0" t="0" r="635" b="0"/>
            <wp:docPr id="3" name="Picture 3" descr="Figure 1. Incidence and mortality of kidney cancer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028" b="6449"/>
                    <a:stretch/>
                  </pic:blipFill>
                  <pic:spPr bwMode="auto">
                    <a:xfrm>
                      <a:off x="0" y="0"/>
                      <a:ext cx="3285954" cy="2038293"/>
                    </a:xfrm>
                    <a:prstGeom prst="rect">
                      <a:avLst/>
                    </a:prstGeom>
                    <a:noFill/>
                    <a:ln>
                      <a:noFill/>
                    </a:ln>
                    <a:extLst>
                      <a:ext uri="{53640926-AAD7-44D8-BBD7-CCE9431645EC}">
                        <a14:shadowObscured xmlns:a14="http://schemas.microsoft.com/office/drawing/2010/main"/>
                      </a:ext>
                    </a:extLst>
                  </pic:spPr>
                </pic:pic>
              </a:graphicData>
            </a:graphic>
          </wp:inline>
        </w:drawing>
      </w:r>
    </w:p>
    <w:p w14:paraId="1EE9E2BC" w14:textId="77777777" w:rsidR="005670DC" w:rsidRPr="005670DC" w:rsidRDefault="005670DC" w:rsidP="005670DC">
      <w:pPr>
        <w:pStyle w:val="FigureTitle"/>
      </w:pPr>
      <w:proofErr w:type="gramStart"/>
      <w:r w:rsidRPr="005670DC">
        <w:lastRenderedPageBreak/>
        <w:t>Figure 2.</w:t>
      </w:r>
      <w:proofErr w:type="gramEnd"/>
      <w:r w:rsidRPr="005670DC">
        <w:t xml:space="preserve"> Age specific incidence rates for kidney cancer in Australia (2015)</w:t>
      </w:r>
    </w:p>
    <w:p w14:paraId="0DABFC40" w14:textId="77777777" w:rsidR="005670DC" w:rsidRPr="005670DC" w:rsidRDefault="005670DC" w:rsidP="005670DC">
      <w:r w:rsidRPr="005670DC">
        <w:rPr>
          <w:noProof/>
          <w:lang w:eastAsia="en-AU"/>
        </w:rPr>
        <w:drawing>
          <wp:inline distT="0" distB="0" distL="0" distR="0" wp14:anchorId="3F3B880A" wp14:editId="7C554F1C">
            <wp:extent cx="3142730" cy="2107411"/>
            <wp:effectExtent l="0" t="0" r="635" b="7620"/>
            <wp:docPr id="4" name="Picture 4" descr="Figure 2. Age specific incidence rates for kidney cancer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183"/>
                    <a:stretch/>
                  </pic:blipFill>
                  <pic:spPr bwMode="auto">
                    <a:xfrm>
                      <a:off x="0" y="0"/>
                      <a:ext cx="3249794" cy="2179204"/>
                    </a:xfrm>
                    <a:prstGeom prst="rect">
                      <a:avLst/>
                    </a:prstGeom>
                    <a:noFill/>
                    <a:ln>
                      <a:noFill/>
                    </a:ln>
                    <a:extLst>
                      <a:ext uri="{53640926-AAD7-44D8-BBD7-CCE9431645EC}">
                        <a14:shadowObscured xmlns:a14="http://schemas.microsoft.com/office/drawing/2010/main"/>
                      </a:ext>
                    </a:extLst>
                  </pic:spPr>
                </pic:pic>
              </a:graphicData>
            </a:graphic>
          </wp:inline>
        </w:drawing>
      </w:r>
    </w:p>
    <w:p w14:paraId="19F8CE56" w14:textId="283063CE" w:rsidR="005670DC" w:rsidRPr="005670DC" w:rsidRDefault="005670DC" w:rsidP="005670DC">
      <w:r w:rsidRPr="005670DC">
        <w:t>In 2011, there were 2,847 new cases of kidney cancer diagnosed in Australia (1,861 mal</w:t>
      </w:r>
      <w:r w:rsidR="006F5523">
        <w:t xml:space="preserve">es and 985 females) and the age </w:t>
      </w:r>
      <w:r w:rsidRPr="005670DC">
        <w:t>standardised incidence rate was 12 cases per 100,000 persons (16 for males and 7.7 for females). At the end of 2009, there were 9,627 people living who had been diagnosed with kidney cancer in the previous 5 years. In 2012, there were 907 deaths from kidney can</w:t>
      </w:r>
      <w:r w:rsidR="009F0655">
        <w:t>cer in Australia, giving an age-</w:t>
      </w:r>
      <w:r w:rsidRPr="005670DC">
        <w:t>standardised mortality rate of 3.5 deaths per 100,000 persons (4.9 for males and 2.3 for females). In 2007 to 2011, individuals with kidney cancer had a 73% chance of surviving for 5 years, compared to their counterparts in the general Australian population.</w:t>
      </w:r>
    </w:p>
    <w:p w14:paraId="6B6CC0BB" w14:textId="77777777" w:rsidR="005670DC" w:rsidRPr="005670DC" w:rsidRDefault="005670DC" w:rsidP="005670DC">
      <w:pPr>
        <w:pStyle w:val="Heading5"/>
      </w:pPr>
      <w:bookmarkStart w:id="21" w:name="_Toc457473400"/>
      <w:r w:rsidRPr="005670DC">
        <w:t>Diagnosis and prognosis</w:t>
      </w:r>
      <w:bookmarkEnd w:id="21"/>
    </w:p>
    <w:p w14:paraId="462AC8FC" w14:textId="4A43F34F" w:rsidR="005670DC" w:rsidRPr="005670DC" w:rsidRDefault="005670DC" w:rsidP="005670DC">
      <w:r w:rsidRPr="005670DC">
        <w:t>RCC is characterised by a lack of early warning signs, diverse clinical manifestations and resistance to radiation and chemotherapy. More than half of RCCs are currently detected incidentally due to the increasingly widespread use of abdominal imaging for example, ultrasonography, computed tomography and magnetic resonance imaging.</w:t>
      </w:r>
    </w:p>
    <w:p w14:paraId="726D398B" w14:textId="2BD9E794" w:rsidR="005670DC" w:rsidRPr="005670DC" w:rsidRDefault="005670DC" w:rsidP="005670DC">
      <w:r w:rsidRPr="005670DC">
        <w:t>RCC may be cured if diagnosed and treated while it is still localised to the kidney and surrounding tissue. After radical nephrect</w:t>
      </w:r>
      <w:r>
        <w:t>omy for S</w:t>
      </w:r>
      <w:r w:rsidRPr="005670DC">
        <w:t>tage I RCC, the 5 year survival rate is approximately 94%. Patients with Stage II lesions have a survival rate of 79%. When distant metastases are present or if any treated RCC patient develops progressing, recurring or relapsing disease, the prognosis is poor with 5 year survival rates of 0 to 20%.</w:t>
      </w:r>
    </w:p>
    <w:p w14:paraId="5C6D25DD" w14:textId="77777777" w:rsidR="005670DC" w:rsidRPr="005670DC" w:rsidRDefault="005670DC" w:rsidP="001B0010">
      <w:pPr>
        <w:pStyle w:val="Heading4"/>
      </w:pPr>
      <w:bookmarkStart w:id="22" w:name="_Toc457473402"/>
      <w:r w:rsidRPr="005670DC">
        <w:t>Treatment options</w:t>
      </w:r>
      <w:bookmarkEnd w:id="22"/>
    </w:p>
    <w:p w14:paraId="62528705" w14:textId="77777777" w:rsidR="005670DC" w:rsidRPr="005670DC" w:rsidRDefault="005670DC" w:rsidP="005670DC">
      <w:r w:rsidRPr="005670DC">
        <w:t>Surgical resection is the standard of care for Stage I to III RCC and may be curative.</w:t>
      </w:r>
    </w:p>
    <w:p w14:paraId="1312AEB3" w14:textId="424CBAC4" w:rsidR="005670DC" w:rsidRPr="005670DC" w:rsidRDefault="005670DC" w:rsidP="005670DC">
      <w:r w:rsidRPr="005670DC">
        <w:t xml:space="preserve">There is no curative therapy for Stage IV or metastatic disease. Surgical resection and/or </w:t>
      </w:r>
      <w:proofErr w:type="spellStart"/>
      <w:r w:rsidRPr="005670DC">
        <w:t>metastasectomy</w:t>
      </w:r>
      <w:proofErr w:type="spellEnd"/>
      <w:r w:rsidRPr="005670DC">
        <w:t xml:space="preserve"> may be considered in suitable patients to relieve symptoms and decrease ectopic hormone or cytokine production. Because some RCC have a very indolent course, a period of observation before starting treatment may be considered, especially in patients with limited tumour burden and few symptoms. For some poor prognosis patients, best supportive care may be the most appropriate treatment option.</w:t>
      </w:r>
    </w:p>
    <w:p w14:paraId="3814AB4A" w14:textId="3B12261B" w:rsidR="005670DC" w:rsidRPr="005670DC" w:rsidRDefault="005670DC" w:rsidP="003915CC">
      <w:r w:rsidRPr="005670DC">
        <w:t>Systemic treatment of renal cell carcinoma is rapidly evolving. Prior to 2005, the widely used systemic agents were the cytokines, interferon alfa and interleukin-2, which yielded modest efficacy and substantial toxicity although some patients achieved durable complete responses with interleukin-2. Molecularly targeted therapies have been developed in the last 10 years and have demonstrated significant activity in advanced stage RCC, such that they have displaced cytokine therapy. Currently available targeted therapies are made up of two broad classes</w:t>
      </w:r>
      <w:r w:rsidR="006B34B9">
        <w:t>;</w:t>
      </w:r>
      <w:r w:rsidR="003915CC">
        <w:t xml:space="preserve"> anti-vascular endothelial growth factor (VEGF) agents </w:t>
      </w:r>
      <w:r w:rsidRPr="005670DC">
        <w:t xml:space="preserve">that act via </w:t>
      </w:r>
      <w:r w:rsidR="003915CC">
        <w:t xml:space="preserve">inhibition of the VEGF pathway and </w:t>
      </w:r>
      <w:r w:rsidRPr="005670DC">
        <w:t xml:space="preserve">inhibitors of the </w:t>
      </w:r>
      <w:r w:rsidRPr="005670DC">
        <w:lastRenderedPageBreak/>
        <w:t>mammalian Target of Rapamycin (</w:t>
      </w:r>
      <w:proofErr w:type="spellStart"/>
      <w:r w:rsidRPr="005670DC">
        <w:t>mTOR</w:t>
      </w:r>
      <w:proofErr w:type="spellEnd"/>
      <w:r w:rsidRPr="005670DC">
        <w:t xml:space="preserve">) kinase signalling within tumour cells causing cell cycle arrest, enhanced apoptosis </w:t>
      </w:r>
      <w:r w:rsidR="003915CC">
        <w:t>and inhibition of angiogenesis.</w:t>
      </w:r>
    </w:p>
    <w:p w14:paraId="0BFC09BB" w14:textId="2D7BBAEF" w:rsidR="005670DC" w:rsidRPr="005670DC" w:rsidRDefault="005670DC" w:rsidP="005670DC">
      <w:r w:rsidRPr="005670DC">
        <w:t>Despite these new therapies, outcome of progressive disease after first-line therapies remains poor, with median overall survival less than 2 years.</w:t>
      </w:r>
      <w:bookmarkStart w:id="23" w:name="_Ref487048351"/>
      <w:r w:rsidRPr="005670DC">
        <w:rPr>
          <w:vertAlign w:val="superscript"/>
        </w:rPr>
        <w:footnoteReference w:id="4"/>
      </w:r>
      <w:bookmarkEnd w:id="23"/>
    </w:p>
    <w:p w14:paraId="180401FF" w14:textId="77777777" w:rsidR="005670DC" w:rsidRDefault="005670DC" w:rsidP="005670DC">
      <w:r w:rsidRPr="005670DC">
        <w:t xml:space="preserve">Targeted therapy and immunomodulatory agents are now considered standard of care in patients with metastatic disease, although optimal regimens have not been identified. Most commonly, first line therapy is with a vascular endothelial growth factor receptor (VEGFR) kinase inhibitor. At disease progression, options include another type of angiogenesis-targeted therapy or ‘switching the mechanism of action’ to an </w:t>
      </w:r>
      <w:proofErr w:type="spellStart"/>
      <w:r w:rsidRPr="005670DC">
        <w:t>mTOR</w:t>
      </w:r>
      <w:proofErr w:type="spellEnd"/>
      <w:r w:rsidRPr="005670DC">
        <w:t xml:space="preserve"> inhibitor (for example </w:t>
      </w:r>
      <w:proofErr w:type="spellStart"/>
      <w:r w:rsidRPr="005670DC">
        <w:t>everolimus</w:t>
      </w:r>
      <w:proofErr w:type="spellEnd"/>
      <w:r w:rsidRPr="005670DC">
        <w:t>). Interleukin-2 in high dose may still be used alone in some selected patients.</w:t>
      </w:r>
      <w:r w:rsidRPr="005670DC">
        <w:rPr>
          <w:vertAlign w:val="superscript"/>
        </w:rPr>
        <w:fldChar w:fldCharType="begin"/>
      </w:r>
      <w:r w:rsidRPr="005670DC">
        <w:rPr>
          <w:vertAlign w:val="superscript"/>
        </w:rPr>
        <w:instrText xml:space="preserve"> NOTEREF _Ref487048351 \h  \* MERGEFORMAT </w:instrText>
      </w:r>
      <w:r w:rsidRPr="005670DC">
        <w:rPr>
          <w:vertAlign w:val="superscript"/>
        </w:rPr>
      </w:r>
      <w:r w:rsidRPr="005670DC">
        <w:rPr>
          <w:vertAlign w:val="superscript"/>
        </w:rPr>
        <w:fldChar w:fldCharType="separate"/>
      </w:r>
      <w:r w:rsidR="00AF569E">
        <w:rPr>
          <w:vertAlign w:val="superscript"/>
        </w:rPr>
        <w:t>4</w:t>
      </w:r>
      <w:r w:rsidRPr="005670DC">
        <w:fldChar w:fldCharType="end"/>
      </w:r>
    </w:p>
    <w:p w14:paraId="6CCD4636" w14:textId="75D62277" w:rsidR="005670DC" w:rsidRPr="00663454" w:rsidRDefault="00663454" w:rsidP="005670DC">
      <w:pPr>
        <w:rPr>
          <w:b/>
          <w:bCs/>
        </w:rPr>
      </w:pPr>
      <w:r w:rsidRPr="00663454">
        <w:t>A number of options for first and second line therapies are suggested in the available guidelines, including the European Society of Medical Oncology (ESMO) Renal Cell Carcinoma Clinical Practice Guideline and the United States (US) National Cancer Institute (NCI) National Cancer Care Network (NCCN) guideline.</w:t>
      </w:r>
      <w:r>
        <w:rPr>
          <w:b/>
          <w:bCs/>
        </w:rPr>
        <w:t xml:space="preserve"> </w:t>
      </w:r>
      <w:r w:rsidR="005670DC" w:rsidRPr="005670DC">
        <w:t>There is no evidence that any particular follow-up protocol affects outcome in early or advanced RCC. The NCCN guideline states that follow-up should be individualised according to the patient’s requirements. The ESMO guideline recommends: ‘</w:t>
      </w:r>
      <w:r w:rsidR="005670DC" w:rsidRPr="005670DC">
        <w:rPr>
          <w:i/>
        </w:rPr>
        <w:t>During systemic t</w:t>
      </w:r>
      <w:r w:rsidR="008F6176">
        <w:rPr>
          <w:i/>
        </w:rPr>
        <w:t xml:space="preserve">herapy in </w:t>
      </w:r>
      <w:proofErr w:type="spellStart"/>
      <w:r w:rsidR="008F6176">
        <w:rPr>
          <w:i/>
        </w:rPr>
        <w:t>mRCC</w:t>
      </w:r>
      <w:proofErr w:type="spellEnd"/>
      <w:r w:rsidR="008F6176">
        <w:rPr>
          <w:i/>
        </w:rPr>
        <w:t xml:space="preserve"> patients, 2 to 4 </w:t>
      </w:r>
      <w:r w:rsidR="005670DC" w:rsidRPr="005670DC">
        <w:rPr>
          <w:i/>
        </w:rPr>
        <w:t>month follow-up schemes with CT scan should be advised to determine response and resistance. Although not perfect, RECIST criteria remain the best method to assess drug efficacy.’</w:t>
      </w:r>
      <w:r>
        <w:rPr>
          <w:i/>
        </w:rPr>
        <w:t xml:space="preserve"> </w:t>
      </w:r>
      <w:r>
        <w:t xml:space="preserve">The RECIST </w:t>
      </w:r>
      <w:proofErr w:type="gramStart"/>
      <w:r>
        <w:t>cr</w:t>
      </w:r>
      <w:r w:rsidR="006F5523">
        <w:t>iteria is</w:t>
      </w:r>
      <w:proofErr w:type="gramEnd"/>
      <w:r w:rsidR="006F5523">
        <w:t xml:space="preserve"> given below in Table 1</w:t>
      </w:r>
      <w:r>
        <w:t>.</w:t>
      </w:r>
    </w:p>
    <w:p w14:paraId="1A0B76C3" w14:textId="01915970" w:rsidR="005670DC" w:rsidRPr="005670DC" w:rsidRDefault="006F5523" w:rsidP="00D8159C">
      <w:pPr>
        <w:pStyle w:val="TableTitle"/>
      </w:pPr>
      <w:bookmarkStart w:id="24" w:name="_Toc457473753"/>
      <w:proofErr w:type="gramStart"/>
      <w:r>
        <w:t>Table 1</w:t>
      </w:r>
      <w:r w:rsidR="005670DC" w:rsidRPr="005670DC">
        <w:t>.</w:t>
      </w:r>
      <w:proofErr w:type="gramEnd"/>
      <w:r w:rsidR="005670DC" w:rsidRPr="005670DC">
        <w:t xml:space="preserve"> Response Evaluation Criteria in Solid Tumours (RECIST)</w:t>
      </w:r>
      <w:bookmarkEnd w:id="24"/>
    </w:p>
    <w:tbl>
      <w:tblPr>
        <w:tblStyle w:val="TableTGAblue"/>
        <w:tblW w:w="0" w:type="auto"/>
        <w:tblLook w:val="04A0" w:firstRow="1" w:lastRow="0" w:firstColumn="1" w:lastColumn="0" w:noHBand="0" w:noVBand="1"/>
      </w:tblPr>
      <w:tblGrid>
        <w:gridCol w:w="8505"/>
      </w:tblGrid>
      <w:tr w:rsidR="005670DC" w:rsidRPr="005670DC" w14:paraId="2717447A" w14:textId="77777777" w:rsidTr="005670DC">
        <w:trPr>
          <w:cnfStyle w:val="100000000000" w:firstRow="1" w:lastRow="0" w:firstColumn="0" w:lastColumn="0" w:oddVBand="0" w:evenVBand="0" w:oddHBand="0" w:evenHBand="0" w:firstRowFirstColumn="0" w:firstRowLastColumn="0" w:lastRowFirstColumn="0" w:lastRowLastColumn="0"/>
        </w:trPr>
        <w:tc>
          <w:tcPr>
            <w:tcW w:w="8505" w:type="dxa"/>
          </w:tcPr>
          <w:p w14:paraId="44D7D51B" w14:textId="77777777" w:rsidR="005670DC" w:rsidRPr="005670DC" w:rsidRDefault="005670DC" w:rsidP="003E6F83">
            <w:r w:rsidRPr="005670DC">
              <w:t>Response Evaluation Criteria In Solid Tumours (RECIST) is defined as follows:</w:t>
            </w:r>
          </w:p>
        </w:tc>
      </w:tr>
      <w:tr w:rsidR="005670DC" w:rsidRPr="005670DC" w14:paraId="1D08B08D" w14:textId="77777777" w:rsidTr="005670DC">
        <w:tc>
          <w:tcPr>
            <w:tcW w:w="8505" w:type="dxa"/>
          </w:tcPr>
          <w:p w14:paraId="42AAC3BA" w14:textId="77777777" w:rsidR="005670DC" w:rsidRPr="005670DC" w:rsidRDefault="005670DC" w:rsidP="003E6F83">
            <w:pPr>
              <w:rPr>
                <w:color w:val="auto"/>
                <w:szCs w:val="22"/>
                <w:lang w:eastAsia="en-US"/>
              </w:rPr>
            </w:pPr>
            <w:r w:rsidRPr="005670DC">
              <w:rPr>
                <w:i/>
                <w:color w:val="auto"/>
                <w:szCs w:val="22"/>
                <w:lang w:eastAsia="en-US"/>
              </w:rPr>
              <w:t>Complete response (CR)</w:t>
            </w:r>
            <w:r w:rsidRPr="005670DC">
              <w:rPr>
                <w:color w:val="auto"/>
                <w:szCs w:val="22"/>
                <w:lang w:eastAsia="en-US"/>
              </w:rPr>
              <w:t xml:space="preserve"> is disappearance of all target lesions.</w:t>
            </w:r>
          </w:p>
          <w:p w14:paraId="2C239462" w14:textId="77777777" w:rsidR="005670DC" w:rsidRPr="005670DC" w:rsidRDefault="005670DC" w:rsidP="003E6F83">
            <w:pPr>
              <w:rPr>
                <w:color w:val="auto"/>
                <w:szCs w:val="22"/>
                <w:lang w:eastAsia="en-US"/>
              </w:rPr>
            </w:pPr>
            <w:r w:rsidRPr="005670DC">
              <w:rPr>
                <w:i/>
                <w:color w:val="auto"/>
                <w:szCs w:val="22"/>
                <w:lang w:eastAsia="en-US"/>
              </w:rPr>
              <w:t>Partial response (PR)</w:t>
            </w:r>
            <w:r w:rsidRPr="005670DC">
              <w:rPr>
                <w:color w:val="auto"/>
                <w:szCs w:val="22"/>
                <w:lang w:eastAsia="en-US"/>
              </w:rPr>
              <w:t xml:space="preserve"> is a 30% decrease in the sum of the longest diameter of target lesions.</w:t>
            </w:r>
          </w:p>
          <w:p w14:paraId="6C0036F6" w14:textId="77777777" w:rsidR="005670DC" w:rsidRPr="005670DC" w:rsidRDefault="005670DC" w:rsidP="003E6F83">
            <w:pPr>
              <w:rPr>
                <w:color w:val="auto"/>
                <w:szCs w:val="22"/>
                <w:lang w:eastAsia="en-US"/>
              </w:rPr>
            </w:pPr>
            <w:r w:rsidRPr="005670DC">
              <w:rPr>
                <w:i/>
                <w:color w:val="auto"/>
                <w:szCs w:val="22"/>
                <w:lang w:eastAsia="en-US"/>
              </w:rPr>
              <w:t>Progressive disease (PD)</w:t>
            </w:r>
            <w:r w:rsidRPr="005670DC">
              <w:rPr>
                <w:color w:val="auto"/>
                <w:szCs w:val="22"/>
                <w:lang w:eastAsia="en-US"/>
              </w:rPr>
              <w:t xml:space="preserve"> is a 20% increase in the sum of the longest diameter of target lesions.</w:t>
            </w:r>
          </w:p>
          <w:p w14:paraId="5F496085" w14:textId="77777777" w:rsidR="005670DC" w:rsidRPr="005670DC" w:rsidRDefault="005670DC" w:rsidP="003E6F83">
            <w:pPr>
              <w:rPr>
                <w:color w:val="auto"/>
                <w:szCs w:val="22"/>
                <w:lang w:eastAsia="en-US"/>
              </w:rPr>
            </w:pPr>
            <w:r w:rsidRPr="005670DC">
              <w:rPr>
                <w:i/>
                <w:color w:val="auto"/>
                <w:szCs w:val="22"/>
                <w:lang w:eastAsia="en-US"/>
              </w:rPr>
              <w:t>Stable disease (SD)</w:t>
            </w:r>
            <w:r w:rsidRPr="005670DC">
              <w:rPr>
                <w:color w:val="auto"/>
                <w:szCs w:val="22"/>
                <w:lang w:eastAsia="en-US"/>
              </w:rPr>
              <w:t xml:space="preserve"> is small changes that do not meet above criteria</w:t>
            </w:r>
          </w:p>
        </w:tc>
      </w:tr>
    </w:tbl>
    <w:p w14:paraId="3BCC1375" w14:textId="77777777" w:rsidR="005670DC" w:rsidRPr="005670DC" w:rsidRDefault="005670DC" w:rsidP="00C72884">
      <w:pPr>
        <w:pStyle w:val="Heading5"/>
      </w:pPr>
      <w:bookmarkStart w:id="25" w:name="_Toc457473404"/>
      <w:r w:rsidRPr="005670DC">
        <w:t>TGA Approved Therapies (as of March 2016)</w:t>
      </w:r>
      <w:bookmarkEnd w:id="25"/>
    </w:p>
    <w:p w14:paraId="1F13387D" w14:textId="4874CDDE" w:rsidR="005670DC" w:rsidRPr="005670DC" w:rsidRDefault="005670DC" w:rsidP="005670DC">
      <w:r w:rsidRPr="005670DC">
        <w:t xml:space="preserve">Therapies currently available in Australia for advanced </w:t>
      </w:r>
      <w:r w:rsidR="005A67E8">
        <w:t xml:space="preserve">RCC are in keeping with the </w:t>
      </w:r>
      <w:r w:rsidRPr="005670DC">
        <w:t>guidelines</w:t>
      </w:r>
      <w:r w:rsidR="00663454">
        <w:t xml:space="preserve"> described</w:t>
      </w:r>
      <w:r w:rsidRPr="005670DC">
        <w:t xml:space="preserve"> above </w:t>
      </w:r>
      <w:r w:rsidR="006F5523">
        <w:t>and are shown below in Table 2</w:t>
      </w:r>
      <w:r w:rsidRPr="005670DC">
        <w:t xml:space="preserve">. Agents approved for first line use are </w:t>
      </w:r>
      <w:proofErr w:type="spellStart"/>
      <w:r w:rsidRPr="005670DC">
        <w:t>sunitinib</w:t>
      </w:r>
      <w:proofErr w:type="spellEnd"/>
      <w:r w:rsidRPr="005670DC">
        <w:t xml:space="preserve">, </w:t>
      </w:r>
      <w:proofErr w:type="spellStart"/>
      <w:r w:rsidRPr="005670DC">
        <w:t>pazopanib</w:t>
      </w:r>
      <w:proofErr w:type="spellEnd"/>
      <w:r w:rsidRPr="005670DC">
        <w:t xml:space="preserve">, </w:t>
      </w:r>
      <w:proofErr w:type="spellStart"/>
      <w:r w:rsidRPr="005670DC">
        <w:t>sorafenib</w:t>
      </w:r>
      <w:proofErr w:type="spellEnd"/>
      <w:r w:rsidRPr="005670DC">
        <w:t xml:space="preserve"> and </w:t>
      </w:r>
      <w:proofErr w:type="spellStart"/>
      <w:r w:rsidRPr="005670DC">
        <w:t>temsirolimus</w:t>
      </w:r>
      <w:proofErr w:type="spellEnd"/>
      <w:r w:rsidRPr="005670DC">
        <w:t xml:space="preserve">. Agents approved for second line use are </w:t>
      </w:r>
      <w:proofErr w:type="spellStart"/>
      <w:r w:rsidRPr="005670DC">
        <w:t>axitinib</w:t>
      </w:r>
      <w:proofErr w:type="spellEnd"/>
      <w:r w:rsidRPr="005670DC">
        <w:t xml:space="preserve"> and </w:t>
      </w:r>
      <w:proofErr w:type="spellStart"/>
      <w:r w:rsidRPr="005670DC">
        <w:t>everolimus</w:t>
      </w:r>
      <w:proofErr w:type="spellEnd"/>
      <w:r w:rsidRPr="005670DC">
        <w:t>.</w:t>
      </w:r>
    </w:p>
    <w:p w14:paraId="3F6AC3BD" w14:textId="653FE9A2" w:rsidR="005670DC" w:rsidRPr="005670DC" w:rsidRDefault="006F5523" w:rsidP="00DD663B">
      <w:pPr>
        <w:pStyle w:val="TableTitle"/>
      </w:pPr>
      <w:bookmarkStart w:id="26" w:name="_Toc457473678"/>
      <w:proofErr w:type="gramStart"/>
      <w:r>
        <w:t>Table 2</w:t>
      </w:r>
      <w:r w:rsidR="005670DC" w:rsidRPr="005670DC">
        <w:t>.</w:t>
      </w:r>
      <w:proofErr w:type="gramEnd"/>
      <w:r w:rsidR="005670DC" w:rsidRPr="005670DC">
        <w:t xml:space="preserve"> Targeted therapies approved for use in advanced renal cell carcinoma in Australia</w:t>
      </w:r>
      <w:bookmarkEnd w:id="26"/>
    </w:p>
    <w:tbl>
      <w:tblPr>
        <w:tblStyle w:val="TableTGAblue"/>
        <w:tblW w:w="0" w:type="auto"/>
        <w:tblLook w:val="04A0" w:firstRow="1" w:lastRow="0" w:firstColumn="1" w:lastColumn="0" w:noHBand="0" w:noVBand="1"/>
      </w:tblPr>
      <w:tblGrid>
        <w:gridCol w:w="2383"/>
        <w:gridCol w:w="6337"/>
      </w:tblGrid>
      <w:tr w:rsidR="005670DC" w:rsidRPr="005670DC" w14:paraId="05384D99" w14:textId="77777777" w:rsidTr="00D8159C">
        <w:trPr>
          <w:cnfStyle w:val="100000000000" w:firstRow="1" w:lastRow="0" w:firstColumn="0" w:lastColumn="0" w:oddVBand="0" w:evenVBand="0" w:oddHBand="0" w:evenHBand="0" w:firstRowFirstColumn="0" w:firstRowLastColumn="0" w:lastRowFirstColumn="0" w:lastRowLastColumn="0"/>
          <w:trHeight w:val="547"/>
        </w:trPr>
        <w:tc>
          <w:tcPr>
            <w:tcW w:w="2448" w:type="dxa"/>
          </w:tcPr>
          <w:p w14:paraId="7DE40991" w14:textId="77777777" w:rsidR="005670DC" w:rsidRPr="00D8159C" w:rsidRDefault="005670DC" w:rsidP="00D8159C">
            <w:pPr>
              <w:ind w:left="0"/>
            </w:pPr>
            <w:r w:rsidRPr="00D8159C">
              <w:t>Active substance(s)</w:t>
            </w:r>
          </w:p>
        </w:tc>
        <w:tc>
          <w:tcPr>
            <w:tcW w:w="6794" w:type="dxa"/>
          </w:tcPr>
          <w:p w14:paraId="304FECB3" w14:textId="77777777" w:rsidR="005670DC" w:rsidRPr="00D8159C" w:rsidRDefault="005670DC" w:rsidP="00D8159C">
            <w:pPr>
              <w:ind w:left="0"/>
            </w:pPr>
            <w:r w:rsidRPr="00D8159C">
              <w:t>Approved Indication</w:t>
            </w:r>
          </w:p>
        </w:tc>
      </w:tr>
      <w:tr w:rsidR="005670DC" w:rsidRPr="00D8159C" w14:paraId="28ACAE21" w14:textId="77777777" w:rsidTr="00D8159C">
        <w:tc>
          <w:tcPr>
            <w:tcW w:w="2448" w:type="dxa"/>
          </w:tcPr>
          <w:p w14:paraId="5C058D65" w14:textId="77777777" w:rsidR="005670DC" w:rsidRPr="00D8159C" w:rsidRDefault="005670DC" w:rsidP="005670DC">
            <w:pPr>
              <w:ind w:left="0" w:right="0"/>
              <w:rPr>
                <w:color w:val="auto"/>
                <w:sz w:val="21"/>
                <w:szCs w:val="22"/>
                <w:lang w:eastAsia="en-US"/>
              </w:rPr>
            </w:pPr>
            <w:r w:rsidRPr="00D8159C">
              <w:rPr>
                <w:color w:val="auto"/>
                <w:sz w:val="21"/>
                <w:szCs w:val="22"/>
                <w:lang w:eastAsia="en-US"/>
              </w:rPr>
              <w:t>Bevacizumab in combination with interferon alfa-2a</w:t>
            </w:r>
          </w:p>
        </w:tc>
        <w:tc>
          <w:tcPr>
            <w:tcW w:w="6794" w:type="dxa"/>
          </w:tcPr>
          <w:p w14:paraId="5C0E38FA" w14:textId="77777777" w:rsidR="005670DC" w:rsidRPr="00D8159C" w:rsidRDefault="005670DC" w:rsidP="005670DC">
            <w:pPr>
              <w:ind w:left="0" w:right="0"/>
              <w:rPr>
                <w:color w:val="auto"/>
                <w:sz w:val="21"/>
                <w:szCs w:val="22"/>
                <w:lang w:eastAsia="en-US"/>
              </w:rPr>
            </w:pPr>
            <w:r w:rsidRPr="00D8159C">
              <w:rPr>
                <w:color w:val="auto"/>
                <w:sz w:val="21"/>
                <w:szCs w:val="22"/>
                <w:lang w:eastAsia="en-US"/>
              </w:rPr>
              <w:t>Treatment of patients with advanced and/or metastatic renal cell cancer</w:t>
            </w:r>
          </w:p>
        </w:tc>
      </w:tr>
      <w:tr w:rsidR="005670DC" w:rsidRPr="00D8159C" w14:paraId="655E6DB3" w14:textId="77777777" w:rsidTr="00D8159C">
        <w:tc>
          <w:tcPr>
            <w:tcW w:w="2448" w:type="dxa"/>
          </w:tcPr>
          <w:p w14:paraId="03A103A1" w14:textId="77777777" w:rsidR="005670DC" w:rsidRPr="00D8159C" w:rsidRDefault="005670DC" w:rsidP="005670DC">
            <w:pPr>
              <w:ind w:left="0" w:right="0"/>
              <w:rPr>
                <w:color w:val="auto"/>
                <w:sz w:val="21"/>
                <w:szCs w:val="22"/>
                <w:vertAlign w:val="superscript"/>
                <w:lang w:eastAsia="en-US"/>
              </w:rPr>
            </w:pPr>
            <w:r w:rsidRPr="00D8159C">
              <w:rPr>
                <w:color w:val="auto"/>
                <w:sz w:val="21"/>
                <w:szCs w:val="22"/>
                <w:lang w:eastAsia="en-US"/>
              </w:rPr>
              <w:lastRenderedPageBreak/>
              <w:t>Sunitinib</w:t>
            </w:r>
            <w:r w:rsidRPr="00D8159C">
              <w:rPr>
                <w:color w:val="auto"/>
                <w:sz w:val="21"/>
                <w:szCs w:val="22"/>
                <w:vertAlign w:val="superscript"/>
                <w:lang w:eastAsia="en-US"/>
              </w:rPr>
              <w:t>1</w:t>
            </w:r>
          </w:p>
        </w:tc>
        <w:tc>
          <w:tcPr>
            <w:tcW w:w="6794" w:type="dxa"/>
          </w:tcPr>
          <w:p w14:paraId="5314F095" w14:textId="77777777" w:rsidR="005670DC" w:rsidRPr="00D8159C" w:rsidRDefault="005670DC" w:rsidP="005670DC">
            <w:pPr>
              <w:ind w:left="0" w:right="0"/>
              <w:rPr>
                <w:color w:val="auto"/>
                <w:sz w:val="21"/>
                <w:szCs w:val="22"/>
                <w:lang w:eastAsia="en-US"/>
              </w:rPr>
            </w:pPr>
            <w:r w:rsidRPr="00D8159C">
              <w:rPr>
                <w:color w:val="auto"/>
                <w:sz w:val="21"/>
                <w:szCs w:val="22"/>
                <w:lang w:eastAsia="en-US"/>
              </w:rPr>
              <w:t>The treatment of advanced renal cell carcinoma</w:t>
            </w:r>
          </w:p>
        </w:tc>
      </w:tr>
      <w:tr w:rsidR="005670DC" w:rsidRPr="00D8159C" w14:paraId="52709C19" w14:textId="77777777" w:rsidTr="00D8159C">
        <w:tc>
          <w:tcPr>
            <w:tcW w:w="2448" w:type="dxa"/>
          </w:tcPr>
          <w:p w14:paraId="72A3699B" w14:textId="77777777" w:rsidR="005670DC" w:rsidRPr="00D8159C" w:rsidRDefault="005670DC" w:rsidP="005670DC">
            <w:pPr>
              <w:ind w:left="0" w:right="0"/>
              <w:rPr>
                <w:color w:val="auto"/>
                <w:sz w:val="21"/>
                <w:szCs w:val="22"/>
                <w:lang w:eastAsia="en-US"/>
              </w:rPr>
            </w:pPr>
            <w:r w:rsidRPr="00D8159C">
              <w:rPr>
                <w:color w:val="auto"/>
                <w:sz w:val="21"/>
                <w:szCs w:val="22"/>
                <w:lang w:eastAsia="en-US"/>
              </w:rPr>
              <w:t>Pazopanib</w:t>
            </w:r>
            <w:r w:rsidRPr="00D8159C">
              <w:rPr>
                <w:color w:val="auto"/>
                <w:sz w:val="21"/>
                <w:szCs w:val="22"/>
                <w:vertAlign w:val="superscript"/>
                <w:lang w:eastAsia="en-US"/>
              </w:rPr>
              <w:t>1</w:t>
            </w:r>
          </w:p>
        </w:tc>
        <w:tc>
          <w:tcPr>
            <w:tcW w:w="6794" w:type="dxa"/>
          </w:tcPr>
          <w:p w14:paraId="021749A3" w14:textId="77777777" w:rsidR="005670DC" w:rsidRPr="00D8159C" w:rsidRDefault="005670DC" w:rsidP="005670DC">
            <w:pPr>
              <w:ind w:left="0" w:right="0"/>
              <w:rPr>
                <w:color w:val="auto"/>
                <w:sz w:val="21"/>
                <w:szCs w:val="22"/>
                <w:lang w:eastAsia="en-US"/>
              </w:rPr>
            </w:pPr>
            <w:r w:rsidRPr="00D8159C">
              <w:rPr>
                <w:color w:val="auto"/>
                <w:sz w:val="21"/>
                <w:szCs w:val="22"/>
                <w:lang w:eastAsia="en-US"/>
              </w:rPr>
              <w:t>The treatment of advanced and/or metastatic renal cell carcinoma</w:t>
            </w:r>
          </w:p>
        </w:tc>
      </w:tr>
      <w:tr w:rsidR="005670DC" w:rsidRPr="00D8159C" w14:paraId="2E001E67" w14:textId="77777777" w:rsidTr="00D8159C">
        <w:tc>
          <w:tcPr>
            <w:tcW w:w="2448" w:type="dxa"/>
          </w:tcPr>
          <w:p w14:paraId="45215987" w14:textId="77777777" w:rsidR="005670DC" w:rsidRPr="00D8159C" w:rsidRDefault="005670DC" w:rsidP="005670DC">
            <w:pPr>
              <w:ind w:left="0" w:right="0"/>
              <w:rPr>
                <w:color w:val="auto"/>
                <w:sz w:val="21"/>
                <w:szCs w:val="22"/>
                <w:lang w:eastAsia="en-US"/>
              </w:rPr>
            </w:pPr>
            <w:r w:rsidRPr="00D8159C">
              <w:rPr>
                <w:color w:val="auto"/>
                <w:sz w:val="21"/>
                <w:szCs w:val="22"/>
                <w:lang w:eastAsia="en-US"/>
              </w:rPr>
              <w:t>Sorafenib</w:t>
            </w:r>
            <w:r w:rsidRPr="00D8159C">
              <w:rPr>
                <w:color w:val="auto"/>
                <w:sz w:val="21"/>
                <w:szCs w:val="22"/>
                <w:vertAlign w:val="superscript"/>
                <w:lang w:eastAsia="en-US"/>
              </w:rPr>
              <w:t>1</w:t>
            </w:r>
          </w:p>
        </w:tc>
        <w:tc>
          <w:tcPr>
            <w:tcW w:w="6794" w:type="dxa"/>
          </w:tcPr>
          <w:p w14:paraId="2B7476D9" w14:textId="77777777" w:rsidR="005670DC" w:rsidRPr="00D8159C" w:rsidRDefault="005670DC" w:rsidP="005670DC">
            <w:pPr>
              <w:ind w:left="0" w:right="0"/>
              <w:rPr>
                <w:color w:val="auto"/>
                <w:sz w:val="21"/>
                <w:szCs w:val="22"/>
                <w:lang w:eastAsia="en-US"/>
              </w:rPr>
            </w:pPr>
            <w:r w:rsidRPr="00D8159C">
              <w:rPr>
                <w:color w:val="auto"/>
                <w:sz w:val="21"/>
                <w:szCs w:val="22"/>
                <w:lang w:eastAsia="en-US"/>
              </w:rPr>
              <w:t>The treatment of patients with advanced renal cell carcinoma</w:t>
            </w:r>
          </w:p>
        </w:tc>
      </w:tr>
      <w:tr w:rsidR="005670DC" w:rsidRPr="00D8159C" w14:paraId="48EA390B" w14:textId="77777777" w:rsidTr="00D8159C">
        <w:tc>
          <w:tcPr>
            <w:tcW w:w="2448" w:type="dxa"/>
          </w:tcPr>
          <w:p w14:paraId="559B1867" w14:textId="77777777" w:rsidR="005670DC" w:rsidRPr="00D8159C" w:rsidRDefault="005670DC" w:rsidP="005670DC">
            <w:pPr>
              <w:ind w:left="0" w:right="0"/>
              <w:rPr>
                <w:color w:val="auto"/>
                <w:sz w:val="21"/>
                <w:szCs w:val="22"/>
                <w:lang w:eastAsia="en-US"/>
              </w:rPr>
            </w:pPr>
            <w:proofErr w:type="spellStart"/>
            <w:r w:rsidRPr="00D8159C">
              <w:rPr>
                <w:color w:val="auto"/>
                <w:sz w:val="21"/>
                <w:szCs w:val="22"/>
                <w:lang w:eastAsia="en-US"/>
              </w:rPr>
              <w:t>Temsirolimus</w:t>
            </w:r>
            <w:proofErr w:type="spellEnd"/>
          </w:p>
        </w:tc>
        <w:tc>
          <w:tcPr>
            <w:tcW w:w="6794" w:type="dxa"/>
          </w:tcPr>
          <w:p w14:paraId="3A041018" w14:textId="77777777" w:rsidR="005670DC" w:rsidRPr="00D8159C" w:rsidRDefault="005670DC" w:rsidP="005670DC">
            <w:pPr>
              <w:ind w:left="0" w:right="0"/>
              <w:rPr>
                <w:color w:val="auto"/>
                <w:sz w:val="21"/>
                <w:szCs w:val="22"/>
                <w:lang w:eastAsia="en-US"/>
              </w:rPr>
            </w:pPr>
            <w:r w:rsidRPr="00D8159C">
              <w:rPr>
                <w:color w:val="auto"/>
                <w:sz w:val="21"/>
                <w:szCs w:val="22"/>
                <w:lang w:eastAsia="en-US"/>
              </w:rPr>
              <w:t>The treatment of advanced renal cell carcinoma</w:t>
            </w:r>
          </w:p>
        </w:tc>
      </w:tr>
      <w:tr w:rsidR="005670DC" w:rsidRPr="00D8159C" w14:paraId="33C176A5" w14:textId="77777777" w:rsidTr="00D8159C">
        <w:tc>
          <w:tcPr>
            <w:tcW w:w="2448" w:type="dxa"/>
          </w:tcPr>
          <w:p w14:paraId="5C9B2A0B" w14:textId="77777777" w:rsidR="005670DC" w:rsidRPr="00D8159C" w:rsidRDefault="005670DC" w:rsidP="005670DC">
            <w:pPr>
              <w:ind w:left="0" w:right="0"/>
              <w:rPr>
                <w:color w:val="auto"/>
                <w:sz w:val="21"/>
                <w:szCs w:val="22"/>
                <w:lang w:eastAsia="en-US"/>
              </w:rPr>
            </w:pPr>
            <w:r w:rsidRPr="00D8159C">
              <w:rPr>
                <w:color w:val="auto"/>
                <w:sz w:val="21"/>
                <w:szCs w:val="22"/>
                <w:lang w:eastAsia="en-US"/>
              </w:rPr>
              <w:t>Axitinib</w:t>
            </w:r>
            <w:r w:rsidRPr="00D8159C">
              <w:rPr>
                <w:color w:val="auto"/>
                <w:sz w:val="21"/>
                <w:szCs w:val="22"/>
                <w:vertAlign w:val="superscript"/>
                <w:lang w:eastAsia="en-US"/>
              </w:rPr>
              <w:t>1</w:t>
            </w:r>
          </w:p>
        </w:tc>
        <w:tc>
          <w:tcPr>
            <w:tcW w:w="6794" w:type="dxa"/>
          </w:tcPr>
          <w:p w14:paraId="47A8DA09" w14:textId="77777777" w:rsidR="005670DC" w:rsidRPr="00D8159C" w:rsidRDefault="005670DC" w:rsidP="005670DC">
            <w:pPr>
              <w:ind w:left="0" w:right="0"/>
              <w:rPr>
                <w:color w:val="auto"/>
                <w:sz w:val="21"/>
                <w:szCs w:val="22"/>
                <w:lang w:eastAsia="en-US"/>
              </w:rPr>
            </w:pPr>
            <w:r w:rsidRPr="00D8159C">
              <w:rPr>
                <w:color w:val="auto"/>
                <w:sz w:val="21"/>
                <w:szCs w:val="22"/>
                <w:lang w:eastAsia="en-US"/>
              </w:rPr>
              <w:t>The treatment of patients with advanced renal cell carcinoma after failure of one prior systemic therapy</w:t>
            </w:r>
          </w:p>
        </w:tc>
      </w:tr>
      <w:tr w:rsidR="005670DC" w:rsidRPr="00D8159C" w14:paraId="19C76499" w14:textId="77777777" w:rsidTr="00D8159C">
        <w:tc>
          <w:tcPr>
            <w:tcW w:w="2448" w:type="dxa"/>
          </w:tcPr>
          <w:p w14:paraId="1FF15695" w14:textId="77777777" w:rsidR="005670DC" w:rsidRPr="00D8159C" w:rsidRDefault="005670DC" w:rsidP="005670DC">
            <w:pPr>
              <w:ind w:left="0" w:right="0"/>
              <w:rPr>
                <w:color w:val="auto"/>
                <w:sz w:val="21"/>
                <w:szCs w:val="22"/>
                <w:lang w:eastAsia="en-US"/>
              </w:rPr>
            </w:pPr>
            <w:r w:rsidRPr="00D8159C">
              <w:rPr>
                <w:color w:val="auto"/>
                <w:sz w:val="21"/>
                <w:szCs w:val="22"/>
                <w:lang w:eastAsia="en-US"/>
              </w:rPr>
              <w:t>Everolimus</w:t>
            </w:r>
            <w:r w:rsidRPr="00D8159C">
              <w:rPr>
                <w:color w:val="auto"/>
                <w:sz w:val="21"/>
                <w:szCs w:val="22"/>
                <w:vertAlign w:val="superscript"/>
                <w:lang w:eastAsia="en-US"/>
              </w:rPr>
              <w:t>1</w:t>
            </w:r>
          </w:p>
        </w:tc>
        <w:tc>
          <w:tcPr>
            <w:tcW w:w="6794" w:type="dxa"/>
          </w:tcPr>
          <w:p w14:paraId="08936647" w14:textId="77777777" w:rsidR="005670DC" w:rsidRPr="00D8159C" w:rsidRDefault="005670DC" w:rsidP="005670DC">
            <w:pPr>
              <w:ind w:left="0" w:right="0"/>
              <w:rPr>
                <w:color w:val="auto"/>
                <w:sz w:val="21"/>
                <w:szCs w:val="22"/>
                <w:lang w:eastAsia="en-US"/>
              </w:rPr>
            </w:pPr>
            <w:r w:rsidRPr="00D8159C">
              <w:rPr>
                <w:color w:val="auto"/>
                <w:sz w:val="21"/>
                <w:szCs w:val="22"/>
                <w:lang w:eastAsia="en-US"/>
              </w:rPr>
              <w:t xml:space="preserve">The treatment of advanced renal cell carcinoma after failure of treatment with </w:t>
            </w:r>
            <w:proofErr w:type="spellStart"/>
            <w:r w:rsidRPr="00D8159C">
              <w:rPr>
                <w:color w:val="auto"/>
                <w:sz w:val="21"/>
                <w:szCs w:val="22"/>
                <w:lang w:eastAsia="en-US"/>
              </w:rPr>
              <w:t>sorafenib</w:t>
            </w:r>
            <w:proofErr w:type="spellEnd"/>
            <w:r w:rsidRPr="00D8159C">
              <w:rPr>
                <w:color w:val="auto"/>
                <w:sz w:val="21"/>
                <w:szCs w:val="22"/>
                <w:lang w:eastAsia="en-US"/>
              </w:rPr>
              <w:t xml:space="preserve"> or </w:t>
            </w:r>
            <w:proofErr w:type="spellStart"/>
            <w:r w:rsidRPr="00D8159C">
              <w:rPr>
                <w:color w:val="auto"/>
                <w:sz w:val="21"/>
                <w:szCs w:val="22"/>
                <w:lang w:eastAsia="en-US"/>
              </w:rPr>
              <w:t>sunitinib</w:t>
            </w:r>
            <w:proofErr w:type="spellEnd"/>
          </w:p>
        </w:tc>
      </w:tr>
      <w:tr w:rsidR="005670DC" w:rsidRPr="005670DC" w14:paraId="50284808" w14:textId="77777777" w:rsidTr="00D8159C">
        <w:trPr>
          <w:trHeight w:val="448"/>
        </w:trPr>
        <w:tc>
          <w:tcPr>
            <w:tcW w:w="9242" w:type="dxa"/>
            <w:gridSpan w:val="2"/>
          </w:tcPr>
          <w:p w14:paraId="116AFAE8" w14:textId="77777777" w:rsidR="005670DC" w:rsidRPr="00D8159C" w:rsidRDefault="005670DC" w:rsidP="005670DC">
            <w:pPr>
              <w:ind w:left="0" w:right="0"/>
              <w:rPr>
                <w:color w:val="auto"/>
                <w:sz w:val="21"/>
                <w:szCs w:val="22"/>
                <w:lang w:eastAsia="en-US"/>
              </w:rPr>
            </w:pPr>
            <w:r w:rsidRPr="00D8159C">
              <w:rPr>
                <w:color w:val="auto"/>
                <w:sz w:val="21"/>
                <w:szCs w:val="22"/>
                <w:vertAlign w:val="superscript"/>
                <w:lang w:eastAsia="en-US"/>
              </w:rPr>
              <w:t xml:space="preserve">1) </w:t>
            </w:r>
            <w:r w:rsidRPr="00D8159C">
              <w:rPr>
                <w:color w:val="auto"/>
                <w:sz w:val="21"/>
                <w:szCs w:val="22"/>
                <w:lang w:eastAsia="en-US"/>
              </w:rPr>
              <w:t>PBS funded for stage IV clear cell variant renal cell carcinoma with strict clinical criteria</w:t>
            </w:r>
          </w:p>
        </w:tc>
      </w:tr>
    </w:tbl>
    <w:p w14:paraId="34604C20" w14:textId="0B542E89" w:rsidR="005670DC" w:rsidRPr="005670DC" w:rsidRDefault="005670DC" w:rsidP="005670DC">
      <w:proofErr w:type="spellStart"/>
      <w:r w:rsidRPr="005670DC">
        <w:t>Axitinib</w:t>
      </w:r>
      <w:proofErr w:type="spellEnd"/>
      <w:r w:rsidRPr="005670DC">
        <w:t xml:space="preserve"> and </w:t>
      </w:r>
      <w:proofErr w:type="spellStart"/>
      <w:r w:rsidRPr="005670DC">
        <w:t>everolimus</w:t>
      </w:r>
      <w:proofErr w:type="spellEnd"/>
      <w:r w:rsidRPr="005670DC">
        <w:t xml:space="preserve"> are funded by the Pharmaceutical Benefits Scheme (PBS) for ‘Stage IV clear cell variant’ </w:t>
      </w:r>
      <w:r w:rsidR="00DD663B">
        <w:t>RCC</w:t>
      </w:r>
      <w:r w:rsidRPr="005670DC">
        <w:t xml:space="preserve"> provided the patient has progressive disease according to </w:t>
      </w:r>
      <w:r w:rsidR="00DD663B">
        <w:t>RECIST</w:t>
      </w:r>
      <w:r w:rsidRPr="005670DC">
        <w:t xml:space="preserve"> following first-line treatment with a tyrosine kinase inhibitor </w:t>
      </w:r>
      <w:r w:rsidR="00DD663B">
        <w:t xml:space="preserve">(TKI) </w:t>
      </w:r>
      <w:r w:rsidRPr="005670DC">
        <w:t xml:space="preserve">and has a </w:t>
      </w:r>
      <w:r w:rsidR="00DD663B">
        <w:t>World Health Organization (</w:t>
      </w:r>
      <w:r w:rsidRPr="005670DC">
        <w:t>WHO</w:t>
      </w:r>
      <w:r w:rsidR="00DD663B">
        <w:t>)</w:t>
      </w:r>
      <w:r w:rsidRPr="005670DC">
        <w:t xml:space="preserve"> performance status of 2 or less.</w:t>
      </w:r>
    </w:p>
    <w:p w14:paraId="6D552CB5" w14:textId="1E3925CA" w:rsidR="005670DC" w:rsidRPr="005670DC" w:rsidRDefault="005670DC" w:rsidP="006D2AA4">
      <w:pPr>
        <w:pStyle w:val="Heading5"/>
      </w:pPr>
      <w:bookmarkStart w:id="27" w:name="_Toc457473405"/>
      <w:r w:rsidRPr="005670DC">
        <w:t>Checkpoint inhibitor</w:t>
      </w:r>
      <w:bookmarkEnd w:id="27"/>
      <w:r w:rsidRPr="005670DC">
        <w:t>s</w:t>
      </w:r>
      <w:r w:rsidR="001B0010">
        <w:t xml:space="preserve"> including </w:t>
      </w:r>
      <w:proofErr w:type="spellStart"/>
      <w:r w:rsidR="001B0010">
        <w:t>nivolumab</w:t>
      </w:r>
      <w:proofErr w:type="spellEnd"/>
    </w:p>
    <w:p w14:paraId="77A107B9" w14:textId="44C1AF7C" w:rsidR="005670DC" w:rsidRPr="005670DC" w:rsidRDefault="005670DC" w:rsidP="005670DC">
      <w:r w:rsidRPr="005670DC">
        <w:t>The complexity of tumour interaction with the human immune system is not fully understood.</w:t>
      </w:r>
      <w:r w:rsidRPr="005670DC">
        <w:rPr>
          <w:vertAlign w:val="superscript"/>
        </w:rPr>
        <w:footnoteReference w:id="5"/>
      </w:r>
      <w:r w:rsidRPr="005670DC">
        <w:t xml:space="preserve"> Current thinking is that malignant tumour progression and growth may occur through mechanisms that enable tumour cells to evade detection and destruction by the immune system. One of these mechanisms involves cell-surface expression of one or more of a series of mol</w:t>
      </w:r>
      <w:r w:rsidR="00DD663B">
        <w:t xml:space="preserve">ecules that effectively limit T </w:t>
      </w:r>
      <w:r w:rsidRPr="005670DC">
        <w:t>cell proliferation and killing capacity. These molecules are referred to as ‘immune checkpoints’ and their natural function is to restrain or dampen excessive immune responses.</w:t>
      </w:r>
    </w:p>
    <w:p w14:paraId="77B23AAA" w14:textId="772AB836" w:rsidR="005670DC" w:rsidRPr="005670DC" w:rsidRDefault="00DD663B" w:rsidP="005670DC">
      <w:r>
        <w:t>One such check</w:t>
      </w:r>
      <w:r w:rsidR="005670DC" w:rsidRPr="005670DC">
        <w:t xml:space="preserve">point </w:t>
      </w:r>
      <w:r>
        <w:t>is the interaction between the programmed cell death l</w:t>
      </w:r>
      <w:r w:rsidR="005670DC" w:rsidRPr="005670DC">
        <w:t xml:space="preserve">igands (PD-L1 and PD-L2) and the </w:t>
      </w:r>
      <w:r>
        <w:t>PD-1</w:t>
      </w:r>
      <w:r w:rsidR="005670DC" w:rsidRPr="005670DC">
        <w:t xml:space="preserve"> receptor that may be found on T and B lymphocytes. PD-L1 and PD-L2 are proteins that are normally expressed on macrophage-lineage cells, although expression of PD-L1 can be induced on other </w:t>
      </w:r>
      <w:proofErr w:type="spellStart"/>
      <w:r w:rsidR="005670DC" w:rsidRPr="005670DC">
        <w:t>haematologic</w:t>
      </w:r>
      <w:proofErr w:type="spellEnd"/>
      <w:r w:rsidR="005670DC" w:rsidRPr="005670DC">
        <w:t xml:space="preserve"> cells. Upon antigen recognition, activated T cells express PD-1 on their surface and produce interferons that lead to the expression of PD-L1 in multiple tissues. Binding of PD-1 to </w:t>
      </w:r>
      <w:r>
        <w:t>its ligands inhibits effector T </w:t>
      </w:r>
      <w:r w:rsidR="005670DC" w:rsidRPr="005670DC">
        <w:t>cell activity and protects normal cells fr</w:t>
      </w:r>
      <w:r>
        <w:t>om immune</w:t>
      </w:r>
      <w:r w:rsidR="005670DC" w:rsidRPr="005670DC">
        <w:t xml:space="preserve"> mediated cell death. This interaction is believed to be an inhibitory pathway that helps to prevent overstimulation of immune responses and contributes to the maintenance of immune tolerance to self-antigens.</w:t>
      </w:r>
    </w:p>
    <w:p w14:paraId="0B8192B5" w14:textId="0C1B5E86" w:rsidR="005670DC" w:rsidRPr="005670DC" w:rsidRDefault="005670DC" w:rsidP="005670DC">
      <w:r w:rsidRPr="005670DC">
        <w:t>Aberrant expression of PD-L1 by tumour cells has been reported in a number of human malignancies, including urothelial, ovarian, breast, cervical, colorectal, pancreatic, gastric cancer, melanoma, gl</w:t>
      </w:r>
      <w:r w:rsidR="00DD663B">
        <w:t xml:space="preserve">ioblastoma, renal and non-small </w:t>
      </w:r>
      <w:r w:rsidRPr="005670DC">
        <w:t>cell lung cancer (NSCLC). Expression of PD-L1 or PD-L2 on tumour cells limits and inhibits the anti-tumour immune response, enabling immune evasion by the tumour cells. Tumour PD-L1 membrane expression can be constitutive through oncogenic processes or induced by activated tumour antigen-specific T cells that produce interferons. Expression of PD-L1 on tumour cells has also been studied as a prognostic biomarker in many different primary tumours, with equivocal results.</w:t>
      </w:r>
    </w:p>
    <w:p w14:paraId="04E5E27B" w14:textId="7E44A7FE" w:rsidR="005670DC" w:rsidRPr="005670DC" w:rsidRDefault="005670DC" w:rsidP="005670DC">
      <w:r w:rsidRPr="005670DC">
        <w:lastRenderedPageBreak/>
        <w:t>Blockade of PD-1, or the ligands, results in disinhibition of nat</w:t>
      </w:r>
      <w:r w:rsidR="008A24EC">
        <w:t>ive immune responses and may re</w:t>
      </w:r>
      <w:r w:rsidRPr="005670DC">
        <w:t>activate anti-</w:t>
      </w:r>
      <w:r w:rsidR="00DD663B">
        <w:t xml:space="preserve">tumour immunity, by restoring T </w:t>
      </w:r>
      <w:r w:rsidRPr="005670DC">
        <w:t xml:space="preserve">cell responsiveness as well as </w:t>
      </w:r>
      <w:r w:rsidR="00DD663B">
        <w:t xml:space="preserve">the ability to mount a direct T </w:t>
      </w:r>
      <w:r w:rsidRPr="005670DC">
        <w:t>cell immune attack against tumour cells. Several antibodies that inhibit the PD-1 pathway by blocking either PD-1 or PD-L1 are being developed for clinical use in a variety of tumour types. Antibodies that inhibit PD-1 block its binding to both PD-L1 and PD-L2, whereas anti-PD-L1 antibodies only block the PD-1</w:t>
      </w:r>
      <w:proofErr w:type="gramStart"/>
      <w:r w:rsidRPr="005670DC">
        <w:t>:PD</w:t>
      </w:r>
      <w:proofErr w:type="gramEnd"/>
      <w:r w:rsidRPr="005670DC">
        <w:t>-L1 interaction.</w:t>
      </w:r>
      <w:r w:rsidR="008A24EC">
        <w:t xml:space="preserve"> Figure 3, below, provides an illustration of how checkpoint inhibitors work.</w:t>
      </w:r>
    </w:p>
    <w:p w14:paraId="022E290F" w14:textId="77777777" w:rsidR="005670DC" w:rsidRPr="005670DC" w:rsidRDefault="005670DC" w:rsidP="006D2AA4">
      <w:pPr>
        <w:pStyle w:val="FigureTitle"/>
      </w:pPr>
      <w:bookmarkStart w:id="28" w:name="_Toc457473756"/>
      <w:proofErr w:type="gramStart"/>
      <w:r w:rsidRPr="005670DC">
        <w:t>Figure 3.</w:t>
      </w:r>
      <w:proofErr w:type="gramEnd"/>
      <w:r w:rsidRPr="005670DC">
        <w:t xml:space="preserve"> Checkpoint inhibitors</w:t>
      </w:r>
      <w:bookmarkEnd w:id="28"/>
    </w:p>
    <w:p w14:paraId="3FE9C38B" w14:textId="77777777" w:rsidR="005670DC" w:rsidRPr="005670DC" w:rsidRDefault="005670DC" w:rsidP="009776AE">
      <w:r w:rsidRPr="005670DC">
        <w:rPr>
          <w:noProof/>
          <w:lang w:eastAsia="en-AU"/>
        </w:rPr>
        <w:drawing>
          <wp:inline distT="0" distB="0" distL="0" distR="0" wp14:anchorId="60604C91" wp14:editId="2C8A958E">
            <wp:extent cx="2944759" cy="3471786"/>
            <wp:effectExtent l="0" t="0" r="8255" b="0"/>
            <wp:docPr id="13" name="Picture 13" descr="Figure 3. Checkpoint inhib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3562" cy="3482164"/>
                    </a:xfrm>
                    <a:prstGeom prst="rect">
                      <a:avLst/>
                    </a:prstGeom>
                  </pic:spPr>
                </pic:pic>
              </a:graphicData>
            </a:graphic>
          </wp:inline>
        </w:drawing>
      </w:r>
    </w:p>
    <w:p w14:paraId="05FF93F4" w14:textId="77777777" w:rsidR="005670DC" w:rsidRPr="005670DC" w:rsidRDefault="005670DC" w:rsidP="0081576D">
      <w:pPr>
        <w:pStyle w:val="FigureDescription"/>
      </w:pPr>
      <w:r w:rsidRPr="005670DC">
        <w:t xml:space="preserve">Source: West H. Immune Checkpoint Inhibitors. </w:t>
      </w:r>
      <w:proofErr w:type="gramStart"/>
      <w:r w:rsidRPr="005670DC">
        <w:t xml:space="preserve">JAMA </w:t>
      </w:r>
      <w:proofErr w:type="spellStart"/>
      <w:r w:rsidRPr="005670DC">
        <w:t>Oncol</w:t>
      </w:r>
      <w:proofErr w:type="spellEnd"/>
      <w:r w:rsidRPr="005670DC">
        <w:t>.</w:t>
      </w:r>
      <w:proofErr w:type="gramEnd"/>
      <w:r w:rsidRPr="005670DC">
        <w:t xml:space="preserve"> 2015:1(1):115</w:t>
      </w:r>
    </w:p>
    <w:p w14:paraId="38DBA3B3" w14:textId="4F75E801" w:rsidR="005670DC" w:rsidRDefault="005670DC" w:rsidP="005670DC">
      <w:proofErr w:type="spellStart"/>
      <w:r w:rsidRPr="005670DC">
        <w:t>Opdivo</w:t>
      </w:r>
      <w:proofErr w:type="spellEnd"/>
      <w:r w:rsidRPr="005670DC">
        <w:t xml:space="preserve"> (</w:t>
      </w:r>
      <w:proofErr w:type="spellStart"/>
      <w:r w:rsidRPr="005670DC">
        <w:t>nivolumab</w:t>
      </w:r>
      <w:proofErr w:type="spellEnd"/>
      <w:r w:rsidRPr="005670DC">
        <w:t>) is a fully human monoclonal IgG4 antibody (</w:t>
      </w:r>
      <w:proofErr w:type="spellStart"/>
      <w:r w:rsidRPr="005670DC">
        <w:t>HuMAb</w:t>
      </w:r>
      <w:proofErr w:type="spellEnd"/>
      <w:r w:rsidRPr="005670DC">
        <w:t xml:space="preserve">) that that blocks the binding of PD-1 receptor to PD-L1 and PD-L2. </w:t>
      </w:r>
      <w:proofErr w:type="spellStart"/>
      <w:r w:rsidRPr="005670DC">
        <w:t>Nivolumab</w:t>
      </w:r>
      <w:proofErr w:type="spellEnd"/>
      <w:r w:rsidRPr="005670DC">
        <w:t xml:space="preserve"> entered clinical trials in patients with cancer in late 2007. Evidence of clinical activity in multiple tumour types was noted in the initial dose-escalation study, in which the drug was administered in a</w:t>
      </w:r>
      <w:r w:rsidR="00663454">
        <w:t>n intermittent schedule. Phase III</w:t>
      </w:r>
      <w:r w:rsidRPr="005670DC">
        <w:t xml:space="preserve"> studies in melanoma, squamous and non-squamous NSCLC and renal cell carcinoma have since been completed.</w:t>
      </w:r>
    </w:p>
    <w:p w14:paraId="5D23DC5F" w14:textId="77777777" w:rsidR="005670DC" w:rsidRPr="005670DC" w:rsidRDefault="005670DC" w:rsidP="005670DC">
      <w:r w:rsidRPr="005670DC">
        <w:t>Unlike conventional chemotherapy drugs that may result in a decrease in tumour size over weeks, immune checkpoint inhibitors can take several months to have this effect. These drugs can also cause an initial increase in tumour size (‘</w:t>
      </w:r>
      <w:proofErr w:type="spellStart"/>
      <w:r w:rsidRPr="005670DC">
        <w:t>pseudoprogression</w:t>
      </w:r>
      <w:proofErr w:type="spellEnd"/>
      <w:r w:rsidRPr="005670DC">
        <w:t>’) due to the large number of activated T cells and other immune system cells that enter the tumour and the associated inflammatory effect. This initial increase in size may be followed by shrinking or eradication of the tumour.</w:t>
      </w:r>
    </w:p>
    <w:p w14:paraId="43CA1A41" w14:textId="253D0F69" w:rsidR="005670DC" w:rsidRPr="005670DC" w:rsidRDefault="003917B8" w:rsidP="005670DC">
      <w:r>
        <w:t xml:space="preserve">Cytotoxic T </w:t>
      </w:r>
      <w:r w:rsidR="005670DC" w:rsidRPr="005670DC">
        <w:t xml:space="preserve">lymphocyte-associated </w:t>
      </w:r>
      <w:r>
        <w:t>PD-1</w:t>
      </w:r>
      <w:r w:rsidR="005670DC" w:rsidRPr="005670DC">
        <w:t xml:space="preserve"> and PD-L1, PD-L2 interactions are believed to have an important role in maintaining immunologic homeostasis and immune tolerance to self-antigens. The use of checkpoint inhibitors has been associated with a unique spectrum</w:t>
      </w:r>
      <w:r>
        <w:t xml:space="preserve"> of side effects termed ‘immune </w:t>
      </w:r>
      <w:r w:rsidR="005670DC" w:rsidRPr="005670DC">
        <w:t>related adverse events’ (</w:t>
      </w:r>
      <w:proofErr w:type="spellStart"/>
      <w:r w:rsidR="005670DC" w:rsidRPr="005670DC">
        <w:t>irAEs</w:t>
      </w:r>
      <w:proofErr w:type="spellEnd"/>
      <w:r w:rsidR="005670DC" w:rsidRPr="005670DC">
        <w:t xml:space="preserve">). Management of moderate or severe </w:t>
      </w:r>
      <w:proofErr w:type="spellStart"/>
      <w:r w:rsidR="005670DC" w:rsidRPr="005670DC">
        <w:t>irAEs</w:t>
      </w:r>
      <w:proofErr w:type="spellEnd"/>
      <w:r w:rsidR="005670DC" w:rsidRPr="005670DC">
        <w:t xml:space="preserve"> requires interruption of the checkpoint inhibitor and the use of immunosuppression (usually corticosteroid). The safety of checkpoint inhibitors in patients with an underlying autoimmune condition is uncertain; there is theoretical concern that therapeutic blockade of these receptors could lead to exacerbations of underlying autoimmune conditions.</w:t>
      </w:r>
    </w:p>
    <w:p w14:paraId="16F1367F" w14:textId="77777777" w:rsidR="008E7846" w:rsidRPr="003F31A2" w:rsidRDefault="00386150" w:rsidP="008E7846">
      <w:pPr>
        <w:pStyle w:val="Heading3"/>
      </w:pPr>
      <w:bookmarkStart w:id="29" w:name="_Toc314842485"/>
      <w:bookmarkStart w:id="30" w:name="_Toc247691504"/>
      <w:bookmarkStart w:id="31" w:name="_Toc489277865"/>
      <w:r>
        <w:lastRenderedPageBreak/>
        <w:t>Regulatory s</w:t>
      </w:r>
      <w:r w:rsidR="008E7846">
        <w:t>tatus</w:t>
      </w:r>
      <w:bookmarkEnd w:id="29"/>
      <w:bookmarkEnd w:id="30"/>
      <w:bookmarkEnd w:id="31"/>
    </w:p>
    <w:p w14:paraId="3EC45DCF" w14:textId="73E9635A" w:rsidR="00940A89" w:rsidRPr="00940A89" w:rsidRDefault="00940A89" w:rsidP="00940A89">
      <w:bookmarkStart w:id="32" w:name="_Toc247691505"/>
      <w:bookmarkStart w:id="33" w:name="_Toc314842486"/>
      <w:r w:rsidRPr="00940A89">
        <w:t>The product received initial registration on the Australian Register</w:t>
      </w:r>
      <w:r w:rsidR="00727A66">
        <w:t xml:space="preserve"> of Therapeutic Goods (ARTG) on 11 January 2016.</w:t>
      </w:r>
    </w:p>
    <w:p w14:paraId="1F25F4EF" w14:textId="342D28B7" w:rsidR="006541DF" w:rsidRPr="006541DF" w:rsidRDefault="005E7BBE" w:rsidP="006541DF">
      <w:r>
        <w:t xml:space="preserve">At the time of </w:t>
      </w:r>
      <w:r w:rsidR="00605862">
        <w:t xml:space="preserve">this </w:t>
      </w:r>
      <w:r>
        <w:t xml:space="preserve">submission, </w:t>
      </w:r>
      <w:r w:rsidR="00727A66">
        <w:t>the sponsor has had</w:t>
      </w:r>
      <w:r w:rsidR="006541DF" w:rsidRPr="006541DF">
        <w:t xml:space="preserve"> two </w:t>
      </w:r>
      <w:r>
        <w:t>applications</w:t>
      </w:r>
      <w:r w:rsidR="006541DF" w:rsidRPr="006541DF">
        <w:t xml:space="preserve"> to register </w:t>
      </w:r>
      <w:proofErr w:type="spellStart"/>
      <w:r w:rsidR="006541DF" w:rsidRPr="006541DF">
        <w:t>O</w:t>
      </w:r>
      <w:r>
        <w:t>pdivo</w:t>
      </w:r>
      <w:proofErr w:type="spellEnd"/>
      <w:r w:rsidR="006541DF" w:rsidRPr="006541DF">
        <w:t xml:space="preserve"> (</w:t>
      </w:r>
      <w:proofErr w:type="spellStart"/>
      <w:r w:rsidR="006541DF" w:rsidRPr="006541DF">
        <w:t>nivolumab</w:t>
      </w:r>
      <w:proofErr w:type="spellEnd"/>
      <w:r w:rsidR="006541DF" w:rsidRPr="006541DF">
        <w:t xml:space="preserve">) as </w:t>
      </w:r>
      <w:r>
        <w:t>a New B</w:t>
      </w:r>
      <w:r w:rsidR="006541DF" w:rsidRPr="006541DF">
        <w:t xml:space="preserve">iological </w:t>
      </w:r>
      <w:r>
        <w:t>E</w:t>
      </w:r>
      <w:r w:rsidR="006541DF" w:rsidRPr="006541DF">
        <w:t>ntity (NBE)</w:t>
      </w:r>
      <w:r w:rsidR="00727A66">
        <w:t xml:space="preserve"> approved </w:t>
      </w:r>
      <w:r w:rsidR="00605862">
        <w:t>by the TGA within a short time frame</w:t>
      </w:r>
      <w:r w:rsidR="006541DF" w:rsidRPr="006541DF">
        <w:t xml:space="preserve">. These were for the use of </w:t>
      </w:r>
      <w:proofErr w:type="spellStart"/>
      <w:r w:rsidR="006541DF" w:rsidRPr="006541DF">
        <w:t>nivolumab</w:t>
      </w:r>
      <w:proofErr w:type="spellEnd"/>
      <w:r w:rsidR="006541DF" w:rsidRPr="006541DF">
        <w:t xml:space="preserve"> in the patient p</w:t>
      </w:r>
      <w:r>
        <w:t>opulations of advanced melanoma, and</w:t>
      </w:r>
      <w:r w:rsidR="006541DF" w:rsidRPr="006541DF">
        <w:t xml:space="preserve"> s</w:t>
      </w:r>
      <w:r w:rsidR="00727A66">
        <w:t xml:space="preserve">quamous and non-squamous </w:t>
      </w:r>
      <w:r w:rsidR="004C6634">
        <w:t>non-small cell lung cancer (</w:t>
      </w:r>
      <w:r w:rsidR="00727A66">
        <w:t>NSCLC</w:t>
      </w:r>
      <w:r w:rsidR="004C6634">
        <w:t>)</w:t>
      </w:r>
      <w:r w:rsidR="00727A66">
        <w:t>.</w:t>
      </w:r>
      <w:r w:rsidR="006541DF" w:rsidRPr="006541DF">
        <w:t xml:space="preserve"> Each of these applications was approved in early 2016. This submission represents a third application to register </w:t>
      </w:r>
      <w:proofErr w:type="spellStart"/>
      <w:r w:rsidR="006541DF" w:rsidRPr="006541DF">
        <w:t>nivolumab</w:t>
      </w:r>
      <w:proofErr w:type="spellEnd"/>
      <w:r w:rsidR="006541DF" w:rsidRPr="006541DF">
        <w:t xml:space="preserve"> as a NBE.</w:t>
      </w:r>
      <w:r w:rsidR="003917B8" w:rsidRPr="003917B8">
        <w:rPr>
          <w:vertAlign w:val="superscript"/>
        </w:rPr>
        <w:fldChar w:fldCharType="begin"/>
      </w:r>
      <w:r w:rsidR="003917B8" w:rsidRPr="003917B8">
        <w:rPr>
          <w:vertAlign w:val="superscript"/>
        </w:rPr>
        <w:instrText xml:space="preserve"> NOTEREF _Ref489229505 \h </w:instrText>
      </w:r>
      <w:r w:rsidR="003917B8">
        <w:rPr>
          <w:vertAlign w:val="superscript"/>
        </w:rPr>
        <w:instrText xml:space="preserve"> \* MERGEFORMAT </w:instrText>
      </w:r>
      <w:r w:rsidR="003917B8" w:rsidRPr="003917B8">
        <w:rPr>
          <w:vertAlign w:val="superscript"/>
        </w:rPr>
      </w:r>
      <w:r w:rsidR="003917B8" w:rsidRPr="003917B8">
        <w:rPr>
          <w:vertAlign w:val="superscript"/>
        </w:rPr>
        <w:fldChar w:fldCharType="separate"/>
      </w:r>
      <w:r w:rsidR="00AF569E">
        <w:rPr>
          <w:vertAlign w:val="superscript"/>
        </w:rPr>
        <w:t>1</w:t>
      </w:r>
      <w:r w:rsidR="003917B8" w:rsidRPr="003917B8">
        <w:rPr>
          <w:vertAlign w:val="superscript"/>
        </w:rPr>
        <w:fldChar w:fldCharType="end"/>
      </w:r>
    </w:p>
    <w:p w14:paraId="68667B59" w14:textId="0E0CDBDC" w:rsidR="00C1087E" w:rsidRDefault="00727A66" w:rsidP="00C1087E">
      <w:r>
        <w:t xml:space="preserve">On 23 November </w:t>
      </w:r>
      <w:r w:rsidR="005E7BBE" w:rsidRPr="005E7BBE">
        <w:t>2015, the US F</w:t>
      </w:r>
      <w:r>
        <w:t xml:space="preserve">ood and </w:t>
      </w:r>
      <w:r w:rsidR="005E7BBE" w:rsidRPr="005E7BBE">
        <w:t>D</w:t>
      </w:r>
      <w:r>
        <w:t xml:space="preserve">rug </w:t>
      </w:r>
      <w:r w:rsidR="005E7BBE" w:rsidRPr="005E7BBE">
        <w:t>A</w:t>
      </w:r>
      <w:r>
        <w:t>dministration (FDA)</w:t>
      </w:r>
      <w:r w:rsidR="005E7BBE" w:rsidRPr="005E7BBE">
        <w:t xml:space="preserve"> approved </w:t>
      </w:r>
      <w:proofErr w:type="spellStart"/>
      <w:r w:rsidR="00B9463E">
        <w:t>Opdivo</w:t>
      </w:r>
      <w:proofErr w:type="spellEnd"/>
      <w:r w:rsidR="00B9463E">
        <w:t xml:space="preserve"> for the treatment of:</w:t>
      </w:r>
    </w:p>
    <w:p w14:paraId="7AFC90AB" w14:textId="3E965328" w:rsidR="005E7BBE" w:rsidRDefault="00C1087E" w:rsidP="00C1087E">
      <w:pPr>
        <w:ind w:left="720"/>
      </w:pPr>
      <w:r w:rsidRPr="00C1087E">
        <w:rPr>
          <w:i/>
        </w:rPr>
        <w:t>‘</w:t>
      </w:r>
      <w:proofErr w:type="gramStart"/>
      <w:r w:rsidR="005E7BBE" w:rsidRPr="00C1087E">
        <w:rPr>
          <w:i/>
          <w:lang w:val="en"/>
        </w:rPr>
        <w:t>advanced</w:t>
      </w:r>
      <w:proofErr w:type="gramEnd"/>
      <w:r w:rsidR="005E7BBE" w:rsidRPr="00C1087E">
        <w:rPr>
          <w:i/>
          <w:lang w:val="en"/>
        </w:rPr>
        <w:t xml:space="preserve"> renal cell carcinoma in patients who have received prior anti-angiogenic therapy.</w:t>
      </w:r>
      <w:r w:rsidRPr="00C1087E">
        <w:rPr>
          <w:i/>
          <w:lang w:val="en"/>
        </w:rPr>
        <w:t>’</w:t>
      </w:r>
    </w:p>
    <w:p w14:paraId="78906A66" w14:textId="2800FF72" w:rsidR="00B9463E" w:rsidRDefault="00B9463E" w:rsidP="00B9463E">
      <w:r>
        <w:t xml:space="preserve">On 4 April 2016, the European Medicines Agency (EMA) in the European Union (EU) approved </w:t>
      </w:r>
      <w:proofErr w:type="spellStart"/>
      <w:r>
        <w:t>Opdivo</w:t>
      </w:r>
      <w:proofErr w:type="spellEnd"/>
      <w:r>
        <w:t xml:space="preserve"> for the treatment of:</w:t>
      </w:r>
    </w:p>
    <w:p w14:paraId="7C0E908A" w14:textId="5DF7C839" w:rsidR="00B9463E" w:rsidRPr="00B9463E" w:rsidRDefault="00B9463E" w:rsidP="00B9463E">
      <w:pPr>
        <w:ind w:firstLine="720"/>
        <w:rPr>
          <w:i/>
          <w:lang w:val="en-GB"/>
        </w:rPr>
      </w:pPr>
      <w:r w:rsidRPr="00B9463E">
        <w:rPr>
          <w:i/>
          <w:lang w:val="en-GB"/>
        </w:rPr>
        <w:t>‘</w:t>
      </w:r>
      <w:proofErr w:type="gramStart"/>
      <w:r w:rsidRPr="00B9463E">
        <w:rPr>
          <w:i/>
          <w:lang w:val="en-GB"/>
        </w:rPr>
        <w:t>a</w:t>
      </w:r>
      <w:r>
        <w:rPr>
          <w:i/>
          <w:lang w:val="en-GB"/>
        </w:rPr>
        <w:t>d</w:t>
      </w:r>
      <w:r w:rsidRPr="00B9463E">
        <w:rPr>
          <w:i/>
          <w:lang w:val="en-GB"/>
        </w:rPr>
        <w:t>vanced</w:t>
      </w:r>
      <w:proofErr w:type="gramEnd"/>
      <w:r w:rsidRPr="00B9463E">
        <w:rPr>
          <w:i/>
          <w:lang w:val="en-GB"/>
        </w:rPr>
        <w:t xml:space="preserve"> renal cell carcinoma who have received prior therapy in adults.’</w:t>
      </w:r>
    </w:p>
    <w:p w14:paraId="20B1FC06" w14:textId="77777777" w:rsidR="008E7846" w:rsidRDefault="008E7846" w:rsidP="00940A89">
      <w:pPr>
        <w:pStyle w:val="Heading3"/>
      </w:pPr>
      <w:bookmarkStart w:id="34" w:name="_Toc489277866"/>
      <w:r>
        <w:t>Product Information</w:t>
      </w:r>
      <w:bookmarkEnd w:id="32"/>
      <w:bookmarkEnd w:id="33"/>
      <w:bookmarkEnd w:id="34"/>
    </w:p>
    <w:p w14:paraId="671E2F05" w14:textId="77777777" w:rsidR="00940A89" w:rsidRDefault="006136D7" w:rsidP="00940A89">
      <w:pPr>
        <w:rPr>
          <w:b/>
          <w:bCs/>
        </w:rPr>
      </w:pPr>
      <w:bookmarkStart w:id="35" w:name="_Toc247691506"/>
      <w:bookmarkStart w:id="36"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7" w:history="1">
        <w:r w:rsidR="00441C3F" w:rsidRPr="00441C3F">
          <w:rPr>
            <w:rStyle w:val="Hyperlink"/>
          </w:rPr>
          <w:t>https://www.tga.gov.au/product-information-pi</w:t>
        </w:r>
      </w:hyperlink>
      <w:r w:rsidR="00441C3F">
        <w:t>&gt;</w:t>
      </w:r>
      <w:r w:rsidR="00940A89" w:rsidRPr="00940A89">
        <w:t>.</w:t>
      </w:r>
    </w:p>
    <w:p w14:paraId="0BFEBF8A" w14:textId="77777777" w:rsidR="008E7846" w:rsidRDefault="008E7846" w:rsidP="008E7846">
      <w:pPr>
        <w:pStyle w:val="Heading2"/>
        <w:ind w:left="-11"/>
      </w:pPr>
      <w:bookmarkStart w:id="37" w:name="_Toc489277867"/>
      <w:r>
        <w:t>II. Quality</w:t>
      </w:r>
      <w:bookmarkEnd w:id="2"/>
      <w:r>
        <w:t xml:space="preserve"> findings</w:t>
      </w:r>
      <w:bookmarkEnd w:id="35"/>
      <w:bookmarkEnd w:id="36"/>
      <w:bookmarkEnd w:id="37"/>
    </w:p>
    <w:p w14:paraId="78A77B3C" w14:textId="4E2299F1" w:rsidR="00AB4D4A" w:rsidRPr="00AB4D4A" w:rsidRDefault="006D2AA4" w:rsidP="00591F57">
      <w:pPr>
        <w:rPr>
          <w:vertAlign w:val="superscript"/>
        </w:rPr>
      </w:pPr>
      <w:r w:rsidRPr="00940A89">
        <w:t>There was no requirement for a quality evaluation in a submission of this type.</w:t>
      </w:r>
      <w:r w:rsidR="0085222C">
        <w:rPr>
          <w:vertAlign w:val="superscript"/>
        </w:rPr>
        <w:t xml:space="preserve"> </w:t>
      </w:r>
      <w:r w:rsidR="0085222C" w:rsidRPr="0085222C">
        <w:t xml:space="preserve">This application can be seen as an </w:t>
      </w:r>
      <w:r w:rsidR="0085222C" w:rsidRPr="00EA122B">
        <w:t>extension of indication</w:t>
      </w:r>
      <w:r w:rsidR="00AB4D4A" w:rsidRPr="00EA122B">
        <w:t>s</w:t>
      </w:r>
      <w:r w:rsidR="0085222C" w:rsidRPr="0085222C">
        <w:t xml:space="preserve">. It was submitted as a </w:t>
      </w:r>
      <w:r w:rsidR="0085222C">
        <w:t>NBE</w:t>
      </w:r>
      <w:r w:rsidR="0085222C" w:rsidRPr="0085222C">
        <w:t xml:space="preserve"> for administrative purposes prior to the initial decision for the first </w:t>
      </w:r>
      <w:proofErr w:type="spellStart"/>
      <w:r w:rsidR="0085222C" w:rsidRPr="0085222C">
        <w:t>nivolumab</w:t>
      </w:r>
      <w:proofErr w:type="spellEnd"/>
      <w:r w:rsidR="0085222C" w:rsidRPr="0085222C">
        <w:t xml:space="preserve"> application, to facilit</w:t>
      </w:r>
      <w:r w:rsidR="0085222C" w:rsidRPr="001A45AE">
        <w:t>ate earlier review of the data.</w:t>
      </w:r>
      <w:r w:rsidR="00AB4D4A" w:rsidRPr="00AB4D4A">
        <w:rPr>
          <w:vertAlign w:val="superscript"/>
        </w:rPr>
        <w:fldChar w:fldCharType="begin"/>
      </w:r>
      <w:r w:rsidR="00AB4D4A" w:rsidRPr="00AB4D4A">
        <w:rPr>
          <w:vertAlign w:val="superscript"/>
        </w:rPr>
        <w:instrText xml:space="preserve"> NOTEREF _Ref489229505 \h </w:instrText>
      </w:r>
      <w:r w:rsidR="00AB4D4A">
        <w:rPr>
          <w:vertAlign w:val="superscript"/>
        </w:rPr>
        <w:instrText xml:space="preserve"> \* MERGEFORMAT </w:instrText>
      </w:r>
      <w:r w:rsidR="00AB4D4A" w:rsidRPr="00AB4D4A">
        <w:rPr>
          <w:vertAlign w:val="superscript"/>
        </w:rPr>
      </w:r>
      <w:r w:rsidR="00AB4D4A" w:rsidRPr="00AB4D4A">
        <w:rPr>
          <w:vertAlign w:val="superscript"/>
        </w:rPr>
        <w:fldChar w:fldCharType="separate"/>
      </w:r>
      <w:r w:rsidR="00AF569E">
        <w:rPr>
          <w:vertAlign w:val="superscript"/>
        </w:rPr>
        <w:t>1</w:t>
      </w:r>
      <w:r w:rsidR="00AB4D4A" w:rsidRPr="00AB4D4A">
        <w:rPr>
          <w:vertAlign w:val="superscript"/>
        </w:rPr>
        <w:fldChar w:fldCharType="end"/>
      </w:r>
      <w:r w:rsidR="001A45AE">
        <w:t xml:space="preserve"> </w:t>
      </w:r>
      <w:r w:rsidR="00124A98">
        <w:t>A quality evaluation was conducted</w:t>
      </w:r>
      <w:r w:rsidR="001A45AE">
        <w:t xml:space="preserve"> </w:t>
      </w:r>
      <w:r w:rsidR="00124A98">
        <w:t xml:space="preserve">in </w:t>
      </w:r>
      <w:r w:rsidR="00AB4D4A">
        <w:t xml:space="preserve">the first </w:t>
      </w:r>
      <w:proofErr w:type="spellStart"/>
      <w:r w:rsidR="00AB4D4A">
        <w:t>nivolumab</w:t>
      </w:r>
      <w:proofErr w:type="spellEnd"/>
      <w:r w:rsidR="00AB4D4A">
        <w:t xml:space="preserve"> application and as a result</w:t>
      </w:r>
      <w:r w:rsidR="001B6E0E">
        <w:t>,</w:t>
      </w:r>
      <w:r w:rsidR="00124A98">
        <w:t xml:space="preserve"> there was no requirement for a further quality evaluation for this submission.</w:t>
      </w:r>
    </w:p>
    <w:p w14:paraId="64A192FC" w14:textId="5CD5E1B1" w:rsidR="0085222C" w:rsidRPr="001A45AE" w:rsidRDefault="00124A98" w:rsidP="00591F57">
      <w:r>
        <w:t xml:space="preserve">For </w:t>
      </w:r>
      <w:r w:rsidR="00AB4D4A">
        <w:t xml:space="preserve">the </w:t>
      </w:r>
      <w:r>
        <w:t xml:space="preserve">quality findings from the first </w:t>
      </w:r>
      <w:proofErr w:type="spellStart"/>
      <w:r>
        <w:t>nivolumab</w:t>
      </w:r>
      <w:proofErr w:type="spellEnd"/>
      <w:r>
        <w:t xml:space="preserve"> NBE application, please see the </w:t>
      </w:r>
      <w:proofErr w:type="spellStart"/>
      <w:r>
        <w:t>nivolumab</w:t>
      </w:r>
      <w:proofErr w:type="spellEnd"/>
      <w:r>
        <w:t xml:space="preserve"> </w:t>
      </w:r>
      <w:proofErr w:type="spellStart"/>
      <w:r>
        <w:t>AusPAR</w:t>
      </w:r>
      <w:proofErr w:type="spellEnd"/>
      <w:r>
        <w:t xml:space="preserve"> for </w:t>
      </w:r>
      <w:r w:rsidR="00591F57">
        <w:t xml:space="preserve">the </w:t>
      </w:r>
      <w:r>
        <w:t>melanoma and NSCLC</w:t>
      </w:r>
      <w:r w:rsidR="00591F57">
        <w:t xml:space="preserve"> based</w:t>
      </w:r>
      <w:r>
        <w:t xml:space="preserve"> indications</w:t>
      </w:r>
      <w:r w:rsidR="00AB4D4A">
        <w:t xml:space="preserve"> available from the TGA website</w:t>
      </w:r>
      <w:r w:rsidR="00591F57">
        <w:t>.</w:t>
      </w:r>
      <w:bookmarkStart w:id="38" w:name="_Ref490662114"/>
      <w:r w:rsidR="00591F57">
        <w:rPr>
          <w:rStyle w:val="FootnoteReference"/>
        </w:rPr>
        <w:footnoteReference w:id="6"/>
      </w:r>
      <w:bookmarkEnd w:id="38"/>
    </w:p>
    <w:p w14:paraId="171E5B49" w14:textId="275D8443" w:rsidR="008E7846" w:rsidRDefault="008E7846" w:rsidP="008E7846">
      <w:pPr>
        <w:pStyle w:val="Heading2"/>
      </w:pPr>
      <w:bookmarkStart w:id="39" w:name="_Toc196046439"/>
      <w:bookmarkStart w:id="40" w:name="_Toc247691510"/>
      <w:bookmarkStart w:id="41" w:name="_Toc314842494"/>
      <w:bookmarkStart w:id="42" w:name="_Toc489277868"/>
      <w:r>
        <w:t>III. Nonclinical</w:t>
      </w:r>
      <w:bookmarkEnd w:id="39"/>
      <w:r>
        <w:t xml:space="preserve"> findings</w:t>
      </w:r>
      <w:bookmarkEnd w:id="40"/>
      <w:bookmarkEnd w:id="41"/>
      <w:bookmarkEnd w:id="42"/>
    </w:p>
    <w:p w14:paraId="72C60447" w14:textId="38F659A2" w:rsidR="00AB4D4A" w:rsidRPr="00AB4D4A" w:rsidRDefault="000E28FD" w:rsidP="00AB4D4A">
      <w:pPr>
        <w:rPr>
          <w:vertAlign w:val="superscript"/>
        </w:rPr>
      </w:pPr>
      <w:bookmarkStart w:id="43" w:name="_Toc247691511"/>
      <w:bookmarkStart w:id="44" w:name="_Toc314842495"/>
      <w:r>
        <w:t xml:space="preserve">For the same reasons </w:t>
      </w:r>
      <w:r w:rsidR="00AE5BBA">
        <w:t xml:space="preserve">as </w:t>
      </w:r>
      <w:r>
        <w:t xml:space="preserve">described </w:t>
      </w:r>
      <w:r w:rsidR="00AE5BBA">
        <w:t>for quality findings above</w:t>
      </w:r>
      <w:r>
        <w:t>, a</w:t>
      </w:r>
      <w:r w:rsidR="00AB4D4A">
        <w:t xml:space="preserve"> nonclinical evaluation was conducted </w:t>
      </w:r>
      <w:r w:rsidR="00AE2EF0">
        <w:t>for</w:t>
      </w:r>
      <w:r w:rsidR="00AB4D4A">
        <w:t xml:space="preserve"> the first </w:t>
      </w:r>
      <w:proofErr w:type="spellStart"/>
      <w:r w:rsidR="00AB4D4A">
        <w:t>nivolumab</w:t>
      </w:r>
      <w:proofErr w:type="spellEnd"/>
      <w:r w:rsidR="00AB4D4A">
        <w:t xml:space="preserve"> application and as a result, there was no requirement for a further quality evaluation for this submission.</w:t>
      </w:r>
    </w:p>
    <w:p w14:paraId="61991F23" w14:textId="0640309A" w:rsidR="00AB4D4A" w:rsidRPr="006D2AA4" w:rsidRDefault="00AB4D4A" w:rsidP="006D2AA4">
      <w:r>
        <w:t xml:space="preserve">For the nonclinical findings from the first </w:t>
      </w:r>
      <w:proofErr w:type="spellStart"/>
      <w:r>
        <w:t>nivolumab</w:t>
      </w:r>
      <w:proofErr w:type="spellEnd"/>
      <w:r>
        <w:t xml:space="preserve"> NBE application, please see the </w:t>
      </w:r>
      <w:proofErr w:type="spellStart"/>
      <w:r>
        <w:t>nivolumab</w:t>
      </w:r>
      <w:proofErr w:type="spellEnd"/>
      <w:r>
        <w:t xml:space="preserve"> </w:t>
      </w:r>
      <w:proofErr w:type="spellStart"/>
      <w:r>
        <w:t>AusPAR</w:t>
      </w:r>
      <w:proofErr w:type="spellEnd"/>
      <w:r>
        <w:t xml:space="preserve"> for the melanoma and NSCLC based indications available from the TGA website.</w:t>
      </w:r>
      <w:r w:rsidRPr="00AB4D4A">
        <w:rPr>
          <w:vertAlign w:val="superscript"/>
        </w:rPr>
        <w:fldChar w:fldCharType="begin"/>
      </w:r>
      <w:r w:rsidRPr="00AB4D4A">
        <w:rPr>
          <w:vertAlign w:val="superscript"/>
        </w:rPr>
        <w:instrText xml:space="preserve"> NOTEREF _Ref490662114 \h </w:instrText>
      </w:r>
      <w:r>
        <w:rPr>
          <w:vertAlign w:val="superscript"/>
        </w:rPr>
        <w:instrText xml:space="preserve"> \* MERGEFORMAT </w:instrText>
      </w:r>
      <w:r w:rsidRPr="00AB4D4A">
        <w:rPr>
          <w:vertAlign w:val="superscript"/>
        </w:rPr>
      </w:r>
      <w:r w:rsidRPr="00AB4D4A">
        <w:rPr>
          <w:vertAlign w:val="superscript"/>
        </w:rPr>
        <w:fldChar w:fldCharType="separate"/>
      </w:r>
      <w:r w:rsidR="00AF569E">
        <w:rPr>
          <w:vertAlign w:val="superscript"/>
        </w:rPr>
        <w:t>6</w:t>
      </w:r>
      <w:r w:rsidRPr="00AB4D4A">
        <w:rPr>
          <w:vertAlign w:val="superscript"/>
        </w:rPr>
        <w:fldChar w:fldCharType="end"/>
      </w:r>
    </w:p>
    <w:p w14:paraId="0D7CDAE2" w14:textId="77777777" w:rsidR="008E7846" w:rsidRPr="00254787" w:rsidRDefault="008E7846" w:rsidP="008E7846">
      <w:pPr>
        <w:pStyle w:val="Heading2"/>
      </w:pPr>
      <w:bookmarkStart w:id="45" w:name="_Toc196046462"/>
      <w:bookmarkStart w:id="46" w:name="_Toc247691516"/>
      <w:bookmarkStart w:id="47" w:name="_Toc314842500"/>
      <w:bookmarkStart w:id="48" w:name="_Toc489277869"/>
      <w:bookmarkStart w:id="49" w:name="_Toc163441353"/>
      <w:bookmarkStart w:id="50" w:name="_Toc163441348"/>
      <w:bookmarkEnd w:id="43"/>
      <w:bookmarkEnd w:id="44"/>
      <w:r>
        <w:lastRenderedPageBreak/>
        <w:t xml:space="preserve">IV. </w:t>
      </w:r>
      <w:r w:rsidRPr="00254787">
        <w:t>Clinical</w:t>
      </w:r>
      <w:bookmarkEnd w:id="45"/>
      <w:r>
        <w:t xml:space="preserve"> </w:t>
      </w:r>
      <w:r w:rsidR="003A7F6C">
        <w:t>f</w:t>
      </w:r>
      <w:r>
        <w:t>indings</w:t>
      </w:r>
      <w:bookmarkEnd w:id="46"/>
      <w:bookmarkEnd w:id="47"/>
      <w:bookmarkEnd w:id="48"/>
    </w:p>
    <w:p w14:paraId="09E5B9B1" w14:textId="77777777" w:rsidR="00C80137" w:rsidRDefault="00C80137" w:rsidP="00D425BB">
      <w:bookmarkStart w:id="51"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2FBCC683" w14:textId="77777777" w:rsidR="008E7846" w:rsidRDefault="008E7846" w:rsidP="008E7846">
      <w:pPr>
        <w:pStyle w:val="Heading3"/>
      </w:pPr>
      <w:bookmarkStart w:id="52" w:name="_Toc247691517"/>
      <w:bookmarkStart w:id="53" w:name="_Toc314842501"/>
      <w:bookmarkStart w:id="54" w:name="_Toc489277870"/>
      <w:r w:rsidRPr="00254787">
        <w:t>Introduction</w:t>
      </w:r>
      <w:bookmarkEnd w:id="51"/>
      <w:bookmarkEnd w:id="52"/>
      <w:bookmarkEnd w:id="53"/>
      <w:bookmarkEnd w:id="54"/>
    </w:p>
    <w:p w14:paraId="781852B9" w14:textId="77777777" w:rsidR="00605AD4" w:rsidRDefault="00605AD4" w:rsidP="00605AD4">
      <w:pPr>
        <w:pStyle w:val="Heading4"/>
      </w:pPr>
      <w:bookmarkStart w:id="55" w:name="_Toc196046464"/>
      <w:bookmarkStart w:id="56" w:name="_Toc247691518"/>
      <w:bookmarkStart w:id="57" w:name="_Toc314842502"/>
      <w:r w:rsidRPr="00605AD4">
        <w:t xml:space="preserve">Clinical </w:t>
      </w:r>
      <w:r w:rsidR="00EF59DC">
        <w:t>r</w:t>
      </w:r>
      <w:r w:rsidRPr="00605AD4">
        <w:t>ationale</w:t>
      </w:r>
    </w:p>
    <w:p w14:paraId="4F1D371A" w14:textId="1ED1C23D" w:rsidR="006D2AA4" w:rsidRPr="006D2AA4" w:rsidRDefault="006D2AA4" w:rsidP="006D2AA4">
      <w:r w:rsidRPr="006D2AA4">
        <w:t xml:space="preserve">The </w:t>
      </w:r>
      <w:r w:rsidR="0092383B">
        <w:t xml:space="preserve">sponsor’s </w:t>
      </w:r>
      <w:r w:rsidRPr="006D2AA4">
        <w:t>Clinical Overview includes a section titled ‘Product Development Rationale’. This section provides an overview of RCC including epidemiology, a description of molecular targeted therapies that are currently available and a description of advanced RCC after prior systemic therapy as an ‘unmet need’.</w:t>
      </w:r>
    </w:p>
    <w:p w14:paraId="2ED7C60D" w14:textId="45FFF6EE" w:rsidR="006D2AA4" w:rsidRPr="006D2AA4" w:rsidRDefault="006D2AA4" w:rsidP="006D2AA4">
      <w:r w:rsidRPr="006D2AA4">
        <w:t>T</w:t>
      </w:r>
      <w:r w:rsidR="00A313C0">
        <w:t>yrosine kinase inhibitors (</w:t>
      </w:r>
      <w:r w:rsidR="00A313C0" w:rsidRPr="00E03955">
        <w:t>T</w:t>
      </w:r>
      <w:r w:rsidRPr="00E03955">
        <w:t>KI</w:t>
      </w:r>
      <w:r w:rsidR="00A313C0">
        <w:t>)</w:t>
      </w:r>
      <w:r w:rsidRPr="006D2AA4">
        <w:t xml:space="preserve"> are described as first line therapy standard treatments as per the ESMO guidelines, and that </w:t>
      </w:r>
      <w:proofErr w:type="spellStart"/>
      <w:r w:rsidRPr="006D2AA4">
        <w:t>everolimus</w:t>
      </w:r>
      <w:proofErr w:type="spellEnd"/>
      <w:r w:rsidRPr="006D2AA4">
        <w:t xml:space="preserve"> and </w:t>
      </w:r>
      <w:proofErr w:type="spellStart"/>
      <w:r w:rsidRPr="006D2AA4">
        <w:t>axitinib</w:t>
      </w:r>
      <w:proofErr w:type="spellEnd"/>
      <w:r w:rsidRPr="006D2AA4">
        <w:t xml:space="preserve"> are the on</w:t>
      </w:r>
      <w:r w:rsidR="00A200C4">
        <w:t>ly 2 targeted therapies with a C</w:t>
      </w:r>
      <w:r w:rsidRPr="006D2AA4">
        <w:t>ategory 1 recommendation in the NCCN guidelines for use in RCC after first-line TKI therapy. The evidence basis for these two agents in this setting was presented:</w:t>
      </w:r>
    </w:p>
    <w:p w14:paraId="26D59FE4" w14:textId="77777777" w:rsidR="006D2AA4" w:rsidRPr="006D2AA4" w:rsidRDefault="006D2AA4" w:rsidP="00296591">
      <w:pPr>
        <w:pStyle w:val="ListBullet"/>
      </w:pPr>
      <w:proofErr w:type="spellStart"/>
      <w:r w:rsidRPr="006D2AA4">
        <w:t>Everolimus</w:t>
      </w:r>
      <w:proofErr w:type="spellEnd"/>
      <w:r w:rsidRPr="006D2AA4">
        <w:t xml:space="preserve">: randomised, double blind, placebo controlled Phase III RECORD-1 study, which included 416 subjects with metastatic RCC who received prior </w:t>
      </w:r>
      <w:proofErr w:type="spellStart"/>
      <w:r w:rsidRPr="006D2AA4">
        <w:t>sunitinib</w:t>
      </w:r>
      <w:proofErr w:type="spellEnd"/>
      <w:r w:rsidRPr="006D2AA4">
        <w:t xml:space="preserve">, </w:t>
      </w:r>
      <w:proofErr w:type="spellStart"/>
      <w:r w:rsidRPr="006D2AA4">
        <w:t>sorafenib</w:t>
      </w:r>
      <w:proofErr w:type="spellEnd"/>
      <w:r w:rsidRPr="006D2AA4">
        <w:t>, or both.</w:t>
      </w:r>
    </w:p>
    <w:p w14:paraId="6C63A606" w14:textId="73D93BA3" w:rsidR="006D2AA4" w:rsidRDefault="006D2AA4" w:rsidP="00296591">
      <w:pPr>
        <w:pStyle w:val="ListBullet"/>
      </w:pPr>
      <w:proofErr w:type="spellStart"/>
      <w:r w:rsidRPr="006D2AA4">
        <w:t>Axitinib</w:t>
      </w:r>
      <w:proofErr w:type="spellEnd"/>
      <w:r w:rsidRPr="006D2AA4">
        <w:t xml:space="preserve">: randomised, controlled, Phase III AXIS trial, </w:t>
      </w:r>
      <w:r w:rsidR="00E03955">
        <w:t>which compared two VEGFR</w:t>
      </w:r>
      <w:r w:rsidRPr="006D2AA4">
        <w:t xml:space="preserve"> TKIs (</w:t>
      </w:r>
      <w:proofErr w:type="spellStart"/>
      <w:r w:rsidRPr="006D2AA4">
        <w:t>axitinib</w:t>
      </w:r>
      <w:proofErr w:type="spellEnd"/>
      <w:r w:rsidRPr="006D2AA4">
        <w:t xml:space="preserve"> and </w:t>
      </w:r>
      <w:proofErr w:type="spellStart"/>
      <w:r w:rsidRPr="006D2AA4">
        <w:t>sorafenib</w:t>
      </w:r>
      <w:proofErr w:type="spellEnd"/>
      <w:r w:rsidRPr="006D2AA4">
        <w:t xml:space="preserve">) in a total of 723 subjects with advanced RCC who received prior </w:t>
      </w:r>
      <w:proofErr w:type="spellStart"/>
      <w:r w:rsidRPr="006D2AA4">
        <w:t>sunitinib</w:t>
      </w:r>
      <w:proofErr w:type="spellEnd"/>
      <w:r w:rsidRPr="006D2AA4">
        <w:t xml:space="preserve">, bevacizumab, </w:t>
      </w:r>
      <w:proofErr w:type="spellStart"/>
      <w:r w:rsidRPr="006D2AA4">
        <w:t>temsirolimus</w:t>
      </w:r>
      <w:proofErr w:type="spellEnd"/>
      <w:r w:rsidRPr="006D2AA4">
        <w:t>, or cytokine therapy.</w:t>
      </w:r>
    </w:p>
    <w:p w14:paraId="700C2E78" w14:textId="12DB8044" w:rsidR="00A313C0" w:rsidRPr="00A313C0" w:rsidRDefault="00A313C0" w:rsidP="00A313C0">
      <w:r>
        <w:t>Results for the RECORD-1 and AXIS s</w:t>
      </w:r>
      <w:r w:rsidR="00887CA4">
        <w:t>tudies are summarised in Table 3</w:t>
      </w:r>
      <w:r>
        <w:t xml:space="preserve"> below.</w:t>
      </w:r>
    </w:p>
    <w:p w14:paraId="45E516DC" w14:textId="37754375" w:rsidR="006D2AA4" w:rsidRPr="006D2AA4" w:rsidRDefault="006D2AA4" w:rsidP="00A313C0">
      <w:pPr>
        <w:pStyle w:val="Tabletitle0"/>
      </w:pPr>
      <w:bookmarkStart w:id="58" w:name="_Toc457473679"/>
      <w:proofErr w:type="gramStart"/>
      <w:r w:rsidRPr="006D2AA4">
        <w:t xml:space="preserve">Table </w:t>
      </w:r>
      <w:r w:rsidR="00887CA4">
        <w:t>3</w:t>
      </w:r>
      <w:r w:rsidRPr="006D2AA4">
        <w:t>.</w:t>
      </w:r>
      <w:proofErr w:type="gramEnd"/>
      <w:r w:rsidRPr="006D2AA4">
        <w:t xml:space="preserve"> Summary of results of pivotal studies for </w:t>
      </w:r>
      <w:proofErr w:type="spellStart"/>
      <w:r w:rsidRPr="006D2AA4">
        <w:t>everolimus</w:t>
      </w:r>
      <w:proofErr w:type="spellEnd"/>
      <w:r w:rsidRPr="006D2AA4">
        <w:t xml:space="preserve"> and </w:t>
      </w:r>
      <w:proofErr w:type="spellStart"/>
      <w:r w:rsidRPr="006D2AA4">
        <w:t>axitinib</w:t>
      </w:r>
      <w:bookmarkEnd w:id="58"/>
      <w:proofErr w:type="spellEnd"/>
    </w:p>
    <w:p w14:paraId="00AAD84F" w14:textId="77777777" w:rsidR="006D2AA4" w:rsidRPr="006D2AA4" w:rsidRDefault="006D2AA4" w:rsidP="006D2AA4">
      <w:r w:rsidRPr="006D2AA4">
        <w:rPr>
          <w:noProof/>
          <w:lang w:eastAsia="en-AU"/>
        </w:rPr>
        <w:drawing>
          <wp:inline distT="0" distB="0" distL="0" distR="0" wp14:anchorId="7E347E5C" wp14:editId="0FD26966">
            <wp:extent cx="4514045" cy="2948598"/>
            <wp:effectExtent l="0" t="0" r="1270" b="4445"/>
            <wp:docPr id="9" name="Picture 9" descr="Table 3. Summary of results of pivotal studies for everolimus and axi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1793" t="11081" r="1499" b="6053"/>
                    <a:stretch/>
                  </pic:blipFill>
                  <pic:spPr bwMode="auto">
                    <a:xfrm>
                      <a:off x="0" y="0"/>
                      <a:ext cx="4516001" cy="2949875"/>
                    </a:xfrm>
                    <a:prstGeom prst="rect">
                      <a:avLst/>
                    </a:prstGeom>
                    <a:noFill/>
                    <a:ln>
                      <a:noFill/>
                    </a:ln>
                    <a:extLst>
                      <a:ext uri="{53640926-AAD7-44D8-BBD7-CCE9431645EC}">
                        <a14:shadowObscured xmlns:a14="http://schemas.microsoft.com/office/drawing/2010/main"/>
                      </a:ext>
                    </a:extLst>
                  </pic:spPr>
                </pic:pic>
              </a:graphicData>
            </a:graphic>
          </wp:inline>
        </w:drawing>
      </w:r>
    </w:p>
    <w:p w14:paraId="3538EEC5" w14:textId="7EF37A56" w:rsidR="006D2AA4" w:rsidRPr="006D2AA4" w:rsidRDefault="006D2AA4" w:rsidP="006D2AA4">
      <w:pPr>
        <w:rPr>
          <w:i/>
        </w:rPr>
      </w:pPr>
      <w:r w:rsidRPr="006D2AA4">
        <w:t xml:space="preserve">On the basis of the poor responses to currently approved therapies, with median </w:t>
      </w:r>
      <w:r w:rsidR="004C6634">
        <w:t>progression free survival (</w:t>
      </w:r>
      <w:r w:rsidRPr="006D2AA4">
        <w:t>PFS</w:t>
      </w:r>
      <w:r w:rsidR="004C6634">
        <w:t>)</w:t>
      </w:r>
      <w:r w:rsidRPr="006D2AA4">
        <w:t xml:space="preserve"> &lt; 6 months with treatment and no demonstrated significant improvement in overall survival, the sponsor states that ‘</w:t>
      </w:r>
      <w:r w:rsidRPr="006D2AA4">
        <w:rPr>
          <w:i/>
        </w:rPr>
        <w:t>the prognosis for advanced RCC after prior systemic therapy is poor and there is a clear unmet medical need for treatments that improve clinical outcomes’.</w:t>
      </w:r>
    </w:p>
    <w:p w14:paraId="642CCB84" w14:textId="6AD796BF" w:rsidR="006D2AA4" w:rsidRPr="006D2AA4" w:rsidRDefault="006D2AA4" w:rsidP="006D2AA4">
      <w:proofErr w:type="spellStart"/>
      <w:r w:rsidRPr="006D2AA4">
        <w:lastRenderedPageBreak/>
        <w:t>Everolimus</w:t>
      </w:r>
      <w:proofErr w:type="spellEnd"/>
      <w:r w:rsidRPr="006D2AA4">
        <w:t xml:space="preserve"> was approved by the TGA for second line therapy of advanced RCC in 2009 with the indication: ‘</w:t>
      </w:r>
      <w:r w:rsidRPr="006D2AA4">
        <w:rPr>
          <w:i/>
        </w:rPr>
        <w:t xml:space="preserve">Treatment of patients with advanced renal cell carcinoma after failure of treatment with </w:t>
      </w:r>
      <w:proofErr w:type="spellStart"/>
      <w:r w:rsidRPr="006D2AA4">
        <w:rPr>
          <w:i/>
        </w:rPr>
        <w:t>sorafenib</w:t>
      </w:r>
      <w:proofErr w:type="spellEnd"/>
      <w:r w:rsidRPr="006D2AA4">
        <w:rPr>
          <w:i/>
        </w:rPr>
        <w:t xml:space="preserve"> or </w:t>
      </w:r>
      <w:proofErr w:type="spellStart"/>
      <w:r w:rsidRPr="006D2AA4">
        <w:rPr>
          <w:i/>
        </w:rPr>
        <w:t>sunitinib</w:t>
      </w:r>
      <w:proofErr w:type="spellEnd"/>
      <w:r w:rsidRPr="006D2AA4">
        <w:rPr>
          <w:i/>
        </w:rPr>
        <w:t>’</w:t>
      </w:r>
      <w:r w:rsidRPr="006D2AA4">
        <w:t xml:space="preserve">. </w:t>
      </w:r>
      <w:proofErr w:type="spellStart"/>
      <w:r w:rsidRPr="006D2AA4">
        <w:t>Axitinib</w:t>
      </w:r>
      <w:proofErr w:type="spellEnd"/>
      <w:r w:rsidRPr="006D2AA4">
        <w:t xml:space="preserve"> was approved by the TGA for second line therapy in 2012 with the indication: ‘</w:t>
      </w:r>
      <w:r w:rsidRPr="006D2AA4">
        <w:rPr>
          <w:i/>
        </w:rPr>
        <w:t>For the treatment of patients with advanced renal cell carcinoma after failure of one prior systemic therapy’</w:t>
      </w:r>
      <w:r w:rsidRPr="006D2AA4">
        <w:t>.</w:t>
      </w:r>
    </w:p>
    <w:p w14:paraId="7C988612" w14:textId="77777777" w:rsidR="006D2AA4" w:rsidRPr="006D2AA4" w:rsidRDefault="006D2AA4" w:rsidP="006D2AA4">
      <w:r w:rsidRPr="006D2AA4">
        <w:t xml:space="preserve">A brief summary of the clinical development program of </w:t>
      </w:r>
      <w:proofErr w:type="spellStart"/>
      <w:r w:rsidRPr="006D2AA4">
        <w:t>nivolumab</w:t>
      </w:r>
      <w:proofErr w:type="spellEnd"/>
      <w:r w:rsidRPr="006D2AA4">
        <w:t xml:space="preserve"> in RCC and a summary of the regulatory milestones of </w:t>
      </w:r>
      <w:proofErr w:type="spellStart"/>
      <w:r w:rsidRPr="006D2AA4">
        <w:t>nivolumab</w:t>
      </w:r>
      <w:proofErr w:type="spellEnd"/>
      <w:r w:rsidRPr="006D2AA4">
        <w:t xml:space="preserve"> for all indications </w:t>
      </w:r>
      <w:proofErr w:type="gramStart"/>
      <w:r w:rsidRPr="006D2AA4">
        <w:t>was</w:t>
      </w:r>
      <w:proofErr w:type="gramEnd"/>
      <w:r w:rsidRPr="006D2AA4">
        <w:t xml:space="preserve"> provided:</w:t>
      </w:r>
    </w:p>
    <w:p w14:paraId="2EA37070" w14:textId="6BBF1306" w:rsidR="006D2AA4" w:rsidRPr="006D2AA4" w:rsidRDefault="006D2AA4" w:rsidP="006D2AA4">
      <w:r w:rsidRPr="006D2AA4">
        <w:t>‘</w:t>
      </w:r>
      <w:r w:rsidRPr="006D2AA4">
        <w:rPr>
          <w:i/>
        </w:rPr>
        <w:t xml:space="preserve">There are 4 completed or ongoing studies of </w:t>
      </w:r>
      <w:proofErr w:type="spellStart"/>
      <w:r w:rsidRPr="006D2AA4">
        <w:rPr>
          <w:i/>
        </w:rPr>
        <w:t>nivolumab</w:t>
      </w:r>
      <w:proofErr w:type="spellEnd"/>
      <w:r w:rsidRPr="006D2AA4">
        <w:rPr>
          <w:i/>
        </w:rPr>
        <w:t xml:space="preserve"> monotherapy in RCC in previously treated subjects: MDX1106-03, CA209009, CA209010, and CA209025. The current submission includes safety and efficacy data from completed Study CA209025, which focuses on </w:t>
      </w:r>
      <w:proofErr w:type="spellStart"/>
      <w:r w:rsidRPr="006D2AA4">
        <w:rPr>
          <w:i/>
        </w:rPr>
        <w:t>nivolumab</w:t>
      </w:r>
      <w:proofErr w:type="spellEnd"/>
      <w:r w:rsidRPr="006D2AA4">
        <w:rPr>
          <w:i/>
        </w:rPr>
        <w:t xml:space="preserve"> monotherapy (3 mg/kg Q2W) at the recommended dose and schedule in subjects with advanced or metastatic RCC after prior therapy. Additional supportive data is provided from CA209010; subjects in CA209010 received </w:t>
      </w:r>
      <w:proofErr w:type="spellStart"/>
      <w:r w:rsidRPr="006D2AA4">
        <w:rPr>
          <w:i/>
        </w:rPr>
        <w:t>nivolumab</w:t>
      </w:r>
      <w:proofErr w:type="spellEnd"/>
      <w:r w:rsidRPr="006D2AA4">
        <w:rPr>
          <w:i/>
        </w:rPr>
        <w:t xml:space="preserve"> doses of 0.3, 2, or 10 mg/kg Q3 weeks rather than at the proposed dose and schedule of 3 mg/kg Q2 weeks. In MDX1106-03 subjects were administered </w:t>
      </w:r>
      <w:proofErr w:type="spellStart"/>
      <w:r w:rsidRPr="006D2AA4">
        <w:rPr>
          <w:i/>
        </w:rPr>
        <w:t>nivolumab</w:t>
      </w:r>
      <w:proofErr w:type="spellEnd"/>
      <w:r w:rsidRPr="006D2AA4">
        <w:rPr>
          <w:i/>
        </w:rPr>
        <w:t xml:space="preserve"> monotherapy with 1 or 10 mg/kg Q2W, while in CA209009, subjects received </w:t>
      </w:r>
      <w:proofErr w:type="spellStart"/>
      <w:r w:rsidRPr="006D2AA4">
        <w:rPr>
          <w:i/>
        </w:rPr>
        <w:t>nivolumab</w:t>
      </w:r>
      <w:proofErr w:type="spellEnd"/>
      <w:r w:rsidRPr="006D2AA4">
        <w:rPr>
          <w:i/>
        </w:rPr>
        <w:t xml:space="preserve"> doses of 0.3, 2, or 10 mg/kg Q3W.’</w:t>
      </w:r>
    </w:p>
    <w:p w14:paraId="582A79D1" w14:textId="77777777" w:rsidR="00605AD4" w:rsidRDefault="00605AD4" w:rsidP="00605AD4">
      <w:pPr>
        <w:pStyle w:val="Heading4"/>
      </w:pPr>
      <w:r w:rsidRPr="00605AD4">
        <w:t>Guidance</w:t>
      </w:r>
    </w:p>
    <w:p w14:paraId="153641F0" w14:textId="007360D1" w:rsidR="00692A02" w:rsidRPr="00692A02" w:rsidRDefault="00692A02" w:rsidP="00692A02">
      <w:r>
        <w:t>Through communication between the TGA and the sponsor</w:t>
      </w:r>
      <w:r w:rsidRPr="00692A02">
        <w:t xml:space="preserve"> it was agreed that:</w:t>
      </w:r>
    </w:p>
    <w:p w14:paraId="5D8C5CCB" w14:textId="191BA183" w:rsidR="00692A02" w:rsidRPr="00692A02" w:rsidRDefault="00692A02" w:rsidP="00692A02">
      <w:pPr>
        <w:pStyle w:val="ListBullet"/>
      </w:pPr>
      <w:r w:rsidRPr="00692A02">
        <w:t xml:space="preserve">The sponsor could progress the submission of a parallel </w:t>
      </w:r>
      <w:r>
        <w:t xml:space="preserve">NBE </w:t>
      </w:r>
      <w:r w:rsidRPr="00692A02">
        <w:t xml:space="preserve">application for </w:t>
      </w:r>
      <w:proofErr w:type="spellStart"/>
      <w:r w:rsidRPr="00692A02">
        <w:t>nivolumab</w:t>
      </w:r>
      <w:proofErr w:type="spellEnd"/>
      <w:r w:rsidRPr="00692A02">
        <w:t xml:space="preserve"> in </w:t>
      </w:r>
      <w:r w:rsidR="003C6F82">
        <w:t xml:space="preserve">RCC </w:t>
      </w:r>
      <w:r>
        <w:t>based on Study CA 209025.</w:t>
      </w:r>
    </w:p>
    <w:p w14:paraId="6CD0B1F5" w14:textId="356754C4" w:rsidR="00692A02" w:rsidRPr="00692A02" w:rsidRDefault="00692A02" w:rsidP="003C6F82">
      <w:pPr>
        <w:pStyle w:val="ListBullet"/>
      </w:pPr>
      <w:r w:rsidRPr="00692A02">
        <w:t>This submissi</w:t>
      </w:r>
      <w:r w:rsidR="003C6F82">
        <w:t xml:space="preserve">on would have a format similar sponsor’s </w:t>
      </w:r>
      <w:r w:rsidRPr="00692A02">
        <w:t>NBE application to register</w:t>
      </w:r>
      <w:r w:rsidR="006204B6">
        <w:t xml:space="preserve"> </w:t>
      </w:r>
      <w:proofErr w:type="spellStart"/>
      <w:r w:rsidR="006204B6">
        <w:t>nivolumab</w:t>
      </w:r>
      <w:proofErr w:type="spellEnd"/>
      <w:r w:rsidR="006204B6">
        <w:t xml:space="preserve"> in the treatment of n</w:t>
      </w:r>
      <w:r w:rsidRPr="00692A02">
        <w:t>on-sq</w:t>
      </w:r>
      <w:r w:rsidR="006204B6">
        <w:t>uamous NSCLC</w:t>
      </w:r>
      <w:r w:rsidRPr="00692A02">
        <w:t xml:space="preserve"> in that it would include components unique to the proposed additional indication but with cross-referencing to prior submissions and evaluations for other components.</w:t>
      </w:r>
    </w:p>
    <w:p w14:paraId="1D47F885" w14:textId="77777777" w:rsidR="00692A02" w:rsidRPr="00692A02" w:rsidRDefault="00692A02" w:rsidP="003C6F82">
      <w:pPr>
        <w:pStyle w:val="ListBullet"/>
      </w:pPr>
      <w:r w:rsidRPr="00692A02">
        <w:t>The sponsor confirmed that the RCC application would have the unique components of:</w:t>
      </w:r>
    </w:p>
    <w:p w14:paraId="6D15CB2C" w14:textId="55537EE7" w:rsidR="00692A02" w:rsidRPr="00692A02" w:rsidRDefault="003C6F82" w:rsidP="003C6F82">
      <w:pPr>
        <w:pStyle w:val="ListBullet2"/>
      </w:pPr>
      <w:r>
        <w:t>One p</w:t>
      </w:r>
      <w:r w:rsidR="00692A02" w:rsidRPr="00692A02">
        <w:t xml:space="preserve">ivotal </w:t>
      </w:r>
      <w:r>
        <w:t>study (Study CA209025)</w:t>
      </w:r>
    </w:p>
    <w:p w14:paraId="78205469" w14:textId="4B3317AD" w:rsidR="00692A02" w:rsidRPr="00692A02" w:rsidRDefault="00E03955" w:rsidP="003C6F82">
      <w:pPr>
        <w:pStyle w:val="ListBullet2"/>
      </w:pPr>
      <w:r>
        <w:t>One supportive study,</w:t>
      </w:r>
      <w:r w:rsidR="00692A02" w:rsidRPr="00692A02">
        <w:t xml:space="preserve"> a Phas</w:t>
      </w:r>
      <w:r w:rsidR="003C6F82">
        <w:t>e II</w:t>
      </w:r>
      <w:r w:rsidR="00692A02" w:rsidRPr="00692A02">
        <w:t xml:space="preserve"> dose ranging</w:t>
      </w:r>
      <w:r w:rsidR="003C6F82">
        <w:t xml:space="preserve"> study (</w:t>
      </w:r>
      <w:r w:rsidR="00692A02" w:rsidRPr="00692A02">
        <w:t>Study CA209010</w:t>
      </w:r>
      <w:r w:rsidR="003C6F82">
        <w:t>)</w:t>
      </w:r>
    </w:p>
    <w:p w14:paraId="0B53430C" w14:textId="4934D1F4" w:rsidR="00692A02" w:rsidRPr="00692A02" w:rsidRDefault="006204B6" w:rsidP="003C6F82">
      <w:pPr>
        <w:pStyle w:val="ListBullet2"/>
      </w:pPr>
      <w:r>
        <w:t>Population pharmacokinetics</w:t>
      </w:r>
      <w:r w:rsidR="00CD5B41">
        <w:t xml:space="preserve"> (PK)</w:t>
      </w:r>
      <w:r w:rsidR="00692A02" w:rsidRPr="00692A02">
        <w:t xml:space="preserve"> report for Study CA209025 with exposure analyses</w:t>
      </w:r>
    </w:p>
    <w:p w14:paraId="143FE36D" w14:textId="78ABE17B" w:rsidR="00692A02" w:rsidRPr="00692A02" w:rsidRDefault="003C6F82" w:rsidP="003C6F82">
      <w:pPr>
        <w:pStyle w:val="ListBullet2"/>
      </w:pPr>
      <w:r>
        <w:t>An u</w:t>
      </w:r>
      <w:r w:rsidR="00692A02" w:rsidRPr="00692A02">
        <w:t xml:space="preserve">pdated </w:t>
      </w:r>
      <w:r w:rsidR="006204B6">
        <w:t>Risk Management Plan (RMP) and updated Australian Specific Annex (ASA)</w:t>
      </w:r>
    </w:p>
    <w:p w14:paraId="336FB688" w14:textId="53D15EEE" w:rsidR="00692A02" w:rsidRPr="00692A02" w:rsidRDefault="00692A02" w:rsidP="00692A02">
      <w:pPr>
        <w:pStyle w:val="ListBullet"/>
      </w:pPr>
      <w:r w:rsidRPr="00692A02">
        <w:t>The TGA agreed that it was acceptable for the dossier content of the RCC application to include only unique documents required for evaluation of Study CA209025 and that o</w:t>
      </w:r>
      <w:r w:rsidR="003C6F82">
        <w:t>ther areas</w:t>
      </w:r>
      <w:r w:rsidRPr="00692A02">
        <w:t xml:space="preserve"> did not need to be included, providing there was clear cross referencing to previously submitted docume</w:t>
      </w:r>
      <w:r w:rsidR="003C6F82">
        <w:t>nts in the first NBE submission.</w:t>
      </w:r>
    </w:p>
    <w:p w14:paraId="5FBA3FEB" w14:textId="286EE22B" w:rsidR="00692A02" w:rsidRPr="00692A02" w:rsidRDefault="00692A02" w:rsidP="00692A02">
      <w:r w:rsidRPr="00692A02">
        <w:t xml:space="preserve">According to the sponsor’s cover letter, the TGA also agreed to cross-refer to the evaluations of </w:t>
      </w:r>
      <w:proofErr w:type="spellStart"/>
      <w:r w:rsidRPr="00692A02">
        <w:t>nivolumab</w:t>
      </w:r>
      <w:proofErr w:type="spellEnd"/>
      <w:r w:rsidRPr="00692A02">
        <w:t xml:space="preserve"> from </w:t>
      </w:r>
      <w:r w:rsidR="003C6F82">
        <w:t>the other 2 NBE applications</w:t>
      </w:r>
      <w:r w:rsidRPr="00692A02">
        <w:t xml:space="preserve"> and only evaluate </w:t>
      </w:r>
      <w:r w:rsidR="003C6F82">
        <w:t>Study </w:t>
      </w:r>
      <w:r w:rsidRPr="00692A02">
        <w:t xml:space="preserve">CA209025 related unique documents for this application </w:t>
      </w:r>
      <w:r w:rsidR="003C6F82">
        <w:t xml:space="preserve">as indicated </w:t>
      </w:r>
      <w:r w:rsidRPr="00692A02">
        <w:t xml:space="preserve">for RCC. The evaluator has confirmed with the TGA </w:t>
      </w:r>
      <w:r w:rsidR="004B1DA1">
        <w:t>D</w:t>
      </w:r>
      <w:r w:rsidR="004B1DA1" w:rsidRPr="00692A02">
        <w:t xml:space="preserve">elegate </w:t>
      </w:r>
      <w:r w:rsidRPr="00692A02">
        <w:t>that only data unique to the submission needs to be evaluated, unless the evaluator was concerned by an aspect of the submission that required investigation of materials evaluated earlier.</w:t>
      </w:r>
    </w:p>
    <w:p w14:paraId="22A453F9" w14:textId="7C9E18E2" w:rsidR="00692A02" w:rsidRPr="00CD5B41" w:rsidRDefault="003C6F82" w:rsidP="00CD5B41">
      <w:pPr>
        <w:rPr>
          <w:lang w:val="en-GB"/>
        </w:rPr>
      </w:pPr>
      <w:r w:rsidRPr="003C6F82">
        <w:t xml:space="preserve">The Clinical Overview describes CHMP </w:t>
      </w:r>
      <w:r w:rsidR="00CD5B41">
        <w:t>(</w:t>
      </w:r>
      <w:r w:rsidR="00CD5B41" w:rsidRPr="00CD5B41">
        <w:rPr>
          <w:lang w:val="en-GB"/>
        </w:rPr>
        <w:t>Committee for Medicinal Products for Human Use</w:t>
      </w:r>
      <w:r w:rsidR="00CD5B41">
        <w:rPr>
          <w:lang w:val="en-GB"/>
        </w:rPr>
        <w:t>)</w:t>
      </w:r>
      <w:r w:rsidR="00CD5B41" w:rsidRPr="00CD5B41">
        <w:t xml:space="preserve"> </w:t>
      </w:r>
      <w:r w:rsidRPr="003C6F82">
        <w:t xml:space="preserve">Scientific Advice in relation to Study CA209025, provided in October 2011, as supporting the appropriateness of the study design, including, targeted population, stratification factors, choice of comparator, and endpoints for this study in pre-treated advanced RCC, as </w:t>
      </w:r>
      <w:r w:rsidRPr="003C6F82">
        <w:lastRenderedPageBreak/>
        <w:t>well as the overall development in this population as a basis for registration of this indication.</w:t>
      </w:r>
    </w:p>
    <w:p w14:paraId="70903571" w14:textId="77777777" w:rsidR="00605AD4" w:rsidRDefault="00605AD4" w:rsidP="00605AD4">
      <w:pPr>
        <w:pStyle w:val="Heading4"/>
      </w:pPr>
      <w:r w:rsidRPr="00605AD4">
        <w:t>Contents of the clinical dossier</w:t>
      </w:r>
    </w:p>
    <w:p w14:paraId="5F42F455" w14:textId="77777777" w:rsidR="00296591" w:rsidRPr="00296591" w:rsidRDefault="00296591" w:rsidP="00296591">
      <w:r w:rsidRPr="00296591">
        <w:t>The unique elements of this submission are:</w:t>
      </w:r>
    </w:p>
    <w:p w14:paraId="0744E14F" w14:textId="34E0334B" w:rsidR="00296591" w:rsidRPr="00296591" w:rsidRDefault="006204B6" w:rsidP="00AA7A13">
      <w:pPr>
        <w:pStyle w:val="ListBullet"/>
      </w:pPr>
      <w:r>
        <w:t>P</w:t>
      </w:r>
      <w:r w:rsidR="00296591" w:rsidRPr="00296591">
        <w:t>ivotal Study CA209025</w:t>
      </w:r>
    </w:p>
    <w:p w14:paraId="07CD8274" w14:textId="6DF54315" w:rsidR="00296591" w:rsidRPr="00296591" w:rsidRDefault="006204B6" w:rsidP="00AA7A13">
      <w:pPr>
        <w:pStyle w:val="ListBullet"/>
      </w:pPr>
      <w:r>
        <w:t>S</w:t>
      </w:r>
      <w:r w:rsidR="00296591" w:rsidRPr="00296591">
        <w:t>upportive Study CA209010</w:t>
      </w:r>
      <w:r>
        <w:t>, i</w:t>
      </w:r>
      <w:r w:rsidR="00296591" w:rsidRPr="00296591">
        <w:t xml:space="preserve">ncluding </w:t>
      </w:r>
      <w:r>
        <w:t xml:space="preserve">an </w:t>
      </w:r>
      <w:r w:rsidR="004D3211">
        <w:t>a</w:t>
      </w:r>
      <w:r>
        <w:t>ddendum</w:t>
      </w:r>
      <w:r w:rsidR="004D3211">
        <w:t xml:space="preserve">, patient </w:t>
      </w:r>
      <w:r w:rsidR="00CD5B41">
        <w:t>PK</w:t>
      </w:r>
      <w:r w:rsidR="00296591" w:rsidRPr="00296591">
        <w:t xml:space="preserve"> and initial tolerability</w:t>
      </w:r>
      <w:r>
        <w:t xml:space="preserve"> data</w:t>
      </w:r>
    </w:p>
    <w:p w14:paraId="72123F6E" w14:textId="5854E1FD" w:rsidR="00296591" w:rsidRPr="00296591" w:rsidRDefault="004D3211" w:rsidP="00AA7A13">
      <w:pPr>
        <w:pStyle w:val="ListBullet"/>
      </w:pPr>
      <w:r>
        <w:t>Population PK</w:t>
      </w:r>
      <w:r w:rsidR="00296591" w:rsidRPr="00296591">
        <w:t xml:space="preserve"> </w:t>
      </w:r>
      <w:r>
        <w:t>study r</w:t>
      </w:r>
      <w:r w:rsidR="00296591" w:rsidRPr="00296591">
        <w:t>eports with analysis in:</w:t>
      </w:r>
    </w:p>
    <w:p w14:paraId="41184E01" w14:textId="2AD17C16" w:rsidR="00296591" w:rsidRPr="00296591" w:rsidRDefault="00296591" w:rsidP="00AA7A13">
      <w:pPr>
        <w:pStyle w:val="ListBullet2"/>
      </w:pPr>
      <w:r w:rsidRPr="00296591">
        <w:t xml:space="preserve">subjects with solid tumours including advanced or metastatic clear-cell </w:t>
      </w:r>
      <w:r w:rsidR="006204B6">
        <w:t>RCC</w:t>
      </w:r>
      <w:r w:rsidRPr="00296591">
        <w:t xml:space="preserve"> who have received prior anti-angiogenic therapy</w:t>
      </w:r>
    </w:p>
    <w:p w14:paraId="5C755DB2" w14:textId="1BE2BFDA" w:rsidR="00296591" w:rsidRDefault="00296591" w:rsidP="00AA7A13">
      <w:pPr>
        <w:pStyle w:val="ListBullet2"/>
      </w:pPr>
      <w:r w:rsidRPr="00296591">
        <w:t xml:space="preserve">exposure-response analysis in subjects with advanced or metastatic clear-cell </w:t>
      </w:r>
      <w:r w:rsidR="006204B6">
        <w:t>RCC</w:t>
      </w:r>
      <w:r w:rsidRPr="00296591">
        <w:t xml:space="preserve"> who have received prior anti-angiogenic therapy</w:t>
      </w:r>
    </w:p>
    <w:p w14:paraId="6EF51353" w14:textId="5774DAD6" w:rsidR="004D3211" w:rsidRPr="004D3211" w:rsidRDefault="004D3211" w:rsidP="00AA7A13">
      <w:pPr>
        <w:pStyle w:val="ListBullet"/>
        <w:rPr>
          <w:b/>
        </w:rPr>
      </w:pPr>
      <w:r w:rsidRPr="00296591">
        <w:t>Integrated Summary of Safety</w:t>
      </w:r>
      <w:r>
        <w:t>: t</w:t>
      </w:r>
      <w:r w:rsidRPr="00296591">
        <w:t xml:space="preserve">his includes safety data that has been compared across indications in completed studies that used the intended dose and regimen for </w:t>
      </w:r>
      <w:proofErr w:type="spellStart"/>
      <w:r w:rsidRPr="00296591">
        <w:t>nivolumab</w:t>
      </w:r>
      <w:proofErr w:type="spellEnd"/>
      <w:r w:rsidRPr="00296591">
        <w:t xml:space="preserve"> monotherapy. Data from the RCC study (Study CA209025) was compared to NSCLC studies (Studies CA209057, CA209017, and CA209063) and melanoma studies (Studies CA209037, CA209066, and CA209067 (monotherapy arm only)).</w:t>
      </w:r>
    </w:p>
    <w:p w14:paraId="1F1E0F70" w14:textId="116B6897" w:rsidR="00296591" w:rsidRPr="00296591" w:rsidRDefault="00296591" w:rsidP="00AA7A13">
      <w:pPr>
        <w:pStyle w:val="ListBullet"/>
      </w:pPr>
      <w:r w:rsidRPr="00296591">
        <w:t xml:space="preserve">A Clinical Overview, Summary of Clinical Pharmacology Studies and Summary of Clinical Efficacy for </w:t>
      </w:r>
      <w:r w:rsidR="006204B6">
        <w:t>RCC</w:t>
      </w:r>
      <w:r w:rsidR="001B0010">
        <w:t>.</w:t>
      </w:r>
    </w:p>
    <w:p w14:paraId="675F2D2E" w14:textId="77777777" w:rsidR="00605AD4" w:rsidRDefault="00605AD4" w:rsidP="00605AD4">
      <w:pPr>
        <w:pStyle w:val="Heading4"/>
      </w:pPr>
      <w:r w:rsidRPr="00605AD4">
        <w:t>Paediatric data</w:t>
      </w:r>
    </w:p>
    <w:p w14:paraId="3B7FC702" w14:textId="77777777" w:rsidR="00296591" w:rsidRPr="00296591" w:rsidRDefault="00296591" w:rsidP="00296591">
      <w:r w:rsidRPr="00296591">
        <w:t>The submission did not include paediatric data.</w:t>
      </w:r>
    </w:p>
    <w:p w14:paraId="26378897" w14:textId="5684AD8F" w:rsidR="00296591" w:rsidRPr="00296591" w:rsidRDefault="00296591" w:rsidP="00296591">
      <w:r w:rsidRPr="00296591">
        <w:t>From the Clinical Evaluation Report</w:t>
      </w:r>
      <w:r w:rsidR="004D3211">
        <w:t xml:space="preserve"> (CER) for </w:t>
      </w:r>
      <w:r w:rsidRPr="00296591">
        <w:t xml:space="preserve">the </w:t>
      </w:r>
      <w:r w:rsidR="005012D5">
        <w:t xml:space="preserve">first </w:t>
      </w:r>
      <w:proofErr w:type="spellStart"/>
      <w:r w:rsidR="005012D5">
        <w:t>nivolumab</w:t>
      </w:r>
      <w:proofErr w:type="spellEnd"/>
      <w:r w:rsidR="005012D5">
        <w:t xml:space="preserve"> NBE</w:t>
      </w:r>
      <w:r w:rsidRPr="00296591">
        <w:t xml:space="preserve"> submission </w:t>
      </w:r>
      <w:r w:rsidR="005012D5">
        <w:t xml:space="preserve">to the TGA, </w:t>
      </w:r>
      <w:r w:rsidRPr="00296591">
        <w:t>indicate</w:t>
      </w:r>
      <w:r w:rsidR="004D3211">
        <w:t>d for the treatment of melanoma</w:t>
      </w:r>
      <w:r w:rsidRPr="00296591">
        <w:t xml:space="preserve">: </w:t>
      </w:r>
      <w:r w:rsidRPr="00296591">
        <w:rPr>
          <w:i/>
        </w:rPr>
        <w:t xml:space="preserve">‘The sponsor has a Paediatric Investigation Plan </w:t>
      </w:r>
      <w:r w:rsidR="00492E0B">
        <w:rPr>
          <w:i/>
        </w:rPr>
        <w:t xml:space="preserve">(PIP) </w:t>
      </w:r>
      <w:r w:rsidRPr="00296591">
        <w:rPr>
          <w:i/>
        </w:rPr>
        <w:t>agreed with the EMA. The first report of a study conducted as part of the plan is due in October 2017. The sponsor also has a Paediatric Plan agreed with the FDA in the United States, with the first results being due in the second quarter of 2018.’</w:t>
      </w:r>
      <w:r w:rsidR="00B20F12" w:rsidRPr="00B20F12">
        <w:rPr>
          <w:vertAlign w:val="superscript"/>
        </w:rPr>
        <w:fldChar w:fldCharType="begin"/>
      </w:r>
      <w:r w:rsidR="00B20F12" w:rsidRPr="00B20F12">
        <w:rPr>
          <w:i/>
          <w:vertAlign w:val="superscript"/>
        </w:rPr>
        <w:instrText xml:space="preserve"> NOTEREF _Ref490662114 \h </w:instrText>
      </w:r>
      <w:r w:rsidR="00B20F12">
        <w:rPr>
          <w:vertAlign w:val="superscript"/>
        </w:rPr>
        <w:instrText xml:space="preserve"> \* MERGEFORMAT </w:instrText>
      </w:r>
      <w:r w:rsidR="00B20F12" w:rsidRPr="00B20F12">
        <w:rPr>
          <w:vertAlign w:val="superscript"/>
        </w:rPr>
      </w:r>
      <w:r w:rsidR="00B20F12" w:rsidRPr="00B20F12">
        <w:rPr>
          <w:vertAlign w:val="superscript"/>
        </w:rPr>
        <w:fldChar w:fldCharType="separate"/>
      </w:r>
      <w:r w:rsidR="00AF569E">
        <w:rPr>
          <w:i/>
          <w:vertAlign w:val="superscript"/>
        </w:rPr>
        <w:t>6</w:t>
      </w:r>
      <w:r w:rsidR="00B20F12" w:rsidRPr="00B20F12">
        <w:rPr>
          <w:vertAlign w:val="superscript"/>
        </w:rPr>
        <w:fldChar w:fldCharType="end"/>
      </w:r>
    </w:p>
    <w:p w14:paraId="495524BD" w14:textId="77777777" w:rsidR="00605AD4" w:rsidRDefault="00605AD4" w:rsidP="00605AD4">
      <w:pPr>
        <w:pStyle w:val="Heading4"/>
      </w:pPr>
      <w:r w:rsidRPr="00605AD4">
        <w:t>Good clinical practice</w:t>
      </w:r>
    </w:p>
    <w:p w14:paraId="0613CB3A" w14:textId="7E283CFB" w:rsidR="00296591" w:rsidRPr="006204B6" w:rsidRDefault="00296591" w:rsidP="00296591">
      <w:bookmarkStart w:id="59" w:name="_Toc241374282"/>
      <w:r w:rsidRPr="00296591">
        <w:t>The Clinical Overview provides the following assurance:</w:t>
      </w:r>
      <w:r w:rsidR="006204B6">
        <w:t xml:space="preserve"> </w:t>
      </w:r>
      <w:r w:rsidRPr="00296591">
        <w:rPr>
          <w:i/>
        </w:rPr>
        <w:t xml:space="preserve">‘All studies in the </w:t>
      </w:r>
      <w:proofErr w:type="spellStart"/>
      <w:r w:rsidRPr="00296591">
        <w:rPr>
          <w:i/>
        </w:rPr>
        <w:t>nivolumab</w:t>
      </w:r>
      <w:proofErr w:type="spellEnd"/>
      <w:r w:rsidRPr="00296591">
        <w:rPr>
          <w:i/>
        </w:rPr>
        <w:t xml:space="preserve"> RCC development program were conducted in accordance with the principles of GCP as defined by the ICH and were conducted to meet the ethical requirement of European Directive 2001/20/EC. For each study, the protocol, amendments, administrative letters, and subject informed consent form received IRB/IEC approval prior to implementation. Compliance audits were performed as part of implementing quality assurance, and audit certificates are provided as applicable in the individual study reports. The quality of data collected and analysed was monitored according to BMS standard operating procedures.’</w:t>
      </w:r>
      <w:bookmarkEnd w:id="59"/>
    </w:p>
    <w:p w14:paraId="5FA2F056" w14:textId="5834D786" w:rsidR="00EC463D" w:rsidRPr="00296591" w:rsidRDefault="008E7846" w:rsidP="00A313C0">
      <w:pPr>
        <w:pStyle w:val="Heading3"/>
      </w:pPr>
      <w:bookmarkStart w:id="60" w:name="_Toc489277871"/>
      <w:r w:rsidRPr="00254787">
        <w:t>Pharmacokinetics</w:t>
      </w:r>
      <w:bookmarkEnd w:id="49"/>
      <w:bookmarkEnd w:id="55"/>
      <w:bookmarkEnd w:id="56"/>
      <w:bookmarkEnd w:id="57"/>
      <w:bookmarkEnd w:id="60"/>
    </w:p>
    <w:p w14:paraId="08EAFD0B" w14:textId="12C1B02C" w:rsidR="00605AD4" w:rsidRDefault="00605AD4" w:rsidP="00605AD4">
      <w:pPr>
        <w:pStyle w:val="Heading4"/>
      </w:pPr>
      <w:r>
        <w:t>Studies</w:t>
      </w:r>
      <w:r w:rsidR="00296591">
        <w:t xml:space="preserve"> providing pharmacokinetic data</w:t>
      </w:r>
    </w:p>
    <w:p w14:paraId="2B903ACA" w14:textId="68289FF1" w:rsidR="00296591" w:rsidRPr="00296591" w:rsidRDefault="00296591" w:rsidP="00296591">
      <w:r w:rsidRPr="00296591">
        <w:t xml:space="preserve">Only limited new </w:t>
      </w:r>
      <w:r w:rsidR="00887CA4">
        <w:t>PK</w:t>
      </w:r>
      <w:r w:rsidRPr="00296591">
        <w:t xml:space="preserve"> data was provided in this submission.</w:t>
      </w:r>
    </w:p>
    <w:p w14:paraId="572C10B4" w14:textId="3E0CEC03" w:rsidR="00296591" w:rsidRPr="00296591" w:rsidRDefault="00296591" w:rsidP="00296591">
      <w:r w:rsidRPr="00296591">
        <w:t>Both Study CA209010 and Study CA209025 had an exploratory objective of ‘</w:t>
      </w:r>
      <w:r w:rsidRPr="00296591">
        <w:rPr>
          <w:i/>
        </w:rPr>
        <w:t xml:space="preserve">To characterize the pharmacokinetics (PK) of </w:t>
      </w:r>
      <w:proofErr w:type="spellStart"/>
      <w:r w:rsidRPr="00296591">
        <w:rPr>
          <w:i/>
        </w:rPr>
        <w:t>nivolumab</w:t>
      </w:r>
      <w:proofErr w:type="spellEnd"/>
      <w:r w:rsidRPr="00296591">
        <w:rPr>
          <w:i/>
        </w:rPr>
        <w:t xml:space="preserve"> and explore the exposure-response </w:t>
      </w:r>
      <w:r w:rsidRPr="00296591">
        <w:rPr>
          <w:i/>
        </w:rPr>
        <w:lastRenderedPageBreak/>
        <w:t>relationship</w:t>
      </w:r>
      <w:r w:rsidRPr="00296591">
        <w:t>’. The results from this component of each study have not been reported separately but we</w:t>
      </w:r>
      <w:r w:rsidR="004D3211">
        <w:t>re included in the population pharmacokinetic</w:t>
      </w:r>
      <w:r w:rsidRPr="00296591">
        <w:t xml:space="preserve"> analyses included in the submission.</w:t>
      </w:r>
    </w:p>
    <w:p w14:paraId="5089A181" w14:textId="52936B2A" w:rsidR="00296591" w:rsidRPr="00296591" w:rsidRDefault="00887CA4" w:rsidP="00296591">
      <w:r>
        <w:t>Two separate P</w:t>
      </w:r>
      <w:r w:rsidR="004D3211">
        <w:t>opulation PK</w:t>
      </w:r>
      <w:r w:rsidR="00296591" w:rsidRPr="00296591">
        <w:t xml:space="preserve"> analyses were included in this submission. The first includes data from subjects with solid tumours (melanoma, NSCLC and RCC) to develop a pharmacokinetic model, with this then applied to the data from subjects with advanced or metastatic clear-cell renal cell carcinoma who have received prior anti-angiogenic therapy. The second is an exposure-response analysis in subjects with advanced or metastatic clear-cell renal cell carcinoma who have received prior anti-angiogenic therapy.</w:t>
      </w:r>
    </w:p>
    <w:p w14:paraId="054DBFBF" w14:textId="7E9B9458" w:rsidR="00296591" w:rsidRPr="00296591" w:rsidRDefault="00887CA4" w:rsidP="00296591">
      <w:r>
        <w:t>A sequence of P</w:t>
      </w:r>
      <w:r w:rsidR="00296591" w:rsidRPr="00296591">
        <w:t xml:space="preserve">opulation PK analyses has been included in the recent </w:t>
      </w:r>
      <w:proofErr w:type="spellStart"/>
      <w:r w:rsidR="00296591" w:rsidRPr="00296591">
        <w:t>nivolumab</w:t>
      </w:r>
      <w:proofErr w:type="spellEnd"/>
      <w:r w:rsidR="00296591" w:rsidRPr="00296591">
        <w:t xml:space="preserve"> submissions. Each Population PK analysis has been updated as more data has become available and/or has been focussed on a specific condition and/or has included combination therapy with </w:t>
      </w:r>
      <w:proofErr w:type="spellStart"/>
      <w:r w:rsidR="00296591" w:rsidRPr="00296591">
        <w:t>ipilimumab</w:t>
      </w:r>
      <w:proofErr w:type="spellEnd"/>
      <w:r w:rsidR="00296591" w:rsidRPr="00296591">
        <w:t xml:space="preserve">. The most recent population PK analysis of </w:t>
      </w:r>
      <w:proofErr w:type="spellStart"/>
      <w:r w:rsidR="00296591" w:rsidRPr="00296591">
        <w:t>nivolumab</w:t>
      </w:r>
      <w:proofErr w:type="spellEnd"/>
      <w:r w:rsidR="00296591" w:rsidRPr="00296591">
        <w:t xml:space="preserve"> as monotherapy was dated 18 July 2014 and was evaluated in the CER for the </w:t>
      </w:r>
      <w:r w:rsidR="005012D5">
        <w:t xml:space="preserve">first </w:t>
      </w:r>
      <w:proofErr w:type="spellStart"/>
      <w:r w:rsidR="005012D5">
        <w:t>nivolumab</w:t>
      </w:r>
      <w:proofErr w:type="spellEnd"/>
      <w:r w:rsidR="005012D5">
        <w:t xml:space="preserve"> NBE submission.</w:t>
      </w:r>
      <w:r w:rsidR="00B20F12" w:rsidRPr="00B20F12">
        <w:rPr>
          <w:vertAlign w:val="superscript"/>
        </w:rPr>
        <w:fldChar w:fldCharType="begin"/>
      </w:r>
      <w:r w:rsidR="00B20F12" w:rsidRPr="00B20F12">
        <w:rPr>
          <w:vertAlign w:val="superscript"/>
        </w:rPr>
        <w:instrText xml:space="preserve"> NOTEREF _Ref490662114 \h </w:instrText>
      </w:r>
      <w:r w:rsidR="00B20F12">
        <w:rPr>
          <w:vertAlign w:val="superscript"/>
        </w:rPr>
        <w:instrText xml:space="preserve"> \* MERGEFORMAT </w:instrText>
      </w:r>
      <w:r w:rsidR="00B20F12" w:rsidRPr="00B20F12">
        <w:rPr>
          <w:vertAlign w:val="superscript"/>
        </w:rPr>
      </w:r>
      <w:r w:rsidR="00B20F12" w:rsidRPr="00B20F12">
        <w:rPr>
          <w:vertAlign w:val="superscript"/>
        </w:rPr>
        <w:fldChar w:fldCharType="separate"/>
      </w:r>
      <w:r w:rsidR="00AF569E">
        <w:rPr>
          <w:vertAlign w:val="superscript"/>
        </w:rPr>
        <w:t>6</w:t>
      </w:r>
      <w:r w:rsidR="00B20F12" w:rsidRPr="00B20F12">
        <w:rPr>
          <w:vertAlign w:val="superscript"/>
        </w:rPr>
        <w:fldChar w:fldCharType="end"/>
      </w:r>
    </w:p>
    <w:p w14:paraId="39FA54C1" w14:textId="77777777" w:rsidR="00605AD4" w:rsidRDefault="00605AD4" w:rsidP="00605AD4">
      <w:pPr>
        <w:pStyle w:val="Heading4"/>
      </w:pPr>
      <w:r>
        <w:t>Evaluator’s conclusions on pharmacokinetics</w:t>
      </w:r>
    </w:p>
    <w:p w14:paraId="44BF83A1" w14:textId="5F0A4866" w:rsidR="00296591" w:rsidRPr="005012D5" w:rsidRDefault="00296591" w:rsidP="00296591">
      <w:r w:rsidRPr="00CF1CCA">
        <w:t xml:space="preserve">This evaluator notes that the conclusion of the evaluator for </w:t>
      </w:r>
      <w:r>
        <w:t xml:space="preserve">the </w:t>
      </w:r>
      <w:r w:rsidR="00887CA4">
        <w:t xml:space="preserve">first </w:t>
      </w:r>
      <w:proofErr w:type="spellStart"/>
      <w:r w:rsidRPr="002E6E3E">
        <w:t>nivolumab</w:t>
      </w:r>
      <w:proofErr w:type="spellEnd"/>
      <w:r w:rsidRPr="002E6E3E">
        <w:t xml:space="preserve"> </w:t>
      </w:r>
      <w:r w:rsidR="00887CA4">
        <w:t>NBE submission</w:t>
      </w:r>
      <w:r w:rsidRPr="00CF1CCA">
        <w:t xml:space="preserve"> with respect to the </w:t>
      </w:r>
      <w:r w:rsidR="00887CA4">
        <w:t>PK</w:t>
      </w:r>
      <w:r w:rsidRPr="00CF1CCA">
        <w:t xml:space="preserve"> data provided was:</w:t>
      </w:r>
      <w:r w:rsidR="005012D5">
        <w:t xml:space="preserve"> </w:t>
      </w:r>
      <w:r>
        <w:rPr>
          <w:i/>
        </w:rPr>
        <w:t>‘</w:t>
      </w:r>
      <w:r w:rsidRPr="00CF1CCA">
        <w:rPr>
          <w:i/>
        </w:rPr>
        <w:t xml:space="preserve">The submitted data indicate that the PK of </w:t>
      </w:r>
      <w:proofErr w:type="spellStart"/>
      <w:r w:rsidRPr="00CF1CCA">
        <w:rPr>
          <w:i/>
        </w:rPr>
        <w:t>nivolumab</w:t>
      </w:r>
      <w:proofErr w:type="spellEnd"/>
      <w:r w:rsidRPr="00CF1CCA">
        <w:rPr>
          <w:i/>
        </w:rPr>
        <w:t xml:space="preserve"> are consistent with the PK of endogenous IgG4, with a low volume of distribution, slow clearance and</w:t>
      </w:r>
      <w:r>
        <w:rPr>
          <w:i/>
        </w:rPr>
        <w:t xml:space="preserve"> a half-life of approximately 3 to </w:t>
      </w:r>
      <w:r w:rsidRPr="00CF1CCA">
        <w:rPr>
          <w:i/>
        </w:rPr>
        <w:t>4 weeks. The PK data included in the submission are considered to meet the requirements of the relevant EMA guideline adopted by the TGA.</w:t>
      </w:r>
      <w:r>
        <w:rPr>
          <w:rStyle w:val="FootnoteReference"/>
          <w:i/>
        </w:rPr>
        <w:footnoteReference w:id="7"/>
      </w:r>
      <w:r w:rsidRPr="00CF1CCA">
        <w:rPr>
          <w:i/>
        </w:rPr>
        <w:t xml:space="preserve"> Overall the PK data are considered acceptable.</w:t>
      </w:r>
      <w:r>
        <w:rPr>
          <w:i/>
        </w:rPr>
        <w:t>’</w:t>
      </w:r>
    </w:p>
    <w:p w14:paraId="43A29411" w14:textId="7E3D18BA" w:rsidR="00296591" w:rsidRPr="00296591" w:rsidRDefault="00296591" w:rsidP="00296591">
      <w:r w:rsidRPr="00CF1CCA">
        <w:t>The additional PK information provided in this submission consisted of a population PK analysis. This analysis provided results consistent with earlier P</w:t>
      </w:r>
      <w:r w:rsidR="00A313C0">
        <w:t xml:space="preserve">opulation </w:t>
      </w:r>
      <w:r w:rsidRPr="00CF1CCA">
        <w:t xml:space="preserve">PK analyses, with the additional information that </w:t>
      </w:r>
      <w:proofErr w:type="spellStart"/>
      <w:r w:rsidRPr="00CF1CCA">
        <w:t>nivolumab</w:t>
      </w:r>
      <w:proofErr w:type="spellEnd"/>
      <w:r w:rsidRPr="00CF1CCA">
        <w:t xml:space="preserve"> PK in patients with advanced RCC is similar to that that in subjects with NSCLC or other tumour types.</w:t>
      </w:r>
    </w:p>
    <w:p w14:paraId="53924E13" w14:textId="77777777" w:rsidR="008E7846" w:rsidRDefault="008E7846" w:rsidP="008E7846">
      <w:pPr>
        <w:pStyle w:val="Heading3"/>
      </w:pPr>
      <w:bookmarkStart w:id="61" w:name="_Toc196046481"/>
      <w:bookmarkStart w:id="62" w:name="_Toc247691520"/>
      <w:bookmarkStart w:id="63" w:name="_Toc314842503"/>
      <w:bookmarkStart w:id="64" w:name="_Toc489277872"/>
      <w:r w:rsidRPr="00254787">
        <w:t>Pharmacodynamics</w:t>
      </w:r>
      <w:bookmarkEnd w:id="50"/>
      <w:bookmarkEnd w:id="61"/>
      <w:bookmarkEnd w:id="62"/>
      <w:bookmarkEnd w:id="63"/>
      <w:bookmarkEnd w:id="64"/>
    </w:p>
    <w:p w14:paraId="2ECA0033" w14:textId="77777777" w:rsidR="00605AD4" w:rsidRDefault="00605AD4" w:rsidP="00605AD4">
      <w:pPr>
        <w:pStyle w:val="Heading4"/>
      </w:pPr>
      <w:r>
        <w:t xml:space="preserve">Studies providing </w:t>
      </w:r>
      <w:proofErr w:type="spellStart"/>
      <w:r>
        <w:t>pharmacodynamic</w:t>
      </w:r>
      <w:proofErr w:type="spellEnd"/>
      <w:r>
        <w:t xml:space="preserve"> data</w:t>
      </w:r>
    </w:p>
    <w:p w14:paraId="426CDC4E" w14:textId="6BC10662" w:rsidR="004D3211" w:rsidRPr="004D3211" w:rsidRDefault="002A7918" w:rsidP="004D3211">
      <w:r>
        <w:t>Table 4</w:t>
      </w:r>
      <w:r w:rsidR="004D3211">
        <w:t xml:space="preserve">, below, gives the studies submitted that provided </w:t>
      </w:r>
      <w:proofErr w:type="spellStart"/>
      <w:r w:rsidR="004D3211">
        <w:t>pharmacodynamic</w:t>
      </w:r>
      <w:proofErr w:type="spellEnd"/>
      <w:r w:rsidR="004D3211">
        <w:t xml:space="preserve"> data along with subtopics covered.</w:t>
      </w:r>
    </w:p>
    <w:p w14:paraId="48193DF7" w14:textId="23B79609" w:rsidR="00296591" w:rsidRPr="002E2E35" w:rsidRDefault="00296591" w:rsidP="00B20F12">
      <w:pPr>
        <w:pStyle w:val="Tabletitle0"/>
        <w:rPr>
          <w:lang w:eastAsia="ja-JP"/>
        </w:rPr>
      </w:pPr>
      <w:bookmarkStart w:id="65" w:name="_Toc457473686"/>
      <w:proofErr w:type="gramStart"/>
      <w:r w:rsidRPr="002E2E35">
        <w:rPr>
          <w:lang w:eastAsia="ja-JP"/>
        </w:rPr>
        <w:t xml:space="preserve">Table </w:t>
      </w:r>
      <w:r w:rsidR="002A7918">
        <w:rPr>
          <w:lang w:eastAsia="ja-JP"/>
        </w:rPr>
        <w:t>4</w:t>
      </w:r>
      <w:r>
        <w:rPr>
          <w:lang w:eastAsia="ja-JP"/>
        </w:rPr>
        <w:t>.</w:t>
      </w:r>
      <w:proofErr w:type="gramEnd"/>
      <w:r w:rsidRPr="002E2E35">
        <w:rPr>
          <w:lang w:eastAsia="ja-JP"/>
        </w:rPr>
        <w:t xml:space="preserve"> Studies providing </w:t>
      </w:r>
      <w:proofErr w:type="spellStart"/>
      <w:r w:rsidRPr="002E2E35">
        <w:rPr>
          <w:lang w:eastAsia="ja-JP"/>
        </w:rPr>
        <w:t>pharmacodynamic</w:t>
      </w:r>
      <w:proofErr w:type="spellEnd"/>
      <w:r w:rsidRPr="002E2E35">
        <w:rPr>
          <w:lang w:eastAsia="ja-JP"/>
        </w:rPr>
        <w:t xml:space="preserve"> data</w:t>
      </w:r>
      <w:bookmarkEnd w:id="65"/>
    </w:p>
    <w:tbl>
      <w:tblPr>
        <w:tblStyle w:val="TableTGAblue"/>
        <w:tblW w:w="0" w:type="auto"/>
        <w:tblLook w:val="04A0" w:firstRow="1" w:lastRow="0" w:firstColumn="1" w:lastColumn="0" w:noHBand="0" w:noVBand="1"/>
      </w:tblPr>
      <w:tblGrid>
        <w:gridCol w:w="1998"/>
        <w:gridCol w:w="5666"/>
      </w:tblGrid>
      <w:tr w:rsidR="00296591" w:rsidRPr="002E2E35" w14:paraId="4A41B2A4" w14:textId="77777777" w:rsidTr="00D95014">
        <w:trPr>
          <w:cnfStyle w:val="100000000000" w:firstRow="1" w:lastRow="0" w:firstColumn="0" w:lastColumn="0" w:oddVBand="0" w:evenVBand="0" w:oddHBand="0" w:evenHBand="0" w:firstRowFirstColumn="0" w:firstRowLastColumn="0" w:lastRowFirstColumn="0" w:lastRowLastColumn="0"/>
        </w:trPr>
        <w:tc>
          <w:tcPr>
            <w:tcW w:w="1998" w:type="dxa"/>
          </w:tcPr>
          <w:p w14:paraId="0B6B1A5B" w14:textId="77777777" w:rsidR="00296591" w:rsidRPr="002E2E35" w:rsidRDefault="00296591" w:rsidP="00AA7A13">
            <w:pPr>
              <w:rPr>
                <w:lang w:eastAsia="ja-JP"/>
              </w:rPr>
            </w:pPr>
            <w:r w:rsidRPr="002E2E35">
              <w:rPr>
                <w:lang w:eastAsia="ja-JP"/>
              </w:rPr>
              <w:t>Study Identifier</w:t>
            </w:r>
          </w:p>
        </w:tc>
        <w:tc>
          <w:tcPr>
            <w:tcW w:w="5666" w:type="dxa"/>
          </w:tcPr>
          <w:p w14:paraId="26DEBE92" w14:textId="77777777" w:rsidR="00296591" w:rsidRPr="002E2E35" w:rsidRDefault="00296591" w:rsidP="00AA7A13">
            <w:pPr>
              <w:rPr>
                <w:lang w:eastAsia="ja-JP"/>
              </w:rPr>
            </w:pPr>
            <w:r>
              <w:rPr>
                <w:lang w:eastAsia="ja-JP"/>
              </w:rPr>
              <w:t>Sub</w:t>
            </w:r>
            <w:r w:rsidRPr="002E2E35">
              <w:rPr>
                <w:lang w:eastAsia="ja-JP"/>
              </w:rPr>
              <w:t>topics</w:t>
            </w:r>
          </w:p>
        </w:tc>
      </w:tr>
      <w:tr w:rsidR="00296591" w:rsidRPr="002E2E35" w14:paraId="6DDD7547" w14:textId="77777777" w:rsidTr="00D95014">
        <w:tc>
          <w:tcPr>
            <w:tcW w:w="1998" w:type="dxa"/>
          </w:tcPr>
          <w:p w14:paraId="556F21FB" w14:textId="77777777" w:rsidR="00296591" w:rsidRPr="002E2E35" w:rsidRDefault="00296591" w:rsidP="00AA7A13">
            <w:pPr>
              <w:rPr>
                <w:lang w:eastAsia="ja-JP"/>
              </w:rPr>
            </w:pPr>
            <w:r w:rsidRPr="002E2E35">
              <w:rPr>
                <w:lang w:eastAsia="ja-JP"/>
              </w:rPr>
              <w:t>CA209025</w:t>
            </w:r>
          </w:p>
        </w:tc>
        <w:tc>
          <w:tcPr>
            <w:tcW w:w="5666" w:type="dxa"/>
          </w:tcPr>
          <w:p w14:paraId="2377834F" w14:textId="77777777" w:rsidR="00296591" w:rsidRPr="002E2E35" w:rsidRDefault="00296591" w:rsidP="00AA7A13">
            <w:pPr>
              <w:rPr>
                <w:lang w:eastAsia="ja-JP"/>
              </w:rPr>
            </w:pPr>
            <w:r w:rsidRPr="002E2E35">
              <w:rPr>
                <w:lang w:eastAsia="ja-JP"/>
              </w:rPr>
              <w:t>Immunogenicity</w:t>
            </w:r>
          </w:p>
          <w:p w14:paraId="3AF54178" w14:textId="77777777" w:rsidR="00296591" w:rsidRPr="002E2E35" w:rsidRDefault="00296591" w:rsidP="00AA7A13">
            <w:pPr>
              <w:rPr>
                <w:lang w:eastAsia="ja-JP"/>
              </w:rPr>
            </w:pPr>
            <w:r w:rsidRPr="002E2E35">
              <w:rPr>
                <w:lang w:eastAsia="ja-JP"/>
              </w:rPr>
              <w:t>Biomarker assessment and PD-L1 expression</w:t>
            </w:r>
          </w:p>
        </w:tc>
      </w:tr>
      <w:tr w:rsidR="00296591" w:rsidRPr="002E2E35" w14:paraId="690863D3" w14:textId="77777777" w:rsidTr="00D95014">
        <w:tc>
          <w:tcPr>
            <w:tcW w:w="1998" w:type="dxa"/>
          </w:tcPr>
          <w:p w14:paraId="63E91914" w14:textId="77777777" w:rsidR="00296591" w:rsidRPr="002E2E35" w:rsidRDefault="00296591" w:rsidP="00AA7A13">
            <w:pPr>
              <w:rPr>
                <w:lang w:eastAsia="ja-JP"/>
              </w:rPr>
            </w:pPr>
            <w:r w:rsidRPr="002E2E35">
              <w:rPr>
                <w:lang w:eastAsia="ja-JP"/>
              </w:rPr>
              <w:t>CA209010</w:t>
            </w:r>
          </w:p>
        </w:tc>
        <w:tc>
          <w:tcPr>
            <w:tcW w:w="5666" w:type="dxa"/>
          </w:tcPr>
          <w:p w14:paraId="007410E0" w14:textId="77777777" w:rsidR="00296591" w:rsidRPr="002E2E35" w:rsidRDefault="00296591" w:rsidP="00AA7A13">
            <w:pPr>
              <w:rPr>
                <w:lang w:eastAsia="ja-JP"/>
              </w:rPr>
            </w:pPr>
            <w:r w:rsidRPr="002E2E35">
              <w:rPr>
                <w:lang w:eastAsia="ja-JP"/>
              </w:rPr>
              <w:t>QT prolongation</w:t>
            </w:r>
          </w:p>
          <w:p w14:paraId="7FB81778" w14:textId="77777777" w:rsidR="00296591" w:rsidRPr="002E2E35" w:rsidRDefault="00296591" w:rsidP="00AA7A13">
            <w:pPr>
              <w:rPr>
                <w:lang w:eastAsia="ja-JP"/>
              </w:rPr>
            </w:pPr>
            <w:r w:rsidRPr="002E2E35">
              <w:rPr>
                <w:lang w:eastAsia="ja-JP"/>
              </w:rPr>
              <w:t>PD-L1 expression</w:t>
            </w:r>
          </w:p>
          <w:p w14:paraId="54695C57" w14:textId="77777777" w:rsidR="00296591" w:rsidRPr="002E2E35" w:rsidRDefault="00296591" w:rsidP="00AA7A13">
            <w:pPr>
              <w:rPr>
                <w:lang w:eastAsia="ja-JP"/>
              </w:rPr>
            </w:pPr>
            <w:r w:rsidRPr="002E2E35">
              <w:rPr>
                <w:lang w:eastAsia="ja-JP"/>
              </w:rPr>
              <w:t>Immunogenicity</w:t>
            </w:r>
          </w:p>
        </w:tc>
      </w:tr>
      <w:tr w:rsidR="00296591" w:rsidRPr="002E2E35" w14:paraId="50E690D3" w14:textId="77777777" w:rsidTr="00D95014">
        <w:tc>
          <w:tcPr>
            <w:tcW w:w="1998" w:type="dxa"/>
          </w:tcPr>
          <w:p w14:paraId="01EA76EA" w14:textId="77777777" w:rsidR="00296591" w:rsidRPr="002E2E35" w:rsidRDefault="00296591" w:rsidP="00AA7A13">
            <w:pPr>
              <w:rPr>
                <w:lang w:eastAsia="ja-JP"/>
              </w:rPr>
            </w:pPr>
            <w:r w:rsidRPr="002E2E35">
              <w:rPr>
                <w:lang w:eastAsia="ja-JP"/>
              </w:rPr>
              <w:lastRenderedPageBreak/>
              <w:t>CA209009</w:t>
            </w:r>
          </w:p>
        </w:tc>
        <w:tc>
          <w:tcPr>
            <w:tcW w:w="5666" w:type="dxa"/>
          </w:tcPr>
          <w:p w14:paraId="1AE099A5" w14:textId="77777777" w:rsidR="00296591" w:rsidRPr="002E2E35" w:rsidRDefault="00296591" w:rsidP="00AA7A13">
            <w:pPr>
              <w:rPr>
                <w:lang w:eastAsia="ja-JP"/>
              </w:rPr>
            </w:pPr>
            <w:r w:rsidRPr="002E2E35">
              <w:rPr>
                <w:lang w:eastAsia="ja-JP"/>
              </w:rPr>
              <w:t>Immunomodulatory activity (including serum chemokine and cytokine levels, tumour infiltration by lymphocyte subsets)</w:t>
            </w:r>
          </w:p>
          <w:p w14:paraId="35730FFC" w14:textId="77777777" w:rsidR="00296591" w:rsidRPr="002E2E35" w:rsidRDefault="00296591" w:rsidP="00AA7A13">
            <w:pPr>
              <w:rPr>
                <w:bCs/>
                <w:lang w:eastAsia="ja-JP"/>
              </w:rPr>
            </w:pPr>
            <w:r w:rsidRPr="002E2E35">
              <w:rPr>
                <w:bCs/>
                <w:lang w:eastAsia="ja-JP"/>
              </w:rPr>
              <w:t>Immunogenicity</w:t>
            </w:r>
          </w:p>
          <w:p w14:paraId="1A38F424" w14:textId="77777777" w:rsidR="00296591" w:rsidRPr="002E2E35" w:rsidRDefault="00296591" w:rsidP="00AA7A13">
            <w:pPr>
              <w:rPr>
                <w:lang w:eastAsia="ja-JP"/>
              </w:rPr>
            </w:pPr>
            <w:r w:rsidRPr="002E2E35">
              <w:rPr>
                <w:lang w:eastAsia="ja-JP"/>
              </w:rPr>
              <w:t>Receptor occupancy</w:t>
            </w:r>
          </w:p>
          <w:p w14:paraId="15FAC865" w14:textId="77777777" w:rsidR="00296591" w:rsidRPr="002E2E35" w:rsidRDefault="00296591" w:rsidP="00AA7A13">
            <w:pPr>
              <w:rPr>
                <w:lang w:eastAsia="ja-JP"/>
              </w:rPr>
            </w:pPr>
            <w:r w:rsidRPr="002E2E35">
              <w:rPr>
                <w:lang w:eastAsia="ja-JP"/>
              </w:rPr>
              <w:t>PD-L1 tumour expression</w:t>
            </w:r>
          </w:p>
        </w:tc>
      </w:tr>
    </w:tbl>
    <w:p w14:paraId="16768171" w14:textId="77777777" w:rsidR="00605AD4" w:rsidRDefault="00605AD4" w:rsidP="00605AD4">
      <w:pPr>
        <w:pStyle w:val="Heading4"/>
      </w:pPr>
      <w:r>
        <w:t>Evaluator’s conclusions on pharmacodynamics</w:t>
      </w:r>
    </w:p>
    <w:p w14:paraId="71218734" w14:textId="77777777" w:rsidR="0058502F" w:rsidRPr="002E2E35" w:rsidRDefault="0058502F" w:rsidP="0058502F">
      <w:pPr>
        <w:rPr>
          <w:lang w:eastAsia="ja-JP"/>
        </w:rPr>
      </w:pPr>
      <w:r w:rsidRPr="002E2E35">
        <w:rPr>
          <w:lang w:eastAsia="ja-JP"/>
        </w:rPr>
        <w:t>Some major questions are raised by the pharmacodynamics information that is available:</w:t>
      </w:r>
    </w:p>
    <w:p w14:paraId="2E4CCAC8" w14:textId="77777777" w:rsidR="0058502F" w:rsidRPr="002E2E35" w:rsidRDefault="0058502F" w:rsidP="000E4CDF">
      <w:pPr>
        <w:pStyle w:val="Numberbullet0"/>
        <w:numPr>
          <w:ilvl w:val="0"/>
          <w:numId w:val="20"/>
        </w:numPr>
        <w:rPr>
          <w:lang w:eastAsia="ja-JP"/>
        </w:rPr>
      </w:pPr>
      <w:r w:rsidRPr="002E2E35">
        <w:rPr>
          <w:lang w:eastAsia="ja-JP"/>
        </w:rPr>
        <w:t>The postulated mechanism of action does not appear to be confirmed</w:t>
      </w:r>
    </w:p>
    <w:p w14:paraId="530C1BEB" w14:textId="5E0BE9CB" w:rsidR="0058502F" w:rsidRPr="002E2E35" w:rsidRDefault="0058502F" w:rsidP="000E4CDF">
      <w:pPr>
        <w:pStyle w:val="Numberbullet0"/>
        <w:numPr>
          <w:ilvl w:val="0"/>
          <w:numId w:val="19"/>
        </w:numPr>
        <w:rPr>
          <w:lang w:eastAsia="ja-JP"/>
        </w:rPr>
      </w:pPr>
      <w:r w:rsidRPr="002E2E35">
        <w:rPr>
          <w:lang w:eastAsia="ja-JP"/>
        </w:rPr>
        <w:t>The do</w:t>
      </w:r>
      <w:r w:rsidR="0066352C">
        <w:rPr>
          <w:lang w:eastAsia="ja-JP"/>
        </w:rPr>
        <w:t>sing interval selected for the P</w:t>
      </w:r>
      <w:r w:rsidRPr="002E2E35">
        <w:rPr>
          <w:lang w:eastAsia="ja-JP"/>
        </w:rPr>
        <w:t xml:space="preserve">hase </w:t>
      </w:r>
      <w:r w:rsidR="0066352C">
        <w:rPr>
          <w:lang w:eastAsia="ja-JP"/>
        </w:rPr>
        <w:t>III</w:t>
      </w:r>
      <w:r w:rsidRPr="002E2E35">
        <w:rPr>
          <w:lang w:eastAsia="ja-JP"/>
        </w:rPr>
        <w:t xml:space="preserve"> studies does not appear to be consistent with the pharmacodynamics of receptor interaction, a key component of the postulated mechanism of action</w:t>
      </w:r>
    </w:p>
    <w:p w14:paraId="1297E83B" w14:textId="3489F63F" w:rsidR="0058502F" w:rsidRPr="00EF2B33" w:rsidRDefault="002A7918" w:rsidP="000E4CDF">
      <w:pPr>
        <w:pStyle w:val="Numberbullet0"/>
        <w:numPr>
          <w:ilvl w:val="0"/>
          <w:numId w:val="6"/>
        </w:numPr>
        <w:rPr>
          <w:lang w:eastAsia="ja-JP"/>
        </w:rPr>
      </w:pPr>
      <w:r>
        <w:rPr>
          <w:lang w:eastAsia="ja-JP"/>
        </w:rPr>
        <w:t>The dose chosen for the P</w:t>
      </w:r>
      <w:r w:rsidR="0058502F" w:rsidRPr="002E2E35">
        <w:rPr>
          <w:lang w:eastAsia="ja-JP"/>
        </w:rPr>
        <w:t xml:space="preserve">hase </w:t>
      </w:r>
      <w:r>
        <w:rPr>
          <w:lang w:eastAsia="ja-JP"/>
        </w:rPr>
        <w:t>III</w:t>
      </w:r>
      <w:r w:rsidR="0058502F" w:rsidRPr="002E2E35">
        <w:rPr>
          <w:lang w:eastAsia="ja-JP"/>
        </w:rPr>
        <w:t xml:space="preserve"> study in advanced </w:t>
      </w:r>
      <w:r>
        <w:rPr>
          <w:lang w:eastAsia="ja-JP"/>
        </w:rPr>
        <w:t>RCC</w:t>
      </w:r>
      <w:r w:rsidR="0058502F" w:rsidRPr="002E2E35">
        <w:rPr>
          <w:lang w:eastAsia="ja-JP"/>
        </w:rPr>
        <w:t xml:space="preserve"> may be greater than required. Unnecessarily large dosing and excessively frequent dosing may expose the patient to greater risk of adverse consequences.</w:t>
      </w:r>
    </w:p>
    <w:p w14:paraId="68B4DB73" w14:textId="77777777" w:rsidR="0058502F" w:rsidRPr="002E2E35" w:rsidRDefault="0058502F" w:rsidP="005C2A2D">
      <w:pPr>
        <w:pStyle w:val="Heading5"/>
      </w:pPr>
      <w:r>
        <w:t>Mechanism of a</w:t>
      </w:r>
      <w:r w:rsidRPr="002E2E35">
        <w:t>ction</w:t>
      </w:r>
    </w:p>
    <w:p w14:paraId="7D53B792" w14:textId="77777777" w:rsidR="0058502F" w:rsidRPr="002E2E35" w:rsidRDefault="0058502F" w:rsidP="0058502F">
      <w:pPr>
        <w:rPr>
          <w:lang w:eastAsia="ja-JP"/>
        </w:rPr>
      </w:pPr>
      <w:r w:rsidRPr="002E2E35">
        <w:rPr>
          <w:lang w:eastAsia="ja-JP"/>
        </w:rPr>
        <w:t xml:space="preserve">The sponsor has not confirmed the mechanism of action. It is postulated that </w:t>
      </w:r>
      <w:proofErr w:type="spellStart"/>
      <w:r w:rsidRPr="002E2E35">
        <w:rPr>
          <w:lang w:eastAsia="ja-JP"/>
        </w:rPr>
        <w:t>nivolumab</w:t>
      </w:r>
      <w:proofErr w:type="spellEnd"/>
      <w:r w:rsidRPr="002E2E35">
        <w:rPr>
          <w:lang w:eastAsia="ja-JP"/>
        </w:rPr>
        <w:t xml:space="preserve"> blocks the interaction between PD-L1 expressed on tumour cells and the PD-1 receptor on activated lymphocytes, with this resulting in immune-mediated destruction of tumour cells.</w:t>
      </w:r>
    </w:p>
    <w:p w14:paraId="0FB6525B" w14:textId="5B6B82FE" w:rsidR="0058502F" w:rsidRPr="002E2E35" w:rsidRDefault="0058502F" w:rsidP="0058502F">
      <w:pPr>
        <w:rPr>
          <w:lang w:eastAsia="ja-JP"/>
        </w:rPr>
      </w:pPr>
      <w:r w:rsidRPr="002E2E35">
        <w:rPr>
          <w:lang w:eastAsia="ja-JP"/>
        </w:rPr>
        <w:t>The human immune system is immensely complicated and not fully understood. Immune-mediated cellular destruction would be expected to be accompanied by the release of a variety of cytokines and by changes in the sub-populations of lymphocytes</w:t>
      </w:r>
      <w:r w:rsidR="002A7918">
        <w:rPr>
          <w:lang w:eastAsia="ja-JP"/>
        </w:rPr>
        <w:t>, for example</w:t>
      </w:r>
      <w:r w:rsidRPr="002E2E35">
        <w:rPr>
          <w:lang w:eastAsia="ja-JP"/>
        </w:rPr>
        <w:t xml:space="preserve"> activated helper T cells (CD4+) may release a </w:t>
      </w:r>
      <w:r>
        <w:rPr>
          <w:lang w:eastAsia="ja-JP"/>
        </w:rPr>
        <w:t xml:space="preserve">variety of interleukins (IL 4, 5, 6, 10, and </w:t>
      </w:r>
      <w:r w:rsidRPr="002E2E35">
        <w:rPr>
          <w:lang w:eastAsia="ja-JP"/>
        </w:rPr>
        <w:t>13) and, once activated, cytotoxic T cells (CD8+) undergo rapid clonal expansion, with this evident</w:t>
      </w:r>
      <w:r>
        <w:rPr>
          <w:lang w:eastAsia="ja-JP"/>
        </w:rPr>
        <w:t xml:space="preserve"> in the peripheral circulation.</w:t>
      </w:r>
      <w:r w:rsidR="002A7918">
        <w:rPr>
          <w:rStyle w:val="FootnoteReference"/>
          <w:lang w:eastAsia="ja-JP"/>
        </w:rPr>
        <w:footnoteReference w:id="8"/>
      </w:r>
    </w:p>
    <w:p w14:paraId="60821957" w14:textId="77777777" w:rsidR="0058502F" w:rsidRPr="002E2E35" w:rsidRDefault="0058502F" w:rsidP="0058502F">
      <w:pPr>
        <w:rPr>
          <w:lang w:eastAsia="ja-JP"/>
        </w:rPr>
      </w:pPr>
      <w:r w:rsidRPr="002E2E35">
        <w:rPr>
          <w:lang w:eastAsia="ja-JP"/>
        </w:rPr>
        <w:t>The essential steps of the postulated mechanism of action are that:</w:t>
      </w:r>
    </w:p>
    <w:p w14:paraId="7A1305DA" w14:textId="77777777" w:rsidR="0058502F" w:rsidRPr="002E2E35" w:rsidRDefault="0058502F" w:rsidP="000E4CDF">
      <w:pPr>
        <w:pStyle w:val="Numberbullet0"/>
        <w:numPr>
          <w:ilvl w:val="0"/>
          <w:numId w:val="6"/>
        </w:numPr>
        <w:rPr>
          <w:lang w:eastAsia="ja-JP"/>
        </w:rPr>
      </w:pPr>
      <w:proofErr w:type="spellStart"/>
      <w:r w:rsidRPr="002E2E35">
        <w:rPr>
          <w:lang w:eastAsia="ja-JP"/>
        </w:rPr>
        <w:t>Nivolumab</w:t>
      </w:r>
      <w:proofErr w:type="spellEnd"/>
      <w:r w:rsidRPr="002E2E35">
        <w:rPr>
          <w:lang w:eastAsia="ja-JP"/>
        </w:rPr>
        <w:t xml:space="preserve"> binds to the PD-1 receptor</w:t>
      </w:r>
    </w:p>
    <w:p w14:paraId="46D487F0" w14:textId="77777777" w:rsidR="0058502F" w:rsidRPr="002E2E35" w:rsidRDefault="0058502F" w:rsidP="000E4CDF">
      <w:pPr>
        <w:pStyle w:val="Numberbullet0"/>
        <w:numPr>
          <w:ilvl w:val="0"/>
          <w:numId w:val="6"/>
        </w:numPr>
        <w:rPr>
          <w:lang w:eastAsia="ja-JP"/>
        </w:rPr>
      </w:pPr>
      <w:r w:rsidRPr="002E2E35">
        <w:rPr>
          <w:lang w:eastAsia="ja-JP"/>
        </w:rPr>
        <w:t xml:space="preserve"> PD-L1 and PD-L2 are expressed on tumour cells</w:t>
      </w:r>
    </w:p>
    <w:p w14:paraId="626FD2E2" w14:textId="77777777" w:rsidR="0058502F" w:rsidRPr="002E2E35" w:rsidRDefault="0058502F" w:rsidP="000E4CDF">
      <w:pPr>
        <w:pStyle w:val="Numberbullet0"/>
        <w:numPr>
          <w:ilvl w:val="0"/>
          <w:numId w:val="6"/>
        </w:numPr>
        <w:rPr>
          <w:lang w:eastAsia="ja-JP"/>
        </w:rPr>
      </w:pPr>
      <w:r w:rsidRPr="002E2E35">
        <w:rPr>
          <w:lang w:eastAsia="ja-JP"/>
        </w:rPr>
        <w:t xml:space="preserve">Binding of </w:t>
      </w:r>
      <w:proofErr w:type="spellStart"/>
      <w:r w:rsidRPr="002E2E35">
        <w:rPr>
          <w:lang w:eastAsia="ja-JP"/>
        </w:rPr>
        <w:t>nivolumab</w:t>
      </w:r>
      <w:proofErr w:type="spellEnd"/>
      <w:r w:rsidRPr="002E2E35">
        <w:rPr>
          <w:lang w:eastAsia="ja-JP"/>
        </w:rPr>
        <w:t xml:space="preserve"> to the PD-1 receptor blocks the interaction between PD-L1 and PD-L2 on tumour cells, thereby enabling destruction of the tumour cells by immune cells.</w:t>
      </w:r>
    </w:p>
    <w:p w14:paraId="76FA19FD" w14:textId="77777777" w:rsidR="0058502F" w:rsidRPr="002E2E35" w:rsidRDefault="0058502F" w:rsidP="0058502F">
      <w:pPr>
        <w:rPr>
          <w:lang w:eastAsia="ja-JP"/>
        </w:rPr>
      </w:pPr>
      <w:r w:rsidRPr="002E2E35">
        <w:rPr>
          <w:lang w:eastAsia="ja-JP"/>
        </w:rPr>
        <w:t>This mechanism of action has been investigated in the clinical trial programme through measurement of receptor occupancy, measurement for changes in cytokine levels, chemokine levels and lymphocyte populations and measurement of PD-L1 expression on tumour cells, with correlation of the latter to clinical efficacy.</w:t>
      </w:r>
    </w:p>
    <w:p w14:paraId="73C402B5" w14:textId="77777777" w:rsidR="0058502F" w:rsidRPr="002E2E35" w:rsidRDefault="0058502F" w:rsidP="0058502F">
      <w:pPr>
        <w:pStyle w:val="Heading5"/>
        <w:numPr>
          <w:ilvl w:val="3"/>
          <w:numId w:val="0"/>
        </w:numPr>
        <w:tabs>
          <w:tab w:val="num" w:pos="1418"/>
        </w:tabs>
        <w:ind w:left="1304" w:hanging="1077"/>
        <w:rPr>
          <w:lang w:eastAsia="ja-JP"/>
        </w:rPr>
      </w:pPr>
      <w:r w:rsidRPr="002E2E35">
        <w:rPr>
          <w:lang w:eastAsia="ja-JP"/>
        </w:rPr>
        <w:lastRenderedPageBreak/>
        <w:t>Receptor occupancy</w:t>
      </w:r>
    </w:p>
    <w:p w14:paraId="41A8C713" w14:textId="1F2A5A08" w:rsidR="0058502F" w:rsidRPr="002E2E35" w:rsidRDefault="0058502F" w:rsidP="0058502F">
      <w:pPr>
        <w:rPr>
          <w:lang w:eastAsia="ja-JP"/>
        </w:rPr>
      </w:pPr>
      <w:r w:rsidRPr="002E2E35">
        <w:rPr>
          <w:lang w:eastAsia="ja-JP"/>
        </w:rPr>
        <w:t xml:space="preserve">PD-1 receptor occupancy by </w:t>
      </w:r>
      <w:proofErr w:type="spellStart"/>
      <w:r w:rsidRPr="002E2E35">
        <w:rPr>
          <w:lang w:eastAsia="ja-JP"/>
        </w:rPr>
        <w:t>nivolumab</w:t>
      </w:r>
      <w:proofErr w:type="spellEnd"/>
      <w:r w:rsidRPr="002E2E35">
        <w:rPr>
          <w:lang w:eastAsia="ja-JP"/>
        </w:rPr>
        <w:t xml:space="preserve"> has been shown to be dose independent and to be both prolonged and avid. The time course of receptor occu</w:t>
      </w:r>
      <w:r w:rsidR="0066352C">
        <w:rPr>
          <w:lang w:eastAsia="ja-JP"/>
        </w:rPr>
        <w:t>pancy was investigated in Study </w:t>
      </w:r>
      <w:r w:rsidRPr="002E2E35">
        <w:rPr>
          <w:lang w:eastAsia="ja-JP"/>
        </w:rPr>
        <w:t xml:space="preserve">CA209003. This found that after a single dose of </w:t>
      </w:r>
      <w:proofErr w:type="spellStart"/>
      <w:r w:rsidRPr="002E2E35">
        <w:rPr>
          <w:lang w:eastAsia="ja-JP"/>
        </w:rPr>
        <w:t>nivolumab</w:t>
      </w:r>
      <w:proofErr w:type="spellEnd"/>
      <w:r w:rsidRPr="002E2E35">
        <w:rPr>
          <w:lang w:eastAsia="ja-JP"/>
        </w:rPr>
        <w:t xml:space="preserve">, a prolonged mean plateau occupancy of greater than 70% was observed, with this persisting even when serum levels of </w:t>
      </w:r>
      <w:proofErr w:type="spellStart"/>
      <w:r w:rsidRPr="002E2E35">
        <w:rPr>
          <w:lang w:eastAsia="ja-JP"/>
        </w:rPr>
        <w:t>nivolumab</w:t>
      </w:r>
      <w:proofErr w:type="spellEnd"/>
      <w:r w:rsidRPr="002E2E35">
        <w:rPr>
          <w:lang w:eastAsia="ja-JP"/>
        </w:rPr>
        <w:t xml:space="preserve"> were undetectable and that occupancy </w:t>
      </w:r>
      <w:r>
        <w:rPr>
          <w:i/>
          <w:lang w:eastAsia="ja-JP"/>
        </w:rPr>
        <w:t>‘</w:t>
      </w:r>
      <w:r w:rsidRPr="002E2E35">
        <w:rPr>
          <w:i/>
          <w:lang w:eastAsia="ja-JP"/>
        </w:rPr>
        <w:t>eventually decayed after 85 days</w:t>
      </w:r>
      <w:r>
        <w:rPr>
          <w:lang w:eastAsia="ja-JP"/>
        </w:rPr>
        <w:t>’</w:t>
      </w:r>
      <w:r w:rsidR="004D3211">
        <w:rPr>
          <w:lang w:eastAsia="ja-JP"/>
        </w:rPr>
        <w:t>. In S</w:t>
      </w:r>
      <w:r w:rsidRPr="002E2E35">
        <w:rPr>
          <w:lang w:eastAsia="ja-JP"/>
        </w:rPr>
        <w:t>tudy CA209009, receptor occupancy with multiple dosing was found to be around 90% within one hour of dose administration and to remain at this level with all subsequent doses. Receptor occupancy was not dose related and there was no decline prior to the next dose (administered every three weeks).</w:t>
      </w:r>
    </w:p>
    <w:p w14:paraId="02E9FE58" w14:textId="1A6F4E08" w:rsidR="0058502F" w:rsidRPr="002E2E35" w:rsidRDefault="0058502F" w:rsidP="0058502F">
      <w:pPr>
        <w:rPr>
          <w:lang w:eastAsia="ja-JP"/>
        </w:rPr>
      </w:pPr>
      <w:r w:rsidRPr="002E2E35">
        <w:rPr>
          <w:lang w:eastAsia="ja-JP"/>
        </w:rPr>
        <w:t>P</w:t>
      </w:r>
      <w:r w:rsidR="0066352C">
        <w:rPr>
          <w:lang w:eastAsia="ja-JP"/>
        </w:rPr>
        <w:t>K</w:t>
      </w:r>
      <w:r w:rsidRPr="002E2E35">
        <w:rPr>
          <w:lang w:eastAsia="ja-JP"/>
        </w:rPr>
        <w:t xml:space="preserve"> studies have</w:t>
      </w:r>
      <w:r w:rsidR="0066352C">
        <w:rPr>
          <w:lang w:eastAsia="ja-JP"/>
        </w:rPr>
        <w:t xml:space="preserve"> demonstrated a half-</w:t>
      </w:r>
      <w:r>
        <w:rPr>
          <w:lang w:eastAsia="ja-JP"/>
        </w:rPr>
        <w:t xml:space="preserve">life of 12 to </w:t>
      </w:r>
      <w:r w:rsidRPr="002E2E35">
        <w:rPr>
          <w:lang w:eastAsia="ja-JP"/>
        </w:rPr>
        <w:t xml:space="preserve">20 days, with this dose dependent. Given the apparently avid binding of </w:t>
      </w:r>
      <w:proofErr w:type="spellStart"/>
      <w:r w:rsidRPr="002E2E35">
        <w:rPr>
          <w:lang w:eastAsia="ja-JP"/>
        </w:rPr>
        <w:t>nivolumab</w:t>
      </w:r>
      <w:proofErr w:type="spellEnd"/>
      <w:r w:rsidRPr="002E2E35">
        <w:rPr>
          <w:lang w:eastAsia="ja-JP"/>
        </w:rPr>
        <w:t xml:space="preserve"> to the PD-1 receptor, as shown by the prolonged high occupancy, the duration of </w:t>
      </w:r>
      <w:proofErr w:type="spellStart"/>
      <w:r w:rsidRPr="002E2E35">
        <w:rPr>
          <w:lang w:eastAsia="ja-JP"/>
        </w:rPr>
        <w:t>pharmacodynamic</w:t>
      </w:r>
      <w:proofErr w:type="spellEnd"/>
      <w:r w:rsidRPr="002E2E35">
        <w:rPr>
          <w:lang w:eastAsia="ja-JP"/>
        </w:rPr>
        <w:t xml:space="preserve"> effects can therefore be expected to last much longer than the half-life of </w:t>
      </w:r>
      <w:proofErr w:type="spellStart"/>
      <w:r w:rsidRPr="002E2E35">
        <w:rPr>
          <w:lang w:eastAsia="ja-JP"/>
        </w:rPr>
        <w:t>nivolumab</w:t>
      </w:r>
      <w:proofErr w:type="spellEnd"/>
      <w:r w:rsidRPr="002E2E35">
        <w:rPr>
          <w:lang w:eastAsia="ja-JP"/>
        </w:rPr>
        <w:t xml:space="preserve"> in the circulation. The dosing interva</w:t>
      </w:r>
      <w:r>
        <w:rPr>
          <w:lang w:eastAsia="ja-JP"/>
        </w:rPr>
        <w:t xml:space="preserve">l chosen for </w:t>
      </w:r>
      <w:proofErr w:type="spellStart"/>
      <w:r>
        <w:rPr>
          <w:lang w:eastAsia="ja-JP"/>
        </w:rPr>
        <w:t>nivolumab</w:t>
      </w:r>
      <w:proofErr w:type="spellEnd"/>
      <w:r>
        <w:rPr>
          <w:lang w:eastAsia="ja-JP"/>
        </w:rPr>
        <w:t xml:space="preserve"> for the Phase III</w:t>
      </w:r>
      <w:r w:rsidRPr="002E2E35">
        <w:rPr>
          <w:lang w:eastAsia="ja-JP"/>
        </w:rPr>
        <w:t xml:space="preserve"> studies of 14 days appears to have been based on the pharmacokinetic measure and may be considerably more frequent than required. Receptor occupancy would be the major factor in the postulated mechanism of action and the dosing interval would more appropriately be based on the duration of this occupancy than the </w:t>
      </w:r>
      <w:r>
        <w:rPr>
          <w:lang w:eastAsia="ja-JP"/>
        </w:rPr>
        <w:t xml:space="preserve">half-life of free </w:t>
      </w:r>
      <w:proofErr w:type="spellStart"/>
      <w:r>
        <w:rPr>
          <w:lang w:eastAsia="ja-JP"/>
        </w:rPr>
        <w:t>nivolumab</w:t>
      </w:r>
      <w:proofErr w:type="spellEnd"/>
      <w:r>
        <w:rPr>
          <w:lang w:eastAsia="ja-JP"/>
        </w:rPr>
        <w:t xml:space="preserve"> in t</w:t>
      </w:r>
      <w:r w:rsidRPr="002E2E35">
        <w:rPr>
          <w:lang w:eastAsia="ja-JP"/>
        </w:rPr>
        <w:t>he circulation.</w:t>
      </w:r>
    </w:p>
    <w:p w14:paraId="65CF32A9" w14:textId="77777777" w:rsidR="0058502F" w:rsidRPr="002E2E35" w:rsidRDefault="0058502F" w:rsidP="005C2A2D">
      <w:pPr>
        <w:pStyle w:val="Heading5"/>
      </w:pPr>
      <w:r w:rsidRPr="002E2E35">
        <w:t>Cytokine levels and lymphocyte populations</w:t>
      </w:r>
    </w:p>
    <w:p w14:paraId="58D75C2E" w14:textId="0D77CA06" w:rsidR="0058502F" w:rsidRPr="005C2A2D" w:rsidRDefault="0058502F" w:rsidP="005C2A2D">
      <w:r w:rsidRPr="002E2E35">
        <w:rPr>
          <w:lang w:eastAsia="ja-JP"/>
        </w:rPr>
        <w:t xml:space="preserve">Apart from an elevation in the levels of two chemokines (CXCL-9 and CXCL-10) that was described in patients receiving </w:t>
      </w:r>
      <w:proofErr w:type="spellStart"/>
      <w:r w:rsidRPr="002E2E35">
        <w:rPr>
          <w:lang w:eastAsia="ja-JP"/>
        </w:rPr>
        <w:t>nivolumab</w:t>
      </w:r>
      <w:proofErr w:type="spellEnd"/>
      <w:r w:rsidRPr="002E2E35">
        <w:rPr>
          <w:lang w:eastAsia="ja-JP"/>
        </w:rPr>
        <w:t xml:space="preserve"> for renal cell carcinoma</w:t>
      </w:r>
      <w:r>
        <w:rPr>
          <w:lang w:eastAsia="ja-JP"/>
        </w:rPr>
        <w:t xml:space="preserve"> </w:t>
      </w:r>
      <w:r w:rsidRPr="002E2E35">
        <w:rPr>
          <w:lang w:eastAsia="ja-JP"/>
        </w:rPr>
        <w:t>(Study CA209009), no notable changes in either cytokine levels or other markers of immunological activity (</w:t>
      </w:r>
      <w:r>
        <w:rPr>
          <w:lang w:eastAsia="ja-JP"/>
        </w:rPr>
        <w:t>for example</w:t>
      </w:r>
      <w:r w:rsidRPr="002E2E35">
        <w:rPr>
          <w:lang w:eastAsia="ja-JP"/>
        </w:rPr>
        <w:t xml:space="preserve"> C</w:t>
      </w:r>
      <w:r w:rsidR="0066352C">
        <w:rPr>
          <w:lang w:eastAsia="ja-JP"/>
        </w:rPr>
        <w:t>-reactive protein</w:t>
      </w:r>
      <w:r w:rsidRPr="002E2E35">
        <w:rPr>
          <w:lang w:eastAsia="ja-JP"/>
        </w:rPr>
        <w:t>, interleukins, TNF-alpha, interfero</w:t>
      </w:r>
      <w:r>
        <w:rPr>
          <w:lang w:eastAsia="ja-JP"/>
        </w:rPr>
        <w:t>n gamma) have been demonstrated</w:t>
      </w:r>
      <w:r w:rsidRPr="002E2E35">
        <w:rPr>
          <w:lang w:eastAsia="ja-JP"/>
        </w:rPr>
        <w:t>. Small increases in the circulating lymphocyte populations of CD4+ and CD8+ were reported on treatment in one study. The lack of change in cytokine levels is in one sense reassuring as it means that widespread activation of the</w:t>
      </w:r>
      <w:r>
        <w:rPr>
          <w:lang w:eastAsia="ja-JP"/>
        </w:rPr>
        <w:t xml:space="preserve"> immune system, resulting in a ‘cytokine storm’</w:t>
      </w:r>
      <w:r w:rsidRPr="002E2E35">
        <w:rPr>
          <w:lang w:eastAsia="ja-JP"/>
        </w:rPr>
        <w:t>, is not occurring. Some signs of immune system activity should, however, be evident given that these patients have metastatic disease and tumour destruction, hopefully, is occurring in many sites.</w:t>
      </w:r>
    </w:p>
    <w:p w14:paraId="58F838EF" w14:textId="77777777" w:rsidR="0058502F" w:rsidRPr="005C2A2D" w:rsidRDefault="0058502F" w:rsidP="005C2A2D">
      <w:pPr>
        <w:pStyle w:val="Heading5"/>
      </w:pPr>
      <w:r w:rsidRPr="005C2A2D">
        <w:t>PD-L1 expression by tumour cells</w:t>
      </w:r>
    </w:p>
    <w:p w14:paraId="45AD1C10" w14:textId="0498B401" w:rsidR="0058502F" w:rsidRPr="002E2E35" w:rsidRDefault="0058502F" w:rsidP="0058502F">
      <w:pPr>
        <w:rPr>
          <w:lang w:eastAsia="ja-JP"/>
        </w:rPr>
      </w:pPr>
      <w:r w:rsidRPr="002E2E35">
        <w:rPr>
          <w:lang w:eastAsia="ja-JP"/>
        </w:rPr>
        <w:t>Considerable variability has been reported in PD-L1 status across the studies, eve</w:t>
      </w:r>
      <w:r w:rsidR="00240615">
        <w:rPr>
          <w:lang w:eastAsia="ja-JP"/>
        </w:rPr>
        <w:t xml:space="preserve">n when the same assay is used; </w:t>
      </w:r>
      <w:r w:rsidRPr="002E2E35">
        <w:rPr>
          <w:lang w:eastAsia="ja-JP"/>
        </w:rPr>
        <w:t>rates of PD-L1 expression using the 5% cut</w:t>
      </w:r>
      <w:r>
        <w:rPr>
          <w:lang w:eastAsia="ja-JP"/>
        </w:rPr>
        <w:t>-</w:t>
      </w:r>
      <w:r w:rsidRPr="002E2E35">
        <w:rPr>
          <w:lang w:eastAsia="ja-JP"/>
        </w:rPr>
        <w:t>off ranged from 12% to 53%. Inconsistent findings were reported for efficacy outcomes in relation to PD-L1 status.</w:t>
      </w:r>
    </w:p>
    <w:p w14:paraId="1D1A7997" w14:textId="478E071F" w:rsidR="0058502F" w:rsidRPr="002E2E35" w:rsidRDefault="0058502F" w:rsidP="0058502F">
      <w:pPr>
        <w:rPr>
          <w:lang w:eastAsia="ja-JP"/>
        </w:rPr>
      </w:pPr>
      <w:r w:rsidRPr="002E2E35">
        <w:rPr>
          <w:lang w:eastAsia="ja-JP"/>
        </w:rPr>
        <w:t xml:space="preserve">From these investigations of the mechanism of action, PD-1 receptor occupancy by </w:t>
      </w:r>
      <w:proofErr w:type="spellStart"/>
      <w:r w:rsidRPr="002E2E35">
        <w:rPr>
          <w:lang w:eastAsia="ja-JP"/>
        </w:rPr>
        <w:t>nivolumab</w:t>
      </w:r>
      <w:proofErr w:type="spellEnd"/>
      <w:r w:rsidRPr="002E2E35">
        <w:rPr>
          <w:lang w:eastAsia="ja-JP"/>
        </w:rPr>
        <w:t xml:space="preserve"> on peripheral lymphocytes and small increases in the circulating populations of CD4+ and CD8+ T lymphocytes has been demonstrated. However, no corresponding changes in absolute lymphocyte count or circulating cytokine levels have been demonstrated. PD-L1 expression appears to be variable and not to relate to efficacy. These findings, particularly in relation to PD-L1 expression, are not consistent with the postulated mechanism of action.</w:t>
      </w:r>
    </w:p>
    <w:p w14:paraId="1BB75F4A" w14:textId="3D7600E1" w:rsidR="0058502F" w:rsidRPr="002E2E35" w:rsidRDefault="005C2A2D" w:rsidP="005C2A2D">
      <w:pPr>
        <w:pStyle w:val="Heading5"/>
      </w:pPr>
      <w:r>
        <w:t>Dose dependency and tumour r</w:t>
      </w:r>
      <w:r w:rsidR="0058502F" w:rsidRPr="002E2E35">
        <w:t>esponse</w:t>
      </w:r>
    </w:p>
    <w:p w14:paraId="64CF4DA8" w14:textId="286EB7BC" w:rsidR="0058502F" w:rsidRPr="002E2E35" w:rsidRDefault="0058502F" w:rsidP="0058502F">
      <w:pPr>
        <w:rPr>
          <w:lang w:eastAsia="ja-JP"/>
        </w:rPr>
      </w:pPr>
      <w:r w:rsidRPr="002E2E35">
        <w:rPr>
          <w:lang w:eastAsia="ja-JP"/>
        </w:rPr>
        <w:t>There was no apparent dose-response relationship across the evaluated dose ranges in subjects in the rate of objective responses for patients with melanoma or RCC. The objective response rate in RCC patients was 27.8% and 31.3% for patients treated with 1 mg/kg and 10 mg/kg respectively. The objective responses observed were 31.4%, 41.2% and 20.0% of melanoma patients treated at 1, 3 and 10 mg/kg respectively. The dose chosen for the pivotal study in patients with advanced RCC (3 mg/kg) is not consistent with these findings. A dose of 1 mg/kg may have been adequate.</w:t>
      </w:r>
    </w:p>
    <w:p w14:paraId="7FE31393" w14:textId="77777777" w:rsidR="0058502F" w:rsidRPr="002E2E35" w:rsidRDefault="0058502F" w:rsidP="005C2A2D">
      <w:pPr>
        <w:pStyle w:val="Heading5"/>
      </w:pPr>
      <w:r w:rsidRPr="002E2E35">
        <w:lastRenderedPageBreak/>
        <w:t>Time course of tumour response</w:t>
      </w:r>
    </w:p>
    <w:p w14:paraId="4572DDAC" w14:textId="6D302CAE" w:rsidR="0058502F" w:rsidRPr="002E2E35" w:rsidRDefault="0058502F" w:rsidP="0058502F">
      <w:pPr>
        <w:rPr>
          <w:lang w:eastAsia="ja-JP"/>
        </w:rPr>
      </w:pPr>
      <w:r w:rsidRPr="002E2E35">
        <w:rPr>
          <w:lang w:eastAsia="ja-JP"/>
        </w:rPr>
        <w:t xml:space="preserve">Response to </w:t>
      </w:r>
      <w:proofErr w:type="spellStart"/>
      <w:r w:rsidRPr="002E2E35">
        <w:rPr>
          <w:lang w:eastAsia="ja-JP"/>
        </w:rPr>
        <w:t>nivolumab</w:t>
      </w:r>
      <w:proofErr w:type="spellEnd"/>
      <w:r w:rsidRPr="002E2E35">
        <w:rPr>
          <w:lang w:eastAsia="ja-JP"/>
        </w:rPr>
        <w:t xml:space="preserve"> in terms of measurable decrease in tumour size may be slow. One study of </w:t>
      </w:r>
      <w:proofErr w:type="spellStart"/>
      <w:r w:rsidRPr="002E2E35">
        <w:rPr>
          <w:lang w:eastAsia="ja-JP"/>
        </w:rPr>
        <w:t>nivolumab</w:t>
      </w:r>
      <w:proofErr w:type="spellEnd"/>
      <w:r w:rsidRPr="002E2E35">
        <w:rPr>
          <w:lang w:eastAsia="ja-JP"/>
        </w:rPr>
        <w:t xml:space="preserve"> therapy in advanced solid organ tumours (</w:t>
      </w:r>
      <w:r w:rsidR="0066352C">
        <w:rPr>
          <w:lang w:eastAsia="ja-JP"/>
        </w:rPr>
        <w:t xml:space="preserve">Study </w:t>
      </w:r>
      <w:r w:rsidRPr="002E2E35">
        <w:rPr>
          <w:lang w:eastAsia="ja-JP"/>
        </w:rPr>
        <w:t xml:space="preserve">CA209003) found that, although measurable tumour response occurred within 8 weeks for 46% of responders, tumour shrinkage occurred between 8 weeks and 24 weeks of treatment in another 45% of responders. In </w:t>
      </w:r>
      <w:r w:rsidR="0066352C">
        <w:rPr>
          <w:lang w:eastAsia="ja-JP"/>
        </w:rPr>
        <w:t>2</w:t>
      </w:r>
      <w:r w:rsidRPr="002E2E35">
        <w:rPr>
          <w:lang w:eastAsia="ja-JP"/>
        </w:rPr>
        <w:t xml:space="preserve"> studies in patients with </w:t>
      </w:r>
      <w:r w:rsidR="0066352C">
        <w:rPr>
          <w:lang w:eastAsia="ja-JP"/>
        </w:rPr>
        <w:t>advanced RCC, the dose-ranging Study CA209010 and the pivotal S</w:t>
      </w:r>
      <w:r w:rsidRPr="002E2E35">
        <w:rPr>
          <w:lang w:eastAsia="ja-JP"/>
        </w:rPr>
        <w:t xml:space="preserve">tudy CA209025, a range of 6 weeks to 25 months was reported in the time to response (investigator assessed). The median duration of response in these studies was around 20 months in Study </w:t>
      </w:r>
      <w:r w:rsidR="0066352C">
        <w:rPr>
          <w:lang w:eastAsia="ja-JP"/>
        </w:rPr>
        <w:t>CA209010 and 12 months in Study </w:t>
      </w:r>
      <w:r w:rsidRPr="002E2E35">
        <w:rPr>
          <w:lang w:eastAsia="ja-JP"/>
        </w:rPr>
        <w:t xml:space="preserve">CA209025. Tumour response with conventional chemotherapy is expected within days to weeks. The prolonged time course for tumour response seen with </w:t>
      </w:r>
      <w:proofErr w:type="spellStart"/>
      <w:r w:rsidRPr="002E2E35">
        <w:rPr>
          <w:lang w:eastAsia="ja-JP"/>
        </w:rPr>
        <w:t>nivolumab</w:t>
      </w:r>
      <w:proofErr w:type="spellEnd"/>
      <w:r w:rsidRPr="002E2E35">
        <w:rPr>
          <w:lang w:eastAsia="ja-JP"/>
        </w:rPr>
        <w:t xml:space="preserve"> is consistent with the slower course of immune cell-mediated tumour cell destruction. With the observed receptor occupancy, both degree and duration, frequent administration of </w:t>
      </w:r>
      <w:proofErr w:type="spellStart"/>
      <w:r w:rsidRPr="002E2E35">
        <w:rPr>
          <w:lang w:eastAsia="ja-JP"/>
        </w:rPr>
        <w:t>nivolumab</w:t>
      </w:r>
      <w:proofErr w:type="spellEnd"/>
      <w:r w:rsidRPr="002E2E35">
        <w:rPr>
          <w:lang w:eastAsia="ja-JP"/>
        </w:rPr>
        <w:t xml:space="preserve"> is unlikely to change this time course.</w:t>
      </w:r>
    </w:p>
    <w:p w14:paraId="62AEDF48" w14:textId="77777777" w:rsidR="0058502F" w:rsidRPr="002E2E35" w:rsidRDefault="0058502F" w:rsidP="0058502F">
      <w:pPr>
        <w:pStyle w:val="Heading4"/>
        <w:numPr>
          <w:ilvl w:val="2"/>
          <w:numId w:val="0"/>
        </w:numPr>
        <w:tabs>
          <w:tab w:val="num" w:pos="1134"/>
        </w:tabs>
        <w:adjustRightInd w:val="0"/>
        <w:snapToGrid w:val="0"/>
        <w:spacing w:before="120" w:after="120"/>
        <w:ind w:left="1134" w:hanging="964"/>
      </w:pPr>
      <w:r w:rsidRPr="002E2E35">
        <w:t>Exposure response analysis</w:t>
      </w:r>
    </w:p>
    <w:p w14:paraId="69B8B827" w14:textId="5B6B7F73" w:rsidR="0058502F" w:rsidRPr="0066352C" w:rsidRDefault="0058502F" w:rsidP="0066352C">
      <w:pPr>
        <w:rPr>
          <w:lang w:val="en-GB" w:eastAsia="ja-JP"/>
        </w:rPr>
      </w:pPr>
      <w:r w:rsidRPr="002E2E35">
        <w:rPr>
          <w:lang w:eastAsia="ja-JP"/>
        </w:rPr>
        <w:t xml:space="preserve">An exposure-response analysis for efficacy (risk of death and </w:t>
      </w:r>
      <w:r w:rsidR="005C71C8">
        <w:rPr>
          <w:lang w:eastAsia="ja-JP"/>
        </w:rPr>
        <w:t>overall survival (</w:t>
      </w:r>
      <w:r w:rsidRPr="002E2E35">
        <w:rPr>
          <w:lang w:eastAsia="ja-JP"/>
        </w:rPr>
        <w:t>OS)</w:t>
      </w:r>
      <w:r w:rsidR="005C71C8">
        <w:rPr>
          <w:lang w:eastAsia="ja-JP"/>
        </w:rPr>
        <w:t>)</w:t>
      </w:r>
      <w:r w:rsidRPr="002E2E35">
        <w:rPr>
          <w:lang w:eastAsia="ja-JP"/>
        </w:rPr>
        <w:t xml:space="preserve"> and safety </w:t>
      </w:r>
      <w:r w:rsidR="0066352C">
        <w:rPr>
          <w:lang w:eastAsia="ja-JP"/>
        </w:rPr>
        <w:t>(</w:t>
      </w:r>
      <w:r w:rsidR="0066352C" w:rsidRPr="0066352C">
        <w:rPr>
          <w:bCs/>
          <w:lang w:val="en-GB" w:eastAsia="ja-JP"/>
        </w:rPr>
        <w:t>adverse event</w:t>
      </w:r>
      <w:r w:rsidR="0066352C" w:rsidRPr="0066352C">
        <w:rPr>
          <w:lang w:val="en-GB" w:eastAsia="ja-JP"/>
        </w:rPr>
        <w:t> leading to discontinuation or death</w:t>
      </w:r>
      <w:r w:rsidR="0066352C">
        <w:rPr>
          <w:lang w:val="en-GB" w:eastAsia="ja-JP"/>
        </w:rPr>
        <w:t xml:space="preserve"> </w:t>
      </w:r>
      <w:r w:rsidRPr="002E2E35">
        <w:rPr>
          <w:lang w:eastAsia="ja-JP"/>
        </w:rPr>
        <w:t>(AE-DC/D)</w:t>
      </w:r>
      <w:r w:rsidR="0066352C">
        <w:rPr>
          <w:lang w:eastAsia="ja-JP"/>
        </w:rPr>
        <w:t>)</w:t>
      </w:r>
      <w:r w:rsidRPr="002E2E35">
        <w:rPr>
          <w:lang w:eastAsia="ja-JP"/>
        </w:rPr>
        <w:t xml:space="preserve"> was provided. These analyses included data from patients with advanced clear cell RCC who had received prior anti-angiogenic therapy in </w:t>
      </w:r>
      <w:r w:rsidR="00240615">
        <w:rPr>
          <w:lang w:eastAsia="ja-JP"/>
        </w:rPr>
        <w:t>S</w:t>
      </w:r>
      <w:r w:rsidRPr="002E2E35">
        <w:rPr>
          <w:lang w:eastAsia="ja-JP"/>
        </w:rPr>
        <w:t>tudies CA209025 (efficacy and safety) and CA209010 (efficacy only). No relationship between exposure (as indicated by average steady state concentration) and overall survival or the occurrence of AE-DC/D was found.</w:t>
      </w:r>
    </w:p>
    <w:p w14:paraId="6E7D98B1" w14:textId="6422D264" w:rsidR="0058502F" w:rsidRPr="005C71C8" w:rsidRDefault="0058502F" w:rsidP="00003BD9">
      <w:pPr>
        <w:rPr>
          <w:lang w:val="en-GB" w:eastAsia="ja-JP"/>
        </w:rPr>
      </w:pPr>
      <w:r w:rsidRPr="002E2E35">
        <w:rPr>
          <w:lang w:eastAsia="ja-JP"/>
        </w:rPr>
        <w:t xml:space="preserve">The exposure response analysis for overall survival suggests that male sex, region (Western Europe), favourable baseline </w:t>
      </w:r>
      <w:r w:rsidR="005C71C8" w:rsidRPr="005C71C8">
        <w:rPr>
          <w:lang w:val="en-GB" w:eastAsia="ja-JP"/>
        </w:rPr>
        <w:t xml:space="preserve">Memorial Sloan Kettering Cancer </w:t>
      </w:r>
      <w:proofErr w:type="spellStart"/>
      <w:r w:rsidR="005C71C8" w:rsidRPr="005C71C8">
        <w:rPr>
          <w:lang w:val="en-GB" w:eastAsia="ja-JP"/>
        </w:rPr>
        <w:t>Center</w:t>
      </w:r>
      <w:proofErr w:type="spellEnd"/>
      <w:r w:rsidR="005C71C8" w:rsidRPr="005C71C8">
        <w:rPr>
          <w:lang w:eastAsia="ja-JP"/>
        </w:rPr>
        <w:t xml:space="preserve"> </w:t>
      </w:r>
      <w:r w:rsidR="005C71C8">
        <w:rPr>
          <w:lang w:eastAsia="ja-JP"/>
        </w:rPr>
        <w:t>(</w:t>
      </w:r>
      <w:r w:rsidRPr="002E2E35">
        <w:rPr>
          <w:lang w:eastAsia="ja-JP"/>
        </w:rPr>
        <w:t>MSKCC</w:t>
      </w:r>
      <w:r w:rsidR="005C71C8">
        <w:rPr>
          <w:lang w:eastAsia="ja-JP"/>
        </w:rPr>
        <w:t>)</w:t>
      </w:r>
      <w:r w:rsidRPr="002E2E35">
        <w:rPr>
          <w:lang w:eastAsia="ja-JP"/>
        </w:rPr>
        <w:t xml:space="preserve"> risk score, baseline </w:t>
      </w:r>
      <w:proofErr w:type="spellStart"/>
      <w:r w:rsidR="00003BD9">
        <w:rPr>
          <w:lang w:val="en-GB" w:eastAsia="ja-JP"/>
        </w:rPr>
        <w:t>Karnofsky</w:t>
      </w:r>
      <w:proofErr w:type="spellEnd"/>
      <w:r w:rsidR="00003BD9">
        <w:rPr>
          <w:lang w:val="en-GB" w:eastAsia="ja-JP"/>
        </w:rPr>
        <w:t xml:space="preserve"> performance status</w:t>
      </w:r>
      <w:r w:rsidR="00003BD9" w:rsidRPr="00003BD9">
        <w:rPr>
          <w:lang w:eastAsia="ja-JP"/>
        </w:rPr>
        <w:t xml:space="preserve"> </w:t>
      </w:r>
      <w:r w:rsidR="00003BD9">
        <w:rPr>
          <w:lang w:eastAsia="ja-JP"/>
        </w:rPr>
        <w:t>(</w:t>
      </w:r>
      <w:r w:rsidRPr="002E2E35">
        <w:rPr>
          <w:lang w:eastAsia="ja-JP"/>
        </w:rPr>
        <w:t>KPS</w:t>
      </w:r>
      <w:r w:rsidR="00003BD9">
        <w:rPr>
          <w:lang w:eastAsia="ja-JP"/>
        </w:rPr>
        <w:t>)</w:t>
      </w:r>
      <w:r w:rsidRPr="002E2E35">
        <w:rPr>
          <w:lang w:eastAsia="ja-JP"/>
        </w:rPr>
        <w:t>, and baseline weight, were significant predictors of OS in subjects with advanced RCC. The risk of death increased with increasing weight. The number of prior anti-angiogenic therapies, age, and PD-L1 status (≥ 1) were not significant predictors of OS. The exposure-response analysis for safety found that, although the risk of AE-DC/D increased with increasing age and baseline body weight, these effects were small and not expected to be clinically relevant</w:t>
      </w:r>
    </w:p>
    <w:p w14:paraId="6357A70C" w14:textId="77777777" w:rsidR="0058502F" w:rsidRPr="002E2E35" w:rsidRDefault="0058502F" w:rsidP="0058502F">
      <w:pPr>
        <w:pStyle w:val="Heading4"/>
        <w:numPr>
          <w:ilvl w:val="2"/>
          <w:numId w:val="0"/>
        </w:numPr>
        <w:tabs>
          <w:tab w:val="num" w:pos="1134"/>
        </w:tabs>
        <w:adjustRightInd w:val="0"/>
        <w:snapToGrid w:val="0"/>
        <w:spacing w:before="120" w:after="120"/>
        <w:ind w:left="1134" w:hanging="964"/>
      </w:pPr>
      <w:r w:rsidRPr="002E2E35">
        <w:t>Secondary pharmacodynamics effects</w:t>
      </w:r>
    </w:p>
    <w:p w14:paraId="34B0752A" w14:textId="69909D5B" w:rsidR="0058502F" w:rsidRPr="002E2E35" w:rsidRDefault="0058502F" w:rsidP="0058502F">
      <w:pPr>
        <w:rPr>
          <w:lang w:eastAsia="ja-JP"/>
        </w:rPr>
      </w:pPr>
      <w:r w:rsidRPr="002E2E35">
        <w:rPr>
          <w:lang w:eastAsia="ja-JP"/>
        </w:rPr>
        <w:t>Secondary pharmacodynamics effects have been assessed through a QT prolongation study and in</w:t>
      </w:r>
      <w:r w:rsidR="00240615">
        <w:rPr>
          <w:lang w:eastAsia="ja-JP"/>
        </w:rPr>
        <w:t>vestigations of immunogenicity.</w:t>
      </w:r>
    </w:p>
    <w:p w14:paraId="708BA51F" w14:textId="77777777" w:rsidR="0058502F" w:rsidRPr="002E2E35" w:rsidRDefault="0058502F" w:rsidP="0058502F">
      <w:pPr>
        <w:pStyle w:val="Heading5"/>
        <w:numPr>
          <w:ilvl w:val="3"/>
          <w:numId w:val="0"/>
        </w:numPr>
        <w:tabs>
          <w:tab w:val="num" w:pos="1418"/>
        </w:tabs>
        <w:ind w:left="1304" w:hanging="1077"/>
        <w:rPr>
          <w:lang w:eastAsia="ja-JP"/>
        </w:rPr>
      </w:pPr>
      <w:r w:rsidRPr="002E2E35">
        <w:rPr>
          <w:lang w:eastAsia="ja-JP"/>
        </w:rPr>
        <w:t>QT prolongation</w:t>
      </w:r>
    </w:p>
    <w:p w14:paraId="384A8070" w14:textId="77777777" w:rsidR="0058502F" w:rsidRPr="002E2E35" w:rsidRDefault="0058502F" w:rsidP="0058502F">
      <w:pPr>
        <w:rPr>
          <w:lang w:eastAsia="ja-JP"/>
        </w:rPr>
      </w:pPr>
      <w:r w:rsidRPr="002E2E35">
        <w:rPr>
          <w:lang w:eastAsia="ja-JP"/>
        </w:rPr>
        <w:t xml:space="preserve">The QT prolongation component of Study CA209010 found that </w:t>
      </w:r>
      <w:proofErr w:type="spellStart"/>
      <w:r w:rsidRPr="002E2E35">
        <w:rPr>
          <w:lang w:eastAsia="ja-JP"/>
        </w:rPr>
        <w:t>nivolumab</w:t>
      </w:r>
      <w:proofErr w:type="spellEnd"/>
      <w:r w:rsidRPr="002E2E35">
        <w:rPr>
          <w:lang w:eastAsia="ja-JP"/>
        </w:rPr>
        <w:t xml:space="preserve"> was unlikely to cause any clinica</w:t>
      </w:r>
      <w:r>
        <w:rPr>
          <w:lang w:eastAsia="ja-JP"/>
        </w:rPr>
        <w:t>lly meaningful QT prolongation.</w:t>
      </w:r>
    </w:p>
    <w:p w14:paraId="1D2E0B00" w14:textId="77777777" w:rsidR="0058502F" w:rsidRPr="002E2E35" w:rsidRDefault="0058502F" w:rsidP="0058502F">
      <w:pPr>
        <w:pStyle w:val="Heading5"/>
        <w:numPr>
          <w:ilvl w:val="3"/>
          <w:numId w:val="0"/>
        </w:numPr>
        <w:tabs>
          <w:tab w:val="num" w:pos="1418"/>
        </w:tabs>
        <w:ind w:left="1304" w:hanging="1077"/>
        <w:rPr>
          <w:lang w:eastAsia="ja-JP"/>
        </w:rPr>
      </w:pPr>
      <w:r w:rsidRPr="002E2E35">
        <w:rPr>
          <w:lang w:eastAsia="ja-JP"/>
        </w:rPr>
        <w:t>Immunogenicity</w:t>
      </w:r>
    </w:p>
    <w:p w14:paraId="16A5400F" w14:textId="5667E26B" w:rsidR="00296591" w:rsidRPr="00296591" w:rsidRDefault="0058502F" w:rsidP="00296591">
      <w:pPr>
        <w:rPr>
          <w:lang w:eastAsia="ja-JP"/>
        </w:rPr>
      </w:pPr>
      <w:r w:rsidRPr="002E2E35">
        <w:rPr>
          <w:lang w:eastAsia="ja-JP"/>
        </w:rPr>
        <w:t xml:space="preserve">Anti-drug antibodies (ADA) were investigated in a number of studies in the </w:t>
      </w:r>
      <w:proofErr w:type="spellStart"/>
      <w:r w:rsidRPr="002E2E35">
        <w:rPr>
          <w:lang w:eastAsia="ja-JP"/>
        </w:rPr>
        <w:t>nivolumab</w:t>
      </w:r>
      <w:proofErr w:type="spellEnd"/>
      <w:r w:rsidRPr="002E2E35">
        <w:rPr>
          <w:lang w:eastAsia="ja-JP"/>
        </w:rPr>
        <w:t xml:space="preserve"> clinical trial programme. The assay used to measure ADA has been through several generations of development, with each assay having different levels of sensitivity. Considerable variability in measured rates of ADA positive patients is notable across the clinical studies, even when the same assay method is used in the studies being compared. The evaluator is not convinced that a reliable assay for anti-</w:t>
      </w:r>
      <w:proofErr w:type="spellStart"/>
      <w:r w:rsidRPr="002E2E35">
        <w:rPr>
          <w:lang w:eastAsia="ja-JP"/>
        </w:rPr>
        <w:t>nivolumab</w:t>
      </w:r>
      <w:proofErr w:type="spellEnd"/>
      <w:r w:rsidRPr="002E2E35">
        <w:rPr>
          <w:lang w:eastAsia="ja-JP"/>
        </w:rPr>
        <w:t xml:space="preserve"> antibodies has yet been developed and recommends against drawing any conclusions from the measured ADA rates, including the apparent lack of effect on safety and efficacy and the apparent lack of any relationship between infusion related reactions and ADA status.</w:t>
      </w:r>
    </w:p>
    <w:p w14:paraId="5B508884" w14:textId="77777777" w:rsidR="008E7846" w:rsidRDefault="00605AD4" w:rsidP="00605AD4">
      <w:pPr>
        <w:pStyle w:val="Heading3"/>
      </w:pPr>
      <w:bookmarkStart w:id="66" w:name="_Toc489277873"/>
      <w:r>
        <w:lastRenderedPageBreak/>
        <w:t>Dosage selection for the pivotal studies</w:t>
      </w:r>
      <w:bookmarkEnd w:id="66"/>
    </w:p>
    <w:p w14:paraId="3A851D6D" w14:textId="5DA6AC07" w:rsidR="00331F55" w:rsidRPr="00331F55" w:rsidRDefault="00331F55" w:rsidP="00331F55">
      <w:r w:rsidRPr="00331F55">
        <w:t xml:space="preserve">The study protocol for Study CA209025 provides the rationale for the study design, choice of comparator and </w:t>
      </w:r>
      <w:proofErr w:type="spellStart"/>
      <w:r w:rsidRPr="00331F55">
        <w:t>nivolumab</w:t>
      </w:r>
      <w:proofErr w:type="spellEnd"/>
      <w:r w:rsidRPr="00331F55">
        <w:t xml:space="preserve"> dosing regimen.</w:t>
      </w:r>
      <w:r>
        <w:t xml:space="preserve"> Please</w:t>
      </w:r>
      <w:r w:rsidR="00600A5A">
        <w:t xml:space="preserve"> refer to Attachment 2 for further information.</w:t>
      </w:r>
    </w:p>
    <w:p w14:paraId="3B922032" w14:textId="77777777" w:rsidR="008E7846" w:rsidRPr="00254787" w:rsidRDefault="008E7846" w:rsidP="008E7846">
      <w:pPr>
        <w:pStyle w:val="Heading3"/>
      </w:pPr>
      <w:bookmarkStart w:id="67" w:name="_Toc163441372"/>
      <w:bookmarkStart w:id="68" w:name="_Toc196046485"/>
      <w:bookmarkStart w:id="69" w:name="_Toc247691521"/>
      <w:bookmarkStart w:id="70" w:name="_Toc314842504"/>
      <w:bookmarkStart w:id="71" w:name="_Toc489277874"/>
      <w:r w:rsidRPr="00254787">
        <w:t>Efficacy</w:t>
      </w:r>
      <w:bookmarkEnd w:id="67"/>
      <w:bookmarkEnd w:id="68"/>
      <w:bookmarkEnd w:id="69"/>
      <w:bookmarkEnd w:id="70"/>
      <w:bookmarkEnd w:id="71"/>
    </w:p>
    <w:p w14:paraId="6FE9FBBF" w14:textId="77777777" w:rsidR="00605AD4" w:rsidRDefault="00605AD4" w:rsidP="00605AD4">
      <w:pPr>
        <w:pStyle w:val="Heading4"/>
      </w:pPr>
      <w:bookmarkStart w:id="72" w:name="_Toc184439992"/>
      <w:bookmarkStart w:id="73" w:name="_Toc184440279"/>
      <w:bookmarkStart w:id="74" w:name="_Toc184444657"/>
      <w:bookmarkStart w:id="75" w:name="_Toc196046487"/>
      <w:r>
        <w:t>Studies providing efficacy data</w:t>
      </w:r>
    </w:p>
    <w:p w14:paraId="04D45CAD" w14:textId="7DA644CE" w:rsidR="00D52CC1" w:rsidRPr="00D52CC1" w:rsidRDefault="00D52CC1" w:rsidP="00D52CC1">
      <w:r w:rsidRPr="00D52CC1">
        <w:t xml:space="preserve">The following studies provided evaluable </w:t>
      </w:r>
      <w:r>
        <w:t>efficacy</w:t>
      </w:r>
      <w:r w:rsidRPr="00D52CC1">
        <w:t xml:space="preserve"> data for the use of </w:t>
      </w:r>
      <w:proofErr w:type="spellStart"/>
      <w:r w:rsidRPr="00D52CC1">
        <w:t>nivolumab</w:t>
      </w:r>
      <w:proofErr w:type="spellEnd"/>
      <w:r w:rsidRPr="00D52CC1">
        <w:t xml:space="preserve"> in patients with advanced RCC:</w:t>
      </w:r>
    </w:p>
    <w:p w14:paraId="61F40FFE" w14:textId="4D86141E" w:rsidR="00D52CC1" w:rsidRPr="00D52CC1" w:rsidRDefault="005012D5" w:rsidP="00D52CC1">
      <w:pPr>
        <w:pStyle w:val="ListBullet"/>
      </w:pPr>
      <w:r>
        <w:t>One pivotal s</w:t>
      </w:r>
      <w:r w:rsidR="00D52CC1" w:rsidRPr="00D52CC1">
        <w:t>tudy</w:t>
      </w:r>
      <w:r>
        <w:t>: Study</w:t>
      </w:r>
      <w:r w:rsidR="00D52CC1" w:rsidRPr="00D52CC1">
        <w:t xml:space="preserve"> CA209025</w:t>
      </w:r>
    </w:p>
    <w:p w14:paraId="37F9CA58" w14:textId="2BBEA222" w:rsidR="00D52CC1" w:rsidRPr="00600A5A" w:rsidRDefault="005012D5" w:rsidP="00600A5A">
      <w:pPr>
        <w:pStyle w:val="ListBullet"/>
      </w:pPr>
      <w:r>
        <w:t>3 d</w:t>
      </w:r>
      <w:r w:rsidR="00D52CC1" w:rsidRPr="00D52CC1">
        <w:t xml:space="preserve">ose-ranging </w:t>
      </w:r>
      <w:r>
        <w:t xml:space="preserve">studies: </w:t>
      </w:r>
      <w:r w:rsidR="00D52CC1" w:rsidRPr="00D52CC1">
        <w:t>Studies CA209003, CA209009 and CA209010</w:t>
      </w:r>
    </w:p>
    <w:p w14:paraId="7E6BC991" w14:textId="77777777" w:rsidR="008E7846" w:rsidRDefault="00605AD4" w:rsidP="00605AD4">
      <w:pPr>
        <w:pStyle w:val="Heading4"/>
      </w:pPr>
      <w:r>
        <w:t>Evaluator’s conclusions on efficacy</w:t>
      </w:r>
    </w:p>
    <w:p w14:paraId="43B3BE04" w14:textId="7CFBF459" w:rsidR="004A6A76" w:rsidRPr="002A7971" w:rsidRDefault="004A6A76" w:rsidP="004A6A76">
      <w:pPr>
        <w:rPr>
          <w:lang w:eastAsia="ja-JP"/>
        </w:rPr>
      </w:pPr>
      <w:r>
        <w:rPr>
          <w:lang w:eastAsia="ja-JP"/>
        </w:rPr>
        <w:t>In the pivotal S</w:t>
      </w:r>
      <w:r w:rsidRPr="002A7971">
        <w:rPr>
          <w:lang w:eastAsia="ja-JP"/>
        </w:rPr>
        <w:t xml:space="preserve">tudy CA209025, </w:t>
      </w:r>
      <w:proofErr w:type="spellStart"/>
      <w:r w:rsidRPr="002A7971">
        <w:rPr>
          <w:lang w:eastAsia="ja-JP"/>
        </w:rPr>
        <w:t>nivolumab</w:t>
      </w:r>
      <w:proofErr w:type="spellEnd"/>
      <w:r w:rsidRPr="002A7971">
        <w:rPr>
          <w:lang w:eastAsia="ja-JP"/>
        </w:rPr>
        <w:t xml:space="preserve"> has demonstrated improved </w:t>
      </w:r>
      <w:r w:rsidR="009B1120">
        <w:rPr>
          <w:lang w:eastAsia="ja-JP"/>
        </w:rPr>
        <w:t>OS</w:t>
      </w:r>
      <w:r w:rsidRPr="002A7971">
        <w:rPr>
          <w:lang w:eastAsia="ja-JP"/>
        </w:rPr>
        <w:t xml:space="preserve"> compared to the </w:t>
      </w:r>
      <w:proofErr w:type="spellStart"/>
      <w:r w:rsidRPr="002A7971">
        <w:rPr>
          <w:lang w:eastAsia="ja-JP"/>
        </w:rPr>
        <w:t>mTOR</w:t>
      </w:r>
      <w:proofErr w:type="spellEnd"/>
      <w:r w:rsidRPr="002A7971">
        <w:rPr>
          <w:lang w:eastAsia="ja-JP"/>
        </w:rPr>
        <w:t xml:space="preserve"> inhibitor </w:t>
      </w:r>
      <w:proofErr w:type="spellStart"/>
      <w:r w:rsidRPr="002A7971">
        <w:rPr>
          <w:lang w:eastAsia="ja-JP"/>
        </w:rPr>
        <w:t>everolimus</w:t>
      </w:r>
      <w:proofErr w:type="spellEnd"/>
      <w:r w:rsidRPr="002A7971">
        <w:rPr>
          <w:lang w:eastAsia="ja-JP"/>
        </w:rPr>
        <w:t xml:space="preserve"> in patients with advanced clear cell </w:t>
      </w:r>
      <w:r w:rsidR="009B1120">
        <w:rPr>
          <w:lang w:eastAsia="ja-JP"/>
        </w:rPr>
        <w:t>RCC</w:t>
      </w:r>
      <w:r w:rsidR="00AE2FFF">
        <w:rPr>
          <w:lang w:eastAsia="ja-JP"/>
        </w:rPr>
        <w:t xml:space="preserve"> </w:t>
      </w:r>
      <w:r w:rsidRPr="002A7971">
        <w:rPr>
          <w:lang w:eastAsia="ja-JP"/>
        </w:rPr>
        <w:t>who have received one or two previous regimens of anti</w:t>
      </w:r>
      <w:r w:rsidR="00003BD9">
        <w:rPr>
          <w:lang w:eastAsia="ja-JP"/>
        </w:rPr>
        <w:t>-</w:t>
      </w:r>
      <w:r w:rsidRPr="002A7971">
        <w:rPr>
          <w:lang w:eastAsia="ja-JP"/>
        </w:rPr>
        <w:t>angiogenic therapy. The difference was clinically meaningful with overall survival of 55.4% and median survival (</w:t>
      </w:r>
      <w:r>
        <w:rPr>
          <w:lang w:eastAsia="ja-JP"/>
        </w:rPr>
        <w:t>Kaplan-Meier</w:t>
      </w:r>
      <w:r w:rsidRPr="002A7971">
        <w:rPr>
          <w:lang w:eastAsia="ja-JP"/>
        </w:rPr>
        <w:t xml:space="preserve"> estimate) of 25.0 months in the </w:t>
      </w:r>
      <w:proofErr w:type="spellStart"/>
      <w:r w:rsidRPr="002A7971">
        <w:rPr>
          <w:lang w:eastAsia="ja-JP"/>
        </w:rPr>
        <w:t>nivolumab</w:t>
      </w:r>
      <w:proofErr w:type="spellEnd"/>
      <w:r w:rsidRPr="002A7971">
        <w:rPr>
          <w:lang w:eastAsia="ja-JP"/>
        </w:rPr>
        <w:t xml:space="preserve"> arm compared to overall survival of 47.7% and estimated median survival of 19.6 months in the </w:t>
      </w:r>
      <w:proofErr w:type="spellStart"/>
      <w:r w:rsidRPr="002A7971">
        <w:rPr>
          <w:lang w:eastAsia="ja-JP"/>
        </w:rPr>
        <w:t>everolimus</w:t>
      </w:r>
      <w:proofErr w:type="spellEnd"/>
      <w:r w:rsidRPr="002A7971">
        <w:rPr>
          <w:lang w:eastAsia="ja-JP"/>
        </w:rPr>
        <w:t xml:space="preserve"> arm. According to the results for one of the </w:t>
      </w:r>
      <w:r w:rsidR="009B1120">
        <w:rPr>
          <w:lang w:eastAsia="ja-JP"/>
        </w:rPr>
        <w:t>Quality of life (</w:t>
      </w:r>
      <w:r w:rsidRPr="002A7971">
        <w:rPr>
          <w:lang w:eastAsia="ja-JP"/>
        </w:rPr>
        <w:t>QOL</w:t>
      </w:r>
      <w:r w:rsidR="009B1120">
        <w:rPr>
          <w:lang w:eastAsia="ja-JP"/>
        </w:rPr>
        <w:t>)</w:t>
      </w:r>
      <w:r w:rsidRPr="002A7971">
        <w:rPr>
          <w:lang w:eastAsia="ja-JP"/>
        </w:rPr>
        <w:t xml:space="preserve"> tools used, </w:t>
      </w:r>
      <w:proofErr w:type="spellStart"/>
      <w:r w:rsidRPr="002A7971">
        <w:rPr>
          <w:lang w:eastAsia="ja-JP"/>
        </w:rPr>
        <w:t>nivolumab</w:t>
      </w:r>
      <w:proofErr w:type="spellEnd"/>
      <w:r w:rsidRPr="002A7971">
        <w:rPr>
          <w:lang w:eastAsia="ja-JP"/>
        </w:rPr>
        <w:t xml:space="preserve"> was not associated with a worse quality of life compared to patients receiving </w:t>
      </w:r>
      <w:proofErr w:type="spellStart"/>
      <w:r w:rsidR="009B1120" w:rsidRPr="002A7971">
        <w:rPr>
          <w:lang w:eastAsia="ja-JP"/>
        </w:rPr>
        <w:t>everolimus</w:t>
      </w:r>
      <w:proofErr w:type="spellEnd"/>
      <w:r w:rsidRPr="002A7971">
        <w:rPr>
          <w:lang w:eastAsia="ja-JP"/>
        </w:rPr>
        <w:t>. However, the results for all QOL measures were not provided. Biological activity in patients with advanced clear cell renal cell carcinoma who have received one or two previous regimens of antiangiogenic therapy was also de</w:t>
      </w:r>
      <w:r>
        <w:rPr>
          <w:lang w:eastAsia="ja-JP"/>
        </w:rPr>
        <w:t>monstrated in the dose ranging S</w:t>
      </w:r>
      <w:r w:rsidRPr="002A7971">
        <w:rPr>
          <w:lang w:eastAsia="ja-JP"/>
        </w:rPr>
        <w:t>tudies CA209003, CA209009 and CA209010. These studies did not demonstrate dose dependent response across the range 2 mg/kg to 10 mg/kg and the dosing interval of 2 weeks or 3 weeks.</w:t>
      </w:r>
    </w:p>
    <w:p w14:paraId="618D7159" w14:textId="77777777" w:rsidR="004A6A76" w:rsidRPr="002A7971" w:rsidRDefault="004A6A76" w:rsidP="004A6A76">
      <w:pPr>
        <w:pStyle w:val="Heading5"/>
      </w:pPr>
      <w:r w:rsidRPr="002A7971">
        <w:t>Study CA209025</w:t>
      </w:r>
    </w:p>
    <w:p w14:paraId="0A4251A1" w14:textId="1AAA7BF4" w:rsidR="004A6A76" w:rsidRPr="002A7971" w:rsidRDefault="004A6A76" w:rsidP="004A6A76">
      <w:pPr>
        <w:rPr>
          <w:lang w:eastAsia="ja-JP"/>
        </w:rPr>
      </w:pPr>
      <w:r w:rsidRPr="002A7971">
        <w:rPr>
          <w:lang w:eastAsia="ja-JP"/>
        </w:rPr>
        <w:t xml:space="preserve">The pivotal study for this submission is Study CA209025, a </w:t>
      </w:r>
      <w:r w:rsidR="00AE2FFF">
        <w:rPr>
          <w:lang w:eastAsia="ja-JP"/>
        </w:rPr>
        <w:t>P</w:t>
      </w:r>
      <w:r w:rsidRPr="002A7971">
        <w:rPr>
          <w:lang w:eastAsia="ja-JP"/>
        </w:rPr>
        <w:t xml:space="preserve">hase </w:t>
      </w:r>
      <w:r w:rsidR="00AE2FFF">
        <w:rPr>
          <w:lang w:eastAsia="ja-JP"/>
        </w:rPr>
        <w:t>III</w:t>
      </w:r>
      <w:r w:rsidRPr="002A7971">
        <w:rPr>
          <w:lang w:eastAsia="ja-JP"/>
        </w:rPr>
        <w:t xml:space="preserve">, open label, randomised multicentre study in which 821 patients with metastatic renal cell carcinoma and a clear-cell component who had previously received one or two antiangiogenic regimens were randomised to </w:t>
      </w:r>
      <w:proofErr w:type="spellStart"/>
      <w:r w:rsidRPr="002A7971">
        <w:rPr>
          <w:lang w:eastAsia="ja-JP"/>
        </w:rPr>
        <w:t>nivolumab</w:t>
      </w:r>
      <w:proofErr w:type="spellEnd"/>
      <w:r w:rsidRPr="002A7971">
        <w:rPr>
          <w:lang w:eastAsia="ja-JP"/>
        </w:rPr>
        <w:t>, with a dosing r</w:t>
      </w:r>
      <w:r>
        <w:rPr>
          <w:lang w:eastAsia="ja-JP"/>
        </w:rPr>
        <w:t>e</w:t>
      </w:r>
      <w:r w:rsidR="005012D5">
        <w:rPr>
          <w:lang w:eastAsia="ja-JP"/>
        </w:rPr>
        <w:t>gimen of 3 mg/kg fortnightly (n </w:t>
      </w:r>
      <w:r w:rsidRPr="002A7971">
        <w:rPr>
          <w:lang w:eastAsia="ja-JP"/>
        </w:rPr>
        <w:t>=</w:t>
      </w:r>
      <w:r>
        <w:rPr>
          <w:lang w:eastAsia="ja-JP"/>
        </w:rPr>
        <w:t xml:space="preserve"> </w:t>
      </w:r>
      <w:r w:rsidRPr="002A7971">
        <w:rPr>
          <w:lang w:eastAsia="ja-JP"/>
        </w:rPr>
        <w:t xml:space="preserve">410), or </w:t>
      </w:r>
      <w:proofErr w:type="spellStart"/>
      <w:r w:rsidRPr="002A7971">
        <w:rPr>
          <w:lang w:eastAsia="ja-JP"/>
        </w:rPr>
        <w:t>everolimus</w:t>
      </w:r>
      <w:proofErr w:type="spellEnd"/>
      <w:r w:rsidRPr="002A7971">
        <w:rPr>
          <w:lang w:eastAsia="ja-JP"/>
        </w:rPr>
        <w:t xml:space="preserve">, 10 mg orally daily </w:t>
      </w:r>
      <w:r>
        <w:rPr>
          <w:lang w:eastAsia="ja-JP"/>
        </w:rPr>
        <w:t xml:space="preserve">(n </w:t>
      </w:r>
      <w:r w:rsidRPr="002A7971">
        <w:rPr>
          <w:lang w:eastAsia="ja-JP"/>
        </w:rPr>
        <w:t>=</w:t>
      </w:r>
      <w:r>
        <w:rPr>
          <w:lang w:eastAsia="ja-JP"/>
        </w:rPr>
        <w:t xml:space="preserve"> </w:t>
      </w:r>
      <w:r w:rsidRPr="002A7971">
        <w:rPr>
          <w:lang w:eastAsia="ja-JP"/>
        </w:rPr>
        <w:t xml:space="preserve">411). Enrolment in the study was ceased early after independent data monitoring committee review of a pre-planned formal interim OS analysis concluded that the study had met its end point with regard to significant results for overall survival. Crossover from the </w:t>
      </w:r>
      <w:proofErr w:type="spellStart"/>
      <w:r w:rsidRPr="002A7971">
        <w:rPr>
          <w:lang w:eastAsia="ja-JP"/>
        </w:rPr>
        <w:t>everolimus</w:t>
      </w:r>
      <w:proofErr w:type="spellEnd"/>
      <w:r w:rsidRPr="002A7971">
        <w:rPr>
          <w:lang w:eastAsia="ja-JP"/>
        </w:rPr>
        <w:t xml:space="preserve"> arm to the </w:t>
      </w:r>
      <w:proofErr w:type="spellStart"/>
      <w:r w:rsidRPr="002A7971">
        <w:rPr>
          <w:lang w:eastAsia="ja-JP"/>
        </w:rPr>
        <w:t>nivolumab</w:t>
      </w:r>
      <w:proofErr w:type="spellEnd"/>
      <w:r w:rsidRPr="002A7971">
        <w:rPr>
          <w:lang w:eastAsia="ja-JP"/>
        </w:rPr>
        <w:t xml:space="preserve"> arm was allowed following this.</w:t>
      </w:r>
    </w:p>
    <w:p w14:paraId="2D424F5A" w14:textId="05EC2F53" w:rsidR="004A6A76" w:rsidRPr="002A7971" w:rsidRDefault="004A6A76" w:rsidP="004A6A76">
      <w:pPr>
        <w:rPr>
          <w:lang w:eastAsia="ja-JP"/>
        </w:rPr>
      </w:pPr>
      <w:r w:rsidRPr="002A7971">
        <w:rPr>
          <w:lang w:eastAsia="ja-JP"/>
        </w:rPr>
        <w:t>The study was conducted in 146 sites across 24 countries.</w:t>
      </w:r>
      <w:r>
        <w:rPr>
          <w:lang w:eastAsia="ja-JP"/>
        </w:rPr>
        <w:t xml:space="preserve"> Enrolment occurred between October </w:t>
      </w:r>
      <w:r w:rsidRPr="002A7971">
        <w:rPr>
          <w:lang w:eastAsia="ja-JP"/>
        </w:rPr>
        <w:t>2012 and March 2014. Follow-up fo</w:t>
      </w:r>
      <w:r>
        <w:rPr>
          <w:lang w:eastAsia="ja-JP"/>
        </w:rPr>
        <w:t xml:space="preserve">r overall survival is ongoing; </w:t>
      </w:r>
      <w:r w:rsidRPr="002A7971">
        <w:rPr>
          <w:lang w:eastAsia="ja-JP"/>
        </w:rPr>
        <w:t xml:space="preserve">database lock for the final Clinical Study Report </w:t>
      </w:r>
      <w:r w:rsidR="00F12B6C">
        <w:rPr>
          <w:lang w:eastAsia="ja-JP"/>
        </w:rPr>
        <w:t xml:space="preserve">(CSR) </w:t>
      </w:r>
      <w:r w:rsidRPr="002A7971">
        <w:rPr>
          <w:lang w:eastAsia="ja-JP"/>
        </w:rPr>
        <w:t xml:space="preserve">provided in the dossier was June 2015. Inclusion criteria were: metastatic </w:t>
      </w:r>
      <w:r w:rsidR="004351A8">
        <w:rPr>
          <w:lang w:eastAsia="ja-JP"/>
        </w:rPr>
        <w:t>RCC</w:t>
      </w:r>
      <w:r w:rsidRPr="002A7971">
        <w:rPr>
          <w:lang w:eastAsia="ja-JP"/>
        </w:rPr>
        <w:t xml:space="preserve"> as already described; age ≥ 18 years; more than one but nor more than three previous regimens of systemic therapy with these not including an </w:t>
      </w:r>
      <w:proofErr w:type="spellStart"/>
      <w:r w:rsidRPr="002A7971">
        <w:rPr>
          <w:lang w:eastAsia="ja-JP"/>
        </w:rPr>
        <w:t>mTOR</w:t>
      </w:r>
      <w:proofErr w:type="spellEnd"/>
      <w:r w:rsidRPr="002A7971">
        <w:rPr>
          <w:lang w:eastAsia="ja-JP"/>
        </w:rPr>
        <w:t xml:space="preserve"> inhibitor; pre-study archival or recently collected tumour specimens at time of randomisation, disease progression after the last regimen occurring within 6 months prior to study entry, measurable disease according to the RECIST </w:t>
      </w:r>
      <w:r w:rsidR="004351A8">
        <w:rPr>
          <w:lang w:eastAsia="ja-JP"/>
        </w:rPr>
        <w:t>(</w:t>
      </w:r>
      <w:r w:rsidRPr="002A7971">
        <w:rPr>
          <w:lang w:eastAsia="ja-JP"/>
        </w:rPr>
        <w:t xml:space="preserve">version 1.1), </w:t>
      </w:r>
      <w:r w:rsidR="004351A8">
        <w:rPr>
          <w:lang w:eastAsia="ja-JP"/>
        </w:rPr>
        <w:t>KPS</w:t>
      </w:r>
      <w:r w:rsidRPr="002A7971">
        <w:rPr>
          <w:lang w:eastAsia="ja-JP"/>
        </w:rPr>
        <w:t xml:space="preserve"> of at least 70. Patients with </w:t>
      </w:r>
      <w:r w:rsidR="004351A8">
        <w:rPr>
          <w:lang w:eastAsia="ja-JP"/>
        </w:rPr>
        <w:t>central nervous system (</w:t>
      </w:r>
      <w:r w:rsidRPr="002A7971">
        <w:rPr>
          <w:lang w:eastAsia="ja-JP"/>
        </w:rPr>
        <w:t>CNS</w:t>
      </w:r>
      <w:r w:rsidR="004351A8">
        <w:rPr>
          <w:lang w:eastAsia="ja-JP"/>
        </w:rPr>
        <w:t>)</w:t>
      </w:r>
      <w:r w:rsidRPr="002A7971">
        <w:rPr>
          <w:lang w:eastAsia="ja-JP"/>
        </w:rPr>
        <w:t xml:space="preserve"> metastases, active autoimmune disease or medical condition requiring systemic immunosuppression or significant organ impairment were </w:t>
      </w:r>
      <w:r w:rsidR="00F059EA">
        <w:rPr>
          <w:lang w:eastAsia="ja-JP"/>
        </w:rPr>
        <w:t>excluded. Subjects were randomis</w:t>
      </w:r>
      <w:r w:rsidRPr="002A7971">
        <w:rPr>
          <w:lang w:eastAsia="ja-JP"/>
        </w:rPr>
        <w:t xml:space="preserve">ed 1:1 to </w:t>
      </w:r>
      <w:proofErr w:type="spellStart"/>
      <w:r w:rsidRPr="002A7971">
        <w:rPr>
          <w:lang w:eastAsia="ja-JP"/>
        </w:rPr>
        <w:t>nivolumab</w:t>
      </w:r>
      <w:proofErr w:type="spellEnd"/>
      <w:r w:rsidRPr="002A7971">
        <w:rPr>
          <w:lang w:eastAsia="ja-JP"/>
        </w:rPr>
        <w:t xml:space="preserve"> or </w:t>
      </w:r>
      <w:proofErr w:type="spellStart"/>
      <w:r w:rsidRPr="002A7971">
        <w:rPr>
          <w:lang w:eastAsia="ja-JP"/>
        </w:rPr>
        <w:t>everolimus</w:t>
      </w:r>
      <w:proofErr w:type="spellEnd"/>
      <w:r w:rsidRPr="002A7971">
        <w:rPr>
          <w:lang w:eastAsia="ja-JP"/>
        </w:rPr>
        <w:t xml:space="preserve"> </w:t>
      </w:r>
      <w:r w:rsidRPr="002A7971">
        <w:rPr>
          <w:lang w:eastAsia="ja-JP"/>
        </w:rPr>
        <w:lastRenderedPageBreak/>
        <w:t>and stratified according to the following: geographic region (US/Canad</w:t>
      </w:r>
      <w:r w:rsidR="00F059EA">
        <w:rPr>
          <w:lang w:eastAsia="ja-JP"/>
        </w:rPr>
        <w:t>a versus Western Europe versus Rest of the World</w:t>
      </w:r>
      <w:r w:rsidRPr="002A7971">
        <w:rPr>
          <w:lang w:eastAsia="ja-JP"/>
        </w:rPr>
        <w:t xml:space="preserve">), </w:t>
      </w:r>
      <w:r w:rsidR="00F059EA">
        <w:rPr>
          <w:lang w:eastAsia="ja-JP"/>
        </w:rPr>
        <w:t>MSKCC</w:t>
      </w:r>
      <w:r w:rsidRPr="002A7971">
        <w:rPr>
          <w:lang w:eastAsia="ja-JP"/>
        </w:rPr>
        <w:t xml:space="preserve"> risk groups (favourable versus intermediate versus poor), and number of prior anti-angiogenic therapies (1 versus 2). The study was conducted in accordance with </w:t>
      </w:r>
      <w:r w:rsidR="00F059EA">
        <w:rPr>
          <w:lang w:eastAsia="ja-JP"/>
        </w:rPr>
        <w:t>Good Clinical Practice (</w:t>
      </w:r>
      <w:r w:rsidRPr="002A7971">
        <w:rPr>
          <w:lang w:eastAsia="ja-JP"/>
        </w:rPr>
        <w:t>GCP</w:t>
      </w:r>
      <w:r w:rsidR="00F059EA">
        <w:rPr>
          <w:lang w:eastAsia="ja-JP"/>
        </w:rPr>
        <w:t>) guidelines</w:t>
      </w:r>
      <w:r w:rsidRPr="002A7971">
        <w:rPr>
          <w:lang w:eastAsia="ja-JP"/>
        </w:rPr>
        <w:t xml:space="preserve"> and there were no protocol amendments or protocol deviations that would have affected the results of the study.</w:t>
      </w:r>
    </w:p>
    <w:p w14:paraId="63EAFC92" w14:textId="14421741" w:rsidR="004A6A76" w:rsidRPr="002A7971" w:rsidRDefault="004A6A76" w:rsidP="004A6A76">
      <w:pPr>
        <w:rPr>
          <w:lang w:eastAsia="ja-JP"/>
        </w:rPr>
      </w:pPr>
      <w:r w:rsidRPr="002A7971">
        <w:rPr>
          <w:lang w:eastAsia="ja-JP"/>
        </w:rPr>
        <w:t xml:space="preserve">There were 821 patients randomised, of whom 406 in the </w:t>
      </w:r>
      <w:proofErr w:type="spellStart"/>
      <w:r w:rsidRPr="002A7971">
        <w:rPr>
          <w:lang w:eastAsia="ja-JP"/>
        </w:rPr>
        <w:t>nivolumab</w:t>
      </w:r>
      <w:proofErr w:type="spellEnd"/>
      <w:r w:rsidRPr="002A7971">
        <w:rPr>
          <w:lang w:eastAsia="ja-JP"/>
        </w:rPr>
        <w:t xml:space="preserve"> arm were treated and 397 in the </w:t>
      </w:r>
      <w:proofErr w:type="spellStart"/>
      <w:r w:rsidRPr="002A7971">
        <w:rPr>
          <w:lang w:eastAsia="ja-JP"/>
        </w:rPr>
        <w:t>everolimus</w:t>
      </w:r>
      <w:proofErr w:type="spellEnd"/>
      <w:r w:rsidRPr="002A7971">
        <w:rPr>
          <w:lang w:eastAsia="ja-JP"/>
        </w:rPr>
        <w:t xml:space="preserve"> arm. The most common reasons for not receiving treatment in the </w:t>
      </w:r>
      <w:proofErr w:type="spellStart"/>
      <w:r w:rsidRPr="002A7971">
        <w:rPr>
          <w:lang w:eastAsia="ja-JP"/>
        </w:rPr>
        <w:t>nivolumab</w:t>
      </w:r>
      <w:proofErr w:type="spellEnd"/>
      <w:r w:rsidRPr="002A7971">
        <w:rPr>
          <w:lang w:eastAsia="ja-JP"/>
        </w:rPr>
        <w:t xml:space="preserve"> arm included patient no longer meeting study criteria (</w:t>
      </w:r>
      <w:r>
        <w:rPr>
          <w:lang w:eastAsia="ja-JP"/>
        </w:rPr>
        <w:t xml:space="preserve">n = </w:t>
      </w:r>
      <w:r w:rsidRPr="002A7971">
        <w:rPr>
          <w:lang w:eastAsia="ja-JP"/>
        </w:rPr>
        <w:t>2) and patient withdrawing consent (</w:t>
      </w:r>
      <w:r>
        <w:rPr>
          <w:lang w:eastAsia="ja-JP"/>
        </w:rPr>
        <w:t xml:space="preserve">n = </w:t>
      </w:r>
      <w:r w:rsidRPr="002A7971">
        <w:rPr>
          <w:lang w:eastAsia="ja-JP"/>
        </w:rPr>
        <w:t xml:space="preserve">8) in the </w:t>
      </w:r>
      <w:proofErr w:type="spellStart"/>
      <w:r w:rsidRPr="002A7971">
        <w:rPr>
          <w:lang w:eastAsia="ja-JP"/>
        </w:rPr>
        <w:t>everolimus</w:t>
      </w:r>
      <w:proofErr w:type="spellEnd"/>
      <w:r w:rsidRPr="002A7971">
        <w:rPr>
          <w:lang w:eastAsia="ja-JP"/>
        </w:rPr>
        <w:t xml:space="preserve"> arm. At the time of analysis, there were 95 patients continuing in treatment (67 in the </w:t>
      </w:r>
      <w:proofErr w:type="spellStart"/>
      <w:r w:rsidRPr="002A7971">
        <w:rPr>
          <w:lang w:eastAsia="ja-JP"/>
        </w:rPr>
        <w:t>nivolumab</w:t>
      </w:r>
      <w:proofErr w:type="spellEnd"/>
      <w:r w:rsidRPr="002A7971">
        <w:rPr>
          <w:lang w:eastAsia="ja-JP"/>
        </w:rPr>
        <w:t xml:space="preserve"> arm and 28 in the </w:t>
      </w:r>
      <w:proofErr w:type="spellStart"/>
      <w:r w:rsidRPr="002A7971">
        <w:rPr>
          <w:lang w:eastAsia="ja-JP"/>
        </w:rPr>
        <w:t>everolimus</w:t>
      </w:r>
      <w:proofErr w:type="spellEnd"/>
      <w:r w:rsidRPr="002A7971">
        <w:rPr>
          <w:lang w:eastAsia="ja-JP"/>
        </w:rPr>
        <w:t xml:space="preserve"> arm). The most common reason for discontinuing treatment in each arm was disease progression (285 patients in the </w:t>
      </w:r>
      <w:proofErr w:type="spellStart"/>
      <w:r w:rsidRPr="002A7971">
        <w:rPr>
          <w:lang w:eastAsia="ja-JP"/>
        </w:rPr>
        <w:t>nivolumab</w:t>
      </w:r>
      <w:proofErr w:type="spellEnd"/>
      <w:r w:rsidRPr="002A7971">
        <w:rPr>
          <w:lang w:eastAsia="ja-JP"/>
        </w:rPr>
        <w:t xml:space="preserve"> arm and 273 patients in the </w:t>
      </w:r>
      <w:proofErr w:type="spellStart"/>
      <w:r w:rsidRPr="002A7971">
        <w:rPr>
          <w:lang w:eastAsia="ja-JP"/>
        </w:rPr>
        <w:t>everolimus</w:t>
      </w:r>
      <w:proofErr w:type="spellEnd"/>
      <w:r w:rsidRPr="002A7971">
        <w:rPr>
          <w:lang w:eastAsia="ja-JP"/>
        </w:rPr>
        <w:t xml:space="preserve"> arm). There were 35 patients in the </w:t>
      </w:r>
      <w:proofErr w:type="spellStart"/>
      <w:r w:rsidRPr="002A7971">
        <w:rPr>
          <w:lang w:eastAsia="ja-JP"/>
        </w:rPr>
        <w:t>nivolumab</w:t>
      </w:r>
      <w:proofErr w:type="spellEnd"/>
      <w:r w:rsidRPr="002A7971">
        <w:rPr>
          <w:lang w:eastAsia="ja-JP"/>
        </w:rPr>
        <w:t xml:space="preserve"> arm who discontinued treatment due to drug toxicity and 53 in the </w:t>
      </w:r>
      <w:proofErr w:type="spellStart"/>
      <w:r w:rsidRPr="002A7971">
        <w:rPr>
          <w:lang w:eastAsia="ja-JP"/>
        </w:rPr>
        <w:t>everolimus</w:t>
      </w:r>
      <w:proofErr w:type="spellEnd"/>
      <w:r w:rsidRPr="002A7971">
        <w:rPr>
          <w:lang w:eastAsia="ja-JP"/>
        </w:rPr>
        <w:t xml:space="preserve"> arm. There were 2 patients in the </w:t>
      </w:r>
      <w:proofErr w:type="spellStart"/>
      <w:r w:rsidRPr="002A7971">
        <w:rPr>
          <w:lang w:eastAsia="ja-JP"/>
        </w:rPr>
        <w:t>nivolumab</w:t>
      </w:r>
      <w:proofErr w:type="spellEnd"/>
      <w:r w:rsidRPr="002A7971">
        <w:rPr>
          <w:lang w:eastAsia="ja-JP"/>
        </w:rPr>
        <w:t xml:space="preserve"> arm and 3 patients in the </w:t>
      </w:r>
      <w:proofErr w:type="spellStart"/>
      <w:r w:rsidRPr="002A7971">
        <w:rPr>
          <w:lang w:eastAsia="ja-JP"/>
        </w:rPr>
        <w:t>everolimus</w:t>
      </w:r>
      <w:proofErr w:type="spellEnd"/>
      <w:r w:rsidRPr="002A7971">
        <w:rPr>
          <w:lang w:eastAsia="ja-JP"/>
        </w:rPr>
        <w:t xml:space="preserve"> arm who discontinued treatment after achieving </w:t>
      </w:r>
      <w:r>
        <w:rPr>
          <w:lang w:eastAsia="ja-JP"/>
        </w:rPr>
        <w:t>‘</w:t>
      </w:r>
      <w:r w:rsidRPr="002A7971">
        <w:rPr>
          <w:lang w:eastAsia="ja-JP"/>
        </w:rPr>
        <w:t>maximum clinical benefit</w:t>
      </w:r>
      <w:r>
        <w:rPr>
          <w:lang w:eastAsia="ja-JP"/>
        </w:rPr>
        <w:t>’</w:t>
      </w:r>
      <w:r w:rsidR="00F059EA">
        <w:rPr>
          <w:lang w:eastAsia="ja-JP"/>
        </w:rPr>
        <w:t>.</w:t>
      </w:r>
    </w:p>
    <w:p w14:paraId="48E854D1" w14:textId="6DED4308" w:rsidR="004A6A76" w:rsidRPr="002A7971" w:rsidRDefault="004A6A76" w:rsidP="004A6A76">
      <w:pPr>
        <w:rPr>
          <w:lang w:eastAsia="ja-JP"/>
        </w:rPr>
      </w:pPr>
      <w:r w:rsidRPr="002A7971">
        <w:rPr>
          <w:lang w:eastAsia="ja-JP"/>
        </w:rPr>
        <w:t xml:space="preserve">For the randomised patients, the median age 62 years (range: 18 to 88); 88% were </w:t>
      </w:r>
      <w:r w:rsidR="00AE2FFF">
        <w:rPr>
          <w:lang w:eastAsia="ja-JP"/>
        </w:rPr>
        <w:t>W</w:t>
      </w:r>
      <w:r w:rsidR="00AE2FFF" w:rsidRPr="002A7971">
        <w:rPr>
          <w:lang w:eastAsia="ja-JP"/>
        </w:rPr>
        <w:t>hite</w:t>
      </w:r>
      <w:r w:rsidRPr="002A7971">
        <w:rPr>
          <w:lang w:eastAsia="ja-JP"/>
        </w:rPr>
        <w:t>; 75% were male; 83% had 2 or more baseline disease sites; 88% had had prior nephrectomy; 59% and 22% of subjects were in the intermedi</w:t>
      </w:r>
      <w:r w:rsidR="00F059EA">
        <w:rPr>
          <w:lang w:eastAsia="ja-JP"/>
        </w:rPr>
        <w:t xml:space="preserve">ate or poor </w:t>
      </w:r>
      <w:proofErr w:type="spellStart"/>
      <w:r w:rsidR="00F059EA">
        <w:rPr>
          <w:lang w:eastAsia="ja-JP"/>
        </w:rPr>
        <w:t>Heng</w:t>
      </w:r>
      <w:proofErr w:type="spellEnd"/>
      <w:r w:rsidR="00F059EA">
        <w:rPr>
          <w:lang w:eastAsia="ja-JP"/>
        </w:rPr>
        <w:t xml:space="preserve"> risk group at B</w:t>
      </w:r>
      <w:r w:rsidRPr="002A7971">
        <w:rPr>
          <w:lang w:eastAsia="ja-JP"/>
        </w:rPr>
        <w:t>aseline respectively. These attributes were evenly matched across the treatment arms.</w:t>
      </w:r>
    </w:p>
    <w:p w14:paraId="140A9F5C" w14:textId="77777777" w:rsidR="004A6A76" w:rsidRPr="002A7971" w:rsidRDefault="004A6A76" w:rsidP="004A6A76">
      <w:pPr>
        <w:pStyle w:val="Heading6"/>
        <w:rPr>
          <w:lang w:eastAsia="ja-JP"/>
        </w:rPr>
      </w:pPr>
      <w:r w:rsidRPr="002A7971">
        <w:rPr>
          <w:lang w:eastAsia="ja-JP"/>
        </w:rPr>
        <w:t>Primary efficacy outcome measure</w:t>
      </w:r>
    </w:p>
    <w:p w14:paraId="76904032" w14:textId="15CC60FD" w:rsidR="004A6A76" w:rsidRDefault="004A6A76" w:rsidP="004A6A76">
      <w:pPr>
        <w:rPr>
          <w:lang w:eastAsia="ja-JP"/>
        </w:rPr>
      </w:pPr>
      <w:r w:rsidRPr="002A7971">
        <w:rPr>
          <w:lang w:eastAsia="ja-JP"/>
        </w:rPr>
        <w:t>At the time of the pre-planned interim analysis for the randomised population, wit</w:t>
      </w:r>
      <w:r w:rsidR="00F059EA">
        <w:rPr>
          <w:lang w:eastAsia="ja-JP"/>
        </w:rPr>
        <w:t xml:space="preserve">h median follow-up for OS of 17 to </w:t>
      </w:r>
      <w:r w:rsidRPr="002A7971">
        <w:rPr>
          <w:lang w:eastAsia="ja-JP"/>
        </w:rPr>
        <w:t xml:space="preserve">18 months, there had been 183/410 (44.6%) deaths in the </w:t>
      </w:r>
      <w:proofErr w:type="spellStart"/>
      <w:r w:rsidRPr="002A7971">
        <w:rPr>
          <w:lang w:eastAsia="ja-JP"/>
        </w:rPr>
        <w:t>nivolumab</w:t>
      </w:r>
      <w:proofErr w:type="spellEnd"/>
      <w:r w:rsidRPr="002A7971">
        <w:rPr>
          <w:lang w:eastAsia="ja-JP"/>
        </w:rPr>
        <w:t xml:space="preserve"> arm compared to 215/411 (52.3%) in the </w:t>
      </w:r>
      <w:proofErr w:type="spellStart"/>
      <w:r w:rsidRPr="002A7971">
        <w:rPr>
          <w:lang w:eastAsia="ja-JP"/>
        </w:rPr>
        <w:t>everolimus</w:t>
      </w:r>
      <w:proofErr w:type="spellEnd"/>
      <w:r w:rsidRPr="002A7971">
        <w:rPr>
          <w:lang w:eastAsia="ja-JP"/>
        </w:rPr>
        <w:t xml:space="preserve"> arm; </w:t>
      </w:r>
      <w:r w:rsidR="00F059EA">
        <w:rPr>
          <w:lang w:eastAsia="ja-JP"/>
        </w:rPr>
        <w:t>the hazard ratio (</w:t>
      </w:r>
      <w:r w:rsidRPr="002A7971">
        <w:rPr>
          <w:lang w:eastAsia="ja-JP"/>
        </w:rPr>
        <w:t>HR</w:t>
      </w:r>
      <w:r w:rsidR="00F059EA">
        <w:rPr>
          <w:lang w:eastAsia="ja-JP"/>
        </w:rPr>
        <w:t>) was</w:t>
      </w:r>
      <w:r w:rsidRPr="002A7971">
        <w:rPr>
          <w:lang w:eastAsia="ja-JP"/>
        </w:rPr>
        <w:t xml:space="preserve"> 0.73 (95% </w:t>
      </w:r>
      <w:r w:rsidR="00F059EA">
        <w:rPr>
          <w:lang w:eastAsia="ja-JP"/>
        </w:rPr>
        <w:t>confidence interval (</w:t>
      </w:r>
      <w:r w:rsidRPr="002A7971">
        <w:rPr>
          <w:lang w:eastAsia="ja-JP"/>
        </w:rPr>
        <w:t>CI</w:t>
      </w:r>
      <w:r w:rsidR="00F059EA">
        <w:rPr>
          <w:lang w:eastAsia="ja-JP"/>
        </w:rPr>
        <w:t>)</w:t>
      </w:r>
      <w:r w:rsidRPr="002A7971">
        <w:rPr>
          <w:lang w:eastAsia="ja-JP"/>
        </w:rPr>
        <w:t xml:space="preserve"> 0.57, 0.93). Median survival (</w:t>
      </w:r>
      <w:r w:rsidR="00F059EA">
        <w:rPr>
          <w:lang w:eastAsia="ja-JP"/>
        </w:rPr>
        <w:t>Kaplan-Meier (K-M)</w:t>
      </w:r>
      <w:r w:rsidRPr="002A7971">
        <w:rPr>
          <w:lang w:eastAsia="ja-JP"/>
        </w:rPr>
        <w:t xml:space="preserve"> estimate) was 25.0 months (95%</w:t>
      </w:r>
      <w:r>
        <w:rPr>
          <w:lang w:eastAsia="ja-JP"/>
        </w:rPr>
        <w:t xml:space="preserve"> </w:t>
      </w:r>
      <w:r w:rsidRPr="002A7971">
        <w:rPr>
          <w:lang w:eastAsia="ja-JP"/>
        </w:rPr>
        <w:t xml:space="preserve">CI 21.8, </w:t>
      </w:r>
      <w:r w:rsidR="009F3A7D">
        <w:rPr>
          <w:lang w:eastAsia="ja-JP"/>
        </w:rPr>
        <w:t>not reached</w:t>
      </w:r>
      <w:r w:rsidR="00F059EA">
        <w:rPr>
          <w:lang w:eastAsia="ja-JP"/>
        </w:rPr>
        <w:t xml:space="preserve"> (</w:t>
      </w:r>
      <w:r w:rsidRPr="002A7971">
        <w:rPr>
          <w:lang w:eastAsia="ja-JP"/>
        </w:rPr>
        <w:t>NR</w:t>
      </w:r>
      <w:r w:rsidR="00F059EA">
        <w:rPr>
          <w:lang w:eastAsia="ja-JP"/>
        </w:rPr>
        <w:t>)</w:t>
      </w:r>
      <w:r w:rsidRPr="002A7971">
        <w:rPr>
          <w:lang w:eastAsia="ja-JP"/>
        </w:rPr>
        <w:t xml:space="preserve">) in the </w:t>
      </w:r>
      <w:proofErr w:type="spellStart"/>
      <w:r w:rsidRPr="002A7971">
        <w:rPr>
          <w:lang w:eastAsia="ja-JP"/>
        </w:rPr>
        <w:t>nivolumab</w:t>
      </w:r>
      <w:proofErr w:type="spellEnd"/>
      <w:r w:rsidRPr="002A7971">
        <w:rPr>
          <w:lang w:eastAsia="ja-JP"/>
        </w:rPr>
        <w:t xml:space="preserve"> arm compared to </w:t>
      </w:r>
      <w:r w:rsidR="00F059EA">
        <w:rPr>
          <w:lang w:eastAsia="ja-JP"/>
        </w:rPr>
        <w:t>19.6 months (95% CI 17.6, 23.1) (see Figure 4, below).</w:t>
      </w:r>
    </w:p>
    <w:p w14:paraId="16FBABB6" w14:textId="65B6EF20" w:rsidR="004A6A76" w:rsidRPr="002A7971" w:rsidRDefault="00F059EA" w:rsidP="004A6A76">
      <w:pPr>
        <w:pStyle w:val="FigureTitle"/>
        <w:rPr>
          <w:lang w:eastAsia="ja-JP"/>
        </w:rPr>
      </w:pPr>
      <w:proofErr w:type="gramStart"/>
      <w:r>
        <w:rPr>
          <w:lang w:eastAsia="ja-JP"/>
        </w:rPr>
        <w:lastRenderedPageBreak/>
        <w:t>Figure 4</w:t>
      </w:r>
      <w:r w:rsidR="004A6A76">
        <w:rPr>
          <w:lang w:eastAsia="ja-JP"/>
        </w:rPr>
        <w:t>.</w:t>
      </w:r>
      <w:proofErr w:type="gramEnd"/>
      <w:r w:rsidR="004A6A76">
        <w:rPr>
          <w:lang w:eastAsia="ja-JP"/>
        </w:rPr>
        <w:t xml:space="preserve"> Kaplan-Meier overall survival plot, all randomised subjects</w:t>
      </w:r>
    </w:p>
    <w:p w14:paraId="4FF72E2C" w14:textId="77777777" w:rsidR="004A6A76" w:rsidRPr="002A7971" w:rsidRDefault="004A6A76" w:rsidP="004A6A76">
      <w:pPr>
        <w:rPr>
          <w:lang w:eastAsia="ja-JP"/>
        </w:rPr>
      </w:pPr>
      <w:r w:rsidRPr="002A7971">
        <w:rPr>
          <w:noProof/>
          <w:lang w:eastAsia="en-AU"/>
        </w:rPr>
        <w:drawing>
          <wp:inline distT="0" distB="0" distL="0" distR="0" wp14:anchorId="2890E2EE" wp14:editId="3BE2401A">
            <wp:extent cx="4529401" cy="4075776"/>
            <wp:effectExtent l="0" t="0" r="5080" b="1270"/>
            <wp:docPr id="64" name="Picture 14" descr="Figure 4. Kaplan-Meier overall survival plot,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t="4586" b="3002"/>
                    <a:stretch/>
                  </pic:blipFill>
                  <pic:spPr bwMode="auto">
                    <a:xfrm>
                      <a:off x="0" y="0"/>
                      <a:ext cx="4535288" cy="4081073"/>
                    </a:xfrm>
                    <a:prstGeom prst="rect">
                      <a:avLst/>
                    </a:prstGeom>
                    <a:noFill/>
                    <a:ln>
                      <a:noFill/>
                    </a:ln>
                    <a:extLst>
                      <a:ext uri="{53640926-AAD7-44D8-BBD7-CCE9431645EC}">
                        <a14:shadowObscured xmlns:a14="http://schemas.microsoft.com/office/drawing/2010/main"/>
                      </a:ext>
                    </a:extLst>
                  </pic:spPr>
                </pic:pic>
              </a:graphicData>
            </a:graphic>
          </wp:inline>
        </w:drawing>
      </w:r>
    </w:p>
    <w:p w14:paraId="58B32BA5" w14:textId="77777777" w:rsidR="004A6A76" w:rsidRPr="002A7971" w:rsidRDefault="004A6A76" w:rsidP="004A6A76">
      <w:pPr>
        <w:rPr>
          <w:lang w:eastAsia="ja-JP"/>
        </w:rPr>
      </w:pPr>
      <w:r w:rsidRPr="002A7971">
        <w:rPr>
          <w:lang w:eastAsia="ja-JP"/>
        </w:rPr>
        <w:t>The results of 3 sensitivity analyses (</w:t>
      </w:r>
      <w:proofErr w:type="spellStart"/>
      <w:r w:rsidRPr="002A7971">
        <w:rPr>
          <w:lang w:eastAsia="ja-JP"/>
        </w:rPr>
        <w:t>unstratified</w:t>
      </w:r>
      <w:proofErr w:type="spellEnd"/>
      <w:r w:rsidRPr="002A7971">
        <w:rPr>
          <w:lang w:eastAsia="ja-JP"/>
        </w:rPr>
        <w:t xml:space="preserve"> analysis, analysis using stratification factors as determined at baseline and analysis of all treated subjects) were consistent with the primary OS analysis. The result of analysis of pre-specified subgroups was also consistent, except for the groups </w:t>
      </w:r>
      <w:r>
        <w:rPr>
          <w:lang w:eastAsia="ja-JP"/>
        </w:rPr>
        <w:t>‘</w:t>
      </w:r>
      <w:r w:rsidRPr="002A7971">
        <w:rPr>
          <w:lang w:eastAsia="ja-JP"/>
        </w:rPr>
        <w:t>Asian</w:t>
      </w:r>
      <w:r>
        <w:rPr>
          <w:lang w:eastAsia="ja-JP"/>
        </w:rPr>
        <w:t>’</w:t>
      </w:r>
      <w:r w:rsidRPr="002A7971">
        <w:rPr>
          <w:lang w:eastAsia="ja-JP"/>
        </w:rPr>
        <w:t xml:space="preserve"> and age 75 years or more (absence of demonstrated benefit in the Asian population may be relevant to the target population in Australia). </w:t>
      </w:r>
    </w:p>
    <w:p w14:paraId="6C9E34BA" w14:textId="4BC03282" w:rsidR="004A6A76" w:rsidRPr="00A933EA" w:rsidRDefault="00F059EA" w:rsidP="004A6A76">
      <w:r>
        <w:t>OS</w:t>
      </w:r>
      <w:r w:rsidR="004A6A76" w:rsidRPr="00A933EA">
        <w:t xml:space="preserve"> according to tumour PD-L1 expression, positive or negative, appeared to have similar benefit with </w:t>
      </w:r>
      <w:proofErr w:type="spellStart"/>
      <w:r w:rsidR="004A6A76" w:rsidRPr="00A933EA">
        <w:t>ni</w:t>
      </w:r>
      <w:r w:rsidR="00AF0BB6">
        <w:t>volumab</w:t>
      </w:r>
      <w:proofErr w:type="spellEnd"/>
      <w:r w:rsidR="00AF0BB6">
        <w:t xml:space="preserve"> compared to </w:t>
      </w:r>
      <w:proofErr w:type="spellStart"/>
      <w:r w:rsidR="00AF0BB6">
        <w:t>everolimus</w:t>
      </w:r>
      <w:proofErr w:type="spellEnd"/>
      <w:r w:rsidR="00AF0BB6">
        <w:t>.</w:t>
      </w:r>
    </w:p>
    <w:p w14:paraId="0C59B0F8" w14:textId="77777777" w:rsidR="004A6A76" w:rsidRPr="002A7971" w:rsidRDefault="004A6A76" w:rsidP="004A6A76">
      <w:pPr>
        <w:pStyle w:val="Heading6"/>
        <w:rPr>
          <w:rFonts w:eastAsia="TimesNewRoman"/>
          <w:lang w:eastAsia="ja-JP"/>
        </w:rPr>
      </w:pPr>
      <w:r w:rsidRPr="002A7971">
        <w:rPr>
          <w:rFonts w:eastAsia="TimesNewRoman"/>
          <w:lang w:eastAsia="ja-JP"/>
        </w:rPr>
        <w:t>Secondary outcome measures</w:t>
      </w:r>
    </w:p>
    <w:p w14:paraId="67E6D50F" w14:textId="4FB483CA" w:rsidR="004A6A76" w:rsidRPr="002A7971" w:rsidRDefault="004A6A76" w:rsidP="004A6A76">
      <w:pPr>
        <w:rPr>
          <w:lang w:eastAsia="ja-JP"/>
        </w:rPr>
      </w:pPr>
      <w:r w:rsidRPr="002A7971">
        <w:rPr>
          <w:lang w:eastAsia="ja-JP"/>
        </w:rPr>
        <w:t>Secondary efficacy outcome measures included objective response rate</w:t>
      </w:r>
      <w:r w:rsidR="00AF0BB6">
        <w:rPr>
          <w:lang w:eastAsia="ja-JP"/>
        </w:rPr>
        <w:t xml:space="preserve"> (ORR)</w:t>
      </w:r>
      <w:r w:rsidRPr="002A7971">
        <w:rPr>
          <w:lang w:eastAsia="ja-JP"/>
        </w:rPr>
        <w:t xml:space="preserve">, </w:t>
      </w:r>
      <w:r w:rsidR="00AF0BB6">
        <w:rPr>
          <w:lang w:eastAsia="ja-JP"/>
        </w:rPr>
        <w:t>PFS</w:t>
      </w:r>
      <w:r w:rsidRPr="002A7971">
        <w:rPr>
          <w:lang w:eastAsia="ja-JP"/>
        </w:rPr>
        <w:t xml:space="preserve"> and duration of response. These outcome measures also favoured </w:t>
      </w:r>
      <w:proofErr w:type="spellStart"/>
      <w:r w:rsidRPr="002A7971">
        <w:rPr>
          <w:lang w:eastAsia="ja-JP"/>
        </w:rPr>
        <w:t>nivolumab</w:t>
      </w:r>
      <w:proofErr w:type="spellEnd"/>
      <w:r w:rsidRPr="002A7971">
        <w:rPr>
          <w:lang w:eastAsia="ja-JP"/>
        </w:rPr>
        <w:t xml:space="preserve"> with 103 patients with best response of CR or PR in the </w:t>
      </w:r>
      <w:proofErr w:type="spellStart"/>
      <w:r w:rsidRPr="002A7971">
        <w:rPr>
          <w:lang w:eastAsia="ja-JP"/>
        </w:rPr>
        <w:t>nivolumab</w:t>
      </w:r>
      <w:proofErr w:type="spellEnd"/>
      <w:r w:rsidRPr="002A7971">
        <w:rPr>
          <w:lang w:eastAsia="ja-JP"/>
        </w:rPr>
        <w:t xml:space="preserve"> arm compared to 22 in the </w:t>
      </w:r>
      <w:proofErr w:type="spellStart"/>
      <w:r w:rsidRPr="002A7971">
        <w:rPr>
          <w:lang w:eastAsia="ja-JP"/>
        </w:rPr>
        <w:t>everolimus</w:t>
      </w:r>
      <w:proofErr w:type="spellEnd"/>
      <w:r w:rsidRPr="002A7971">
        <w:rPr>
          <w:lang w:eastAsia="ja-JP"/>
        </w:rPr>
        <w:t xml:space="preserve"> arm. The objective response rate was 25.1% compared to 5.4% with </w:t>
      </w:r>
      <w:proofErr w:type="spellStart"/>
      <w:r w:rsidRPr="002A7971">
        <w:rPr>
          <w:lang w:eastAsia="ja-JP"/>
        </w:rPr>
        <w:t>everolimu</w:t>
      </w:r>
      <w:r>
        <w:rPr>
          <w:lang w:eastAsia="ja-JP"/>
        </w:rPr>
        <w:t>s</w:t>
      </w:r>
      <w:proofErr w:type="spellEnd"/>
      <w:r>
        <w:rPr>
          <w:lang w:eastAsia="ja-JP"/>
        </w:rPr>
        <w:t xml:space="preserve"> (odds ratio </w:t>
      </w:r>
      <w:r w:rsidR="00AF0BB6">
        <w:rPr>
          <w:lang w:eastAsia="ja-JP"/>
        </w:rPr>
        <w:t xml:space="preserve">(OR) </w:t>
      </w:r>
      <w:r>
        <w:rPr>
          <w:lang w:eastAsia="ja-JP"/>
        </w:rPr>
        <w:t xml:space="preserve">5.98, 95% CI: 3.68 to </w:t>
      </w:r>
      <w:r w:rsidRPr="002A7971">
        <w:rPr>
          <w:lang w:eastAsia="ja-JP"/>
        </w:rPr>
        <w:t>9.72, p</w:t>
      </w:r>
      <w:r>
        <w:rPr>
          <w:lang w:eastAsia="ja-JP"/>
        </w:rPr>
        <w:t xml:space="preserve"> </w:t>
      </w:r>
      <w:r w:rsidRPr="002A7971">
        <w:rPr>
          <w:lang w:eastAsia="ja-JP"/>
        </w:rPr>
        <w:t xml:space="preserve">&lt; 0.0001). The median duration of response was 12 months in all responders, </w:t>
      </w:r>
      <w:proofErr w:type="spellStart"/>
      <w:r w:rsidRPr="002A7971">
        <w:rPr>
          <w:lang w:eastAsia="ja-JP"/>
        </w:rPr>
        <w:t>nivolumab</w:t>
      </w:r>
      <w:proofErr w:type="spellEnd"/>
      <w:r w:rsidRPr="002A7971">
        <w:rPr>
          <w:lang w:eastAsia="ja-JP"/>
        </w:rPr>
        <w:t xml:space="preserve"> and </w:t>
      </w:r>
      <w:proofErr w:type="spellStart"/>
      <w:r w:rsidRPr="002A7971">
        <w:rPr>
          <w:lang w:eastAsia="ja-JP"/>
        </w:rPr>
        <w:t>everolimus</w:t>
      </w:r>
      <w:proofErr w:type="spellEnd"/>
      <w:r w:rsidRPr="002A7971">
        <w:rPr>
          <w:lang w:eastAsia="ja-JP"/>
        </w:rPr>
        <w:t xml:space="preserve"> arms. There was no significant difference in </w:t>
      </w:r>
      <w:r w:rsidR="00AF0BB6">
        <w:rPr>
          <w:lang w:eastAsia="ja-JP"/>
        </w:rPr>
        <w:t>PFS</w:t>
      </w:r>
      <w:r w:rsidRPr="002A7971">
        <w:rPr>
          <w:lang w:eastAsia="ja-JP"/>
        </w:rPr>
        <w:t xml:space="preserve"> with the </w:t>
      </w:r>
      <w:r w:rsidR="00AF0BB6">
        <w:rPr>
          <w:lang w:eastAsia="ja-JP"/>
        </w:rPr>
        <w:t>K-M</w:t>
      </w:r>
      <w:r w:rsidRPr="002A7971">
        <w:rPr>
          <w:lang w:eastAsia="ja-JP"/>
        </w:rPr>
        <w:t xml:space="preserve"> estimate for me</w:t>
      </w:r>
      <w:r>
        <w:rPr>
          <w:lang w:eastAsia="ja-JP"/>
        </w:rPr>
        <w:t xml:space="preserve">dian PFS 4.6 months (95% CI 3.7 to </w:t>
      </w:r>
      <w:r w:rsidRPr="002A7971">
        <w:rPr>
          <w:lang w:eastAsia="ja-JP"/>
        </w:rPr>
        <w:t xml:space="preserve">5.4) in the </w:t>
      </w:r>
      <w:proofErr w:type="spellStart"/>
      <w:r w:rsidRPr="002A7971">
        <w:rPr>
          <w:lang w:eastAsia="ja-JP"/>
        </w:rPr>
        <w:t>nivolumab</w:t>
      </w:r>
      <w:proofErr w:type="spellEnd"/>
      <w:r w:rsidR="005012D5">
        <w:rPr>
          <w:lang w:eastAsia="ja-JP"/>
        </w:rPr>
        <w:t xml:space="preserve"> arm and 4.4 months (95% CI </w:t>
      </w:r>
      <w:r>
        <w:rPr>
          <w:lang w:eastAsia="ja-JP"/>
        </w:rPr>
        <w:t xml:space="preserve">3.7 to </w:t>
      </w:r>
      <w:r w:rsidRPr="002A7971">
        <w:rPr>
          <w:lang w:eastAsia="ja-JP"/>
        </w:rPr>
        <w:t xml:space="preserve">5.5) in the </w:t>
      </w:r>
      <w:proofErr w:type="spellStart"/>
      <w:r w:rsidRPr="002A7971">
        <w:rPr>
          <w:lang w:eastAsia="ja-JP"/>
        </w:rPr>
        <w:t>everolimus</w:t>
      </w:r>
      <w:proofErr w:type="spellEnd"/>
      <w:r w:rsidRPr="002A7971">
        <w:rPr>
          <w:lang w:eastAsia="ja-JP"/>
        </w:rPr>
        <w:t xml:space="preserve"> arm.</w:t>
      </w:r>
    </w:p>
    <w:p w14:paraId="1D889EC8" w14:textId="6E421ACB" w:rsidR="004A6A76" w:rsidRDefault="004A6A76" w:rsidP="004A6A76">
      <w:r w:rsidRPr="00FB09E2">
        <w:t>These secondary outcome measures were all dependent on assessments of tumour size using the RECIST criteria made by the investigator, with no independent verification of the assessment. Applying RECIST criteria to images of tumour deposits is complex. Detailed ‘how-to’ descriptions of this were provided in the study protocol but no specific training of investigators was described, nor were any measures of inter-rater reliability. Given that this also was an open label study, there is a strong possibility of both bias and high inter-rater variability. These results should be interpreted with caution.</w:t>
      </w:r>
    </w:p>
    <w:p w14:paraId="1D401B93" w14:textId="77777777" w:rsidR="004A6A76" w:rsidRPr="002A7971" w:rsidRDefault="004A6A76" w:rsidP="004A6A76">
      <w:pPr>
        <w:pStyle w:val="Heading6"/>
        <w:rPr>
          <w:rFonts w:eastAsia="TimesNewRoman"/>
          <w:lang w:eastAsia="ja-JP"/>
        </w:rPr>
      </w:pPr>
      <w:r w:rsidRPr="002A7971">
        <w:rPr>
          <w:rFonts w:eastAsia="TimesNewRoman"/>
          <w:lang w:eastAsia="ja-JP"/>
        </w:rPr>
        <w:lastRenderedPageBreak/>
        <w:t xml:space="preserve">Consistency of results for the </w:t>
      </w:r>
      <w:proofErr w:type="spellStart"/>
      <w:r w:rsidRPr="002A7971">
        <w:rPr>
          <w:rFonts w:eastAsia="TimesNewRoman"/>
          <w:lang w:eastAsia="ja-JP"/>
        </w:rPr>
        <w:t>everolimus</w:t>
      </w:r>
      <w:proofErr w:type="spellEnd"/>
      <w:r w:rsidRPr="002A7971">
        <w:rPr>
          <w:rFonts w:eastAsia="TimesNewRoman"/>
          <w:lang w:eastAsia="ja-JP"/>
        </w:rPr>
        <w:t xml:space="preserve"> arm</w:t>
      </w:r>
    </w:p>
    <w:p w14:paraId="3F6EA3BB" w14:textId="77777777" w:rsidR="004A6A76" w:rsidRPr="002A7971" w:rsidRDefault="004A6A76" w:rsidP="004A6A76">
      <w:pPr>
        <w:rPr>
          <w:lang w:eastAsia="ja-JP"/>
        </w:rPr>
      </w:pPr>
      <w:r w:rsidRPr="002A7971">
        <w:rPr>
          <w:lang w:eastAsia="ja-JP"/>
        </w:rPr>
        <w:t xml:space="preserve">The results reported for </w:t>
      </w:r>
      <w:proofErr w:type="spellStart"/>
      <w:r w:rsidRPr="002A7971">
        <w:rPr>
          <w:lang w:eastAsia="ja-JP"/>
        </w:rPr>
        <w:t>everolimus</w:t>
      </w:r>
      <w:proofErr w:type="spellEnd"/>
      <w:r w:rsidRPr="002A7971">
        <w:rPr>
          <w:lang w:eastAsia="ja-JP"/>
        </w:rPr>
        <w:t xml:space="preserve"> in this study are consistent with those reported in the pivotal study for TGA approval of </w:t>
      </w:r>
      <w:proofErr w:type="spellStart"/>
      <w:r w:rsidRPr="002A7971">
        <w:rPr>
          <w:lang w:eastAsia="ja-JP"/>
        </w:rPr>
        <w:t>everolimus</w:t>
      </w:r>
      <w:proofErr w:type="spellEnd"/>
      <w:r w:rsidRPr="002A7971">
        <w:rPr>
          <w:lang w:eastAsia="ja-JP"/>
        </w:rPr>
        <w:t xml:space="preserve"> for use in patients with advanced RCC. This was a placebo-controlled trial involving patients whose disease</w:t>
      </w:r>
      <w:r>
        <w:rPr>
          <w:lang w:eastAsia="ja-JP"/>
        </w:rPr>
        <w:t xml:space="preserve"> progressed during angiogenesis </w:t>
      </w:r>
      <w:r w:rsidRPr="002A7971">
        <w:rPr>
          <w:lang w:eastAsia="ja-JP"/>
        </w:rPr>
        <w:t>targeted therapy that reported median progression free sur</w:t>
      </w:r>
      <w:r>
        <w:rPr>
          <w:lang w:eastAsia="ja-JP"/>
        </w:rPr>
        <w:t xml:space="preserve">vival of 4.9 months (95% CI 4.0 to </w:t>
      </w:r>
      <w:r w:rsidRPr="002A7971">
        <w:rPr>
          <w:lang w:eastAsia="ja-JP"/>
        </w:rPr>
        <w:t xml:space="preserve">5.5) with </w:t>
      </w:r>
      <w:proofErr w:type="spellStart"/>
      <w:r w:rsidRPr="002A7971">
        <w:rPr>
          <w:lang w:eastAsia="ja-JP"/>
        </w:rPr>
        <w:t>everolimus</w:t>
      </w:r>
      <w:proofErr w:type="spellEnd"/>
      <w:r w:rsidRPr="002A7971">
        <w:rPr>
          <w:lang w:eastAsia="ja-JP"/>
        </w:rPr>
        <w:t xml:space="preserve"> 10 mg orally daily com</w:t>
      </w:r>
      <w:r>
        <w:rPr>
          <w:lang w:eastAsia="ja-JP"/>
        </w:rPr>
        <w:t xml:space="preserve">pared to 1.9 months (95% CI 1.8 to </w:t>
      </w:r>
      <w:r w:rsidRPr="002A7971">
        <w:rPr>
          <w:lang w:eastAsia="ja-JP"/>
        </w:rPr>
        <w:t>1.9) with placebo.</w:t>
      </w:r>
      <w:r>
        <w:rPr>
          <w:rStyle w:val="FootnoteReference"/>
          <w:lang w:eastAsia="ja-JP"/>
        </w:rPr>
        <w:footnoteReference w:id="9"/>
      </w:r>
    </w:p>
    <w:p w14:paraId="128C01CC" w14:textId="77777777" w:rsidR="004A6A76" w:rsidRPr="002A7971" w:rsidRDefault="004A6A76" w:rsidP="004A6A76">
      <w:pPr>
        <w:pStyle w:val="Heading6"/>
        <w:rPr>
          <w:rFonts w:eastAsia="TimesNewRoman"/>
          <w:lang w:eastAsia="ja-JP"/>
        </w:rPr>
      </w:pPr>
      <w:r w:rsidRPr="002A7971">
        <w:rPr>
          <w:rFonts w:eastAsia="TimesNewRoman"/>
          <w:lang w:eastAsia="ja-JP"/>
        </w:rPr>
        <w:t>Treatment beyond disease progression</w:t>
      </w:r>
    </w:p>
    <w:p w14:paraId="202D9FD1" w14:textId="5B30B360" w:rsidR="004A6A76" w:rsidRPr="002A7971" w:rsidRDefault="004A6A76" w:rsidP="004A6A76">
      <w:r w:rsidRPr="00FB09E2">
        <w:t xml:space="preserve">Treatment with </w:t>
      </w:r>
      <w:proofErr w:type="spellStart"/>
      <w:r w:rsidRPr="00FB09E2">
        <w:t>nivolumab</w:t>
      </w:r>
      <w:proofErr w:type="spellEnd"/>
      <w:r w:rsidRPr="00FB09E2">
        <w:t xml:space="preserve"> was allowed to be continued beyond initial RECIST v</w:t>
      </w:r>
      <w:r w:rsidR="00AF0BB6">
        <w:t xml:space="preserve">ersion </w:t>
      </w:r>
      <w:r w:rsidRPr="00FB09E2">
        <w:t xml:space="preserve">1.1 disease </w:t>
      </w:r>
      <w:proofErr w:type="gramStart"/>
      <w:r w:rsidRPr="00FB09E2">
        <w:t>progression</w:t>
      </w:r>
      <w:proofErr w:type="gramEnd"/>
      <w:r w:rsidRPr="00FB09E2">
        <w:t xml:space="preserve">, at the discretion of the investigator. Of the 179 subjects in the </w:t>
      </w:r>
      <w:proofErr w:type="spellStart"/>
      <w:r w:rsidRPr="00FB09E2">
        <w:t>nivolumab</w:t>
      </w:r>
      <w:proofErr w:type="spellEnd"/>
      <w:r w:rsidRPr="00FB09E2">
        <w:t xml:space="preserve"> group treated in this way, 51 experienced ‘non-conventional benefit’, with subsequent reduction in tumour size or no further increase in tumour size. No other outcome measures were described for this group. Insufficient information has, therefore, been provided to support continuing treatment beyond disease progression.</w:t>
      </w:r>
    </w:p>
    <w:p w14:paraId="1158CAF4" w14:textId="77777777" w:rsidR="004A6A76" w:rsidRPr="002A7971" w:rsidRDefault="004A6A76" w:rsidP="004A6A76">
      <w:pPr>
        <w:pStyle w:val="Heading6"/>
        <w:rPr>
          <w:rFonts w:eastAsia="TimesNewRoman"/>
          <w:lang w:eastAsia="ja-JP"/>
        </w:rPr>
      </w:pPr>
      <w:r>
        <w:rPr>
          <w:rFonts w:eastAsia="TimesNewRoman"/>
          <w:lang w:eastAsia="ja-JP"/>
        </w:rPr>
        <w:t>Quality of life a</w:t>
      </w:r>
      <w:r w:rsidRPr="002A7971">
        <w:rPr>
          <w:rFonts w:eastAsia="TimesNewRoman"/>
          <w:lang w:eastAsia="ja-JP"/>
        </w:rPr>
        <w:t>ssessments</w:t>
      </w:r>
    </w:p>
    <w:p w14:paraId="166EA4B2" w14:textId="1A4AF075" w:rsidR="004A6A76" w:rsidRPr="00FB09E2" w:rsidRDefault="00AF0BB6" w:rsidP="004A6A76">
      <w:r>
        <w:t>QOL at B</w:t>
      </w:r>
      <w:r w:rsidR="004A6A76" w:rsidRPr="00FB09E2">
        <w:t>aseline, during and after treatment was assessed using the Functional Assessment of Cancer Thera</w:t>
      </w:r>
      <w:r w:rsidR="005012D5">
        <w:t xml:space="preserve">py-Kidney Symptom Index (FKSI) </w:t>
      </w:r>
      <w:r w:rsidR="004A6A76" w:rsidRPr="00FB09E2">
        <w:t xml:space="preserve">Disease-Related Symptoms (DRS) scale. This found similar results for both the </w:t>
      </w:r>
      <w:proofErr w:type="spellStart"/>
      <w:r w:rsidR="004A6A76" w:rsidRPr="00FB09E2">
        <w:t>nivolumab</w:t>
      </w:r>
      <w:proofErr w:type="spellEnd"/>
      <w:r w:rsidR="004A6A76" w:rsidRPr="00FB09E2">
        <w:t xml:space="preserve"> and </w:t>
      </w:r>
      <w:proofErr w:type="spellStart"/>
      <w:r w:rsidR="004A6A76" w:rsidRPr="00FB09E2">
        <w:t>everolimus</w:t>
      </w:r>
      <w:proofErr w:type="spellEnd"/>
      <w:r w:rsidR="004A6A76" w:rsidRPr="00FB09E2">
        <w:t xml:space="preserve"> arms at baseline and follow-up vis</w:t>
      </w:r>
      <w:r>
        <w:t xml:space="preserve">its but a small difference of 2 to </w:t>
      </w:r>
      <w:r w:rsidR="004A6A76" w:rsidRPr="00FB09E2">
        <w:t xml:space="preserve">4 points in the 36 point score that favouring </w:t>
      </w:r>
      <w:proofErr w:type="spellStart"/>
      <w:r w:rsidR="004A6A76" w:rsidRPr="00FB09E2">
        <w:t>nivolumab</w:t>
      </w:r>
      <w:proofErr w:type="spellEnd"/>
      <w:r w:rsidR="004A6A76" w:rsidRPr="00FB09E2">
        <w:t xml:space="preserve"> during treatment. The clinical meaning of this difference is unclear but the results indicate that </w:t>
      </w:r>
      <w:proofErr w:type="spellStart"/>
      <w:r w:rsidR="004A6A76" w:rsidRPr="00FB09E2">
        <w:t>nivolumab</w:t>
      </w:r>
      <w:proofErr w:type="spellEnd"/>
      <w:r w:rsidR="004A6A76" w:rsidRPr="00FB09E2">
        <w:t xml:space="preserve"> does not worsen quality of life compared to </w:t>
      </w:r>
      <w:proofErr w:type="spellStart"/>
      <w:r w:rsidR="004A6A76" w:rsidRPr="00FB09E2">
        <w:t>everolimus</w:t>
      </w:r>
      <w:proofErr w:type="spellEnd"/>
      <w:r w:rsidR="004A6A76" w:rsidRPr="00FB09E2">
        <w:t>. Results for the other quality of life measure described in the study protocol (EQ-5D) were not described in the CSR so it is not known whether the results for this measure concur with the results for the FKSI-DRS. Results for Health Resource Utilisation data were</w:t>
      </w:r>
      <w:r w:rsidR="005012D5">
        <w:t xml:space="preserve"> also not presented in the CSR.</w:t>
      </w:r>
    </w:p>
    <w:p w14:paraId="2DB10107" w14:textId="77777777" w:rsidR="004A6A76" w:rsidRPr="002A7971" w:rsidRDefault="004A6A76" w:rsidP="004A6A76">
      <w:pPr>
        <w:pStyle w:val="Heading5"/>
      </w:pPr>
      <w:r w:rsidRPr="002A7971">
        <w:t>Other studies</w:t>
      </w:r>
    </w:p>
    <w:p w14:paraId="7A814481" w14:textId="1512E515" w:rsidR="004A6A76" w:rsidRPr="002A7971" w:rsidRDefault="004A6A76" w:rsidP="004A6A76">
      <w:pPr>
        <w:rPr>
          <w:lang w:eastAsia="ja-JP"/>
        </w:rPr>
      </w:pPr>
      <w:r w:rsidRPr="002A7971">
        <w:rPr>
          <w:lang w:eastAsia="ja-JP"/>
        </w:rPr>
        <w:t xml:space="preserve">There are three open label dose ranging studies that describe the investigation of </w:t>
      </w:r>
      <w:proofErr w:type="spellStart"/>
      <w:r w:rsidRPr="002A7971">
        <w:rPr>
          <w:lang w:eastAsia="ja-JP"/>
        </w:rPr>
        <w:t>nivolumab</w:t>
      </w:r>
      <w:proofErr w:type="spellEnd"/>
      <w:r w:rsidRPr="002A7971">
        <w:rPr>
          <w:lang w:eastAsia="ja-JP"/>
        </w:rPr>
        <w:t xml:space="preserve"> treatment in patients with advanced clear cell carcinoma who have received prior systemic therapy: Studies CA209003, CA209009 and CA209010. Of these, only Study CA209010 in included in the sponsor’s evaluation of efficacy and safety for reasons that are not clear to the evaluator. Study CA209003 included patients with different advanced solid organ </w:t>
      </w:r>
      <w:r w:rsidR="00F12B6C">
        <w:rPr>
          <w:lang w:eastAsia="ja-JP"/>
        </w:rPr>
        <w:t xml:space="preserve">tumours: </w:t>
      </w:r>
      <w:r w:rsidRPr="002A7971">
        <w:rPr>
          <w:lang w:eastAsia="ja-JP"/>
        </w:rPr>
        <w:t>34 patients had advanced RCC. Studies CA209010 and CA209009 included patients with advanced RCC, although 24 of the patients in Study CA209009 had not received prior therapies. Efficacy results from these studies are roughly similar and consisten</w:t>
      </w:r>
      <w:r w:rsidR="00F12B6C">
        <w:rPr>
          <w:lang w:eastAsia="ja-JP"/>
        </w:rPr>
        <w:t>t with the pivotal study (see T</w:t>
      </w:r>
      <w:r w:rsidRPr="002A7971">
        <w:rPr>
          <w:lang w:eastAsia="ja-JP"/>
        </w:rPr>
        <w:t>able</w:t>
      </w:r>
      <w:r w:rsidR="00F12B6C">
        <w:rPr>
          <w:lang w:eastAsia="ja-JP"/>
        </w:rPr>
        <w:t xml:space="preserve"> 5,</w:t>
      </w:r>
      <w:r w:rsidRPr="002A7971">
        <w:rPr>
          <w:lang w:eastAsia="ja-JP"/>
        </w:rPr>
        <w:t xml:space="preserve"> below). B</w:t>
      </w:r>
      <w:r w:rsidR="00F12B6C">
        <w:rPr>
          <w:lang w:eastAsia="ja-JP"/>
        </w:rPr>
        <w:t>oth the pivotal study and Study </w:t>
      </w:r>
      <w:r w:rsidRPr="002A7971">
        <w:rPr>
          <w:lang w:eastAsia="ja-JP"/>
        </w:rPr>
        <w:t>CA209010 found a lower median PFS (of aro</w:t>
      </w:r>
      <w:r w:rsidR="00F12B6C">
        <w:rPr>
          <w:lang w:eastAsia="ja-JP"/>
        </w:rPr>
        <w:t>und 4 months) compared to Study </w:t>
      </w:r>
      <w:r w:rsidRPr="002A7971">
        <w:rPr>
          <w:lang w:eastAsia="ja-JP"/>
        </w:rPr>
        <w:t>CA209009.</w:t>
      </w:r>
    </w:p>
    <w:p w14:paraId="4C2DF655" w14:textId="27145B45" w:rsidR="004A6A76" w:rsidRPr="002A7971" w:rsidRDefault="004A6A76" w:rsidP="004A6A76">
      <w:pPr>
        <w:pStyle w:val="Tabletitle0"/>
        <w:rPr>
          <w:lang w:eastAsia="ja-JP"/>
        </w:rPr>
      </w:pPr>
      <w:bookmarkStart w:id="76" w:name="_Toc457473712"/>
      <w:proofErr w:type="gramStart"/>
      <w:r w:rsidRPr="002A7971">
        <w:rPr>
          <w:lang w:eastAsia="ja-JP"/>
        </w:rPr>
        <w:t xml:space="preserve">Table </w:t>
      </w:r>
      <w:r w:rsidR="00F12B6C">
        <w:rPr>
          <w:lang w:eastAsia="ja-JP"/>
        </w:rPr>
        <w:t>5</w:t>
      </w:r>
      <w:r>
        <w:rPr>
          <w:lang w:eastAsia="ja-JP"/>
        </w:rPr>
        <w:t>.</w:t>
      </w:r>
      <w:proofErr w:type="gramEnd"/>
      <w:r>
        <w:rPr>
          <w:lang w:eastAsia="ja-JP"/>
        </w:rPr>
        <w:t xml:space="preserve"> </w:t>
      </w:r>
      <w:r w:rsidRPr="002A7971">
        <w:rPr>
          <w:lang w:eastAsia="ja-JP"/>
        </w:rPr>
        <w:t xml:space="preserve">Results from other studies investigating </w:t>
      </w:r>
      <w:proofErr w:type="spellStart"/>
      <w:r w:rsidRPr="002A7971">
        <w:rPr>
          <w:lang w:eastAsia="ja-JP"/>
        </w:rPr>
        <w:t>nivolumab</w:t>
      </w:r>
      <w:proofErr w:type="spellEnd"/>
      <w:r w:rsidRPr="002A7971">
        <w:rPr>
          <w:lang w:eastAsia="ja-JP"/>
        </w:rPr>
        <w:t xml:space="preserve"> in patients with advanced RCC who have received prior therapies</w:t>
      </w:r>
      <w:bookmarkEnd w:id="76"/>
    </w:p>
    <w:tbl>
      <w:tblPr>
        <w:tblStyle w:val="TableTGAblue"/>
        <w:tblW w:w="9018" w:type="dxa"/>
        <w:tblLook w:val="04A0" w:firstRow="1" w:lastRow="0" w:firstColumn="1" w:lastColumn="0" w:noHBand="0" w:noVBand="1"/>
      </w:tblPr>
      <w:tblGrid>
        <w:gridCol w:w="1458"/>
        <w:gridCol w:w="1291"/>
        <w:gridCol w:w="1576"/>
        <w:gridCol w:w="1303"/>
        <w:gridCol w:w="1253"/>
        <w:gridCol w:w="2137"/>
      </w:tblGrid>
      <w:tr w:rsidR="004A6A76" w:rsidRPr="00312822" w14:paraId="3DC90C2E" w14:textId="77777777" w:rsidTr="00BE7824">
        <w:trPr>
          <w:cnfStyle w:val="100000000000" w:firstRow="1" w:lastRow="0" w:firstColumn="0" w:lastColumn="0" w:oddVBand="0" w:evenVBand="0" w:oddHBand="0" w:evenHBand="0" w:firstRowFirstColumn="0" w:firstRowLastColumn="0" w:lastRowFirstColumn="0" w:lastRowLastColumn="0"/>
        </w:trPr>
        <w:tc>
          <w:tcPr>
            <w:tcW w:w="1259" w:type="dxa"/>
          </w:tcPr>
          <w:p w14:paraId="1A500342" w14:textId="77777777" w:rsidR="004A6A76" w:rsidRPr="00312822" w:rsidRDefault="004A6A76" w:rsidP="001434B8">
            <w:pPr>
              <w:rPr>
                <w:sz w:val="20"/>
                <w:szCs w:val="20"/>
                <w:lang w:eastAsia="ja-JP"/>
              </w:rPr>
            </w:pPr>
            <w:r w:rsidRPr="00312822">
              <w:rPr>
                <w:sz w:val="20"/>
                <w:szCs w:val="20"/>
                <w:lang w:eastAsia="ja-JP"/>
              </w:rPr>
              <w:t>Study identifier</w:t>
            </w:r>
          </w:p>
        </w:tc>
        <w:tc>
          <w:tcPr>
            <w:tcW w:w="1121" w:type="dxa"/>
          </w:tcPr>
          <w:p w14:paraId="0A99AF6E" w14:textId="77777777" w:rsidR="004A6A76" w:rsidRPr="00312822" w:rsidRDefault="004A6A76" w:rsidP="001434B8">
            <w:pPr>
              <w:rPr>
                <w:sz w:val="20"/>
                <w:szCs w:val="20"/>
                <w:lang w:eastAsia="ja-JP"/>
              </w:rPr>
            </w:pPr>
            <w:r w:rsidRPr="00312822">
              <w:rPr>
                <w:sz w:val="20"/>
                <w:szCs w:val="20"/>
                <w:lang w:eastAsia="ja-JP"/>
              </w:rPr>
              <w:t>Patient number</w:t>
            </w:r>
          </w:p>
        </w:tc>
        <w:tc>
          <w:tcPr>
            <w:tcW w:w="1778" w:type="dxa"/>
          </w:tcPr>
          <w:p w14:paraId="44EBC822" w14:textId="77777777" w:rsidR="004A6A76" w:rsidRPr="00312822" w:rsidRDefault="004A6A76" w:rsidP="001434B8">
            <w:pPr>
              <w:rPr>
                <w:sz w:val="20"/>
                <w:szCs w:val="20"/>
                <w:lang w:eastAsia="ja-JP"/>
              </w:rPr>
            </w:pPr>
            <w:r w:rsidRPr="00312822">
              <w:rPr>
                <w:sz w:val="20"/>
                <w:szCs w:val="20"/>
                <w:lang w:eastAsia="ja-JP"/>
              </w:rPr>
              <w:t>Dosing regimen</w:t>
            </w:r>
          </w:p>
        </w:tc>
        <w:tc>
          <w:tcPr>
            <w:tcW w:w="1058" w:type="dxa"/>
          </w:tcPr>
          <w:p w14:paraId="24698A88" w14:textId="77777777" w:rsidR="004A6A76" w:rsidRPr="00312822" w:rsidRDefault="004A6A76" w:rsidP="001434B8">
            <w:pPr>
              <w:rPr>
                <w:sz w:val="20"/>
                <w:szCs w:val="20"/>
                <w:lang w:eastAsia="ja-JP"/>
              </w:rPr>
            </w:pPr>
            <w:r w:rsidRPr="00312822">
              <w:rPr>
                <w:sz w:val="20"/>
                <w:szCs w:val="20"/>
                <w:lang w:eastAsia="ja-JP"/>
              </w:rPr>
              <w:t>ORR</w:t>
            </w:r>
          </w:p>
        </w:tc>
        <w:tc>
          <w:tcPr>
            <w:tcW w:w="1083" w:type="dxa"/>
          </w:tcPr>
          <w:p w14:paraId="7FF45680" w14:textId="77777777" w:rsidR="004A6A76" w:rsidRPr="00312822" w:rsidRDefault="004A6A76" w:rsidP="001434B8">
            <w:pPr>
              <w:rPr>
                <w:sz w:val="20"/>
                <w:szCs w:val="20"/>
                <w:lang w:eastAsia="ja-JP"/>
              </w:rPr>
            </w:pPr>
            <w:r w:rsidRPr="00312822">
              <w:rPr>
                <w:sz w:val="20"/>
                <w:szCs w:val="20"/>
                <w:lang w:eastAsia="ja-JP"/>
              </w:rPr>
              <w:t>Median PFS months</w:t>
            </w:r>
          </w:p>
        </w:tc>
        <w:tc>
          <w:tcPr>
            <w:tcW w:w="2719" w:type="dxa"/>
          </w:tcPr>
          <w:p w14:paraId="5BA75732" w14:textId="77777777" w:rsidR="004A6A76" w:rsidRPr="00312822" w:rsidRDefault="004A6A76" w:rsidP="001434B8">
            <w:pPr>
              <w:rPr>
                <w:sz w:val="20"/>
                <w:szCs w:val="20"/>
                <w:lang w:eastAsia="ja-JP"/>
              </w:rPr>
            </w:pPr>
            <w:r w:rsidRPr="00312822">
              <w:rPr>
                <w:sz w:val="20"/>
                <w:szCs w:val="20"/>
                <w:lang w:eastAsia="ja-JP"/>
              </w:rPr>
              <w:t>Median OS (months)</w:t>
            </w:r>
          </w:p>
        </w:tc>
      </w:tr>
      <w:tr w:rsidR="0037666F" w:rsidRPr="00312822" w14:paraId="1C7C61A7" w14:textId="77777777" w:rsidTr="00BE7824">
        <w:tc>
          <w:tcPr>
            <w:tcW w:w="1259" w:type="dxa"/>
            <w:vMerge w:val="restart"/>
          </w:tcPr>
          <w:p w14:paraId="64E51394" w14:textId="77777777" w:rsidR="0037666F" w:rsidRPr="00312822" w:rsidRDefault="0037666F" w:rsidP="001434B8">
            <w:pPr>
              <w:rPr>
                <w:sz w:val="20"/>
                <w:szCs w:val="20"/>
                <w:lang w:eastAsia="ja-JP"/>
              </w:rPr>
            </w:pPr>
            <w:r w:rsidRPr="00312822">
              <w:rPr>
                <w:sz w:val="20"/>
                <w:szCs w:val="20"/>
                <w:lang w:eastAsia="ja-JP"/>
              </w:rPr>
              <w:t>CA209003</w:t>
            </w:r>
          </w:p>
        </w:tc>
        <w:tc>
          <w:tcPr>
            <w:tcW w:w="1121" w:type="dxa"/>
          </w:tcPr>
          <w:p w14:paraId="432D10EC" w14:textId="77777777" w:rsidR="0037666F" w:rsidRPr="00312822" w:rsidRDefault="0037666F" w:rsidP="001434B8">
            <w:pPr>
              <w:rPr>
                <w:sz w:val="20"/>
                <w:szCs w:val="20"/>
                <w:lang w:eastAsia="ja-JP"/>
              </w:rPr>
            </w:pPr>
            <w:r w:rsidRPr="00312822">
              <w:rPr>
                <w:sz w:val="20"/>
                <w:szCs w:val="20"/>
                <w:lang w:eastAsia="ja-JP"/>
              </w:rPr>
              <w:t>16</w:t>
            </w:r>
          </w:p>
        </w:tc>
        <w:tc>
          <w:tcPr>
            <w:tcW w:w="1778" w:type="dxa"/>
          </w:tcPr>
          <w:p w14:paraId="32EF06C0" w14:textId="77777777" w:rsidR="0037666F" w:rsidRPr="00312822" w:rsidRDefault="0037666F" w:rsidP="001434B8">
            <w:pPr>
              <w:rPr>
                <w:sz w:val="20"/>
                <w:szCs w:val="20"/>
                <w:lang w:eastAsia="ja-JP"/>
              </w:rPr>
            </w:pPr>
            <w:r w:rsidRPr="00312822">
              <w:rPr>
                <w:sz w:val="20"/>
                <w:szCs w:val="20"/>
                <w:lang w:eastAsia="ja-JP"/>
              </w:rPr>
              <w:t>1 mg/kg Q2W</w:t>
            </w:r>
          </w:p>
        </w:tc>
        <w:tc>
          <w:tcPr>
            <w:tcW w:w="1058" w:type="dxa"/>
          </w:tcPr>
          <w:p w14:paraId="16E2C580" w14:textId="77777777" w:rsidR="0037666F" w:rsidRPr="00312822" w:rsidRDefault="0037666F" w:rsidP="001434B8">
            <w:pPr>
              <w:rPr>
                <w:sz w:val="20"/>
                <w:szCs w:val="20"/>
                <w:lang w:eastAsia="ja-JP"/>
              </w:rPr>
            </w:pPr>
            <w:r w:rsidRPr="00312822">
              <w:rPr>
                <w:sz w:val="20"/>
                <w:szCs w:val="20"/>
                <w:lang w:eastAsia="ja-JP"/>
              </w:rPr>
              <w:t>27.8%</w:t>
            </w:r>
          </w:p>
        </w:tc>
        <w:tc>
          <w:tcPr>
            <w:tcW w:w="1083" w:type="dxa"/>
            <w:vMerge w:val="restart"/>
          </w:tcPr>
          <w:p w14:paraId="14BF797F" w14:textId="77777777" w:rsidR="0037666F" w:rsidRPr="00312822" w:rsidRDefault="0037666F" w:rsidP="001434B8">
            <w:pPr>
              <w:rPr>
                <w:sz w:val="20"/>
                <w:szCs w:val="20"/>
                <w:lang w:eastAsia="ja-JP"/>
              </w:rPr>
            </w:pPr>
            <w:r w:rsidRPr="00312822">
              <w:rPr>
                <w:sz w:val="20"/>
                <w:szCs w:val="20"/>
                <w:lang w:eastAsia="ja-JP"/>
              </w:rPr>
              <w:t>NA</w:t>
            </w:r>
          </w:p>
        </w:tc>
        <w:tc>
          <w:tcPr>
            <w:tcW w:w="2719" w:type="dxa"/>
            <w:vMerge w:val="restart"/>
          </w:tcPr>
          <w:p w14:paraId="10A4C73E" w14:textId="77777777" w:rsidR="0037666F" w:rsidRPr="00312822" w:rsidRDefault="0037666F" w:rsidP="001434B8">
            <w:pPr>
              <w:rPr>
                <w:sz w:val="20"/>
                <w:szCs w:val="20"/>
                <w:lang w:eastAsia="ja-JP"/>
              </w:rPr>
            </w:pPr>
            <w:r w:rsidRPr="00312822">
              <w:rPr>
                <w:sz w:val="20"/>
                <w:szCs w:val="20"/>
                <w:lang w:eastAsia="ja-JP"/>
              </w:rPr>
              <w:t>NR</w:t>
            </w:r>
          </w:p>
        </w:tc>
      </w:tr>
      <w:tr w:rsidR="0037666F" w:rsidRPr="00312822" w14:paraId="01CE661C" w14:textId="77777777" w:rsidTr="00BE7824">
        <w:tc>
          <w:tcPr>
            <w:tcW w:w="1259" w:type="dxa"/>
            <w:vMerge/>
          </w:tcPr>
          <w:p w14:paraId="6ABB0C1F" w14:textId="77777777" w:rsidR="0037666F" w:rsidRPr="00312822" w:rsidRDefault="0037666F" w:rsidP="001434B8">
            <w:pPr>
              <w:rPr>
                <w:sz w:val="20"/>
                <w:szCs w:val="20"/>
                <w:lang w:eastAsia="ja-JP"/>
              </w:rPr>
            </w:pPr>
          </w:p>
        </w:tc>
        <w:tc>
          <w:tcPr>
            <w:tcW w:w="1121" w:type="dxa"/>
          </w:tcPr>
          <w:p w14:paraId="24CCF3E7" w14:textId="77777777" w:rsidR="0037666F" w:rsidRPr="00312822" w:rsidRDefault="0037666F" w:rsidP="001434B8">
            <w:pPr>
              <w:rPr>
                <w:sz w:val="20"/>
                <w:szCs w:val="20"/>
                <w:lang w:eastAsia="ja-JP"/>
              </w:rPr>
            </w:pPr>
            <w:r w:rsidRPr="00312822">
              <w:rPr>
                <w:sz w:val="20"/>
                <w:szCs w:val="20"/>
                <w:lang w:eastAsia="ja-JP"/>
              </w:rPr>
              <w:t>18</w:t>
            </w:r>
          </w:p>
        </w:tc>
        <w:tc>
          <w:tcPr>
            <w:tcW w:w="1778" w:type="dxa"/>
          </w:tcPr>
          <w:p w14:paraId="65B5BB4F" w14:textId="77777777" w:rsidR="0037666F" w:rsidRPr="00312822" w:rsidRDefault="0037666F" w:rsidP="001434B8">
            <w:pPr>
              <w:rPr>
                <w:sz w:val="20"/>
                <w:szCs w:val="20"/>
                <w:lang w:eastAsia="ja-JP"/>
              </w:rPr>
            </w:pPr>
            <w:r w:rsidRPr="00312822">
              <w:rPr>
                <w:sz w:val="20"/>
                <w:szCs w:val="20"/>
                <w:lang w:eastAsia="ja-JP"/>
              </w:rPr>
              <w:t xml:space="preserve">10 mg/kg </w:t>
            </w:r>
            <w:r w:rsidRPr="00312822">
              <w:rPr>
                <w:sz w:val="20"/>
                <w:szCs w:val="20"/>
                <w:lang w:eastAsia="ja-JP"/>
              </w:rPr>
              <w:lastRenderedPageBreak/>
              <w:t>Q2W</w:t>
            </w:r>
          </w:p>
        </w:tc>
        <w:tc>
          <w:tcPr>
            <w:tcW w:w="1058" w:type="dxa"/>
          </w:tcPr>
          <w:p w14:paraId="07DFB01A" w14:textId="77777777" w:rsidR="0037666F" w:rsidRPr="00312822" w:rsidRDefault="0037666F" w:rsidP="001434B8">
            <w:pPr>
              <w:rPr>
                <w:sz w:val="20"/>
                <w:szCs w:val="20"/>
                <w:lang w:eastAsia="ja-JP"/>
              </w:rPr>
            </w:pPr>
            <w:r w:rsidRPr="00312822">
              <w:rPr>
                <w:sz w:val="20"/>
                <w:szCs w:val="20"/>
                <w:lang w:eastAsia="ja-JP"/>
              </w:rPr>
              <w:lastRenderedPageBreak/>
              <w:t>31.3%</w:t>
            </w:r>
          </w:p>
        </w:tc>
        <w:tc>
          <w:tcPr>
            <w:tcW w:w="1083" w:type="dxa"/>
            <w:vMerge/>
          </w:tcPr>
          <w:p w14:paraId="2B73863A" w14:textId="77777777" w:rsidR="0037666F" w:rsidRPr="00312822" w:rsidRDefault="0037666F" w:rsidP="001434B8">
            <w:pPr>
              <w:rPr>
                <w:sz w:val="20"/>
                <w:szCs w:val="20"/>
                <w:lang w:eastAsia="ja-JP"/>
              </w:rPr>
            </w:pPr>
          </w:p>
        </w:tc>
        <w:tc>
          <w:tcPr>
            <w:tcW w:w="2719" w:type="dxa"/>
            <w:vMerge/>
          </w:tcPr>
          <w:p w14:paraId="09F11C11" w14:textId="77777777" w:rsidR="0037666F" w:rsidRPr="00312822" w:rsidRDefault="0037666F" w:rsidP="001434B8">
            <w:pPr>
              <w:rPr>
                <w:sz w:val="20"/>
                <w:szCs w:val="20"/>
                <w:lang w:eastAsia="ja-JP"/>
              </w:rPr>
            </w:pPr>
          </w:p>
        </w:tc>
      </w:tr>
      <w:tr w:rsidR="004A6A76" w:rsidRPr="00312822" w14:paraId="29882FC4" w14:textId="77777777" w:rsidTr="00BE7824">
        <w:tc>
          <w:tcPr>
            <w:tcW w:w="1259" w:type="dxa"/>
            <w:vMerge w:val="restart"/>
          </w:tcPr>
          <w:p w14:paraId="663000E8" w14:textId="77777777" w:rsidR="004A6A76" w:rsidRPr="00312822" w:rsidRDefault="004A6A76" w:rsidP="001434B8">
            <w:pPr>
              <w:rPr>
                <w:sz w:val="20"/>
                <w:szCs w:val="20"/>
                <w:lang w:eastAsia="ja-JP"/>
              </w:rPr>
            </w:pPr>
            <w:r w:rsidRPr="00312822">
              <w:rPr>
                <w:sz w:val="20"/>
                <w:szCs w:val="20"/>
                <w:lang w:eastAsia="ja-JP"/>
              </w:rPr>
              <w:lastRenderedPageBreak/>
              <w:t>CA209009</w:t>
            </w:r>
          </w:p>
        </w:tc>
        <w:tc>
          <w:tcPr>
            <w:tcW w:w="1121" w:type="dxa"/>
          </w:tcPr>
          <w:p w14:paraId="5A9FC216" w14:textId="77777777" w:rsidR="004A6A76" w:rsidRPr="00312822" w:rsidRDefault="004A6A76" w:rsidP="001434B8">
            <w:pPr>
              <w:rPr>
                <w:sz w:val="20"/>
                <w:szCs w:val="20"/>
                <w:lang w:eastAsia="ja-JP"/>
              </w:rPr>
            </w:pPr>
            <w:r w:rsidRPr="00312822">
              <w:rPr>
                <w:sz w:val="20"/>
                <w:szCs w:val="20"/>
                <w:lang w:eastAsia="ja-JP"/>
              </w:rPr>
              <w:t>22</w:t>
            </w:r>
          </w:p>
        </w:tc>
        <w:tc>
          <w:tcPr>
            <w:tcW w:w="1778" w:type="dxa"/>
          </w:tcPr>
          <w:p w14:paraId="3DE5B5DC" w14:textId="77777777" w:rsidR="004A6A76" w:rsidRPr="00312822" w:rsidRDefault="004A6A76" w:rsidP="001434B8">
            <w:pPr>
              <w:rPr>
                <w:sz w:val="20"/>
                <w:szCs w:val="20"/>
                <w:lang w:eastAsia="ja-JP"/>
              </w:rPr>
            </w:pPr>
            <w:r w:rsidRPr="00312822">
              <w:rPr>
                <w:sz w:val="20"/>
                <w:szCs w:val="20"/>
                <w:lang w:eastAsia="ja-JP"/>
              </w:rPr>
              <w:t>0.3 mg/kg Q3W</w:t>
            </w:r>
          </w:p>
        </w:tc>
        <w:tc>
          <w:tcPr>
            <w:tcW w:w="1058" w:type="dxa"/>
            <w:vMerge w:val="restart"/>
          </w:tcPr>
          <w:p w14:paraId="307E9A08" w14:textId="77777777" w:rsidR="004A6A76" w:rsidRPr="00312822" w:rsidRDefault="004A6A76" w:rsidP="001434B8">
            <w:pPr>
              <w:rPr>
                <w:sz w:val="20"/>
                <w:szCs w:val="20"/>
                <w:lang w:eastAsia="ja-JP"/>
              </w:rPr>
            </w:pPr>
            <w:r w:rsidRPr="00312822">
              <w:rPr>
                <w:sz w:val="20"/>
                <w:szCs w:val="20"/>
                <w:lang w:eastAsia="ja-JP"/>
              </w:rPr>
              <w:t>15%</w:t>
            </w:r>
          </w:p>
          <w:p w14:paraId="03E7E7F9" w14:textId="77777777" w:rsidR="004A6A76" w:rsidRPr="00312822" w:rsidRDefault="004A6A76" w:rsidP="001434B8">
            <w:pPr>
              <w:rPr>
                <w:sz w:val="20"/>
                <w:szCs w:val="20"/>
                <w:lang w:eastAsia="ja-JP"/>
              </w:rPr>
            </w:pPr>
            <w:r w:rsidRPr="00312822">
              <w:rPr>
                <w:sz w:val="20"/>
                <w:szCs w:val="20"/>
                <w:lang w:eastAsia="ja-JP"/>
              </w:rPr>
              <w:t>(overall)</w:t>
            </w:r>
          </w:p>
        </w:tc>
        <w:tc>
          <w:tcPr>
            <w:tcW w:w="1083" w:type="dxa"/>
          </w:tcPr>
          <w:p w14:paraId="72BADE5F" w14:textId="77777777" w:rsidR="004A6A76" w:rsidRPr="00312822" w:rsidRDefault="004A6A76" w:rsidP="001434B8">
            <w:pPr>
              <w:rPr>
                <w:sz w:val="20"/>
                <w:szCs w:val="20"/>
                <w:lang w:eastAsia="ja-JP"/>
              </w:rPr>
            </w:pPr>
            <w:r w:rsidRPr="00312822">
              <w:rPr>
                <w:sz w:val="20"/>
                <w:szCs w:val="20"/>
                <w:lang w:eastAsia="ja-JP"/>
              </w:rPr>
              <w:t>11.6</w:t>
            </w:r>
          </w:p>
        </w:tc>
        <w:tc>
          <w:tcPr>
            <w:tcW w:w="2719" w:type="dxa"/>
          </w:tcPr>
          <w:p w14:paraId="05F1D515" w14:textId="77777777" w:rsidR="004A6A76" w:rsidRPr="00312822" w:rsidRDefault="004A6A76" w:rsidP="001434B8">
            <w:pPr>
              <w:rPr>
                <w:sz w:val="20"/>
                <w:szCs w:val="20"/>
                <w:lang w:eastAsia="ja-JP"/>
              </w:rPr>
            </w:pPr>
            <w:r w:rsidRPr="00312822">
              <w:rPr>
                <w:sz w:val="20"/>
                <w:szCs w:val="20"/>
                <w:lang w:eastAsia="ja-JP"/>
              </w:rPr>
              <w:t>16.4(95% CI 10.1 to NR)</w:t>
            </w:r>
          </w:p>
        </w:tc>
      </w:tr>
      <w:tr w:rsidR="004A6A76" w:rsidRPr="00312822" w14:paraId="2AF71988" w14:textId="77777777" w:rsidTr="00BE7824">
        <w:tc>
          <w:tcPr>
            <w:tcW w:w="1259" w:type="dxa"/>
            <w:vMerge/>
          </w:tcPr>
          <w:p w14:paraId="689D4153" w14:textId="77777777" w:rsidR="004A6A76" w:rsidRPr="00312822" w:rsidRDefault="004A6A76" w:rsidP="001434B8">
            <w:pPr>
              <w:rPr>
                <w:sz w:val="20"/>
                <w:szCs w:val="20"/>
                <w:lang w:eastAsia="ja-JP"/>
              </w:rPr>
            </w:pPr>
          </w:p>
        </w:tc>
        <w:tc>
          <w:tcPr>
            <w:tcW w:w="1121" w:type="dxa"/>
          </w:tcPr>
          <w:p w14:paraId="73E00629" w14:textId="77777777" w:rsidR="004A6A76" w:rsidRPr="00312822" w:rsidRDefault="004A6A76" w:rsidP="001434B8">
            <w:pPr>
              <w:rPr>
                <w:sz w:val="20"/>
                <w:szCs w:val="20"/>
                <w:lang w:eastAsia="ja-JP"/>
              </w:rPr>
            </w:pPr>
            <w:r w:rsidRPr="00312822">
              <w:rPr>
                <w:sz w:val="20"/>
                <w:szCs w:val="20"/>
                <w:lang w:eastAsia="ja-JP"/>
              </w:rPr>
              <w:t>22</w:t>
            </w:r>
          </w:p>
        </w:tc>
        <w:tc>
          <w:tcPr>
            <w:tcW w:w="1778" w:type="dxa"/>
          </w:tcPr>
          <w:p w14:paraId="74593A25" w14:textId="77777777" w:rsidR="004A6A76" w:rsidRPr="00312822" w:rsidRDefault="004A6A76" w:rsidP="001434B8">
            <w:pPr>
              <w:rPr>
                <w:sz w:val="20"/>
                <w:szCs w:val="20"/>
                <w:lang w:eastAsia="ja-JP"/>
              </w:rPr>
            </w:pPr>
            <w:r w:rsidRPr="00312822">
              <w:rPr>
                <w:sz w:val="20"/>
                <w:szCs w:val="20"/>
                <w:lang w:eastAsia="ja-JP"/>
              </w:rPr>
              <w:t>2 mg/kg Q3W</w:t>
            </w:r>
          </w:p>
        </w:tc>
        <w:tc>
          <w:tcPr>
            <w:tcW w:w="1058" w:type="dxa"/>
            <w:vMerge/>
          </w:tcPr>
          <w:p w14:paraId="1E1882F9" w14:textId="77777777" w:rsidR="004A6A76" w:rsidRPr="00312822" w:rsidRDefault="004A6A76" w:rsidP="001434B8">
            <w:pPr>
              <w:rPr>
                <w:sz w:val="20"/>
                <w:szCs w:val="20"/>
                <w:lang w:eastAsia="ja-JP"/>
              </w:rPr>
            </w:pPr>
          </w:p>
        </w:tc>
        <w:tc>
          <w:tcPr>
            <w:tcW w:w="1083" w:type="dxa"/>
          </w:tcPr>
          <w:p w14:paraId="2D6542BB" w14:textId="77777777" w:rsidR="004A6A76" w:rsidRPr="00312822" w:rsidRDefault="004A6A76" w:rsidP="001434B8">
            <w:pPr>
              <w:rPr>
                <w:sz w:val="20"/>
                <w:szCs w:val="20"/>
                <w:lang w:eastAsia="ja-JP"/>
              </w:rPr>
            </w:pPr>
            <w:r w:rsidRPr="00312822">
              <w:rPr>
                <w:sz w:val="20"/>
                <w:szCs w:val="20"/>
                <w:lang w:eastAsia="ja-JP"/>
              </w:rPr>
              <w:t>12.4</w:t>
            </w:r>
          </w:p>
        </w:tc>
        <w:tc>
          <w:tcPr>
            <w:tcW w:w="2719" w:type="dxa"/>
          </w:tcPr>
          <w:p w14:paraId="20BDC339" w14:textId="77777777" w:rsidR="004A6A76" w:rsidRPr="00312822" w:rsidRDefault="004A6A76" w:rsidP="001434B8">
            <w:pPr>
              <w:rPr>
                <w:sz w:val="20"/>
                <w:szCs w:val="20"/>
                <w:lang w:eastAsia="ja-JP"/>
              </w:rPr>
            </w:pPr>
            <w:r w:rsidRPr="00312822">
              <w:rPr>
                <w:sz w:val="20"/>
                <w:szCs w:val="20"/>
                <w:lang w:eastAsia="ja-JP"/>
              </w:rPr>
              <w:t>NR</w:t>
            </w:r>
          </w:p>
        </w:tc>
      </w:tr>
      <w:tr w:rsidR="004A6A76" w:rsidRPr="00312822" w14:paraId="3FCB98CD" w14:textId="77777777" w:rsidTr="00BE7824">
        <w:tc>
          <w:tcPr>
            <w:tcW w:w="1259" w:type="dxa"/>
            <w:vMerge/>
          </w:tcPr>
          <w:p w14:paraId="649B363E" w14:textId="77777777" w:rsidR="004A6A76" w:rsidRPr="00312822" w:rsidRDefault="004A6A76" w:rsidP="001434B8">
            <w:pPr>
              <w:rPr>
                <w:sz w:val="20"/>
                <w:szCs w:val="20"/>
                <w:lang w:eastAsia="ja-JP"/>
              </w:rPr>
            </w:pPr>
          </w:p>
        </w:tc>
        <w:tc>
          <w:tcPr>
            <w:tcW w:w="1121" w:type="dxa"/>
          </w:tcPr>
          <w:p w14:paraId="317CDF70" w14:textId="77777777" w:rsidR="004A6A76" w:rsidRPr="00312822" w:rsidRDefault="004A6A76" w:rsidP="001434B8">
            <w:pPr>
              <w:rPr>
                <w:sz w:val="20"/>
                <w:szCs w:val="20"/>
                <w:lang w:eastAsia="ja-JP"/>
              </w:rPr>
            </w:pPr>
            <w:r w:rsidRPr="00312822">
              <w:rPr>
                <w:sz w:val="20"/>
                <w:szCs w:val="20"/>
                <w:lang w:eastAsia="ja-JP"/>
              </w:rPr>
              <w:t>23+24*</w:t>
            </w:r>
          </w:p>
        </w:tc>
        <w:tc>
          <w:tcPr>
            <w:tcW w:w="1778" w:type="dxa"/>
          </w:tcPr>
          <w:p w14:paraId="1E948948" w14:textId="77777777" w:rsidR="004A6A76" w:rsidRPr="00312822" w:rsidRDefault="004A6A76" w:rsidP="001434B8">
            <w:pPr>
              <w:rPr>
                <w:sz w:val="20"/>
                <w:szCs w:val="20"/>
                <w:lang w:eastAsia="ja-JP"/>
              </w:rPr>
            </w:pPr>
            <w:r w:rsidRPr="00312822">
              <w:rPr>
                <w:sz w:val="20"/>
                <w:szCs w:val="20"/>
                <w:lang w:eastAsia="ja-JP"/>
              </w:rPr>
              <w:t>10 mg/kg Q3W</w:t>
            </w:r>
          </w:p>
        </w:tc>
        <w:tc>
          <w:tcPr>
            <w:tcW w:w="1058" w:type="dxa"/>
            <w:vMerge/>
          </w:tcPr>
          <w:p w14:paraId="43634E79" w14:textId="77777777" w:rsidR="004A6A76" w:rsidRPr="00312822" w:rsidRDefault="004A6A76" w:rsidP="001434B8">
            <w:pPr>
              <w:rPr>
                <w:sz w:val="20"/>
                <w:szCs w:val="20"/>
                <w:lang w:eastAsia="ja-JP"/>
              </w:rPr>
            </w:pPr>
          </w:p>
        </w:tc>
        <w:tc>
          <w:tcPr>
            <w:tcW w:w="1083" w:type="dxa"/>
          </w:tcPr>
          <w:p w14:paraId="53C63E17" w14:textId="77777777" w:rsidR="004A6A76" w:rsidRPr="00312822" w:rsidRDefault="004A6A76" w:rsidP="001434B8">
            <w:pPr>
              <w:rPr>
                <w:sz w:val="20"/>
                <w:szCs w:val="20"/>
                <w:lang w:eastAsia="ja-JP"/>
              </w:rPr>
            </w:pPr>
            <w:r w:rsidRPr="00312822">
              <w:rPr>
                <w:sz w:val="20"/>
                <w:szCs w:val="20"/>
                <w:lang w:eastAsia="ja-JP"/>
              </w:rPr>
              <w:t>29.9</w:t>
            </w:r>
          </w:p>
        </w:tc>
        <w:tc>
          <w:tcPr>
            <w:tcW w:w="2719" w:type="dxa"/>
          </w:tcPr>
          <w:p w14:paraId="7748D2CA" w14:textId="77777777" w:rsidR="004A6A76" w:rsidRPr="00312822" w:rsidRDefault="004A6A76" w:rsidP="001434B8">
            <w:pPr>
              <w:rPr>
                <w:sz w:val="20"/>
                <w:szCs w:val="20"/>
                <w:lang w:eastAsia="ja-JP"/>
              </w:rPr>
            </w:pPr>
            <w:r w:rsidRPr="00312822">
              <w:rPr>
                <w:sz w:val="20"/>
                <w:szCs w:val="20"/>
                <w:lang w:eastAsia="ja-JP"/>
              </w:rPr>
              <w:t>25.2 (95% CI 12.0 to NR)</w:t>
            </w:r>
          </w:p>
        </w:tc>
      </w:tr>
      <w:tr w:rsidR="004A6A76" w:rsidRPr="00312822" w14:paraId="25862D7A" w14:textId="77777777" w:rsidTr="00BE7824">
        <w:tc>
          <w:tcPr>
            <w:tcW w:w="1259" w:type="dxa"/>
            <w:vMerge w:val="restart"/>
          </w:tcPr>
          <w:p w14:paraId="00B1CF69" w14:textId="77777777" w:rsidR="004A6A76" w:rsidRPr="00312822" w:rsidRDefault="004A6A76" w:rsidP="001434B8">
            <w:pPr>
              <w:rPr>
                <w:sz w:val="20"/>
                <w:szCs w:val="20"/>
                <w:lang w:eastAsia="ja-JP"/>
              </w:rPr>
            </w:pPr>
            <w:r w:rsidRPr="00312822">
              <w:rPr>
                <w:sz w:val="20"/>
                <w:szCs w:val="20"/>
                <w:lang w:eastAsia="ja-JP"/>
              </w:rPr>
              <w:t>CA209010</w:t>
            </w:r>
          </w:p>
        </w:tc>
        <w:tc>
          <w:tcPr>
            <w:tcW w:w="1121" w:type="dxa"/>
          </w:tcPr>
          <w:p w14:paraId="406EA7F1" w14:textId="77777777" w:rsidR="004A6A76" w:rsidRPr="00312822" w:rsidRDefault="004A6A76" w:rsidP="001434B8">
            <w:pPr>
              <w:rPr>
                <w:sz w:val="20"/>
                <w:szCs w:val="20"/>
                <w:lang w:eastAsia="ja-JP"/>
              </w:rPr>
            </w:pPr>
            <w:r w:rsidRPr="00312822">
              <w:rPr>
                <w:sz w:val="20"/>
                <w:szCs w:val="20"/>
                <w:lang w:eastAsia="ja-JP"/>
              </w:rPr>
              <w:t>59</w:t>
            </w:r>
          </w:p>
        </w:tc>
        <w:tc>
          <w:tcPr>
            <w:tcW w:w="1778" w:type="dxa"/>
          </w:tcPr>
          <w:p w14:paraId="702D9640" w14:textId="77777777" w:rsidR="004A6A76" w:rsidRPr="00312822" w:rsidRDefault="004A6A76" w:rsidP="001434B8">
            <w:pPr>
              <w:rPr>
                <w:sz w:val="20"/>
                <w:szCs w:val="20"/>
                <w:lang w:eastAsia="ja-JP"/>
              </w:rPr>
            </w:pPr>
            <w:r w:rsidRPr="00312822">
              <w:rPr>
                <w:sz w:val="20"/>
                <w:szCs w:val="20"/>
                <w:lang w:eastAsia="ja-JP"/>
              </w:rPr>
              <w:t>0.3 mg/kg Q3W</w:t>
            </w:r>
          </w:p>
        </w:tc>
        <w:tc>
          <w:tcPr>
            <w:tcW w:w="1058" w:type="dxa"/>
          </w:tcPr>
          <w:p w14:paraId="1FEA086B" w14:textId="77777777" w:rsidR="004A6A76" w:rsidRPr="00312822" w:rsidRDefault="004A6A76" w:rsidP="001434B8">
            <w:pPr>
              <w:rPr>
                <w:sz w:val="20"/>
                <w:szCs w:val="20"/>
                <w:lang w:eastAsia="ja-JP"/>
              </w:rPr>
            </w:pPr>
            <w:r w:rsidRPr="00312822">
              <w:rPr>
                <w:sz w:val="20"/>
                <w:szCs w:val="20"/>
                <w:lang w:eastAsia="ja-JP"/>
              </w:rPr>
              <w:t>20%</w:t>
            </w:r>
          </w:p>
        </w:tc>
        <w:tc>
          <w:tcPr>
            <w:tcW w:w="1083" w:type="dxa"/>
          </w:tcPr>
          <w:p w14:paraId="7051AB63" w14:textId="77777777" w:rsidR="004A6A76" w:rsidRPr="00312822" w:rsidRDefault="004A6A76" w:rsidP="001434B8">
            <w:pPr>
              <w:rPr>
                <w:sz w:val="20"/>
                <w:szCs w:val="20"/>
                <w:lang w:eastAsia="ja-JP"/>
              </w:rPr>
            </w:pPr>
            <w:r w:rsidRPr="00312822">
              <w:rPr>
                <w:sz w:val="20"/>
                <w:szCs w:val="20"/>
                <w:lang w:eastAsia="ja-JP"/>
              </w:rPr>
              <w:t xml:space="preserve">2.7 </w:t>
            </w:r>
          </w:p>
        </w:tc>
        <w:tc>
          <w:tcPr>
            <w:tcW w:w="2719" w:type="dxa"/>
          </w:tcPr>
          <w:p w14:paraId="0828EFDA" w14:textId="77777777" w:rsidR="004A6A76" w:rsidRPr="00312822" w:rsidRDefault="004A6A76" w:rsidP="001434B8">
            <w:pPr>
              <w:rPr>
                <w:sz w:val="20"/>
                <w:szCs w:val="20"/>
                <w:lang w:eastAsia="ja-JP"/>
              </w:rPr>
            </w:pPr>
            <w:r w:rsidRPr="00312822">
              <w:rPr>
                <w:sz w:val="20"/>
                <w:szCs w:val="20"/>
                <w:lang w:eastAsia="ja-JP"/>
              </w:rPr>
              <w:t>18.5 (80% CI 16.2 to 24.0)</w:t>
            </w:r>
          </w:p>
        </w:tc>
      </w:tr>
      <w:tr w:rsidR="004A6A76" w:rsidRPr="00312822" w14:paraId="4DDE4090" w14:textId="77777777" w:rsidTr="00BE7824">
        <w:tc>
          <w:tcPr>
            <w:tcW w:w="1259" w:type="dxa"/>
            <w:vMerge/>
          </w:tcPr>
          <w:p w14:paraId="278B6C66" w14:textId="77777777" w:rsidR="004A6A76" w:rsidRPr="00312822" w:rsidRDefault="004A6A76" w:rsidP="001434B8">
            <w:pPr>
              <w:rPr>
                <w:sz w:val="20"/>
                <w:szCs w:val="20"/>
                <w:lang w:eastAsia="ja-JP"/>
              </w:rPr>
            </w:pPr>
          </w:p>
        </w:tc>
        <w:tc>
          <w:tcPr>
            <w:tcW w:w="1121" w:type="dxa"/>
          </w:tcPr>
          <w:p w14:paraId="2ACA5F0C" w14:textId="77777777" w:rsidR="004A6A76" w:rsidRPr="00312822" w:rsidRDefault="004A6A76" w:rsidP="001434B8">
            <w:pPr>
              <w:rPr>
                <w:sz w:val="20"/>
                <w:szCs w:val="20"/>
                <w:lang w:eastAsia="ja-JP"/>
              </w:rPr>
            </w:pPr>
            <w:r w:rsidRPr="00312822">
              <w:rPr>
                <w:sz w:val="20"/>
                <w:szCs w:val="20"/>
                <w:lang w:eastAsia="ja-JP"/>
              </w:rPr>
              <w:t>54</w:t>
            </w:r>
          </w:p>
        </w:tc>
        <w:tc>
          <w:tcPr>
            <w:tcW w:w="1778" w:type="dxa"/>
          </w:tcPr>
          <w:p w14:paraId="30AD089B" w14:textId="77777777" w:rsidR="004A6A76" w:rsidRPr="00312822" w:rsidRDefault="004A6A76" w:rsidP="001434B8">
            <w:pPr>
              <w:rPr>
                <w:sz w:val="20"/>
                <w:szCs w:val="20"/>
                <w:lang w:eastAsia="ja-JP"/>
              </w:rPr>
            </w:pPr>
            <w:r w:rsidRPr="00312822">
              <w:rPr>
                <w:sz w:val="20"/>
                <w:szCs w:val="20"/>
                <w:lang w:eastAsia="ja-JP"/>
              </w:rPr>
              <w:t>2 mg/kg Q3W</w:t>
            </w:r>
          </w:p>
        </w:tc>
        <w:tc>
          <w:tcPr>
            <w:tcW w:w="1058" w:type="dxa"/>
          </w:tcPr>
          <w:p w14:paraId="792FF374" w14:textId="77777777" w:rsidR="004A6A76" w:rsidRPr="00312822" w:rsidRDefault="004A6A76" w:rsidP="001434B8">
            <w:pPr>
              <w:rPr>
                <w:sz w:val="20"/>
                <w:szCs w:val="20"/>
                <w:lang w:eastAsia="ja-JP"/>
              </w:rPr>
            </w:pPr>
            <w:r w:rsidRPr="00312822">
              <w:rPr>
                <w:sz w:val="20"/>
                <w:szCs w:val="20"/>
                <w:lang w:eastAsia="ja-JP"/>
              </w:rPr>
              <w:t>22%</w:t>
            </w:r>
          </w:p>
        </w:tc>
        <w:tc>
          <w:tcPr>
            <w:tcW w:w="1083" w:type="dxa"/>
          </w:tcPr>
          <w:p w14:paraId="3F9B9E7B" w14:textId="77777777" w:rsidR="004A6A76" w:rsidRPr="00312822" w:rsidRDefault="004A6A76" w:rsidP="001434B8">
            <w:pPr>
              <w:rPr>
                <w:sz w:val="20"/>
                <w:szCs w:val="20"/>
                <w:lang w:eastAsia="ja-JP"/>
              </w:rPr>
            </w:pPr>
            <w:r w:rsidRPr="00312822">
              <w:rPr>
                <w:sz w:val="20"/>
                <w:szCs w:val="20"/>
                <w:lang w:eastAsia="ja-JP"/>
              </w:rPr>
              <w:t>4</w:t>
            </w:r>
          </w:p>
        </w:tc>
        <w:tc>
          <w:tcPr>
            <w:tcW w:w="2719" w:type="dxa"/>
          </w:tcPr>
          <w:p w14:paraId="501B998B" w14:textId="77777777" w:rsidR="004A6A76" w:rsidRPr="00312822" w:rsidRDefault="004A6A76" w:rsidP="001434B8">
            <w:pPr>
              <w:rPr>
                <w:sz w:val="20"/>
                <w:szCs w:val="20"/>
                <w:lang w:eastAsia="ja-JP"/>
              </w:rPr>
            </w:pPr>
            <w:r w:rsidRPr="00312822">
              <w:rPr>
                <w:sz w:val="20"/>
                <w:szCs w:val="20"/>
                <w:lang w:eastAsia="ja-JP"/>
              </w:rPr>
              <w:t>25.5 (80% CI 19.8  to 31.2)</w:t>
            </w:r>
          </w:p>
        </w:tc>
      </w:tr>
      <w:tr w:rsidR="004A6A76" w:rsidRPr="00312822" w14:paraId="6BAF3F4E" w14:textId="77777777" w:rsidTr="00BE7824">
        <w:tc>
          <w:tcPr>
            <w:tcW w:w="1259" w:type="dxa"/>
            <w:vMerge/>
          </w:tcPr>
          <w:p w14:paraId="625FB0B3" w14:textId="77777777" w:rsidR="004A6A76" w:rsidRPr="00312822" w:rsidRDefault="004A6A76" w:rsidP="001434B8">
            <w:pPr>
              <w:rPr>
                <w:sz w:val="20"/>
                <w:szCs w:val="20"/>
                <w:lang w:eastAsia="ja-JP"/>
              </w:rPr>
            </w:pPr>
          </w:p>
        </w:tc>
        <w:tc>
          <w:tcPr>
            <w:tcW w:w="1121" w:type="dxa"/>
          </w:tcPr>
          <w:p w14:paraId="0C0A9B72" w14:textId="77777777" w:rsidR="004A6A76" w:rsidRPr="00312822" w:rsidRDefault="004A6A76" w:rsidP="001434B8">
            <w:pPr>
              <w:rPr>
                <w:sz w:val="20"/>
                <w:szCs w:val="20"/>
                <w:lang w:eastAsia="ja-JP"/>
              </w:rPr>
            </w:pPr>
            <w:r w:rsidRPr="00312822">
              <w:rPr>
                <w:sz w:val="20"/>
                <w:szCs w:val="20"/>
                <w:lang w:eastAsia="ja-JP"/>
              </w:rPr>
              <w:t>54</w:t>
            </w:r>
          </w:p>
        </w:tc>
        <w:tc>
          <w:tcPr>
            <w:tcW w:w="1778" w:type="dxa"/>
          </w:tcPr>
          <w:p w14:paraId="0DFA24C8" w14:textId="77777777" w:rsidR="004A6A76" w:rsidRPr="00312822" w:rsidRDefault="004A6A76" w:rsidP="001434B8">
            <w:pPr>
              <w:rPr>
                <w:sz w:val="20"/>
                <w:szCs w:val="20"/>
                <w:lang w:eastAsia="ja-JP"/>
              </w:rPr>
            </w:pPr>
            <w:r w:rsidRPr="00312822">
              <w:rPr>
                <w:sz w:val="20"/>
                <w:szCs w:val="20"/>
                <w:lang w:eastAsia="ja-JP"/>
              </w:rPr>
              <w:t>10 mg/kg Q3W</w:t>
            </w:r>
          </w:p>
        </w:tc>
        <w:tc>
          <w:tcPr>
            <w:tcW w:w="1058" w:type="dxa"/>
          </w:tcPr>
          <w:p w14:paraId="5061C141" w14:textId="77777777" w:rsidR="004A6A76" w:rsidRPr="00312822" w:rsidRDefault="004A6A76" w:rsidP="001434B8">
            <w:pPr>
              <w:rPr>
                <w:sz w:val="20"/>
                <w:szCs w:val="20"/>
                <w:lang w:eastAsia="ja-JP"/>
              </w:rPr>
            </w:pPr>
            <w:r w:rsidRPr="00312822">
              <w:rPr>
                <w:sz w:val="20"/>
                <w:szCs w:val="20"/>
                <w:lang w:eastAsia="ja-JP"/>
              </w:rPr>
              <w:t>20%</w:t>
            </w:r>
          </w:p>
        </w:tc>
        <w:tc>
          <w:tcPr>
            <w:tcW w:w="1083" w:type="dxa"/>
          </w:tcPr>
          <w:p w14:paraId="513FC815" w14:textId="77777777" w:rsidR="004A6A76" w:rsidRPr="00312822" w:rsidRDefault="004A6A76" w:rsidP="001434B8">
            <w:pPr>
              <w:rPr>
                <w:sz w:val="20"/>
                <w:szCs w:val="20"/>
                <w:lang w:eastAsia="ja-JP"/>
              </w:rPr>
            </w:pPr>
            <w:r w:rsidRPr="00312822">
              <w:rPr>
                <w:sz w:val="20"/>
                <w:szCs w:val="20"/>
                <w:lang w:eastAsia="ja-JP"/>
              </w:rPr>
              <w:t>4.2</w:t>
            </w:r>
          </w:p>
        </w:tc>
        <w:tc>
          <w:tcPr>
            <w:tcW w:w="2719" w:type="dxa"/>
          </w:tcPr>
          <w:p w14:paraId="16EBB5EF" w14:textId="77777777" w:rsidR="004A6A76" w:rsidRPr="00312822" w:rsidRDefault="004A6A76" w:rsidP="001434B8">
            <w:pPr>
              <w:rPr>
                <w:sz w:val="20"/>
                <w:szCs w:val="20"/>
                <w:lang w:eastAsia="ja-JP"/>
              </w:rPr>
            </w:pPr>
            <w:r w:rsidRPr="00312822">
              <w:rPr>
                <w:sz w:val="20"/>
                <w:szCs w:val="20"/>
                <w:lang w:eastAsia="ja-JP"/>
              </w:rPr>
              <w:t>24.8 (80% CI 15.3 to 26.0)</w:t>
            </w:r>
          </w:p>
        </w:tc>
      </w:tr>
      <w:tr w:rsidR="004A6A76" w:rsidRPr="00312822" w14:paraId="5D1A1BAF" w14:textId="77777777" w:rsidTr="00BE7824">
        <w:tc>
          <w:tcPr>
            <w:tcW w:w="1259" w:type="dxa"/>
          </w:tcPr>
          <w:p w14:paraId="3D1C76FE" w14:textId="77777777" w:rsidR="004A6A76" w:rsidRPr="00312822" w:rsidRDefault="004A6A76" w:rsidP="001434B8">
            <w:pPr>
              <w:rPr>
                <w:sz w:val="20"/>
                <w:szCs w:val="20"/>
                <w:lang w:eastAsia="ja-JP"/>
              </w:rPr>
            </w:pPr>
            <w:r w:rsidRPr="00312822">
              <w:rPr>
                <w:sz w:val="20"/>
                <w:szCs w:val="20"/>
                <w:lang w:eastAsia="ja-JP"/>
              </w:rPr>
              <w:t>CA209025</w:t>
            </w:r>
          </w:p>
        </w:tc>
        <w:tc>
          <w:tcPr>
            <w:tcW w:w="1121" w:type="dxa"/>
          </w:tcPr>
          <w:p w14:paraId="080DB83B" w14:textId="77777777" w:rsidR="004A6A76" w:rsidRPr="00312822" w:rsidRDefault="004A6A76" w:rsidP="001434B8">
            <w:pPr>
              <w:rPr>
                <w:sz w:val="20"/>
                <w:szCs w:val="20"/>
                <w:lang w:eastAsia="ja-JP"/>
              </w:rPr>
            </w:pPr>
            <w:r w:rsidRPr="00312822">
              <w:rPr>
                <w:sz w:val="20"/>
                <w:szCs w:val="20"/>
                <w:lang w:eastAsia="ja-JP"/>
              </w:rPr>
              <w:t>406</w:t>
            </w:r>
          </w:p>
        </w:tc>
        <w:tc>
          <w:tcPr>
            <w:tcW w:w="1778" w:type="dxa"/>
          </w:tcPr>
          <w:p w14:paraId="11616DA1" w14:textId="77777777" w:rsidR="004A6A76" w:rsidRPr="00312822" w:rsidRDefault="004A6A76" w:rsidP="001434B8">
            <w:pPr>
              <w:rPr>
                <w:sz w:val="20"/>
                <w:szCs w:val="20"/>
                <w:lang w:eastAsia="ja-JP"/>
              </w:rPr>
            </w:pPr>
            <w:r w:rsidRPr="00312822">
              <w:rPr>
                <w:sz w:val="20"/>
                <w:szCs w:val="20"/>
                <w:lang w:eastAsia="ja-JP"/>
              </w:rPr>
              <w:t>3 mg/kg Q2W</w:t>
            </w:r>
          </w:p>
        </w:tc>
        <w:tc>
          <w:tcPr>
            <w:tcW w:w="1058" w:type="dxa"/>
          </w:tcPr>
          <w:p w14:paraId="61B763D2" w14:textId="77777777" w:rsidR="004A6A76" w:rsidRPr="00312822" w:rsidRDefault="004A6A76" w:rsidP="001434B8">
            <w:pPr>
              <w:rPr>
                <w:sz w:val="20"/>
                <w:szCs w:val="20"/>
                <w:lang w:eastAsia="ja-JP"/>
              </w:rPr>
            </w:pPr>
            <w:r w:rsidRPr="00312822">
              <w:rPr>
                <w:sz w:val="20"/>
                <w:szCs w:val="20"/>
                <w:lang w:eastAsia="ja-JP"/>
              </w:rPr>
              <w:t>25%</w:t>
            </w:r>
          </w:p>
        </w:tc>
        <w:tc>
          <w:tcPr>
            <w:tcW w:w="1083" w:type="dxa"/>
          </w:tcPr>
          <w:p w14:paraId="537D612E" w14:textId="77777777" w:rsidR="004A6A76" w:rsidRPr="00312822" w:rsidRDefault="004A6A76" w:rsidP="001434B8">
            <w:pPr>
              <w:rPr>
                <w:sz w:val="20"/>
                <w:szCs w:val="20"/>
                <w:lang w:eastAsia="ja-JP"/>
              </w:rPr>
            </w:pPr>
            <w:r w:rsidRPr="00312822">
              <w:rPr>
                <w:sz w:val="20"/>
                <w:szCs w:val="20"/>
                <w:lang w:eastAsia="ja-JP"/>
              </w:rPr>
              <w:t>4.6</w:t>
            </w:r>
          </w:p>
        </w:tc>
        <w:tc>
          <w:tcPr>
            <w:tcW w:w="2719" w:type="dxa"/>
          </w:tcPr>
          <w:p w14:paraId="0C05FF26" w14:textId="77777777" w:rsidR="004A6A76" w:rsidRPr="00312822" w:rsidRDefault="004A6A76" w:rsidP="001434B8">
            <w:pPr>
              <w:rPr>
                <w:sz w:val="20"/>
                <w:szCs w:val="20"/>
                <w:lang w:eastAsia="ja-JP"/>
              </w:rPr>
            </w:pPr>
            <w:r w:rsidRPr="00312822">
              <w:rPr>
                <w:sz w:val="20"/>
                <w:szCs w:val="20"/>
                <w:lang w:eastAsia="ja-JP"/>
              </w:rPr>
              <w:t>25</w:t>
            </w:r>
          </w:p>
        </w:tc>
      </w:tr>
      <w:tr w:rsidR="004A6A76" w:rsidRPr="00312822" w14:paraId="4E575716" w14:textId="77777777" w:rsidTr="00BE7824">
        <w:tc>
          <w:tcPr>
            <w:tcW w:w="9018" w:type="dxa"/>
            <w:gridSpan w:val="6"/>
          </w:tcPr>
          <w:p w14:paraId="4DA50255" w14:textId="52FE3C75" w:rsidR="004A6A76" w:rsidRPr="00312822" w:rsidRDefault="004A6A76" w:rsidP="001434B8">
            <w:pPr>
              <w:rPr>
                <w:sz w:val="20"/>
                <w:szCs w:val="20"/>
                <w:lang w:eastAsia="ja-JP"/>
              </w:rPr>
            </w:pPr>
            <w:r w:rsidRPr="00312822">
              <w:rPr>
                <w:sz w:val="20"/>
                <w:szCs w:val="20"/>
                <w:lang w:eastAsia="ja-JP"/>
              </w:rPr>
              <w:t>NR = Not reached at time of analysis; NA = not available; ORR = Objective response rate; PFS = progression free survival; OS = overall survival</w:t>
            </w:r>
            <w:r w:rsidR="00F12B6C" w:rsidRPr="00312822">
              <w:rPr>
                <w:sz w:val="20"/>
                <w:szCs w:val="20"/>
                <w:lang w:eastAsia="ja-JP"/>
              </w:rPr>
              <w:t>; Q2W = every 2 weeks; Q3W every 3 weeks</w:t>
            </w:r>
            <w:r w:rsidRPr="00312822">
              <w:rPr>
                <w:sz w:val="20"/>
                <w:szCs w:val="20"/>
                <w:lang w:eastAsia="ja-JP"/>
              </w:rPr>
              <w:t>. *24 patients had not received prior systemic therapies</w:t>
            </w:r>
          </w:p>
        </w:tc>
      </w:tr>
    </w:tbl>
    <w:p w14:paraId="07B4C987" w14:textId="3C868923" w:rsidR="004A6A76" w:rsidRPr="002A7971" w:rsidRDefault="005012D5" w:rsidP="004A6A76">
      <w:pPr>
        <w:pStyle w:val="Heading5"/>
        <w:rPr>
          <w:rFonts w:eastAsia="TimesNewRoman"/>
          <w:lang w:eastAsia="ja-JP"/>
        </w:rPr>
      </w:pPr>
      <w:r>
        <w:rPr>
          <w:rFonts w:eastAsia="TimesNewRoman"/>
          <w:lang w:eastAsia="ja-JP"/>
        </w:rPr>
        <w:t>Selection of dose and dosing i</w:t>
      </w:r>
      <w:r w:rsidR="004A6A76" w:rsidRPr="002A7971">
        <w:rPr>
          <w:rFonts w:eastAsia="TimesNewRoman"/>
          <w:lang w:eastAsia="ja-JP"/>
        </w:rPr>
        <w:t xml:space="preserve">nterval </w:t>
      </w:r>
    </w:p>
    <w:p w14:paraId="3DA3EE0D" w14:textId="0B9351E2" w:rsidR="004A6A76" w:rsidRPr="002A7971" w:rsidRDefault="004A6A76" w:rsidP="004A6A76">
      <w:pPr>
        <w:rPr>
          <w:lang w:eastAsia="ja-JP"/>
        </w:rPr>
      </w:pPr>
      <w:r w:rsidRPr="002A7971">
        <w:rPr>
          <w:lang w:eastAsia="ja-JP"/>
        </w:rPr>
        <w:t>Selection of dose and dosing interval for the pivotal study was apparently based on St</w:t>
      </w:r>
      <w:r w:rsidR="005012D5">
        <w:rPr>
          <w:lang w:eastAsia="ja-JP"/>
        </w:rPr>
        <w:t>udy </w:t>
      </w:r>
      <w:r w:rsidRPr="002A7971">
        <w:rPr>
          <w:lang w:eastAsia="ja-JP"/>
        </w:rPr>
        <w:t xml:space="preserve">CA209003. This dose ranging study included patients with a number of different types of advanced solid organ tumours, including RCC, melanoma and </w:t>
      </w:r>
      <w:r w:rsidR="00F12B6C">
        <w:rPr>
          <w:lang w:eastAsia="ja-JP"/>
        </w:rPr>
        <w:t>NSCLC</w:t>
      </w:r>
      <w:r w:rsidRPr="002A7971">
        <w:rPr>
          <w:lang w:eastAsia="ja-JP"/>
        </w:rPr>
        <w:t>. Dose dependency in terms of tumour response was not demonstrated for RCC or melanoma. Some dose-dependency was demonstrated for NSCLC. A dose of 3 mg/kg given fortnight</w:t>
      </w:r>
      <w:r w:rsidR="005012D5">
        <w:rPr>
          <w:lang w:eastAsia="ja-JP"/>
        </w:rPr>
        <w:t>ly was, however, chosen as the P</w:t>
      </w:r>
      <w:r w:rsidRPr="002A7971">
        <w:rPr>
          <w:lang w:eastAsia="ja-JP"/>
        </w:rPr>
        <w:t>hase III dose for all tumour types.</w:t>
      </w:r>
    </w:p>
    <w:p w14:paraId="54F0306E" w14:textId="33A7114C" w:rsidR="004A6A76" w:rsidRPr="002A7971" w:rsidRDefault="004A6A76" w:rsidP="004A6A76">
      <w:pPr>
        <w:rPr>
          <w:lang w:eastAsia="ja-JP"/>
        </w:rPr>
      </w:pPr>
      <w:r w:rsidRPr="002A7971">
        <w:rPr>
          <w:lang w:eastAsia="ja-JP"/>
        </w:rPr>
        <w:t xml:space="preserve">As described above there are three dose ranging studies that describe the investigation of </w:t>
      </w:r>
      <w:proofErr w:type="spellStart"/>
      <w:r w:rsidRPr="002A7971">
        <w:rPr>
          <w:lang w:eastAsia="ja-JP"/>
        </w:rPr>
        <w:t>nivolumab</w:t>
      </w:r>
      <w:proofErr w:type="spellEnd"/>
      <w:r w:rsidRPr="002A7971">
        <w:rPr>
          <w:lang w:eastAsia="ja-JP"/>
        </w:rPr>
        <w:t xml:space="preserve"> treatment in patients with advanced clear cell carcinoma who have received prior systemic therapy with dose levels of 0.3, 1, 2 and 10 mg/kg and dosing intervals of two or three weeks. Efficacy measures in these studies included measures of tumour response as assessed, in general, by the investigator using the RECIST criteria (including </w:t>
      </w:r>
      <w:r w:rsidR="00F12B6C">
        <w:rPr>
          <w:lang w:eastAsia="ja-JP"/>
        </w:rPr>
        <w:t>ORR, duration of response,</w:t>
      </w:r>
      <w:r w:rsidRPr="002A7971">
        <w:rPr>
          <w:lang w:eastAsia="ja-JP"/>
        </w:rPr>
        <w:t xml:space="preserve"> </w:t>
      </w:r>
      <w:r w:rsidR="00F12B6C">
        <w:rPr>
          <w:lang w:eastAsia="ja-JP"/>
        </w:rPr>
        <w:t xml:space="preserve">PFS </w:t>
      </w:r>
      <w:r w:rsidRPr="002A7971">
        <w:rPr>
          <w:lang w:eastAsia="ja-JP"/>
        </w:rPr>
        <w:t xml:space="preserve">with tumour response) and </w:t>
      </w:r>
      <w:r w:rsidR="00F12B6C">
        <w:rPr>
          <w:lang w:eastAsia="ja-JP"/>
        </w:rPr>
        <w:t>OS</w:t>
      </w:r>
      <w:r w:rsidRPr="002A7971">
        <w:rPr>
          <w:lang w:eastAsia="ja-JP"/>
        </w:rPr>
        <w:t xml:space="preserve">. According to the results of these studies (shown in the table above and described below), no particular dose or dosing interval appeared to offer </w:t>
      </w:r>
      <w:r w:rsidR="005012D5">
        <w:rPr>
          <w:lang w:eastAsia="ja-JP"/>
        </w:rPr>
        <w:t>any advantage in these studies.</w:t>
      </w:r>
    </w:p>
    <w:p w14:paraId="1D7EBF49" w14:textId="005D58DF" w:rsidR="004A6A76" w:rsidRPr="002A7971" w:rsidRDefault="004A6A76" w:rsidP="000E4CDF">
      <w:pPr>
        <w:pStyle w:val="ListBullet"/>
        <w:numPr>
          <w:ilvl w:val="0"/>
          <w:numId w:val="1"/>
        </w:numPr>
        <w:rPr>
          <w:lang w:eastAsia="ja-JP"/>
        </w:rPr>
      </w:pPr>
      <w:r w:rsidRPr="002A7971">
        <w:rPr>
          <w:lang w:eastAsia="ja-JP"/>
        </w:rPr>
        <w:t>In Study CA209010, 168 patients received 0.3 mg/kg or 2 mg/kg or</w:t>
      </w:r>
      <w:r w:rsidR="00F12B6C">
        <w:rPr>
          <w:lang w:eastAsia="ja-JP"/>
        </w:rPr>
        <w:t xml:space="preserve"> 10 mg/kg every three weeks (50 to </w:t>
      </w:r>
      <w:r w:rsidRPr="002A7971">
        <w:rPr>
          <w:lang w:eastAsia="ja-JP"/>
        </w:rPr>
        <w:t xml:space="preserve">60 patients in each arm). At the time of an updated analysis of </w:t>
      </w:r>
      <w:r w:rsidR="00F12B6C">
        <w:rPr>
          <w:lang w:eastAsia="ja-JP"/>
        </w:rPr>
        <w:t>OS</w:t>
      </w:r>
      <w:r w:rsidRPr="002A7971">
        <w:rPr>
          <w:lang w:eastAsia="ja-JP"/>
        </w:rPr>
        <w:t xml:space="preserve"> provided in an addendum to the study, median OS was reached for all three treatment groups and </w:t>
      </w:r>
      <w:r w:rsidR="005012D5">
        <w:rPr>
          <w:lang w:eastAsia="ja-JP"/>
        </w:rPr>
        <w:t xml:space="preserve">was 18.5 months (80% CI 16.23, </w:t>
      </w:r>
      <w:r w:rsidRPr="002A7971">
        <w:rPr>
          <w:lang w:eastAsia="ja-JP"/>
        </w:rPr>
        <w:t>23.9</w:t>
      </w:r>
      <w:r w:rsidR="005012D5">
        <w:rPr>
          <w:lang w:eastAsia="ja-JP"/>
        </w:rPr>
        <w:t xml:space="preserve">8), 25.5 months (80% CI 19.78, </w:t>
      </w:r>
      <w:r w:rsidRPr="002A7971">
        <w:rPr>
          <w:lang w:eastAsia="ja-JP"/>
        </w:rPr>
        <w:t>31.24)</w:t>
      </w:r>
      <w:r w:rsidR="005012D5">
        <w:rPr>
          <w:lang w:eastAsia="ja-JP"/>
        </w:rPr>
        <w:t>, and 24.8 months (80% CI 15.31, 25.95), for the 0.3, 2, and 10 </w:t>
      </w:r>
      <w:r w:rsidRPr="002A7971">
        <w:rPr>
          <w:lang w:eastAsia="ja-JP"/>
        </w:rPr>
        <w:t>mg/kg groups, with no significant difference between treatment ar</w:t>
      </w:r>
      <w:r>
        <w:rPr>
          <w:lang w:eastAsia="ja-JP"/>
        </w:rPr>
        <w:t>ms.</w:t>
      </w:r>
    </w:p>
    <w:p w14:paraId="227D0666" w14:textId="2F2084E1" w:rsidR="004A6A76" w:rsidRPr="002A7971" w:rsidRDefault="004A6A76" w:rsidP="000E4CDF">
      <w:pPr>
        <w:pStyle w:val="ListBullet"/>
        <w:numPr>
          <w:ilvl w:val="0"/>
          <w:numId w:val="1"/>
        </w:numPr>
        <w:rPr>
          <w:lang w:eastAsia="ja-JP"/>
        </w:rPr>
      </w:pPr>
      <w:r w:rsidRPr="002A7971">
        <w:rPr>
          <w:lang w:eastAsia="ja-JP"/>
        </w:rPr>
        <w:t xml:space="preserve">In Study CA209003, 34 patients with RCC received 1 mg/kg or 10 mg/kg every two weeks. This found response rates of 27.8% and 31.3% for subjects treated with 1 and </w:t>
      </w:r>
      <w:r w:rsidRPr="002A7971">
        <w:rPr>
          <w:lang w:eastAsia="ja-JP"/>
        </w:rPr>
        <w:lastRenderedPageBreak/>
        <w:t xml:space="preserve">10 mg/kg </w:t>
      </w:r>
      <w:proofErr w:type="spellStart"/>
      <w:r w:rsidRPr="002A7971">
        <w:rPr>
          <w:lang w:eastAsia="ja-JP"/>
        </w:rPr>
        <w:t>nivolumab</w:t>
      </w:r>
      <w:proofErr w:type="spellEnd"/>
      <w:r w:rsidRPr="002A7971">
        <w:rPr>
          <w:lang w:eastAsia="ja-JP"/>
        </w:rPr>
        <w:t>, respectively and an estimated 1 year OS rate of 70%. The median duration of respo</w:t>
      </w:r>
      <w:r w:rsidR="00F12B6C">
        <w:rPr>
          <w:lang w:eastAsia="ja-JP"/>
        </w:rPr>
        <w:t>nse was 56 weeks for each dose.</w:t>
      </w:r>
    </w:p>
    <w:p w14:paraId="316B3758" w14:textId="7E59066A" w:rsidR="004A6A76" w:rsidRPr="002A7971" w:rsidRDefault="004A6A76" w:rsidP="000E4CDF">
      <w:pPr>
        <w:pStyle w:val="ListBullet"/>
        <w:numPr>
          <w:ilvl w:val="0"/>
          <w:numId w:val="1"/>
        </w:numPr>
        <w:rPr>
          <w:lang w:eastAsia="ja-JP"/>
        </w:rPr>
      </w:pPr>
      <w:r w:rsidRPr="002A7971">
        <w:rPr>
          <w:lang w:eastAsia="ja-JP"/>
        </w:rPr>
        <w:t xml:space="preserve">In </w:t>
      </w:r>
      <w:r w:rsidR="00DC7BC7">
        <w:rPr>
          <w:lang w:eastAsia="ja-JP"/>
        </w:rPr>
        <w:t>S</w:t>
      </w:r>
      <w:r w:rsidR="00DC7BC7" w:rsidRPr="002A7971">
        <w:rPr>
          <w:lang w:eastAsia="ja-JP"/>
        </w:rPr>
        <w:t xml:space="preserve">tudy </w:t>
      </w:r>
      <w:r w:rsidRPr="002A7971">
        <w:rPr>
          <w:lang w:eastAsia="ja-JP"/>
        </w:rPr>
        <w:t>CA209009, 91 patients received 0.3, 2.0, or 10.0 mg/kg every three weeks. The median OS for each group (95% C</w:t>
      </w:r>
      <w:r w:rsidR="005012D5">
        <w:rPr>
          <w:lang w:eastAsia="ja-JP"/>
        </w:rPr>
        <w:t xml:space="preserve">I) was 16.4 months (95% CI 10.1, </w:t>
      </w:r>
      <w:r w:rsidRPr="002A7971">
        <w:rPr>
          <w:lang w:eastAsia="ja-JP"/>
        </w:rPr>
        <w:t xml:space="preserve">not reached (NR)) for 0.3 mg/kg, NR for 2 </w:t>
      </w:r>
      <w:r w:rsidR="005012D5">
        <w:rPr>
          <w:lang w:eastAsia="ja-JP"/>
        </w:rPr>
        <w:t xml:space="preserve">mg/kg, 25.2 months (95% CI 12.0, </w:t>
      </w:r>
      <w:r w:rsidRPr="002A7971">
        <w:rPr>
          <w:lang w:eastAsia="ja-JP"/>
        </w:rPr>
        <w:t>NR</w:t>
      </w:r>
      <w:r w:rsidR="00C950B3">
        <w:rPr>
          <w:lang w:eastAsia="ja-JP"/>
        </w:rPr>
        <w:t xml:space="preserve">) for 10 mg/kg. The estimated 1 </w:t>
      </w:r>
      <w:r w:rsidRPr="002A7971">
        <w:rPr>
          <w:lang w:eastAsia="ja-JP"/>
        </w:rPr>
        <w:t>year OS rate i</w:t>
      </w:r>
      <w:r w:rsidR="00C950B3">
        <w:rPr>
          <w:lang w:eastAsia="ja-JP"/>
        </w:rPr>
        <w:t xml:space="preserve">n this study was 75% (95% CI 64 to </w:t>
      </w:r>
      <w:r w:rsidRPr="002A7971">
        <w:rPr>
          <w:lang w:eastAsia="ja-JP"/>
        </w:rPr>
        <w:t>83).</w:t>
      </w:r>
    </w:p>
    <w:p w14:paraId="7936FEF6" w14:textId="1F1E7C68" w:rsidR="004A6A76" w:rsidRPr="002A7971" w:rsidRDefault="004A6A76" w:rsidP="004A6A76">
      <w:pPr>
        <w:rPr>
          <w:lang w:eastAsia="ja-JP"/>
        </w:rPr>
      </w:pPr>
      <w:r w:rsidRPr="002A7971">
        <w:rPr>
          <w:lang w:eastAsia="ja-JP"/>
        </w:rPr>
        <w:t xml:space="preserve">The lack of dose dependency reported in these dose-ranging studies is consistent with the pharmacodynamics studies that demonstrate high PD-1 receptor occupancy, at even low levels of serum </w:t>
      </w:r>
      <w:proofErr w:type="spellStart"/>
      <w:r w:rsidRPr="002A7971">
        <w:rPr>
          <w:lang w:eastAsia="ja-JP"/>
        </w:rPr>
        <w:t>nivolumab</w:t>
      </w:r>
      <w:proofErr w:type="spellEnd"/>
      <w:r w:rsidRPr="002A7971">
        <w:rPr>
          <w:lang w:eastAsia="ja-JP"/>
        </w:rPr>
        <w:t xml:space="preserve"> and small doses of </w:t>
      </w:r>
      <w:proofErr w:type="spellStart"/>
      <w:r w:rsidRPr="002A7971">
        <w:rPr>
          <w:lang w:eastAsia="ja-JP"/>
        </w:rPr>
        <w:t>nivolumab</w:t>
      </w:r>
      <w:proofErr w:type="spellEnd"/>
      <w:r w:rsidRPr="002A7971">
        <w:rPr>
          <w:lang w:eastAsia="ja-JP"/>
        </w:rPr>
        <w:t>, with no dose dependent effect on receptor occupancy rates. In the pharmacodynamics component of Study CA209009, receptor occupancy was reported</w:t>
      </w:r>
      <w:r w:rsidR="009F3A7D">
        <w:rPr>
          <w:lang w:eastAsia="ja-JP"/>
        </w:rPr>
        <w:t xml:space="preserve"> to be ≥ 90% at all doses (0.3 to</w:t>
      </w:r>
      <w:r w:rsidRPr="002A7971">
        <w:rPr>
          <w:lang w:eastAsia="ja-JP"/>
        </w:rPr>
        <w:t xml:space="preserve"> 10 mg/kg). These studies also demonstrated avid binding of </w:t>
      </w:r>
      <w:proofErr w:type="spellStart"/>
      <w:r w:rsidRPr="002A7971">
        <w:rPr>
          <w:lang w:eastAsia="ja-JP"/>
        </w:rPr>
        <w:t>nivolumab</w:t>
      </w:r>
      <w:proofErr w:type="spellEnd"/>
      <w:r w:rsidRPr="002A7971">
        <w:rPr>
          <w:lang w:eastAsia="ja-JP"/>
        </w:rPr>
        <w:t xml:space="preserve"> to the PD-1 receptor, with the receptor occupancy plateau rate of 70% persisting for more than 57 days after a single dose of </w:t>
      </w:r>
      <w:proofErr w:type="spellStart"/>
      <w:r w:rsidRPr="002A7971">
        <w:rPr>
          <w:lang w:eastAsia="ja-JP"/>
        </w:rPr>
        <w:t>nivolumab</w:t>
      </w:r>
      <w:proofErr w:type="spellEnd"/>
      <w:r w:rsidRPr="002A7971">
        <w:rPr>
          <w:lang w:eastAsia="ja-JP"/>
        </w:rPr>
        <w:t>.</w:t>
      </w:r>
    </w:p>
    <w:p w14:paraId="77BA8AAA" w14:textId="255DD2C0" w:rsidR="004A6A76" w:rsidRPr="004A6A76" w:rsidRDefault="004A6A76" w:rsidP="004A6A76">
      <w:pPr>
        <w:rPr>
          <w:lang w:val="en-GB" w:eastAsia="ja-JP"/>
        </w:rPr>
      </w:pPr>
      <w:r w:rsidRPr="002A7971">
        <w:rPr>
          <w:lang w:eastAsia="ja-JP"/>
        </w:rPr>
        <w:t>It is not clear to the evaluator that the dose of 3 mg/kg is necessary for patients with</w:t>
      </w:r>
      <w:r w:rsidR="009F3A7D">
        <w:rPr>
          <w:lang w:eastAsia="ja-JP"/>
        </w:rPr>
        <w:t xml:space="preserve"> advanced renal cell carcinoma;</w:t>
      </w:r>
      <w:r w:rsidRPr="002A7971">
        <w:rPr>
          <w:lang w:eastAsia="ja-JP"/>
        </w:rPr>
        <w:t xml:space="preserve"> similar efficacy may have</w:t>
      </w:r>
      <w:r w:rsidR="009F3A7D">
        <w:rPr>
          <w:lang w:eastAsia="ja-JP"/>
        </w:rPr>
        <w:t xml:space="preserve"> been achieved with a dose of 1 </w:t>
      </w:r>
      <w:r w:rsidRPr="002A7971">
        <w:rPr>
          <w:lang w:eastAsia="ja-JP"/>
        </w:rPr>
        <w:t xml:space="preserve">mg/kg given every 2 weeks or 2 mg/kg every three weeks. The dosing interval of two weeks appears to have been based on the half-life of </w:t>
      </w:r>
      <w:proofErr w:type="spellStart"/>
      <w:r w:rsidRPr="002A7971">
        <w:rPr>
          <w:lang w:eastAsia="ja-JP"/>
        </w:rPr>
        <w:t>nivolumab</w:t>
      </w:r>
      <w:proofErr w:type="spellEnd"/>
      <w:r w:rsidRPr="002A7971">
        <w:rPr>
          <w:lang w:eastAsia="ja-JP"/>
        </w:rPr>
        <w:t xml:space="preserve"> and may not have taken into account the prolonged and avid binding to the PD-1 </w:t>
      </w:r>
      <w:proofErr w:type="gramStart"/>
      <w:r w:rsidRPr="002A7971">
        <w:rPr>
          <w:lang w:eastAsia="ja-JP"/>
        </w:rPr>
        <w:t>receptor, that</w:t>
      </w:r>
      <w:proofErr w:type="gramEnd"/>
      <w:r w:rsidRPr="002A7971">
        <w:rPr>
          <w:lang w:eastAsia="ja-JP"/>
        </w:rPr>
        <w:t xml:space="preserve"> is the presumed b</w:t>
      </w:r>
      <w:r w:rsidR="00C950B3">
        <w:rPr>
          <w:lang w:eastAsia="ja-JP"/>
        </w:rPr>
        <w:t>asis of the therapeutic effect.</w:t>
      </w:r>
    </w:p>
    <w:p w14:paraId="0820B132" w14:textId="77777777" w:rsidR="008E7846" w:rsidRPr="002E238E" w:rsidRDefault="008E7846" w:rsidP="008E7846">
      <w:pPr>
        <w:pStyle w:val="Heading3"/>
      </w:pPr>
      <w:bookmarkStart w:id="77" w:name="_Toc163441378"/>
      <w:bookmarkStart w:id="78" w:name="_Toc196046495"/>
      <w:bookmarkStart w:id="79" w:name="_Toc247691522"/>
      <w:bookmarkStart w:id="80" w:name="_Toc314842505"/>
      <w:bookmarkStart w:id="81" w:name="_Toc489277875"/>
      <w:bookmarkEnd w:id="72"/>
      <w:bookmarkEnd w:id="73"/>
      <w:bookmarkEnd w:id="74"/>
      <w:bookmarkEnd w:id="75"/>
      <w:r w:rsidRPr="002E238E">
        <w:t>Safety</w:t>
      </w:r>
      <w:bookmarkEnd w:id="77"/>
      <w:bookmarkEnd w:id="78"/>
      <w:bookmarkEnd w:id="79"/>
      <w:bookmarkEnd w:id="80"/>
      <w:bookmarkEnd w:id="81"/>
    </w:p>
    <w:p w14:paraId="693A85D5" w14:textId="77777777" w:rsidR="00605AD4" w:rsidRDefault="00605AD4" w:rsidP="00605AD4">
      <w:pPr>
        <w:pStyle w:val="Heading4"/>
      </w:pPr>
      <w:bookmarkStart w:id="82" w:name="_Toc247691524"/>
      <w:bookmarkStart w:id="83" w:name="_Toc314842508"/>
      <w:bookmarkStart w:id="84" w:name="_Toc196046504"/>
      <w:bookmarkStart w:id="85" w:name="_Toc163441390"/>
      <w:r w:rsidRPr="00605AD4">
        <w:t>Studies providing safety data</w:t>
      </w:r>
    </w:p>
    <w:p w14:paraId="58DCAB27" w14:textId="77777777" w:rsidR="00D52CC1" w:rsidRPr="00D52CC1" w:rsidRDefault="00D52CC1" w:rsidP="00D52CC1">
      <w:r w:rsidRPr="00D52CC1">
        <w:t xml:space="preserve">The following studies provided evaluable safety data for the use of </w:t>
      </w:r>
      <w:proofErr w:type="spellStart"/>
      <w:r w:rsidRPr="00D52CC1">
        <w:t>nivolumab</w:t>
      </w:r>
      <w:proofErr w:type="spellEnd"/>
      <w:r w:rsidRPr="00D52CC1">
        <w:t xml:space="preserve"> in patients with advanced RCC:</w:t>
      </w:r>
    </w:p>
    <w:p w14:paraId="249EEDC8" w14:textId="38581DE6" w:rsidR="00D52CC1" w:rsidRPr="00D52CC1" w:rsidRDefault="00C950B3" w:rsidP="00D52CC1">
      <w:pPr>
        <w:pStyle w:val="ListBullet"/>
      </w:pPr>
      <w:r>
        <w:t>One p</w:t>
      </w:r>
      <w:r w:rsidR="00D52CC1" w:rsidRPr="00D52CC1">
        <w:t>ivotal</w:t>
      </w:r>
      <w:r>
        <w:t xml:space="preserve"> study:</w:t>
      </w:r>
      <w:r w:rsidR="00D52CC1" w:rsidRPr="00D52CC1">
        <w:t xml:space="preserve"> CA209025</w:t>
      </w:r>
    </w:p>
    <w:p w14:paraId="2EAA5DC9" w14:textId="277FD11B" w:rsidR="00D52CC1" w:rsidRPr="00D52CC1" w:rsidRDefault="00C950B3" w:rsidP="00D52CC1">
      <w:pPr>
        <w:pStyle w:val="ListBullet"/>
      </w:pPr>
      <w:r>
        <w:t xml:space="preserve">3 dose </w:t>
      </w:r>
      <w:r w:rsidR="00D52CC1" w:rsidRPr="00D52CC1">
        <w:t xml:space="preserve">ranging </w:t>
      </w:r>
      <w:r>
        <w:t xml:space="preserve">studies: </w:t>
      </w:r>
      <w:r w:rsidR="00D52CC1" w:rsidRPr="00D52CC1">
        <w:t>CA209003, CA209009 and CA209010</w:t>
      </w:r>
    </w:p>
    <w:p w14:paraId="052D1ED7" w14:textId="77777777" w:rsidR="00605AD4" w:rsidRDefault="00605AD4" w:rsidP="00605AD4">
      <w:pPr>
        <w:pStyle w:val="Heading4"/>
      </w:pPr>
      <w:r w:rsidRPr="00605AD4">
        <w:t>Patient exposure</w:t>
      </w:r>
    </w:p>
    <w:p w14:paraId="7A37F9D3" w14:textId="6F358B99" w:rsidR="00D52CC1" w:rsidRPr="00D52CC1" w:rsidRDefault="009F3A7D" w:rsidP="00D52CC1">
      <w:r>
        <w:t>Table 6</w:t>
      </w:r>
      <w:r w:rsidR="00D52CC1">
        <w:t xml:space="preserve">, below, details the numbers of patients with advanced RCC exposed to </w:t>
      </w:r>
      <w:proofErr w:type="spellStart"/>
      <w:r w:rsidR="00D52CC1">
        <w:t>nivolumab</w:t>
      </w:r>
      <w:proofErr w:type="spellEnd"/>
    </w:p>
    <w:p w14:paraId="124D6F65" w14:textId="2D13F310" w:rsidR="00D52CC1" w:rsidRPr="001D74FE" w:rsidRDefault="00D52CC1" w:rsidP="00D52CC1">
      <w:pPr>
        <w:pStyle w:val="Tabletitle0"/>
        <w:rPr>
          <w:lang w:eastAsia="ja-JP"/>
        </w:rPr>
      </w:pPr>
      <w:bookmarkStart w:id="86" w:name="_Toc457473713"/>
      <w:proofErr w:type="gramStart"/>
      <w:r w:rsidRPr="001D74FE">
        <w:rPr>
          <w:lang w:eastAsia="ja-JP"/>
        </w:rPr>
        <w:t xml:space="preserve">Table </w:t>
      </w:r>
      <w:r w:rsidR="009F3A7D">
        <w:rPr>
          <w:lang w:eastAsia="ja-JP"/>
        </w:rPr>
        <w:t>6</w:t>
      </w:r>
      <w:r>
        <w:rPr>
          <w:lang w:eastAsia="ja-JP"/>
        </w:rPr>
        <w:t>.</w:t>
      </w:r>
      <w:proofErr w:type="gramEnd"/>
      <w:r>
        <w:rPr>
          <w:lang w:eastAsia="ja-JP"/>
        </w:rPr>
        <w:t xml:space="preserve"> </w:t>
      </w:r>
      <w:r w:rsidRPr="001D74FE">
        <w:rPr>
          <w:lang w:eastAsia="ja-JP"/>
        </w:rPr>
        <w:t>Exposure of</w:t>
      </w:r>
      <w:r w:rsidR="009F3A7D">
        <w:rPr>
          <w:lang w:eastAsia="ja-JP"/>
        </w:rPr>
        <w:t xml:space="preserve"> patients with advanced RCC to </w:t>
      </w:r>
      <w:proofErr w:type="spellStart"/>
      <w:r w:rsidR="009F3A7D">
        <w:rPr>
          <w:lang w:eastAsia="ja-JP"/>
        </w:rPr>
        <w:t>n</w:t>
      </w:r>
      <w:r w:rsidRPr="001D74FE">
        <w:rPr>
          <w:lang w:eastAsia="ja-JP"/>
        </w:rPr>
        <w:t>ivolumab</w:t>
      </w:r>
      <w:proofErr w:type="spellEnd"/>
      <w:r w:rsidRPr="001D74FE">
        <w:rPr>
          <w:lang w:eastAsia="ja-JP"/>
        </w:rPr>
        <w:t xml:space="preserve"> and comparators in clinical studies.</w:t>
      </w:r>
      <w:bookmarkEnd w:id="86"/>
    </w:p>
    <w:tbl>
      <w:tblPr>
        <w:tblStyle w:val="TableTGAblue"/>
        <w:tblW w:w="0" w:type="auto"/>
        <w:tblLook w:val="04A0" w:firstRow="1" w:lastRow="0" w:firstColumn="1" w:lastColumn="0" w:noHBand="0" w:noVBand="1"/>
      </w:tblPr>
      <w:tblGrid>
        <w:gridCol w:w="1809"/>
        <w:gridCol w:w="1493"/>
        <w:gridCol w:w="1531"/>
        <w:gridCol w:w="1769"/>
      </w:tblGrid>
      <w:tr w:rsidR="00D52CC1" w:rsidRPr="00312822" w14:paraId="729AE727" w14:textId="77777777" w:rsidTr="00BE7824">
        <w:trPr>
          <w:cnfStyle w:val="100000000000" w:firstRow="1" w:lastRow="0" w:firstColumn="0" w:lastColumn="0" w:oddVBand="0" w:evenVBand="0" w:oddHBand="0" w:evenHBand="0" w:firstRowFirstColumn="0" w:firstRowLastColumn="0" w:lastRowFirstColumn="0" w:lastRowLastColumn="0"/>
          <w:trHeight w:val="997"/>
        </w:trPr>
        <w:tc>
          <w:tcPr>
            <w:tcW w:w="1809" w:type="dxa"/>
          </w:tcPr>
          <w:p w14:paraId="3FB71F6D" w14:textId="77777777" w:rsidR="00D52CC1" w:rsidRPr="00312822" w:rsidRDefault="00D52CC1" w:rsidP="008A78BF">
            <w:pPr>
              <w:rPr>
                <w:sz w:val="20"/>
                <w:szCs w:val="20"/>
                <w:lang w:eastAsia="ja-JP"/>
              </w:rPr>
            </w:pPr>
            <w:r w:rsidRPr="00312822">
              <w:rPr>
                <w:sz w:val="20"/>
                <w:szCs w:val="20"/>
                <w:lang w:eastAsia="ja-JP"/>
              </w:rPr>
              <w:t>Study type/ Identifier</w:t>
            </w:r>
          </w:p>
        </w:tc>
        <w:tc>
          <w:tcPr>
            <w:tcW w:w="2876" w:type="dxa"/>
            <w:gridSpan w:val="2"/>
          </w:tcPr>
          <w:p w14:paraId="6F3D791A" w14:textId="77777777" w:rsidR="00D52CC1" w:rsidRPr="00312822" w:rsidRDefault="00D52CC1" w:rsidP="008A78BF">
            <w:pPr>
              <w:rPr>
                <w:sz w:val="20"/>
                <w:szCs w:val="20"/>
                <w:lang w:eastAsia="ja-JP"/>
              </w:rPr>
            </w:pPr>
            <w:r w:rsidRPr="00312822">
              <w:rPr>
                <w:sz w:val="20"/>
                <w:szCs w:val="20"/>
                <w:lang w:eastAsia="ja-JP"/>
              </w:rPr>
              <w:t>Controlled Studies</w:t>
            </w:r>
          </w:p>
        </w:tc>
        <w:tc>
          <w:tcPr>
            <w:tcW w:w="1619" w:type="dxa"/>
          </w:tcPr>
          <w:p w14:paraId="245BD8DA" w14:textId="77777777" w:rsidR="00D52CC1" w:rsidRPr="00312822" w:rsidRDefault="00D52CC1" w:rsidP="008A78BF">
            <w:pPr>
              <w:rPr>
                <w:sz w:val="20"/>
                <w:szCs w:val="20"/>
                <w:lang w:eastAsia="ja-JP"/>
              </w:rPr>
            </w:pPr>
            <w:r w:rsidRPr="00312822">
              <w:rPr>
                <w:sz w:val="20"/>
                <w:szCs w:val="20"/>
                <w:lang w:eastAsia="ja-JP"/>
              </w:rPr>
              <w:t>Uncontrolled Studies</w:t>
            </w:r>
          </w:p>
        </w:tc>
      </w:tr>
      <w:tr w:rsidR="00D52CC1" w:rsidRPr="00312822" w14:paraId="7FC2E1CD" w14:textId="77777777" w:rsidTr="00BE7824">
        <w:tc>
          <w:tcPr>
            <w:tcW w:w="1809" w:type="dxa"/>
          </w:tcPr>
          <w:p w14:paraId="3BA2B9B5" w14:textId="77777777" w:rsidR="00D52CC1" w:rsidRPr="00312822" w:rsidRDefault="00D52CC1" w:rsidP="008A78BF">
            <w:pPr>
              <w:rPr>
                <w:b/>
                <w:sz w:val="20"/>
                <w:szCs w:val="20"/>
                <w:lang w:eastAsia="ja-JP"/>
              </w:rPr>
            </w:pPr>
          </w:p>
        </w:tc>
        <w:tc>
          <w:tcPr>
            <w:tcW w:w="1417" w:type="dxa"/>
          </w:tcPr>
          <w:p w14:paraId="6CBB1604" w14:textId="77777777" w:rsidR="00D52CC1" w:rsidRPr="00312822" w:rsidRDefault="00D52CC1" w:rsidP="008A78BF">
            <w:pPr>
              <w:rPr>
                <w:sz w:val="20"/>
                <w:szCs w:val="20"/>
                <w:lang w:eastAsia="ja-JP"/>
              </w:rPr>
            </w:pPr>
            <w:proofErr w:type="spellStart"/>
            <w:r w:rsidRPr="00312822">
              <w:rPr>
                <w:sz w:val="20"/>
                <w:szCs w:val="20"/>
                <w:lang w:eastAsia="ja-JP"/>
              </w:rPr>
              <w:t>Nivolumab</w:t>
            </w:r>
            <w:proofErr w:type="spellEnd"/>
          </w:p>
        </w:tc>
        <w:tc>
          <w:tcPr>
            <w:tcW w:w="1459" w:type="dxa"/>
          </w:tcPr>
          <w:p w14:paraId="6048794F" w14:textId="77777777" w:rsidR="00D52CC1" w:rsidRPr="00312822" w:rsidRDefault="00D52CC1" w:rsidP="008A78BF">
            <w:pPr>
              <w:rPr>
                <w:sz w:val="20"/>
                <w:szCs w:val="20"/>
                <w:lang w:eastAsia="ja-JP"/>
              </w:rPr>
            </w:pPr>
            <w:proofErr w:type="spellStart"/>
            <w:r w:rsidRPr="00312822">
              <w:rPr>
                <w:sz w:val="20"/>
                <w:szCs w:val="20"/>
                <w:lang w:eastAsia="ja-JP"/>
              </w:rPr>
              <w:t>Everolimus</w:t>
            </w:r>
            <w:proofErr w:type="spellEnd"/>
          </w:p>
        </w:tc>
        <w:tc>
          <w:tcPr>
            <w:tcW w:w="1619" w:type="dxa"/>
          </w:tcPr>
          <w:p w14:paraId="5762AE3B" w14:textId="77777777" w:rsidR="00D52CC1" w:rsidRPr="00312822" w:rsidRDefault="00D52CC1" w:rsidP="008A78BF">
            <w:pPr>
              <w:rPr>
                <w:b/>
                <w:sz w:val="20"/>
                <w:szCs w:val="20"/>
                <w:lang w:eastAsia="ja-JP"/>
              </w:rPr>
            </w:pPr>
          </w:p>
        </w:tc>
      </w:tr>
      <w:tr w:rsidR="00D52CC1" w:rsidRPr="00312822" w14:paraId="0AA11EBC" w14:textId="77777777" w:rsidTr="00BE7824">
        <w:tc>
          <w:tcPr>
            <w:tcW w:w="1809" w:type="dxa"/>
          </w:tcPr>
          <w:p w14:paraId="725D638A" w14:textId="77777777" w:rsidR="00D52CC1" w:rsidRPr="00312822" w:rsidRDefault="00D52CC1" w:rsidP="008A78BF">
            <w:pPr>
              <w:rPr>
                <w:sz w:val="20"/>
                <w:szCs w:val="20"/>
                <w:lang w:eastAsia="ja-JP"/>
              </w:rPr>
            </w:pPr>
            <w:r w:rsidRPr="00312822">
              <w:rPr>
                <w:sz w:val="20"/>
                <w:szCs w:val="20"/>
                <w:lang w:eastAsia="ja-JP"/>
              </w:rPr>
              <w:t>Dose Ranging:</w:t>
            </w:r>
          </w:p>
        </w:tc>
        <w:tc>
          <w:tcPr>
            <w:tcW w:w="1417" w:type="dxa"/>
          </w:tcPr>
          <w:p w14:paraId="03C09EE5" w14:textId="77777777" w:rsidR="00D52CC1" w:rsidRPr="00312822" w:rsidRDefault="00D52CC1" w:rsidP="008A78BF">
            <w:pPr>
              <w:rPr>
                <w:sz w:val="20"/>
                <w:szCs w:val="20"/>
                <w:lang w:eastAsia="ja-JP"/>
              </w:rPr>
            </w:pPr>
          </w:p>
        </w:tc>
        <w:tc>
          <w:tcPr>
            <w:tcW w:w="1459" w:type="dxa"/>
          </w:tcPr>
          <w:p w14:paraId="0F9C711D" w14:textId="77777777" w:rsidR="00D52CC1" w:rsidRPr="00312822" w:rsidRDefault="00D52CC1" w:rsidP="008A78BF">
            <w:pPr>
              <w:rPr>
                <w:sz w:val="20"/>
                <w:szCs w:val="20"/>
                <w:lang w:eastAsia="ja-JP"/>
              </w:rPr>
            </w:pPr>
          </w:p>
        </w:tc>
        <w:tc>
          <w:tcPr>
            <w:tcW w:w="1619" w:type="dxa"/>
          </w:tcPr>
          <w:p w14:paraId="7FAC28AB" w14:textId="77777777" w:rsidR="00D52CC1" w:rsidRPr="00312822" w:rsidRDefault="00D52CC1" w:rsidP="008A78BF">
            <w:pPr>
              <w:rPr>
                <w:sz w:val="20"/>
                <w:szCs w:val="20"/>
                <w:lang w:eastAsia="ja-JP"/>
              </w:rPr>
            </w:pPr>
          </w:p>
        </w:tc>
      </w:tr>
      <w:tr w:rsidR="00D52CC1" w:rsidRPr="00312822" w14:paraId="5D14A130" w14:textId="77777777" w:rsidTr="00BE7824">
        <w:tc>
          <w:tcPr>
            <w:tcW w:w="1809" w:type="dxa"/>
          </w:tcPr>
          <w:p w14:paraId="6224DA73" w14:textId="77777777" w:rsidR="00D52CC1" w:rsidRPr="00312822" w:rsidRDefault="00D52CC1" w:rsidP="008A78BF">
            <w:pPr>
              <w:rPr>
                <w:sz w:val="20"/>
                <w:szCs w:val="20"/>
                <w:lang w:eastAsia="ja-JP"/>
              </w:rPr>
            </w:pPr>
            <w:r w:rsidRPr="00312822">
              <w:rPr>
                <w:sz w:val="20"/>
                <w:szCs w:val="20"/>
                <w:lang w:eastAsia="ja-JP"/>
              </w:rPr>
              <w:t>CA209003</w:t>
            </w:r>
          </w:p>
        </w:tc>
        <w:tc>
          <w:tcPr>
            <w:tcW w:w="1417" w:type="dxa"/>
          </w:tcPr>
          <w:p w14:paraId="3ADD6AE9" w14:textId="77777777" w:rsidR="00D52CC1" w:rsidRPr="00312822" w:rsidRDefault="00D52CC1" w:rsidP="008A78BF">
            <w:pPr>
              <w:rPr>
                <w:sz w:val="20"/>
                <w:szCs w:val="20"/>
                <w:lang w:eastAsia="ja-JP"/>
              </w:rPr>
            </w:pPr>
          </w:p>
        </w:tc>
        <w:tc>
          <w:tcPr>
            <w:tcW w:w="1459" w:type="dxa"/>
          </w:tcPr>
          <w:p w14:paraId="5B5B2D28" w14:textId="77777777" w:rsidR="00D52CC1" w:rsidRPr="00312822" w:rsidRDefault="00D52CC1" w:rsidP="008A78BF">
            <w:pPr>
              <w:rPr>
                <w:sz w:val="20"/>
                <w:szCs w:val="20"/>
                <w:lang w:eastAsia="ja-JP"/>
              </w:rPr>
            </w:pPr>
          </w:p>
        </w:tc>
        <w:tc>
          <w:tcPr>
            <w:tcW w:w="1619" w:type="dxa"/>
          </w:tcPr>
          <w:p w14:paraId="53E0406E" w14:textId="77777777" w:rsidR="00D52CC1" w:rsidRPr="00312822" w:rsidRDefault="00D52CC1" w:rsidP="008A78BF">
            <w:pPr>
              <w:rPr>
                <w:sz w:val="20"/>
                <w:szCs w:val="20"/>
                <w:lang w:eastAsia="ja-JP"/>
              </w:rPr>
            </w:pPr>
            <w:r w:rsidRPr="00312822">
              <w:rPr>
                <w:sz w:val="20"/>
                <w:szCs w:val="20"/>
                <w:lang w:eastAsia="ja-JP"/>
              </w:rPr>
              <w:t>34</w:t>
            </w:r>
          </w:p>
        </w:tc>
      </w:tr>
      <w:tr w:rsidR="00D52CC1" w:rsidRPr="00312822" w14:paraId="70C15375" w14:textId="77777777" w:rsidTr="00BE7824">
        <w:tc>
          <w:tcPr>
            <w:tcW w:w="1809" w:type="dxa"/>
          </w:tcPr>
          <w:p w14:paraId="7B78977C" w14:textId="77777777" w:rsidR="00D52CC1" w:rsidRPr="00312822" w:rsidRDefault="00D52CC1" w:rsidP="008A78BF">
            <w:pPr>
              <w:rPr>
                <w:sz w:val="20"/>
                <w:szCs w:val="20"/>
                <w:lang w:eastAsia="ja-JP"/>
              </w:rPr>
            </w:pPr>
            <w:r w:rsidRPr="00312822">
              <w:rPr>
                <w:sz w:val="20"/>
                <w:szCs w:val="20"/>
                <w:lang w:eastAsia="ja-JP"/>
              </w:rPr>
              <w:t>CA209010</w:t>
            </w:r>
          </w:p>
        </w:tc>
        <w:tc>
          <w:tcPr>
            <w:tcW w:w="1417" w:type="dxa"/>
          </w:tcPr>
          <w:p w14:paraId="5C586336" w14:textId="77777777" w:rsidR="00D52CC1" w:rsidRPr="00312822" w:rsidRDefault="00D52CC1" w:rsidP="008A78BF">
            <w:pPr>
              <w:rPr>
                <w:sz w:val="20"/>
                <w:szCs w:val="20"/>
                <w:lang w:eastAsia="ja-JP"/>
              </w:rPr>
            </w:pPr>
          </w:p>
        </w:tc>
        <w:tc>
          <w:tcPr>
            <w:tcW w:w="1459" w:type="dxa"/>
          </w:tcPr>
          <w:p w14:paraId="45E2EF80" w14:textId="77777777" w:rsidR="00D52CC1" w:rsidRPr="00312822" w:rsidRDefault="00D52CC1" w:rsidP="008A78BF">
            <w:pPr>
              <w:rPr>
                <w:sz w:val="20"/>
                <w:szCs w:val="20"/>
                <w:lang w:eastAsia="ja-JP"/>
              </w:rPr>
            </w:pPr>
          </w:p>
        </w:tc>
        <w:tc>
          <w:tcPr>
            <w:tcW w:w="1619" w:type="dxa"/>
          </w:tcPr>
          <w:p w14:paraId="2E0AD605" w14:textId="77777777" w:rsidR="00D52CC1" w:rsidRPr="00312822" w:rsidRDefault="00D52CC1" w:rsidP="008A78BF">
            <w:pPr>
              <w:rPr>
                <w:sz w:val="20"/>
                <w:szCs w:val="20"/>
                <w:lang w:eastAsia="ja-JP"/>
              </w:rPr>
            </w:pPr>
            <w:r w:rsidRPr="00312822">
              <w:rPr>
                <w:sz w:val="20"/>
                <w:szCs w:val="20"/>
                <w:lang w:eastAsia="ja-JP"/>
              </w:rPr>
              <w:t>168</w:t>
            </w:r>
          </w:p>
        </w:tc>
      </w:tr>
      <w:tr w:rsidR="00D52CC1" w:rsidRPr="00312822" w14:paraId="29237942" w14:textId="77777777" w:rsidTr="00BE7824">
        <w:tc>
          <w:tcPr>
            <w:tcW w:w="1809" w:type="dxa"/>
          </w:tcPr>
          <w:p w14:paraId="43ABA0F2" w14:textId="77777777" w:rsidR="00D52CC1" w:rsidRPr="00312822" w:rsidRDefault="00D52CC1" w:rsidP="008A78BF">
            <w:pPr>
              <w:rPr>
                <w:sz w:val="20"/>
                <w:szCs w:val="20"/>
                <w:lang w:eastAsia="ja-JP"/>
              </w:rPr>
            </w:pPr>
            <w:r w:rsidRPr="00312822">
              <w:rPr>
                <w:sz w:val="20"/>
                <w:szCs w:val="20"/>
                <w:lang w:eastAsia="ja-JP"/>
              </w:rPr>
              <w:t>CA209009</w:t>
            </w:r>
          </w:p>
        </w:tc>
        <w:tc>
          <w:tcPr>
            <w:tcW w:w="1417" w:type="dxa"/>
          </w:tcPr>
          <w:p w14:paraId="2A4A3E0E" w14:textId="77777777" w:rsidR="00D52CC1" w:rsidRPr="00312822" w:rsidRDefault="00D52CC1" w:rsidP="008A78BF">
            <w:pPr>
              <w:rPr>
                <w:sz w:val="20"/>
                <w:szCs w:val="20"/>
                <w:lang w:eastAsia="ja-JP"/>
              </w:rPr>
            </w:pPr>
          </w:p>
        </w:tc>
        <w:tc>
          <w:tcPr>
            <w:tcW w:w="1459" w:type="dxa"/>
          </w:tcPr>
          <w:p w14:paraId="7D3B6644" w14:textId="77777777" w:rsidR="00D52CC1" w:rsidRPr="00312822" w:rsidRDefault="00D52CC1" w:rsidP="008A78BF">
            <w:pPr>
              <w:rPr>
                <w:sz w:val="20"/>
                <w:szCs w:val="20"/>
                <w:lang w:eastAsia="ja-JP"/>
              </w:rPr>
            </w:pPr>
          </w:p>
        </w:tc>
        <w:tc>
          <w:tcPr>
            <w:tcW w:w="1619" w:type="dxa"/>
          </w:tcPr>
          <w:p w14:paraId="6ACF2DF8" w14:textId="77777777" w:rsidR="00D52CC1" w:rsidRPr="00312822" w:rsidRDefault="00D52CC1" w:rsidP="008A78BF">
            <w:pPr>
              <w:rPr>
                <w:sz w:val="20"/>
                <w:szCs w:val="20"/>
                <w:lang w:eastAsia="ja-JP"/>
              </w:rPr>
            </w:pPr>
            <w:r w:rsidRPr="00312822">
              <w:rPr>
                <w:sz w:val="20"/>
                <w:szCs w:val="20"/>
                <w:lang w:eastAsia="ja-JP"/>
              </w:rPr>
              <w:t>91</w:t>
            </w:r>
          </w:p>
        </w:tc>
      </w:tr>
      <w:tr w:rsidR="00D52CC1" w:rsidRPr="00312822" w14:paraId="326A2445" w14:textId="77777777" w:rsidTr="00BE7824">
        <w:tc>
          <w:tcPr>
            <w:tcW w:w="1809" w:type="dxa"/>
          </w:tcPr>
          <w:p w14:paraId="50EF9DAF" w14:textId="77777777" w:rsidR="00D52CC1" w:rsidRPr="00312822" w:rsidRDefault="00D52CC1" w:rsidP="008A78BF">
            <w:pPr>
              <w:rPr>
                <w:sz w:val="20"/>
                <w:szCs w:val="20"/>
                <w:lang w:eastAsia="ja-JP"/>
              </w:rPr>
            </w:pPr>
            <w:r w:rsidRPr="00312822">
              <w:rPr>
                <w:sz w:val="20"/>
                <w:szCs w:val="20"/>
                <w:lang w:eastAsia="ja-JP"/>
              </w:rPr>
              <w:lastRenderedPageBreak/>
              <w:t>Pivotal:</w:t>
            </w:r>
          </w:p>
        </w:tc>
        <w:tc>
          <w:tcPr>
            <w:tcW w:w="1417" w:type="dxa"/>
          </w:tcPr>
          <w:p w14:paraId="13813212" w14:textId="77777777" w:rsidR="00D52CC1" w:rsidRPr="00312822" w:rsidRDefault="00D52CC1" w:rsidP="008A78BF">
            <w:pPr>
              <w:rPr>
                <w:sz w:val="20"/>
                <w:szCs w:val="20"/>
                <w:lang w:eastAsia="ja-JP"/>
              </w:rPr>
            </w:pPr>
          </w:p>
        </w:tc>
        <w:tc>
          <w:tcPr>
            <w:tcW w:w="1459" w:type="dxa"/>
          </w:tcPr>
          <w:p w14:paraId="5E6A9ACE" w14:textId="77777777" w:rsidR="00D52CC1" w:rsidRPr="00312822" w:rsidRDefault="00D52CC1" w:rsidP="008A78BF">
            <w:pPr>
              <w:rPr>
                <w:sz w:val="20"/>
                <w:szCs w:val="20"/>
                <w:lang w:eastAsia="ja-JP"/>
              </w:rPr>
            </w:pPr>
          </w:p>
        </w:tc>
        <w:tc>
          <w:tcPr>
            <w:tcW w:w="1619" w:type="dxa"/>
          </w:tcPr>
          <w:p w14:paraId="3AC1A881" w14:textId="77777777" w:rsidR="00D52CC1" w:rsidRPr="00312822" w:rsidRDefault="00D52CC1" w:rsidP="008A78BF">
            <w:pPr>
              <w:rPr>
                <w:sz w:val="20"/>
                <w:szCs w:val="20"/>
                <w:lang w:eastAsia="ja-JP"/>
              </w:rPr>
            </w:pPr>
          </w:p>
        </w:tc>
      </w:tr>
      <w:tr w:rsidR="00D52CC1" w:rsidRPr="00312822" w14:paraId="59F07EA9" w14:textId="77777777" w:rsidTr="00BE7824">
        <w:tc>
          <w:tcPr>
            <w:tcW w:w="1809" w:type="dxa"/>
          </w:tcPr>
          <w:p w14:paraId="2CFE48E1" w14:textId="77777777" w:rsidR="00D52CC1" w:rsidRPr="00312822" w:rsidRDefault="00D52CC1" w:rsidP="008A78BF">
            <w:pPr>
              <w:rPr>
                <w:sz w:val="20"/>
                <w:szCs w:val="20"/>
                <w:lang w:eastAsia="ja-JP"/>
              </w:rPr>
            </w:pPr>
            <w:r w:rsidRPr="00312822">
              <w:rPr>
                <w:sz w:val="20"/>
                <w:szCs w:val="20"/>
                <w:lang w:eastAsia="ja-JP"/>
              </w:rPr>
              <w:t>CA209025</w:t>
            </w:r>
          </w:p>
        </w:tc>
        <w:tc>
          <w:tcPr>
            <w:tcW w:w="1417" w:type="dxa"/>
          </w:tcPr>
          <w:p w14:paraId="323EA31A" w14:textId="77777777" w:rsidR="00D52CC1" w:rsidRPr="00312822" w:rsidRDefault="00D52CC1" w:rsidP="008A78BF">
            <w:pPr>
              <w:rPr>
                <w:sz w:val="20"/>
                <w:szCs w:val="20"/>
                <w:lang w:eastAsia="ja-JP"/>
              </w:rPr>
            </w:pPr>
            <w:r w:rsidRPr="00312822">
              <w:rPr>
                <w:sz w:val="20"/>
                <w:szCs w:val="20"/>
                <w:lang w:eastAsia="ja-JP"/>
              </w:rPr>
              <w:t>406</w:t>
            </w:r>
          </w:p>
        </w:tc>
        <w:tc>
          <w:tcPr>
            <w:tcW w:w="1459" w:type="dxa"/>
          </w:tcPr>
          <w:p w14:paraId="2803DB3D" w14:textId="77777777" w:rsidR="00D52CC1" w:rsidRPr="00312822" w:rsidRDefault="00D52CC1" w:rsidP="008A78BF">
            <w:pPr>
              <w:rPr>
                <w:sz w:val="20"/>
                <w:szCs w:val="20"/>
                <w:lang w:eastAsia="ja-JP"/>
              </w:rPr>
            </w:pPr>
            <w:r w:rsidRPr="00312822">
              <w:rPr>
                <w:sz w:val="20"/>
                <w:szCs w:val="20"/>
                <w:lang w:eastAsia="ja-JP"/>
              </w:rPr>
              <w:t>397</w:t>
            </w:r>
          </w:p>
        </w:tc>
        <w:tc>
          <w:tcPr>
            <w:tcW w:w="1619" w:type="dxa"/>
          </w:tcPr>
          <w:p w14:paraId="36FE6EE1" w14:textId="77777777" w:rsidR="00D52CC1" w:rsidRPr="00312822" w:rsidRDefault="00D52CC1" w:rsidP="008A78BF">
            <w:pPr>
              <w:rPr>
                <w:sz w:val="20"/>
                <w:szCs w:val="20"/>
                <w:lang w:eastAsia="ja-JP"/>
              </w:rPr>
            </w:pPr>
          </w:p>
        </w:tc>
      </w:tr>
    </w:tbl>
    <w:p w14:paraId="2A69DBAE" w14:textId="75A41980" w:rsidR="00D52CC1" w:rsidRPr="001D74FE" w:rsidRDefault="00D52CC1" w:rsidP="00D52CC1">
      <w:pPr>
        <w:rPr>
          <w:lang w:eastAsia="ja-JP"/>
        </w:rPr>
      </w:pPr>
      <w:r>
        <w:t xml:space="preserve">In the pivotal study </w:t>
      </w:r>
      <w:r w:rsidRPr="001D74FE">
        <w:rPr>
          <w:lang w:eastAsia="ja-JP"/>
        </w:rPr>
        <w:t xml:space="preserve">406 subjects received at least 1 infusion of </w:t>
      </w:r>
      <w:proofErr w:type="spellStart"/>
      <w:r w:rsidRPr="001D74FE">
        <w:rPr>
          <w:lang w:eastAsia="ja-JP"/>
        </w:rPr>
        <w:t>nivolumab</w:t>
      </w:r>
      <w:proofErr w:type="spellEnd"/>
      <w:r w:rsidRPr="001D74FE">
        <w:rPr>
          <w:lang w:eastAsia="ja-JP"/>
        </w:rPr>
        <w:t xml:space="preserve"> and 397 subjects received at least one oral dose of 10 mg of </w:t>
      </w:r>
      <w:proofErr w:type="spellStart"/>
      <w:r w:rsidRPr="001D74FE">
        <w:rPr>
          <w:lang w:eastAsia="ja-JP"/>
        </w:rPr>
        <w:t>everolimus</w:t>
      </w:r>
      <w:proofErr w:type="spellEnd"/>
      <w:r w:rsidRPr="001D74FE">
        <w:rPr>
          <w:lang w:eastAsia="ja-JP"/>
        </w:rPr>
        <w:t xml:space="preserve">. At the time of the database lock for this CSR (18 June 2015), 708/803 (88.2%) patients had discontinued study therapy: 339 subjects (83.5%) in the </w:t>
      </w:r>
      <w:proofErr w:type="spellStart"/>
      <w:r w:rsidRPr="001D74FE">
        <w:rPr>
          <w:lang w:eastAsia="ja-JP"/>
        </w:rPr>
        <w:t>nivolumab</w:t>
      </w:r>
      <w:proofErr w:type="spellEnd"/>
      <w:r w:rsidRPr="001D74FE">
        <w:rPr>
          <w:lang w:eastAsia="ja-JP"/>
        </w:rPr>
        <w:t xml:space="preserve"> group and 369 subjects (92.9%) in the </w:t>
      </w:r>
      <w:proofErr w:type="spellStart"/>
      <w:r w:rsidRPr="001D74FE">
        <w:rPr>
          <w:lang w:eastAsia="ja-JP"/>
        </w:rPr>
        <w:t>everolimus</w:t>
      </w:r>
      <w:proofErr w:type="spellEnd"/>
      <w:r w:rsidRPr="001D74FE">
        <w:rPr>
          <w:lang w:eastAsia="ja-JP"/>
        </w:rPr>
        <w:t xml:space="preserve"> group. The majority of subjects (82.0%) in</w:t>
      </w:r>
      <w:r w:rsidR="009F3A7D">
        <w:rPr>
          <w:lang w:eastAsia="ja-JP"/>
        </w:rPr>
        <w:t xml:space="preserve"> the </w:t>
      </w:r>
      <w:proofErr w:type="spellStart"/>
      <w:r w:rsidR="009F3A7D">
        <w:rPr>
          <w:lang w:eastAsia="ja-JP"/>
        </w:rPr>
        <w:t>nivolumab</w:t>
      </w:r>
      <w:proofErr w:type="spellEnd"/>
      <w:r w:rsidR="009F3A7D">
        <w:rPr>
          <w:lang w:eastAsia="ja-JP"/>
        </w:rPr>
        <w:t xml:space="preserve"> group received ≥ </w:t>
      </w:r>
      <w:r w:rsidRPr="001D74FE">
        <w:rPr>
          <w:lang w:eastAsia="ja-JP"/>
        </w:rPr>
        <w:t xml:space="preserve">90% of the planned dose intensity. In the </w:t>
      </w:r>
      <w:proofErr w:type="spellStart"/>
      <w:r w:rsidRPr="001D74FE">
        <w:rPr>
          <w:lang w:eastAsia="ja-JP"/>
        </w:rPr>
        <w:t>everolimus</w:t>
      </w:r>
      <w:proofErr w:type="spellEnd"/>
      <w:r w:rsidRPr="001D74FE">
        <w:rPr>
          <w:lang w:eastAsia="ja-JP"/>
        </w:rPr>
        <w:t xml:space="preserve"> grou</w:t>
      </w:r>
      <w:r w:rsidR="009F3A7D">
        <w:rPr>
          <w:lang w:eastAsia="ja-JP"/>
        </w:rPr>
        <w:t>p, 68.5% of subjects received ≥ </w:t>
      </w:r>
      <w:r w:rsidRPr="001D74FE">
        <w:rPr>
          <w:lang w:eastAsia="ja-JP"/>
        </w:rPr>
        <w:t>90%</w:t>
      </w:r>
      <w:r>
        <w:rPr>
          <w:lang w:eastAsia="ja-JP"/>
        </w:rPr>
        <w:t xml:space="preserve"> of the planned dose intensity.</w:t>
      </w:r>
    </w:p>
    <w:p w14:paraId="3A1D5CA8" w14:textId="7F8FFF2B" w:rsidR="00D52CC1" w:rsidRPr="001D74FE" w:rsidRDefault="00D52CC1" w:rsidP="00D52CC1">
      <w:pPr>
        <w:rPr>
          <w:lang w:eastAsia="ja-JP"/>
        </w:rPr>
      </w:pPr>
      <w:r w:rsidRPr="001D74FE">
        <w:rPr>
          <w:lang w:eastAsia="ja-JP"/>
        </w:rPr>
        <w:t xml:space="preserve">The median duration of </w:t>
      </w:r>
      <w:proofErr w:type="spellStart"/>
      <w:r w:rsidRPr="001D74FE">
        <w:rPr>
          <w:lang w:eastAsia="ja-JP"/>
        </w:rPr>
        <w:t>nivolumab</w:t>
      </w:r>
      <w:proofErr w:type="spellEnd"/>
      <w:r w:rsidRPr="001D74FE">
        <w:rPr>
          <w:lang w:eastAsia="ja-JP"/>
        </w:rPr>
        <w:t xml:space="preserve"> treatment was 5.54 months (95% CI: 5.06, 6.93), with a median of 12 doses received (range 1 to 65). For </w:t>
      </w:r>
      <w:proofErr w:type="spellStart"/>
      <w:r w:rsidRPr="001D74FE">
        <w:rPr>
          <w:lang w:eastAsia="ja-JP"/>
        </w:rPr>
        <w:t>everolimus</w:t>
      </w:r>
      <w:proofErr w:type="spellEnd"/>
      <w:r w:rsidRPr="001D74FE">
        <w:rPr>
          <w:lang w:eastAsia="ja-JP"/>
        </w:rPr>
        <w:t xml:space="preserve"> treatment, the median duration of treatment was 3.71 months (95% CI: 3.29, 4.14), with a median daily</w:t>
      </w:r>
      <w:r>
        <w:rPr>
          <w:lang w:eastAsia="ja-JP"/>
        </w:rPr>
        <w:t xml:space="preserve"> dose of 9.94 mg/day (range 2.1 to </w:t>
      </w:r>
      <w:r w:rsidRPr="001D74FE">
        <w:rPr>
          <w:lang w:eastAsia="ja-JP"/>
        </w:rPr>
        <w:t>10.0). The mean cumulat</w:t>
      </w:r>
      <w:r w:rsidR="009F3A7D">
        <w:rPr>
          <w:lang w:eastAsia="ja-JP"/>
        </w:rPr>
        <w:t xml:space="preserve">ive dose of </w:t>
      </w:r>
      <w:proofErr w:type="spellStart"/>
      <w:r w:rsidR="009F3A7D">
        <w:rPr>
          <w:lang w:eastAsia="ja-JP"/>
        </w:rPr>
        <w:t>nivolumab</w:t>
      </w:r>
      <w:proofErr w:type="spellEnd"/>
      <w:r w:rsidR="009F3A7D">
        <w:rPr>
          <w:lang w:eastAsia="ja-JP"/>
        </w:rPr>
        <w:t xml:space="preserve"> was 57.72 </w:t>
      </w:r>
      <w:r w:rsidRPr="001D74FE">
        <w:rPr>
          <w:lang w:eastAsia="ja-JP"/>
        </w:rPr>
        <w:t>mg/kg (</w:t>
      </w:r>
      <w:r w:rsidR="009F3A7D">
        <w:rPr>
          <w:lang w:eastAsia="ja-JP"/>
        </w:rPr>
        <w:t>standard deviation (</w:t>
      </w:r>
      <w:r w:rsidRPr="001D74FE">
        <w:rPr>
          <w:lang w:eastAsia="ja-JP"/>
        </w:rPr>
        <w:t>SD</w:t>
      </w:r>
      <w:r w:rsidR="009F3A7D">
        <w:rPr>
          <w:lang w:eastAsia="ja-JP"/>
        </w:rPr>
        <w:t>)</w:t>
      </w:r>
      <w:r w:rsidRPr="001D74FE">
        <w:rPr>
          <w:lang w:eastAsia="ja-JP"/>
        </w:rPr>
        <w:t xml:space="preserve"> 49.03); the median cumulative dose was </w:t>
      </w:r>
      <w:r>
        <w:rPr>
          <w:lang w:eastAsia="ja-JP"/>
        </w:rPr>
        <w:t xml:space="preserve">36.03 mg/kg (range 0.5 to </w:t>
      </w:r>
      <w:r w:rsidRPr="001D74FE">
        <w:rPr>
          <w:lang w:eastAsia="ja-JP"/>
        </w:rPr>
        <w:t>195.1).</w:t>
      </w:r>
    </w:p>
    <w:p w14:paraId="27661557" w14:textId="1A62601C" w:rsidR="00D52CC1" w:rsidRPr="00D52CC1" w:rsidRDefault="00D52CC1" w:rsidP="00D52CC1">
      <w:pPr>
        <w:rPr>
          <w:lang w:eastAsia="ja-JP"/>
        </w:rPr>
      </w:pPr>
      <w:r w:rsidRPr="001D74FE">
        <w:rPr>
          <w:lang w:eastAsia="ja-JP"/>
        </w:rPr>
        <w:t xml:space="preserve">A higher proportion of subjects in the </w:t>
      </w:r>
      <w:proofErr w:type="spellStart"/>
      <w:r w:rsidRPr="001D74FE">
        <w:rPr>
          <w:lang w:eastAsia="ja-JP"/>
        </w:rPr>
        <w:t>nivolumab</w:t>
      </w:r>
      <w:proofErr w:type="spellEnd"/>
      <w:r w:rsidRPr="001D74FE">
        <w:rPr>
          <w:lang w:eastAsia="ja-JP"/>
        </w:rPr>
        <w:t xml:space="preserve"> group had therapy lasting &gt; 6 months as compared to the </w:t>
      </w:r>
      <w:proofErr w:type="spellStart"/>
      <w:r w:rsidRPr="001D74FE">
        <w:rPr>
          <w:lang w:eastAsia="ja-JP"/>
        </w:rPr>
        <w:t>everolimus</w:t>
      </w:r>
      <w:proofErr w:type="spellEnd"/>
      <w:r w:rsidRPr="001D74FE">
        <w:rPr>
          <w:lang w:eastAsia="ja-JP"/>
        </w:rPr>
        <w:t xml:space="preserve"> group, which persisted for d</w:t>
      </w:r>
      <w:r>
        <w:rPr>
          <w:lang w:eastAsia="ja-JP"/>
        </w:rPr>
        <w:t>uration of therapy &gt; 12 months.</w:t>
      </w:r>
    </w:p>
    <w:p w14:paraId="2F04C525" w14:textId="77777777" w:rsidR="00605AD4" w:rsidRDefault="00605AD4" w:rsidP="00605AD4">
      <w:pPr>
        <w:pStyle w:val="Heading4"/>
      </w:pPr>
      <w:r w:rsidRPr="00605AD4">
        <w:t>Safety issues with the potential for major regulatory impact</w:t>
      </w:r>
    </w:p>
    <w:p w14:paraId="6BE571A5" w14:textId="77777777" w:rsidR="00BF7D2A" w:rsidRPr="001D74FE" w:rsidRDefault="00BF7D2A" w:rsidP="00BF7D2A">
      <w:pPr>
        <w:pStyle w:val="Heading5"/>
      </w:pPr>
      <w:bookmarkStart w:id="87" w:name="_Toc272414681"/>
      <w:bookmarkStart w:id="88" w:name="_Toc290846319"/>
      <w:bookmarkStart w:id="89" w:name="_Toc457473495"/>
      <w:r>
        <w:t>Immune mediated adverse r</w:t>
      </w:r>
      <w:r w:rsidRPr="001D74FE">
        <w:t>eactions</w:t>
      </w:r>
      <w:bookmarkEnd w:id="87"/>
      <w:bookmarkEnd w:id="88"/>
      <w:bookmarkEnd w:id="89"/>
    </w:p>
    <w:p w14:paraId="5C45B78F" w14:textId="5528DB71" w:rsidR="00BF7D2A" w:rsidRPr="001D74FE" w:rsidRDefault="009F3A7D" w:rsidP="00BF7D2A">
      <w:pPr>
        <w:rPr>
          <w:lang w:eastAsia="ja-JP"/>
        </w:rPr>
      </w:pPr>
      <w:r>
        <w:rPr>
          <w:lang w:eastAsia="ja-JP"/>
        </w:rPr>
        <w:t>Adverse events (AE)</w:t>
      </w:r>
      <w:r w:rsidR="00BF7D2A" w:rsidRPr="001D74FE">
        <w:rPr>
          <w:lang w:eastAsia="ja-JP"/>
        </w:rPr>
        <w:t xml:space="preserve"> t</w:t>
      </w:r>
      <w:r w:rsidR="00C950B3">
        <w:rPr>
          <w:lang w:eastAsia="ja-JP"/>
        </w:rPr>
        <w:t xml:space="preserve">hat were consistent with </w:t>
      </w:r>
      <w:proofErr w:type="spellStart"/>
      <w:r>
        <w:rPr>
          <w:lang w:eastAsia="ja-JP"/>
        </w:rPr>
        <w:t>ir</w:t>
      </w:r>
      <w:r w:rsidR="00BF7D2A">
        <w:rPr>
          <w:lang w:eastAsia="ja-JP"/>
        </w:rPr>
        <w:t>AEs</w:t>
      </w:r>
      <w:proofErr w:type="spellEnd"/>
      <w:r w:rsidR="00BF7D2A">
        <w:rPr>
          <w:lang w:eastAsia="ja-JP"/>
        </w:rPr>
        <w:t xml:space="preserve"> were considered select AEs</w:t>
      </w:r>
      <w:r w:rsidR="00BF7D2A" w:rsidRPr="001D74FE">
        <w:rPr>
          <w:lang w:eastAsia="ja-JP"/>
        </w:rPr>
        <w:t xml:space="preserve"> in the clinical study programme and included </w:t>
      </w:r>
      <w:proofErr w:type="spellStart"/>
      <w:r w:rsidR="00BF7D2A" w:rsidRPr="001D74FE">
        <w:rPr>
          <w:lang w:eastAsia="ja-JP"/>
        </w:rPr>
        <w:t>endocrinopathies</w:t>
      </w:r>
      <w:proofErr w:type="spellEnd"/>
      <w:r w:rsidR="00BF7D2A" w:rsidRPr="001D74FE">
        <w:rPr>
          <w:lang w:eastAsia="ja-JP"/>
        </w:rPr>
        <w:t xml:space="preserve">, diarrhoea/colitis, hepatitis, pneumonitis, nephritis, and rash. These have been described above according to their occurrence in the studies involving patients with RCC and patients from the </w:t>
      </w:r>
      <w:proofErr w:type="spellStart"/>
      <w:r w:rsidR="00BF7D2A" w:rsidRPr="001D74FE">
        <w:rPr>
          <w:lang w:eastAsia="ja-JP"/>
        </w:rPr>
        <w:t>registrational</w:t>
      </w:r>
      <w:proofErr w:type="spellEnd"/>
      <w:r w:rsidR="00BF7D2A" w:rsidRPr="001D74FE">
        <w:rPr>
          <w:lang w:eastAsia="ja-JP"/>
        </w:rPr>
        <w:t xml:space="preserve"> studies. These reactions are the main issue so far identified that have the potenti</w:t>
      </w:r>
      <w:r w:rsidR="00BF7D2A">
        <w:rPr>
          <w:lang w:eastAsia="ja-JP"/>
        </w:rPr>
        <w:t>al for major regulatory impact.</w:t>
      </w:r>
    </w:p>
    <w:p w14:paraId="799FC316" w14:textId="7BB9E6F3" w:rsidR="00BF7D2A" w:rsidRDefault="00BF7D2A" w:rsidP="00BF7D2A">
      <w:pPr>
        <w:rPr>
          <w:lang w:eastAsia="ja-JP"/>
        </w:rPr>
      </w:pPr>
      <w:r w:rsidRPr="001D74FE">
        <w:rPr>
          <w:lang w:eastAsia="ja-JP"/>
        </w:rPr>
        <w:t xml:space="preserve">These reactions do not appear to be common in patients receiving </w:t>
      </w:r>
      <w:proofErr w:type="spellStart"/>
      <w:r w:rsidRPr="001D74FE">
        <w:rPr>
          <w:lang w:eastAsia="ja-JP"/>
        </w:rPr>
        <w:t>nivolumab</w:t>
      </w:r>
      <w:proofErr w:type="spellEnd"/>
      <w:r w:rsidRPr="001D74FE">
        <w:rPr>
          <w:lang w:eastAsia="ja-JP"/>
        </w:rPr>
        <w:t xml:space="preserve">, although it is not clear how easily they may be distinguished from a non-immune cause </w:t>
      </w:r>
      <w:r>
        <w:rPr>
          <w:lang w:eastAsia="ja-JP"/>
        </w:rPr>
        <w:t>for example, in Study CA209025.</w:t>
      </w:r>
    </w:p>
    <w:p w14:paraId="08DF5B30" w14:textId="7BFC1405" w:rsidR="00BF7D2A" w:rsidRPr="001D74FE" w:rsidRDefault="00BF7D2A" w:rsidP="00BF7D2A">
      <w:pPr>
        <w:rPr>
          <w:lang w:eastAsia="ja-JP"/>
        </w:rPr>
      </w:pPr>
      <w:r>
        <w:rPr>
          <w:lang w:eastAsia="ja-JP"/>
        </w:rPr>
        <w:t>F</w:t>
      </w:r>
      <w:r w:rsidR="00C950B3">
        <w:rPr>
          <w:lang w:eastAsia="ja-JP"/>
        </w:rPr>
        <w:t xml:space="preserve">or further discussion of immune </w:t>
      </w:r>
      <w:r w:rsidR="009F3A7D">
        <w:rPr>
          <w:lang w:eastAsia="ja-JP"/>
        </w:rPr>
        <w:t>mediated adverse events (IMAE)</w:t>
      </w:r>
      <w:r>
        <w:rPr>
          <w:lang w:eastAsia="ja-JP"/>
        </w:rPr>
        <w:t>, see Attachment 2.</w:t>
      </w:r>
    </w:p>
    <w:p w14:paraId="650BE844" w14:textId="35B6CDB2" w:rsidR="00605AD4" w:rsidRDefault="00605AD4" w:rsidP="00605AD4">
      <w:pPr>
        <w:pStyle w:val="Heading4"/>
      </w:pPr>
      <w:r w:rsidRPr="00605AD4">
        <w:t>Post</w:t>
      </w:r>
      <w:r w:rsidR="00BF7D2A">
        <w:t>-</w:t>
      </w:r>
      <w:r w:rsidRPr="00605AD4">
        <w:t>marketing data</w:t>
      </w:r>
    </w:p>
    <w:p w14:paraId="67B008D5" w14:textId="0529E361" w:rsidR="00BF7D2A" w:rsidRDefault="00BF7D2A" w:rsidP="00BF7D2A">
      <w:pPr>
        <w:rPr>
          <w:lang w:eastAsia="ja-JP"/>
        </w:rPr>
      </w:pPr>
      <w:proofErr w:type="gramStart"/>
      <w:r>
        <w:rPr>
          <w:lang w:eastAsia="ja-JP"/>
        </w:rPr>
        <w:t>T</w:t>
      </w:r>
      <w:r w:rsidRPr="001D74FE">
        <w:rPr>
          <w:lang w:eastAsia="ja-JP"/>
        </w:rPr>
        <w:t xml:space="preserve">wo </w:t>
      </w:r>
      <w:r w:rsidR="009F3A7D">
        <w:rPr>
          <w:lang w:eastAsia="ja-JP"/>
        </w:rPr>
        <w:t>Periodic Safety Update R</w:t>
      </w:r>
      <w:r>
        <w:rPr>
          <w:lang w:eastAsia="ja-JP"/>
        </w:rPr>
        <w:t>eports (PSUR)</w:t>
      </w:r>
      <w:proofErr w:type="gramEnd"/>
      <w:r>
        <w:rPr>
          <w:lang w:eastAsia="ja-JP"/>
        </w:rPr>
        <w:t xml:space="preserve"> </w:t>
      </w:r>
      <w:r w:rsidRPr="001D74FE">
        <w:rPr>
          <w:lang w:eastAsia="ja-JP"/>
        </w:rPr>
        <w:t xml:space="preserve">were available at the time </w:t>
      </w:r>
      <w:r>
        <w:rPr>
          <w:lang w:eastAsia="ja-JP"/>
        </w:rPr>
        <w:t>of the second round clinical evaluation.</w:t>
      </w:r>
    </w:p>
    <w:p w14:paraId="16116E07" w14:textId="50098567" w:rsidR="00BF7D2A" w:rsidRPr="001D74FE" w:rsidRDefault="00805855" w:rsidP="00BF7D2A">
      <w:pPr>
        <w:rPr>
          <w:lang w:eastAsia="ja-JP"/>
        </w:rPr>
      </w:pPr>
      <w:r>
        <w:rPr>
          <w:lang w:eastAsia="ja-JP"/>
        </w:rPr>
        <w:t>At the time of evaluation, t</w:t>
      </w:r>
      <w:r w:rsidR="00BF7D2A" w:rsidRPr="001D74FE">
        <w:rPr>
          <w:lang w:eastAsia="ja-JP"/>
        </w:rPr>
        <w:t xml:space="preserve">here have been over 8000 patients exposed to </w:t>
      </w:r>
      <w:proofErr w:type="spellStart"/>
      <w:r w:rsidR="00BF7D2A" w:rsidRPr="001D74FE">
        <w:rPr>
          <w:lang w:eastAsia="ja-JP"/>
        </w:rPr>
        <w:t>nivolumab</w:t>
      </w:r>
      <w:proofErr w:type="spellEnd"/>
      <w:r w:rsidR="00BF7D2A" w:rsidRPr="001D74FE">
        <w:rPr>
          <w:lang w:eastAsia="ja-JP"/>
        </w:rPr>
        <w:t xml:space="preserve"> through the clinical study programme, including patients exposed to </w:t>
      </w:r>
      <w:proofErr w:type="spellStart"/>
      <w:r w:rsidR="00BF7D2A" w:rsidRPr="001D74FE">
        <w:rPr>
          <w:lang w:eastAsia="ja-JP"/>
        </w:rPr>
        <w:t>nivolumab</w:t>
      </w:r>
      <w:proofErr w:type="spellEnd"/>
      <w:r w:rsidR="00BF7D2A" w:rsidRPr="001D74FE">
        <w:rPr>
          <w:lang w:eastAsia="ja-JP"/>
        </w:rPr>
        <w:t xml:space="preserve"> in combination with another agent such as </w:t>
      </w:r>
      <w:proofErr w:type="spellStart"/>
      <w:r w:rsidR="00BF7D2A" w:rsidRPr="001D74FE">
        <w:rPr>
          <w:lang w:eastAsia="ja-JP"/>
        </w:rPr>
        <w:t>ipilimumab</w:t>
      </w:r>
      <w:proofErr w:type="spellEnd"/>
      <w:r w:rsidR="00BF7D2A" w:rsidRPr="001D74FE">
        <w:rPr>
          <w:lang w:eastAsia="ja-JP"/>
        </w:rPr>
        <w:t xml:space="preserve">. No information regarding this total population was provided in the </w:t>
      </w:r>
      <w:r w:rsidR="00F46276">
        <w:rPr>
          <w:lang w:eastAsia="ja-JP"/>
        </w:rPr>
        <w:t xml:space="preserve">sponsor’s </w:t>
      </w:r>
      <w:r w:rsidR="00BF7D2A" w:rsidRPr="001D74FE">
        <w:rPr>
          <w:lang w:eastAsia="ja-JP"/>
        </w:rPr>
        <w:t xml:space="preserve">Summary of Clinical Safety or the Clinical Overview. According to the draft PI, there have been 1728 patients exposed to </w:t>
      </w:r>
      <w:proofErr w:type="spellStart"/>
      <w:r w:rsidR="00BF7D2A" w:rsidRPr="001D74FE">
        <w:rPr>
          <w:lang w:eastAsia="ja-JP"/>
        </w:rPr>
        <w:t>nivolumab</w:t>
      </w:r>
      <w:proofErr w:type="spellEnd"/>
      <w:r w:rsidR="00BF7D2A" w:rsidRPr="001D74FE">
        <w:rPr>
          <w:lang w:eastAsia="ja-JP"/>
        </w:rPr>
        <w:t xml:space="preserve"> in completed </w:t>
      </w:r>
      <w:proofErr w:type="spellStart"/>
      <w:r w:rsidR="00BF7D2A" w:rsidRPr="001D74FE">
        <w:rPr>
          <w:lang w:eastAsia="ja-JP"/>
        </w:rPr>
        <w:t>registrational</w:t>
      </w:r>
      <w:proofErr w:type="spellEnd"/>
      <w:r w:rsidR="00BF7D2A" w:rsidRPr="001D74FE">
        <w:rPr>
          <w:lang w:eastAsia="ja-JP"/>
        </w:rPr>
        <w:t xml:space="preserve"> studies. The patients in the </w:t>
      </w:r>
      <w:proofErr w:type="spellStart"/>
      <w:r w:rsidR="00BF7D2A" w:rsidRPr="001D74FE">
        <w:rPr>
          <w:lang w:eastAsia="ja-JP"/>
        </w:rPr>
        <w:t>registrational</w:t>
      </w:r>
      <w:proofErr w:type="spellEnd"/>
      <w:r w:rsidR="00BF7D2A" w:rsidRPr="001D74FE">
        <w:rPr>
          <w:lang w:eastAsia="ja-JP"/>
        </w:rPr>
        <w:t xml:space="preserve"> studies can be used to provide an overview of the more common adverse events and to determine if there are differences in these according to tumour types. Pooling of information across the studies can also facilitate in describing the more common immune-mediated adverse reactions. </w:t>
      </w:r>
      <w:r w:rsidR="00BF7D2A" w:rsidRPr="001D74FE">
        <w:rPr>
          <w:lang w:eastAsia="ja-JP"/>
        </w:rPr>
        <w:lastRenderedPageBreak/>
        <w:t>For detec</w:t>
      </w:r>
      <w:r w:rsidR="00BF7D2A">
        <w:rPr>
          <w:lang w:eastAsia="ja-JP"/>
        </w:rPr>
        <w:t xml:space="preserve">tion of the less common immune </w:t>
      </w:r>
      <w:r w:rsidR="00BF7D2A" w:rsidRPr="001D74FE">
        <w:rPr>
          <w:lang w:eastAsia="ja-JP"/>
        </w:rPr>
        <w:t>mediated adverse reactions, the whole popul</w:t>
      </w:r>
      <w:r w:rsidR="00BF7D2A">
        <w:rPr>
          <w:lang w:eastAsia="ja-JP"/>
        </w:rPr>
        <w:t>ation should be used.</w:t>
      </w:r>
    </w:p>
    <w:p w14:paraId="2F977FF5" w14:textId="4C2DBAB4" w:rsidR="00805855" w:rsidRPr="001D74FE" w:rsidRDefault="00805855" w:rsidP="00805855">
      <w:pPr>
        <w:rPr>
          <w:lang w:eastAsia="ja-JP"/>
        </w:rPr>
      </w:pPr>
      <w:proofErr w:type="spellStart"/>
      <w:r w:rsidRPr="001D74FE">
        <w:rPr>
          <w:lang w:eastAsia="ja-JP"/>
        </w:rPr>
        <w:t>Nivolumab</w:t>
      </w:r>
      <w:proofErr w:type="spellEnd"/>
      <w:r w:rsidRPr="001D74FE">
        <w:rPr>
          <w:lang w:eastAsia="ja-JP"/>
        </w:rPr>
        <w:t xml:space="preserve"> has been approved for use in Australia, after prior therapies, in advanced melanoma and </w:t>
      </w:r>
      <w:r>
        <w:rPr>
          <w:lang w:eastAsia="ja-JP"/>
        </w:rPr>
        <w:t>NSCLC</w:t>
      </w:r>
      <w:r w:rsidRPr="001D74FE">
        <w:rPr>
          <w:lang w:eastAsia="ja-JP"/>
        </w:rPr>
        <w:t xml:space="preserve"> (squamous and non-squam</w:t>
      </w:r>
      <w:r>
        <w:rPr>
          <w:lang w:eastAsia="ja-JP"/>
        </w:rPr>
        <w:t>ous) with a dosing regimen of 3 </w:t>
      </w:r>
      <w:r w:rsidRPr="001D74FE">
        <w:rPr>
          <w:lang w:eastAsia="ja-JP"/>
        </w:rPr>
        <w:t>mg/kg every two weeks. Additional safety information is available from the registration studies for these indications.</w:t>
      </w:r>
    </w:p>
    <w:p w14:paraId="7A07F71E" w14:textId="4D4393CD" w:rsidR="00BF7D2A" w:rsidRPr="00BF7D2A" w:rsidRDefault="00805855" w:rsidP="00BF7D2A">
      <w:pPr>
        <w:rPr>
          <w:lang w:eastAsia="ja-JP"/>
        </w:rPr>
      </w:pPr>
      <w:r>
        <w:rPr>
          <w:lang w:eastAsia="ja-JP"/>
        </w:rPr>
        <w:t xml:space="preserve">A full evaluation of safety data from the clinical study program and the pooled </w:t>
      </w:r>
      <w:proofErr w:type="spellStart"/>
      <w:r>
        <w:rPr>
          <w:lang w:eastAsia="ja-JP"/>
        </w:rPr>
        <w:t>registrational</w:t>
      </w:r>
      <w:proofErr w:type="spellEnd"/>
      <w:r>
        <w:rPr>
          <w:lang w:eastAsia="ja-JP"/>
        </w:rPr>
        <w:t xml:space="preserve"> studies described above is available in Attachment 2.</w:t>
      </w:r>
    </w:p>
    <w:p w14:paraId="14DA7204" w14:textId="77777777" w:rsidR="00605AD4" w:rsidRPr="00605AD4" w:rsidRDefault="00605AD4" w:rsidP="00605AD4">
      <w:pPr>
        <w:pStyle w:val="Heading4"/>
      </w:pPr>
      <w:r w:rsidRPr="00605AD4">
        <w:t>Evaluator’s conclusions on safety</w:t>
      </w:r>
    </w:p>
    <w:p w14:paraId="7C204BBF" w14:textId="77CEB99D" w:rsidR="00805855" w:rsidRPr="001D74FE" w:rsidRDefault="00805855" w:rsidP="00805855">
      <w:pPr>
        <w:rPr>
          <w:lang w:eastAsia="ja-JP"/>
        </w:rPr>
      </w:pPr>
      <w:r w:rsidRPr="001D74FE">
        <w:rPr>
          <w:lang w:eastAsia="ja-JP"/>
        </w:rPr>
        <w:t xml:space="preserve">The evaluator is of the opinion that the safety for the proposed indication has not been adequately characterised by the sponsor. The assessment of safety provided in the </w:t>
      </w:r>
      <w:r w:rsidR="00F46276">
        <w:rPr>
          <w:lang w:eastAsia="ja-JP"/>
        </w:rPr>
        <w:t xml:space="preserve">sponsor’s </w:t>
      </w:r>
      <w:r w:rsidRPr="001D74FE">
        <w:rPr>
          <w:lang w:eastAsia="ja-JP"/>
        </w:rPr>
        <w:t>Summary of Clinical Safety and Clinical Over</w:t>
      </w:r>
      <w:r>
        <w:rPr>
          <w:lang w:eastAsia="ja-JP"/>
        </w:rPr>
        <w:t>view is limited to the pivotal S</w:t>
      </w:r>
      <w:r w:rsidRPr="001D74FE">
        <w:rPr>
          <w:lang w:eastAsia="ja-JP"/>
        </w:rPr>
        <w:t xml:space="preserve">tudy CA209025 and the dose-ranging </w:t>
      </w:r>
      <w:r w:rsidR="00F46276">
        <w:rPr>
          <w:lang w:eastAsia="ja-JP"/>
        </w:rPr>
        <w:t>S</w:t>
      </w:r>
      <w:r w:rsidR="00F46276" w:rsidRPr="001D74FE">
        <w:rPr>
          <w:lang w:eastAsia="ja-JP"/>
        </w:rPr>
        <w:t xml:space="preserve">tudy </w:t>
      </w:r>
      <w:r w:rsidRPr="001D74FE">
        <w:rPr>
          <w:lang w:eastAsia="ja-JP"/>
        </w:rPr>
        <w:t xml:space="preserve">CA209010. Reference has been made to the safety profile of </w:t>
      </w:r>
      <w:proofErr w:type="spellStart"/>
      <w:r w:rsidRPr="001D74FE">
        <w:rPr>
          <w:lang w:eastAsia="ja-JP"/>
        </w:rPr>
        <w:t>nivolumab</w:t>
      </w:r>
      <w:proofErr w:type="spellEnd"/>
      <w:r w:rsidRPr="001D74FE">
        <w:rPr>
          <w:lang w:eastAsia="ja-JP"/>
        </w:rPr>
        <w:t xml:space="preserve"> in other solid organ tumour types but only to enable comparison of the safety profil</w:t>
      </w:r>
      <w:r>
        <w:rPr>
          <w:lang w:eastAsia="ja-JP"/>
        </w:rPr>
        <w:t>e as seen in patients with RCC.</w:t>
      </w:r>
    </w:p>
    <w:p w14:paraId="7E06DE83" w14:textId="70A7504B" w:rsidR="00805855" w:rsidRPr="001D74FE" w:rsidRDefault="00805855" w:rsidP="00805855">
      <w:pPr>
        <w:rPr>
          <w:lang w:eastAsia="ja-JP"/>
        </w:rPr>
      </w:pPr>
      <w:r w:rsidRPr="001D74FE">
        <w:rPr>
          <w:lang w:eastAsia="ja-JP"/>
        </w:rPr>
        <w:t>The sponsor has stated that adverse events are not dose related</w:t>
      </w:r>
      <w:r>
        <w:rPr>
          <w:lang w:eastAsia="ja-JP"/>
        </w:rPr>
        <w:t xml:space="preserve"> and included the dose-ranging S</w:t>
      </w:r>
      <w:r w:rsidRPr="001D74FE">
        <w:rPr>
          <w:lang w:eastAsia="ja-JP"/>
        </w:rPr>
        <w:t>tudy CA209010 in the</w:t>
      </w:r>
      <w:r w:rsidR="00F46276">
        <w:rPr>
          <w:lang w:eastAsia="ja-JP"/>
        </w:rPr>
        <w:t>ir</w:t>
      </w:r>
      <w:r w:rsidRPr="001D74FE">
        <w:rPr>
          <w:lang w:eastAsia="ja-JP"/>
        </w:rPr>
        <w:t xml:space="preserve"> safety assessment. However, two other dose ranging studies that included patients with advanced RCC, </w:t>
      </w:r>
      <w:r>
        <w:rPr>
          <w:lang w:eastAsia="ja-JP"/>
        </w:rPr>
        <w:t xml:space="preserve">Studies </w:t>
      </w:r>
      <w:r w:rsidRPr="001D74FE">
        <w:rPr>
          <w:lang w:eastAsia="ja-JP"/>
        </w:rPr>
        <w:t xml:space="preserve">CA209009 and CA209003, were not included in the safety assessment. An overview of the frequency of AEs in all patients exposed to </w:t>
      </w:r>
      <w:proofErr w:type="spellStart"/>
      <w:r w:rsidRPr="001D74FE">
        <w:rPr>
          <w:lang w:eastAsia="ja-JP"/>
        </w:rPr>
        <w:t>nivolumab</w:t>
      </w:r>
      <w:proofErr w:type="spellEnd"/>
      <w:r w:rsidRPr="001D74FE">
        <w:rPr>
          <w:lang w:eastAsia="ja-JP"/>
        </w:rPr>
        <w:t xml:space="preserve"> has not been provided, although such an overview is available in the EMA’s </w:t>
      </w:r>
      <w:r w:rsidR="009F3A7D">
        <w:rPr>
          <w:lang w:eastAsia="ja-JP"/>
        </w:rPr>
        <w:t>Summary of Product Characteristics (</w:t>
      </w:r>
      <w:proofErr w:type="spellStart"/>
      <w:r w:rsidRPr="001D74FE">
        <w:rPr>
          <w:lang w:eastAsia="ja-JP"/>
        </w:rPr>
        <w:t>SmPC</w:t>
      </w:r>
      <w:proofErr w:type="spellEnd"/>
      <w:r w:rsidR="009F3A7D">
        <w:rPr>
          <w:lang w:eastAsia="ja-JP"/>
        </w:rPr>
        <w:t>)</w:t>
      </w:r>
      <w:r w:rsidRPr="001D74FE">
        <w:rPr>
          <w:lang w:eastAsia="ja-JP"/>
        </w:rPr>
        <w:t xml:space="preserve"> (for patients with melanoma and NSCLC). An overview of the frequency of AEs in all patients with advanced RCC exposed to </w:t>
      </w:r>
      <w:proofErr w:type="spellStart"/>
      <w:r w:rsidRPr="001D74FE">
        <w:rPr>
          <w:lang w:eastAsia="ja-JP"/>
        </w:rPr>
        <w:t>ni</w:t>
      </w:r>
      <w:r w:rsidR="00C950B3">
        <w:rPr>
          <w:lang w:eastAsia="ja-JP"/>
        </w:rPr>
        <w:t>volumab</w:t>
      </w:r>
      <w:proofErr w:type="spellEnd"/>
      <w:r w:rsidR="00C950B3">
        <w:rPr>
          <w:lang w:eastAsia="ja-JP"/>
        </w:rPr>
        <w:t xml:space="preserve"> was also not provided; </w:t>
      </w:r>
      <w:r w:rsidRPr="001D74FE">
        <w:rPr>
          <w:lang w:eastAsia="ja-JP"/>
        </w:rPr>
        <w:t>the overview provided above was constructed by the evaluator from the CSRs of the relevant studies where this information was able to be loca</w:t>
      </w:r>
      <w:r w:rsidR="00C950B3">
        <w:rPr>
          <w:lang w:eastAsia="ja-JP"/>
        </w:rPr>
        <w:t>ted (patients with RCC in Study </w:t>
      </w:r>
      <w:r w:rsidRPr="001D74FE">
        <w:rPr>
          <w:lang w:eastAsia="ja-JP"/>
        </w:rPr>
        <w:t>CA209003 could not be included).</w:t>
      </w:r>
    </w:p>
    <w:p w14:paraId="689338CE" w14:textId="165B5799" w:rsidR="00805855" w:rsidRPr="001D74FE" w:rsidRDefault="00805855" w:rsidP="00805855">
      <w:pPr>
        <w:rPr>
          <w:lang w:eastAsia="ja-JP"/>
        </w:rPr>
      </w:pPr>
      <w:proofErr w:type="spellStart"/>
      <w:r w:rsidRPr="001D74FE">
        <w:rPr>
          <w:lang w:eastAsia="ja-JP"/>
        </w:rPr>
        <w:t>Nivolumab</w:t>
      </w:r>
      <w:proofErr w:type="spellEnd"/>
      <w:r w:rsidRPr="001D74FE">
        <w:rPr>
          <w:lang w:eastAsia="ja-JP"/>
        </w:rPr>
        <w:t xml:space="preserve"> has been recognised as a having a unique adverse effect profile due to the occurrence of IMAE</w:t>
      </w:r>
      <w:r w:rsidR="0037666F">
        <w:rPr>
          <w:lang w:eastAsia="ja-JP"/>
        </w:rPr>
        <w:t>s</w:t>
      </w:r>
      <w:r w:rsidRPr="001D74FE">
        <w:rPr>
          <w:lang w:eastAsia="ja-JP"/>
        </w:rPr>
        <w:t xml:space="preserve"> and has been rapidly introduced into clinical practice for a number of indications. The sponsor has stated that the occurrence of IMAE</w:t>
      </w:r>
      <w:r w:rsidR="0037666F">
        <w:rPr>
          <w:lang w:eastAsia="ja-JP"/>
        </w:rPr>
        <w:t>s</w:t>
      </w:r>
      <w:r w:rsidRPr="001D74FE">
        <w:rPr>
          <w:lang w:eastAsia="ja-JP"/>
        </w:rPr>
        <w:t xml:space="preserve"> is not related to tumour type. According to reports in individual studies, the frequency of IMAE</w:t>
      </w:r>
      <w:r w:rsidR="0037666F">
        <w:rPr>
          <w:lang w:eastAsia="ja-JP"/>
        </w:rPr>
        <w:t>s</w:t>
      </w:r>
      <w:r w:rsidRPr="001D74FE">
        <w:rPr>
          <w:lang w:eastAsia="ja-JP"/>
        </w:rPr>
        <w:t xml:space="preserve"> appears to be low but severity seems highly variable. As the number of patients treated in the </w:t>
      </w:r>
      <w:proofErr w:type="spellStart"/>
      <w:r w:rsidRPr="001D74FE">
        <w:rPr>
          <w:lang w:eastAsia="ja-JP"/>
        </w:rPr>
        <w:t>registrational</w:t>
      </w:r>
      <w:proofErr w:type="spellEnd"/>
      <w:r w:rsidRPr="001D74FE">
        <w:rPr>
          <w:lang w:eastAsia="ja-JP"/>
        </w:rPr>
        <w:t xml:space="preserve"> studies for the different indications is relatively small, dependence on each of these studies individually to satisfactorily describe IMAE</w:t>
      </w:r>
      <w:r w:rsidR="0037666F">
        <w:rPr>
          <w:lang w:eastAsia="ja-JP"/>
        </w:rPr>
        <w:t>s</w:t>
      </w:r>
      <w:r w:rsidRPr="001D74FE">
        <w:rPr>
          <w:lang w:eastAsia="ja-JP"/>
        </w:rPr>
        <w:t xml:space="preserve"> is not possible. A comprehensive overview of the occurrence of IMAE</w:t>
      </w:r>
      <w:r w:rsidR="0037666F">
        <w:rPr>
          <w:lang w:eastAsia="ja-JP"/>
        </w:rPr>
        <w:t>s</w:t>
      </w:r>
      <w:r w:rsidRPr="001D74FE">
        <w:rPr>
          <w:lang w:eastAsia="ja-JP"/>
        </w:rPr>
        <w:t xml:space="preserve"> across all tumour types was not provided in the </w:t>
      </w:r>
      <w:r w:rsidR="00811AA3">
        <w:rPr>
          <w:lang w:eastAsia="ja-JP"/>
        </w:rPr>
        <w:t xml:space="preserve">sponsor’s </w:t>
      </w:r>
      <w:r w:rsidRPr="001D74FE">
        <w:rPr>
          <w:lang w:eastAsia="ja-JP"/>
        </w:rPr>
        <w:t xml:space="preserve">Summary of Safety and Clinical Overview. Some information was available in the proposed PI, although this was limited to </w:t>
      </w:r>
      <w:proofErr w:type="spellStart"/>
      <w:r w:rsidRPr="001D74FE">
        <w:rPr>
          <w:lang w:eastAsia="ja-JP"/>
        </w:rPr>
        <w:t>registrational</w:t>
      </w:r>
      <w:proofErr w:type="spellEnd"/>
      <w:r w:rsidRPr="001D74FE">
        <w:rPr>
          <w:lang w:eastAsia="ja-JP"/>
        </w:rPr>
        <w:t xml:space="preserve"> studies rather than the whole population exposed to </w:t>
      </w:r>
      <w:proofErr w:type="spellStart"/>
      <w:r w:rsidRPr="001D74FE">
        <w:rPr>
          <w:lang w:eastAsia="ja-JP"/>
        </w:rPr>
        <w:t>nivolumab</w:t>
      </w:r>
      <w:proofErr w:type="spellEnd"/>
      <w:r w:rsidRPr="001D74FE">
        <w:rPr>
          <w:lang w:eastAsia="ja-JP"/>
        </w:rPr>
        <w:t xml:space="preserve"> monotherapy, and has been included in the evaluator’s assessment above. A more detailed depiction of each of the categories of IMAE is needed and this may be best obtained through a cumulative review for each category and type of IMAE, with this including all patients exposed to </w:t>
      </w:r>
      <w:proofErr w:type="spellStart"/>
      <w:r w:rsidRPr="001D74FE">
        <w:rPr>
          <w:lang w:eastAsia="ja-JP"/>
        </w:rPr>
        <w:t>nivolumab</w:t>
      </w:r>
      <w:proofErr w:type="spellEnd"/>
      <w:r w:rsidRPr="001D74FE">
        <w:rPr>
          <w:lang w:eastAsia="ja-JP"/>
        </w:rPr>
        <w:t xml:space="preserve">. A better understanding of both the frequency of occurrence and the range of severity (according to clinically important measures such as need for hospitalisation and organ support and including any associated deaths) and the treatments used is essential for the risk-benefit analysis of the use of </w:t>
      </w:r>
      <w:proofErr w:type="spellStart"/>
      <w:r w:rsidRPr="001D74FE">
        <w:rPr>
          <w:lang w:eastAsia="ja-JP"/>
        </w:rPr>
        <w:t>nivolumab</w:t>
      </w:r>
      <w:proofErr w:type="spellEnd"/>
      <w:r w:rsidRPr="001D74FE">
        <w:rPr>
          <w:lang w:eastAsia="ja-JP"/>
        </w:rPr>
        <w:t xml:space="preserve"> for the proposed indication and any future indications. This information is also essential if appropriate advice for the recognition and management of these conditions is to be is to be provided in the PI and in educational materials provided to the patient and healthcare professionals. The evaluator notes that in regard to 2 of the 5 patients who died due to pneumonitis in Study CA209003, the draft RMP states: </w:t>
      </w:r>
      <w:r>
        <w:rPr>
          <w:lang w:eastAsia="ja-JP"/>
        </w:rPr>
        <w:t>‘</w:t>
      </w:r>
      <w:r w:rsidRPr="001D74FE">
        <w:rPr>
          <w:i/>
          <w:lang w:eastAsia="ja-JP"/>
        </w:rPr>
        <w:t xml:space="preserve">In the first 2 subjects, there was a delay of approximately 1 to 2 weeks between the onset of symptoms and treatment with high doses of corticosteroids. Earlier recognition and treatment with higher dose corticosteroids may have led to a different outcome, as has been </w:t>
      </w:r>
      <w:r w:rsidRPr="001D74FE">
        <w:rPr>
          <w:i/>
          <w:lang w:eastAsia="ja-JP"/>
        </w:rPr>
        <w:lastRenderedPageBreak/>
        <w:t xml:space="preserve">reported for GI toxicity elicited by </w:t>
      </w:r>
      <w:proofErr w:type="spellStart"/>
      <w:r w:rsidRPr="001D74FE">
        <w:rPr>
          <w:i/>
          <w:lang w:eastAsia="ja-JP"/>
        </w:rPr>
        <w:t>ipilimumab</w:t>
      </w:r>
      <w:proofErr w:type="spellEnd"/>
      <w:r w:rsidRPr="001D74FE">
        <w:rPr>
          <w:lang w:eastAsia="ja-JP"/>
        </w:rPr>
        <w:t>.</w:t>
      </w:r>
      <w:r>
        <w:rPr>
          <w:lang w:eastAsia="ja-JP"/>
        </w:rPr>
        <w:t>’</w:t>
      </w:r>
      <w:r w:rsidRPr="001D74FE">
        <w:rPr>
          <w:lang w:eastAsia="ja-JP"/>
        </w:rPr>
        <w:t xml:space="preserve"> The occurrence of severe IMAEs and deaths due to IMAEs may have been under-estimated in the clinical studies due to lack of investigator familiarity with the varying manifestations of these reactions. Similarly, milder manifestations may also have gone un-diagnosed and untreated, </w:t>
      </w:r>
      <w:r w:rsidR="00811AA3">
        <w:rPr>
          <w:lang w:eastAsia="ja-JP"/>
        </w:rPr>
        <w:t>for example</w:t>
      </w:r>
      <w:r w:rsidRPr="001D74FE">
        <w:rPr>
          <w:lang w:eastAsia="ja-JP"/>
        </w:rPr>
        <w:t xml:space="preserve"> the high incidence of cough and dyspnoea across the clinical studies is suggestive of un-diagnosed pneumonitis; the high incidence of fatigue is suggestive of </w:t>
      </w:r>
      <w:proofErr w:type="spellStart"/>
      <w:r w:rsidRPr="001D74FE">
        <w:rPr>
          <w:lang w:eastAsia="ja-JP"/>
        </w:rPr>
        <w:t>endocrinopathies</w:t>
      </w:r>
      <w:proofErr w:type="spellEnd"/>
      <w:r w:rsidRPr="001D74FE">
        <w:rPr>
          <w:lang w:eastAsia="ja-JP"/>
        </w:rPr>
        <w:t>.</w:t>
      </w:r>
    </w:p>
    <w:p w14:paraId="72F7225B" w14:textId="77777777" w:rsidR="00805855" w:rsidRPr="001D74FE" w:rsidRDefault="00805855" w:rsidP="00805855">
      <w:pPr>
        <w:rPr>
          <w:lang w:eastAsia="ja-JP"/>
        </w:rPr>
      </w:pPr>
      <w:r w:rsidRPr="001D74FE">
        <w:rPr>
          <w:lang w:eastAsia="ja-JP"/>
        </w:rPr>
        <w:t>The following description of safety is compiled from various sources within the sponsor’s dossiers and should not be regarded as complete.</w:t>
      </w:r>
    </w:p>
    <w:p w14:paraId="0DEDF001" w14:textId="77777777" w:rsidR="00805855" w:rsidRPr="001D74FE" w:rsidRDefault="00805855" w:rsidP="00C950B3">
      <w:pPr>
        <w:pStyle w:val="Heading5"/>
      </w:pPr>
      <w:r w:rsidRPr="001D74FE">
        <w:t>Study CA209025</w:t>
      </w:r>
    </w:p>
    <w:p w14:paraId="7C1CFC0D" w14:textId="06E17B07" w:rsidR="00805855" w:rsidRPr="001D74FE" w:rsidRDefault="00805855" w:rsidP="00805855">
      <w:pPr>
        <w:rPr>
          <w:lang w:eastAsia="ja-JP"/>
        </w:rPr>
      </w:pPr>
      <w:r>
        <w:rPr>
          <w:lang w:eastAsia="ja-JP"/>
        </w:rPr>
        <w:t>In S</w:t>
      </w:r>
      <w:r w:rsidRPr="001D74FE">
        <w:rPr>
          <w:lang w:eastAsia="ja-JP"/>
        </w:rPr>
        <w:t xml:space="preserve">tudy CA209025, safety was evaluated in 406 patients with advanced clear cell RCC who had previously received at least one anti-angiogenic therapy. The most common (greater than or equal to 20%) adverse reactions included fatigue, cough, nausea, rash, dyspnoea, diarrhoea, constipation, decreased appetite, back pain, and arthralgia. The most common (greater than or equal to 30%) laboratory abnormalities which have worsened compared to baseline included increased creatinine, lymphopenia, anaemia, increased </w:t>
      </w:r>
      <w:r w:rsidR="00236985">
        <w:rPr>
          <w:lang w:eastAsia="ja-JP"/>
        </w:rPr>
        <w:t>aspartate transaminase</w:t>
      </w:r>
      <w:r w:rsidRPr="001D74FE">
        <w:rPr>
          <w:lang w:eastAsia="ja-JP"/>
        </w:rPr>
        <w:t>, increased alkaline phosphatase, hyponatraemia, elevated triglycerides, and hyperkalaemia.</w:t>
      </w:r>
    </w:p>
    <w:p w14:paraId="7EFE6692" w14:textId="493C49EB" w:rsidR="00805855" w:rsidRPr="001D74FE" w:rsidRDefault="00805855" w:rsidP="00805855">
      <w:pPr>
        <w:rPr>
          <w:lang w:eastAsia="ja-JP"/>
        </w:rPr>
      </w:pPr>
      <w:r w:rsidRPr="001D74FE">
        <w:rPr>
          <w:lang w:eastAsia="ja-JP"/>
        </w:rPr>
        <w:t xml:space="preserve">Serious adverse events </w:t>
      </w:r>
      <w:r w:rsidR="00A21077">
        <w:rPr>
          <w:lang w:eastAsia="ja-JP"/>
        </w:rPr>
        <w:t xml:space="preserve">(SAE) </w:t>
      </w:r>
      <w:r w:rsidRPr="001D74FE">
        <w:rPr>
          <w:lang w:eastAsia="ja-JP"/>
        </w:rPr>
        <w:t xml:space="preserve">were reported in 47% of patients. The most common </w:t>
      </w:r>
      <w:r w:rsidR="00A21077">
        <w:rPr>
          <w:lang w:eastAsia="ja-JP"/>
        </w:rPr>
        <w:t>SAEs</w:t>
      </w:r>
      <w:r w:rsidRPr="001D74FE">
        <w:rPr>
          <w:lang w:eastAsia="ja-JP"/>
        </w:rPr>
        <w:t xml:space="preserve"> (greater than or equal to 2%) were acute kidney injury, pleural effusion, pneumonia, diarrhoea and hypercalcaemia. Nineteen deaths were reported within 30 days of the last </w:t>
      </w:r>
      <w:proofErr w:type="spellStart"/>
      <w:r w:rsidRPr="001D74FE">
        <w:rPr>
          <w:lang w:eastAsia="ja-JP"/>
        </w:rPr>
        <w:t>nivolumab</w:t>
      </w:r>
      <w:proofErr w:type="spellEnd"/>
      <w:r w:rsidRPr="001D74FE">
        <w:rPr>
          <w:lang w:eastAsia="ja-JP"/>
        </w:rPr>
        <w:t xml:space="preserve"> dose. </w:t>
      </w:r>
      <w:r>
        <w:rPr>
          <w:lang w:eastAsia="ja-JP"/>
        </w:rPr>
        <w:t>15</w:t>
      </w:r>
      <w:r w:rsidRPr="001D74FE">
        <w:rPr>
          <w:lang w:eastAsia="ja-JP"/>
        </w:rPr>
        <w:t xml:space="preserve"> were attributed to progressive d</w:t>
      </w:r>
      <w:r>
        <w:rPr>
          <w:lang w:eastAsia="ja-JP"/>
        </w:rPr>
        <w:t>isease and 4</w:t>
      </w:r>
      <w:r w:rsidRPr="001D74FE">
        <w:rPr>
          <w:lang w:eastAsia="ja-JP"/>
        </w:rPr>
        <w:t xml:space="preserve"> due to pneumonia, suicide, heart failure, and myocardial infarction. </w:t>
      </w:r>
      <w:r w:rsidR="00CF2E2E">
        <w:rPr>
          <w:lang w:eastAsia="ja-JP"/>
        </w:rPr>
        <w:t>IMAEs</w:t>
      </w:r>
      <w:r w:rsidRPr="001D74FE">
        <w:rPr>
          <w:lang w:eastAsia="ja-JP"/>
        </w:rPr>
        <w:t xml:space="preserve">, including pneumonitis, diarrhoea/colitis, hepatitis, nephritis and </w:t>
      </w:r>
      <w:proofErr w:type="spellStart"/>
      <w:r w:rsidRPr="001D74FE">
        <w:rPr>
          <w:lang w:eastAsia="ja-JP"/>
        </w:rPr>
        <w:t>endocrinopathies</w:t>
      </w:r>
      <w:proofErr w:type="spellEnd"/>
      <w:r w:rsidRPr="001D74FE">
        <w:rPr>
          <w:lang w:eastAsia="ja-JP"/>
        </w:rPr>
        <w:t xml:space="preserve"> were reported. No deaths were attributed to </w:t>
      </w:r>
      <w:r w:rsidR="00CF2E2E">
        <w:rPr>
          <w:lang w:eastAsia="ja-JP"/>
        </w:rPr>
        <w:t>IMAEs</w:t>
      </w:r>
      <w:r w:rsidRPr="001D74FE">
        <w:rPr>
          <w:lang w:eastAsia="ja-JP"/>
        </w:rPr>
        <w:t>.</w:t>
      </w:r>
    </w:p>
    <w:p w14:paraId="00B1E5F4" w14:textId="16C92EFA" w:rsidR="00805855" w:rsidRPr="001D74FE" w:rsidRDefault="00805855" w:rsidP="00805855">
      <w:pPr>
        <w:rPr>
          <w:lang w:eastAsia="ja-JP"/>
        </w:rPr>
      </w:pPr>
      <w:r w:rsidRPr="001D74FE">
        <w:rPr>
          <w:lang w:eastAsia="ja-JP"/>
        </w:rPr>
        <w:t>There was</w:t>
      </w:r>
      <w:r w:rsidR="00CF2E2E">
        <w:rPr>
          <w:lang w:eastAsia="ja-JP"/>
        </w:rPr>
        <w:t xml:space="preserve"> a higher incidence of deaths, </w:t>
      </w:r>
      <w:r w:rsidR="00A21077">
        <w:rPr>
          <w:lang w:eastAsia="ja-JP"/>
        </w:rPr>
        <w:t>SAEs</w:t>
      </w:r>
      <w:r w:rsidR="00CF2E2E">
        <w:rPr>
          <w:lang w:eastAsia="ja-JP"/>
        </w:rPr>
        <w:t xml:space="preserve"> and drug </w:t>
      </w:r>
      <w:r w:rsidRPr="001D74FE">
        <w:rPr>
          <w:lang w:eastAsia="ja-JP"/>
        </w:rPr>
        <w:t xml:space="preserve">related AEs in the </w:t>
      </w:r>
      <w:proofErr w:type="spellStart"/>
      <w:r w:rsidRPr="001D74FE">
        <w:rPr>
          <w:lang w:eastAsia="ja-JP"/>
        </w:rPr>
        <w:t>everolimus</w:t>
      </w:r>
      <w:proofErr w:type="spellEnd"/>
      <w:r w:rsidRPr="001D74FE">
        <w:rPr>
          <w:lang w:eastAsia="ja-JP"/>
        </w:rPr>
        <w:t xml:space="preserve"> arm compared to the </w:t>
      </w:r>
      <w:proofErr w:type="spellStart"/>
      <w:r w:rsidRPr="001D74FE">
        <w:rPr>
          <w:lang w:eastAsia="ja-JP"/>
        </w:rPr>
        <w:t>nivolumab</w:t>
      </w:r>
      <w:proofErr w:type="spellEnd"/>
      <w:r w:rsidRPr="001D74FE">
        <w:rPr>
          <w:lang w:eastAsia="ja-JP"/>
        </w:rPr>
        <w:t xml:space="preserve"> arm.</w:t>
      </w:r>
    </w:p>
    <w:p w14:paraId="43CF7F4F" w14:textId="77777777" w:rsidR="00805855" w:rsidRPr="001D74FE" w:rsidRDefault="00805855" w:rsidP="00C950B3">
      <w:pPr>
        <w:pStyle w:val="Heading5"/>
      </w:pPr>
      <w:r w:rsidRPr="001D74FE">
        <w:t>Studies CA209009, CA209003 and CA209010</w:t>
      </w:r>
    </w:p>
    <w:p w14:paraId="0A53BFFD" w14:textId="69C91567" w:rsidR="00805855" w:rsidRPr="001D74FE" w:rsidRDefault="00805855" w:rsidP="00805855">
      <w:pPr>
        <w:rPr>
          <w:lang w:eastAsia="ja-JP"/>
        </w:rPr>
      </w:pPr>
      <w:r w:rsidRPr="001D74FE">
        <w:rPr>
          <w:lang w:eastAsia="ja-JP"/>
        </w:rPr>
        <w:t>Doses ranging from 0.3 mg/kg to 10 mg/kg and dosing interval of 2 weeks or 3 weeks were used in these studies. The adverse event profile seen in these studies was similar to that seen in the pivotal study, with no evidence of dose-dependence except for an increase in infusion-related reactions with the dose 10 mg/kg. Immune mediated adverse reactions were reported in each study, although no deaths were</w:t>
      </w:r>
      <w:r w:rsidR="0037666F">
        <w:rPr>
          <w:lang w:eastAsia="ja-JP"/>
        </w:rPr>
        <w:t xml:space="preserve"> attributed to these in </w:t>
      </w:r>
      <w:r w:rsidR="0037666F" w:rsidRPr="0037666F">
        <w:t>Studies</w:t>
      </w:r>
      <w:r w:rsidR="0037666F">
        <w:t> </w:t>
      </w:r>
      <w:r w:rsidRPr="0037666F">
        <w:t>CA209009</w:t>
      </w:r>
      <w:r w:rsidRPr="001D74FE">
        <w:rPr>
          <w:lang w:eastAsia="ja-JP"/>
        </w:rPr>
        <w:t xml:space="preserve"> and CA209010. There were 5 deaths attributed to immune</w:t>
      </w:r>
      <w:r w:rsidR="00CF2E2E">
        <w:rPr>
          <w:lang w:eastAsia="ja-JP"/>
        </w:rPr>
        <w:t xml:space="preserve"> </w:t>
      </w:r>
      <w:r w:rsidRPr="001D74FE">
        <w:rPr>
          <w:lang w:eastAsia="ja-JP"/>
        </w:rPr>
        <w:t>mediated pneumonitis in Study CA209003, although these occurred in patients with NSCLC (</w:t>
      </w:r>
      <w:r>
        <w:rPr>
          <w:lang w:eastAsia="ja-JP"/>
        </w:rPr>
        <w:t xml:space="preserve">n = </w:t>
      </w:r>
      <w:r w:rsidRPr="001D74FE">
        <w:rPr>
          <w:lang w:eastAsia="ja-JP"/>
        </w:rPr>
        <w:t>4) and colorectal cancer (</w:t>
      </w:r>
      <w:r>
        <w:rPr>
          <w:lang w:eastAsia="ja-JP"/>
        </w:rPr>
        <w:t xml:space="preserve">n = </w:t>
      </w:r>
      <w:r w:rsidRPr="001D74FE">
        <w:rPr>
          <w:lang w:eastAsia="ja-JP"/>
        </w:rPr>
        <w:t>1).</w:t>
      </w:r>
    </w:p>
    <w:p w14:paraId="49F8F406" w14:textId="77777777" w:rsidR="00805855" w:rsidRPr="001D74FE" w:rsidRDefault="00805855" w:rsidP="00C950B3">
      <w:pPr>
        <w:pStyle w:val="Heading5"/>
      </w:pPr>
      <w:proofErr w:type="spellStart"/>
      <w:r w:rsidRPr="001D74FE">
        <w:t>Registrational</w:t>
      </w:r>
      <w:proofErr w:type="spellEnd"/>
      <w:r w:rsidRPr="001D74FE">
        <w:t xml:space="preserve"> Studies (using dosing regimen of 3 mg/kg every 2 weeks)</w:t>
      </w:r>
    </w:p>
    <w:p w14:paraId="6EB65CF9" w14:textId="77777777" w:rsidR="00805855" w:rsidRPr="001D74FE" w:rsidRDefault="00805855" w:rsidP="00805855">
      <w:pPr>
        <w:rPr>
          <w:lang w:eastAsia="ja-JP"/>
        </w:rPr>
      </w:pPr>
      <w:r w:rsidRPr="001D74FE">
        <w:rPr>
          <w:lang w:eastAsia="ja-JP"/>
        </w:rPr>
        <w:t xml:space="preserve">This comprised a total of 1728 patients from seven studies. The individual studies and pooled data showed a similar overall adverse event profile to that seen with Study </w:t>
      </w:r>
      <w:proofErr w:type="gramStart"/>
      <w:r w:rsidRPr="001D74FE">
        <w:rPr>
          <w:lang w:eastAsia="ja-JP"/>
        </w:rPr>
        <w:t>CA209025,</w:t>
      </w:r>
      <w:proofErr w:type="gramEnd"/>
      <w:r w:rsidRPr="001D74FE">
        <w:rPr>
          <w:lang w:eastAsia="ja-JP"/>
        </w:rPr>
        <w:t xml:space="preserve"> with fatigue the most common (&gt; 40%) and nausea, diarrhoea, dyspnoea, constipation and decreased appetite reported in </w:t>
      </w:r>
      <w:r>
        <w:rPr>
          <w:lang w:eastAsia="ja-JP"/>
        </w:rPr>
        <w:t xml:space="preserve">more than 20%. The most common Grade 3 to </w:t>
      </w:r>
      <w:r w:rsidRPr="001D74FE">
        <w:rPr>
          <w:lang w:eastAsia="ja-JP"/>
        </w:rPr>
        <w:t>4 events were fatigue, dyspnoea and back pain. Immune mediated adverse reactions were reported in each of these studies.</w:t>
      </w:r>
    </w:p>
    <w:p w14:paraId="6519B1A5" w14:textId="77777777" w:rsidR="00805855" w:rsidRPr="001D74FE" w:rsidRDefault="00805855" w:rsidP="00C950B3">
      <w:pPr>
        <w:pStyle w:val="Heading5"/>
      </w:pPr>
      <w:r>
        <w:t>Immune mediated adverse r</w:t>
      </w:r>
      <w:r w:rsidRPr="001D74FE">
        <w:t>eactions (IMAE)</w:t>
      </w:r>
    </w:p>
    <w:p w14:paraId="25C0E414" w14:textId="62470335" w:rsidR="00805855" w:rsidRPr="001D74FE" w:rsidRDefault="00805855" w:rsidP="00805855">
      <w:pPr>
        <w:rPr>
          <w:lang w:eastAsia="ja-JP"/>
        </w:rPr>
      </w:pPr>
      <w:r w:rsidRPr="001D74FE">
        <w:rPr>
          <w:lang w:eastAsia="ja-JP"/>
        </w:rPr>
        <w:t>This group of adverse reactions is the most concerning with regards to safety and appears to be poorly understood and characterised. It is concerning that the sponsor has not used all of the information available to attempt to better understand the manifestations of these reactions or to determine the mos</w:t>
      </w:r>
      <w:r>
        <w:rPr>
          <w:lang w:eastAsia="ja-JP"/>
        </w:rPr>
        <w:t>t effective treatment regimens.</w:t>
      </w:r>
    </w:p>
    <w:p w14:paraId="73FAA4A3" w14:textId="613DB7F1" w:rsidR="00805855" w:rsidRPr="001D74FE" w:rsidRDefault="00805855" w:rsidP="00805855">
      <w:pPr>
        <w:rPr>
          <w:lang w:eastAsia="ja-JP"/>
        </w:rPr>
      </w:pPr>
      <w:r w:rsidRPr="001D74FE">
        <w:rPr>
          <w:lang w:eastAsia="ja-JP"/>
        </w:rPr>
        <w:lastRenderedPageBreak/>
        <w:t xml:space="preserve">IMAEs have been reported in all studies. The frequency of occurrence in individual studies is difficult to determine as the reported rates are dependent on investigator recognition of the event as immune-mediated </w:t>
      </w:r>
      <w:r w:rsidR="00CF2E2E">
        <w:rPr>
          <w:lang w:eastAsia="ja-JP"/>
        </w:rPr>
        <w:t>for example in Study CA209025:</w:t>
      </w:r>
    </w:p>
    <w:p w14:paraId="718AE517" w14:textId="2F5596DC" w:rsidR="00805855" w:rsidRPr="001D74FE" w:rsidRDefault="00805855" w:rsidP="000E4CDF">
      <w:pPr>
        <w:pStyle w:val="ListBullet"/>
        <w:numPr>
          <w:ilvl w:val="0"/>
          <w:numId w:val="1"/>
        </w:numPr>
        <w:rPr>
          <w:lang w:eastAsia="ja-JP"/>
        </w:rPr>
      </w:pPr>
      <w:r w:rsidRPr="001D74FE">
        <w:rPr>
          <w:lang w:eastAsia="ja-JP"/>
        </w:rPr>
        <w:t xml:space="preserve">Diarrhoea/colitis occurred in 115 (28.3%) subjects in the </w:t>
      </w:r>
      <w:proofErr w:type="spellStart"/>
      <w:r w:rsidRPr="001D74FE">
        <w:rPr>
          <w:lang w:eastAsia="ja-JP"/>
        </w:rPr>
        <w:t>nivolumab</w:t>
      </w:r>
      <w:proofErr w:type="spellEnd"/>
      <w:r w:rsidRPr="001D74FE">
        <w:rPr>
          <w:lang w:eastAsia="ja-JP"/>
        </w:rPr>
        <w:t xml:space="preserve"> group, with this considered to be </w:t>
      </w:r>
      <w:r w:rsidR="006A6E13">
        <w:rPr>
          <w:lang w:eastAsia="ja-JP"/>
        </w:rPr>
        <w:t xml:space="preserve">an </w:t>
      </w:r>
      <w:r w:rsidRPr="001D74FE">
        <w:rPr>
          <w:lang w:eastAsia="ja-JP"/>
        </w:rPr>
        <w:t>IMAE in 13 (3.2%) patients by the investigator</w:t>
      </w:r>
    </w:p>
    <w:p w14:paraId="7883A880" w14:textId="01894B58" w:rsidR="00805855" w:rsidRPr="001D74FE" w:rsidRDefault="00805855" w:rsidP="000E4CDF">
      <w:pPr>
        <w:pStyle w:val="ListBullet"/>
        <w:numPr>
          <w:ilvl w:val="0"/>
          <w:numId w:val="1"/>
        </w:numPr>
        <w:rPr>
          <w:lang w:eastAsia="ja-JP"/>
        </w:rPr>
      </w:pPr>
      <w:r w:rsidRPr="001D74FE">
        <w:rPr>
          <w:lang w:eastAsia="ja-JP"/>
        </w:rPr>
        <w:t xml:space="preserve">Hepatitis occurred in 62 (15.3%) subjects in the </w:t>
      </w:r>
      <w:proofErr w:type="spellStart"/>
      <w:r w:rsidRPr="001D74FE">
        <w:rPr>
          <w:lang w:eastAsia="ja-JP"/>
        </w:rPr>
        <w:t>nivolumab</w:t>
      </w:r>
      <w:proofErr w:type="spellEnd"/>
      <w:r w:rsidRPr="001D74FE">
        <w:rPr>
          <w:lang w:eastAsia="ja-JP"/>
        </w:rPr>
        <w:t xml:space="preserve"> group, with this considered to be IMAE in 6 (1.5%) patients by the investigator</w:t>
      </w:r>
    </w:p>
    <w:p w14:paraId="6DE42E28" w14:textId="51C9BC6E" w:rsidR="00805855" w:rsidRPr="001D74FE" w:rsidRDefault="00805855" w:rsidP="000E4CDF">
      <w:pPr>
        <w:pStyle w:val="ListBullet"/>
        <w:numPr>
          <w:ilvl w:val="0"/>
          <w:numId w:val="1"/>
        </w:numPr>
        <w:rPr>
          <w:lang w:eastAsia="ja-JP"/>
        </w:rPr>
      </w:pPr>
      <w:r w:rsidRPr="001D74FE">
        <w:rPr>
          <w:lang w:eastAsia="ja-JP"/>
        </w:rPr>
        <w:t xml:space="preserve">Pneumonitis occurred in 26 (6.4%) subjects, with this considered to be </w:t>
      </w:r>
      <w:r w:rsidR="006A6E13">
        <w:rPr>
          <w:lang w:eastAsia="ja-JP"/>
        </w:rPr>
        <w:t xml:space="preserve">an </w:t>
      </w:r>
      <w:r w:rsidRPr="001D74FE">
        <w:rPr>
          <w:lang w:eastAsia="ja-JP"/>
        </w:rPr>
        <w:t>IMAE in 18 (4.4%) patients by the investigator.</w:t>
      </w:r>
    </w:p>
    <w:p w14:paraId="65CBB7E1" w14:textId="434EB1F2" w:rsidR="00805855" w:rsidRPr="001D74FE" w:rsidRDefault="00805855" w:rsidP="000E4CDF">
      <w:pPr>
        <w:pStyle w:val="ListBullet"/>
        <w:numPr>
          <w:ilvl w:val="0"/>
          <w:numId w:val="1"/>
        </w:numPr>
        <w:rPr>
          <w:lang w:eastAsia="ja-JP"/>
        </w:rPr>
      </w:pPr>
      <w:r w:rsidRPr="001D74FE">
        <w:rPr>
          <w:lang w:eastAsia="ja-JP"/>
        </w:rPr>
        <w:t>Nephritis and renal dysfunction occurred in 75 (18.5%) subjects, with this consider</w:t>
      </w:r>
      <w:r w:rsidR="006A6E13">
        <w:rPr>
          <w:lang w:eastAsia="ja-JP"/>
        </w:rPr>
        <w:t xml:space="preserve">ed to be an </w:t>
      </w:r>
      <w:r w:rsidRPr="001D74FE">
        <w:rPr>
          <w:lang w:eastAsia="ja-JP"/>
        </w:rPr>
        <w:t>IMAE in 12 patients by the investigator</w:t>
      </w:r>
      <w:r w:rsidR="00CF2E2E">
        <w:rPr>
          <w:lang w:eastAsia="ja-JP"/>
        </w:rPr>
        <w:t>.</w:t>
      </w:r>
    </w:p>
    <w:p w14:paraId="535A1C9C" w14:textId="3513B89D" w:rsidR="00805855" w:rsidRPr="001D74FE" w:rsidRDefault="006A6E13" w:rsidP="00805855">
      <w:pPr>
        <w:rPr>
          <w:lang w:eastAsia="ja-JP"/>
        </w:rPr>
      </w:pPr>
      <w:r>
        <w:rPr>
          <w:lang w:eastAsia="ja-JP"/>
        </w:rPr>
        <w:t>Data regarding select AEs</w:t>
      </w:r>
      <w:r w:rsidR="00805855" w:rsidRPr="001D74FE">
        <w:rPr>
          <w:lang w:eastAsia="ja-JP"/>
        </w:rPr>
        <w:t xml:space="preserve"> from the </w:t>
      </w:r>
      <w:proofErr w:type="spellStart"/>
      <w:r w:rsidR="00805855" w:rsidRPr="001D74FE">
        <w:rPr>
          <w:lang w:eastAsia="ja-JP"/>
        </w:rPr>
        <w:t>registrational</w:t>
      </w:r>
      <w:proofErr w:type="spellEnd"/>
      <w:r w:rsidR="00805855" w:rsidRPr="001D74FE">
        <w:rPr>
          <w:lang w:eastAsia="ja-JP"/>
        </w:rPr>
        <w:t xml:space="preserve"> studies is provided in the proposed PI, wi</w:t>
      </w:r>
      <w:r w:rsidR="00CF2E2E">
        <w:rPr>
          <w:lang w:eastAsia="ja-JP"/>
        </w:rPr>
        <w:t>th frequencies as shown in T</w:t>
      </w:r>
      <w:r w:rsidR="00805855" w:rsidRPr="001D74FE">
        <w:rPr>
          <w:lang w:eastAsia="ja-JP"/>
        </w:rPr>
        <w:t>able</w:t>
      </w:r>
      <w:r w:rsidR="00CF2E2E">
        <w:rPr>
          <w:lang w:eastAsia="ja-JP"/>
        </w:rPr>
        <w:t xml:space="preserve"> 7,</w:t>
      </w:r>
      <w:r w:rsidR="00805855" w:rsidRPr="001D74FE">
        <w:rPr>
          <w:lang w:eastAsia="ja-JP"/>
        </w:rPr>
        <w:t xml:space="preserve"> below.</w:t>
      </w:r>
    </w:p>
    <w:p w14:paraId="43087FC3" w14:textId="2AFBD202" w:rsidR="00805855" w:rsidRPr="001D74FE" w:rsidRDefault="00805855" w:rsidP="00805855">
      <w:pPr>
        <w:pStyle w:val="Tabletitle0"/>
        <w:rPr>
          <w:lang w:eastAsia="ja-JP"/>
        </w:rPr>
      </w:pPr>
      <w:bookmarkStart w:id="90" w:name="_Toc457473728"/>
      <w:proofErr w:type="gramStart"/>
      <w:r w:rsidRPr="001D74FE">
        <w:rPr>
          <w:lang w:eastAsia="ja-JP"/>
        </w:rPr>
        <w:t xml:space="preserve">Table </w:t>
      </w:r>
      <w:r w:rsidR="00CF2E2E">
        <w:rPr>
          <w:lang w:eastAsia="ja-JP"/>
        </w:rPr>
        <w:t>7</w:t>
      </w:r>
      <w:r>
        <w:rPr>
          <w:lang w:eastAsia="ja-JP"/>
        </w:rPr>
        <w:t>.</w:t>
      </w:r>
      <w:proofErr w:type="gramEnd"/>
      <w:r>
        <w:rPr>
          <w:lang w:eastAsia="ja-JP"/>
        </w:rPr>
        <w:t xml:space="preserve"> Overview of IMAE</w:t>
      </w:r>
      <w:r w:rsidR="006A6E13">
        <w:rPr>
          <w:lang w:eastAsia="ja-JP"/>
        </w:rPr>
        <w:t>s</w:t>
      </w:r>
      <w:r>
        <w:rPr>
          <w:lang w:eastAsia="ja-JP"/>
        </w:rPr>
        <w:t xml:space="preserve"> in the </w:t>
      </w:r>
      <w:proofErr w:type="spellStart"/>
      <w:r>
        <w:rPr>
          <w:lang w:eastAsia="ja-JP"/>
        </w:rPr>
        <w:t>registrational</w:t>
      </w:r>
      <w:proofErr w:type="spellEnd"/>
      <w:r>
        <w:rPr>
          <w:lang w:eastAsia="ja-JP"/>
        </w:rPr>
        <w:t xml:space="preserve"> s</w:t>
      </w:r>
      <w:r w:rsidRPr="001D74FE">
        <w:rPr>
          <w:lang w:eastAsia="ja-JP"/>
        </w:rPr>
        <w:t xml:space="preserve">tudies (Patient number </w:t>
      </w:r>
      <w:r>
        <w:rPr>
          <w:lang w:eastAsia="ja-JP"/>
        </w:rPr>
        <w:t xml:space="preserve">= </w:t>
      </w:r>
      <w:r w:rsidRPr="001D74FE">
        <w:rPr>
          <w:lang w:eastAsia="ja-JP"/>
        </w:rPr>
        <w:t>1728)</w:t>
      </w:r>
      <w:bookmarkEnd w:id="90"/>
    </w:p>
    <w:tbl>
      <w:tblPr>
        <w:tblStyle w:val="TableTGAblue"/>
        <w:tblW w:w="0" w:type="auto"/>
        <w:tblLook w:val="04A0" w:firstRow="1" w:lastRow="0" w:firstColumn="1" w:lastColumn="0" w:noHBand="0" w:noVBand="1"/>
      </w:tblPr>
      <w:tblGrid>
        <w:gridCol w:w="2536"/>
        <w:gridCol w:w="1537"/>
        <w:gridCol w:w="2486"/>
        <w:gridCol w:w="2161"/>
      </w:tblGrid>
      <w:tr w:rsidR="00805855" w:rsidRPr="008A78BF" w14:paraId="561323C0" w14:textId="77777777" w:rsidTr="006A6E13">
        <w:trPr>
          <w:cnfStyle w:val="100000000000" w:firstRow="1" w:lastRow="0" w:firstColumn="0" w:lastColumn="0" w:oddVBand="0" w:evenVBand="0" w:oddHBand="0" w:evenHBand="0" w:firstRowFirstColumn="0" w:firstRowLastColumn="0" w:lastRowFirstColumn="0" w:lastRowLastColumn="0"/>
          <w:cantSplit/>
        </w:trPr>
        <w:tc>
          <w:tcPr>
            <w:tcW w:w="2808" w:type="dxa"/>
          </w:tcPr>
          <w:p w14:paraId="381A35AE" w14:textId="77777777" w:rsidR="00805855" w:rsidRPr="008A78BF" w:rsidRDefault="00805855" w:rsidP="008A78BF">
            <w:pPr>
              <w:rPr>
                <w:sz w:val="20"/>
                <w:szCs w:val="20"/>
                <w:lang w:eastAsia="ja-JP"/>
              </w:rPr>
            </w:pPr>
            <w:r w:rsidRPr="008A78BF">
              <w:rPr>
                <w:sz w:val="20"/>
                <w:szCs w:val="20"/>
                <w:lang w:eastAsia="ja-JP"/>
              </w:rPr>
              <w:t>IMAE category</w:t>
            </w:r>
          </w:p>
        </w:tc>
        <w:tc>
          <w:tcPr>
            <w:tcW w:w="1587" w:type="dxa"/>
          </w:tcPr>
          <w:p w14:paraId="608A25E2" w14:textId="77777777" w:rsidR="00805855" w:rsidRPr="008A78BF" w:rsidRDefault="00805855" w:rsidP="008A78BF">
            <w:pPr>
              <w:rPr>
                <w:sz w:val="20"/>
                <w:szCs w:val="20"/>
                <w:lang w:eastAsia="ja-JP"/>
              </w:rPr>
            </w:pPr>
            <w:r w:rsidRPr="008A78BF">
              <w:rPr>
                <w:sz w:val="20"/>
                <w:szCs w:val="20"/>
                <w:lang w:eastAsia="ja-JP"/>
              </w:rPr>
              <w:t>Number (%) reported</w:t>
            </w:r>
          </w:p>
        </w:tc>
        <w:tc>
          <w:tcPr>
            <w:tcW w:w="2494" w:type="dxa"/>
          </w:tcPr>
          <w:p w14:paraId="2EDC287E" w14:textId="77777777" w:rsidR="00805855" w:rsidRPr="008A78BF" w:rsidRDefault="00805855" w:rsidP="008A78BF">
            <w:pPr>
              <w:rPr>
                <w:sz w:val="20"/>
                <w:szCs w:val="20"/>
                <w:lang w:eastAsia="ja-JP"/>
              </w:rPr>
            </w:pPr>
            <w:r w:rsidRPr="008A78BF">
              <w:rPr>
                <w:sz w:val="20"/>
                <w:szCs w:val="20"/>
                <w:lang w:eastAsia="ja-JP"/>
              </w:rPr>
              <w:t>Number treated with systemic immunosuppression</w:t>
            </w:r>
          </w:p>
        </w:tc>
        <w:tc>
          <w:tcPr>
            <w:tcW w:w="2268" w:type="dxa"/>
          </w:tcPr>
          <w:p w14:paraId="4F0A37FF" w14:textId="77777777" w:rsidR="00805855" w:rsidRPr="008A78BF" w:rsidRDefault="00805855" w:rsidP="008A78BF">
            <w:pPr>
              <w:rPr>
                <w:sz w:val="20"/>
                <w:szCs w:val="20"/>
                <w:lang w:eastAsia="ja-JP"/>
              </w:rPr>
            </w:pPr>
            <w:r w:rsidRPr="008A78BF">
              <w:rPr>
                <w:sz w:val="20"/>
                <w:szCs w:val="20"/>
                <w:lang w:eastAsia="ja-JP"/>
              </w:rPr>
              <w:t xml:space="preserve">Number discontinuing </w:t>
            </w:r>
            <w:proofErr w:type="spellStart"/>
            <w:r w:rsidRPr="008A78BF">
              <w:rPr>
                <w:sz w:val="20"/>
                <w:szCs w:val="20"/>
                <w:lang w:eastAsia="ja-JP"/>
              </w:rPr>
              <w:t>nivolumab</w:t>
            </w:r>
            <w:proofErr w:type="spellEnd"/>
            <w:r w:rsidRPr="008A78BF">
              <w:rPr>
                <w:sz w:val="20"/>
                <w:szCs w:val="20"/>
                <w:lang w:eastAsia="ja-JP"/>
              </w:rPr>
              <w:t xml:space="preserve"> due to IMAE</w:t>
            </w:r>
          </w:p>
        </w:tc>
      </w:tr>
      <w:tr w:rsidR="00805855" w:rsidRPr="008A78BF" w14:paraId="71C3DAA2" w14:textId="77777777" w:rsidTr="00BE7824">
        <w:tc>
          <w:tcPr>
            <w:tcW w:w="2808" w:type="dxa"/>
          </w:tcPr>
          <w:p w14:paraId="374F6F17" w14:textId="77777777" w:rsidR="00805855" w:rsidRPr="008A78BF" w:rsidRDefault="00805855" w:rsidP="008A78BF">
            <w:pPr>
              <w:rPr>
                <w:sz w:val="20"/>
                <w:szCs w:val="20"/>
                <w:lang w:eastAsia="ja-JP"/>
              </w:rPr>
            </w:pPr>
            <w:r w:rsidRPr="008A78BF">
              <w:rPr>
                <w:sz w:val="20"/>
                <w:szCs w:val="20"/>
                <w:lang w:eastAsia="ja-JP"/>
              </w:rPr>
              <w:t>Pneumonitis</w:t>
            </w:r>
          </w:p>
        </w:tc>
        <w:tc>
          <w:tcPr>
            <w:tcW w:w="1587" w:type="dxa"/>
          </w:tcPr>
          <w:p w14:paraId="7D65A63C" w14:textId="77777777" w:rsidR="00805855" w:rsidRPr="008A78BF" w:rsidRDefault="00805855" w:rsidP="008A78BF">
            <w:pPr>
              <w:rPr>
                <w:sz w:val="20"/>
                <w:szCs w:val="20"/>
                <w:lang w:eastAsia="ja-JP"/>
              </w:rPr>
            </w:pPr>
            <w:r w:rsidRPr="008A78BF">
              <w:rPr>
                <w:sz w:val="20"/>
                <w:szCs w:val="20"/>
                <w:lang w:eastAsia="ja-JP"/>
              </w:rPr>
              <w:t>56 (3.2)</w:t>
            </w:r>
          </w:p>
        </w:tc>
        <w:tc>
          <w:tcPr>
            <w:tcW w:w="2494" w:type="dxa"/>
          </w:tcPr>
          <w:p w14:paraId="3FA746AE" w14:textId="77777777" w:rsidR="00805855" w:rsidRPr="008A78BF" w:rsidRDefault="00805855" w:rsidP="008A78BF">
            <w:pPr>
              <w:rPr>
                <w:sz w:val="20"/>
                <w:szCs w:val="20"/>
                <w:lang w:eastAsia="ja-JP"/>
              </w:rPr>
            </w:pPr>
            <w:r w:rsidRPr="008A78BF">
              <w:rPr>
                <w:sz w:val="20"/>
                <w:szCs w:val="20"/>
                <w:lang w:eastAsia="ja-JP"/>
              </w:rPr>
              <w:t>41</w:t>
            </w:r>
          </w:p>
        </w:tc>
        <w:tc>
          <w:tcPr>
            <w:tcW w:w="2268" w:type="dxa"/>
          </w:tcPr>
          <w:p w14:paraId="0F4F56DB" w14:textId="77777777" w:rsidR="00805855" w:rsidRPr="008A78BF" w:rsidRDefault="00805855" w:rsidP="008A78BF">
            <w:pPr>
              <w:rPr>
                <w:sz w:val="20"/>
                <w:szCs w:val="20"/>
                <w:lang w:eastAsia="ja-JP"/>
              </w:rPr>
            </w:pPr>
            <w:r w:rsidRPr="008A78BF">
              <w:rPr>
                <w:sz w:val="20"/>
                <w:szCs w:val="20"/>
                <w:lang w:eastAsia="ja-JP"/>
              </w:rPr>
              <w:t>14</w:t>
            </w:r>
          </w:p>
        </w:tc>
      </w:tr>
      <w:tr w:rsidR="00805855" w:rsidRPr="008A78BF" w14:paraId="66CA0041" w14:textId="77777777" w:rsidTr="00BE7824">
        <w:tc>
          <w:tcPr>
            <w:tcW w:w="2808" w:type="dxa"/>
          </w:tcPr>
          <w:p w14:paraId="01A77935" w14:textId="77777777" w:rsidR="00805855" w:rsidRPr="008A78BF" w:rsidRDefault="00805855" w:rsidP="008A78BF">
            <w:pPr>
              <w:rPr>
                <w:sz w:val="20"/>
                <w:szCs w:val="20"/>
                <w:lang w:eastAsia="ja-JP"/>
              </w:rPr>
            </w:pPr>
            <w:r w:rsidRPr="008A78BF">
              <w:rPr>
                <w:sz w:val="20"/>
                <w:szCs w:val="20"/>
                <w:lang w:eastAsia="ja-JP"/>
              </w:rPr>
              <w:t>Colitis</w:t>
            </w:r>
          </w:p>
        </w:tc>
        <w:tc>
          <w:tcPr>
            <w:tcW w:w="1587" w:type="dxa"/>
          </w:tcPr>
          <w:p w14:paraId="10E19F94" w14:textId="77777777" w:rsidR="00805855" w:rsidRPr="008A78BF" w:rsidRDefault="00805855" w:rsidP="008A78BF">
            <w:pPr>
              <w:rPr>
                <w:sz w:val="20"/>
                <w:szCs w:val="20"/>
                <w:lang w:eastAsia="ja-JP"/>
              </w:rPr>
            </w:pPr>
            <w:r w:rsidRPr="008A78BF">
              <w:rPr>
                <w:sz w:val="20"/>
                <w:szCs w:val="20"/>
                <w:lang w:eastAsia="ja-JP"/>
              </w:rPr>
              <w:t>235 (13.6)</w:t>
            </w:r>
          </w:p>
        </w:tc>
        <w:tc>
          <w:tcPr>
            <w:tcW w:w="2494" w:type="dxa"/>
          </w:tcPr>
          <w:p w14:paraId="3AB3A285" w14:textId="77777777" w:rsidR="00805855" w:rsidRPr="008A78BF" w:rsidRDefault="00805855" w:rsidP="008A78BF">
            <w:pPr>
              <w:rPr>
                <w:sz w:val="20"/>
                <w:szCs w:val="20"/>
                <w:lang w:eastAsia="ja-JP"/>
              </w:rPr>
            </w:pPr>
            <w:r w:rsidRPr="008A78BF">
              <w:rPr>
                <w:sz w:val="20"/>
                <w:szCs w:val="20"/>
                <w:lang w:eastAsia="ja-JP"/>
              </w:rPr>
              <w:t>34</w:t>
            </w:r>
          </w:p>
        </w:tc>
        <w:tc>
          <w:tcPr>
            <w:tcW w:w="2268" w:type="dxa"/>
          </w:tcPr>
          <w:p w14:paraId="186E9EAD" w14:textId="77777777" w:rsidR="00805855" w:rsidRPr="008A78BF" w:rsidRDefault="00805855" w:rsidP="008A78BF">
            <w:pPr>
              <w:rPr>
                <w:sz w:val="20"/>
                <w:szCs w:val="20"/>
                <w:lang w:eastAsia="ja-JP"/>
              </w:rPr>
            </w:pPr>
            <w:r w:rsidRPr="008A78BF">
              <w:rPr>
                <w:sz w:val="20"/>
                <w:szCs w:val="20"/>
                <w:lang w:eastAsia="ja-JP"/>
              </w:rPr>
              <w:t>12</w:t>
            </w:r>
          </w:p>
        </w:tc>
      </w:tr>
      <w:tr w:rsidR="00805855" w:rsidRPr="008A78BF" w14:paraId="5A17986C" w14:textId="77777777" w:rsidTr="00BE7824">
        <w:tc>
          <w:tcPr>
            <w:tcW w:w="2808" w:type="dxa"/>
          </w:tcPr>
          <w:p w14:paraId="6E789A4C" w14:textId="77777777" w:rsidR="00805855" w:rsidRPr="008A78BF" w:rsidRDefault="00805855" w:rsidP="008A78BF">
            <w:pPr>
              <w:rPr>
                <w:sz w:val="20"/>
                <w:szCs w:val="20"/>
                <w:lang w:eastAsia="ja-JP"/>
              </w:rPr>
            </w:pPr>
            <w:r w:rsidRPr="008A78BF">
              <w:rPr>
                <w:sz w:val="20"/>
                <w:szCs w:val="20"/>
                <w:lang w:eastAsia="ja-JP"/>
              </w:rPr>
              <w:t>Hepatitis</w:t>
            </w:r>
          </w:p>
        </w:tc>
        <w:tc>
          <w:tcPr>
            <w:tcW w:w="1587" w:type="dxa"/>
          </w:tcPr>
          <w:p w14:paraId="23C449E6" w14:textId="77777777" w:rsidR="00805855" w:rsidRPr="008A78BF" w:rsidRDefault="00805855" w:rsidP="008A78BF">
            <w:pPr>
              <w:rPr>
                <w:sz w:val="20"/>
                <w:szCs w:val="20"/>
                <w:lang w:eastAsia="ja-JP"/>
              </w:rPr>
            </w:pPr>
            <w:r w:rsidRPr="008A78BF">
              <w:rPr>
                <w:sz w:val="20"/>
                <w:szCs w:val="20"/>
                <w:lang w:eastAsia="ja-JP"/>
              </w:rPr>
              <w:t>121 (7)</w:t>
            </w:r>
          </w:p>
        </w:tc>
        <w:tc>
          <w:tcPr>
            <w:tcW w:w="2494" w:type="dxa"/>
          </w:tcPr>
          <w:p w14:paraId="3C53D2CC" w14:textId="77777777" w:rsidR="00805855" w:rsidRPr="008A78BF" w:rsidRDefault="00805855" w:rsidP="008A78BF">
            <w:pPr>
              <w:rPr>
                <w:sz w:val="20"/>
                <w:szCs w:val="20"/>
                <w:lang w:eastAsia="ja-JP"/>
              </w:rPr>
            </w:pPr>
            <w:r w:rsidRPr="008A78BF">
              <w:rPr>
                <w:sz w:val="20"/>
                <w:szCs w:val="20"/>
                <w:lang w:eastAsia="ja-JP"/>
              </w:rPr>
              <w:t>19</w:t>
            </w:r>
          </w:p>
        </w:tc>
        <w:tc>
          <w:tcPr>
            <w:tcW w:w="2268" w:type="dxa"/>
          </w:tcPr>
          <w:p w14:paraId="76CAB891" w14:textId="77777777" w:rsidR="00805855" w:rsidRPr="008A78BF" w:rsidRDefault="00805855" w:rsidP="008A78BF">
            <w:pPr>
              <w:rPr>
                <w:sz w:val="20"/>
                <w:szCs w:val="20"/>
                <w:lang w:eastAsia="ja-JP"/>
              </w:rPr>
            </w:pPr>
            <w:r w:rsidRPr="008A78BF">
              <w:rPr>
                <w:sz w:val="20"/>
                <w:szCs w:val="20"/>
                <w:lang w:eastAsia="ja-JP"/>
              </w:rPr>
              <w:t>15</w:t>
            </w:r>
          </w:p>
        </w:tc>
      </w:tr>
      <w:tr w:rsidR="00805855" w:rsidRPr="008A78BF" w14:paraId="7F2A59C0" w14:textId="77777777" w:rsidTr="00BE7824">
        <w:tc>
          <w:tcPr>
            <w:tcW w:w="2808" w:type="dxa"/>
          </w:tcPr>
          <w:p w14:paraId="563F49EA" w14:textId="77777777" w:rsidR="00805855" w:rsidRPr="008A78BF" w:rsidRDefault="00805855" w:rsidP="008A78BF">
            <w:pPr>
              <w:rPr>
                <w:sz w:val="20"/>
                <w:szCs w:val="20"/>
                <w:lang w:eastAsia="ja-JP"/>
              </w:rPr>
            </w:pPr>
            <w:r w:rsidRPr="008A78BF">
              <w:rPr>
                <w:sz w:val="20"/>
                <w:szCs w:val="20"/>
                <w:lang w:eastAsia="ja-JP"/>
              </w:rPr>
              <w:t>Nephritis</w:t>
            </w:r>
          </w:p>
        </w:tc>
        <w:tc>
          <w:tcPr>
            <w:tcW w:w="1587" w:type="dxa"/>
          </w:tcPr>
          <w:p w14:paraId="55037850" w14:textId="77777777" w:rsidR="00805855" w:rsidRPr="008A78BF" w:rsidRDefault="00805855" w:rsidP="008A78BF">
            <w:pPr>
              <w:rPr>
                <w:sz w:val="20"/>
                <w:szCs w:val="20"/>
                <w:lang w:eastAsia="ja-JP"/>
              </w:rPr>
            </w:pPr>
            <w:r w:rsidRPr="008A78BF">
              <w:rPr>
                <w:sz w:val="20"/>
                <w:szCs w:val="20"/>
                <w:lang w:eastAsia="ja-JP"/>
              </w:rPr>
              <w:t>55 (3.2)</w:t>
            </w:r>
          </w:p>
        </w:tc>
        <w:tc>
          <w:tcPr>
            <w:tcW w:w="2494" w:type="dxa"/>
          </w:tcPr>
          <w:p w14:paraId="012B7AE5" w14:textId="77777777" w:rsidR="00805855" w:rsidRPr="008A78BF" w:rsidRDefault="00805855" w:rsidP="008A78BF">
            <w:pPr>
              <w:rPr>
                <w:sz w:val="20"/>
                <w:szCs w:val="20"/>
                <w:lang w:eastAsia="ja-JP"/>
              </w:rPr>
            </w:pPr>
            <w:r w:rsidRPr="008A78BF">
              <w:rPr>
                <w:sz w:val="20"/>
                <w:szCs w:val="20"/>
                <w:lang w:eastAsia="ja-JP"/>
              </w:rPr>
              <w:t>15</w:t>
            </w:r>
          </w:p>
        </w:tc>
        <w:tc>
          <w:tcPr>
            <w:tcW w:w="2268" w:type="dxa"/>
          </w:tcPr>
          <w:p w14:paraId="7C1650E5" w14:textId="77777777" w:rsidR="00805855" w:rsidRPr="008A78BF" w:rsidRDefault="00805855" w:rsidP="008A78BF">
            <w:pPr>
              <w:rPr>
                <w:sz w:val="20"/>
                <w:szCs w:val="20"/>
                <w:lang w:eastAsia="ja-JP"/>
              </w:rPr>
            </w:pPr>
            <w:r w:rsidRPr="008A78BF">
              <w:rPr>
                <w:sz w:val="20"/>
                <w:szCs w:val="20"/>
                <w:lang w:eastAsia="ja-JP"/>
              </w:rPr>
              <w:t>2</w:t>
            </w:r>
          </w:p>
        </w:tc>
      </w:tr>
      <w:tr w:rsidR="00805855" w:rsidRPr="008A78BF" w14:paraId="3CB45973" w14:textId="77777777" w:rsidTr="00BE7824">
        <w:tc>
          <w:tcPr>
            <w:tcW w:w="2808" w:type="dxa"/>
          </w:tcPr>
          <w:p w14:paraId="16C20A2C" w14:textId="77777777" w:rsidR="00805855" w:rsidRPr="008A78BF" w:rsidRDefault="00805855" w:rsidP="008A78BF">
            <w:pPr>
              <w:rPr>
                <w:sz w:val="20"/>
                <w:szCs w:val="20"/>
                <w:lang w:eastAsia="ja-JP"/>
              </w:rPr>
            </w:pPr>
            <w:r w:rsidRPr="008A78BF">
              <w:rPr>
                <w:sz w:val="20"/>
                <w:szCs w:val="20"/>
                <w:lang w:eastAsia="ja-JP"/>
              </w:rPr>
              <w:t>Skin reaction</w:t>
            </w:r>
          </w:p>
        </w:tc>
        <w:tc>
          <w:tcPr>
            <w:tcW w:w="1587" w:type="dxa"/>
          </w:tcPr>
          <w:p w14:paraId="2D0CF15C" w14:textId="77777777" w:rsidR="00805855" w:rsidRPr="008A78BF" w:rsidRDefault="00805855" w:rsidP="008A78BF">
            <w:pPr>
              <w:rPr>
                <w:sz w:val="20"/>
                <w:szCs w:val="20"/>
                <w:lang w:eastAsia="ja-JP"/>
              </w:rPr>
            </w:pPr>
            <w:r w:rsidRPr="008A78BF">
              <w:rPr>
                <w:sz w:val="20"/>
                <w:szCs w:val="20"/>
                <w:lang w:eastAsia="ja-JP"/>
              </w:rPr>
              <w:t>484 (28.0)</w:t>
            </w:r>
          </w:p>
        </w:tc>
        <w:tc>
          <w:tcPr>
            <w:tcW w:w="2494" w:type="dxa"/>
          </w:tcPr>
          <w:p w14:paraId="649412D0" w14:textId="77777777" w:rsidR="00805855" w:rsidRPr="008A78BF" w:rsidRDefault="00805855" w:rsidP="008A78BF">
            <w:pPr>
              <w:rPr>
                <w:sz w:val="20"/>
                <w:szCs w:val="20"/>
                <w:lang w:eastAsia="ja-JP"/>
              </w:rPr>
            </w:pPr>
            <w:r w:rsidRPr="008A78BF">
              <w:rPr>
                <w:sz w:val="20"/>
                <w:szCs w:val="20"/>
                <w:lang w:eastAsia="ja-JP"/>
              </w:rPr>
              <w:t>18</w:t>
            </w:r>
          </w:p>
        </w:tc>
        <w:tc>
          <w:tcPr>
            <w:tcW w:w="2268" w:type="dxa"/>
          </w:tcPr>
          <w:p w14:paraId="1FA29ED7" w14:textId="77777777" w:rsidR="00805855" w:rsidRPr="008A78BF" w:rsidRDefault="00805855" w:rsidP="008A78BF">
            <w:pPr>
              <w:rPr>
                <w:sz w:val="20"/>
                <w:szCs w:val="20"/>
                <w:lang w:eastAsia="ja-JP"/>
              </w:rPr>
            </w:pPr>
            <w:r w:rsidRPr="008A78BF">
              <w:rPr>
                <w:sz w:val="20"/>
                <w:szCs w:val="20"/>
                <w:lang w:eastAsia="ja-JP"/>
              </w:rPr>
              <w:t>3</w:t>
            </w:r>
          </w:p>
        </w:tc>
      </w:tr>
      <w:tr w:rsidR="00805855" w:rsidRPr="008A78BF" w14:paraId="52F92D0D" w14:textId="77777777" w:rsidTr="00BE7824">
        <w:tc>
          <w:tcPr>
            <w:tcW w:w="2808" w:type="dxa"/>
          </w:tcPr>
          <w:p w14:paraId="6DD86538" w14:textId="77777777" w:rsidR="00805855" w:rsidRPr="008A78BF" w:rsidRDefault="00805855" w:rsidP="008A78BF">
            <w:pPr>
              <w:rPr>
                <w:sz w:val="20"/>
                <w:szCs w:val="20"/>
                <w:lang w:eastAsia="ja-JP"/>
              </w:rPr>
            </w:pPr>
            <w:r w:rsidRPr="008A78BF">
              <w:rPr>
                <w:sz w:val="20"/>
                <w:szCs w:val="20"/>
                <w:lang w:eastAsia="ja-JP"/>
              </w:rPr>
              <w:t>Thyroid dysfunction</w:t>
            </w:r>
          </w:p>
        </w:tc>
        <w:tc>
          <w:tcPr>
            <w:tcW w:w="1587" w:type="dxa"/>
          </w:tcPr>
          <w:p w14:paraId="21B00A62" w14:textId="77777777" w:rsidR="00805855" w:rsidRPr="008A78BF" w:rsidRDefault="00805855" w:rsidP="008A78BF">
            <w:pPr>
              <w:rPr>
                <w:sz w:val="20"/>
                <w:szCs w:val="20"/>
                <w:lang w:eastAsia="ja-JP"/>
              </w:rPr>
            </w:pPr>
            <w:r w:rsidRPr="008A78BF">
              <w:rPr>
                <w:sz w:val="20"/>
                <w:szCs w:val="20"/>
                <w:lang w:eastAsia="ja-JP"/>
              </w:rPr>
              <w:t>149 (8.6)</w:t>
            </w:r>
          </w:p>
        </w:tc>
        <w:tc>
          <w:tcPr>
            <w:tcW w:w="2494" w:type="dxa"/>
          </w:tcPr>
          <w:p w14:paraId="798B20F3" w14:textId="77777777" w:rsidR="00805855" w:rsidRPr="008A78BF" w:rsidRDefault="00805855" w:rsidP="008A78BF">
            <w:pPr>
              <w:rPr>
                <w:sz w:val="20"/>
                <w:szCs w:val="20"/>
                <w:lang w:eastAsia="ja-JP"/>
              </w:rPr>
            </w:pPr>
            <w:r w:rsidRPr="008A78BF">
              <w:rPr>
                <w:sz w:val="20"/>
                <w:szCs w:val="20"/>
                <w:lang w:eastAsia="ja-JP"/>
              </w:rPr>
              <w:t>?</w:t>
            </w:r>
          </w:p>
        </w:tc>
        <w:tc>
          <w:tcPr>
            <w:tcW w:w="2268" w:type="dxa"/>
          </w:tcPr>
          <w:p w14:paraId="697BF1D3" w14:textId="77777777" w:rsidR="00805855" w:rsidRPr="008A78BF" w:rsidRDefault="00805855" w:rsidP="008A78BF">
            <w:pPr>
              <w:rPr>
                <w:sz w:val="20"/>
                <w:szCs w:val="20"/>
                <w:lang w:eastAsia="ja-JP"/>
              </w:rPr>
            </w:pPr>
            <w:r w:rsidRPr="008A78BF">
              <w:rPr>
                <w:sz w:val="20"/>
                <w:szCs w:val="20"/>
                <w:lang w:eastAsia="ja-JP"/>
              </w:rPr>
              <w:t>?</w:t>
            </w:r>
          </w:p>
        </w:tc>
      </w:tr>
      <w:tr w:rsidR="00805855" w:rsidRPr="008A78BF" w14:paraId="1A7C9142" w14:textId="77777777" w:rsidTr="00BE7824">
        <w:tc>
          <w:tcPr>
            <w:tcW w:w="2808" w:type="dxa"/>
          </w:tcPr>
          <w:p w14:paraId="3C424029" w14:textId="77777777" w:rsidR="00805855" w:rsidRPr="008A78BF" w:rsidRDefault="00805855" w:rsidP="008A78BF">
            <w:pPr>
              <w:rPr>
                <w:sz w:val="20"/>
                <w:szCs w:val="20"/>
                <w:lang w:eastAsia="ja-JP"/>
              </w:rPr>
            </w:pPr>
            <w:proofErr w:type="spellStart"/>
            <w:r w:rsidRPr="008A78BF">
              <w:rPr>
                <w:sz w:val="20"/>
                <w:szCs w:val="20"/>
                <w:lang w:eastAsia="ja-JP"/>
              </w:rPr>
              <w:t>Hypophysitis</w:t>
            </w:r>
            <w:proofErr w:type="spellEnd"/>
          </w:p>
        </w:tc>
        <w:tc>
          <w:tcPr>
            <w:tcW w:w="1587" w:type="dxa"/>
          </w:tcPr>
          <w:p w14:paraId="54A44913" w14:textId="77777777" w:rsidR="00805855" w:rsidRPr="008A78BF" w:rsidRDefault="00805855" w:rsidP="008A78BF">
            <w:pPr>
              <w:rPr>
                <w:sz w:val="20"/>
                <w:szCs w:val="20"/>
                <w:lang w:eastAsia="ja-JP"/>
              </w:rPr>
            </w:pPr>
            <w:r w:rsidRPr="008A78BF">
              <w:rPr>
                <w:sz w:val="20"/>
                <w:szCs w:val="20"/>
                <w:lang w:eastAsia="ja-JP"/>
              </w:rPr>
              <w:t>4 (0.23)</w:t>
            </w:r>
          </w:p>
        </w:tc>
        <w:tc>
          <w:tcPr>
            <w:tcW w:w="2494" w:type="dxa"/>
          </w:tcPr>
          <w:p w14:paraId="3D94321F" w14:textId="77777777" w:rsidR="00805855" w:rsidRPr="008A78BF" w:rsidRDefault="00805855" w:rsidP="008A78BF">
            <w:pPr>
              <w:rPr>
                <w:sz w:val="20"/>
                <w:szCs w:val="20"/>
                <w:lang w:eastAsia="ja-JP"/>
              </w:rPr>
            </w:pPr>
            <w:r w:rsidRPr="008A78BF">
              <w:rPr>
                <w:sz w:val="20"/>
                <w:szCs w:val="20"/>
                <w:lang w:eastAsia="ja-JP"/>
              </w:rPr>
              <w:t>?</w:t>
            </w:r>
          </w:p>
        </w:tc>
        <w:tc>
          <w:tcPr>
            <w:tcW w:w="2268" w:type="dxa"/>
          </w:tcPr>
          <w:p w14:paraId="7953AF64" w14:textId="77777777" w:rsidR="00805855" w:rsidRPr="008A78BF" w:rsidRDefault="00805855" w:rsidP="008A78BF">
            <w:pPr>
              <w:rPr>
                <w:sz w:val="20"/>
                <w:szCs w:val="20"/>
                <w:lang w:eastAsia="ja-JP"/>
              </w:rPr>
            </w:pPr>
            <w:r w:rsidRPr="008A78BF">
              <w:rPr>
                <w:sz w:val="20"/>
                <w:szCs w:val="20"/>
                <w:lang w:eastAsia="ja-JP"/>
              </w:rPr>
              <w:t>?</w:t>
            </w:r>
          </w:p>
        </w:tc>
      </w:tr>
      <w:tr w:rsidR="00805855" w:rsidRPr="008A78BF" w14:paraId="00F66781" w14:textId="77777777" w:rsidTr="00BE7824">
        <w:tc>
          <w:tcPr>
            <w:tcW w:w="2808" w:type="dxa"/>
          </w:tcPr>
          <w:p w14:paraId="37DD4341" w14:textId="77777777" w:rsidR="00805855" w:rsidRPr="008A78BF" w:rsidRDefault="00805855" w:rsidP="008A78BF">
            <w:pPr>
              <w:rPr>
                <w:sz w:val="20"/>
                <w:szCs w:val="20"/>
                <w:lang w:eastAsia="ja-JP"/>
              </w:rPr>
            </w:pPr>
            <w:r w:rsidRPr="008A78BF">
              <w:rPr>
                <w:sz w:val="20"/>
                <w:szCs w:val="20"/>
                <w:lang w:eastAsia="ja-JP"/>
              </w:rPr>
              <w:t>Adrenal insufficiency</w:t>
            </w:r>
          </w:p>
        </w:tc>
        <w:tc>
          <w:tcPr>
            <w:tcW w:w="1587" w:type="dxa"/>
          </w:tcPr>
          <w:p w14:paraId="3E69E9E2" w14:textId="77777777" w:rsidR="00805855" w:rsidRPr="008A78BF" w:rsidRDefault="00805855" w:rsidP="008A78BF">
            <w:pPr>
              <w:rPr>
                <w:sz w:val="20"/>
                <w:szCs w:val="20"/>
                <w:lang w:eastAsia="ja-JP"/>
              </w:rPr>
            </w:pPr>
            <w:r w:rsidRPr="008A78BF">
              <w:rPr>
                <w:sz w:val="20"/>
                <w:szCs w:val="20"/>
                <w:lang w:eastAsia="ja-JP"/>
              </w:rPr>
              <w:t>10 (0.58)</w:t>
            </w:r>
          </w:p>
        </w:tc>
        <w:tc>
          <w:tcPr>
            <w:tcW w:w="2494" w:type="dxa"/>
          </w:tcPr>
          <w:p w14:paraId="003E51B5" w14:textId="77777777" w:rsidR="00805855" w:rsidRPr="008A78BF" w:rsidRDefault="00805855" w:rsidP="008A78BF">
            <w:pPr>
              <w:rPr>
                <w:sz w:val="20"/>
                <w:szCs w:val="20"/>
                <w:lang w:eastAsia="ja-JP"/>
              </w:rPr>
            </w:pPr>
            <w:r w:rsidRPr="008A78BF">
              <w:rPr>
                <w:sz w:val="20"/>
                <w:szCs w:val="20"/>
                <w:lang w:eastAsia="ja-JP"/>
              </w:rPr>
              <w:t>?</w:t>
            </w:r>
          </w:p>
        </w:tc>
        <w:tc>
          <w:tcPr>
            <w:tcW w:w="2268" w:type="dxa"/>
          </w:tcPr>
          <w:p w14:paraId="71D12E9E" w14:textId="77777777" w:rsidR="00805855" w:rsidRPr="008A78BF" w:rsidRDefault="00805855" w:rsidP="008A78BF">
            <w:pPr>
              <w:rPr>
                <w:sz w:val="20"/>
                <w:szCs w:val="20"/>
                <w:lang w:eastAsia="ja-JP"/>
              </w:rPr>
            </w:pPr>
            <w:r w:rsidRPr="008A78BF">
              <w:rPr>
                <w:sz w:val="20"/>
                <w:szCs w:val="20"/>
                <w:lang w:eastAsia="ja-JP"/>
              </w:rPr>
              <w:t>?</w:t>
            </w:r>
          </w:p>
        </w:tc>
      </w:tr>
      <w:tr w:rsidR="00805855" w:rsidRPr="008A78BF" w14:paraId="52892614" w14:textId="77777777" w:rsidTr="00BE7824">
        <w:tc>
          <w:tcPr>
            <w:tcW w:w="2808" w:type="dxa"/>
          </w:tcPr>
          <w:p w14:paraId="07ED645B" w14:textId="77777777" w:rsidR="00805855" w:rsidRPr="008A78BF" w:rsidRDefault="00805855" w:rsidP="008A78BF">
            <w:pPr>
              <w:rPr>
                <w:sz w:val="20"/>
                <w:szCs w:val="20"/>
                <w:lang w:eastAsia="ja-JP"/>
              </w:rPr>
            </w:pPr>
            <w:r w:rsidRPr="008A78BF">
              <w:rPr>
                <w:sz w:val="20"/>
                <w:szCs w:val="20"/>
                <w:lang w:eastAsia="ja-JP"/>
              </w:rPr>
              <w:t>Diabetes mellitus</w:t>
            </w:r>
          </w:p>
        </w:tc>
        <w:tc>
          <w:tcPr>
            <w:tcW w:w="1587" w:type="dxa"/>
          </w:tcPr>
          <w:p w14:paraId="392FBC25" w14:textId="77777777" w:rsidR="00805855" w:rsidRPr="008A78BF" w:rsidRDefault="00805855" w:rsidP="008A78BF">
            <w:pPr>
              <w:rPr>
                <w:sz w:val="20"/>
                <w:szCs w:val="20"/>
                <w:lang w:eastAsia="ja-JP"/>
              </w:rPr>
            </w:pPr>
            <w:r w:rsidRPr="008A78BF">
              <w:rPr>
                <w:sz w:val="20"/>
                <w:szCs w:val="20"/>
                <w:lang w:eastAsia="ja-JP"/>
              </w:rPr>
              <w:t>3 (0.17)</w:t>
            </w:r>
          </w:p>
        </w:tc>
        <w:tc>
          <w:tcPr>
            <w:tcW w:w="2494" w:type="dxa"/>
          </w:tcPr>
          <w:p w14:paraId="7751A88C" w14:textId="77777777" w:rsidR="00805855" w:rsidRPr="008A78BF" w:rsidRDefault="00805855" w:rsidP="008A78BF">
            <w:pPr>
              <w:rPr>
                <w:sz w:val="20"/>
                <w:szCs w:val="20"/>
                <w:lang w:eastAsia="ja-JP"/>
              </w:rPr>
            </w:pPr>
            <w:r w:rsidRPr="008A78BF">
              <w:rPr>
                <w:sz w:val="20"/>
                <w:szCs w:val="20"/>
                <w:lang w:eastAsia="ja-JP"/>
              </w:rPr>
              <w:t>?</w:t>
            </w:r>
          </w:p>
        </w:tc>
        <w:tc>
          <w:tcPr>
            <w:tcW w:w="2268" w:type="dxa"/>
          </w:tcPr>
          <w:p w14:paraId="12BC07EF" w14:textId="77777777" w:rsidR="00805855" w:rsidRPr="008A78BF" w:rsidRDefault="00805855" w:rsidP="008A78BF">
            <w:pPr>
              <w:rPr>
                <w:sz w:val="20"/>
                <w:szCs w:val="20"/>
                <w:lang w:eastAsia="ja-JP"/>
              </w:rPr>
            </w:pPr>
            <w:r w:rsidRPr="008A78BF">
              <w:rPr>
                <w:sz w:val="20"/>
                <w:szCs w:val="20"/>
                <w:lang w:eastAsia="ja-JP"/>
              </w:rPr>
              <w:t>?</w:t>
            </w:r>
          </w:p>
        </w:tc>
      </w:tr>
      <w:tr w:rsidR="00805855" w:rsidRPr="008A78BF" w14:paraId="488788BD" w14:textId="77777777" w:rsidTr="00BE7824">
        <w:tc>
          <w:tcPr>
            <w:tcW w:w="2808" w:type="dxa"/>
          </w:tcPr>
          <w:p w14:paraId="7286A754" w14:textId="77777777" w:rsidR="00805855" w:rsidRPr="008A78BF" w:rsidRDefault="00805855" w:rsidP="008A78BF">
            <w:pPr>
              <w:rPr>
                <w:sz w:val="20"/>
                <w:szCs w:val="20"/>
                <w:lang w:eastAsia="ja-JP"/>
              </w:rPr>
            </w:pPr>
            <w:r w:rsidRPr="008A78BF">
              <w:rPr>
                <w:sz w:val="20"/>
                <w:szCs w:val="20"/>
                <w:lang w:eastAsia="ja-JP"/>
              </w:rPr>
              <w:t>Encephalitis</w:t>
            </w:r>
          </w:p>
        </w:tc>
        <w:tc>
          <w:tcPr>
            <w:tcW w:w="1587" w:type="dxa"/>
          </w:tcPr>
          <w:p w14:paraId="32CE2818" w14:textId="77777777" w:rsidR="00805855" w:rsidRPr="008A78BF" w:rsidRDefault="00805855" w:rsidP="008A78BF">
            <w:pPr>
              <w:rPr>
                <w:sz w:val="20"/>
                <w:szCs w:val="20"/>
                <w:lang w:eastAsia="ja-JP"/>
              </w:rPr>
            </w:pPr>
            <w:r w:rsidRPr="008A78BF">
              <w:rPr>
                <w:sz w:val="20"/>
                <w:szCs w:val="20"/>
                <w:lang w:eastAsia="ja-JP"/>
              </w:rPr>
              <w:t>?</w:t>
            </w:r>
          </w:p>
        </w:tc>
        <w:tc>
          <w:tcPr>
            <w:tcW w:w="2494" w:type="dxa"/>
          </w:tcPr>
          <w:p w14:paraId="29E4EDD2" w14:textId="77777777" w:rsidR="00805855" w:rsidRPr="008A78BF" w:rsidRDefault="00805855" w:rsidP="008A78BF">
            <w:pPr>
              <w:rPr>
                <w:sz w:val="20"/>
                <w:szCs w:val="20"/>
                <w:lang w:eastAsia="ja-JP"/>
              </w:rPr>
            </w:pPr>
            <w:r w:rsidRPr="008A78BF">
              <w:rPr>
                <w:sz w:val="20"/>
                <w:szCs w:val="20"/>
                <w:lang w:eastAsia="ja-JP"/>
              </w:rPr>
              <w:t>?</w:t>
            </w:r>
          </w:p>
        </w:tc>
        <w:tc>
          <w:tcPr>
            <w:tcW w:w="2268" w:type="dxa"/>
          </w:tcPr>
          <w:p w14:paraId="4E84679B" w14:textId="77777777" w:rsidR="00805855" w:rsidRPr="008A78BF" w:rsidRDefault="00805855" w:rsidP="008A78BF">
            <w:pPr>
              <w:rPr>
                <w:sz w:val="20"/>
                <w:szCs w:val="20"/>
                <w:lang w:eastAsia="ja-JP"/>
              </w:rPr>
            </w:pPr>
            <w:r w:rsidRPr="008A78BF">
              <w:rPr>
                <w:sz w:val="20"/>
                <w:szCs w:val="20"/>
                <w:lang w:eastAsia="ja-JP"/>
              </w:rPr>
              <w:t>?</w:t>
            </w:r>
          </w:p>
        </w:tc>
      </w:tr>
      <w:tr w:rsidR="00805855" w:rsidRPr="008A78BF" w14:paraId="49220735" w14:textId="77777777" w:rsidTr="00BE7824">
        <w:tc>
          <w:tcPr>
            <w:tcW w:w="2808" w:type="dxa"/>
          </w:tcPr>
          <w:p w14:paraId="129595ED" w14:textId="77777777" w:rsidR="00805855" w:rsidRPr="008A78BF" w:rsidRDefault="00805855" w:rsidP="008A78BF">
            <w:pPr>
              <w:rPr>
                <w:sz w:val="20"/>
                <w:szCs w:val="20"/>
                <w:lang w:eastAsia="ja-JP"/>
              </w:rPr>
            </w:pPr>
            <w:proofErr w:type="spellStart"/>
            <w:r w:rsidRPr="008A78BF">
              <w:rPr>
                <w:sz w:val="20"/>
                <w:szCs w:val="20"/>
                <w:lang w:eastAsia="ja-JP"/>
              </w:rPr>
              <w:t>Guillaine</w:t>
            </w:r>
            <w:proofErr w:type="spellEnd"/>
            <w:r w:rsidRPr="008A78BF">
              <w:rPr>
                <w:sz w:val="20"/>
                <w:szCs w:val="20"/>
                <w:lang w:eastAsia="ja-JP"/>
              </w:rPr>
              <w:t>-Barre</w:t>
            </w:r>
          </w:p>
        </w:tc>
        <w:tc>
          <w:tcPr>
            <w:tcW w:w="1587" w:type="dxa"/>
          </w:tcPr>
          <w:p w14:paraId="0FA561B8" w14:textId="77777777" w:rsidR="00805855" w:rsidRPr="008A78BF" w:rsidRDefault="00805855" w:rsidP="008A78BF">
            <w:pPr>
              <w:rPr>
                <w:sz w:val="20"/>
                <w:szCs w:val="20"/>
                <w:lang w:eastAsia="ja-JP"/>
              </w:rPr>
            </w:pPr>
            <w:r w:rsidRPr="008A78BF">
              <w:rPr>
                <w:sz w:val="20"/>
                <w:szCs w:val="20"/>
                <w:lang w:eastAsia="ja-JP"/>
              </w:rPr>
              <w:t>&lt; 1%</w:t>
            </w:r>
          </w:p>
        </w:tc>
        <w:tc>
          <w:tcPr>
            <w:tcW w:w="2494" w:type="dxa"/>
          </w:tcPr>
          <w:p w14:paraId="56A2814C" w14:textId="77777777" w:rsidR="00805855" w:rsidRPr="008A78BF" w:rsidRDefault="00805855" w:rsidP="008A78BF">
            <w:pPr>
              <w:rPr>
                <w:sz w:val="20"/>
                <w:szCs w:val="20"/>
                <w:lang w:eastAsia="ja-JP"/>
              </w:rPr>
            </w:pPr>
            <w:r w:rsidRPr="008A78BF">
              <w:rPr>
                <w:sz w:val="20"/>
                <w:szCs w:val="20"/>
                <w:lang w:eastAsia="ja-JP"/>
              </w:rPr>
              <w:t>?</w:t>
            </w:r>
          </w:p>
        </w:tc>
        <w:tc>
          <w:tcPr>
            <w:tcW w:w="2268" w:type="dxa"/>
          </w:tcPr>
          <w:p w14:paraId="334715F4" w14:textId="77777777" w:rsidR="00805855" w:rsidRPr="008A78BF" w:rsidRDefault="00805855" w:rsidP="008A78BF">
            <w:pPr>
              <w:rPr>
                <w:sz w:val="20"/>
                <w:szCs w:val="20"/>
                <w:lang w:eastAsia="ja-JP"/>
              </w:rPr>
            </w:pPr>
            <w:r w:rsidRPr="008A78BF">
              <w:rPr>
                <w:sz w:val="20"/>
                <w:szCs w:val="20"/>
                <w:lang w:eastAsia="ja-JP"/>
              </w:rPr>
              <w:t>?</w:t>
            </w:r>
          </w:p>
        </w:tc>
      </w:tr>
      <w:tr w:rsidR="00805855" w:rsidRPr="008A78BF" w14:paraId="7C240435" w14:textId="77777777" w:rsidTr="00BE7824">
        <w:tc>
          <w:tcPr>
            <w:tcW w:w="2808" w:type="dxa"/>
          </w:tcPr>
          <w:p w14:paraId="397B66BA" w14:textId="77777777" w:rsidR="00805855" w:rsidRPr="008A78BF" w:rsidRDefault="00805855" w:rsidP="008A78BF">
            <w:pPr>
              <w:rPr>
                <w:sz w:val="20"/>
                <w:szCs w:val="20"/>
                <w:lang w:eastAsia="ja-JP"/>
              </w:rPr>
            </w:pPr>
            <w:r w:rsidRPr="008A78BF">
              <w:rPr>
                <w:sz w:val="20"/>
                <w:szCs w:val="20"/>
                <w:lang w:eastAsia="ja-JP"/>
              </w:rPr>
              <w:t>Pancreatitis</w:t>
            </w:r>
          </w:p>
        </w:tc>
        <w:tc>
          <w:tcPr>
            <w:tcW w:w="1587" w:type="dxa"/>
          </w:tcPr>
          <w:p w14:paraId="4E20CBAE" w14:textId="77777777" w:rsidR="00805855" w:rsidRPr="008A78BF" w:rsidRDefault="00805855" w:rsidP="008A78BF">
            <w:pPr>
              <w:rPr>
                <w:sz w:val="20"/>
                <w:szCs w:val="20"/>
                <w:lang w:eastAsia="ja-JP"/>
              </w:rPr>
            </w:pPr>
            <w:r w:rsidRPr="008A78BF">
              <w:rPr>
                <w:sz w:val="20"/>
                <w:szCs w:val="20"/>
                <w:lang w:eastAsia="ja-JP"/>
              </w:rPr>
              <w:t>&lt; 1%</w:t>
            </w:r>
          </w:p>
        </w:tc>
        <w:tc>
          <w:tcPr>
            <w:tcW w:w="2494" w:type="dxa"/>
          </w:tcPr>
          <w:p w14:paraId="5B32B172" w14:textId="77777777" w:rsidR="00805855" w:rsidRPr="008A78BF" w:rsidRDefault="00805855" w:rsidP="008A78BF">
            <w:pPr>
              <w:rPr>
                <w:sz w:val="20"/>
                <w:szCs w:val="20"/>
                <w:lang w:eastAsia="ja-JP"/>
              </w:rPr>
            </w:pPr>
            <w:r w:rsidRPr="008A78BF">
              <w:rPr>
                <w:sz w:val="20"/>
                <w:szCs w:val="20"/>
                <w:lang w:eastAsia="ja-JP"/>
              </w:rPr>
              <w:t>?</w:t>
            </w:r>
          </w:p>
        </w:tc>
        <w:tc>
          <w:tcPr>
            <w:tcW w:w="2268" w:type="dxa"/>
          </w:tcPr>
          <w:p w14:paraId="42CE3715" w14:textId="77777777" w:rsidR="00805855" w:rsidRPr="008A78BF" w:rsidRDefault="00805855" w:rsidP="008A78BF">
            <w:pPr>
              <w:rPr>
                <w:sz w:val="20"/>
                <w:szCs w:val="20"/>
                <w:lang w:eastAsia="ja-JP"/>
              </w:rPr>
            </w:pPr>
            <w:r w:rsidRPr="008A78BF">
              <w:rPr>
                <w:sz w:val="20"/>
                <w:szCs w:val="20"/>
                <w:lang w:eastAsia="ja-JP"/>
              </w:rPr>
              <w:t>?</w:t>
            </w:r>
          </w:p>
        </w:tc>
      </w:tr>
      <w:tr w:rsidR="00805855" w:rsidRPr="008A78BF" w14:paraId="3018EFF0" w14:textId="77777777" w:rsidTr="00BE7824">
        <w:tc>
          <w:tcPr>
            <w:tcW w:w="2808" w:type="dxa"/>
          </w:tcPr>
          <w:p w14:paraId="0CC24E75" w14:textId="77777777" w:rsidR="00805855" w:rsidRPr="008A78BF" w:rsidRDefault="00805855" w:rsidP="008A78BF">
            <w:pPr>
              <w:rPr>
                <w:sz w:val="20"/>
                <w:szCs w:val="20"/>
                <w:lang w:eastAsia="ja-JP"/>
              </w:rPr>
            </w:pPr>
            <w:r w:rsidRPr="008A78BF">
              <w:rPr>
                <w:sz w:val="20"/>
                <w:szCs w:val="20"/>
                <w:lang w:eastAsia="ja-JP"/>
              </w:rPr>
              <w:t>Uveitis</w:t>
            </w:r>
          </w:p>
        </w:tc>
        <w:tc>
          <w:tcPr>
            <w:tcW w:w="1587" w:type="dxa"/>
          </w:tcPr>
          <w:p w14:paraId="154892E2" w14:textId="77777777" w:rsidR="00805855" w:rsidRPr="008A78BF" w:rsidRDefault="00805855" w:rsidP="008A78BF">
            <w:pPr>
              <w:rPr>
                <w:sz w:val="20"/>
                <w:szCs w:val="20"/>
                <w:lang w:eastAsia="ja-JP"/>
              </w:rPr>
            </w:pPr>
            <w:r w:rsidRPr="008A78BF">
              <w:rPr>
                <w:sz w:val="20"/>
                <w:szCs w:val="20"/>
                <w:lang w:eastAsia="ja-JP"/>
              </w:rPr>
              <w:t>&lt; 1%</w:t>
            </w:r>
          </w:p>
        </w:tc>
        <w:tc>
          <w:tcPr>
            <w:tcW w:w="2494" w:type="dxa"/>
          </w:tcPr>
          <w:p w14:paraId="1C379A4E" w14:textId="77777777" w:rsidR="00805855" w:rsidRPr="008A78BF" w:rsidRDefault="00805855" w:rsidP="008A78BF">
            <w:pPr>
              <w:rPr>
                <w:sz w:val="20"/>
                <w:szCs w:val="20"/>
                <w:lang w:eastAsia="ja-JP"/>
              </w:rPr>
            </w:pPr>
            <w:r w:rsidRPr="008A78BF">
              <w:rPr>
                <w:sz w:val="20"/>
                <w:szCs w:val="20"/>
                <w:lang w:eastAsia="ja-JP"/>
              </w:rPr>
              <w:t>?</w:t>
            </w:r>
          </w:p>
        </w:tc>
        <w:tc>
          <w:tcPr>
            <w:tcW w:w="2268" w:type="dxa"/>
          </w:tcPr>
          <w:p w14:paraId="1C2770A3" w14:textId="77777777" w:rsidR="00805855" w:rsidRPr="008A78BF" w:rsidRDefault="00805855" w:rsidP="008A78BF">
            <w:pPr>
              <w:rPr>
                <w:sz w:val="20"/>
                <w:szCs w:val="20"/>
                <w:lang w:eastAsia="ja-JP"/>
              </w:rPr>
            </w:pPr>
            <w:r w:rsidRPr="008A78BF">
              <w:rPr>
                <w:sz w:val="20"/>
                <w:szCs w:val="20"/>
                <w:lang w:eastAsia="ja-JP"/>
              </w:rPr>
              <w:t>?</w:t>
            </w:r>
          </w:p>
        </w:tc>
      </w:tr>
      <w:tr w:rsidR="00805855" w:rsidRPr="008A78BF" w14:paraId="557820DA" w14:textId="77777777" w:rsidTr="00BE7824">
        <w:tc>
          <w:tcPr>
            <w:tcW w:w="2808" w:type="dxa"/>
          </w:tcPr>
          <w:p w14:paraId="47B9920B" w14:textId="77777777" w:rsidR="00805855" w:rsidRPr="008A78BF" w:rsidRDefault="00805855" w:rsidP="008A78BF">
            <w:pPr>
              <w:rPr>
                <w:sz w:val="20"/>
                <w:szCs w:val="20"/>
                <w:lang w:eastAsia="ja-JP"/>
              </w:rPr>
            </w:pPr>
            <w:r w:rsidRPr="008A78BF">
              <w:rPr>
                <w:sz w:val="20"/>
                <w:szCs w:val="20"/>
                <w:lang w:eastAsia="ja-JP"/>
              </w:rPr>
              <w:t>Autoimmune neuropathy</w:t>
            </w:r>
          </w:p>
        </w:tc>
        <w:tc>
          <w:tcPr>
            <w:tcW w:w="1587" w:type="dxa"/>
          </w:tcPr>
          <w:p w14:paraId="35249141" w14:textId="77777777" w:rsidR="00805855" w:rsidRPr="008A78BF" w:rsidRDefault="00805855" w:rsidP="008A78BF">
            <w:pPr>
              <w:rPr>
                <w:sz w:val="20"/>
                <w:szCs w:val="20"/>
                <w:lang w:eastAsia="ja-JP"/>
              </w:rPr>
            </w:pPr>
            <w:r w:rsidRPr="008A78BF">
              <w:rPr>
                <w:sz w:val="20"/>
                <w:szCs w:val="20"/>
                <w:lang w:eastAsia="ja-JP"/>
              </w:rPr>
              <w:t>&lt; 1%</w:t>
            </w:r>
          </w:p>
        </w:tc>
        <w:tc>
          <w:tcPr>
            <w:tcW w:w="2494" w:type="dxa"/>
          </w:tcPr>
          <w:p w14:paraId="56E53B9C" w14:textId="77777777" w:rsidR="00805855" w:rsidRPr="008A78BF" w:rsidRDefault="00805855" w:rsidP="008A78BF">
            <w:pPr>
              <w:rPr>
                <w:sz w:val="20"/>
                <w:szCs w:val="20"/>
                <w:lang w:eastAsia="ja-JP"/>
              </w:rPr>
            </w:pPr>
            <w:r w:rsidRPr="008A78BF">
              <w:rPr>
                <w:sz w:val="20"/>
                <w:szCs w:val="20"/>
                <w:lang w:eastAsia="ja-JP"/>
              </w:rPr>
              <w:t>?</w:t>
            </w:r>
          </w:p>
        </w:tc>
        <w:tc>
          <w:tcPr>
            <w:tcW w:w="2268" w:type="dxa"/>
          </w:tcPr>
          <w:p w14:paraId="332CB713" w14:textId="77777777" w:rsidR="00805855" w:rsidRPr="008A78BF" w:rsidRDefault="00805855" w:rsidP="008A78BF">
            <w:pPr>
              <w:rPr>
                <w:sz w:val="20"/>
                <w:szCs w:val="20"/>
                <w:lang w:eastAsia="ja-JP"/>
              </w:rPr>
            </w:pPr>
            <w:r w:rsidRPr="008A78BF">
              <w:rPr>
                <w:sz w:val="20"/>
                <w:szCs w:val="20"/>
                <w:lang w:eastAsia="ja-JP"/>
              </w:rPr>
              <w:t>?</w:t>
            </w:r>
          </w:p>
        </w:tc>
      </w:tr>
      <w:tr w:rsidR="00805855" w:rsidRPr="008A78BF" w14:paraId="5DEB4BE2" w14:textId="77777777" w:rsidTr="00BE7824">
        <w:tc>
          <w:tcPr>
            <w:tcW w:w="2808" w:type="dxa"/>
          </w:tcPr>
          <w:p w14:paraId="7C9139F0" w14:textId="77777777" w:rsidR="00805855" w:rsidRPr="008A78BF" w:rsidRDefault="00805855" w:rsidP="008A78BF">
            <w:pPr>
              <w:rPr>
                <w:sz w:val="20"/>
                <w:szCs w:val="20"/>
                <w:lang w:eastAsia="ja-JP"/>
              </w:rPr>
            </w:pPr>
            <w:proofErr w:type="spellStart"/>
            <w:r w:rsidRPr="008A78BF">
              <w:rPr>
                <w:sz w:val="20"/>
                <w:szCs w:val="20"/>
                <w:lang w:eastAsia="ja-JP"/>
              </w:rPr>
              <w:t>Myasthaenic</w:t>
            </w:r>
            <w:proofErr w:type="spellEnd"/>
            <w:r w:rsidRPr="008A78BF">
              <w:rPr>
                <w:sz w:val="20"/>
                <w:szCs w:val="20"/>
                <w:lang w:eastAsia="ja-JP"/>
              </w:rPr>
              <w:t xml:space="preserve"> syndrome</w:t>
            </w:r>
          </w:p>
        </w:tc>
        <w:tc>
          <w:tcPr>
            <w:tcW w:w="1587" w:type="dxa"/>
          </w:tcPr>
          <w:p w14:paraId="6A6897DB" w14:textId="77777777" w:rsidR="00805855" w:rsidRPr="008A78BF" w:rsidRDefault="00805855" w:rsidP="008A78BF">
            <w:pPr>
              <w:rPr>
                <w:sz w:val="20"/>
                <w:szCs w:val="20"/>
                <w:lang w:eastAsia="ja-JP"/>
              </w:rPr>
            </w:pPr>
            <w:r w:rsidRPr="008A78BF">
              <w:rPr>
                <w:sz w:val="20"/>
                <w:szCs w:val="20"/>
                <w:lang w:eastAsia="ja-JP"/>
              </w:rPr>
              <w:t>&lt; 1%</w:t>
            </w:r>
          </w:p>
        </w:tc>
        <w:tc>
          <w:tcPr>
            <w:tcW w:w="2494" w:type="dxa"/>
          </w:tcPr>
          <w:p w14:paraId="4996AD83" w14:textId="77777777" w:rsidR="00805855" w:rsidRPr="008A78BF" w:rsidRDefault="00805855" w:rsidP="008A78BF">
            <w:pPr>
              <w:rPr>
                <w:sz w:val="20"/>
                <w:szCs w:val="20"/>
                <w:lang w:eastAsia="ja-JP"/>
              </w:rPr>
            </w:pPr>
            <w:r w:rsidRPr="008A78BF">
              <w:rPr>
                <w:sz w:val="20"/>
                <w:szCs w:val="20"/>
                <w:lang w:eastAsia="ja-JP"/>
              </w:rPr>
              <w:t>?</w:t>
            </w:r>
          </w:p>
        </w:tc>
        <w:tc>
          <w:tcPr>
            <w:tcW w:w="2268" w:type="dxa"/>
          </w:tcPr>
          <w:p w14:paraId="348B4538" w14:textId="77777777" w:rsidR="00805855" w:rsidRPr="008A78BF" w:rsidRDefault="00805855" w:rsidP="008A78BF">
            <w:pPr>
              <w:rPr>
                <w:sz w:val="20"/>
                <w:szCs w:val="20"/>
                <w:lang w:eastAsia="ja-JP"/>
              </w:rPr>
            </w:pPr>
            <w:r w:rsidRPr="008A78BF">
              <w:rPr>
                <w:sz w:val="20"/>
                <w:szCs w:val="20"/>
                <w:lang w:eastAsia="ja-JP"/>
              </w:rPr>
              <w:t>?</w:t>
            </w:r>
          </w:p>
        </w:tc>
      </w:tr>
    </w:tbl>
    <w:p w14:paraId="26CB1570" w14:textId="77777777" w:rsidR="00805855" w:rsidRPr="001D74FE" w:rsidRDefault="00805855" w:rsidP="00805855">
      <w:pPr>
        <w:rPr>
          <w:lang w:eastAsia="ja-JP"/>
        </w:rPr>
      </w:pPr>
      <w:r w:rsidRPr="001D74FE">
        <w:rPr>
          <w:lang w:eastAsia="ja-JP"/>
        </w:rPr>
        <w:lastRenderedPageBreak/>
        <w:t>In general, thes</w:t>
      </w:r>
      <w:r>
        <w:rPr>
          <w:lang w:eastAsia="ja-JP"/>
        </w:rPr>
        <w:t xml:space="preserve">e reactions appear to be mild (Grade 1 or </w:t>
      </w:r>
      <w:r w:rsidRPr="001D74FE">
        <w:rPr>
          <w:lang w:eastAsia="ja-JP"/>
        </w:rPr>
        <w:t xml:space="preserve">2) although more severe reactions, including fatalities have been reported. The following deaths have been attributed to immune mediated adverse reactions in patients receiving </w:t>
      </w:r>
      <w:proofErr w:type="spellStart"/>
      <w:r w:rsidRPr="001D74FE">
        <w:rPr>
          <w:lang w:eastAsia="ja-JP"/>
        </w:rPr>
        <w:t>nivolumab</w:t>
      </w:r>
      <w:proofErr w:type="spellEnd"/>
      <w:r w:rsidRPr="001D74FE">
        <w:rPr>
          <w:lang w:eastAsia="ja-JP"/>
        </w:rPr>
        <w:t>:</w:t>
      </w:r>
    </w:p>
    <w:p w14:paraId="58023896" w14:textId="77777777" w:rsidR="00805855" w:rsidRPr="001D74FE" w:rsidRDefault="00805855" w:rsidP="000E4CDF">
      <w:pPr>
        <w:pStyle w:val="ListBullet"/>
        <w:numPr>
          <w:ilvl w:val="0"/>
          <w:numId w:val="1"/>
        </w:numPr>
        <w:rPr>
          <w:lang w:eastAsia="ja-JP"/>
        </w:rPr>
      </w:pPr>
      <w:r w:rsidRPr="001D74FE">
        <w:rPr>
          <w:lang w:eastAsia="ja-JP"/>
        </w:rPr>
        <w:t>5 due to study drug related pneumonitis reported in Study CA209003</w:t>
      </w:r>
    </w:p>
    <w:p w14:paraId="6841B698" w14:textId="77777777" w:rsidR="00805855" w:rsidRPr="001D74FE" w:rsidRDefault="00805855" w:rsidP="000E4CDF">
      <w:pPr>
        <w:pStyle w:val="ListBullet"/>
        <w:numPr>
          <w:ilvl w:val="0"/>
          <w:numId w:val="1"/>
        </w:numPr>
        <w:rPr>
          <w:lang w:eastAsia="ja-JP"/>
        </w:rPr>
      </w:pPr>
      <w:r w:rsidRPr="001D74FE">
        <w:rPr>
          <w:lang w:eastAsia="ja-JP"/>
        </w:rPr>
        <w:t xml:space="preserve">1 due to pneumonitis in a patient also receiving </w:t>
      </w:r>
      <w:proofErr w:type="spellStart"/>
      <w:r w:rsidRPr="001D74FE">
        <w:rPr>
          <w:lang w:eastAsia="ja-JP"/>
        </w:rPr>
        <w:t>ipilimumab</w:t>
      </w:r>
      <w:proofErr w:type="spellEnd"/>
      <w:r w:rsidRPr="001D74FE">
        <w:rPr>
          <w:lang w:eastAsia="ja-JP"/>
        </w:rPr>
        <w:t xml:space="preserve"> in Study CA209069</w:t>
      </w:r>
    </w:p>
    <w:p w14:paraId="3C06D8D5" w14:textId="77777777" w:rsidR="00805855" w:rsidRPr="001D74FE" w:rsidRDefault="00805855" w:rsidP="000E4CDF">
      <w:pPr>
        <w:pStyle w:val="ListBullet"/>
        <w:numPr>
          <w:ilvl w:val="0"/>
          <w:numId w:val="1"/>
        </w:numPr>
        <w:rPr>
          <w:lang w:eastAsia="ja-JP"/>
        </w:rPr>
      </w:pPr>
      <w:r w:rsidRPr="001D74FE">
        <w:rPr>
          <w:lang w:eastAsia="ja-JP"/>
        </w:rPr>
        <w:t xml:space="preserve">1 due to </w:t>
      </w:r>
      <w:proofErr w:type="spellStart"/>
      <w:r w:rsidRPr="001D74FE">
        <w:rPr>
          <w:lang w:eastAsia="ja-JP"/>
        </w:rPr>
        <w:t>entero</w:t>
      </w:r>
      <w:proofErr w:type="spellEnd"/>
      <w:r w:rsidRPr="001D74FE">
        <w:rPr>
          <w:lang w:eastAsia="ja-JP"/>
        </w:rPr>
        <w:t xml:space="preserve">-colitis and pancreatitis in a patient also receiving </w:t>
      </w:r>
      <w:proofErr w:type="spellStart"/>
      <w:r w:rsidRPr="001D74FE">
        <w:rPr>
          <w:lang w:eastAsia="ja-JP"/>
        </w:rPr>
        <w:t>ipilimumab</w:t>
      </w:r>
      <w:proofErr w:type="spellEnd"/>
      <w:r w:rsidRPr="001D74FE">
        <w:rPr>
          <w:lang w:eastAsia="ja-JP"/>
        </w:rPr>
        <w:t xml:space="preserve"> in Study CA209004</w:t>
      </w:r>
    </w:p>
    <w:p w14:paraId="6DB947A1" w14:textId="77777777" w:rsidR="00805855" w:rsidRPr="001D74FE" w:rsidRDefault="00805855" w:rsidP="000E4CDF">
      <w:pPr>
        <w:pStyle w:val="ListBullet"/>
        <w:numPr>
          <w:ilvl w:val="0"/>
          <w:numId w:val="1"/>
        </w:numPr>
        <w:rPr>
          <w:lang w:eastAsia="ja-JP"/>
        </w:rPr>
      </w:pPr>
      <w:r w:rsidRPr="001D74FE">
        <w:rPr>
          <w:lang w:eastAsia="ja-JP"/>
        </w:rPr>
        <w:t>1 due to encephalitis in Study CA209057</w:t>
      </w:r>
    </w:p>
    <w:p w14:paraId="77FDED09" w14:textId="77777777" w:rsidR="00805855" w:rsidRPr="001D74FE" w:rsidRDefault="00805855" w:rsidP="000E4CDF">
      <w:pPr>
        <w:pStyle w:val="ListBullet"/>
        <w:numPr>
          <w:ilvl w:val="0"/>
          <w:numId w:val="1"/>
        </w:numPr>
        <w:rPr>
          <w:lang w:eastAsia="ja-JP"/>
        </w:rPr>
      </w:pPr>
      <w:r w:rsidRPr="001D74FE">
        <w:rPr>
          <w:lang w:eastAsia="ja-JP"/>
        </w:rPr>
        <w:t>1 due to pneumonitis in Study CA209063</w:t>
      </w:r>
    </w:p>
    <w:p w14:paraId="637B74B8" w14:textId="642CD236" w:rsidR="00805855" w:rsidRPr="00CF2E2E" w:rsidRDefault="00805855" w:rsidP="00CF2E2E">
      <w:pPr>
        <w:rPr>
          <w:lang w:val="en-GB" w:eastAsia="ja-JP"/>
        </w:rPr>
      </w:pPr>
      <w:r w:rsidRPr="001D74FE">
        <w:rPr>
          <w:lang w:eastAsia="ja-JP"/>
        </w:rPr>
        <w:t>From the narratives in Studies CA209010, CA209025</w:t>
      </w:r>
      <w:r>
        <w:rPr>
          <w:lang w:eastAsia="ja-JP"/>
        </w:rPr>
        <w:t xml:space="preserve"> and </w:t>
      </w:r>
      <w:r w:rsidRPr="001D74FE">
        <w:rPr>
          <w:lang w:eastAsia="ja-JP"/>
        </w:rPr>
        <w:t xml:space="preserve">CA209009 that have been read by the evaluator it is possible that this under-represents the number of patients whose </w:t>
      </w:r>
      <w:r w:rsidR="00CF2E2E">
        <w:rPr>
          <w:lang w:eastAsia="ja-JP"/>
        </w:rPr>
        <w:t xml:space="preserve">deaths may be related to immune </w:t>
      </w:r>
      <w:r w:rsidRPr="001D74FE">
        <w:rPr>
          <w:lang w:eastAsia="ja-JP"/>
        </w:rPr>
        <w:t xml:space="preserve">mediated adverse reactions. This can reflect the clinical difficulty of determining the cause of illness and death in complex patients </w:t>
      </w:r>
      <w:r>
        <w:rPr>
          <w:lang w:eastAsia="ja-JP"/>
        </w:rPr>
        <w:t>for example,</w:t>
      </w:r>
      <w:r w:rsidRPr="001D74FE">
        <w:rPr>
          <w:lang w:eastAsia="ja-JP"/>
        </w:rPr>
        <w:t xml:space="preserve"> if a patient dies from sepsis due to immunosuppression required to treat an immune mediated adverse reaction, this death may or may not be attributed to the study drug by an investigator; deaths due to </w:t>
      </w:r>
      <w:r w:rsidR="00CF2E2E" w:rsidRPr="00CF2E2E">
        <w:rPr>
          <w:lang w:val="en-GB" w:eastAsia="ja-JP"/>
        </w:rPr>
        <w:t>systemic inflammatory response syndrome</w:t>
      </w:r>
      <w:r w:rsidR="00CF2E2E">
        <w:rPr>
          <w:lang w:val="en-GB" w:eastAsia="ja-JP"/>
        </w:rPr>
        <w:t xml:space="preserve"> (</w:t>
      </w:r>
      <w:r w:rsidRPr="001D74FE">
        <w:rPr>
          <w:lang w:eastAsia="ja-JP"/>
        </w:rPr>
        <w:t>SIRS</w:t>
      </w:r>
      <w:r w:rsidR="00CF2E2E">
        <w:rPr>
          <w:lang w:eastAsia="ja-JP"/>
        </w:rPr>
        <w:t xml:space="preserve">) </w:t>
      </w:r>
      <w:r w:rsidR="00CF2E2E" w:rsidRPr="00CF2E2E">
        <w:rPr>
          <w:lang w:val="en-GB" w:eastAsia="ja-JP"/>
        </w:rPr>
        <w:t>multiple organ dysfunction syndrome</w:t>
      </w:r>
      <w:r w:rsidR="00CF2E2E">
        <w:rPr>
          <w:lang w:val="en-GB" w:eastAsia="ja-JP"/>
        </w:rPr>
        <w:t xml:space="preserve"> (</w:t>
      </w:r>
      <w:r w:rsidRPr="001D74FE">
        <w:rPr>
          <w:lang w:eastAsia="ja-JP"/>
        </w:rPr>
        <w:t>MODS</w:t>
      </w:r>
      <w:r w:rsidR="00CF2E2E">
        <w:rPr>
          <w:lang w:eastAsia="ja-JP"/>
        </w:rPr>
        <w:t xml:space="preserve">) or </w:t>
      </w:r>
      <w:r w:rsidR="00CF2E2E" w:rsidRPr="00CF2E2E">
        <w:rPr>
          <w:lang w:val="en-GB" w:eastAsia="ja-JP"/>
        </w:rPr>
        <w:t>multiple organ failure</w:t>
      </w:r>
      <w:r w:rsidR="00CF2E2E">
        <w:rPr>
          <w:lang w:val="en-GB" w:eastAsia="ja-JP"/>
        </w:rPr>
        <w:t xml:space="preserve"> (</w:t>
      </w:r>
      <w:r w:rsidRPr="001D74FE">
        <w:rPr>
          <w:lang w:eastAsia="ja-JP"/>
        </w:rPr>
        <w:t>MOF</w:t>
      </w:r>
      <w:r w:rsidR="00CF2E2E">
        <w:rPr>
          <w:lang w:eastAsia="ja-JP"/>
        </w:rPr>
        <w:t>)</w:t>
      </w:r>
      <w:r w:rsidRPr="001D74FE">
        <w:rPr>
          <w:lang w:eastAsia="ja-JP"/>
        </w:rPr>
        <w:t xml:space="preserve"> may have been attributed to sepsis or cardiac failure or </w:t>
      </w:r>
      <w:r>
        <w:rPr>
          <w:lang w:eastAsia="ja-JP"/>
        </w:rPr>
        <w:t>‘</w:t>
      </w:r>
      <w:r w:rsidRPr="001D74FE">
        <w:rPr>
          <w:lang w:eastAsia="ja-JP"/>
        </w:rPr>
        <w:t>other</w:t>
      </w:r>
      <w:r>
        <w:rPr>
          <w:lang w:eastAsia="ja-JP"/>
        </w:rPr>
        <w:t>’</w:t>
      </w:r>
      <w:r w:rsidRPr="001D74FE">
        <w:rPr>
          <w:lang w:eastAsia="ja-JP"/>
        </w:rPr>
        <w:t xml:space="preserve"> instead of to immune mediated AEs; unexpected deaths at home may be due to a cardiac arrhythmia and myocarditis; deaths from respiratory failure may be attributed to pneumonia rather than pneumonitis. It may also reflect a lack of familiarity of the investigators with immune mediated adverse reactions, resulting in a failure to either consider or diagnose these reactions. Similarly, less severe manifestations of IMAE may not have been recognised by the investigators.</w:t>
      </w:r>
    </w:p>
    <w:p w14:paraId="123999D4" w14:textId="4ABA4969" w:rsidR="00805855" w:rsidRPr="001D74FE" w:rsidRDefault="00805855" w:rsidP="00805855">
      <w:pPr>
        <w:rPr>
          <w:lang w:eastAsia="ja-JP"/>
        </w:rPr>
      </w:pPr>
      <w:r w:rsidRPr="001D74FE">
        <w:rPr>
          <w:lang w:eastAsia="ja-JP"/>
        </w:rPr>
        <w:t>A l</w:t>
      </w:r>
      <w:r w:rsidR="00C950B3">
        <w:rPr>
          <w:lang w:eastAsia="ja-JP"/>
        </w:rPr>
        <w:t xml:space="preserve">ack of familiarity with immune </w:t>
      </w:r>
      <w:r w:rsidRPr="001D74FE">
        <w:rPr>
          <w:lang w:eastAsia="ja-JP"/>
        </w:rPr>
        <w:t xml:space="preserve">mediated adverse reactions associated with </w:t>
      </w:r>
      <w:proofErr w:type="spellStart"/>
      <w:r w:rsidRPr="001D74FE">
        <w:rPr>
          <w:lang w:eastAsia="ja-JP"/>
        </w:rPr>
        <w:t>nivolumab</w:t>
      </w:r>
      <w:proofErr w:type="spellEnd"/>
      <w:r w:rsidRPr="001D74FE">
        <w:rPr>
          <w:lang w:eastAsia="ja-JP"/>
        </w:rPr>
        <w:t xml:space="preserve"> treatment in the greater population of healthcare professionals who may become involved in the care of these patients is extremely concerning and represents a major safety risk. From the narratives provided, IMAE may take a fulminant course and require prompt recognition and early institution of systemic immunosuppressive therapies. This has been demonstrated in Study CA209003 in 2 of the 5 patients who died due to pneumonitis in this study: according to the draft RMP: </w:t>
      </w:r>
      <w:r>
        <w:rPr>
          <w:lang w:eastAsia="ja-JP"/>
        </w:rPr>
        <w:t>‘</w:t>
      </w:r>
      <w:r w:rsidRPr="001D74FE">
        <w:rPr>
          <w:i/>
          <w:lang w:eastAsia="ja-JP"/>
        </w:rPr>
        <w:t xml:space="preserve">In the first 2 subjects, there was a delay of approximately 1 to 2 weeks between the onset of symptoms and treatment with high doses of corticosteroids. Earlier recognition and treatment with higher dose corticosteroids may have led to a different outcome, as has been reported for GI toxicity elicited by </w:t>
      </w:r>
      <w:proofErr w:type="spellStart"/>
      <w:r w:rsidRPr="001D74FE">
        <w:rPr>
          <w:i/>
          <w:lang w:eastAsia="ja-JP"/>
        </w:rPr>
        <w:t>ipilimumab</w:t>
      </w:r>
      <w:proofErr w:type="spellEnd"/>
      <w:r w:rsidRPr="001D74FE">
        <w:rPr>
          <w:lang w:eastAsia="ja-JP"/>
        </w:rPr>
        <w:t>.</w:t>
      </w:r>
      <w:r>
        <w:rPr>
          <w:lang w:eastAsia="ja-JP"/>
        </w:rPr>
        <w:t>’</w:t>
      </w:r>
      <w:r w:rsidRPr="001D74FE">
        <w:rPr>
          <w:lang w:eastAsia="ja-JP"/>
        </w:rPr>
        <w:t xml:space="preserve"> Patients who become acutely unwell may present to their local doctor or local emergency department for emergency care. Delays in appropriate care and </w:t>
      </w:r>
      <w:r w:rsidR="00E62D9B">
        <w:rPr>
          <w:lang w:eastAsia="ja-JP"/>
        </w:rPr>
        <w:t xml:space="preserve">a </w:t>
      </w:r>
      <w:r w:rsidRPr="001D74FE">
        <w:rPr>
          <w:lang w:eastAsia="ja-JP"/>
        </w:rPr>
        <w:t>worse outcome may result from lack of awareness of the unique side effect profile of checkpoint inhibitors. The EMA has sought to address this lack of familiarity through the use of a patient alert card (including advice for both patient and medical practitioners providing emergency care) and physician education packages. The evaluator strongly recommends that the TGA also adopt this approach</w:t>
      </w:r>
    </w:p>
    <w:p w14:paraId="1B54B9DB" w14:textId="21A8B9A2" w:rsidR="00605AD4" w:rsidRPr="00605AD4" w:rsidRDefault="00805855" w:rsidP="00605AD4">
      <w:pPr>
        <w:rPr>
          <w:lang w:eastAsia="ja-JP"/>
        </w:rPr>
      </w:pPr>
      <w:r w:rsidRPr="001D74FE">
        <w:rPr>
          <w:lang w:eastAsia="ja-JP"/>
        </w:rPr>
        <w:t xml:space="preserve">In conclusion, this assessment of safety is considered incomplete by the evaluator and will need to be revised and completed following the evaluation of the sponsor’s responses to the Clinical Questions. On the information currently available, additional safety measures that target the patient and healthcare </w:t>
      </w:r>
      <w:r w:rsidR="00C950B3">
        <w:rPr>
          <w:lang w:eastAsia="ja-JP"/>
        </w:rPr>
        <w:t>professional</w:t>
      </w:r>
      <w:r w:rsidR="00C950B3" w:rsidRPr="001D74FE">
        <w:rPr>
          <w:lang w:eastAsia="ja-JP"/>
        </w:rPr>
        <w:t>s</w:t>
      </w:r>
      <w:r w:rsidR="00C950B3">
        <w:rPr>
          <w:lang w:eastAsia="ja-JP"/>
        </w:rPr>
        <w:t>’</w:t>
      </w:r>
      <w:r w:rsidRPr="001D74FE">
        <w:rPr>
          <w:lang w:eastAsia="ja-JP"/>
        </w:rPr>
        <w:t xml:space="preserve"> awareness of IMAE are strongly recommended as the use of </w:t>
      </w:r>
      <w:proofErr w:type="spellStart"/>
      <w:r w:rsidRPr="001D74FE">
        <w:rPr>
          <w:lang w:eastAsia="ja-JP"/>
        </w:rPr>
        <w:t>nivolumab</w:t>
      </w:r>
      <w:proofErr w:type="spellEnd"/>
      <w:r w:rsidRPr="001D74FE">
        <w:rPr>
          <w:lang w:eastAsia="ja-JP"/>
        </w:rPr>
        <w:t xml:space="preserve"> becomes more wide spread.</w:t>
      </w:r>
    </w:p>
    <w:p w14:paraId="1C6AB517" w14:textId="77777777" w:rsidR="00605AD4" w:rsidRPr="00605AD4" w:rsidRDefault="00605AD4" w:rsidP="00605AD4">
      <w:pPr>
        <w:pStyle w:val="Heading3"/>
        <w:rPr>
          <w:rFonts w:eastAsia="Cambria"/>
        </w:rPr>
      </w:pPr>
      <w:bookmarkStart w:id="91" w:name="_Toc489277876"/>
      <w:r w:rsidRPr="00605AD4">
        <w:rPr>
          <w:rFonts w:eastAsia="Cambria"/>
        </w:rPr>
        <w:lastRenderedPageBreak/>
        <w:t>First Round Benefit-Risk Assessment</w:t>
      </w:r>
      <w:bookmarkEnd w:id="91"/>
    </w:p>
    <w:p w14:paraId="44B2057A" w14:textId="77777777" w:rsidR="00605AD4" w:rsidRDefault="00605AD4" w:rsidP="00605AD4">
      <w:pPr>
        <w:pStyle w:val="Heading4"/>
      </w:pPr>
      <w:r w:rsidRPr="00605AD4">
        <w:t>First round assessment of benefits</w:t>
      </w:r>
    </w:p>
    <w:p w14:paraId="1D219AA7" w14:textId="58427ACC" w:rsidR="00805855" w:rsidRPr="00B51FD4" w:rsidRDefault="00805855" w:rsidP="00805855">
      <w:pPr>
        <w:rPr>
          <w:lang w:eastAsia="ja-JP"/>
        </w:rPr>
      </w:pPr>
      <w:proofErr w:type="spellStart"/>
      <w:r w:rsidRPr="00B51FD4">
        <w:rPr>
          <w:lang w:eastAsia="ja-JP"/>
        </w:rPr>
        <w:t>Nivolumab</w:t>
      </w:r>
      <w:proofErr w:type="spellEnd"/>
      <w:r w:rsidRPr="00B51FD4">
        <w:rPr>
          <w:lang w:eastAsia="ja-JP"/>
        </w:rPr>
        <w:t xml:space="preserve"> has demonstrated clinically meaningful improved overall survival in comparison to </w:t>
      </w:r>
      <w:proofErr w:type="spellStart"/>
      <w:r w:rsidRPr="00B51FD4">
        <w:rPr>
          <w:lang w:eastAsia="ja-JP"/>
        </w:rPr>
        <w:t>everolimus</w:t>
      </w:r>
      <w:proofErr w:type="spellEnd"/>
      <w:r w:rsidRPr="00B51FD4">
        <w:rPr>
          <w:lang w:eastAsia="ja-JP"/>
        </w:rPr>
        <w:t xml:space="preserve"> in patients with advanced clear cell </w:t>
      </w:r>
      <w:r w:rsidR="009B6DCF">
        <w:rPr>
          <w:lang w:eastAsia="ja-JP"/>
        </w:rPr>
        <w:t>RCC</w:t>
      </w:r>
      <w:r w:rsidRPr="00B51FD4">
        <w:rPr>
          <w:lang w:eastAsia="ja-JP"/>
        </w:rPr>
        <w:t xml:space="preserve"> who have progressed despite prior anti-angiogenic therapy</w:t>
      </w:r>
      <w:r w:rsidR="00C950B3">
        <w:rPr>
          <w:lang w:eastAsia="ja-JP"/>
        </w:rPr>
        <w:t xml:space="preserve">. At the median follow-up of 17 to </w:t>
      </w:r>
      <w:r w:rsidRPr="00B51FD4">
        <w:rPr>
          <w:lang w:eastAsia="ja-JP"/>
        </w:rPr>
        <w:t xml:space="preserve">18 months, there had been 183/410 (44.6%) deaths in the </w:t>
      </w:r>
      <w:proofErr w:type="spellStart"/>
      <w:r w:rsidRPr="00B51FD4">
        <w:rPr>
          <w:lang w:eastAsia="ja-JP"/>
        </w:rPr>
        <w:t>nivolumab</w:t>
      </w:r>
      <w:proofErr w:type="spellEnd"/>
      <w:r w:rsidRPr="00B51FD4">
        <w:rPr>
          <w:lang w:eastAsia="ja-JP"/>
        </w:rPr>
        <w:t xml:space="preserve"> arm compared to 215/411 (52.3%) in the </w:t>
      </w:r>
      <w:proofErr w:type="spellStart"/>
      <w:r w:rsidRPr="00B51FD4">
        <w:rPr>
          <w:lang w:eastAsia="ja-JP"/>
        </w:rPr>
        <w:t>everolimus</w:t>
      </w:r>
      <w:proofErr w:type="spellEnd"/>
      <w:r w:rsidRPr="00B51FD4">
        <w:rPr>
          <w:lang w:eastAsia="ja-JP"/>
        </w:rPr>
        <w:t xml:space="preserve"> arm; HR 0.73 (95% CI </w:t>
      </w:r>
      <w:r w:rsidR="00C950B3">
        <w:rPr>
          <w:lang w:eastAsia="ja-JP"/>
        </w:rPr>
        <w:t>0.57, 0.93). Median survival (K</w:t>
      </w:r>
      <w:r w:rsidRPr="00B51FD4">
        <w:rPr>
          <w:lang w:eastAsia="ja-JP"/>
        </w:rPr>
        <w:t>M estimate) was 25.0 months (95%</w:t>
      </w:r>
      <w:r>
        <w:rPr>
          <w:lang w:eastAsia="ja-JP"/>
        </w:rPr>
        <w:t xml:space="preserve"> </w:t>
      </w:r>
      <w:r w:rsidRPr="00B51FD4">
        <w:rPr>
          <w:lang w:eastAsia="ja-JP"/>
        </w:rPr>
        <w:t xml:space="preserve">CI 21.8, NR) in the </w:t>
      </w:r>
      <w:proofErr w:type="spellStart"/>
      <w:r w:rsidRPr="00B51FD4">
        <w:rPr>
          <w:lang w:eastAsia="ja-JP"/>
        </w:rPr>
        <w:t>nivolumab</w:t>
      </w:r>
      <w:proofErr w:type="spellEnd"/>
      <w:r w:rsidRPr="00B51FD4">
        <w:rPr>
          <w:lang w:eastAsia="ja-JP"/>
        </w:rPr>
        <w:t xml:space="preserve"> arm compared to 19.6 months (95% CI 17.6, 23.1).</w:t>
      </w:r>
    </w:p>
    <w:p w14:paraId="2D36B330" w14:textId="77777777" w:rsidR="00805855" w:rsidRPr="00B51FD4" w:rsidRDefault="00805855" w:rsidP="00805855">
      <w:pPr>
        <w:rPr>
          <w:lang w:eastAsia="ja-JP"/>
        </w:rPr>
      </w:pPr>
      <w:r w:rsidRPr="00B51FD4">
        <w:rPr>
          <w:lang w:eastAsia="ja-JP"/>
        </w:rPr>
        <w:t xml:space="preserve">Despite the small improvement in overall survival with </w:t>
      </w:r>
      <w:proofErr w:type="spellStart"/>
      <w:r w:rsidRPr="00B51FD4">
        <w:rPr>
          <w:lang w:eastAsia="ja-JP"/>
        </w:rPr>
        <w:t>nivolumab</w:t>
      </w:r>
      <w:proofErr w:type="spellEnd"/>
      <w:r w:rsidRPr="00B51FD4">
        <w:rPr>
          <w:lang w:eastAsia="ja-JP"/>
        </w:rPr>
        <w:t>, outcome overall was very poor. At the time of analysis for the primary outcome measure (median follow-up of 17</w:t>
      </w:r>
      <w:r>
        <w:rPr>
          <w:lang w:eastAsia="ja-JP"/>
        </w:rPr>
        <w:t xml:space="preserve"> to </w:t>
      </w:r>
      <w:r w:rsidRPr="00B51FD4">
        <w:rPr>
          <w:lang w:eastAsia="ja-JP"/>
        </w:rPr>
        <w:t xml:space="preserve">18 months), only 67/410 patients in the </w:t>
      </w:r>
      <w:proofErr w:type="spellStart"/>
      <w:r w:rsidRPr="00B51FD4">
        <w:rPr>
          <w:lang w:eastAsia="ja-JP"/>
        </w:rPr>
        <w:t>nivolumab</w:t>
      </w:r>
      <w:proofErr w:type="spellEnd"/>
      <w:r w:rsidRPr="00B51FD4">
        <w:rPr>
          <w:lang w:eastAsia="ja-JP"/>
        </w:rPr>
        <w:t xml:space="preserve"> arm and 28/411 patients in the </w:t>
      </w:r>
      <w:proofErr w:type="spellStart"/>
      <w:r w:rsidRPr="00B51FD4">
        <w:rPr>
          <w:lang w:eastAsia="ja-JP"/>
        </w:rPr>
        <w:t>everolimus</w:t>
      </w:r>
      <w:proofErr w:type="spellEnd"/>
      <w:r w:rsidRPr="00B51FD4">
        <w:rPr>
          <w:lang w:eastAsia="ja-JP"/>
        </w:rPr>
        <w:t xml:space="preserve"> arm were continuing with study treatment. A total of 398/821 (48.5%) of patients had died and only 72/821 (8.8%) patients had not developed disease progression.</w:t>
      </w:r>
    </w:p>
    <w:p w14:paraId="26850CF5" w14:textId="60E640B5" w:rsidR="00805855" w:rsidRPr="00B51FD4" w:rsidRDefault="00805855" w:rsidP="00805855">
      <w:pPr>
        <w:rPr>
          <w:lang w:eastAsia="ja-JP"/>
        </w:rPr>
      </w:pPr>
      <w:r w:rsidRPr="00B51FD4">
        <w:rPr>
          <w:lang w:eastAsia="ja-JP"/>
        </w:rPr>
        <w:t>For the increase in overall survival and estimated 5</w:t>
      </w:r>
      <w:r w:rsidR="009B6DCF">
        <w:rPr>
          <w:lang w:eastAsia="ja-JP"/>
        </w:rPr>
        <w:t xml:space="preserve"> </w:t>
      </w:r>
      <w:r w:rsidRPr="00B51FD4">
        <w:rPr>
          <w:lang w:eastAsia="ja-JP"/>
        </w:rPr>
        <w:t xml:space="preserve">months increase in median duration of survival to be meaningful to patients, it is important that it be associated with an acceptable quality of life. The study protocol for the pivotal study describes the use of </w:t>
      </w:r>
      <w:r w:rsidR="00930D79">
        <w:rPr>
          <w:lang w:eastAsia="ja-JP"/>
        </w:rPr>
        <w:t>2 QOL</w:t>
      </w:r>
      <w:r w:rsidRPr="00B51FD4">
        <w:rPr>
          <w:lang w:eastAsia="ja-JP"/>
        </w:rPr>
        <w:t xml:space="preserve"> tools, the FKSI-DRS and the EQ-5D, together with the collection of health resource utilisation data. The results using the FKSI-DRS tool were presented in the</w:t>
      </w:r>
      <w:r w:rsidR="00930D79">
        <w:rPr>
          <w:lang w:eastAsia="ja-JP"/>
        </w:rPr>
        <w:t xml:space="preserve"> CSR</w:t>
      </w:r>
      <w:r w:rsidRPr="00B51FD4">
        <w:rPr>
          <w:lang w:eastAsia="ja-JP"/>
        </w:rPr>
        <w:t xml:space="preserve">. This found no difference in median </w:t>
      </w:r>
      <w:r w:rsidR="00930D79">
        <w:rPr>
          <w:lang w:eastAsia="ja-JP"/>
        </w:rPr>
        <w:t>scores between the two arms at B</w:t>
      </w:r>
      <w:r w:rsidRPr="00B51FD4">
        <w:rPr>
          <w:lang w:eastAsia="ja-JP"/>
        </w:rPr>
        <w:t xml:space="preserve">aseline and at the follow-up visit. There was a small difference favouring </w:t>
      </w:r>
      <w:proofErr w:type="spellStart"/>
      <w:r w:rsidRPr="00B51FD4">
        <w:rPr>
          <w:lang w:eastAsia="ja-JP"/>
        </w:rPr>
        <w:t>nivolumab</w:t>
      </w:r>
      <w:proofErr w:type="spellEnd"/>
      <w:r w:rsidRPr="00B51FD4">
        <w:rPr>
          <w:lang w:eastAsia="ja-JP"/>
        </w:rPr>
        <w:t xml:space="preserve"> in the median scores during treatment. The </w:t>
      </w:r>
      <w:proofErr w:type="gramStart"/>
      <w:r w:rsidRPr="00B51FD4">
        <w:rPr>
          <w:lang w:eastAsia="ja-JP"/>
        </w:rPr>
        <w:t>results of the EQ-5D and health resource utilisation were not presented in the CSR nor is</w:t>
      </w:r>
      <w:proofErr w:type="gramEnd"/>
      <w:r w:rsidRPr="00B51FD4">
        <w:rPr>
          <w:lang w:eastAsia="ja-JP"/>
        </w:rPr>
        <w:t xml:space="preserve"> there any explanation given for their omission</w:t>
      </w:r>
      <w:r>
        <w:rPr>
          <w:lang w:eastAsia="ja-JP"/>
        </w:rPr>
        <w:t>.</w:t>
      </w:r>
    </w:p>
    <w:p w14:paraId="594EE8A5" w14:textId="6E3DB2B0" w:rsidR="00805855" w:rsidRPr="00B51FD4" w:rsidRDefault="00805855" w:rsidP="00805855">
      <w:pPr>
        <w:rPr>
          <w:lang w:eastAsia="ja-JP"/>
        </w:rPr>
      </w:pPr>
      <w:proofErr w:type="spellStart"/>
      <w:r w:rsidRPr="00B51FD4">
        <w:rPr>
          <w:lang w:eastAsia="ja-JP"/>
        </w:rPr>
        <w:t>Everolimus</w:t>
      </w:r>
      <w:proofErr w:type="spellEnd"/>
      <w:r w:rsidRPr="00B51FD4">
        <w:rPr>
          <w:lang w:eastAsia="ja-JP"/>
        </w:rPr>
        <w:t xml:space="preserve"> and </w:t>
      </w:r>
      <w:proofErr w:type="spellStart"/>
      <w:r w:rsidRPr="00B51FD4">
        <w:rPr>
          <w:lang w:eastAsia="ja-JP"/>
        </w:rPr>
        <w:t>axitinib</w:t>
      </w:r>
      <w:proofErr w:type="spellEnd"/>
      <w:r w:rsidRPr="00B51FD4">
        <w:rPr>
          <w:lang w:eastAsia="ja-JP"/>
        </w:rPr>
        <w:t xml:space="preserve"> are currently approved as second line agents for the treatment of advanced </w:t>
      </w:r>
      <w:r w:rsidR="00930D79">
        <w:rPr>
          <w:lang w:eastAsia="ja-JP"/>
        </w:rPr>
        <w:t>RCC</w:t>
      </w:r>
      <w:r w:rsidRPr="00B51FD4">
        <w:rPr>
          <w:lang w:eastAsia="ja-JP"/>
        </w:rPr>
        <w:t xml:space="preserve">. On the basis of improved survival and no worsening in </w:t>
      </w:r>
      <w:r w:rsidR="00930D79">
        <w:rPr>
          <w:lang w:eastAsia="ja-JP"/>
        </w:rPr>
        <w:t>QOL</w:t>
      </w:r>
      <w:r w:rsidRPr="00B51FD4">
        <w:rPr>
          <w:lang w:eastAsia="ja-JP"/>
        </w:rPr>
        <w:t xml:space="preserve">, as demonstrated in Study CA209025, </w:t>
      </w:r>
      <w:proofErr w:type="spellStart"/>
      <w:r w:rsidRPr="00B51FD4">
        <w:rPr>
          <w:lang w:eastAsia="ja-JP"/>
        </w:rPr>
        <w:t>nivolumab</w:t>
      </w:r>
      <w:proofErr w:type="spellEnd"/>
      <w:r w:rsidRPr="00B51FD4">
        <w:rPr>
          <w:lang w:eastAsia="ja-JP"/>
        </w:rPr>
        <w:t xml:space="preserve"> appears to offer an advantage over </w:t>
      </w:r>
      <w:proofErr w:type="spellStart"/>
      <w:r w:rsidRPr="00B51FD4">
        <w:rPr>
          <w:lang w:eastAsia="ja-JP"/>
        </w:rPr>
        <w:t>everolimus</w:t>
      </w:r>
      <w:proofErr w:type="spellEnd"/>
      <w:r w:rsidRPr="00B51FD4">
        <w:rPr>
          <w:lang w:eastAsia="ja-JP"/>
        </w:rPr>
        <w:t xml:space="preserve">. No information has been presented to indicate if </w:t>
      </w:r>
      <w:proofErr w:type="spellStart"/>
      <w:r w:rsidRPr="00B51FD4">
        <w:rPr>
          <w:lang w:eastAsia="ja-JP"/>
        </w:rPr>
        <w:t>nivolumab</w:t>
      </w:r>
      <w:proofErr w:type="spellEnd"/>
      <w:r w:rsidRPr="00B51FD4">
        <w:rPr>
          <w:lang w:eastAsia="ja-JP"/>
        </w:rPr>
        <w:t xml:space="preserve"> offers any advantage over </w:t>
      </w:r>
      <w:proofErr w:type="spellStart"/>
      <w:r w:rsidRPr="00B51FD4">
        <w:rPr>
          <w:lang w:eastAsia="ja-JP"/>
        </w:rPr>
        <w:t>axitinib</w:t>
      </w:r>
      <w:proofErr w:type="spellEnd"/>
      <w:r w:rsidRPr="00B51FD4">
        <w:rPr>
          <w:lang w:eastAsia="ja-JP"/>
        </w:rPr>
        <w:t>.</w:t>
      </w:r>
    </w:p>
    <w:p w14:paraId="5D80469B" w14:textId="0768D098" w:rsidR="00805855" w:rsidRPr="00805855" w:rsidRDefault="00805855" w:rsidP="00805855">
      <w:pPr>
        <w:rPr>
          <w:i/>
          <w:lang w:eastAsia="ja-JP"/>
        </w:rPr>
      </w:pPr>
      <w:r w:rsidRPr="00B51FD4">
        <w:rPr>
          <w:lang w:eastAsia="ja-JP"/>
        </w:rPr>
        <w:t xml:space="preserve">The wording of the proposed indication is also concerning. The sponsor proposes the indication of </w:t>
      </w:r>
      <w:r>
        <w:rPr>
          <w:lang w:eastAsia="ja-JP"/>
        </w:rPr>
        <w:t>monotherapy in ‘</w:t>
      </w:r>
      <w:r w:rsidRPr="00775988">
        <w:rPr>
          <w:bCs/>
          <w:i/>
          <w:iCs/>
          <w:lang w:eastAsia="ja-JP"/>
        </w:rPr>
        <w:t>patients with advanced renal cell carcinoma (RCC) after prior therapy’</w:t>
      </w:r>
      <w:r w:rsidRPr="00B51FD4">
        <w:rPr>
          <w:bCs/>
          <w:iCs/>
          <w:lang w:eastAsia="ja-JP"/>
        </w:rPr>
        <w:t xml:space="preserve"> without any definition of prior therapy or distinguishing the type of RCC. This is not consistent with the population studied in the pivotal trial in which patients with RCC with a clear cell component were included if they had received prior anti-angiogenic treatment. In the discussion of the selection of comparator for the pivotal</w:t>
      </w:r>
      <w:r>
        <w:rPr>
          <w:bCs/>
          <w:iCs/>
          <w:lang w:eastAsia="ja-JP"/>
        </w:rPr>
        <w:t xml:space="preserve"> study, the sponsor noted that ‘</w:t>
      </w:r>
      <w:r w:rsidRPr="00B51FD4">
        <w:rPr>
          <w:i/>
          <w:lang w:eastAsia="ja-JP"/>
        </w:rPr>
        <w:t>A population of subjects who received prior anti-angiogenic therapy, rather than subjects who have received any prior systemic therapy, was chosen because the type of prior regimen received has been shown to have an impact on clinical outcome in subjects with pre-treated advanced or metastatic RCC</w:t>
      </w:r>
      <w:r>
        <w:rPr>
          <w:lang w:eastAsia="ja-JP"/>
        </w:rPr>
        <w:t>’</w:t>
      </w:r>
      <w:r w:rsidRPr="00B51FD4">
        <w:rPr>
          <w:lang w:eastAsia="ja-JP"/>
        </w:rPr>
        <w:t xml:space="preserve">. The wording </w:t>
      </w:r>
      <w:r>
        <w:rPr>
          <w:bCs/>
          <w:iCs/>
          <w:lang w:eastAsia="ja-JP"/>
        </w:rPr>
        <w:t>‘prior therapy’</w:t>
      </w:r>
      <w:r w:rsidRPr="00B51FD4">
        <w:rPr>
          <w:bCs/>
          <w:iCs/>
          <w:lang w:eastAsia="ja-JP"/>
        </w:rPr>
        <w:t xml:space="preserve"> may refer to surgery alone or to systemic therapies other than </w:t>
      </w:r>
      <w:r w:rsidRPr="00B51FD4">
        <w:rPr>
          <w:lang w:eastAsia="ja-JP"/>
        </w:rPr>
        <w:t>anti-angiogenic therapy</w:t>
      </w:r>
      <w:r w:rsidRPr="00B51FD4">
        <w:rPr>
          <w:i/>
          <w:lang w:eastAsia="ja-JP"/>
        </w:rPr>
        <w:t>.</w:t>
      </w:r>
      <w:r w:rsidRPr="00B51FD4">
        <w:rPr>
          <w:bCs/>
          <w:iCs/>
          <w:lang w:eastAsia="ja-JP"/>
        </w:rPr>
        <w:t xml:space="preserve"> The indication, as proposed, could result in patients receiving </w:t>
      </w:r>
      <w:proofErr w:type="spellStart"/>
      <w:r w:rsidRPr="00B51FD4">
        <w:rPr>
          <w:bCs/>
          <w:iCs/>
          <w:lang w:eastAsia="ja-JP"/>
        </w:rPr>
        <w:t>nivolumab</w:t>
      </w:r>
      <w:proofErr w:type="spellEnd"/>
      <w:r w:rsidRPr="00B51FD4">
        <w:rPr>
          <w:bCs/>
          <w:iCs/>
          <w:lang w:eastAsia="ja-JP"/>
        </w:rPr>
        <w:t xml:space="preserve"> in whom the efficacy and safety has not been established </w:t>
      </w:r>
      <w:r>
        <w:rPr>
          <w:bCs/>
          <w:iCs/>
          <w:lang w:eastAsia="ja-JP"/>
        </w:rPr>
        <w:t>for example,</w:t>
      </w:r>
      <w:r w:rsidRPr="00B51FD4">
        <w:rPr>
          <w:bCs/>
          <w:iCs/>
          <w:lang w:eastAsia="ja-JP"/>
        </w:rPr>
        <w:t xml:space="preserve"> patients with non-clear cell carcinoma or patients who have not received anti-angiogenic therapy. The wording of the indication, therefore, should be more specific if the benefit for </w:t>
      </w:r>
      <w:proofErr w:type="spellStart"/>
      <w:r w:rsidRPr="00B51FD4">
        <w:rPr>
          <w:bCs/>
          <w:iCs/>
          <w:lang w:eastAsia="ja-JP"/>
        </w:rPr>
        <w:t>nivolumab</w:t>
      </w:r>
      <w:proofErr w:type="spellEnd"/>
      <w:r w:rsidRPr="00B51FD4">
        <w:rPr>
          <w:bCs/>
          <w:iCs/>
          <w:lang w:eastAsia="ja-JP"/>
        </w:rPr>
        <w:t xml:space="preserve"> is to be realised. The evaluator notes that the indication approved by the FDA used the wording:</w:t>
      </w:r>
      <w:r>
        <w:rPr>
          <w:bCs/>
          <w:iCs/>
          <w:lang w:eastAsia="ja-JP"/>
        </w:rPr>
        <w:t xml:space="preserve"> </w:t>
      </w:r>
      <w:r>
        <w:rPr>
          <w:i/>
          <w:lang w:eastAsia="ja-JP"/>
        </w:rPr>
        <w:t>’</w:t>
      </w:r>
      <w:r w:rsidRPr="00B51FD4">
        <w:rPr>
          <w:i/>
          <w:lang w:eastAsia="ja-JP"/>
        </w:rPr>
        <w:t xml:space="preserve">patients with advanced RCC who had received </w:t>
      </w:r>
      <w:r w:rsidRPr="00775988">
        <w:rPr>
          <w:i/>
          <w:lang w:eastAsia="ja-JP"/>
        </w:rPr>
        <w:t xml:space="preserve">prior </w:t>
      </w:r>
      <w:r w:rsidRPr="00775988">
        <w:rPr>
          <w:i/>
          <w:lang w:val="en" w:eastAsia="ja-JP"/>
        </w:rPr>
        <w:t>anti-angiogenic</w:t>
      </w:r>
      <w:r w:rsidRPr="00B51FD4">
        <w:rPr>
          <w:i/>
          <w:lang w:eastAsia="ja-JP"/>
        </w:rPr>
        <w:t xml:space="preserve"> therapy</w:t>
      </w:r>
      <w:r>
        <w:rPr>
          <w:i/>
          <w:lang w:eastAsia="ja-JP"/>
        </w:rPr>
        <w:t>’</w:t>
      </w:r>
      <w:r w:rsidRPr="00B51FD4">
        <w:rPr>
          <w:lang w:eastAsia="ja-JP"/>
        </w:rPr>
        <w:t xml:space="preserve">. Wording that most accurately reflects the population in the pivotal study (in whom efficacy was demonstrated) is </w:t>
      </w:r>
      <w:r>
        <w:rPr>
          <w:i/>
          <w:lang w:eastAsia="ja-JP"/>
        </w:rPr>
        <w:t>‘</w:t>
      </w:r>
      <w:r w:rsidRPr="00B51FD4">
        <w:rPr>
          <w:i/>
          <w:lang w:eastAsia="ja-JP"/>
        </w:rPr>
        <w:t xml:space="preserve">patients with advanced </w:t>
      </w:r>
      <w:r w:rsidRPr="00775988">
        <w:rPr>
          <w:i/>
          <w:lang w:eastAsia="ja-JP"/>
        </w:rPr>
        <w:t xml:space="preserve">clear cell RCC who had received prior </w:t>
      </w:r>
      <w:r w:rsidRPr="00775988">
        <w:rPr>
          <w:i/>
          <w:lang w:val="en" w:eastAsia="ja-JP"/>
        </w:rPr>
        <w:t>anti-angiogenic</w:t>
      </w:r>
      <w:r>
        <w:rPr>
          <w:i/>
          <w:lang w:eastAsia="ja-JP"/>
        </w:rPr>
        <w:t xml:space="preserve"> therapy’</w:t>
      </w:r>
      <w:r w:rsidRPr="00775988">
        <w:rPr>
          <w:i/>
          <w:lang w:eastAsia="ja-JP"/>
        </w:rPr>
        <w:t>.</w:t>
      </w:r>
    </w:p>
    <w:p w14:paraId="7C88F627" w14:textId="77777777" w:rsidR="00605AD4" w:rsidRDefault="00605AD4" w:rsidP="00605AD4">
      <w:pPr>
        <w:pStyle w:val="Heading4"/>
      </w:pPr>
      <w:r w:rsidRPr="00605AD4">
        <w:lastRenderedPageBreak/>
        <w:t>First round assessment of risks</w:t>
      </w:r>
    </w:p>
    <w:p w14:paraId="52446EBF" w14:textId="31DD3432" w:rsidR="00805855" w:rsidRPr="00B84330" w:rsidRDefault="00805855" w:rsidP="00805855">
      <w:pPr>
        <w:rPr>
          <w:lang w:eastAsia="ja-JP"/>
        </w:rPr>
      </w:pPr>
      <w:r w:rsidRPr="00B84330">
        <w:rPr>
          <w:lang w:eastAsia="ja-JP"/>
        </w:rPr>
        <w:t xml:space="preserve">In general, the safety of </w:t>
      </w:r>
      <w:proofErr w:type="spellStart"/>
      <w:r w:rsidRPr="00B84330">
        <w:rPr>
          <w:lang w:eastAsia="ja-JP"/>
        </w:rPr>
        <w:t>nivolumab</w:t>
      </w:r>
      <w:proofErr w:type="spellEnd"/>
      <w:r w:rsidRPr="00B84330">
        <w:rPr>
          <w:lang w:eastAsia="ja-JP"/>
        </w:rPr>
        <w:t xml:space="preserve"> appears to be acceptable in a population of patients with advanced </w:t>
      </w:r>
      <w:r w:rsidR="00930D79">
        <w:rPr>
          <w:lang w:eastAsia="ja-JP"/>
        </w:rPr>
        <w:t>RCC</w:t>
      </w:r>
      <w:r w:rsidRPr="00B84330">
        <w:rPr>
          <w:lang w:eastAsia="ja-JP"/>
        </w:rPr>
        <w:t xml:space="preserve"> with poor prognosis. However, the evaluator is concerned that a full picture of the most concerning risk, immune-mediated adverse reactions, has not bee</w:t>
      </w:r>
      <w:r>
        <w:rPr>
          <w:lang w:eastAsia="ja-JP"/>
        </w:rPr>
        <w:t>n provided.</w:t>
      </w:r>
      <w:r w:rsidRPr="00B84330">
        <w:rPr>
          <w:lang w:eastAsia="ja-JP"/>
        </w:rPr>
        <w:t xml:space="preserve"> As a result, the frequency and possible clinical consequences of these reactions cannot be adequately assessed. Reliance on post-marketing measures to enable better characterisation of these reactions appears inappropriate given that there is considerable information that should be available from the clinical study programme.</w:t>
      </w:r>
    </w:p>
    <w:p w14:paraId="265982EF" w14:textId="3551298A" w:rsidR="00805855" w:rsidRPr="00B84330" w:rsidRDefault="00805855" w:rsidP="00805855">
      <w:pPr>
        <w:rPr>
          <w:lang w:eastAsia="ja-JP"/>
        </w:rPr>
      </w:pPr>
      <w:r w:rsidRPr="00B84330">
        <w:rPr>
          <w:lang w:eastAsia="ja-JP"/>
        </w:rPr>
        <w:t xml:space="preserve">As an example of the evolving nature of the safety of </w:t>
      </w:r>
      <w:proofErr w:type="spellStart"/>
      <w:r w:rsidRPr="00B84330">
        <w:rPr>
          <w:lang w:eastAsia="ja-JP"/>
        </w:rPr>
        <w:t>nivolumab</w:t>
      </w:r>
      <w:proofErr w:type="spellEnd"/>
      <w:r w:rsidRPr="00B84330">
        <w:rPr>
          <w:lang w:eastAsia="ja-JP"/>
        </w:rPr>
        <w:t xml:space="preserve"> and the need for regular comprehensive review of safety, with this included in any submissions for new indications, the evaluator notes the following in the proposed </w:t>
      </w:r>
      <w:r w:rsidR="00930D79">
        <w:rPr>
          <w:lang w:eastAsia="ja-JP"/>
        </w:rPr>
        <w:t>RMP</w:t>
      </w:r>
      <w:r w:rsidRPr="00B84330">
        <w:rPr>
          <w:lang w:eastAsia="ja-JP"/>
        </w:rPr>
        <w:t>:</w:t>
      </w:r>
    </w:p>
    <w:p w14:paraId="5300D3BB" w14:textId="77777777" w:rsidR="00805855" w:rsidRPr="00CD4C25" w:rsidRDefault="00805855" w:rsidP="00805855">
      <w:pPr>
        <w:rPr>
          <w:i/>
          <w:lang w:eastAsia="ja-JP"/>
        </w:rPr>
      </w:pPr>
      <w:r w:rsidRPr="00CD4C25">
        <w:rPr>
          <w:i/>
          <w:lang w:eastAsia="ja-JP"/>
        </w:rPr>
        <w:t>‘Newly identified safety concerns since the last EU-RMP submitted:</w:t>
      </w:r>
    </w:p>
    <w:p w14:paraId="61C77CA8" w14:textId="2A31974C" w:rsidR="00805855" w:rsidRPr="00CD4C25" w:rsidRDefault="00805855" w:rsidP="00805855">
      <w:pPr>
        <w:rPr>
          <w:i/>
          <w:lang w:eastAsia="ja-JP"/>
        </w:rPr>
      </w:pPr>
      <w:r w:rsidRPr="00CD4C25">
        <w:rPr>
          <w:i/>
          <w:lang w:eastAsia="ja-JP"/>
        </w:rPr>
        <w:t>Across the ongoing clinical program, a new adverse drug re</w:t>
      </w:r>
      <w:r w:rsidR="00930D79">
        <w:rPr>
          <w:i/>
          <w:lang w:eastAsia="ja-JP"/>
        </w:rPr>
        <w:t>action (ADR) of toxic epidermal</w:t>
      </w:r>
      <w:r w:rsidRPr="00CD4C25">
        <w:rPr>
          <w:i/>
          <w:lang w:eastAsia="ja-JP"/>
        </w:rPr>
        <w:t xml:space="preserve"> necrolysis (TEN) was identified based on one additional case of TEN with fatal outcome on </w:t>
      </w:r>
      <w:proofErr w:type="spellStart"/>
      <w:r w:rsidRPr="00CD4C25">
        <w:rPr>
          <w:i/>
          <w:lang w:eastAsia="ja-JP"/>
        </w:rPr>
        <w:t>nivolumab</w:t>
      </w:r>
      <w:proofErr w:type="spellEnd"/>
      <w:r w:rsidRPr="00CD4C25">
        <w:rPr>
          <w:i/>
          <w:lang w:eastAsia="ja-JP"/>
        </w:rPr>
        <w:t xml:space="preserve"> monotherapy (2 previous cases included one case that occurred on subsequent Bactrim after discontinuation from </w:t>
      </w:r>
      <w:proofErr w:type="spellStart"/>
      <w:r w:rsidRPr="00CD4C25">
        <w:rPr>
          <w:i/>
          <w:lang w:eastAsia="ja-JP"/>
        </w:rPr>
        <w:t>nivolumab</w:t>
      </w:r>
      <w:proofErr w:type="spellEnd"/>
      <w:r w:rsidRPr="00CD4C25">
        <w:rPr>
          <w:i/>
          <w:lang w:eastAsia="ja-JP"/>
        </w:rPr>
        <w:t xml:space="preserve"> and </w:t>
      </w:r>
      <w:proofErr w:type="spellStart"/>
      <w:r w:rsidRPr="00CD4C25">
        <w:rPr>
          <w:i/>
          <w:lang w:eastAsia="ja-JP"/>
        </w:rPr>
        <w:t>ipilimumab</w:t>
      </w:r>
      <w:proofErr w:type="spellEnd"/>
      <w:r w:rsidRPr="00CD4C25">
        <w:rPr>
          <w:i/>
          <w:lang w:eastAsia="ja-JP"/>
        </w:rPr>
        <w:t xml:space="preserve"> (one dose) due to colitis, and 1 case occurred on subsequent </w:t>
      </w:r>
      <w:proofErr w:type="spellStart"/>
      <w:r w:rsidRPr="00CD4C25">
        <w:rPr>
          <w:i/>
          <w:lang w:eastAsia="ja-JP"/>
        </w:rPr>
        <w:t>ipilimumab</w:t>
      </w:r>
      <w:proofErr w:type="spellEnd"/>
      <w:r w:rsidRPr="00CD4C25">
        <w:rPr>
          <w:i/>
          <w:lang w:eastAsia="ja-JP"/>
        </w:rPr>
        <w:t xml:space="preserve"> after discontinuation from </w:t>
      </w:r>
      <w:proofErr w:type="spellStart"/>
      <w:r w:rsidRPr="00CD4C25">
        <w:rPr>
          <w:i/>
          <w:lang w:eastAsia="ja-JP"/>
        </w:rPr>
        <w:t>nivolumab</w:t>
      </w:r>
      <w:proofErr w:type="spellEnd"/>
      <w:r w:rsidRPr="00CD4C25">
        <w:rPr>
          <w:i/>
          <w:lang w:eastAsia="ja-JP"/>
        </w:rPr>
        <w:t xml:space="preserve"> due to erythema </w:t>
      </w:r>
      <w:proofErr w:type="spellStart"/>
      <w:r w:rsidRPr="00CD4C25">
        <w:rPr>
          <w:i/>
          <w:lang w:eastAsia="ja-JP"/>
        </w:rPr>
        <w:t>multiforme</w:t>
      </w:r>
      <w:proofErr w:type="spellEnd"/>
      <w:r w:rsidRPr="00CD4C25">
        <w:rPr>
          <w:i/>
          <w:lang w:eastAsia="ja-JP"/>
        </w:rPr>
        <w:t>). The estimated frequency of TEN is rare (3 cases (0.03%, 3/8490)) and TEN is added to the immune-related rash category under important identified risks.</w:t>
      </w:r>
    </w:p>
    <w:p w14:paraId="3D061D10" w14:textId="77777777" w:rsidR="00805855" w:rsidRPr="00CD4C25" w:rsidRDefault="00805855" w:rsidP="00805855">
      <w:pPr>
        <w:rPr>
          <w:i/>
          <w:lang w:eastAsia="ja-JP"/>
        </w:rPr>
      </w:pPr>
      <w:r w:rsidRPr="00CD4C25">
        <w:rPr>
          <w:i/>
          <w:lang w:eastAsia="ja-JP"/>
        </w:rPr>
        <w:t xml:space="preserve">Another new ADR of encephalitis was identified during routine pharmacovigilance signal detection activities from the ongoing </w:t>
      </w:r>
      <w:proofErr w:type="spellStart"/>
      <w:r w:rsidRPr="00CD4C25">
        <w:rPr>
          <w:i/>
          <w:lang w:eastAsia="ja-JP"/>
        </w:rPr>
        <w:t>nivolumab</w:t>
      </w:r>
      <w:proofErr w:type="spellEnd"/>
      <w:r w:rsidRPr="00CD4C25">
        <w:rPr>
          <w:i/>
          <w:lang w:eastAsia="ja-JP"/>
        </w:rPr>
        <w:t xml:space="preserve"> clinical program. As of 29 April 2015, five cases (1 on </w:t>
      </w:r>
      <w:proofErr w:type="spellStart"/>
      <w:r w:rsidRPr="00CD4C25">
        <w:rPr>
          <w:i/>
          <w:lang w:eastAsia="ja-JP"/>
        </w:rPr>
        <w:t>nivoliumab</w:t>
      </w:r>
      <w:proofErr w:type="spellEnd"/>
      <w:r w:rsidRPr="00CD4C25">
        <w:rPr>
          <w:i/>
          <w:lang w:eastAsia="ja-JP"/>
        </w:rPr>
        <w:t xml:space="preserve"> monotherapy, 4 on combinational therapies of </w:t>
      </w:r>
      <w:proofErr w:type="spellStart"/>
      <w:r w:rsidRPr="00CD4C25">
        <w:rPr>
          <w:i/>
          <w:lang w:eastAsia="ja-JP"/>
        </w:rPr>
        <w:t>nivolumab</w:t>
      </w:r>
      <w:proofErr w:type="spellEnd"/>
      <w:r w:rsidRPr="00CD4C25">
        <w:rPr>
          <w:i/>
          <w:lang w:eastAsia="ja-JP"/>
        </w:rPr>
        <w:t xml:space="preserve"> + </w:t>
      </w:r>
      <w:proofErr w:type="spellStart"/>
      <w:r w:rsidRPr="00CD4C25">
        <w:rPr>
          <w:i/>
          <w:lang w:eastAsia="ja-JP"/>
        </w:rPr>
        <w:t>ipilimumab</w:t>
      </w:r>
      <w:proofErr w:type="spellEnd"/>
      <w:r w:rsidRPr="00CD4C25">
        <w:rPr>
          <w:i/>
          <w:lang w:eastAsia="ja-JP"/>
        </w:rPr>
        <w:t xml:space="preserve">) were identified and considered related to study drug(s). The estimated frequency of encephalitis was rare at 0.01% (1/6718) in </w:t>
      </w:r>
      <w:proofErr w:type="spellStart"/>
      <w:r w:rsidRPr="00CD4C25">
        <w:rPr>
          <w:i/>
          <w:lang w:eastAsia="ja-JP"/>
        </w:rPr>
        <w:t>nivolumab</w:t>
      </w:r>
      <w:proofErr w:type="spellEnd"/>
      <w:r w:rsidRPr="00CD4C25">
        <w:rPr>
          <w:i/>
          <w:lang w:eastAsia="ja-JP"/>
        </w:rPr>
        <w:t xml:space="preserve"> monotherapy and uncommon at 0.2% (4/1772) in </w:t>
      </w:r>
      <w:proofErr w:type="spellStart"/>
      <w:r w:rsidRPr="00CD4C25">
        <w:rPr>
          <w:i/>
          <w:lang w:eastAsia="ja-JP"/>
        </w:rPr>
        <w:t>nivolumab</w:t>
      </w:r>
      <w:proofErr w:type="spellEnd"/>
      <w:r w:rsidRPr="00CD4C25">
        <w:rPr>
          <w:i/>
          <w:lang w:eastAsia="ja-JP"/>
        </w:rPr>
        <w:t xml:space="preserve"> + </w:t>
      </w:r>
      <w:proofErr w:type="spellStart"/>
      <w:r w:rsidRPr="00CD4C25">
        <w:rPr>
          <w:i/>
          <w:lang w:eastAsia="ja-JP"/>
        </w:rPr>
        <w:t>ipilimumab</w:t>
      </w:r>
      <w:proofErr w:type="spellEnd"/>
      <w:r w:rsidRPr="00CD4C25">
        <w:rPr>
          <w:i/>
          <w:lang w:eastAsia="ja-JP"/>
        </w:rPr>
        <w:t xml:space="preserve"> combination therapy studies. Based on this information, encephalitis was considered as an ADR of </w:t>
      </w:r>
      <w:proofErr w:type="spellStart"/>
      <w:r w:rsidRPr="00CD4C25">
        <w:rPr>
          <w:i/>
          <w:lang w:eastAsia="ja-JP"/>
        </w:rPr>
        <w:t>nivolumab</w:t>
      </w:r>
      <w:proofErr w:type="spellEnd"/>
      <w:r w:rsidRPr="00CD4C25">
        <w:rPr>
          <w:i/>
          <w:lang w:eastAsia="ja-JP"/>
        </w:rPr>
        <w:t xml:space="preserve"> and is added to the ‘other immune-related adverse reactions’ category under important identified risks.’</w:t>
      </w:r>
    </w:p>
    <w:p w14:paraId="2E95B519" w14:textId="72C23290" w:rsidR="00805855" w:rsidRPr="00B84330" w:rsidRDefault="00805855" w:rsidP="00805855">
      <w:pPr>
        <w:rPr>
          <w:lang w:eastAsia="ja-JP"/>
        </w:rPr>
      </w:pPr>
      <w:r w:rsidRPr="00B84330">
        <w:rPr>
          <w:lang w:eastAsia="ja-JP"/>
        </w:rPr>
        <w:t xml:space="preserve">Encephalitis is mentioned under </w:t>
      </w:r>
      <w:r>
        <w:rPr>
          <w:lang w:eastAsia="ja-JP"/>
        </w:rPr>
        <w:t>‘</w:t>
      </w:r>
      <w:r w:rsidRPr="00B84330">
        <w:rPr>
          <w:lang w:eastAsia="ja-JP"/>
        </w:rPr>
        <w:t>Other Immune-related adverse reactions</w:t>
      </w:r>
      <w:r>
        <w:rPr>
          <w:lang w:eastAsia="ja-JP"/>
        </w:rPr>
        <w:t>’</w:t>
      </w:r>
      <w:r w:rsidRPr="00B84330">
        <w:rPr>
          <w:lang w:eastAsia="ja-JP"/>
        </w:rPr>
        <w:t>, without fatal outcome being described, in the proposed PI. Toxic epidermal necrolysis</w:t>
      </w:r>
      <w:r w:rsidR="00930D79">
        <w:rPr>
          <w:lang w:eastAsia="ja-JP"/>
        </w:rPr>
        <w:t xml:space="preserve"> (TEN)</w:t>
      </w:r>
      <w:r w:rsidRPr="00B84330">
        <w:rPr>
          <w:lang w:eastAsia="ja-JP"/>
        </w:rPr>
        <w:t xml:space="preserve"> is not explicitly mentioned in the proposed PI. </w:t>
      </w:r>
      <w:proofErr w:type="gramStart"/>
      <w:r w:rsidRPr="00B84330">
        <w:rPr>
          <w:lang w:eastAsia="ja-JP"/>
        </w:rPr>
        <w:t xml:space="preserve">The term </w:t>
      </w:r>
      <w:r>
        <w:rPr>
          <w:i/>
          <w:lang w:eastAsia="ja-JP"/>
        </w:rPr>
        <w:t>‘</w:t>
      </w:r>
      <w:r w:rsidRPr="00B84330">
        <w:rPr>
          <w:i/>
          <w:lang w:eastAsia="ja-JP"/>
        </w:rPr>
        <w:t>Immune-related</w:t>
      </w:r>
      <w:r>
        <w:rPr>
          <w:i/>
          <w:lang w:eastAsia="ja-JP"/>
        </w:rPr>
        <w:t xml:space="preserve"> rash and severe skin reactions’</w:t>
      </w:r>
      <w:r w:rsidRPr="00B84330">
        <w:rPr>
          <w:i/>
          <w:lang w:eastAsia="ja-JP"/>
        </w:rPr>
        <w:t xml:space="preserve"> </w:t>
      </w:r>
      <w:r w:rsidRPr="00B84330">
        <w:rPr>
          <w:lang w:eastAsia="ja-JP"/>
        </w:rPr>
        <w:t xml:space="preserve">which is used has quite different clinical connotations from </w:t>
      </w:r>
      <w:r w:rsidR="00930D79">
        <w:rPr>
          <w:lang w:eastAsia="ja-JP"/>
        </w:rPr>
        <w:t>TEN</w:t>
      </w:r>
      <w:r w:rsidRPr="00B84330">
        <w:rPr>
          <w:lang w:eastAsia="ja-JP"/>
        </w:rPr>
        <w:t>.</w:t>
      </w:r>
      <w:proofErr w:type="gramEnd"/>
      <w:r w:rsidRPr="00B84330">
        <w:rPr>
          <w:lang w:eastAsia="ja-JP"/>
        </w:rPr>
        <w:t xml:space="preserve"> Neither of these </w:t>
      </w:r>
      <w:proofErr w:type="spellStart"/>
      <w:r w:rsidR="00D8296A">
        <w:rPr>
          <w:lang w:eastAsia="ja-JP"/>
        </w:rPr>
        <w:t>irARs</w:t>
      </w:r>
      <w:proofErr w:type="spellEnd"/>
      <w:r w:rsidRPr="00B84330">
        <w:rPr>
          <w:lang w:eastAsia="ja-JP"/>
        </w:rPr>
        <w:t xml:space="preserve"> was repo</w:t>
      </w:r>
      <w:r w:rsidR="00930D79">
        <w:rPr>
          <w:lang w:eastAsia="ja-JP"/>
        </w:rPr>
        <w:t>rted in Study CA209025 or Study </w:t>
      </w:r>
      <w:r w:rsidRPr="00B84330">
        <w:rPr>
          <w:lang w:eastAsia="ja-JP"/>
        </w:rPr>
        <w:t>CA209010. Reliance on the safety assessment as provided</w:t>
      </w:r>
      <w:r w:rsidR="00930D79">
        <w:rPr>
          <w:lang w:eastAsia="ja-JP"/>
        </w:rPr>
        <w:t xml:space="preserve"> by the sponsor in the Summary o</w:t>
      </w:r>
      <w:r w:rsidRPr="00B84330">
        <w:rPr>
          <w:lang w:eastAsia="ja-JP"/>
        </w:rPr>
        <w:t>f Clinical Safety and Clinical Overview would result in under-appreciation of the potential significance of IMAE.</w:t>
      </w:r>
    </w:p>
    <w:p w14:paraId="40514218" w14:textId="77777777" w:rsidR="00805855" w:rsidRPr="00B84330" w:rsidRDefault="00805855" w:rsidP="00805855">
      <w:pPr>
        <w:rPr>
          <w:lang w:eastAsia="ja-JP"/>
        </w:rPr>
      </w:pPr>
      <w:r w:rsidRPr="00B84330">
        <w:rPr>
          <w:lang w:eastAsia="ja-JP"/>
        </w:rPr>
        <w:t xml:space="preserve">The evaluator is also concerned that there has not been sufficient consideration given to where and how these patients may present for emergency care. Patients from outer suburban, rural and regional centres in Australia may receive their treatment with </w:t>
      </w:r>
      <w:proofErr w:type="spellStart"/>
      <w:r w:rsidRPr="00B84330">
        <w:rPr>
          <w:lang w:eastAsia="ja-JP"/>
        </w:rPr>
        <w:t>nivolumab</w:t>
      </w:r>
      <w:proofErr w:type="spellEnd"/>
      <w:r w:rsidRPr="00B84330">
        <w:rPr>
          <w:lang w:eastAsia="ja-JP"/>
        </w:rPr>
        <w:t xml:space="preserve"> in tertiary referral hospitals in the nearest city but may present to their local doctor or local emergency department when they become acutely unwell. Given that </w:t>
      </w:r>
      <w:proofErr w:type="spellStart"/>
      <w:r w:rsidRPr="00B84330">
        <w:rPr>
          <w:lang w:eastAsia="ja-JP"/>
        </w:rPr>
        <w:t>nivolumab</w:t>
      </w:r>
      <w:proofErr w:type="spellEnd"/>
      <w:r w:rsidRPr="00B84330">
        <w:rPr>
          <w:lang w:eastAsia="ja-JP"/>
        </w:rPr>
        <w:t xml:space="preserve"> is new in clinical practice and has an adverse effect profile unlike that of any other class of anti-tumour treatment, medical practitioners providing emergency care cannot be expected to be familiar with immune mediated adverse reactions. As a result, appropriate treatment may be delayed, with </w:t>
      </w:r>
      <w:r>
        <w:rPr>
          <w:lang w:eastAsia="ja-JP"/>
        </w:rPr>
        <w:t>worse outcomes for the patient</w:t>
      </w:r>
      <w:r w:rsidRPr="00B84330">
        <w:rPr>
          <w:lang w:eastAsia="ja-JP"/>
        </w:rPr>
        <w:t>. Early treatment of the severe manifestations of immune mediated adverse reactions is essential. The evaluator notes that in regard to 2 of the 5 patients who died due to pneumonitis in Study C</w:t>
      </w:r>
      <w:r>
        <w:rPr>
          <w:lang w:eastAsia="ja-JP"/>
        </w:rPr>
        <w:t>A209003, the draft RMP states: ‘</w:t>
      </w:r>
      <w:r w:rsidRPr="00B84330">
        <w:rPr>
          <w:i/>
          <w:lang w:eastAsia="ja-JP"/>
        </w:rPr>
        <w:t xml:space="preserve">In the first 2 subjects, there was a delay of approximately 1 to 2 weeks between the onset of symptoms and treatment with high doses of corticosteroids. Earlier recognition and treatment with higher dose corticosteroids may have led to a different outcome, as has been reported for GI toxicity elicited by </w:t>
      </w:r>
      <w:proofErr w:type="spellStart"/>
      <w:r w:rsidRPr="00B84330">
        <w:rPr>
          <w:i/>
          <w:lang w:eastAsia="ja-JP"/>
        </w:rPr>
        <w:t>ipilimumab</w:t>
      </w:r>
      <w:proofErr w:type="spellEnd"/>
      <w:r>
        <w:rPr>
          <w:lang w:eastAsia="ja-JP"/>
        </w:rPr>
        <w:t>.’</w:t>
      </w:r>
    </w:p>
    <w:p w14:paraId="08616D89" w14:textId="1D97C877" w:rsidR="00805855" w:rsidRPr="00B84330" w:rsidRDefault="00805855" w:rsidP="00805855">
      <w:pPr>
        <w:rPr>
          <w:lang w:eastAsia="ja-JP"/>
        </w:rPr>
      </w:pPr>
      <w:r w:rsidRPr="00B84330">
        <w:rPr>
          <w:lang w:eastAsia="ja-JP"/>
        </w:rPr>
        <w:lastRenderedPageBreak/>
        <w:t>The evaluator notes that similar concerns have been addressed by other regulatory bodies, in particular the EMA. A requirement for marketing both PD-1 monoclonal antibodies (</w:t>
      </w:r>
      <w:proofErr w:type="spellStart"/>
      <w:r w:rsidRPr="00B84330">
        <w:rPr>
          <w:lang w:eastAsia="ja-JP"/>
        </w:rPr>
        <w:t>pembrolizumab</w:t>
      </w:r>
      <w:proofErr w:type="spellEnd"/>
      <w:r w:rsidRPr="00B84330">
        <w:rPr>
          <w:lang w:eastAsia="ja-JP"/>
        </w:rPr>
        <w:t xml:space="preserve"> and </w:t>
      </w:r>
      <w:proofErr w:type="spellStart"/>
      <w:r w:rsidRPr="00B84330">
        <w:rPr>
          <w:lang w:eastAsia="ja-JP"/>
        </w:rPr>
        <w:t>nivolumab</w:t>
      </w:r>
      <w:proofErr w:type="spellEnd"/>
      <w:r w:rsidRPr="00B84330">
        <w:rPr>
          <w:lang w:eastAsia="ja-JP"/>
        </w:rPr>
        <w:t xml:space="preserve">) in the EU is that the patient </w:t>
      </w:r>
      <w:r w:rsidR="00244BAC">
        <w:rPr>
          <w:lang w:eastAsia="ja-JP"/>
        </w:rPr>
        <w:t>is</w:t>
      </w:r>
      <w:r w:rsidR="00244BAC" w:rsidRPr="00B84330">
        <w:rPr>
          <w:lang w:eastAsia="ja-JP"/>
        </w:rPr>
        <w:t xml:space="preserve"> </w:t>
      </w:r>
      <w:r w:rsidRPr="00B84330">
        <w:rPr>
          <w:lang w:eastAsia="ja-JP"/>
        </w:rPr>
        <w:t>provided with a patient alert card and that physician education be provided.</w:t>
      </w:r>
    </w:p>
    <w:p w14:paraId="1CB3D9F1" w14:textId="77777777" w:rsidR="00805855" w:rsidRPr="00B84330" w:rsidRDefault="00805855" w:rsidP="00805855">
      <w:pPr>
        <w:rPr>
          <w:bCs/>
          <w:iCs/>
          <w:lang w:eastAsia="ja-JP"/>
        </w:rPr>
      </w:pPr>
      <w:r w:rsidRPr="00B84330">
        <w:rPr>
          <w:bCs/>
          <w:iCs/>
          <w:lang w:eastAsia="ja-JP"/>
        </w:rPr>
        <w:t xml:space="preserve">The evaluator is of the opinion that, if </w:t>
      </w:r>
      <w:proofErr w:type="spellStart"/>
      <w:r w:rsidRPr="00B84330">
        <w:rPr>
          <w:bCs/>
          <w:iCs/>
          <w:lang w:eastAsia="ja-JP"/>
        </w:rPr>
        <w:t>nivolumab</w:t>
      </w:r>
      <w:proofErr w:type="spellEnd"/>
      <w:r w:rsidRPr="00B84330">
        <w:rPr>
          <w:bCs/>
          <w:iCs/>
          <w:lang w:eastAsia="ja-JP"/>
        </w:rPr>
        <w:t xml:space="preserve"> is to be approved for the proposed indication, this approval should be contingent upon the adoption of additional safety measures as indicated by the changes in</w:t>
      </w:r>
      <w:r w:rsidRPr="00B84330">
        <w:rPr>
          <w:bCs/>
          <w:i/>
          <w:iCs/>
          <w:lang w:eastAsia="ja-JP"/>
        </w:rPr>
        <w:t xml:space="preserve"> </w:t>
      </w:r>
      <w:r w:rsidRPr="00B84330">
        <w:rPr>
          <w:bCs/>
          <w:iCs/>
          <w:lang w:eastAsia="ja-JP"/>
        </w:rPr>
        <w:t xml:space="preserve">product documentation </w:t>
      </w:r>
      <w:r>
        <w:rPr>
          <w:bCs/>
          <w:iCs/>
          <w:lang w:eastAsia="ja-JP"/>
        </w:rPr>
        <w:t xml:space="preserve">recommended. </w:t>
      </w:r>
      <w:r w:rsidRPr="00B84330">
        <w:rPr>
          <w:bCs/>
          <w:iCs/>
          <w:lang w:eastAsia="ja-JP"/>
        </w:rPr>
        <w:t>These include:</w:t>
      </w:r>
    </w:p>
    <w:p w14:paraId="3ABCBCBB" w14:textId="77777777" w:rsidR="00805855" w:rsidRPr="00B84330" w:rsidRDefault="00805855" w:rsidP="000E4CDF">
      <w:pPr>
        <w:pStyle w:val="Numberbullet0"/>
        <w:numPr>
          <w:ilvl w:val="0"/>
          <w:numId w:val="18"/>
        </w:numPr>
        <w:rPr>
          <w:lang w:eastAsia="ja-JP"/>
        </w:rPr>
      </w:pPr>
      <w:r w:rsidRPr="00B84330">
        <w:rPr>
          <w:lang w:eastAsia="ja-JP"/>
        </w:rPr>
        <w:t>Substantial revision of the product information</w:t>
      </w:r>
    </w:p>
    <w:p w14:paraId="75A12507" w14:textId="77777777" w:rsidR="00805855" w:rsidRPr="00B84330" w:rsidRDefault="00805855" w:rsidP="00805855">
      <w:pPr>
        <w:rPr>
          <w:bCs/>
          <w:iCs/>
          <w:lang w:eastAsia="ja-JP"/>
        </w:rPr>
      </w:pPr>
      <w:r w:rsidRPr="00B84330">
        <w:rPr>
          <w:bCs/>
          <w:iCs/>
          <w:lang w:eastAsia="ja-JP"/>
        </w:rPr>
        <w:t>The proposed version constitutes a safety risk due to excessive length impairing easy access to important safety information</w:t>
      </w:r>
      <w:r>
        <w:rPr>
          <w:bCs/>
          <w:iCs/>
          <w:lang w:eastAsia="ja-JP"/>
        </w:rPr>
        <w:t>:</w:t>
      </w:r>
    </w:p>
    <w:p w14:paraId="4216683E" w14:textId="722ECEEA" w:rsidR="00805855" w:rsidRPr="00B84330" w:rsidRDefault="00930D79" w:rsidP="000E4CDF">
      <w:pPr>
        <w:pStyle w:val="Numberbullet0"/>
        <w:numPr>
          <w:ilvl w:val="0"/>
          <w:numId w:val="5"/>
        </w:numPr>
        <w:rPr>
          <w:lang w:eastAsia="ja-JP"/>
        </w:rPr>
      </w:pPr>
      <w:r>
        <w:rPr>
          <w:lang w:eastAsia="ja-JP"/>
        </w:rPr>
        <w:t>Revision of the Consumer Medicine I</w:t>
      </w:r>
      <w:r w:rsidR="00805855" w:rsidRPr="00B84330">
        <w:rPr>
          <w:lang w:eastAsia="ja-JP"/>
        </w:rPr>
        <w:t>nformation</w:t>
      </w:r>
      <w:r>
        <w:rPr>
          <w:lang w:eastAsia="ja-JP"/>
        </w:rPr>
        <w:t xml:space="preserve"> (CMI)</w:t>
      </w:r>
    </w:p>
    <w:p w14:paraId="70A9DF2C" w14:textId="77777777" w:rsidR="00805855" w:rsidRPr="00B84330" w:rsidRDefault="00805855" w:rsidP="000E4CDF">
      <w:pPr>
        <w:pStyle w:val="Numberbullet0"/>
        <w:numPr>
          <w:ilvl w:val="0"/>
          <w:numId w:val="5"/>
        </w:numPr>
        <w:rPr>
          <w:lang w:eastAsia="ja-JP"/>
        </w:rPr>
      </w:pPr>
      <w:r w:rsidRPr="00B84330">
        <w:rPr>
          <w:bCs/>
          <w:iCs/>
          <w:lang w:eastAsia="ja-JP"/>
        </w:rPr>
        <w:t>Introduction of a patient safety alert in wallet card format</w:t>
      </w:r>
    </w:p>
    <w:p w14:paraId="3FE39438" w14:textId="03AC423C" w:rsidR="00805855" w:rsidRPr="00B84330" w:rsidRDefault="00805855" w:rsidP="000E4CDF">
      <w:pPr>
        <w:pStyle w:val="Numberbullet0"/>
        <w:numPr>
          <w:ilvl w:val="0"/>
          <w:numId w:val="5"/>
        </w:numPr>
        <w:rPr>
          <w:lang w:eastAsia="ja-JP"/>
        </w:rPr>
      </w:pPr>
      <w:r w:rsidRPr="00B84330">
        <w:rPr>
          <w:lang w:eastAsia="ja-JP"/>
        </w:rPr>
        <w:t>Introduction of a Healthcare professional</w:t>
      </w:r>
      <w:r w:rsidR="00930D79">
        <w:rPr>
          <w:lang w:eastAsia="ja-JP"/>
        </w:rPr>
        <w:t xml:space="preserve"> (HCP)</w:t>
      </w:r>
      <w:r w:rsidRPr="00B84330">
        <w:rPr>
          <w:lang w:eastAsia="ja-JP"/>
        </w:rPr>
        <w:t xml:space="preserve"> education brochure</w:t>
      </w:r>
    </w:p>
    <w:p w14:paraId="18B9FE4A" w14:textId="55837736" w:rsidR="00805855" w:rsidRPr="00B84330" w:rsidRDefault="00805855" w:rsidP="00805855">
      <w:pPr>
        <w:rPr>
          <w:lang w:eastAsia="ja-JP"/>
        </w:rPr>
      </w:pPr>
      <w:r w:rsidRPr="00B84330">
        <w:rPr>
          <w:lang w:eastAsia="ja-JP"/>
        </w:rPr>
        <w:t xml:space="preserve">The evaluator notes that the </w:t>
      </w:r>
      <w:r w:rsidR="00930D79">
        <w:rPr>
          <w:lang w:eastAsia="ja-JP"/>
        </w:rPr>
        <w:t xml:space="preserve">ASA </w:t>
      </w:r>
      <w:r w:rsidRPr="00B84330">
        <w:rPr>
          <w:lang w:eastAsia="ja-JP"/>
        </w:rPr>
        <w:t xml:space="preserve">of the </w:t>
      </w:r>
      <w:r w:rsidR="00930D79">
        <w:rPr>
          <w:lang w:eastAsia="ja-JP"/>
        </w:rPr>
        <w:t>RMP</w:t>
      </w:r>
      <w:r>
        <w:rPr>
          <w:lang w:eastAsia="ja-JP"/>
        </w:rPr>
        <w:t xml:space="preserve"> describes ‘</w:t>
      </w:r>
      <w:r w:rsidRPr="00B84330">
        <w:rPr>
          <w:lang w:eastAsia="ja-JP"/>
        </w:rPr>
        <w:t>additi</w:t>
      </w:r>
      <w:r>
        <w:rPr>
          <w:lang w:eastAsia="ja-JP"/>
        </w:rPr>
        <w:t>onal risk minimisation measures’</w:t>
      </w:r>
      <w:r w:rsidRPr="00B84330">
        <w:rPr>
          <w:lang w:eastAsia="ja-JP"/>
        </w:rPr>
        <w:t xml:space="preserve"> of a Patient Communication tool and </w:t>
      </w:r>
      <w:r w:rsidR="00930D79">
        <w:rPr>
          <w:lang w:eastAsia="ja-JP"/>
        </w:rPr>
        <w:t>HCP</w:t>
      </w:r>
      <w:r w:rsidRPr="00B84330">
        <w:rPr>
          <w:lang w:eastAsia="ja-JP"/>
        </w:rPr>
        <w:t xml:space="preserve"> tool. The evaluator has been able to loca</w:t>
      </w:r>
      <w:r>
        <w:rPr>
          <w:lang w:eastAsia="ja-JP"/>
        </w:rPr>
        <w:t>te a limited description of an ‘</w:t>
      </w:r>
      <w:r w:rsidRPr="00B84330">
        <w:rPr>
          <w:lang w:eastAsia="ja-JP"/>
        </w:rPr>
        <w:t>Ad</w:t>
      </w:r>
      <w:r>
        <w:rPr>
          <w:lang w:eastAsia="ja-JP"/>
        </w:rPr>
        <w:t>verse Reaction Management Guide’ and ‘Patient Alert Card’</w:t>
      </w:r>
      <w:r w:rsidRPr="00B84330">
        <w:rPr>
          <w:lang w:eastAsia="ja-JP"/>
        </w:rPr>
        <w:t xml:space="preserve"> </w:t>
      </w:r>
      <w:r>
        <w:rPr>
          <w:lang w:eastAsia="ja-JP"/>
        </w:rPr>
        <w:t>in the</w:t>
      </w:r>
      <w:r w:rsidRPr="00B84330">
        <w:rPr>
          <w:lang w:eastAsia="ja-JP"/>
        </w:rPr>
        <w:t xml:space="preserve"> RMP. It is not clear to the evaluator as to whe</w:t>
      </w:r>
      <w:r>
        <w:rPr>
          <w:lang w:eastAsia="ja-JP"/>
        </w:rPr>
        <w:t>ther these are the same as the ‘Patient communication tool’ and ‘</w:t>
      </w:r>
      <w:r w:rsidR="000A6898">
        <w:rPr>
          <w:lang w:eastAsia="ja-JP"/>
        </w:rPr>
        <w:t>HCP</w:t>
      </w:r>
      <w:r>
        <w:rPr>
          <w:lang w:eastAsia="ja-JP"/>
        </w:rPr>
        <w:t xml:space="preserve"> tool’</w:t>
      </w:r>
      <w:r w:rsidRPr="00B84330">
        <w:rPr>
          <w:lang w:eastAsia="ja-JP"/>
        </w:rPr>
        <w:t xml:space="preserve"> and no mock-ups or samples are provided in the draft RMP. Nor is it clear to whether these additional risk management measures have, in fact, been implemented in Australia.</w:t>
      </w:r>
    </w:p>
    <w:p w14:paraId="0497E54D" w14:textId="1E325A8A" w:rsidR="00805855" w:rsidRPr="00805855" w:rsidRDefault="00805855" w:rsidP="00805855">
      <w:pPr>
        <w:rPr>
          <w:lang w:eastAsia="ja-JP"/>
        </w:rPr>
      </w:pPr>
      <w:r w:rsidRPr="00B84330">
        <w:rPr>
          <w:lang w:eastAsia="ja-JP"/>
        </w:rPr>
        <w:t xml:space="preserve">Serious consideration should also be given to a sponsor-funded registry of Australian patients receiving </w:t>
      </w:r>
      <w:proofErr w:type="spellStart"/>
      <w:r w:rsidRPr="00B84330">
        <w:rPr>
          <w:lang w:eastAsia="ja-JP"/>
        </w:rPr>
        <w:t>nivolumab</w:t>
      </w:r>
      <w:proofErr w:type="spellEnd"/>
      <w:r w:rsidRPr="00B84330">
        <w:rPr>
          <w:lang w:eastAsia="ja-JP"/>
        </w:rPr>
        <w:t xml:space="preserve"> to facilitate post-marketing monitoring of use and safety. Participation in the registry could be used to identify health services to tar</w:t>
      </w:r>
      <w:r>
        <w:rPr>
          <w:lang w:eastAsia="ja-JP"/>
        </w:rPr>
        <w:t>get with educational resources.</w:t>
      </w:r>
    </w:p>
    <w:p w14:paraId="2D583865" w14:textId="77777777" w:rsidR="00605AD4" w:rsidRPr="00605AD4" w:rsidRDefault="00605AD4" w:rsidP="00605AD4">
      <w:pPr>
        <w:pStyle w:val="Heading4"/>
      </w:pPr>
      <w:r w:rsidRPr="00605AD4">
        <w:t>First round assessment of benefit-risk balance</w:t>
      </w:r>
    </w:p>
    <w:p w14:paraId="0CC830C2" w14:textId="77777777" w:rsidR="00805855" w:rsidRPr="00B84330" w:rsidRDefault="00805855" w:rsidP="00805855">
      <w:pPr>
        <w:rPr>
          <w:lang w:eastAsia="ja-JP"/>
        </w:rPr>
      </w:pPr>
      <w:r w:rsidRPr="00B84330">
        <w:rPr>
          <w:lang w:eastAsia="ja-JP"/>
        </w:rPr>
        <w:t>The evaluator recognises that the proposed population is a group with poor prognosis and that the risks with treatment may be less of a concern in such a group if there is a meaningful increase in overall survival. However, it is important to ensure that these patients are not just living longer but also living better. The treatment regimen should not be so onerous and the side effects of treatment so unpleasant that their additional months of life are too miserable for them to benefit from this time. Given the unique profile of adverse events, it is also important that measures are taken to ensure early and appropriate treatment is provided for these. A careful evaluation of the risks and benefits of treatment, together with how the risks may be minimised, is therefore, essential.</w:t>
      </w:r>
    </w:p>
    <w:p w14:paraId="77034708" w14:textId="77777777" w:rsidR="00805855" w:rsidRPr="00B84330" w:rsidRDefault="00805855" w:rsidP="00805855">
      <w:pPr>
        <w:rPr>
          <w:lang w:eastAsia="ja-JP"/>
        </w:rPr>
      </w:pPr>
      <w:r w:rsidRPr="00B84330">
        <w:rPr>
          <w:lang w:eastAsia="ja-JP"/>
        </w:rPr>
        <w:t xml:space="preserve">Due to the number of clinical questions that address many aspects of the use of </w:t>
      </w:r>
      <w:proofErr w:type="spellStart"/>
      <w:r w:rsidRPr="00B84330">
        <w:rPr>
          <w:lang w:eastAsia="ja-JP"/>
        </w:rPr>
        <w:t>nivolumab</w:t>
      </w:r>
      <w:proofErr w:type="spellEnd"/>
      <w:r w:rsidRPr="00B84330">
        <w:rPr>
          <w:lang w:eastAsia="ja-JP"/>
        </w:rPr>
        <w:t xml:space="preserve"> for the proposed indication, the evaluator is unable to make an adequate assessment of benefit-risk balance. This is largely due to:</w:t>
      </w:r>
    </w:p>
    <w:p w14:paraId="53C905D3" w14:textId="77777777" w:rsidR="00805855" w:rsidRPr="00B84330" w:rsidRDefault="00805855" w:rsidP="000E4CDF">
      <w:pPr>
        <w:pStyle w:val="ListBullet"/>
        <w:numPr>
          <w:ilvl w:val="0"/>
          <w:numId w:val="1"/>
        </w:numPr>
        <w:rPr>
          <w:lang w:eastAsia="ja-JP"/>
        </w:rPr>
      </w:pPr>
      <w:r w:rsidRPr="00B84330">
        <w:rPr>
          <w:lang w:eastAsia="ja-JP"/>
        </w:rPr>
        <w:t>Lack of confirmation of the postulated mechanism of action</w:t>
      </w:r>
    </w:p>
    <w:p w14:paraId="61F15CAC" w14:textId="77777777" w:rsidR="00805855" w:rsidRPr="00B84330" w:rsidRDefault="00805855" w:rsidP="000E4CDF">
      <w:pPr>
        <w:pStyle w:val="ListBullet"/>
        <w:numPr>
          <w:ilvl w:val="0"/>
          <w:numId w:val="1"/>
        </w:numPr>
        <w:rPr>
          <w:lang w:eastAsia="ja-JP"/>
        </w:rPr>
      </w:pPr>
      <w:r w:rsidRPr="00B84330">
        <w:rPr>
          <w:lang w:eastAsia="ja-JP"/>
        </w:rPr>
        <w:t xml:space="preserve">Incomplete characterisation of immunogenicity </w:t>
      </w:r>
    </w:p>
    <w:p w14:paraId="037D1758" w14:textId="77777777" w:rsidR="00805855" w:rsidRPr="00B84330" w:rsidRDefault="00805855" w:rsidP="000E4CDF">
      <w:pPr>
        <w:pStyle w:val="ListBullet"/>
        <w:numPr>
          <w:ilvl w:val="0"/>
          <w:numId w:val="1"/>
        </w:numPr>
        <w:rPr>
          <w:lang w:eastAsia="ja-JP"/>
        </w:rPr>
      </w:pPr>
      <w:r w:rsidRPr="00B84330">
        <w:rPr>
          <w:lang w:eastAsia="ja-JP"/>
        </w:rPr>
        <w:t>Missing quality of life and health resource utilisation results from the pivotal study</w:t>
      </w:r>
    </w:p>
    <w:p w14:paraId="70F52AD0" w14:textId="77777777" w:rsidR="00805855" w:rsidRPr="00B84330" w:rsidRDefault="00805855" w:rsidP="000E4CDF">
      <w:pPr>
        <w:pStyle w:val="ListBullet"/>
        <w:numPr>
          <w:ilvl w:val="0"/>
          <w:numId w:val="1"/>
        </w:numPr>
        <w:rPr>
          <w:lang w:eastAsia="ja-JP"/>
        </w:rPr>
      </w:pPr>
      <w:r w:rsidRPr="00B84330">
        <w:rPr>
          <w:lang w:eastAsia="ja-JP"/>
        </w:rPr>
        <w:t xml:space="preserve">Incomplete characterisation of the safety of </w:t>
      </w:r>
      <w:proofErr w:type="spellStart"/>
      <w:r w:rsidRPr="00B84330">
        <w:rPr>
          <w:lang w:eastAsia="ja-JP"/>
        </w:rPr>
        <w:t>nivolumab</w:t>
      </w:r>
      <w:proofErr w:type="spellEnd"/>
      <w:r w:rsidRPr="00B84330">
        <w:rPr>
          <w:lang w:eastAsia="ja-JP"/>
        </w:rPr>
        <w:t>, particularly in relation to immune-mediated adverse reactions</w:t>
      </w:r>
    </w:p>
    <w:p w14:paraId="2C7848D8" w14:textId="754880E7" w:rsidR="00605AD4" w:rsidRPr="00605AD4" w:rsidRDefault="00805855" w:rsidP="000E4CDF">
      <w:pPr>
        <w:pStyle w:val="ListBullet"/>
        <w:numPr>
          <w:ilvl w:val="0"/>
          <w:numId w:val="1"/>
        </w:numPr>
        <w:rPr>
          <w:lang w:eastAsia="ja-JP"/>
        </w:rPr>
      </w:pPr>
      <w:r w:rsidRPr="00B84330">
        <w:rPr>
          <w:lang w:eastAsia="ja-JP"/>
        </w:rPr>
        <w:t>Lack of risk minimisation strategies to address the predictable deficiencies in familiarity with immune-mediated adverse reactions in medical practitioners who may be required to provide emergency care</w:t>
      </w:r>
      <w:r>
        <w:rPr>
          <w:lang w:eastAsia="ja-JP"/>
        </w:rPr>
        <w:t>.</w:t>
      </w:r>
    </w:p>
    <w:p w14:paraId="1D8F4B41" w14:textId="77777777" w:rsidR="00605AD4" w:rsidRPr="00605AD4" w:rsidRDefault="00605AD4" w:rsidP="00605AD4">
      <w:pPr>
        <w:pStyle w:val="Heading3"/>
        <w:rPr>
          <w:rFonts w:eastAsia="Cambria"/>
        </w:rPr>
      </w:pPr>
      <w:bookmarkStart w:id="92" w:name="_Toc489277877"/>
      <w:r w:rsidRPr="00605AD4">
        <w:rPr>
          <w:rFonts w:eastAsia="Cambria"/>
        </w:rPr>
        <w:lastRenderedPageBreak/>
        <w:t>First Round Recommendation Regarding Authorisation</w:t>
      </w:r>
      <w:bookmarkEnd w:id="92"/>
    </w:p>
    <w:p w14:paraId="1D46CCB7" w14:textId="2FC86449" w:rsidR="00605AD4" w:rsidRPr="00805855" w:rsidRDefault="00805855" w:rsidP="00605AD4">
      <w:pPr>
        <w:rPr>
          <w:bCs/>
          <w:iCs/>
          <w:lang w:eastAsia="ja-JP"/>
        </w:rPr>
      </w:pPr>
      <w:r w:rsidRPr="00B84330">
        <w:rPr>
          <w:lang w:eastAsia="ja-JP"/>
        </w:rPr>
        <w:t xml:space="preserve">The evaluator is unable to make a recommendation regarding authorisation at this time. Any recommendation to be made by the evaluator will be dependent on the responses provided by the sponsor to the Clinical </w:t>
      </w:r>
      <w:r w:rsidR="00244BAC">
        <w:rPr>
          <w:lang w:eastAsia="ja-JP"/>
        </w:rPr>
        <w:t>q</w:t>
      </w:r>
      <w:r w:rsidRPr="00B84330">
        <w:rPr>
          <w:lang w:eastAsia="ja-JP"/>
        </w:rPr>
        <w:t xml:space="preserve">uestions </w:t>
      </w:r>
      <w:r w:rsidR="00244BAC">
        <w:rPr>
          <w:lang w:eastAsia="ja-JP"/>
        </w:rPr>
        <w:t xml:space="preserve">(see Attachment 2) </w:t>
      </w:r>
      <w:r w:rsidRPr="00B84330">
        <w:rPr>
          <w:lang w:eastAsia="ja-JP"/>
        </w:rPr>
        <w:t>posed by the evaluator. Consideration will also need to be given by the evaluator to the sponsor’s response to the proposed additional documentation (patient safety information wallet card and health professionals</w:t>
      </w:r>
      <w:r w:rsidR="00244BAC">
        <w:rPr>
          <w:lang w:eastAsia="ja-JP"/>
        </w:rPr>
        <w:t>’</w:t>
      </w:r>
      <w:r w:rsidRPr="00B84330">
        <w:rPr>
          <w:lang w:eastAsia="ja-JP"/>
        </w:rPr>
        <w:t xml:space="preserve"> education brochure) and revision of the proposed product information and consumer medicines information</w:t>
      </w:r>
      <w:r>
        <w:rPr>
          <w:bCs/>
          <w:iCs/>
          <w:lang w:eastAsia="ja-JP"/>
        </w:rPr>
        <w:t>.</w:t>
      </w:r>
    </w:p>
    <w:p w14:paraId="44F55182" w14:textId="25ADF084" w:rsidR="00605AD4" w:rsidRPr="00605AD4" w:rsidRDefault="00605AD4" w:rsidP="00605AD4">
      <w:pPr>
        <w:pStyle w:val="Heading3"/>
        <w:rPr>
          <w:rFonts w:eastAsia="Cambria"/>
        </w:rPr>
      </w:pPr>
      <w:bookmarkStart w:id="93" w:name="_Toc489277878"/>
      <w:r w:rsidRPr="00605AD4">
        <w:rPr>
          <w:rFonts w:eastAsia="Cambria"/>
        </w:rPr>
        <w:t>Clinical Questions</w:t>
      </w:r>
      <w:r w:rsidR="00F50634">
        <w:rPr>
          <w:rFonts w:eastAsia="Cambria"/>
        </w:rPr>
        <w:t xml:space="preserve"> and </w:t>
      </w:r>
      <w:r w:rsidRPr="00605AD4">
        <w:rPr>
          <w:rFonts w:eastAsia="Cambria"/>
        </w:rPr>
        <w:t>Second Round Evaluation of clinical data submitted in response to questions</w:t>
      </w:r>
      <w:bookmarkEnd w:id="93"/>
    </w:p>
    <w:p w14:paraId="1244B16F" w14:textId="1CF0CC8D" w:rsidR="006136D7" w:rsidRPr="00605AD4" w:rsidRDefault="006136D7" w:rsidP="006136D7">
      <w:r>
        <w:t>For details of the</w:t>
      </w:r>
      <w:r w:rsidR="00F50634">
        <w:t xml:space="preserve"> clinical questions for the sponsor, the</w:t>
      </w:r>
      <w:r>
        <w:t xml:space="preserve"> sponsor’s responses and the evaluation of these responses please see Attachment 2.</w:t>
      </w:r>
    </w:p>
    <w:p w14:paraId="7057B48E" w14:textId="77777777" w:rsidR="00605AD4" w:rsidRPr="00605AD4" w:rsidRDefault="00605AD4" w:rsidP="00546154">
      <w:pPr>
        <w:pStyle w:val="Heading3"/>
        <w:rPr>
          <w:rFonts w:eastAsia="Cambria"/>
        </w:rPr>
      </w:pPr>
      <w:bookmarkStart w:id="94" w:name="_Toc489277879"/>
      <w:r w:rsidRPr="00605AD4">
        <w:rPr>
          <w:rFonts w:eastAsia="Cambria"/>
        </w:rPr>
        <w:t>Second Round Benefit-Risk Assessment</w:t>
      </w:r>
      <w:bookmarkEnd w:id="94"/>
    </w:p>
    <w:p w14:paraId="544CA0DC" w14:textId="77777777" w:rsidR="00F50634" w:rsidRDefault="00F50634" w:rsidP="00F50634">
      <w:pPr>
        <w:pStyle w:val="Heading4"/>
      </w:pPr>
      <w:bookmarkStart w:id="95" w:name="_Toc272414709"/>
      <w:bookmarkStart w:id="96" w:name="_Toc290846349"/>
      <w:bookmarkStart w:id="97" w:name="_Toc457473621"/>
      <w:r>
        <w:t>Second round assessment of benefits</w:t>
      </w:r>
      <w:bookmarkEnd w:id="95"/>
      <w:bookmarkEnd w:id="96"/>
      <w:bookmarkEnd w:id="97"/>
    </w:p>
    <w:p w14:paraId="23BF98BF" w14:textId="0FB082FD" w:rsidR="00096ED1" w:rsidRPr="00096ED1" w:rsidRDefault="00096ED1" w:rsidP="00096ED1">
      <w:r>
        <w:t>Table 8 (below) summarises the second round assessment of benefits along with strengths and uncertainties of those benefits.</w:t>
      </w:r>
    </w:p>
    <w:p w14:paraId="1398B469" w14:textId="7A5FF170" w:rsidR="000F4ABA" w:rsidRPr="00017396" w:rsidRDefault="00096ED1" w:rsidP="000F4ABA">
      <w:pPr>
        <w:pStyle w:val="Tabletitle0"/>
        <w:rPr>
          <w:lang w:eastAsia="ja-JP"/>
        </w:rPr>
      </w:pPr>
      <w:proofErr w:type="gramStart"/>
      <w:r>
        <w:rPr>
          <w:lang w:eastAsia="ja-JP"/>
        </w:rPr>
        <w:t>Table 8</w:t>
      </w:r>
      <w:r w:rsidR="000F4ABA">
        <w:rPr>
          <w:lang w:eastAsia="ja-JP"/>
        </w:rPr>
        <w:t>.</w:t>
      </w:r>
      <w:proofErr w:type="gramEnd"/>
      <w:r w:rsidR="000F4ABA">
        <w:rPr>
          <w:lang w:eastAsia="ja-JP"/>
        </w:rPr>
        <w:t xml:space="preserve"> Second round assessments of benefits, strengths and uncertainties</w:t>
      </w:r>
    </w:p>
    <w:tbl>
      <w:tblPr>
        <w:tblStyle w:val="TableTGAblue"/>
        <w:tblW w:w="0" w:type="auto"/>
        <w:tblLook w:val="04A0" w:firstRow="1" w:lastRow="0" w:firstColumn="1" w:lastColumn="0" w:noHBand="0" w:noVBand="1"/>
      </w:tblPr>
      <w:tblGrid>
        <w:gridCol w:w="4475"/>
        <w:gridCol w:w="4245"/>
      </w:tblGrid>
      <w:tr w:rsidR="000F4ABA" w:rsidRPr="00067FC1" w14:paraId="69029558" w14:textId="77777777" w:rsidTr="00392B43">
        <w:trPr>
          <w:cnfStyle w:val="100000000000" w:firstRow="1" w:lastRow="0" w:firstColumn="0" w:lastColumn="0" w:oddVBand="0" w:evenVBand="0" w:oddHBand="0" w:evenHBand="0" w:firstRowFirstColumn="0" w:firstRowLastColumn="0" w:lastRowFirstColumn="0" w:lastRowLastColumn="0"/>
        </w:trPr>
        <w:tc>
          <w:tcPr>
            <w:tcW w:w="4511" w:type="dxa"/>
          </w:tcPr>
          <w:p w14:paraId="644DE035" w14:textId="77777777" w:rsidR="000F4ABA" w:rsidRPr="007104B4" w:rsidRDefault="000F4ABA" w:rsidP="00392B43">
            <w:r w:rsidRPr="007104B4">
              <w:t>Benefits</w:t>
            </w:r>
          </w:p>
        </w:tc>
        <w:tc>
          <w:tcPr>
            <w:tcW w:w="4278" w:type="dxa"/>
          </w:tcPr>
          <w:p w14:paraId="1A9F36B6" w14:textId="77777777" w:rsidR="000F4ABA" w:rsidRPr="007104B4" w:rsidRDefault="000F4ABA" w:rsidP="00392B43">
            <w:r w:rsidRPr="007104B4">
              <w:t>Strengths and Uncertainties</w:t>
            </w:r>
          </w:p>
        </w:tc>
      </w:tr>
      <w:tr w:rsidR="000F4ABA" w:rsidRPr="00067FC1" w14:paraId="7DC8D174" w14:textId="77777777" w:rsidTr="00392B43">
        <w:tc>
          <w:tcPr>
            <w:tcW w:w="4511" w:type="dxa"/>
          </w:tcPr>
          <w:p w14:paraId="232837C6" w14:textId="77777777" w:rsidR="000F4ABA" w:rsidRPr="007104B4" w:rsidRDefault="000F4ABA" w:rsidP="00392B43">
            <w:pPr>
              <w:ind w:left="0"/>
            </w:pPr>
            <w:r w:rsidRPr="007104B4">
              <w:t xml:space="preserve">Study CA209025 demonstrated clinically meaningful improvement in overall survival in patients with advanced clear cell RCC who have received prior anti-angiogenesis therapy in comparison to </w:t>
            </w:r>
            <w:proofErr w:type="spellStart"/>
            <w:r w:rsidRPr="007104B4">
              <w:t>everolimus</w:t>
            </w:r>
            <w:proofErr w:type="spellEnd"/>
            <w:r w:rsidRPr="007104B4">
              <w:t xml:space="preserve">. The median of OS for </w:t>
            </w:r>
            <w:proofErr w:type="spellStart"/>
            <w:r w:rsidRPr="007104B4">
              <w:t>nivolumab</w:t>
            </w:r>
            <w:proofErr w:type="spellEnd"/>
            <w:r w:rsidRPr="007104B4">
              <w:t xml:space="preserve"> group was 25 months, whereas subjects treated with </w:t>
            </w:r>
            <w:proofErr w:type="spellStart"/>
            <w:r w:rsidRPr="007104B4">
              <w:t>everolimus</w:t>
            </w:r>
            <w:proofErr w:type="spellEnd"/>
            <w:r w:rsidRPr="007104B4">
              <w:t xml:space="preserve"> achieved a median of OS of 19.55 months (HR: 0.73 (98.52% CI: 0.57, 0.93); stratified log-rank test p value = 0.0018)</w:t>
            </w:r>
            <w:r>
              <w:t>.</w:t>
            </w:r>
          </w:p>
        </w:tc>
        <w:tc>
          <w:tcPr>
            <w:tcW w:w="4278" w:type="dxa"/>
          </w:tcPr>
          <w:p w14:paraId="58F0627F" w14:textId="77777777" w:rsidR="000F4ABA" w:rsidRPr="007104B4" w:rsidRDefault="000F4ABA" w:rsidP="00392B43">
            <w:pPr>
              <w:ind w:left="0"/>
            </w:pPr>
            <w:r w:rsidRPr="007104B4">
              <w:t>Sensitivity analyses were consistent</w:t>
            </w:r>
            <w:r>
              <w:t>.</w:t>
            </w:r>
          </w:p>
          <w:p w14:paraId="18FF8B7D" w14:textId="77777777" w:rsidR="000F4ABA" w:rsidRPr="007104B4" w:rsidRDefault="000F4ABA" w:rsidP="00392B43">
            <w:pPr>
              <w:ind w:left="0"/>
            </w:pPr>
            <w:r>
              <w:t>Secondary end</w:t>
            </w:r>
            <w:r w:rsidRPr="007104B4">
              <w:t>point of ORR was consistent</w:t>
            </w:r>
            <w:r>
              <w:t>.</w:t>
            </w:r>
          </w:p>
          <w:p w14:paraId="1E96FCB9" w14:textId="77777777" w:rsidR="000F4ABA" w:rsidRPr="007104B4" w:rsidRDefault="000F4ABA" w:rsidP="00392B43">
            <w:pPr>
              <w:ind w:left="0"/>
            </w:pPr>
            <w:r>
              <w:t>Secondary end</w:t>
            </w:r>
            <w:r w:rsidRPr="007104B4">
              <w:t>poin</w:t>
            </w:r>
            <w:r>
              <w:t xml:space="preserve">t of PFS was not consistent; it </w:t>
            </w:r>
            <w:r w:rsidRPr="007104B4">
              <w:t>showed no difference between the two arms of the study with PFS of 4.6</w:t>
            </w:r>
            <w:r>
              <w:t xml:space="preserve"> </w:t>
            </w:r>
            <w:r w:rsidRPr="007104B4">
              <w:t xml:space="preserve">months in the </w:t>
            </w:r>
            <w:proofErr w:type="spellStart"/>
            <w:r w:rsidRPr="007104B4">
              <w:t>nivolumab</w:t>
            </w:r>
            <w:proofErr w:type="spellEnd"/>
            <w:r w:rsidRPr="007104B4">
              <w:t xml:space="preserve"> arm and 4.4 months in the </w:t>
            </w:r>
            <w:proofErr w:type="spellStart"/>
            <w:r w:rsidRPr="007104B4">
              <w:t>everolimus</w:t>
            </w:r>
            <w:proofErr w:type="spellEnd"/>
            <w:r w:rsidRPr="007104B4">
              <w:t xml:space="preserve"> arm</w:t>
            </w:r>
            <w:r>
              <w:t>.</w:t>
            </w:r>
          </w:p>
          <w:p w14:paraId="216A1588" w14:textId="77777777" w:rsidR="000F4ABA" w:rsidRPr="007104B4" w:rsidRDefault="000F4ABA" w:rsidP="00392B43">
            <w:pPr>
              <w:ind w:left="0"/>
            </w:pPr>
            <w:r w:rsidRPr="007104B4">
              <w:t>Improvement in OS was independent of PD-L1 status</w:t>
            </w:r>
            <w:r>
              <w:t>.</w:t>
            </w:r>
          </w:p>
        </w:tc>
      </w:tr>
      <w:tr w:rsidR="000F4ABA" w:rsidRPr="00067FC1" w14:paraId="5830635F" w14:textId="77777777" w:rsidTr="00392B43">
        <w:tc>
          <w:tcPr>
            <w:tcW w:w="4511" w:type="dxa"/>
          </w:tcPr>
          <w:p w14:paraId="1C18412F" w14:textId="77777777" w:rsidR="000F4ABA" w:rsidRPr="007104B4" w:rsidRDefault="000F4ABA" w:rsidP="00392B43">
            <w:pPr>
              <w:ind w:left="0"/>
            </w:pPr>
            <w:r w:rsidRPr="007104B4">
              <w:t xml:space="preserve">Study CA209025 found that </w:t>
            </w:r>
            <w:proofErr w:type="spellStart"/>
            <w:r w:rsidRPr="007104B4">
              <w:t>QoL</w:t>
            </w:r>
            <w:proofErr w:type="spellEnd"/>
            <w:r w:rsidRPr="007104B4">
              <w:t xml:space="preserve"> in comparison to baseline was not worsened by treatment with </w:t>
            </w:r>
            <w:proofErr w:type="spellStart"/>
            <w:r w:rsidRPr="007104B4">
              <w:t>nivolumab</w:t>
            </w:r>
            <w:proofErr w:type="spellEnd"/>
            <w:r w:rsidRPr="007104B4">
              <w:t xml:space="preserve"> and was improved in comparison to </w:t>
            </w:r>
            <w:proofErr w:type="spellStart"/>
            <w:r w:rsidRPr="007104B4">
              <w:t>everolimus</w:t>
            </w:r>
            <w:proofErr w:type="spellEnd"/>
            <w:r>
              <w:t>.</w:t>
            </w:r>
          </w:p>
        </w:tc>
        <w:tc>
          <w:tcPr>
            <w:tcW w:w="4278" w:type="dxa"/>
          </w:tcPr>
          <w:p w14:paraId="69896D3B" w14:textId="77777777" w:rsidR="000F4ABA" w:rsidRPr="007104B4" w:rsidRDefault="000F4ABA" w:rsidP="00392B43">
            <w:pPr>
              <w:ind w:left="0"/>
            </w:pPr>
            <w:r w:rsidRPr="007104B4">
              <w:t>Analysis was reported during the treatment period only</w:t>
            </w:r>
            <w:r>
              <w:t>.</w:t>
            </w:r>
          </w:p>
        </w:tc>
      </w:tr>
      <w:tr w:rsidR="000F4ABA" w:rsidRPr="00067FC1" w14:paraId="19B452E6" w14:textId="77777777" w:rsidTr="00392B43">
        <w:tc>
          <w:tcPr>
            <w:tcW w:w="4511" w:type="dxa"/>
          </w:tcPr>
          <w:p w14:paraId="536125C7" w14:textId="77777777" w:rsidR="000F4ABA" w:rsidRPr="007104B4" w:rsidRDefault="000F4ABA" w:rsidP="00392B43">
            <w:pPr>
              <w:ind w:left="0"/>
            </w:pPr>
            <w:r w:rsidRPr="007104B4">
              <w:t xml:space="preserve">Study CA209025 found that health resource utilisation was not increased by treatment with </w:t>
            </w:r>
            <w:proofErr w:type="spellStart"/>
            <w:r w:rsidRPr="007104B4">
              <w:t>nivolumab</w:t>
            </w:r>
            <w:proofErr w:type="spellEnd"/>
            <w:r w:rsidRPr="007104B4">
              <w:t xml:space="preserve"> in comparison to </w:t>
            </w:r>
            <w:proofErr w:type="spellStart"/>
            <w:r w:rsidRPr="007104B4">
              <w:t>everolimus</w:t>
            </w:r>
            <w:proofErr w:type="spellEnd"/>
            <w:r>
              <w:t>.</w:t>
            </w:r>
          </w:p>
        </w:tc>
        <w:tc>
          <w:tcPr>
            <w:tcW w:w="4278" w:type="dxa"/>
          </w:tcPr>
          <w:p w14:paraId="50F31D35" w14:textId="3DCBE679" w:rsidR="000F4ABA" w:rsidRPr="007104B4" w:rsidRDefault="000F4ABA" w:rsidP="00244BAC">
            <w:pPr>
              <w:ind w:left="0"/>
            </w:pPr>
            <w:r w:rsidRPr="007104B4">
              <w:t>Data regarding non-protocol medical visits and hospital admissions were collected. An</w:t>
            </w:r>
            <w:r>
              <w:t xml:space="preserve">alysis was provided for </w:t>
            </w:r>
            <w:r w:rsidR="00244BAC">
              <w:t xml:space="preserve">Weeks </w:t>
            </w:r>
            <w:r>
              <w:t xml:space="preserve">4 to </w:t>
            </w:r>
            <w:r w:rsidRPr="007104B4">
              <w:t>16 only.</w:t>
            </w:r>
          </w:p>
        </w:tc>
      </w:tr>
      <w:tr w:rsidR="000F4ABA" w:rsidRPr="00067FC1" w14:paraId="73689CD2" w14:textId="77777777" w:rsidTr="00392B43">
        <w:tc>
          <w:tcPr>
            <w:tcW w:w="4511" w:type="dxa"/>
          </w:tcPr>
          <w:p w14:paraId="35DCF076" w14:textId="77777777" w:rsidR="000F4ABA" w:rsidRPr="007104B4" w:rsidRDefault="000F4ABA" w:rsidP="00392B43">
            <w:pPr>
              <w:ind w:left="0"/>
            </w:pPr>
            <w:r w:rsidRPr="007104B4">
              <w:t>Studies CA209010, 209009,</w:t>
            </w:r>
            <w:r>
              <w:t xml:space="preserve"> and</w:t>
            </w:r>
            <w:r w:rsidRPr="007104B4">
              <w:t xml:space="preserve"> 209003 reported ORRs in patients with advanced RCC that were co</w:t>
            </w:r>
            <w:r>
              <w:t xml:space="preserve">nsistent with </w:t>
            </w:r>
            <w:r>
              <w:lastRenderedPageBreak/>
              <w:t>Study </w:t>
            </w:r>
            <w:r w:rsidRPr="007104B4">
              <w:t>CA209025</w:t>
            </w:r>
            <w:r>
              <w:t>.</w:t>
            </w:r>
          </w:p>
        </w:tc>
        <w:tc>
          <w:tcPr>
            <w:tcW w:w="4278" w:type="dxa"/>
          </w:tcPr>
          <w:p w14:paraId="7801AD77" w14:textId="77777777" w:rsidR="000F4ABA" w:rsidRPr="007104B4" w:rsidRDefault="000F4ABA" w:rsidP="00392B43">
            <w:pPr>
              <w:ind w:left="0"/>
            </w:pPr>
            <w:r w:rsidRPr="007104B4">
              <w:lastRenderedPageBreak/>
              <w:t>ORR was dependent on investigator assessed tumour response; all studies were open label</w:t>
            </w:r>
            <w:r>
              <w:t>.</w:t>
            </w:r>
          </w:p>
        </w:tc>
      </w:tr>
      <w:tr w:rsidR="000F4ABA" w:rsidRPr="00067FC1" w14:paraId="51F19BFD" w14:textId="77777777" w:rsidTr="00392B43">
        <w:tc>
          <w:tcPr>
            <w:tcW w:w="4511" w:type="dxa"/>
          </w:tcPr>
          <w:p w14:paraId="0F552864" w14:textId="77777777" w:rsidR="000F4ABA" w:rsidRPr="007104B4" w:rsidRDefault="000F4ABA" w:rsidP="00392B43">
            <w:pPr>
              <w:ind w:left="0"/>
            </w:pPr>
            <w:r>
              <w:lastRenderedPageBreak/>
              <w:t xml:space="preserve">Only patients with clear </w:t>
            </w:r>
            <w:r w:rsidRPr="007104B4">
              <w:t>cell RCC were included in the pivotal study and other dose escalation studies</w:t>
            </w:r>
            <w:r>
              <w:t>.</w:t>
            </w:r>
          </w:p>
        </w:tc>
        <w:tc>
          <w:tcPr>
            <w:tcW w:w="4278" w:type="dxa"/>
          </w:tcPr>
          <w:p w14:paraId="50FB40CB" w14:textId="77777777" w:rsidR="000F4ABA" w:rsidRPr="007104B4" w:rsidRDefault="000F4ABA" w:rsidP="00392B43">
            <w:pPr>
              <w:ind w:left="0"/>
            </w:pPr>
            <w:r w:rsidRPr="007104B4">
              <w:t>There is no clinical data to guide use in patients with non-clear cell RCC</w:t>
            </w:r>
            <w:r>
              <w:t>.</w:t>
            </w:r>
          </w:p>
        </w:tc>
      </w:tr>
      <w:tr w:rsidR="000F4ABA" w:rsidRPr="00067FC1" w14:paraId="1D05B429" w14:textId="77777777" w:rsidTr="00392B43">
        <w:trPr>
          <w:trHeight w:val="1060"/>
        </w:trPr>
        <w:tc>
          <w:tcPr>
            <w:tcW w:w="4511" w:type="dxa"/>
          </w:tcPr>
          <w:p w14:paraId="3CFA167F" w14:textId="77777777" w:rsidR="000F4ABA" w:rsidRPr="007104B4" w:rsidRDefault="000F4ABA" w:rsidP="00392B43">
            <w:pPr>
              <w:ind w:left="0"/>
            </w:pPr>
            <w:r w:rsidRPr="007104B4">
              <w:t>Only patients with prior anti-angiogenesis therapy were included in the pivotal study</w:t>
            </w:r>
            <w:r>
              <w:t>.</w:t>
            </w:r>
          </w:p>
        </w:tc>
        <w:tc>
          <w:tcPr>
            <w:tcW w:w="4278" w:type="dxa"/>
          </w:tcPr>
          <w:p w14:paraId="613DDAF4" w14:textId="77777777" w:rsidR="000F4ABA" w:rsidRPr="007104B4" w:rsidRDefault="000F4ABA" w:rsidP="00392B43">
            <w:pPr>
              <w:ind w:left="0"/>
            </w:pPr>
            <w:r w:rsidRPr="007104B4">
              <w:t>There is minimal clinical data to guide use in patients with RCC who have not received prior anti-angiogenesis therapy</w:t>
            </w:r>
            <w:r>
              <w:t>.</w:t>
            </w:r>
          </w:p>
        </w:tc>
      </w:tr>
    </w:tbl>
    <w:p w14:paraId="7C062A7B" w14:textId="0972EDE7" w:rsidR="000F4ABA" w:rsidRPr="000F4ABA" w:rsidRDefault="000F4ABA" w:rsidP="000F4ABA">
      <w:r>
        <w:t xml:space="preserve">Both </w:t>
      </w:r>
      <w:proofErr w:type="spellStart"/>
      <w:r>
        <w:t>everolimus</w:t>
      </w:r>
      <w:proofErr w:type="spellEnd"/>
      <w:r>
        <w:t xml:space="preserve"> and </w:t>
      </w:r>
      <w:proofErr w:type="spellStart"/>
      <w:r>
        <w:t>axitinib</w:t>
      </w:r>
      <w:proofErr w:type="spellEnd"/>
      <w:r>
        <w:t xml:space="preserve"> are currently approved as second line agents for </w:t>
      </w:r>
      <w:r w:rsidRPr="00D7538C">
        <w:rPr>
          <w:color w:val="000000"/>
          <w:lang w:eastAsia="zh-TW"/>
        </w:rPr>
        <w:t>the treatment o</w:t>
      </w:r>
      <w:r>
        <w:rPr>
          <w:color w:val="000000"/>
          <w:lang w:eastAsia="zh-TW"/>
        </w:rPr>
        <w:t xml:space="preserve">f advanced renal cell carcinoma. On the basis of improved survival and no worsening in quality of life, as demonstrated in Study CA209025, </w:t>
      </w:r>
      <w:proofErr w:type="spellStart"/>
      <w:r>
        <w:rPr>
          <w:color w:val="000000"/>
          <w:lang w:eastAsia="zh-TW"/>
        </w:rPr>
        <w:t>nivolumab</w:t>
      </w:r>
      <w:proofErr w:type="spellEnd"/>
      <w:r>
        <w:rPr>
          <w:color w:val="000000"/>
          <w:lang w:eastAsia="zh-TW"/>
        </w:rPr>
        <w:t xml:space="preserve"> appears to offer an advantage over </w:t>
      </w:r>
      <w:proofErr w:type="spellStart"/>
      <w:r>
        <w:rPr>
          <w:color w:val="000000"/>
          <w:lang w:eastAsia="zh-TW"/>
        </w:rPr>
        <w:t>everolimus</w:t>
      </w:r>
      <w:proofErr w:type="spellEnd"/>
      <w:r>
        <w:rPr>
          <w:color w:val="000000"/>
          <w:lang w:eastAsia="zh-TW"/>
        </w:rPr>
        <w:t xml:space="preserve">. No information has been presented to indicate if </w:t>
      </w:r>
      <w:proofErr w:type="spellStart"/>
      <w:r>
        <w:rPr>
          <w:color w:val="000000"/>
          <w:lang w:eastAsia="zh-TW"/>
        </w:rPr>
        <w:t>nivolumab</w:t>
      </w:r>
      <w:proofErr w:type="spellEnd"/>
      <w:r>
        <w:rPr>
          <w:color w:val="000000"/>
          <w:lang w:eastAsia="zh-TW"/>
        </w:rPr>
        <w:t xml:space="preserve"> offers any advantage over </w:t>
      </w:r>
      <w:proofErr w:type="spellStart"/>
      <w:r>
        <w:rPr>
          <w:color w:val="000000"/>
          <w:lang w:eastAsia="zh-TW"/>
        </w:rPr>
        <w:t>axitinib</w:t>
      </w:r>
      <w:proofErr w:type="spellEnd"/>
      <w:r>
        <w:rPr>
          <w:color w:val="000000"/>
          <w:lang w:eastAsia="zh-TW"/>
        </w:rPr>
        <w:t>.</w:t>
      </w:r>
    </w:p>
    <w:p w14:paraId="35DCD0F8" w14:textId="77777777" w:rsidR="00F50634" w:rsidRDefault="00F50634" w:rsidP="00F50634">
      <w:pPr>
        <w:pStyle w:val="Heading4"/>
      </w:pPr>
      <w:bookmarkStart w:id="98" w:name="_Toc272414710"/>
      <w:bookmarkStart w:id="99" w:name="_Toc290846350"/>
      <w:bookmarkStart w:id="100" w:name="_Toc457473622"/>
      <w:r>
        <w:t>Second round assessment of risks</w:t>
      </w:r>
      <w:bookmarkEnd w:id="98"/>
      <w:bookmarkEnd w:id="99"/>
      <w:bookmarkEnd w:id="100"/>
    </w:p>
    <w:p w14:paraId="67D8B29C" w14:textId="1981FABF" w:rsidR="00096ED1" w:rsidRPr="00096ED1" w:rsidRDefault="00096ED1" w:rsidP="00096ED1">
      <w:r>
        <w:t>Table 9 (below) summarises the second round assessment of risks along with strengths and uncertainties of those benefits.</w:t>
      </w:r>
    </w:p>
    <w:p w14:paraId="056EBBC6" w14:textId="1B5EED3A" w:rsidR="004553EF" w:rsidRPr="007C2E36" w:rsidRDefault="00096ED1" w:rsidP="004553EF">
      <w:pPr>
        <w:pStyle w:val="Tabletitle0"/>
        <w:rPr>
          <w:lang w:eastAsia="ja-JP"/>
        </w:rPr>
      </w:pPr>
      <w:proofErr w:type="gramStart"/>
      <w:r>
        <w:rPr>
          <w:lang w:eastAsia="ja-JP"/>
        </w:rPr>
        <w:t>Table 9</w:t>
      </w:r>
      <w:r w:rsidR="004553EF">
        <w:rPr>
          <w:lang w:eastAsia="ja-JP"/>
        </w:rPr>
        <w:t>.</w:t>
      </w:r>
      <w:proofErr w:type="gramEnd"/>
      <w:r w:rsidR="004553EF">
        <w:rPr>
          <w:lang w:eastAsia="ja-JP"/>
        </w:rPr>
        <w:t xml:space="preserve"> Second round assessment of risks, strengths and uncertainties</w:t>
      </w:r>
    </w:p>
    <w:tbl>
      <w:tblPr>
        <w:tblStyle w:val="TableTGAblue"/>
        <w:tblW w:w="0" w:type="auto"/>
        <w:tblLook w:val="04A0" w:firstRow="1" w:lastRow="0" w:firstColumn="1" w:lastColumn="0" w:noHBand="0" w:noVBand="1"/>
      </w:tblPr>
      <w:tblGrid>
        <w:gridCol w:w="4360"/>
        <w:gridCol w:w="4360"/>
      </w:tblGrid>
      <w:tr w:rsidR="004553EF" w:rsidRPr="00067FC1" w14:paraId="0891D55E" w14:textId="77777777" w:rsidTr="004553EF">
        <w:trPr>
          <w:cnfStyle w:val="100000000000" w:firstRow="1" w:lastRow="0" w:firstColumn="0" w:lastColumn="0" w:oddVBand="0" w:evenVBand="0" w:oddHBand="0" w:evenHBand="0" w:firstRowFirstColumn="0" w:firstRowLastColumn="0" w:lastRowFirstColumn="0" w:lastRowLastColumn="0"/>
        </w:trPr>
        <w:tc>
          <w:tcPr>
            <w:tcW w:w="4360" w:type="dxa"/>
          </w:tcPr>
          <w:p w14:paraId="04265A2C" w14:textId="77777777" w:rsidR="004553EF" w:rsidRPr="007104B4" w:rsidRDefault="004553EF" w:rsidP="00312822">
            <w:r w:rsidRPr="007104B4">
              <w:t>Risks</w:t>
            </w:r>
          </w:p>
        </w:tc>
        <w:tc>
          <w:tcPr>
            <w:tcW w:w="4360" w:type="dxa"/>
          </w:tcPr>
          <w:p w14:paraId="4E5E0926" w14:textId="77777777" w:rsidR="004553EF" w:rsidRPr="007104B4" w:rsidRDefault="004553EF" w:rsidP="00312822">
            <w:r w:rsidRPr="007104B4">
              <w:t>Strengths and Uncertainties</w:t>
            </w:r>
          </w:p>
        </w:tc>
      </w:tr>
      <w:tr w:rsidR="004553EF" w:rsidRPr="00067FC1" w14:paraId="6FCDF398" w14:textId="77777777" w:rsidTr="004553EF">
        <w:tc>
          <w:tcPr>
            <w:tcW w:w="4360" w:type="dxa"/>
          </w:tcPr>
          <w:p w14:paraId="5DB33377" w14:textId="77777777" w:rsidR="004553EF" w:rsidRPr="007104B4" w:rsidRDefault="004553EF" w:rsidP="00312822">
            <w:r>
              <w:t>In S</w:t>
            </w:r>
            <w:r w:rsidRPr="007104B4">
              <w:t>tudy CA209025,</w:t>
            </w:r>
            <w:r>
              <w:t xml:space="preserve"> </w:t>
            </w:r>
            <w:r w:rsidRPr="007104B4">
              <w:t xml:space="preserve">rates of adverse events were similar in both arms: </w:t>
            </w:r>
            <w:r>
              <w:t xml:space="preserve">Grade 3 or </w:t>
            </w:r>
            <w:r w:rsidRPr="007104B4">
              <w:t xml:space="preserve">4 AEs were reported in 53.2% of subjects in the </w:t>
            </w:r>
            <w:proofErr w:type="spellStart"/>
            <w:r w:rsidRPr="007104B4">
              <w:t>nivolumab</w:t>
            </w:r>
            <w:proofErr w:type="spellEnd"/>
            <w:r w:rsidRPr="007104B4">
              <w:t xml:space="preserve"> group and 56.4% of subjects in the </w:t>
            </w:r>
            <w:proofErr w:type="spellStart"/>
            <w:r w:rsidRPr="007104B4">
              <w:t>everolimus</w:t>
            </w:r>
            <w:proofErr w:type="spellEnd"/>
            <w:r w:rsidRPr="007104B4">
              <w:t xml:space="preserve"> group; any-grade SAEs were reported in 47.8% of subjects in the </w:t>
            </w:r>
            <w:proofErr w:type="spellStart"/>
            <w:r w:rsidRPr="007104B4">
              <w:t>nivolumab</w:t>
            </w:r>
            <w:proofErr w:type="spellEnd"/>
            <w:r w:rsidRPr="007104B4">
              <w:t xml:space="preserve"> group and 43.6% of subjects in the </w:t>
            </w:r>
            <w:proofErr w:type="spellStart"/>
            <w:r w:rsidRPr="007104B4">
              <w:t>everolimus</w:t>
            </w:r>
            <w:proofErr w:type="spellEnd"/>
            <w:r w:rsidRPr="007104B4">
              <w:t xml:space="preserve"> group.</w:t>
            </w:r>
          </w:p>
        </w:tc>
        <w:tc>
          <w:tcPr>
            <w:tcW w:w="4360" w:type="dxa"/>
          </w:tcPr>
          <w:p w14:paraId="3ECA3E89" w14:textId="77777777" w:rsidR="004553EF" w:rsidRPr="007104B4" w:rsidRDefault="004553EF" w:rsidP="00312822"/>
        </w:tc>
      </w:tr>
      <w:tr w:rsidR="004553EF" w:rsidRPr="00067FC1" w14:paraId="277081D5" w14:textId="77777777" w:rsidTr="004553EF">
        <w:tc>
          <w:tcPr>
            <w:tcW w:w="4360" w:type="dxa"/>
          </w:tcPr>
          <w:p w14:paraId="4B0708A7" w14:textId="77777777" w:rsidR="004553EF" w:rsidRPr="007104B4" w:rsidRDefault="004553EF" w:rsidP="00312822">
            <w:r>
              <w:t>In S</w:t>
            </w:r>
            <w:r w:rsidRPr="007104B4">
              <w:t>tudy CA209025, there were no deaths reported that were assessed as related to study drug toxicity</w:t>
            </w:r>
            <w:r>
              <w:t>.</w:t>
            </w:r>
          </w:p>
        </w:tc>
        <w:tc>
          <w:tcPr>
            <w:tcW w:w="4360" w:type="dxa"/>
          </w:tcPr>
          <w:p w14:paraId="67E3C103" w14:textId="77777777" w:rsidR="004553EF" w:rsidRPr="007104B4" w:rsidRDefault="004553EF" w:rsidP="00312822">
            <w:r w:rsidRPr="007104B4">
              <w:t xml:space="preserve">Deaths due to </w:t>
            </w:r>
            <w:proofErr w:type="spellStart"/>
            <w:r w:rsidRPr="007104B4">
              <w:t>irAR</w:t>
            </w:r>
            <w:proofErr w:type="spellEnd"/>
            <w:r w:rsidRPr="007104B4">
              <w:t xml:space="preserve"> with </w:t>
            </w:r>
            <w:proofErr w:type="spellStart"/>
            <w:r w:rsidRPr="007104B4">
              <w:t>nivolumab</w:t>
            </w:r>
            <w:proofErr w:type="spellEnd"/>
            <w:r w:rsidRPr="007104B4">
              <w:t xml:space="preserve"> monotherapy have been reported in other studies. Lack of familiarity on the part of investigators may have resulted in under-recognition of deaths due to </w:t>
            </w:r>
            <w:proofErr w:type="spellStart"/>
            <w:r w:rsidRPr="007104B4">
              <w:t>irARs</w:t>
            </w:r>
            <w:proofErr w:type="spellEnd"/>
            <w:r w:rsidRPr="007104B4">
              <w:t xml:space="preserve"> in Study CA209025</w:t>
            </w:r>
            <w:r>
              <w:t>.</w:t>
            </w:r>
          </w:p>
        </w:tc>
      </w:tr>
      <w:tr w:rsidR="004553EF" w:rsidRPr="00067FC1" w14:paraId="01632DEF" w14:textId="77777777" w:rsidTr="004553EF">
        <w:tc>
          <w:tcPr>
            <w:tcW w:w="4360" w:type="dxa"/>
          </w:tcPr>
          <w:p w14:paraId="223197E1" w14:textId="77777777" w:rsidR="004553EF" w:rsidRPr="007104B4" w:rsidRDefault="004553EF" w:rsidP="00312822">
            <w:r w:rsidRPr="007104B4">
              <w:t xml:space="preserve">In </w:t>
            </w:r>
            <w:r>
              <w:t>Study C</w:t>
            </w:r>
            <w:r w:rsidRPr="007104B4">
              <w:t>A209025, A</w:t>
            </w:r>
            <w:r>
              <w:t xml:space="preserve">Es that were potentially immune mediated occurred commonly: </w:t>
            </w:r>
            <w:r w:rsidRPr="007104B4">
              <w:t>diarrhoea/colitis in 28.3%, hepatitis in 15.3%, nephritis in</w:t>
            </w:r>
            <w:r>
              <w:t xml:space="preserve"> 18.5% and pneumonitis in 6.4%,</w:t>
            </w:r>
            <w:r w:rsidRPr="007104B4">
              <w:t xml:space="preserve"> although only a small proportion were considered related to study drug therapy by the investigators.</w:t>
            </w:r>
          </w:p>
        </w:tc>
        <w:tc>
          <w:tcPr>
            <w:tcW w:w="4360" w:type="dxa"/>
          </w:tcPr>
          <w:p w14:paraId="639C61DC" w14:textId="77777777" w:rsidR="004553EF" w:rsidRPr="007104B4" w:rsidRDefault="004553EF" w:rsidP="00312822">
            <w:proofErr w:type="spellStart"/>
            <w:proofErr w:type="gramStart"/>
            <w:r>
              <w:t>irAR</w:t>
            </w:r>
            <w:proofErr w:type="spellEnd"/>
            <w:proofErr w:type="gramEnd"/>
            <w:r>
              <w:t xml:space="preserve"> have non-</w:t>
            </w:r>
            <w:r w:rsidRPr="007104B4">
              <w:t xml:space="preserve">specific presentations with no confirmatory diagnostic test with recognition is dependent on clinical suspicion and familiarity. Lack of familiarity on the part of investigators may have resulted in under-recognition of </w:t>
            </w:r>
            <w:proofErr w:type="spellStart"/>
            <w:r w:rsidRPr="007104B4">
              <w:t>irARs</w:t>
            </w:r>
            <w:proofErr w:type="spellEnd"/>
            <w:r w:rsidRPr="007104B4">
              <w:t xml:space="preserve"> in Study CA209025</w:t>
            </w:r>
          </w:p>
        </w:tc>
      </w:tr>
      <w:tr w:rsidR="004553EF" w:rsidRPr="00067FC1" w14:paraId="6B603D39" w14:textId="77777777" w:rsidTr="004553EF">
        <w:tc>
          <w:tcPr>
            <w:tcW w:w="4360" w:type="dxa"/>
          </w:tcPr>
          <w:p w14:paraId="54E5EAB6" w14:textId="77777777" w:rsidR="004553EF" w:rsidRPr="007104B4" w:rsidRDefault="004553EF" w:rsidP="00312822">
            <w:r w:rsidRPr="007104B4">
              <w:lastRenderedPageBreak/>
              <w:t>There were no new safety concerns identified in Study CA209025</w:t>
            </w:r>
            <w:r>
              <w:t>.</w:t>
            </w:r>
          </w:p>
        </w:tc>
        <w:tc>
          <w:tcPr>
            <w:tcW w:w="4360" w:type="dxa"/>
          </w:tcPr>
          <w:p w14:paraId="136A2D80" w14:textId="77777777" w:rsidR="004553EF" w:rsidRPr="007104B4" w:rsidRDefault="004553EF" w:rsidP="00312822">
            <w:r w:rsidRPr="007104B4">
              <w:t xml:space="preserve">Two patients died from MOF and one patient developed SIRS in Study CA209025 and 209010. Apart from these patients, there may be as many as 51 patients who have been reported as developing SIRS/MODS/MOF during </w:t>
            </w:r>
            <w:proofErr w:type="spellStart"/>
            <w:r w:rsidRPr="007104B4">
              <w:t>nivolumab</w:t>
            </w:r>
            <w:proofErr w:type="spellEnd"/>
            <w:r w:rsidRPr="007104B4">
              <w:t xml:space="preserve"> treatment. During prospective monitoring specifically for SIRS in a group of 32 patients receiving </w:t>
            </w:r>
            <w:proofErr w:type="spellStart"/>
            <w:r w:rsidRPr="007104B4">
              <w:t>nivolumab</w:t>
            </w:r>
            <w:proofErr w:type="spellEnd"/>
            <w:r w:rsidRPr="007104B4">
              <w:t xml:space="preserve"> for NSCLC, 12 patients were reported to develop SIRS.</w:t>
            </w:r>
          </w:p>
        </w:tc>
      </w:tr>
      <w:tr w:rsidR="004553EF" w:rsidRPr="00067FC1" w14:paraId="54211891" w14:textId="77777777" w:rsidTr="004553EF">
        <w:tc>
          <w:tcPr>
            <w:tcW w:w="4360" w:type="dxa"/>
          </w:tcPr>
          <w:p w14:paraId="6619969C" w14:textId="02E9C52C" w:rsidR="004553EF" w:rsidRPr="007104B4" w:rsidRDefault="004553EF" w:rsidP="00312822">
            <w:r w:rsidRPr="007104B4">
              <w:t xml:space="preserve">Major safety concerns have been identified with the use of </w:t>
            </w:r>
            <w:proofErr w:type="spellStart"/>
            <w:r w:rsidRPr="007104B4">
              <w:t>nivolumab</w:t>
            </w:r>
            <w:proofErr w:type="spellEnd"/>
            <w:r w:rsidRPr="007104B4">
              <w:t xml:space="preserve"> monotherapy in other studies in the clinical development programme and </w:t>
            </w:r>
            <w:r w:rsidR="00244BAC">
              <w:t>with</w:t>
            </w:r>
            <w:r w:rsidRPr="007104B4">
              <w:t xml:space="preserve"> the number of patients exposed increas</w:t>
            </w:r>
            <w:r w:rsidR="00244BAC">
              <w:t>ing</w:t>
            </w:r>
            <w:r w:rsidRPr="007104B4">
              <w:t xml:space="preserve">. These include fatal and/or serious </w:t>
            </w:r>
            <w:proofErr w:type="spellStart"/>
            <w:r w:rsidRPr="007104B4">
              <w:t>irARs</w:t>
            </w:r>
            <w:proofErr w:type="spellEnd"/>
            <w:r w:rsidRPr="007104B4">
              <w:t xml:space="preserve"> such as pneumonitis, hepatitis, nephritis, colitis, SJS/TEN, encephalitis, </w:t>
            </w:r>
            <w:proofErr w:type="spellStart"/>
            <w:r w:rsidRPr="007104B4">
              <w:t>myasthenic</w:t>
            </w:r>
            <w:proofErr w:type="spellEnd"/>
            <w:r w:rsidRPr="007104B4">
              <w:t xml:space="preserve"> syndrome, demyelination, myasthenia gravis, Guillain-Barre syndrome, rhabdomyolysis, myocarditis, myositis, severe infusion reactions, adrenal failure, hypopituitarism, pancreatitis, </w:t>
            </w:r>
            <w:proofErr w:type="spellStart"/>
            <w:r w:rsidRPr="007104B4">
              <w:t>duodenitis</w:t>
            </w:r>
            <w:proofErr w:type="spellEnd"/>
            <w:r w:rsidRPr="007104B4">
              <w:t>, and gast</w:t>
            </w:r>
            <w:r w:rsidR="00D8296A">
              <w:t xml:space="preserve">ritis. It is likely that immune </w:t>
            </w:r>
            <w:r w:rsidRPr="007104B4">
              <w:t xml:space="preserve">related </w:t>
            </w:r>
            <w:r>
              <w:t xml:space="preserve">reactions related to every body </w:t>
            </w:r>
            <w:r w:rsidRPr="007104B4">
              <w:t>part will be recognised as patient exposure increases.</w:t>
            </w:r>
          </w:p>
        </w:tc>
        <w:tc>
          <w:tcPr>
            <w:tcW w:w="4360" w:type="dxa"/>
          </w:tcPr>
          <w:p w14:paraId="7EB3D5E1" w14:textId="77777777" w:rsidR="004553EF" w:rsidRPr="007104B4" w:rsidRDefault="004553EF" w:rsidP="00312822">
            <w:proofErr w:type="spellStart"/>
            <w:proofErr w:type="gramStart"/>
            <w:r w:rsidRPr="007104B4">
              <w:t>irAR</w:t>
            </w:r>
            <w:proofErr w:type="spellEnd"/>
            <w:proofErr w:type="gramEnd"/>
            <w:r w:rsidRPr="007104B4">
              <w:t xml:space="preserve"> have non-specific presentations with no confirmatory diagnostic test, creating diagnostic uncertainty. Recognition is dependent on clinical suspicion. Appropriate education of healthcare professionals involved in the care of patients being treated with </w:t>
            </w:r>
            <w:proofErr w:type="spellStart"/>
            <w:r w:rsidRPr="007104B4">
              <w:t>nivolumab</w:t>
            </w:r>
            <w:proofErr w:type="spellEnd"/>
            <w:r w:rsidRPr="007104B4">
              <w:t xml:space="preserve"> is essential.</w:t>
            </w:r>
          </w:p>
        </w:tc>
      </w:tr>
      <w:tr w:rsidR="004553EF" w:rsidRPr="00067FC1" w14:paraId="7D014312" w14:textId="77777777" w:rsidTr="004553EF">
        <w:tc>
          <w:tcPr>
            <w:tcW w:w="4360" w:type="dxa"/>
          </w:tcPr>
          <w:p w14:paraId="14B84806" w14:textId="77777777" w:rsidR="004553EF" w:rsidRPr="007104B4" w:rsidRDefault="004553EF" w:rsidP="00312822">
            <w:r w:rsidRPr="007104B4">
              <w:t>Limitations to information available to prescribers and due to full PI not included as package insert and distribution dependent on internet access</w:t>
            </w:r>
            <w:r>
              <w:t>.</w:t>
            </w:r>
          </w:p>
        </w:tc>
        <w:tc>
          <w:tcPr>
            <w:tcW w:w="4360" w:type="dxa"/>
          </w:tcPr>
          <w:p w14:paraId="7CAFBD62" w14:textId="77777777" w:rsidR="004553EF" w:rsidRPr="007104B4" w:rsidRDefault="004553EF" w:rsidP="00312822">
            <w:r w:rsidRPr="007104B4">
              <w:t>The PI is an important educational tool. It should be easily accessed both as hard copy and electronically by all prescribers.</w:t>
            </w:r>
          </w:p>
        </w:tc>
      </w:tr>
      <w:tr w:rsidR="004553EF" w:rsidRPr="00067FC1" w14:paraId="60355695" w14:textId="77777777" w:rsidTr="004553EF">
        <w:tc>
          <w:tcPr>
            <w:tcW w:w="4360" w:type="dxa"/>
          </w:tcPr>
          <w:p w14:paraId="34770E17" w14:textId="77777777" w:rsidR="004553EF" w:rsidRPr="007104B4" w:rsidRDefault="004553EF" w:rsidP="00312822">
            <w:r w:rsidRPr="007104B4">
              <w:t xml:space="preserve">Limitations to information available to medical practitioners providing ongoing care to patients with severe </w:t>
            </w:r>
            <w:proofErr w:type="spellStart"/>
            <w:r w:rsidRPr="007104B4">
              <w:t>irARs</w:t>
            </w:r>
            <w:proofErr w:type="spellEnd"/>
            <w:r>
              <w:t>.</w:t>
            </w:r>
          </w:p>
        </w:tc>
        <w:tc>
          <w:tcPr>
            <w:tcW w:w="4360" w:type="dxa"/>
          </w:tcPr>
          <w:p w14:paraId="56644845" w14:textId="08366453" w:rsidR="004553EF" w:rsidRPr="007104B4" w:rsidRDefault="004553EF" w:rsidP="00312822">
            <w:r w:rsidRPr="007104B4">
              <w:t xml:space="preserve">The evaluator is of the opinion that the HCP tool provides only limited and over-simplified information regarding the ongoing management of </w:t>
            </w:r>
            <w:proofErr w:type="spellStart"/>
            <w:r w:rsidRPr="007104B4">
              <w:t>irARs</w:t>
            </w:r>
            <w:proofErr w:type="spellEnd"/>
            <w:r w:rsidRPr="007104B4">
              <w:t>. The level of detail provided in the Investigators Brochure is more appropriate</w:t>
            </w:r>
            <w:r>
              <w:t>.</w:t>
            </w:r>
          </w:p>
        </w:tc>
      </w:tr>
      <w:tr w:rsidR="004553EF" w:rsidRPr="00067FC1" w14:paraId="25A781FF" w14:textId="77777777" w:rsidTr="004553EF">
        <w:tc>
          <w:tcPr>
            <w:tcW w:w="4360" w:type="dxa"/>
          </w:tcPr>
          <w:p w14:paraId="794771F6" w14:textId="77777777" w:rsidR="004553EF" w:rsidRPr="007104B4" w:rsidRDefault="004553EF" w:rsidP="00312822">
            <w:r w:rsidRPr="007104B4">
              <w:t xml:space="preserve">Limitations to </w:t>
            </w:r>
            <w:r>
              <w:t>‘</w:t>
            </w:r>
            <w:r w:rsidRPr="007104B4">
              <w:t>Patient Alert Card</w:t>
            </w:r>
            <w:r>
              <w:t>’</w:t>
            </w:r>
            <w:r w:rsidRPr="007104B4">
              <w:t xml:space="preserve"> w</w:t>
            </w:r>
            <w:r>
              <w:t>ith current format 4 pages long.</w:t>
            </w:r>
          </w:p>
        </w:tc>
        <w:tc>
          <w:tcPr>
            <w:tcW w:w="4360" w:type="dxa"/>
          </w:tcPr>
          <w:p w14:paraId="44EBD06B" w14:textId="77777777" w:rsidR="004553EF" w:rsidRPr="007104B4" w:rsidRDefault="004553EF" w:rsidP="00312822">
            <w:r w:rsidRPr="007104B4">
              <w:t xml:space="preserve">The intention of a </w:t>
            </w:r>
            <w:r>
              <w:t>‘</w:t>
            </w:r>
            <w:r w:rsidRPr="007104B4">
              <w:t>Patient Alert Card</w:t>
            </w:r>
            <w:r>
              <w:t>’</w:t>
            </w:r>
            <w:r w:rsidRPr="007104B4">
              <w:t xml:space="preserve"> is that it be carried at all times by the patient and provides essential basic information, including immediate actions if life-threatening condition, and indicates contacts whereby further information can be obtained. The </w:t>
            </w:r>
            <w:r w:rsidRPr="007104B4">
              <w:lastRenderedPageBreak/>
              <w:t xml:space="preserve">evaluator does not consider the 4 page format of the current </w:t>
            </w:r>
            <w:proofErr w:type="spellStart"/>
            <w:r w:rsidRPr="007104B4">
              <w:t>nivolumab</w:t>
            </w:r>
            <w:proofErr w:type="spellEnd"/>
            <w:r w:rsidRPr="007104B4">
              <w:t xml:space="preserve"> card to be suitable for the intended purpose.</w:t>
            </w:r>
          </w:p>
        </w:tc>
      </w:tr>
    </w:tbl>
    <w:p w14:paraId="231FF18F" w14:textId="77777777" w:rsidR="00F50634" w:rsidRDefault="00F50634" w:rsidP="00F50634">
      <w:pPr>
        <w:pStyle w:val="Heading4"/>
      </w:pPr>
      <w:bookmarkStart w:id="101" w:name="_Toc272414711"/>
      <w:bookmarkStart w:id="102" w:name="_Toc290846351"/>
      <w:bookmarkStart w:id="103" w:name="_Toc457473623"/>
      <w:r>
        <w:lastRenderedPageBreak/>
        <w:t>Second round assessment of benefit-risk balance</w:t>
      </w:r>
      <w:bookmarkEnd w:id="101"/>
      <w:bookmarkEnd w:id="102"/>
      <w:bookmarkEnd w:id="103"/>
    </w:p>
    <w:p w14:paraId="1B82B5EC" w14:textId="77777777" w:rsidR="00F50634" w:rsidRPr="003D0041" w:rsidRDefault="00F50634" w:rsidP="00F50634">
      <w:r w:rsidRPr="00BC69FB">
        <w:t xml:space="preserve">The benefit-risk balance of </w:t>
      </w:r>
      <w:proofErr w:type="spellStart"/>
      <w:r>
        <w:t>nivolumab</w:t>
      </w:r>
      <w:proofErr w:type="spellEnd"/>
      <w:r>
        <w:t xml:space="preserve"> for the indication of: </w:t>
      </w:r>
      <w:r>
        <w:rPr>
          <w:i/>
        </w:rPr>
        <w:t>‘</w:t>
      </w:r>
      <w:r w:rsidRPr="003D0041">
        <w:rPr>
          <w:i/>
        </w:rPr>
        <w:t>Adult patients with advanced RCC (clear cell) who had received prior anti-angiogenic therapy</w:t>
      </w:r>
      <w:r>
        <w:rPr>
          <w:i/>
        </w:rPr>
        <w:t>’</w:t>
      </w:r>
      <w:r w:rsidRPr="003D0041">
        <w:rPr>
          <w:i/>
        </w:rPr>
        <w:t xml:space="preserve"> </w:t>
      </w:r>
      <w:r w:rsidRPr="003D0041">
        <w:t>is favourable.</w:t>
      </w:r>
    </w:p>
    <w:p w14:paraId="0089D057" w14:textId="160D5E23" w:rsidR="00F50634" w:rsidRPr="00BC69FB" w:rsidRDefault="00F50634" w:rsidP="00F50634">
      <w:r w:rsidRPr="00BC69FB">
        <w:t xml:space="preserve">Ongoing refinement of the educational/awareness tools of the PI, Patient Alert Card and </w:t>
      </w:r>
      <w:r>
        <w:t xml:space="preserve">Healthcare Professionals guide </w:t>
      </w:r>
      <w:r w:rsidRPr="00BC69FB">
        <w:t>are essential to minimis</w:t>
      </w:r>
      <w:r w:rsidR="00096ED1">
        <w:t xml:space="preserve">e the risks associated with </w:t>
      </w:r>
      <w:proofErr w:type="spellStart"/>
      <w:r w:rsidR="00D8296A">
        <w:t>irARs</w:t>
      </w:r>
      <w:proofErr w:type="spellEnd"/>
      <w:r w:rsidRPr="00BC69FB">
        <w:t xml:space="preserve">. A multicentre national observational registry would provide information regarding the safety and efficacy of </w:t>
      </w:r>
      <w:proofErr w:type="spellStart"/>
      <w:r w:rsidRPr="00BC69FB">
        <w:t>nivolumab</w:t>
      </w:r>
      <w:proofErr w:type="spellEnd"/>
      <w:r w:rsidRPr="00BC69FB">
        <w:t xml:space="preserve"> outside of clinical trials in the Australian context.</w:t>
      </w:r>
    </w:p>
    <w:p w14:paraId="001FF9B0" w14:textId="77777777" w:rsidR="00F50634" w:rsidRDefault="00F50634" w:rsidP="00F50634">
      <w:pPr>
        <w:pStyle w:val="Heading4"/>
      </w:pPr>
      <w:bookmarkStart w:id="104" w:name="_Toc487490929"/>
      <w:r w:rsidRPr="003442FE">
        <w:t>Second round recommendation regarding authorisation</w:t>
      </w:r>
      <w:bookmarkEnd w:id="104"/>
    </w:p>
    <w:p w14:paraId="65BA7A8D" w14:textId="77777777" w:rsidR="00F50634" w:rsidRPr="003D0041" w:rsidRDefault="00F50634" w:rsidP="00F50634">
      <w:pPr>
        <w:rPr>
          <w:lang w:eastAsia="ja-JP"/>
        </w:rPr>
      </w:pPr>
      <w:r w:rsidRPr="003D0041">
        <w:rPr>
          <w:lang w:eastAsia="ja-JP"/>
        </w:rPr>
        <w:t xml:space="preserve">The evaluator recommends that </w:t>
      </w:r>
      <w:proofErr w:type="spellStart"/>
      <w:r w:rsidRPr="003D0041">
        <w:rPr>
          <w:lang w:eastAsia="ja-JP"/>
        </w:rPr>
        <w:t>nivolumab</w:t>
      </w:r>
      <w:proofErr w:type="spellEnd"/>
      <w:r w:rsidRPr="003D0041">
        <w:rPr>
          <w:lang w:eastAsia="ja-JP"/>
        </w:rPr>
        <w:t xml:space="preserve"> be approved for the indication of:</w:t>
      </w:r>
    </w:p>
    <w:p w14:paraId="3DFC541B" w14:textId="77777777" w:rsidR="00F50634" w:rsidRPr="007104B4" w:rsidRDefault="00F50634" w:rsidP="00F50634">
      <w:pPr>
        <w:ind w:left="720"/>
        <w:rPr>
          <w:lang w:eastAsia="ja-JP"/>
        </w:rPr>
      </w:pPr>
      <w:r>
        <w:rPr>
          <w:i/>
          <w:lang w:eastAsia="ja-JP"/>
        </w:rPr>
        <w:t>‘</w:t>
      </w:r>
      <w:r w:rsidRPr="007104B4">
        <w:rPr>
          <w:i/>
          <w:lang w:eastAsia="ja-JP"/>
        </w:rPr>
        <w:t xml:space="preserve">Adult patients with advanced RCC (clear cell) who had received prior </w:t>
      </w:r>
      <w:r w:rsidRPr="007104B4">
        <w:rPr>
          <w:i/>
          <w:lang w:val="en" w:eastAsia="ja-JP"/>
        </w:rPr>
        <w:t>anti-angiogenic</w:t>
      </w:r>
      <w:r w:rsidRPr="007104B4">
        <w:rPr>
          <w:i/>
          <w:lang w:eastAsia="ja-JP"/>
        </w:rPr>
        <w:t xml:space="preserve"> therapy</w:t>
      </w:r>
      <w:r>
        <w:rPr>
          <w:i/>
          <w:lang w:eastAsia="ja-JP"/>
        </w:rPr>
        <w:t>’</w:t>
      </w:r>
    </w:p>
    <w:p w14:paraId="6FB6A57E" w14:textId="6E525FFA" w:rsidR="00605AD4" w:rsidRPr="00605AD4" w:rsidRDefault="00F50634" w:rsidP="00546154">
      <w:pPr>
        <w:rPr>
          <w:lang w:eastAsia="ja-JP"/>
        </w:rPr>
      </w:pPr>
      <w:r w:rsidRPr="003D0041">
        <w:rPr>
          <w:lang w:eastAsia="ja-JP"/>
        </w:rPr>
        <w:t xml:space="preserve">Ongoing refinement of the educational/awareness tools of the PI, Patient Alert Card and </w:t>
      </w:r>
      <w:r w:rsidR="00096ED1">
        <w:rPr>
          <w:lang w:eastAsia="ja-JP"/>
        </w:rPr>
        <w:t>HCP</w:t>
      </w:r>
      <w:r>
        <w:rPr>
          <w:lang w:eastAsia="ja-JP"/>
        </w:rPr>
        <w:t xml:space="preserve"> guide </w:t>
      </w:r>
      <w:r w:rsidRPr="003D0041">
        <w:rPr>
          <w:lang w:eastAsia="ja-JP"/>
        </w:rPr>
        <w:t xml:space="preserve">are essential to minimise the risks associated with </w:t>
      </w:r>
      <w:proofErr w:type="spellStart"/>
      <w:r w:rsidR="00D8296A">
        <w:rPr>
          <w:lang w:eastAsia="ja-JP"/>
        </w:rPr>
        <w:t>irARs</w:t>
      </w:r>
      <w:proofErr w:type="spellEnd"/>
      <w:r w:rsidRPr="003D0041">
        <w:rPr>
          <w:lang w:eastAsia="ja-JP"/>
        </w:rPr>
        <w:t xml:space="preserve">. A multicentre national observational registry would provide information regarding the safety and efficacy of </w:t>
      </w:r>
      <w:proofErr w:type="spellStart"/>
      <w:r w:rsidRPr="003D0041">
        <w:rPr>
          <w:lang w:eastAsia="ja-JP"/>
        </w:rPr>
        <w:t>nivolumab</w:t>
      </w:r>
      <w:proofErr w:type="spellEnd"/>
      <w:r w:rsidRPr="003D0041">
        <w:rPr>
          <w:lang w:eastAsia="ja-JP"/>
        </w:rPr>
        <w:t xml:space="preserve"> outside of clinical trials in the Australian context.</w:t>
      </w:r>
    </w:p>
    <w:p w14:paraId="4CF7C0FE" w14:textId="77777777" w:rsidR="008E7846" w:rsidRPr="00E41208" w:rsidRDefault="008E7846" w:rsidP="00546154">
      <w:pPr>
        <w:pStyle w:val="Heading2"/>
      </w:pPr>
      <w:bookmarkStart w:id="105" w:name="_Toc489277880"/>
      <w:r w:rsidRPr="00E41208">
        <w:t xml:space="preserve">V. Pharmacovigilance </w:t>
      </w:r>
      <w:r>
        <w:t>f</w:t>
      </w:r>
      <w:r w:rsidRPr="00E41208">
        <w:t>indings</w:t>
      </w:r>
      <w:bookmarkEnd w:id="82"/>
      <w:bookmarkEnd w:id="83"/>
      <w:bookmarkEnd w:id="105"/>
    </w:p>
    <w:p w14:paraId="454C8A71" w14:textId="77777777" w:rsidR="008E7846" w:rsidRDefault="00386150" w:rsidP="008E7846">
      <w:pPr>
        <w:pStyle w:val="Heading3"/>
        <w:rPr>
          <w:lang w:eastAsia="en-AU"/>
        </w:rPr>
      </w:pPr>
      <w:bookmarkStart w:id="106" w:name="_Toc247691526"/>
      <w:bookmarkStart w:id="107" w:name="_Toc314842509"/>
      <w:bookmarkStart w:id="108" w:name="_Toc489277881"/>
      <w:r>
        <w:rPr>
          <w:lang w:eastAsia="en-AU"/>
        </w:rPr>
        <w:t>Risk m</w:t>
      </w:r>
      <w:r w:rsidR="008E7846">
        <w:rPr>
          <w:lang w:eastAsia="en-AU"/>
        </w:rPr>
        <w:t xml:space="preserve">anagement </w:t>
      </w:r>
      <w:r>
        <w:rPr>
          <w:lang w:eastAsia="en-AU"/>
        </w:rPr>
        <w:t>p</w:t>
      </w:r>
      <w:r w:rsidR="008E7846">
        <w:rPr>
          <w:lang w:eastAsia="en-AU"/>
        </w:rPr>
        <w:t>lan</w:t>
      </w:r>
      <w:bookmarkEnd w:id="106"/>
      <w:bookmarkEnd w:id="107"/>
      <w:bookmarkEnd w:id="108"/>
    </w:p>
    <w:p w14:paraId="2467FC46" w14:textId="2C68A3F5" w:rsidR="008E7846" w:rsidRDefault="008E7846" w:rsidP="008E7846">
      <w:pPr>
        <w:rPr>
          <w:lang w:eastAsia="en-AU"/>
        </w:rPr>
      </w:pPr>
      <w:r>
        <w:rPr>
          <w:lang w:eastAsia="en-AU"/>
        </w:rPr>
        <w:t>The sponsor submitted a Risk Management Plan</w:t>
      </w:r>
      <w:r w:rsidR="008D278D">
        <w:rPr>
          <w:lang w:eastAsia="en-AU"/>
        </w:rPr>
        <w:t xml:space="preserve"> (RMP): </w:t>
      </w:r>
      <w:r w:rsidR="008D278D" w:rsidRPr="008D278D">
        <w:rPr>
          <w:lang w:eastAsia="en-AU"/>
        </w:rPr>
        <w:t>EU-RMP version 4</w:t>
      </w:r>
      <w:r w:rsidR="008D278D">
        <w:rPr>
          <w:lang w:eastAsia="en-AU"/>
        </w:rPr>
        <w:t xml:space="preserve"> dated 23 </w:t>
      </w:r>
      <w:r w:rsidR="008D278D" w:rsidRPr="008D278D">
        <w:rPr>
          <w:lang w:eastAsia="en-AU"/>
        </w:rPr>
        <w:t>September 2015</w:t>
      </w:r>
      <w:r w:rsidR="008D278D">
        <w:rPr>
          <w:lang w:eastAsia="en-AU"/>
        </w:rPr>
        <w:t>, data lock point 18 June 2015;</w:t>
      </w:r>
      <w:r w:rsidR="008D278D" w:rsidRPr="008D278D">
        <w:rPr>
          <w:lang w:eastAsia="en-AU"/>
        </w:rPr>
        <w:t xml:space="preserve"> and </w:t>
      </w:r>
      <w:r w:rsidR="008D278D">
        <w:rPr>
          <w:lang w:eastAsia="en-AU"/>
        </w:rPr>
        <w:t xml:space="preserve">an </w:t>
      </w:r>
      <w:r w:rsidR="008D278D" w:rsidRPr="008D278D">
        <w:rPr>
          <w:lang w:eastAsia="en-AU"/>
        </w:rPr>
        <w:t>A</w:t>
      </w:r>
      <w:r w:rsidR="008D278D">
        <w:rPr>
          <w:lang w:eastAsia="en-AU"/>
        </w:rPr>
        <w:t>ustralian Specific Annex (A</w:t>
      </w:r>
      <w:r w:rsidR="008D278D" w:rsidRPr="008D278D">
        <w:rPr>
          <w:lang w:eastAsia="en-AU"/>
        </w:rPr>
        <w:t>SA</w:t>
      </w:r>
      <w:r w:rsidR="008D278D">
        <w:rPr>
          <w:lang w:eastAsia="en-AU"/>
        </w:rPr>
        <w:t xml:space="preserve">) version 3 dated </w:t>
      </w:r>
      <w:r w:rsidR="008D278D" w:rsidRPr="008D278D">
        <w:rPr>
          <w:lang w:eastAsia="en-AU"/>
        </w:rPr>
        <w:t>5 November 2015</w:t>
      </w:r>
      <w:r w:rsidR="008D278D">
        <w:rPr>
          <w:lang w:eastAsia="en-AU"/>
        </w:rPr>
        <w:t xml:space="preserve"> </w:t>
      </w:r>
      <w:r>
        <w:rPr>
          <w:lang w:eastAsia="en-AU"/>
        </w:rPr>
        <w:t xml:space="preserve">which was reviewed by the </w:t>
      </w:r>
      <w:r w:rsidR="00FC1FCA">
        <w:rPr>
          <w:lang w:eastAsia="en-AU"/>
        </w:rPr>
        <w:t>RMP evaluator.</w:t>
      </w:r>
    </w:p>
    <w:p w14:paraId="4445E07F" w14:textId="77777777" w:rsidR="008E7846" w:rsidRDefault="003A7F6C" w:rsidP="008E7846">
      <w:pPr>
        <w:pStyle w:val="Heading4"/>
        <w:rPr>
          <w:lang w:eastAsia="en-AU"/>
        </w:rPr>
      </w:pPr>
      <w:r>
        <w:rPr>
          <w:lang w:eastAsia="en-AU"/>
        </w:rPr>
        <w:t>Safety s</w:t>
      </w:r>
      <w:r w:rsidR="008E7846">
        <w:rPr>
          <w:lang w:eastAsia="en-AU"/>
        </w:rPr>
        <w:t>pecification</w:t>
      </w:r>
    </w:p>
    <w:p w14:paraId="47C24486" w14:textId="69A9422D"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onc</w:t>
      </w:r>
      <w:r w:rsidR="00096ED1">
        <w:rPr>
          <w:lang w:eastAsia="en-AU"/>
        </w:rPr>
        <w:t>erns which are shown below in Table 10.</w:t>
      </w:r>
    </w:p>
    <w:p w14:paraId="0F523B2C" w14:textId="60B4BBE2" w:rsidR="00096ED1" w:rsidRDefault="00096ED1" w:rsidP="00206EBB">
      <w:pPr>
        <w:pStyle w:val="Tabletitle0"/>
        <w:rPr>
          <w:lang w:eastAsia="en-AU"/>
        </w:rPr>
      </w:pPr>
      <w:proofErr w:type="gramStart"/>
      <w:r>
        <w:rPr>
          <w:lang w:eastAsia="en-AU"/>
        </w:rPr>
        <w:lastRenderedPageBreak/>
        <w:t>Table 10.</w:t>
      </w:r>
      <w:proofErr w:type="gramEnd"/>
      <w:r>
        <w:rPr>
          <w:lang w:eastAsia="en-AU"/>
        </w:rPr>
        <w:t xml:space="preserve"> Summary of </w:t>
      </w:r>
      <w:r w:rsidRPr="00854DC3">
        <w:t>ongoing</w:t>
      </w:r>
      <w:r>
        <w:rPr>
          <w:lang w:eastAsia="en-AU"/>
        </w:rPr>
        <w:t xml:space="preserve"> safety concerns</w:t>
      </w:r>
    </w:p>
    <w:tbl>
      <w:tblPr>
        <w:tblStyle w:val="TableTGAblue"/>
        <w:tblW w:w="9469" w:type="dxa"/>
        <w:tblLook w:val="04A0" w:firstRow="1" w:lastRow="0" w:firstColumn="1" w:lastColumn="0" w:noHBand="0" w:noVBand="1"/>
      </w:tblPr>
      <w:tblGrid>
        <w:gridCol w:w="1809"/>
        <w:gridCol w:w="7660"/>
      </w:tblGrid>
      <w:tr w:rsidR="008D278D" w:rsidRPr="008D278D" w14:paraId="394D9779" w14:textId="77777777" w:rsidTr="00854DC3">
        <w:trPr>
          <w:cnfStyle w:val="100000000000" w:firstRow="1" w:lastRow="0" w:firstColumn="0" w:lastColumn="0" w:oddVBand="0" w:evenVBand="0" w:oddHBand="0" w:evenHBand="0" w:firstRowFirstColumn="0" w:firstRowLastColumn="0" w:lastRowFirstColumn="0" w:lastRowLastColumn="0"/>
          <w:cantSplit/>
        </w:trPr>
        <w:tc>
          <w:tcPr>
            <w:tcW w:w="9469" w:type="dxa"/>
            <w:gridSpan w:val="2"/>
          </w:tcPr>
          <w:p w14:paraId="3A7F1B78" w14:textId="1098B016" w:rsidR="008D278D" w:rsidRPr="008D278D" w:rsidRDefault="008D278D" w:rsidP="00312822"/>
        </w:tc>
      </w:tr>
      <w:tr w:rsidR="008D278D" w:rsidRPr="008D278D" w14:paraId="1E12F6B1" w14:textId="77777777" w:rsidTr="008D278D">
        <w:trPr>
          <w:trHeight w:val="3088"/>
        </w:trPr>
        <w:tc>
          <w:tcPr>
            <w:tcW w:w="1809" w:type="dxa"/>
          </w:tcPr>
          <w:p w14:paraId="70B8BE5E" w14:textId="77777777" w:rsidR="008D278D" w:rsidRPr="008D278D" w:rsidRDefault="008D278D" w:rsidP="00312822">
            <w:r w:rsidRPr="008D278D">
              <w:t>Important identified risks</w:t>
            </w:r>
          </w:p>
        </w:tc>
        <w:tc>
          <w:tcPr>
            <w:tcW w:w="7660" w:type="dxa"/>
          </w:tcPr>
          <w:p w14:paraId="741AEEFD" w14:textId="7A8746EA" w:rsidR="008D278D" w:rsidRPr="008D278D" w:rsidRDefault="00D8296A" w:rsidP="00312822">
            <w:r>
              <w:t xml:space="preserve">Immune </w:t>
            </w:r>
            <w:r w:rsidR="008D278D" w:rsidRPr="008D278D">
              <w:t>related pneumonitis</w:t>
            </w:r>
          </w:p>
          <w:p w14:paraId="484F50D4" w14:textId="114CBF35" w:rsidR="008D278D" w:rsidRPr="008D278D" w:rsidRDefault="008D278D" w:rsidP="00312822">
            <w:r w:rsidRPr="008D278D">
              <w:t>Immu</w:t>
            </w:r>
            <w:r w:rsidR="00096ED1">
              <w:t xml:space="preserve">ne </w:t>
            </w:r>
            <w:r w:rsidRPr="008D278D">
              <w:t>related colitis</w:t>
            </w:r>
          </w:p>
          <w:p w14:paraId="25DCA4AB" w14:textId="7AE7CC3D" w:rsidR="008D278D" w:rsidRPr="008D278D" w:rsidRDefault="00096ED1" w:rsidP="00312822">
            <w:r>
              <w:t xml:space="preserve">Immune </w:t>
            </w:r>
            <w:r w:rsidR="008D278D" w:rsidRPr="008D278D">
              <w:t>related hepatitis</w:t>
            </w:r>
          </w:p>
          <w:p w14:paraId="1CA5EAD2" w14:textId="28F2A6DF" w:rsidR="008D278D" w:rsidRPr="008D278D" w:rsidRDefault="00096ED1" w:rsidP="00312822">
            <w:r>
              <w:t xml:space="preserve">Immune </w:t>
            </w:r>
            <w:r w:rsidR="008D278D" w:rsidRPr="008D278D">
              <w:t>related nephritis or renal dysfunction</w:t>
            </w:r>
          </w:p>
          <w:p w14:paraId="242E44B2" w14:textId="7ED160B3" w:rsidR="008D278D" w:rsidRPr="008D278D" w:rsidRDefault="00096ED1" w:rsidP="00312822">
            <w:r>
              <w:t xml:space="preserve">Immune </w:t>
            </w:r>
            <w:r w:rsidR="008D278D" w:rsidRPr="008D278D">
              <w:t xml:space="preserve">related </w:t>
            </w:r>
            <w:proofErr w:type="spellStart"/>
            <w:r w:rsidR="008D278D" w:rsidRPr="008D278D">
              <w:t>endocrinopathies</w:t>
            </w:r>
            <w:proofErr w:type="spellEnd"/>
          </w:p>
          <w:p w14:paraId="1E0E224E" w14:textId="6295FF0B" w:rsidR="008D278D" w:rsidRPr="008D278D" w:rsidRDefault="00096ED1" w:rsidP="00312822">
            <w:r>
              <w:t xml:space="preserve">Immune </w:t>
            </w:r>
            <w:r w:rsidR="008D278D" w:rsidRPr="008D278D">
              <w:t>related rash (and severe skin reactions)*</w:t>
            </w:r>
          </w:p>
          <w:p w14:paraId="1F46C24F" w14:textId="77FA62C9" w:rsidR="008D278D" w:rsidRPr="008D278D" w:rsidRDefault="00096ED1" w:rsidP="00312822">
            <w:r>
              <w:t xml:space="preserve">Other immune </w:t>
            </w:r>
            <w:r w:rsidR="008D278D" w:rsidRPr="008D278D">
              <w:t xml:space="preserve">related </w:t>
            </w:r>
            <w:r>
              <w:t>adverse reaction</w:t>
            </w:r>
            <w:r w:rsidR="008D278D" w:rsidRPr="008D278D">
              <w:t>s</w:t>
            </w:r>
          </w:p>
          <w:p w14:paraId="7A6C0BF0" w14:textId="78991E79" w:rsidR="008D278D" w:rsidRPr="008D278D" w:rsidRDefault="008D278D" w:rsidP="00312822">
            <w:r w:rsidRPr="008D278D">
              <w:t>Severe infusion reactions</w:t>
            </w:r>
          </w:p>
        </w:tc>
      </w:tr>
      <w:tr w:rsidR="008D278D" w:rsidRPr="008D278D" w14:paraId="59A99DBB" w14:textId="77777777" w:rsidTr="008D278D">
        <w:trPr>
          <w:trHeight w:val="57"/>
        </w:trPr>
        <w:tc>
          <w:tcPr>
            <w:tcW w:w="1809" w:type="dxa"/>
          </w:tcPr>
          <w:p w14:paraId="2CC254FF" w14:textId="77777777" w:rsidR="008D278D" w:rsidRPr="008D278D" w:rsidRDefault="008D278D" w:rsidP="00312822">
            <w:r w:rsidRPr="008D278D">
              <w:t>Important potential risks</w:t>
            </w:r>
          </w:p>
        </w:tc>
        <w:tc>
          <w:tcPr>
            <w:tcW w:w="7660" w:type="dxa"/>
          </w:tcPr>
          <w:p w14:paraId="2D3C98FC" w14:textId="77777777" w:rsidR="008D278D" w:rsidRDefault="008D278D" w:rsidP="00312822">
            <w:proofErr w:type="spellStart"/>
            <w:r w:rsidRPr="008D278D">
              <w:t>Embryofetal</w:t>
            </w:r>
            <w:proofErr w:type="spellEnd"/>
            <w:r w:rsidRPr="008D278D">
              <w:t xml:space="preserve"> toxicity</w:t>
            </w:r>
          </w:p>
          <w:p w14:paraId="0F60560A" w14:textId="77777777" w:rsidR="008D278D" w:rsidRDefault="008D278D" w:rsidP="00312822">
            <w:r w:rsidRPr="008D278D">
              <w:t>Immunogenicity</w:t>
            </w:r>
          </w:p>
          <w:p w14:paraId="364394A0" w14:textId="7DD17A2C" w:rsidR="008D278D" w:rsidRPr="008D278D" w:rsidRDefault="008D278D" w:rsidP="00312822">
            <w:r w:rsidRPr="008D278D">
              <w:t>Cardiac arrhythmias (previously treated melanoma indication only)</w:t>
            </w:r>
          </w:p>
        </w:tc>
      </w:tr>
      <w:tr w:rsidR="008D278D" w:rsidRPr="008D278D" w14:paraId="7121B0E3" w14:textId="77777777" w:rsidTr="008D278D">
        <w:trPr>
          <w:trHeight w:val="253"/>
        </w:trPr>
        <w:tc>
          <w:tcPr>
            <w:tcW w:w="1809" w:type="dxa"/>
          </w:tcPr>
          <w:p w14:paraId="28F5E0C0" w14:textId="77777777" w:rsidR="008D278D" w:rsidRPr="008D278D" w:rsidRDefault="008D278D" w:rsidP="00312822">
            <w:r w:rsidRPr="008D278D">
              <w:t>Missing information</w:t>
            </w:r>
          </w:p>
        </w:tc>
        <w:tc>
          <w:tcPr>
            <w:tcW w:w="7660" w:type="dxa"/>
          </w:tcPr>
          <w:p w14:paraId="591C3C1A" w14:textId="5BACA703" w:rsidR="008D278D" w:rsidRPr="008D278D" w:rsidRDefault="008D278D" w:rsidP="00312822">
            <w:r w:rsidRPr="008D278D">
              <w:t>P</w:t>
            </w:r>
            <w:r w:rsidR="00096ED1">
              <w:t>a</w:t>
            </w:r>
            <w:r w:rsidRPr="008D278D">
              <w:t>ediatric patients &lt;</w:t>
            </w:r>
            <w:r w:rsidR="00096ED1">
              <w:t xml:space="preserve"> </w:t>
            </w:r>
            <w:r w:rsidRPr="008D278D">
              <w:t>18 years of age</w:t>
            </w:r>
          </w:p>
          <w:p w14:paraId="2B3A9507" w14:textId="77777777" w:rsidR="008D278D" w:rsidRPr="008D278D" w:rsidRDefault="008D278D" w:rsidP="00312822">
            <w:r w:rsidRPr="008D278D">
              <w:t>Patients with severe hepatic and/or renal impairment</w:t>
            </w:r>
          </w:p>
          <w:p w14:paraId="0173F062" w14:textId="77777777" w:rsidR="008D278D" w:rsidRPr="008D278D" w:rsidRDefault="008D278D" w:rsidP="00312822">
            <w:r w:rsidRPr="008D278D">
              <w:t>Patients with autoimmune disease</w:t>
            </w:r>
          </w:p>
          <w:p w14:paraId="7BBBDD32" w14:textId="57D993FA" w:rsidR="008D278D" w:rsidRPr="008D278D" w:rsidRDefault="008D278D" w:rsidP="00312822">
            <w:r w:rsidRPr="008D278D">
              <w:t xml:space="preserve">Patients already receiving systemic </w:t>
            </w:r>
            <w:proofErr w:type="spellStart"/>
            <w:r w:rsidRPr="008D278D">
              <w:t>immunosuppressants</w:t>
            </w:r>
            <w:proofErr w:type="spellEnd"/>
            <w:r w:rsidRPr="008D278D">
              <w:t xml:space="preserve"> before starting </w:t>
            </w:r>
            <w:proofErr w:type="spellStart"/>
            <w:r w:rsidRPr="008D278D">
              <w:t>nivolumab</w:t>
            </w:r>
            <w:proofErr w:type="spellEnd"/>
          </w:p>
        </w:tc>
      </w:tr>
    </w:tbl>
    <w:p w14:paraId="52059056" w14:textId="2C3592C3" w:rsidR="008D278D" w:rsidRDefault="008D278D" w:rsidP="008D278D">
      <w:pPr>
        <w:pStyle w:val="TableDescription"/>
        <w:rPr>
          <w:lang w:eastAsia="en-AU"/>
        </w:rPr>
      </w:pPr>
      <w:r w:rsidRPr="005D5FCD">
        <w:t>*</w:t>
      </w:r>
      <w:r w:rsidR="00206EBB">
        <w:t>S</w:t>
      </w:r>
      <w:r w:rsidR="00206EBB" w:rsidRPr="005D5FCD">
        <w:t xml:space="preserve">evere </w:t>
      </w:r>
      <w:r w:rsidRPr="005D5FCD">
        <w:t>skin reactions have been added for Australia per previous TGA request.</w:t>
      </w:r>
    </w:p>
    <w:p w14:paraId="58EFFC72" w14:textId="77777777"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14:paraId="2DF98410" w14:textId="45CC4071" w:rsidR="002E4D46" w:rsidRDefault="002E4D46" w:rsidP="002E4D46">
      <w:r w:rsidRPr="002E4D46">
        <w:t>Additional pharmacovigilance activities have been proposed for the important identified risks, as well as the important potential risk of</w:t>
      </w:r>
      <w:r w:rsidR="00096ED1">
        <w:t xml:space="preserve"> cardiac arrhythmia (see Table 11, below</w:t>
      </w:r>
      <w:r w:rsidRPr="002E4D46">
        <w:t xml:space="preserve">). The </w:t>
      </w:r>
      <w:r>
        <w:t>s</w:t>
      </w:r>
      <w:r w:rsidRPr="002E4D46">
        <w:t xml:space="preserve">ponsor has advised that no tumour/indication specific changes have been proposed to the </w:t>
      </w:r>
      <w:r>
        <w:t>‘</w:t>
      </w:r>
      <w:r w:rsidRPr="002E4D46">
        <w:t>Pharmacovigilance</w:t>
      </w:r>
      <w:r>
        <w:t>’</w:t>
      </w:r>
      <w:r w:rsidRPr="002E4D46">
        <w:t xml:space="preserve"> section of </w:t>
      </w:r>
      <w:r>
        <w:t xml:space="preserve">the ASA since the TGA approved </w:t>
      </w:r>
      <w:proofErr w:type="spellStart"/>
      <w:r>
        <w:t>n</w:t>
      </w:r>
      <w:r w:rsidRPr="002E4D46">
        <w:t>ivolumab</w:t>
      </w:r>
      <w:proofErr w:type="spellEnd"/>
      <w:r w:rsidRPr="002E4D46">
        <w:t xml:space="preserve"> ASA v</w:t>
      </w:r>
      <w:r w:rsidR="00096ED1">
        <w:t xml:space="preserve">ersion </w:t>
      </w:r>
      <w:r w:rsidRPr="002E4D46">
        <w:t>2.2 (</w:t>
      </w:r>
      <w:r>
        <w:t>that is,</w:t>
      </w:r>
      <w:r w:rsidRPr="002E4D46">
        <w:t xml:space="preserve"> versions 2.2 through 5).</w:t>
      </w:r>
    </w:p>
    <w:p w14:paraId="47D106A4" w14:textId="44B474F1" w:rsidR="00096ED1" w:rsidRPr="002E4D46" w:rsidRDefault="00096ED1" w:rsidP="00096ED1">
      <w:pPr>
        <w:pStyle w:val="Tabletitle0"/>
      </w:pPr>
      <w:proofErr w:type="gramStart"/>
      <w:r>
        <w:t>Table 11.</w:t>
      </w:r>
      <w:proofErr w:type="gramEnd"/>
      <w:r w:rsidR="00E42C19">
        <w:t xml:space="preserve"> Ongoing and proposed </w:t>
      </w:r>
      <w:r>
        <w:t>additional pharmacovigilance activities</w:t>
      </w:r>
    </w:p>
    <w:tbl>
      <w:tblPr>
        <w:tblStyle w:val="TableTGAblue"/>
        <w:tblW w:w="8835" w:type="dxa"/>
        <w:tblLayout w:type="fixed"/>
        <w:tblLook w:val="04A0" w:firstRow="1" w:lastRow="0" w:firstColumn="1" w:lastColumn="0" w:noHBand="0" w:noVBand="1"/>
      </w:tblPr>
      <w:tblGrid>
        <w:gridCol w:w="2093"/>
        <w:gridCol w:w="2872"/>
        <w:gridCol w:w="2250"/>
        <w:gridCol w:w="1620"/>
      </w:tblGrid>
      <w:tr w:rsidR="00E00AB7" w14:paraId="09785326" w14:textId="77777777" w:rsidTr="00312822">
        <w:trPr>
          <w:cnfStyle w:val="100000000000" w:firstRow="1" w:lastRow="0" w:firstColumn="0" w:lastColumn="0" w:oddVBand="0" w:evenVBand="0" w:oddHBand="0" w:evenHBand="0" w:firstRowFirstColumn="0" w:firstRowLastColumn="0" w:lastRowFirstColumn="0" w:lastRowLastColumn="0"/>
          <w:trHeight w:val="1081"/>
        </w:trPr>
        <w:tc>
          <w:tcPr>
            <w:tcW w:w="2093" w:type="dxa"/>
          </w:tcPr>
          <w:p w14:paraId="5B94989E" w14:textId="77777777" w:rsidR="002E4D46" w:rsidRPr="00045AC2" w:rsidRDefault="002E4D46" w:rsidP="00312822">
            <w:r w:rsidRPr="00045AC2">
              <w:t>Safety Concern</w:t>
            </w:r>
          </w:p>
        </w:tc>
        <w:tc>
          <w:tcPr>
            <w:tcW w:w="2872" w:type="dxa"/>
          </w:tcPr>
          <w:p w14:paraId="6EAFCC59" w14:textId="77777777" w:rsidR="002E4D46" w:rsidRPr="00045AC2" w:rsidRDefault="002E4D46" w:rsidP="00312822">
            <w:r w:rsidRPr="00045AC2">
              <w:t>Additional activity</w:t>
            </w:r>
          </w:p>
        </w:tc>
        <w:tc>
          <w:tcPr>
            <w:tcW w:w="2250" w:type="dxa"/>
          </w:tcPr>
          <w:p w14:paraId="693F6233" w14:textId="6DB2FD95" w:rsidR="002E4D46" w:rsidRPr="00045AC2" w:rsidRDefault="002E4D46" w:rsidP="00312822">
            <w:r w:rsidRPr="00045AC2">
              <w:t>Proposed actions/outcomes</w:t>
            </w:r>
          </w:p>
        </w:tc>
        <w:tc>
          <w:tcPr>
            <w:tcW w:w="1620" w:type="dxa"/>
          </w:tcPr>
          <w:p w14:paraId="3FA71FB6" w14:textId="77777777" w:rsidR="002E4D46" w:rsidRPr="00045AC2" w:rsidRDefault="002E4D46" w:rsidP="00312822">
            <w:r w:rsidRPr="00045AC2">
              <w:t>Planned submission date</w:t>
            </w:r>
          </w:p>
        </w:tc>
      </w:tr>
      <w:tr w:rsidR="002E4D46" w14:paraId="602AD94E" w14:textId="77777777" w:rsidTr="003E1144">
        <w:tc>
          <w:tcPr>
            <w:tcW w:w="8835" w:type="dxa"/>
            <w:gridSpan w:val="4"/>
          </w:tcPr>
          <w:p w14:paraId="681A9DF6" w14:textId="77777777" w:rsidR="002E4D46" w:rsidRPr="00E6022D" w:rsidRDefault="002E4D46" w:rsidP="00312822">
            <w:r w:rsidRPr="00E6022D">
              <w:t>Ongoing studies (EU-RMP)</w:t>
            </w:r>
          </w:p>
        </w:tc>
      </w:tr>
      <w:tr w:rsidR="00E00AB7" w14:paraId="54FEC09D" w14:textId="77777777" w:rsidTr="00312822">
        <w:tc>
          <w:tcPr>
            <w:tcW w:w="2093" w:type="dxa"/>
            <w:vMerge w:val="restart"/>
          </w:tcPr>
          <w:p w14:paraId="20EE5FBB" w14:textId="317407C6" w:rsidR="002E4D46" w:rsidRPr="00A80C2A" w:rsidRDefault="002E4D46" w:rsidP="00312822">
            <w:pPr>
              <w:rPr>
                <w:sz w:val="21"/>
              </w:rPr>
            </w:pPr>
            <w:r w:rsidRPr="00A80C2A">
              <w:rPr>
                <w:sz w:val="21"/>
              </w:rPr>
              <w:t>Immunogenicity</w:t>
            </w:r>
          </w:p>
          <w:p w14:paraId="73DB5129" w14:textId="77777777" w:rsidR="002E4D46" w:rsidRPr="00E6022D" w:rsidRDefault="002E4D46" w:rsidP="00312822">
            <w:r w:rsidRPr="00A80C2A">
              <w:rPr>
                <w:sz w:val="21"/>
              </w:rPr>
              <w:t>Cardiac arrhythmias (previously treated melanoma indication, only)</w:t>
            </w:r>
          </w:p>
        </w:tc>
        <w:tc>
          <w:tcPr>
            <w:tcW w:w="2872" w:type="dxa"/>
          </w:tcPr>
          <w:p w14:paraId="3FC595FE" w14:textId="0064EDB6" w:rsidR="002E4D46" w:rsidRPr="00A80C2A" w:rsidRDefault="00E6022D" w:rsidP="00312822">
            <w:pPr>
              <w:rPr>
                <w:sz w:val="21"/>
              </w:rPr>
            </w:pPr>
            <w:r w:rsidRPr="00A80C2A">
              <w:rPr>
                <w:sz w:val="21"/>
              </w:rPr>
              <w:t xml:space="preserve">Study </w:t>
            </w:r>
            <w:r w:rsidR="002E4D46" w:rsidRPr="00A80C2A">
              <w:rPr>
                <w:sz w:val="21"/>
              </w:rPr>
              <w:t>CA209172</w:t>
            </w:r>
            <w:r w:rsidRPr="00A80C2A">
              <w:rPr>
                <w:sz w:val="21"/>
              </w:rPr>
              <w:t xml:space="preserve">: </w:t>
            </w:r>
            <w:r w:rsidRPr="00A80C2A">
              <w:rPr>
                <w:i/>
                <w:sz w:val="21"/>
              </w:rPr>
              <w:t>‘A Phase II, single arm, open l</w:t>
            </w:r>
            <w:r w:rsidR="002E4D46" w:rsidRPr="00A80C2A">
              <w:rPr>
                <w:i/>
                <w:sz w:val="21"/>
              </w:rPr>
              <w:t xml:space="preserve">abel, </w:t>
            </w:r>
            <w:proofErr w:type="spellStart"/>
            <w:r w:rsidR="002E4D46" w:rsidRPr="00A80C2A">
              <w:rPr>
                <w:i/>
                <w:sz w:val="21"/>
              </w:rPr>
              <w:t>Multicenter</w:t>
            </w:r>
            <w:proofErr w:type="spellEnd"/>
            <w:r w:rsidR="002E4D46" w:rsidRPr="00A80C2A">
              <w:rPr>
                <w:i/>
                <w:sz w:val="21"/>
              </w:rPr>
              <w:t xml:space="preserve"> Clinical Trial with </w:t>
            </w:r>
            <w:proofErr w:type="spellStart"/>
            <w:r w:rsidR="002E4D46" w:rsidRPr="00A80C2A">
              <w:rPr>
                <w:i/>
                <w:sz w:val="21"/>
              </w:rPr>
              <w:t>Nivolumab</w:t>
            </w:r>
            <w:proofErr w:type="spellEnd"/>
            <w:r w:rsidR="002E4D46" w:rsidRPr="00A80C2A">
              <w:rPr>
                <w:i/>
                <w:sz w:val="21"/>
              </w:rPr>
              <w:t xml:space="preserve"> for Subjects with Histologically Confirmed Stage III (</w:t>
            </w:r>
            <w:proofErr w:type="spellStart"/>
            <w:r w:rsidR="002E4D46" w:rsidRPr="00A80C2A">
              <w:rPr>
                <w:i/>
                <w:sz w:val="21"/>
              </w:rPr>
              <w:t>unresectable</w:t>
            </w:r>
            <w:proofErr w:type="spellEnd"/>
            <w:r w:rsidR="002E4D46" w:rsidRPr="00A80C2A">
              <w:rPr>
                <w:i/>
                <w:sz w:val="21"/>
              </w:rPr>
              <w:t xml:space="preserve">) or Stage IV Melanoma </w:t>
            </w:r>
            <w:r w:rsidR="002E4D46" w:rsidRPr="00A80C2A">
              <w:rPr>
                <w:i/>
                <w:sz w:val="21"/>
              </w:rPr>
              <w:lastRenderedPageBreak/>
              <w:t>Progressing Post Prior Treatment Containing an Anti-CTLA-4 Monoclonal Antibody</w:t>
            </w:r>
            <w:r w:rsidRPr="00A80C2A">
              <w:rPr>
                <w:i/>
                <w:sz w:val="21"/>
              </w:rPr>
              <w:t>’.</w:t>
            </w:r>
          </w:p>
        </w:tc>
        <w:tc>
          <w:tcPr>
            <w:tcW w:w="2250" w:type="dxa"/>
            <w:vMerge w:val="restart"/>
          </w:tcPr>
          <w:p w14:paraId="1A18141B" w14:textId="34848162" w:rsidR="002E4D46" w:rsidRPr="00A80C2A" w:rsidRDefault="00045AC2" w:rsidP="00312822">
            <w:pPr>
              <w:rPr>
                <w:sz w:val="21"/>
              </w:rPr>
            </w:pPr>
            <w:r>
              <w:rPr>
                <w:sz w:val="21"/>
              </w:rPr>
              <w:lastRenderedPageBreak/>
              <w:t>To further characteris</w:t>
            </w:r>
            <w:r w:rsidR="002E4D46" w:rsidRPr="00A80C2A">
              <w:rPr>
                <w:sz w:val="21"/>
              </w:rPr>
              <w:t>e immunogenicity and its impact on efficacy and safety</w:t>
            </w:r>
          </w:p>
          <w:p w14:paraId="5FF300A7" w14:textId="10F0F676" w:rsidR="002E4D46" w:rsidRPr="00E6022D" w:rsidRDefault="00045AC2" w:rsidP="00312822">
            <w:r>
              <w:rPr>
                <w:sz w:val="21"/>
              </w:rPr>
              <w:t>To evaluate and characteris</w:t>
            </w:r>
            <w:r w:rsidR="002E4D46" w:rsidRPr="00A80C2A">
              <w:rPr>
                <w:sz w:val="21"/>
              </w:rPr>
              <w:t xml:space="preserve">e </w:t>
            </w:r>
            <w:r w:rsidR="002E4D46" w:rsidRPr="00A80C2A">
              <w:rPr>
                <w:sz w:val="21"/>
              </w:rPr>
              <w:lastRenderedPageBreak/>
              <w:t>cardiac arrhythmia risk</w:t>
            </w:r>
          </w:p>
        </w:tc>
        <w:tc>
          <w:tcPr>
            <w:tcW w:w="1620" w:type="dxa"/>
          </w:tcPr>
          <w:p w14:paraId="086CE7A1" w14:textId="77777777" w:rsidR="002E4D46" w:rsidRPr="00E6022D" w:rsidRDefault="002E4D46" w:rsidP="00312822">
            <w:r w:rsidRPr="00A80C2A">
              <w:rPr>
                <w:sz w:val="21"/>
              </w:rPr>
              <w:lastRenderedPageBreak/>
              <w:t>4Q 2017</w:t>
            </w:r>
          </w:p>
        </w:tc>
      </w:tr>
      <w:tr w:rsidR="00E00AB7" w14:paraId="5D21A35B" w14:textId="77777777" w:rsidTr="00312822">
        <w:trPr>
          <w:trHeight w:val="178"/>
        </w:trPr>
        <w:tc>
          <w:tcPr>
            <w:tcW w:w="2093" w:type="dxa"/>
            <w:vMerge/>
          </w:tcPr>
          <w:p w14:paraId="4C30188F" w14:textId="77777777" w:rsidR="002E4D46" w:rsidRPr="00E6022D" w:rsidRDefault="002E4D46" w:rsidP="00312822"/>
        </w:tc>
        <w:tc>
          <w:tcPr>
            <w:tcW w:w="2872" w:type="dxa"/>
          </w:tcPr>
          <w:p w14:paraId="6C2AF166" w14:textId="3B001E35" w:rsidR="002E4D46" w:rsidRPr="00A80C2A" w:rsidRDefault="00E6022D" w:rsidP="00312822">
            <w:pPr>
              <w:rPr>
                <w:sz w:val="21"/>
              </w:rPr>
            </w:pPr>
            <w:r w:rsidRPr="00A80C2A">
              <w:rPr>
                <w:sz w:val="21"/>
              </w:rPr>
              <w:t xml:space="preserve">Study </w:t>
            </w:r>
            <w:r w:rsidR="002E4D46" w:rsidRPr="00A80C2A">
              <w:rPr>
                <w:sz w:val="21"/>
              </w:rPr>
              <w:t>CA209171</w:t>
            </w:r>
            <w:r w:rsidRPr="00A80C2A">
              <w:rPr>
                <w:sz w:val="21"/>
              </w:rPr>
              <w:t>:</w:t>
            </w:r>
            <w:r w:rsidR="002E4D46" w:rsidRPr="00A80C2A">
              <w:rPr>
                <w:sz w:val="21"/>
              </w:rPr>
              <w:t xml:space="preserve"> </w:t>
            </w:r>
            <w:r w:rsidRPr="00A80C2A">
              <w:rPr>
                <w:i/>
                <w:sz w:val="21"/>
              </w:rPr>
              <w:t>‘</w:t>
            </w:r>
            <w:r w:rsidR="002E4D46" w:rsidRPr="00A80C2A">
              <w:rPr>
                <w:i/>
                <w:sz w:val="21"/>
              </w:rPr>
              <w:t xml:space="preserve">A Single-Arm, Open-Label, </w:t>
            </w:r>
            <w:proofErr w:type="spellStart"/>
            <w:r w:rsidR="002E4D46" w:rsidRPr="00A80C2A">
              <w:rPr>
                <w:i/>
                <w:sz w:val="21"/>
              </w:rPr>
              <w:t>Multicenter</w:t>
            </w:r>
            <w:proofErr w:type="spellEnd"/>
            <w:r w:rsidR="002E4D46" w:rsidRPr="00A80C2A">
              <w:rPr>
                <w:i/>
                <w:sz w:val="21"/>
              </w:rPr>
              <w:t xml:space="preserve"> Clinical Trial with </w:t>
            </w:r>
            <w:proofErr w:type="spellStart"/>
            <w:r w:rsidR="002E4D46" w:rsidRPr="00A80C2A">
              <w:rPr>
                <w:i/>
                <w:sz w:val="21"/>
              </w:rPr>
              <w:t>Nivolumab</w:t>
            </w:r>
            <w:proofErr w:type="spellEnd"/>
            <w:r w:rsidR="002E4D46" w:rsidRPr="00A80C2A">
              <w:rPr>
                <w:i/>
                <w:sz w:val="21"/>
              </w:rPr>
              <w:t xml:space="preserve"> Monotherapy in Subjects with Advanced or Metastatic SQ NSCLC who Have Received at Least Two Prior Systemic Regimens for the Treatment of Stage </w:t>
            </w:r>
            <w:proofErr w:type="spellStart"/>
            <w:r w:rsidR="002E4D46" w:rsidRPr="00A80C2A">
              <w:rPr>
                <w:i/>
                <w:sz w:val="21"/>
              </w:rPr>
              <w:t>IIIb</w:t>
            </w:r>
            <w:proofErr w:type="spellEnd"/>
            <w:r w:rsidR="002E4D46" w:rsidRPr="00A80C2A">
              <w:rPr>
                <w:i/>
                <w:sz w:val="21"/>
              </w:rPr>
              <w:t>/IV SQ NSCLC</w:t>
            </w:r>
            <w:r w:rsidRPr="00A80C2A">
              <w:rPr>
                <w:i/>
                <w:sz w:val="21"/>
              </w:rPr>
              <w:t>’.</w:t>
            </w:r>
          </w:p>
        </w:tc>
        <w:tc>
          <w:tcPr>
            <w:tcW w:w="2250" w:type="dxa"/>
            <w:vMerge/>
          </w:tcPr>
          <w:p w14:paraId="467BD2E3" w14:textId="77777777" w:rsidR="002E4D46" w:rsidRPr="00E6022D" w:rsidRDefault="002E4D46" w:rsidP="00312822"/>
        </w:tc>
        <w:tc>
          <w:tcPr>
            <w:tcW w:w="1620" w:type="dxa"/>
          </w:tcPr>
          <w:p w14:paraId="1756199F" w14:textId="77777777" w:rsidR="002E4D46" w:rsidRPr="00A80C2A" w:rsidRDefault="002E4D46" w:rsidP="00312822">
            <w:pPr>
              <w:rPr>
                <w:sz w:val="21"/>
              </w:rPr>
            </w:pPr>
            <w:r w:rsidRPr="00A80C2A">
              <w:rPr>
                <w:sz w:val="21"/>
              </w:rPr>
              <w:t>4Q 2017</w:t>
            </w:r>
          </w:p>
        </w:tc>
      </w:tr>
      <w:tr w:rsidR="00E00AB7" w14:paraId="50A21976" w14:textId="77777777" w:rsidTr="00312822">
        <w:trPr>
          <w:trHeight w:val="112"/>
        </w:trPr>
        <w:tc>
          <w:tcPr>
            <w:tcW w:w="2093" w:type="dxa"/>
            <w:vMerge/>
          </w:tcPr>
          <w:p w14:paraId="6E84B58B" w14:textId="77777777" w:rsidR="002E4D46" w:rsidRPr="00E6022D" w:rsidRDefault="002E4D46" w:rsidP="00312822"/>
        </w:tc>
        <w:tc>
          <w:tcPr>
            <w:tcW w:w="2872" w:type="dxa"/>
          </w:tcPr>
          <w:p w14:paraId="74358D61" w14:textId="4DF5F729" w:rsidR="002E4D46" w:rsidRPr="00A80C2A" w:rsidRDefault="00E6022D" w:rsidP="00312822">
            <w:pPr>
              <w:rPr>
                <w:sz w:val="21"/>
                <w:vertAlign w:val="superscript"/>
              </w:rPr>
            </w:pPr>
            <w:r w:rsidRPr="00A80C2A">
              <w:rPr>
                <w:sz w:val="21"/>
              </w:rPr>
              <w:t xml:space="preserve">Study </w:t>
            </w:r>
            <w:r w:rsidR="002E4D46" w:rsidRPr="00A80C2A">
              <w:rPr>
                <w:sz w:val="21"/>
              </w:rPr>
              <w:t>CA209357</w:t>
            </w:r>
            <w:r w:rsidRPr="00A80C2A">
              <w:rPr>
                <w:sz w:val="21"/>
              </w:rPr>
              <w:t>:</w:t>
            </w:r>
            <w:r w:rsidR="002E4D46" w:rsidRPr="00A80C2A">
              <w:rPr>
                <w:sz w:val="21"/>
              </w:rPr>
              <w:t xml:space="preserve"> </w:t>
            </w:r>
            <w:r w:rsidRPr="00A80C2A">
              <w:rPr>
                <w:sz w:val="21"/>
              </w:rPr>
              <w:t>‘</w:t>
            </w:r>
            <w:r w:rsidR="002E4D46" w:rsidRPr="00A80C2A">
              <w:rPr>
                <w:i/>
                <w:sz w:val="21"/>
              </w:rPr>
              <w:t xml:space="preserve">A US Multisite Observational Study in Patients with </w:t>
            </w:r>
            <w:proofErr w:type="spellStart"/>
            <w:r w:rsidR="002E4D46" w:rsidRPr="00A80C2A">
              <w:rPr>
                <w:i/>
                <w:sz w:val="21"/>
              </w:rPr>
              <w:t>Unresectable</w:t>
            </w:r>
            <w:proofErr w:type="spellEnd"/>
            <w:r w:rsidR="002E4D46" w:rsidRPr="00A80C2A">
              <w:rPr>
                <w:i/>
                <w:sz w:val="21"/>
              </w:rPr>
              <w:t xml:space="preserve"> and Metastatic Melanoma (observational registry)</w:t>
            </w:r>
            <w:r w:rsidRPr="00A80C2A">
              <w:rPr>
                <w:sz w:val="21"/>
              </w:rPr>
              <w:t>’</w:t>
            </w:r>
            <w:r w:rsidRPr="00A80C2A">
              <w:rPr>
                <w:sz w:val="21"/>
                <w:vertAlign w:val="superscript"/>
              </w:rPr>
              <w:t>1</w:t>
            </w:r>
          </w:p>
        </w:tc>
        <w:tc>
          <w:tcPr>
            <w:tcW w:w="2250" w:type="dxa"/>
            <w:vMerge/>
          </w:tcPr>
          <w:p w14:paraId="457DB40E" w14:textId="77777777" w:rsidR="002E4D46" w:rsidRPr="00E6022D" w:rsidRDefault="002E4D46" w:rsidP="00312822"/>
        </w:tc>
        <w:tc>
          <w:tcPr>
            <w:tcW w:w="1620" w:type="dxa"/>
          </w:tcPr>
          <w:p w14:paraId="027153A2" w14:textId="4F8C3AB5" w:rsidR="002E4D46" w:rsidRPr="00A80C2A" w:rsidRDefault="002E4D46" w:rsidP="00312822">
            <w:pPr>
              <w:rPr>
                <w:sz w:val="21"/>
              </w:rPr>
            </w:pPr>
            <w:r w:rsidRPr="00A80C2A">
              <w:rPr>
                <w:sz w:val="21"/>
              </w:rPr>
              <w:t>T</w:t>
            </w:r>
            <w:r w:rsidR="00E6022D" w:rsidRPr="00A80C2A">
              <w:rPr>
                <w:sz w:val="21"/>
              </w:rPr>
              <w:t>o be determined</w:t>
            </w:r>
          </w:p>
        </w:tc>
      </w:tr>
      <w:tr w:rsidR="002E4D46" w14:paraId="1E866450" w14:textId="77777777" w:rsidTr="003E1144">
        <w:trPr>
          <w:trHeight w:val="170"/>
        </w:trPr>
        <w:tc>
          <w:tcPr>
            <w:tcW w:w="8835" w:type="dxa"/>
            <w:gridSpan w:val="4"/>
          </w:tcPr>
          <w:p w14:paraId="75B792C4" w14:textId="77777777" w:rsidR="002E4D46" w:rsidRPr="00E6022D" w:rsidRDefault="002E4D46" w:rsidP="00312822">
            <w:r w:rsidRPr="00E6022D">
              <w:t>Ongoing studies (ASA)</w:t>
            </w:r>
          </w:p>
        </w:tc>
      </w:tr>
      <w:tr w:rsidR="00E00AB7" w14:paraId="0F6354F5" w14:textId="77777777" w:rsidTr="00312822">
        <w:trPr>
          <w:trHeight w:val="110"/>
        </w:trPr>
        <w:tc>
          <w:tcPr>
            <w:tcW w:w="2093" w:type="dxa"/>
          </w:tcPr>
          <w:p w14:paraId="3FDFA6BC" w14:textId="3D2EAA46" w:rsidR="002E4D46" w:rsidRPr="00A80C2A" w:rsidRDefault="00E6022D" w:rsidP="00312822">
            <w:pPr>
              <w:rPr>
                <w:sz w:val="21"/>
              </w:rPr>
            </w:pPr>
            <w:r w:rsidRPr="00A80C2A">
              <w:rPr>
                <w:sz w:val="21"/>
              </w:rPr>
              <w:t xml:space="preserve">Immune </w:t>
            </w:r>
            <w:r w:rsidR="002E4D46" w:rsidRPr="00A80C2A">
              <w:rPr>
                <w:sz w:val="21"/>
              </w:rPr>
              <w:t xml:space="preserve">related pneumonitis, colitis, hepatitis, nephritis and renal dysfunction, </w:t>
            </w:r>
            <w:proofErr w:type="spellStart"/>
            <w:r w:rsidR="00E00AB7">
              <w:rPr>
                <w:sz w:val="21"/>
              </w:rPr>
              <w:t>endocrinopathies</w:t>
            </w:r>
            <w:proofErr w:type="spellEnd"/>
            <w:r w:rsidR="002E4D46" w:rsidRPr="00A80C2A">
              <w:rPr>
                <w:sz w:val="21"/>
              </w:rPr>
              <w:t xml:space="preserve"> rash and o</w:t>
            </w:r>
            <w:r w:rsidR="00045AC2">
              <w:rPr>
                <w:sz w:val="21"/>
              </w:rPr>
              <w:t xml:space="preserve">ther </w:t>
            </w:r>
            <w:proofErr w:type="spellStart"/>
            <w:r w:rsidR="00D8296A">
              <w:rPr>
                <w:sz w:val="21"/>
              </w:rPr>
              <w:t>ir</w:t>
            </w:r>
            <w:r w:rsidR="002E4D46" w:rsidRPr="00A80C2A">
              <w:rPr>
                <w:sz w:val="21"/>
              </w:rPr>
              <w:t>ARs</w:t>
            </w:r>
            <w:proofErr w:type="spellEnd"/>
            <w:r w:rsidR="002E4D46" w:rsidRPr="00A80C2A">
              <w:rPr>
                <w:sz w:val="21"/>
              </w:rPr>
              <w:t xml:space="preserve"> (uveitis, pancreatitis, demyelination, Guillain-Barre syndrome, </w:t>
            </w:r>
            <w:proofErr w:type="spellStart"/>
            <w:r w:rsidR="002E4D46" w:rsidRPr="00A80C2A">
              <w:rPr>
                <w:sz w:val="21"/>
              </w:rPr>
              <w:t>myasthenic</w:t>
            </w:r>
            <w:proofErr w:type="spellEnd"/>
            <w:r w:rsidR="002E4D46" w:rsidRPr="00A80C2A">
              <w:rPr>
                <w:sz w:val="21"/>
              </w:rPr>
              <w:t xml:space="preserve"> syndrome, and encephalitis) and infusion reactions.</w:t>
            </w:r>
          </w:p>
        </w:tc>
        <w:tc>
          <w:tcPr>
            <w:tcW w:w="2872" w:type="dxa"/>
          </w:tcPr>
          <w:p w14:paraId="020C4FCB" w14:textId="6990003D" w:rsidR="002E4D46" w:rsidRPr="00A80C2A" w:rsidRDefault="00E6022D" w:rsidP="00312822">
            <w:pPr>
              <w:rPr>
                <w:i/>
                <w:sz w:val="21"/>
              </w:rPr>
            </w:pPr>
            <w:r w:rsidRPr="00A80C2A">
              <w:rPr>
                <w:i/>
                <w:sz w:val="21"/>
              </w:rPr>
              <w:t>‘</w:t>
            </w:r>
            <w:r w:rsidR="002E4D46" w:rsidRPr="00A80C2A">
              <w:rPr>
                <w:i/>
                <w:sz w:val="21"/>
              </w:rPr>
              <w:t xml:space="preserve">Clinical Trial of </w:t>
            </w:r>
            <w:proofErr w:type="spellStart"/>
            <w:r w:rsidR="002E4D46" w:rsidRPr="00A80C2A">
              <w:rPr>
                <w:i/>
                <w:sz w:val="21"/>
              </w:rPr>
              <w:t>Nivolumab</w:t>
            </w:r>
            <w:proofErr w:type="spellEnd"/>
            <w:r w:rsidR="002E4D46" w:rsidRPr="00A80C2A">
              <w:rPr>
                <w:i/>
                <w:sz w:val="21"/>
              </w:rPr>
              <w:t xml:space="preserve"> Combined with Ipilimumab Followed by </w:t>
            </w:r>
            <w:proofErr w:type="spellStart"/>
            <w:r w:rsidR="002E4D46" w:rsidRPr="00A80C2A">
              <w:rPr>
                <w:i/>
                <w:sz w:val="21"/>
              </w:rPr>
              <w:t>Nivolumab</w:t>
            </w:r>
            <w:proofErr w:type="spellEnd"/>
            <w:r w:rsidR="002E4D46" w:rsidRPr="00A80C2A">
              <w:rPr>
                <w:i/>
                <w:sz w:val="21"/>
              </w:rPr>
              <w:t xml:space="preserve"> Monotherapy as First-Line Therapy of Subjects with Histologically Confirmed Stage III (</w:t>
            </w:r>
            <w:proofErr w:type="spellStart"/>
            <w:r w:rsidR="002E4D46" w:rsidRPr="00A80C2A">
              <w:rPr>
                <w:i/>
                <w:sz w:val="21"/>
              </w:rPr>
              <w:t>Unre</w:t>
            </w:r>
            <w:r w:rsidRPr="00A80C2A">
              <w:rPr>
                <w:i/>
                <w:sz w:val="21"/>
              </w:rPr>
              <w:t>sectable</w:t>
            </w:r>
            <w:proofErr w:type="spellEnd"/>
            <w:r w:rsidRPr="00A80C2A">
              <w:rPr>
                <w:i/>
                <w:sz w:val="21"/>
              </w:rPr>
              <w:t>) or Stage IV Melanoma’.</w:t>
            </w:r>
          </w:p>
          <w:p w14:paraId="2D5DDBE4" w14:textId="6B3DB019" w:rsidR="002E4D46" w:rsidRPr="00A80C2A" w:rsidRDefault="002E4D46" w:rsidP="00312822">
            <w:pPr>
              <w:rPr>
                <w:sz w:val="21"/>
              </w:rPr>
            </w:pPr>
            <w:r w:rsidRPr="00A80C2A">
              <w:rPr>
                <w:sz w:val="21"/>
              </w:rPr>
              <w:t>At TGA request, this study is included as an Australian-s</w:t>
            </w:r>
            <w:r w:rsidR="00A80C2A" w:rsidRPr="00A80C2A">
              <w:rPr>
                <w:sz w:val="21"/>
              </w:rPr>
              <w:t xml:space="preserve">pecific additional PV activity </w:t>
            </w:r>
            <w:r w:rsidRPr="00A80C2A">
              <w:rPr>
                <w:sz w:val="21"/>
              </w:rPr>
              <w:t>(</w:t>
            </w:r>
            <w:r w:rsidR="00E6022D" w:rsidRPr="00A80C2A">
              <w:rPr>
                <w:sz w:val="21"/>
              </w:rPr>
              <w:t xml:space="preserve">Study </w:t>
            </w:r>
            <w:r w:rsidRPr="00A80C2A">
              <w:rPr>
                <w:sz w:val="21"/>
              </w:rPr>
              <w:t>CA209401)</w:t>
            </w:r>
            <w:r w:rsidR="00A80C2A" w:rsidRPr="00A80C2A">
              <w:rPr>
                <w:sz w:val="21"/>
              </w:rPr>
              <w:t>.</w:t>
            </w:r>
          </w:p>
        </w:tc>
        <w:tc>
          <w:tcPr>
            <w:tcW w:w="2250" w:type="dxa"/>
          </w:tcPr>
          <w:p w14:paraId="04C975B4" w14:textId="77777777" w:rsidR="002E4D46" w:rsidRPr="00A80C2A" w:rsidRDefault="002E4D46" w:rsidP="00312822">
            <w:pPr>
              <w:rPr>
                <w:sz w:val="21"/>
              </w:rPr>
            </w:pPr>
            <w:r w:rsidRPr="00A80C2A">
              <w:rPr>
                <w:sz w:val="21"/>
              </w:rPr>
              <w:t>To characterise high-grade treatment-related AEs.</w:t>
            </w:r>
          </w:p>
          <w:p w14:paraId="2320C12B" w14:textId="697B2F57" w:rsidR="002E4D46" w:rsidRPr="00A80C2A" w:rsidRDefault="002E4D46" w:rsidP="00312822">
            <w:pPr>
              <w:rPr>
                <w:sz w:val="21"/>
              </w:rPr>
            </w:pPr>
            <w:r w:rsidRPr="00A80C2A">
              <w:rPr>
                <w:sz w:val="21"/>
              </w:rPr>
              <w:t xml:space="preserve">Global study </w:t>
            </w:r>
            <w:r w:rsidR="00A80C2A" w:rsidRPr="00A80C2A">
              <w:rPr>
                <w:sz w:val="21"/>
              </w:rPr>
              <w:t>and Australia is a participant.</w:t>
            </w:r>
          </w:p>
        </w:tc>
        <w:tc>
          <w:tcPr>
            <w:tcW w:w="1620" w:type="dxa"/>
          </w:tcPr>
          <w:p w14:paraId="3A9F6145" w14:textId="77777777" w:rsidR="002E4D46" w:rsidRPr="00A80C2A" w:rsidRDefault="002E4D46" w:rsidP="00312822">
            <w:pPr>
              <w:rPr>
                <w:sz w:val="21"/>
              </w:rPr>
            </w:pPr>
            <w:r w:rsidRPr="00A80C2A">
              <w:rPr>
                <w:sz w:val="21"/>
              </w:rPr>
              <w:t>Not indicated</w:t>
            </w:r>
          </w:p>
        </w:tc>
      </w:tr>
      <w:tr w:rsidR="002E4D46" w14:paraId="698A6270" w14:textId="77777777" w:rsidTr="003E1144">
        <w:tc>
          <w:tcPr>
            <w:tcW w:w="8835" w:type="dxa"/>
            <w:gridSpan w:val="4"/>
          </w:tcPr>
          <w:p w14:paraId="70BEFA04" w14:textId="77777777" w:rsidR="002E4D46" w:rsidRPr="00A80C2A" w:rsidRDefault="002E4D46" w:rsidP="00312822">
            <w:r w:rsidRPr="00A80C2A">
              <w:t>Planned Studies (EU-RMP)</w:t>
            </w:r>
          </w:p>
        </w:tc>
      </w:tr>
      <w:tr w:rsidR="003E1144" w14:paraId="3F47CD8E" w14:textId="77777777" w:rsidTr="00312822">
        <w:tc>
          <w:tcPr>
            <w:tcW w:w="2093" w:type="dxa"/>
          </w:tcPr>
          <w:p w14:paraId="0FCA0D18" w14:textId="1D28FC08" w:rsidR="002E4D46" w:rsidRPr="00A80C2A" w:rsidRDefault="00A80C2A" w:rsidP="00312822">
            <w:pPr>
              <w:rPr>
                <w:sz w:val="21"/>
              </w:rPr>
            </w:pPr>
            <w:r w:rsidRPr="00A80C2A">
              <w:rPr>
                <w:sz w:val="21"/>
              </w:rPr>
              <w:t xml:space="preserve">Immune </w:t>
            </w:r>
            <w:r w:rsidR="002E4D46" w:rsidRPr="00A80C2A">
              <w:rPr>
                <w:sz w:val="21"/>
              </w:rPr>
              <w:t xml:space="preserve">related pneumonitis, colitis, hepatitis, nephritis and </w:t>
            </w:r>
            <w:r w:rsidR="002E4D46" w:rsidRPr="00A80C2A">
              <w:rPr>
                <w:sz w:val="21"/>
              </w:rPr>
              <w:lastRenderedPageBreak/>
              <w:t xml:space="preserve">renal dysfunction, </w:t>
            </w:r>
            <w:proofErr w:type="spellStart"/>
            <w:r w:rsidR="002E4D46" w:rsidRPr="00A80C2A">
              <w:rPr>
                <w:sz w:val="21"/>
              </w:rPr>
              <w:t>endocrinopathies</w:t>
            </w:r>
            <w:proofErr w:type="spellEnd"/>
            <w:r w:rsidR="002E4D46" w:rsidRPr="00A80C2A">
              <w:rPr>
                <w:sz w:val="21"/>
              </w:rPr>
              <w:t xml:space="preserve"> rash and other </w:t>
            </w:r>
            <w:proofErr w:type="spellStart"/>
            <w:r w:rsidR="00D8296A">
              <w:rPr>
                <w:sz w:val="21"/>
              </w:rPr>
              <w:t>ir</w:t>
            </w:r>
            <w:r w:rsidR="002E4D46" w:rsidRPr="00A80C2A">
              <w:rPr>
                <w:sz w:val="21"/>
              </w:rPr>
              <w:t>ARs</w:t>
            </w:r>
            <w:proofErr w:type="spellEnd"/>
            <w:r w:rsidR="002E4D46" w:rsidRPr="00A80C2A">
              <w:rPr>
                <w:sz w:val="21"/>
              </w:rPr>
              <w:t xml:space="preserve"> (uveitis, pancreatitis, demyelination, Guillain-Barre syndrome, </w:t>
            </w:r>
            <w:proofErr w:type="spellStart"/>
            <w:r w:rsidR="002E4D46" w:rsidRPr="00A80C2A">
              <w:rPr>
                <w:sz w:val="21"/>
              </w:rPr>
              <w:t>myasthenic</w:t>
            </w:r>
            <w:proofErr w:type="spellEnd"/>
            <w:r w:rsidR="002E4D46" w:rsidRPr="00A80C2A">
              <w:rPr>
                <w:sz w:val="21"/>
              </w:rPr>
              <w:t xml:space="preserve"> syndrome, and encephalitis) and infusion reactions</w:t>
            </w:r>
            <w:r w:rsidRPr="00A80C2A">
              <w:rPr>
                <w:sz w:val="21"/>
              </w:rPr>
              <w:t>.</w:t>
            </w:r>
          </w:p>
        </w:tc>
        <w:tc>
          <w:tcPr>
            <w:tcW w:w="2872" w:type="dxa"/>
          </w:tcPr>
          <w:p w14:paraId="212BADD4" w14:textId="38998D6B" w:rsidR="002E4D46" w:rsidRPr="00A80C2A" w:rsidRDefault="002E4D46" w:rsidP="00312822">
            <w:pPr>
              <w:rPr>
                <w:sz w:val="21"/>
              </w:rPr>
            </w:pPr>
            <w:r w:rsidRPr="00A80C2A">
              <w:rPr>
                <w:sz w:val="21"/>
              </w:rPr>
              <w:lastRenderedPageBreak/>
              <w:t>Post</w:t>
            </w:r>
            <w:r w:rsidR="00A80C2A">
              <w:rPr>
                <w:sz w:val="21"/>
              </w:rPr>
              <w:t>-</w:t>
            </w:r>
            <w:r w:rsidRPr="00A80C2A">
              <w:rPr>
                <w:sz w:val="21"/>
              </w:rPr>
              <w:t xml:space="preserve">marketing </w:t>
            </w:r>
            <w:proofErr w:type="spellStart"/>
            <w:r w:rsidRPr="00A80C2A">
              <w:rPr>
                <w:sz w:val="21"/>
              </w:rPr>
              <w:t>pharmacoepidemiology</w:t>
            </w:r>
            <w:proofErr w:type="spellEnd"/>
            <w:r w:rsidRPr="00A80C2A">
              <w:rPr>
                <w:sz w:val="21"/>
              </w:rPr>
              <w:t xml:space="preserve"> study: </w:t>
            </w:r>
            <w:r w:rsidR="00A80C2A" w:rsidRPr="00A80C2A">
              <w:rPr>
                <w:i/>
                <w:sz w:val="21"/>
              </w:rPr>
              <w:t>‘</w:t>
            </w:r>
            <w:r w:rsidRPr="00A80C2A">
              <w:rPr>
                <w:i/>
                <w:sz w:val="21"/>
              </w:rPr>
              <w:t xml:space="preserve">Pattern of Use and Safety/Effectiveness of </w:t>
            </w:r>
            <w:proofErr w:type="spellStart"/>
            <w:r w:rsidRPr="00A80C2A">
              <w:rPr>
                <w:i/>
                <w:sz w:val="21"/>
              </w:rPr>
              <w:lastRenderedPageBreak/>
              <w:t>Nivolumab</w:t>
            </w:r>
            <w:proofErr w:type="spellEnd"/>
            <w:r w:rsidRPr="00A80C2A">
              <w:rPr>
                <w:i/>
                <w:sz w:val="21"/>
              </w:rPr>
              <w:t xml:space="preserve"> in Routine Oncology Practice. Includes patients with melanoma and NSCLC</w:t>
            </w:r>
            <w:r w:rsidR="00A80C2A" w:rsidRPr="00A80C2A">
              <w:rPr>
                <w:i/>
                <w:sz w:val="21"/>
              </w:rPr>
              <w:t>’</w:t>
            </w:r>
            <w:r w:rsidRPr="00A80C2A">
              <w:rPr>
                <w:i/>
                <w:sz w:val="21"/>
              </w:rPr>
              <w:t>.</w:t>
            </w:r>
            <w:r w:rsidR="00A80C2A" w:rsidRPr="00A80C2A">
              <w:rPr>
                <w:sz w:val="21"/>
              </w:rPr>
              <w:t xml:space="preserve"> </w:t>
            </w:r>
            <w:r w:rsidRPr="00A80C2A">
              <w:rPr>
                <w:sz w:val="21"/>
              </w:rPr>
              <w:t>(</w:t>
            </w:r>
            <w:r w:rsidR="00A80C2A" w:rsidRPr="00A80C2A">
              <w:rPr>
                <w:sz w:val="21"/>
              </w:rPr>
              <w:t>Study </w:t>
            </w:r>
            <w:r w:rsidRPr="00A80C2A">
              <w:rPr>
                <w:sz w:val="21"/>
              </w:rPr>
              <w:t>CA209234)</w:t>
            </w:r>
          </w:p>
        </w:tc>
        <w:tc>
          <w:tcPr>
            <w:tcW w:w="2250" w:type="dxa"/>
          </w:tcPr>
          <w:p w14:paraId="723D7361" w14:textId="29D070A6" w:rsidR="002E4D46" w:rsidRPr="00A80C2A" w:rsidRDefault="002E4D46" w:rsidP="00312822">
            <w:pPr>
              <w:rPr>
                <w:sz w:val="21"/>
              </w:rPr>
            </w:pPr>
            <w:r w:rsidRPr="00A80C2A">
              <w:rPr>
                <w:sz w:val="21"/>
              </w:rPr>
              <w:lastRenderedPageBreak/>
              <w:t xml:space="preserve">To assess use pattern, effectiveness, and safety of </w:t>
            </w:r>
            <w:proofErr w:type="spellStart"/>
            <w:r w:rsidRPr="00A80C2A">
              <w:rPr>
                <w:sz w:val="21"/>
              </w:rPr>
              <w:lastRenderedPageBreak/>
              <w:t>nivolumab</w:t>
            </w:r>
            <w:proofErr w:type="spellEnd"/>
            <w:r w:rsidRPr="00A80C2A">
              <w:rPr>
                <w:sz w:val="21"/>
              </w:rPr>
              <w:t xml:space="preserve">, and management of important identified risks of </w:t>
            </w:r>
            <w:proofErr w:type="spellStart"/>
            <w:r w:rsidRPr="00A80C2A">
              <w:rPr>
                <w:sz w:val="21"/>
              </w:rPr>
              <w:t>nivolumab</w:t>
            </w:r>
            <w:proofErr w:type="spellEnd"/>
            <w:r w:rsidRPr="00A80C2A">
              <w:rPr>
                <w:sz w:val="21"/>
              </w:rPr>
              <w:t>.</w:t>
            </w:r>
          </w:p>
          <w:p w14:paraId="6866E7B0" w14:textId="77777777" w:rsidR="002E4D46" w:rsidRPr="00A80C2A" w:rsidRDefault="002E4D46" w:rsidP="00312822">
            <w:pPr>
              <w:rPr>
                <w:sz w:val="21"/>
              </w:rPr>
            </w:pPr>
            <w:r w:rsidRPr="00A80C2A">
              <w:rPr>
                <w:sz w:val="21"/>
              </w:rPr>
              <w:t>Includes Australian patients</w:t>
            </w:r>
          </w:p>
        </w:tc>
        <w:tc>
          <w:tcPr>
            <w:tcW w:w="1620" w:type="dxa"/>
          </w:tcPr>
          <w:p w14:paraId="196127FD" w14:textId="575C2EE4" w:rsidR="002E4D46" w:rsidRPr="00A80C2A" w:rsidRDefault="002E4D46" w:rsidP="00312822">
            <w:pPr>
              <w:rPr>
                <w:sz w:val="21"/>
              </w:rPr>
            </w:pPr>
            <w:r w:rsidRPr="00A80C2A">
              <w:rPr>
                <w:sz w:val="21"/>
              </w:rPr>
              <w:lastRenderedPageBreak/>
              <w:t xml:space="preserve">Interim annual reports; Final CSR: </w:t>
            </w:r>
            <w:r w:rsidRPr="00A80C2A">
              <w:rPr>
                <w:sz w:val="21"/>
              </w:rPr>
              <w:lastRenderedPageBreak/>
              <w:t>4Q 2024</w:t>
            </w:r>
          </w:p>
        </w:tc>
      </w:tr>
    </w:tbl>
    <w:p w14:paraId="2609A891" w14:textId="278AB769" w:rsidR="002E4D46" w:rsidRDefault="00A80C2A" w:rsidP="00A80C2A">
      <w:pPr>
        <w:pStyle w:val="TableDescription"/>
        <w:rPr>
          <w:lang w:eastAsia="en-AU"/>
        </w:rPr>
      </w:pPr>
      <w:r w:rsidRPr="00A80C2A">
        <w:rPr>
          <w:lang w:eastAsia="en-AU"/>
        </w:rPr>
        <w:lastRenderedPageBreak/>
        <w:t>1)</w:t>
      </w:r>
      <w:r>
        <w:rPr>
          <w:vertAlign w:val="superscript"/>
          <w:lang w:eastAsia="en-AU"/>
        </w:rPr>
        <w:t xml:space="preserve"> </w:t>
      </w:r>
      <w:r w:rsidRPr="00A80C2A">
        <w:rPr>
          <w:lang w:eastAsia="en-AU"/>
        </w:rPr>
        <w:t>These studies are conditions of the Marketing Authorisation in the EU</w:t>
      </w:r>
    </w:p>
    <w:p w14:paraId="53EDA5C1" w14:textId="247D3C9F" w:rsidR="00A80C2A" w:rsidRPr="00A80C2A" w:rsidRDefault="00E42C19" w:rsidP="00E42C19">
      <w:pPr>
        <w:pStyle w:val="Tabletitle0"/>
      </w:pPr>
      <w:proofErr w:type="gramStart"/>
      <w:r>
        <w:t>Table 12.</w:t>
      </w:r>
      <w:proofErr w:type="gramEnd"/>
      <w:r>
        <w:t xml:space="preserve"> Ongoing and proposed studies</w:t>
      </w:r>
    </w:p>
    <w:tbl>
      <w:tblPr>
        <w:tblStyle w:val="TableTGAblue"/>
        <w:tblW w:w="8655" w:type="dxa"/>
        <w:tblLook w:val="04A0" w:firstRow="1" w:lastRow="0" w:firstColumn="1" w:lastColumn="0" w:noHBand="0" w:noVBand="1"/>
      </w:tblPr>
      <w:tblGrid>
        <w:gridCol w:w="1546"/>
        <w:gridCol w:w="5396"/>
        <w:gridCol w:w="1713"/>
      </w:tblGrid>
      <w:tr w:rsidR="00E00AB7" w:rsidRPr="003E27B5" w14:paraId="1CDE5F98" w14:textId="77777777" w:rsidTr="00E00AB7">
        <w:trPr>
          <w:cnfStyle w:val="100000000000" w:firstRow="1" w:lastRow="0" w:firstColumn="0" w:lastColumn="0" w:oddVBand="0" w:evenVBand="0" w:oddHBand="0" w:evenHBand="0" w:firstRowFirstColumn="0" w:firstRowLastColumn="0" w:lastRowFirstColumn="0" w:lastRowLastColumn="0"/>
          <w:trHeight w:val="802"/>
        </w:trPr>
        <w:tc>
          <w:tcPr>
            <w:tcW w:w="1455" w:type="dxa"/>
          </w:tcPr>
          <w:p w14:paraId="1190B78F" w14:textId="77777777" w:rsidR="00A80C2A" w:rsidRPr="00045AC2" w:rsidRDefault="00A80C2A" w:rsidP="00312822">
            <w:r w:rsidRPr="00045AC2">
              <w:t>Study ID</w:t>
            </w:r>
          </w:p>
        </w:tc>
        <w:tc>
          <w:tcPr>
            <w:tcW w:w="5657" w:type="dxa"/>
          </w:tcPr>
          <w:p w14:paraId="77DEB66C" w14:textId="1A35344A" w:rsidR="00A80C2A" w:rsidRPr="00045AC2" w:rsidRDefault="00A80C2A" w:rsidP="00312822">
            <w:r w:rsidRPr="00045AC2">
              <w:t>Study description</w:t>
            </w:r>
            <w:r w:rsidR="00045AC2">
              <w:t>/</w:t>
            </w:r>
            <w:r w:rsidRPr="00045AC2">
              <w:t>aim</w:t>
            </w:r>
          </w:p>
        </w:tc>
        <w:tc>
          <w:tcPr>
            <w:tcW w:w="1543" w:type="dxa"/>
          </w:tcPr>
          <w:p w14:paraId="36094665" w14:textId="77777777" w:rsidR="00A80C2A" w:rsidRPr="00045AC2" w:rsidRDefault="00A80C2A" w:rsidP="00312822">
            <w:r w:rsidRPr="00045AC2">
              <w:t>Final CSR submission</w:t>
            </w:r>
          </w:p>
        </w:tc>
      </w:tr>
      <w:tr w:rsidR="00E00AB7" w:rsidRPr="003E27B5" w14:paraId="177C0CA2" w14:textId="77777777" w:rsidTr="00E00AB7">
        <w:trPr>
          <w:trHeight w:val="81"/>
        </w:trPr>
        <w:tc>
          <w:tcPr>
            <w:tcW w:w="1455" w:type="dxa"/>
          </w:tcPr>
          <w:p w14:paraId="746C359E" w14:textId="230B9D66" w:rsidR="00A80C2A" w:rsidRPr="00045AC2" w:rsidRDefault="00A80C2A" w:rsidP="00312822">
            <w:pPr>
              <w:rPr>
                <w:sz w:val="21"/>
              </w:rPr>
            </w:pPr>
            <w:r w:rsidRPr="00045AC2">
              <w:rPr>
                <w:sz w:val="21"/>
              </w:rPr>
              <w:t>CA209067</w:t>
            </w:r>
          </w:p>
        </w:tc>
        <w:tc>
          <w:tcPr>
            <w:tcW w:w="5657" w:type="dxa"/>
          </w:tcPr>
          <w:p w14:paraId="3C0B2C02" w14:textId="2286AED7" w:rsidR="00A80C2A" w:rsidRPr="00045AC2" w:rsidRDefault="00A80C2A" w:rsidP="00312822">
            <w:pPr>
              <w:rPr>
                <w:sz w:val="21"/>
              </w:rPr>
            </w:pPr>
            <w:r w:rsidRPr="00045AC2">
              <w:rPr>
                <w:sz w:val="21"/>
              </w:rPr>
              <w:t xml:space="preserve">Final clinical study report for </w:t>
            </w:r>
            <w:r w:rsidR="00045AC2" w:rsidRPr="00045AC2">
              <w:rPr>
                <w:sz w:val="21"/>
              </w:rPr>
              <w:t xml:space="preserve">Study </w:t>
            </w:r>
            <w:r w:rsidRPr="00045AC2">
              <w:rPr>
                <w:sz w:val="21"/>
              </w:rPr>
              <w:t>CA209067: ‘</w:t>
            </w:r>
            <w:r w:rsidRPr="00045AC2">
              <w:rPr>
                <w:i/>
                <w:sz w:val="21"/>
              </w:rPr>
              <w:t xml:space="preserve">A Phase </w:t>
            </w:r>
            <w:r w:rsidR="00206EBB">
              <w:rPr>
                <w:i/>
                <w:sz w:val="21"/>
              </w:rPr>
              <w:t>III</w:t>
            </w:r>
            <w:r w:rsidRPr="00045AC2">
              <w:rPr>
                <w:i/>
                <w:sz w:val="21"/>
              </w:rPr>
              <w:t>, randomi</w:t>
            </w:r>
            <w:r w:rsidR="00206EBB">
              <w:rPr>
                <w:i/>
                <w:sz w:val="21"/>
              </w:rPr>
              <w:t>s</w:t>
            </w:r>
            <w:r w:rsidRPr="00045AC2">
              <w:rPr>
                <w:i/>
                <w:sz w:val="21"/>
              </w:rPr>
              <w:t xml:space="preserve">ed, double-blind study of overall survival in subjects treated with </w:t>
            </w:r>
            <w:proofErr w:type="spellStart"/>
            <w:r w:rsidRPr="00045AC2">
              <w:rPr>
                <w:i/>
                <w:sz w:val="21"/>
              </w:rPr>
              <w:t>nivolumab</w:t>
            </w:r>
            <w:proofErr w:type="spellEnd"/>
            <w:r w:rsidRPr="00045AC2">
              <w:rPr>
                <w:i/>
                <w:sz w:val="21"/>
              </w:rPr>
              <w:t xml:space="preserve"> monotherapy, </w:t>
            </w:r>
            <w:proofErr w:type="spellStart"/>
            <w:r w:rsidRPr="00045AC2">
              <w:rPr>
                <w:i/>
                <w:sz w:val="21"/>
              </w:rPr>
              <w:t>ipilimumab</w:t>
            </w:r>
            <w:proofErr w:type="spellEnd"/>
            <w:r w:rsidRPr="00045AC2">
              <w:rPr>
                <w:i/>
                <w:sz w:val="21"/>
              </w:rPr>
              <w:t xml:space="preserve"> monotherapy, and </w:t>
            </w:r>
            <w:proofErr w:type="spellStart"/>
            <w:r w:rsidRPr="00045AC2">
              <w:rPr>
                <w:i/>
                <w:sz w:val="21"/>
              </w:rPr>
              <w:t>nivolumab</w:t>
            </w:r>
            <w:proofErr w:type="spellEnd"/>
            <w:r w:rsidRPr="00045AC2">
              <w:rPr>
                <w:i/>
                <w:sz w:val="21"/>
              </w:rPr>
              <w:t xml:space="preserve"> combined with </w:t>
            </w:r>
            <w:proofErr w:type="spellStart"/>
            <w:r w:rsidRPr="00045AC2">
              <w:rPr>
                <w:i/>
                <w:sz w:val="21"/>
              </w:rPr>
              <w:t>ipilimumab</w:t>
            </w:r>
            <w:proofErr w:type="spellEnd"/>
            <w:r w:rsidR="00045AC2">
              <w:rPr>
                <w:i/>
                <w:sz w:val="21"/>
              </w:rPr>
              <w:t>’.</w:t>
            </w:r>
          </w:p>
        </w:tc>
        <w:tc>
          <w:tcPr>
            <w:tcW w:w="1543" w:type="dxa"/>
          </w:tcPr>
          <w:p w14:paraId="13A40C64" w14:textId="77777777" w:rsidR="00A80C2A" w:rsidRPr="00045AC2" w:rsidRDefault="00A80C2A" w:rsidP="00312822">
            <w:pPr>
              <w:rPr>
                <w:sz w:val="21"/>
              </w:rPr>
            </w:pPr>
            <w:r w:rsidRPr="00045AC2">
              <w:rPr>
                <w:sz w:val="21"/>
              </w:rPr>
              <w:t>31 March 2017</w:t>
            </w:r>
          </w:p>
        </w:tc>
      </w:tr>
      <w:tr w:rsidR="00A80C2A" w:rsidRPr="003E27B5" w14:paraId="6CA97469" w14:textId="77777777" w:rsidTr="003E1144">
        <w:trPr>
          <w:trHeight w:val="159"/>
        </w:trPr>
        <w:tc>
          <w:tcPr>
            <w:tcW w:w="8655" w:type="dxa"/>
            <w:gridSpan w:val="3"/>
          </w:tcPr>
          <w:p w14:paraId="0CFD4E17" w14:textId="5AF76580" w:rsidR="00A80C2A" w:rsidRPr="00045AC2" w:rsidRDefault="00A80C2A" w:rsidP="00312822">
            <w:pPr>
              <w:rPr>
                <w:sz w:val="21"/>
              </w:rPr>
            </w:pPr>
            <w:r w:rsidRPr="00045AC2">
              <w:rPr>
                <w:sz w:val="21"/>
              </w:rPr>
              <w:t>To further investigate the value of biomarkers other than PD-L1 expression status at tumour cell membrane level by IHC (</w:t>
            </w:r>
            <w:r w:rsidR="00045AC2" w:rsidRPr="00045AC2">
              <w:rPr>
                <w:sz w:val="21"/>
              </w:rPr>
              <w:t>for example other genomic-based methods/</w:t>
            </w:r>
            <w:r w:rsidRPr="00045AC2">
              <w:rPr>
                <w:sz w:val="21"/>
              </w:rPr>
              <w:t xml:space="preserve">assays, and associated cut-offs, that might prove more sensitive and specific in predicting response to treatment based on PDL1, PD-L2, tumour infiltrating lymphocytes with measurement of CD8+T density, RNA signature, expression of components of antigen-presentation complexes and/or other inhibitory checkpoint receptors/ligands within tumour, </w:t>
            </w:r>
            <w:r w:rsidR="00E00AB7">
              <w:rPr>
                <w:sz w:val="21"/>
              </w:rPr>
              <w:t>and so on)</w:t>
            </w:r>
            <w:r w:rsidRPr="00045AC2">
              <w:rPr>
                <w:sz w:val="21"/>
              </w:rPr>
              <w:t xml:space="preserve"> as predictive of </w:t>
            </w:r>
            <w:proofErr w:type="spellStart"/>
            <w:r w:rsidRPr="00045AC2">
              <w:rPr>
                <w:sz w:val="21"/>
              </w:rPr>
              <w:t>nivolumab</w:t>
            </w:r>
            <w:proofErr w:type="spellEnd"/>
            <w:r w:rsidRPr="00045AC2">
              <w:rPr>
                <w:sz w:val="21"/>
              </w:rPr>
              <w:t xml:space="preserve"> and/</w:t>
            </w:r>
            <w:r w:rsidR="00E00AB7">
              <w:rPr>
                <w:sz w:val="21"/>
              </w:rPr>
              <w:t xml:space="preserve">or </w:t>
            </w:r>
            <w:proofErr w:type="spellStart"/>
            <w:r w:rsidR="00E00AB7">
              <w:rPr>
                <w:sz w:val="21"/>
              </w:rPr>
              <w:t>nivolumab</w:t>
            </w:r>
            <w:proofErr w:type="spellEnd"/>
            <w:r w:rsidR="00E00AB7">
              <w:rPr>
                <w:sz w:val="21"/>
              </w:rPr>
              <w:t xml:space="preserve"> plus</w:t>
            </w:r>
            <w:r w:rsidRPr="00045AC2">
              <w:rPr>
                <w:sz w:val="21"/>
              </w:rPr>
              <w:t xml:space="preserve"> </w:t>
            </w:r>
            <w:proofErr w:type="spellStart"/>
            <w:r w:rsidRPr="00045AC2">
              <w:rPr>
                <w:sz w:val="21"/>
              </w:rPr>
              <w:t>ipilimumab</w:t>
            </w:r>
            <w:proofErr w:type="spellEnd"/>
            <w:r w:rsidRPr="00045AC2">
              <w:rPr>
                <w:sz w:val="21"/>
              </w:rPr>
              <w:t xml:space="preserve"> combination therapy efficacy. This will be provided for all the approved indications:</w:t>
            </w:r>
          </w:p>
        </w:tc>
      </w:tr>
      <w:tr w:rsidR="00E00AB7" w:rsidRPr="003E27B5" w14:paraId="30BA75AA" w14:textId="77777777" w:rsidTr="00E00AB7">
        <w:trPr>
          <w:trHeight w:val="159"/>
        </w:trPr>
        <w:tc>
          <w:tcPr>
            <w:tcW w:w="1455" w:type="dxa"/>
          </w:tcPr>
          <w:p w14:paraId="3BE3D8DB" w14:textId="77777777" w:rsidR="00A80C2A" w:rsidRPr="00045AC2" w:rsidRDefault="00A80C2A" w:rsidP="00312822">
            <w:pPr>
              <w:rPr>
                <w:sz w:val="21"/>
              </w:rPr>
            </w:pPr>
            <w:r w:rsidRPr="00045AC2">
              <w:rPr>
                <w:sz w:val="21"/>
              </w:rPr>
              <w:t>CA209038 and CA209066</w:t>
            </w:r>
          </w:p>
        </w:tc>
        <w:tc>
          <w:tcPr>
            <w:tcW w:w="5657" w:type="dxa"/>
          </w:tcPr>
          <w:p w14:paraId="2449EA8F" w14:textId="3A2D6170" w:rsidR="00A80C2A" w:rsidRPr="00045AC2" w:rsidRDefault="00A80C2A" w:rsidP="00312822">
            <w:pPr>
              <w:rPr>
                <w:sz w:val="21"/>
              </w:rPr>
            </w:pPr>
            <w:r w:rsidRPr="00045AC2">
              <w:rPr>
                <w:sz w:val="21"/>
              </w:rPr>
              <w:t>Melanoma monotherapy</w:t>
            </w:r>
            <w:r w:rsidR="00045AC2" w:rsidRPr="00045AC2">
              <w:rPr>
                <w:sz w:val="21"/>
              </w:rPr>
              <w:t xml:space="preserve"> studies</w:t>
            </w:r>
          </w:p>
        </w:tc>
        <w:tc>
          <w:tcPr>
            <w:tcW w:w="1543" w:type="dxa"/>
          </w:tcPr>
          <w:p w14:paraId="42B83AF4" w14:textId="77777777" w:rsidR="00A80C2A" w:rsidRPr="00045AC2" w:rsidRDefault="00A80C2A" w:rsidP="00312822">
            <w:pPr>
              <w:rPr>
                <w:sz w:val="21"/>
              </w:rPr>
            </w:pPr>
            <w:r w:rsidRPr="00045AC2">
              <w:rPr>
                <w:sz w:val="21"/>
              </w:rPr>
              <w:t>30 September 2017</w:t>
            </w:r>
          </w:p>
        </w:tc>
      </w:tr>
      <w:tr w:rsidR="00E00AB7" w:rsidRPr="003E27B5" w14:paraId="6A629D47" w14:textId="77777777" w:rsidTr="00E00AB7">
        <w:trPr>
          <w:trHeight w:val="122"/>
        </w:trPr>
        <w:tc>
          <w:tcPr>
            <w:tcW w:w="1455" w:type="dxa"/>
          </w:tcPr>
          <w:p w14:paraId="7C40B81F" w14:textId="77777777" w:rsidR="00A80C2A" w:rsidRPr="00045AC2" w:rsidRDefault="00A80C2A" w:rsidP="00312822">
            <w:pPr>
              <w:rPr>
                <w:sz w:val="21"/>
              </w:rPr>
            </w:pPr>
            <w:r w:rsidRPr="00045AC2">
              <w:rPr>
                <w:sz w:val="21"/>
              </w:rPr>
              <w:t>CA209038, CA209067 and CA20906*</w:t>
            </w:r>
          </w:p>
        </w:tc>
        <w:tc>
          <w:tcPr>
            <w:tcW w:w="5657" w:type="dxa"/>
          </w:tcPr>
          <w:p w14:paraId="59E47465" w14:textId="77777777" w:rsidR="00A80C2A" w:rsidRPr="00045AC2" w:rsidRDefault="00A80C2A" w:rsidP="00312822">
            <w:pPr>
              <w:rPr>
                <w:sz w:val="21"/>
              </w:rPr>
            </w:pPr>
            <w:r w:rsidRPr="00045AC2">
              <w:rPr>
                <w:sz w:val="21"/>
              </w:rPr>
              <w:t xml:space="preserve">Melanoma combination (with </w:t>
            </w:r>
            <w:proofErr w:type="spellStart"/>
            <w:r w:rsidRPr="00045AC2">
              <w:rPr>
                <w:sz w:val="21"/>
              </w:rPr>
              <w:t>ipilimumab</w:t>
            </w:r>
            <w:proofErr w:type="spellEnd"/>
            <w:r w:rsidRPr="00045AC2">
              <w:rPr>
                <w:sz w:val="21"/>
              </w:rPr>
              <w:t>) studies</w:t>
            </w:r>
          </w:p>
        </w:tc>
        <w:tc>
          <w:tcPr>
            <w:tcW w:w="1543" w:type="dxa"/>
          </w:tcPr>
          <w:p w14:paraId="2C523FB4" w14:textId="77777777" w:rsidR="00A80C2A" w:rsidRPr="00045AC2" w:rsidRDefault="00A80C2A" w:rsidP="00312822">
            <w:pPr>
              <w:rPr>
                <w:sz w:val="21"/>
              </w:rPr>
            </w:pPr>
            <w:r w:rsidRPr="00045AC2">
              <w:rPr>
                <w:sz w:val="21"/>
              </w:rPr>
              <w:t>31 March 2019</w:t>
            </w:r>
          </w:p>
        </w:tc>
      </w:tr>
      <w:tr w:rsidR="00E00AB7" w:rsidRPr="003E27B5" w14:paraId="02A6F5C9" w14:textId="77777777" w:rsidTr="00E00AB7">
        <w:trPr>
          <w:trHeight w:val="178"/>
        </w:trPr>
        <w:tc>
          <w:tcPr>
            <w:tcW w:w="1455" w:type="dxa"/>
          </w:tcPr>
          <w:p w14:paraId="6438922B" w14:textId="77777777" w:rsidR="00A80C2A" w:rsidRPr="00045AC2" w:rsidRDefault="00A80C2A" w:rsidP="00312822">
            <w:pPr>
              <w:rPr>
                <w:sz w:val="21"/>
              </w:rPr>
            </w:pPr>
            <w:r w:rsidRPr="00045AC2">
              <w:rPr>
                <w:sz w:val="21"/>
              </w:rPr>
              <w:t>CA209017, CA209057 and CA209026</w:t>
            </w:r>
          </w:p>
        </w:tc>
        <w:tc>
          <w:tcPr>
            <w:tcW w:w="5657" w:type="dxa"/>
          </w:tcPr>
          <w:p w14:paraId="34D58F3B" w14:textId="64B4093D" w:rsidR="00A80C2A" w:rsidRPr="00045AC2" w:rsidRDefault="00A80C2A" w:rsidP="00312822">
            <w:pPr>
              <w:rPr>
                <w:sz w:val="21"/>
              </w:rPr>
            </w:pPr>
            <w:r w:rsidRPr="00045AC2">
              <w:rPr>
                <w:sz w:val="21"/>
              </w:rPr>
              <w:t>NSCLC</w:t>
            </w:r>
            <w:r w:rsidR="00045AC2" w:rsidRPr="00045AC2">
              <w:rPr>
                <w:sz w:val="21"/>
              </w:rPr>
              <w:t xml:space="preserve"> studies</w:t>
            </w:r>
          </w:p>
        </w:tc>
        <w:tc>
          <w:tcPr>
            <w:tcW w:w="1543" w:type="dxa"/>
          </w:tcPr>
          <w:p w14:paraId="7FE4ABFD" w14:textId="77777777" w:rsidR="00A80C2A" w:rsidRPr="00045AC2" w:rsidRDefault="00A80C2A" w:rsidP="00312822">
            <w:pPr>
              <w:rPr>
                <w:sz w:val="21"/>
              </w:rPr>
            </w:pPr>
            <w:r w:rsidRPr="00045AC2">
              <w:rPr>
                <w:sz w:val="21"/>
              </w:rPr>
              <w:t>31 March 2018</w:t>
            </w:r>
          </w:p>
        </w:tc>
      </w:tr>
      <w:tr w:rsidR="00E00AB7" w:rsidRPr="003E27B5" w14:paraId="422325D3" w14:textId="77777777" w:rsidTr="00E00AB7">
        <w:trPr>
          <w:trHeight w:val="94"/>
        </w:trPr>
        <w:tc>
          <w:tcPr>
            <w:tcW w:w="1455" w:type="dxa"/>
          </w:tcPr>
          <w:p w14:paraId="5A2FD0A6" w14:textId="77777777" w:rsidR="00A80C2A" w:rsidRPr="00045AC2" w:rsidRDefault="00A80C2A" w:rsidP="00312822">
            <w:pPr>
              <w:rPr>
                <w:sz w:val="21"/>
              </w:rPr>
            </w:pPr>
            <w:r w:rsidRPr="00045AC2">
              <w:rPr>
                <w:sz w:val="21"/>
              </w:rPr>
              <w:t xml:space="preserve">CA209025 </w:t>
            </w:r>
            <w:r w:rsidRPr="00045AC2">
              <w:rPr>
                <w:sz w:val="21"/>
              </w:rPr>
              <w:lastRenderedPageBreak/>
              <w:t>and CA209009</w:t>
            </w:r>
          </w:p>
        </w:tc>
        <w:tc>
          <w:tcPr>
            <w:tcW w:w="5657" w:type="dxa"/>
          </w:tcPr>
          <w:p w14:paraId="776445B9" w14:textId="77777777" w:rsidR="00A80C2A" w:rsidRPr="00045AC2" w:rsidRDefault="00A80C2A" w:rsidP="00312822">
            <w:pPr>
              <w:rPr>
                <w:sz w:val="21"/>
              </w:rPr>
            </w:pPr>
            <w:r w:rsidRPr="00045AC2">
              <w:rPr>
                <w:sz w:val="21"/>
              </w:rPr>
              <w:lastRenderedPageBreak/>
              <w:t xml:space="preserve">RCC studies </w:t>
            </w:r>
          </w:p>
        </w:tc>
        <w:tc>
          <w:tcPr>
            <w:tcW w:w="1543" w:type="dxa"/>
          </w:tcPr>
          <w:p w14:paraId="5CD3BDBF" w14:textId="77777777" w:rsidR="00A80C2A" w:rsidRPr="00045AC2" w:rsidRDefault="00A80C2A" w:rsidP="00312822">
            <w:pPr>
              <w:rPr>
                <w:sz w:val="21"/>
              </w:rPr>
            </w:pPr>
            <w:r w:rsidRPr="00045AC2">
              <w:rPr>
                <w:sz w:val="21"/>
              </w:rPr>
              <w:t xml:space="preserve">31 March </w:t>
            </w:r>
            <w:r w:rsidRPr="00045AC2">
              <w:rPr>
                <w:sz w:val="21"/>
              </w:rPr>
              <w:lastRenderedPageBreak/>
              <w:t>2018</w:t>
            </w:r>
          </w:p>
        </w:tc>
      </w:tr>
      <w:tr w:rsidR="00E00AB7" w:rsidRPr="003E27B5" w14:paraId="759DC835" w14:textId="77777777" w:rsidTr="00E00AB7">
        <w:trPr>
          <w:trHeight w:val="94"/>
        </w:trPr>
        <w:tc>
          <w:tcPr>
            <w:tcW w:w="1455" w:type="dxa"/>
          </w:tcPr>
          <w:p w14:paraId="596ED689" w14:textId="77777777" w:rsidR="00A80C2A" w:rsidRPr="00045AC2" w:rsidRDefault="00A80C2A" w:rsidP="00312822">
            <w:pPr>
              <w:rPr>
                <w:sz w:val="21"/>
              </w:rPr>
            </w:pPr>
            <w:r w:rsidRPr="00045AC2">
              <w:rPr>
                <w:sz w:val="21"/>
              </w:rPr>
              <w:lastRenderedPageBreak/>
              <w:t>CA209009, CA209038 and CA209064.</w:t>
            </w:r>
          </w:p>
        </w:tc>
        <w:tc>
          <w:tcPr>
            <w:tcW w:w="5657" w:type="dxa"/>
          </w:tcPr>
          <w:p w14:paraId="1FB74078" w14:textId="037FB675" w:rsidR="00A80C2A" w:rsidRPr="00045AC2" w:rsidRDefault="00A80C2A" w:rsidP="00312822">
            <w:pPr>
              <w:rPr>
                <w:sz w:val="21"/>
              </w:rPr>
            </w:pPr>
            <w:r w:rsidRPr="00045AC2">
              <w:rPr>
                <w:sz w:val="21"/>
              </w:rPr>
              <w:t>To further investigate the relation between PD-L1 and PDL</w:t>
            </w:r>
            <w:r w:rsidR="00045AC2">
              <w:rPr>
                <w:sz w:val="21"/>
              </w:rPr>
              <w:t>2 expression in Phase I</w:t>
            </w:r>
            <w:r w:rsidR="00045AC2" w:rsidRPr="00045AC2">
              <w:rPr>
                <w:sz w:val="21"/>
              </w:rPr>
              <w:t xml:space="preserve"> studies</w:t>
            </w:r>
          </w:p>
        </w:tc>
        <w:tc>
          <w:tcPr>
            <w:tcW w:w="1543" w:type="dxa"/>
          </w:tcPr>
          <w:p w14:paraId="5430F7C3" w14:textId="77777777" w:rsidR="00A80C2A" w:rsidRPr="00045AC2" w:rsidRDefault="00A80C2A" w:rsidP="00312822">
            <w:pPr>
              <w:rPr>
                <w:sz w:val="21"/>
              </w:rPr>
            </w:pPr>
            <w:r w:rsidRPr="00045AC2">
              <w:rPr>
                <w:sz w:val="21"/>
              </w:rPr>
              <w:t>31 March 2017</w:t>
            </w:r>
          </w:p>
        </w:tc>
      </w:tr>
      <w:tr w:rsidR="00E00AB7" w:rsidRPr="003E27B5" w14:paraId="0B133BB6" w14:textId="77777777" w:rsidTr="00E00AB7">
        <w:trPr>
          <w:trHeight w:val="94"/>
        </w:trPr>
        <w:tc>
          <w:tcPr>
            <w:tcW w:w="1455" w:type="dxa"/>
          </w:tcPr>
          <w:p w14:paraId="41168753" w14:textId="77777777" w:rsidR="00A80C2A" w:rsidRPr="00045AC2" w:rsidRDefault="00A80C2A" w:rsidP="00312822">
            <w:pPr>
              <w:rPr>
                <w:sz w:val="21"/>
              </w:rPr>
            </w:pPr>
            <w:r w:rsidRPr="00045AC2">
              <w:rPr>
                <w:sz w:val="21"/>
              </w:rPr>
              <w:t>CA209066, CA209057, and CA209025.</w:t>
            </w:r>
          </w:p>
        </w:tc>
        <w:tc>
          <w:tcPr>
            <w:tcW w:w="5657" w:type="dxa"/>
          </w:tcPr>
          <w:p w14:paraId="18524E8D" w14:textId="448284A2" w:rsidR="00A80C2A" w:rsidRPr="00045AC2" w:rsidRDefault="00A80C2A" w:rsidP="00312822">
            <w:pPr>
              <w:rPr>
                <w:sz w:val="21"/>
              </w:rPr>
            </w:pPr>
            <w:r w:rsidRPr="00045AC2">
              <w:rPr>
                <w:sz w:val="21"/>
              </w:rPr>
              <w:t>To further investigate the associative analyses between PD-L1 and</w:t>
            </w:r>
            <w:r w:rsidR="00045AC2">
              <w:rPr>
                <w:sz w:val="21"/>
              </w:rPr>
              <w:t xml:space="preserve"> PD-L2 expression conducted in S</w:t>
            </w:r>
            <w:r w:rsidRPr="00045AC2">
              <w:rPr>
                <w:sz w:val="21"/>
              </w:rPr>
              <w:t>tudies CA209066, CA209057, and CA209025.</w:t>
            </w:r>
          </w:p>
        </w:tc>
        <w:tc>
          <w:tcPr>
            <w:tcW w:w="1543" w:type="dxa"/>
          </w:tcPr>
          <w:p w14:paraId="289C3112" w14:textId="77777777" w:rsidR="00A80C2A" w:rsidRPr="00045AC2" w:rsidRDefault="00A80C2A" w:rsidP="00312822">
            <w:pPr>
              <w:rPr>
                <w:sz w:val="21"/>
              </w:rPr>
            </w:pPr>
            <w:r w:rsidRPr="00045AC2">
              <w:rPr>
                <w:sz w:val="21"/>
              </w:rPr>
              <w:t>30 June 2018</w:t>
            </w:r>
          </w:p>
        </w:tc>
      </w:tr>
      <w:tr w:rsidR="00E00AB7" w:rsidRPr="003E27B5" w14:paraId="24EDDABF" w14:textId="77777777" w:rsidTr="00E00AB7">
        <w:trPr>
          <w:trHeight w:val="94"/>
        </w:trPr>
        <w:tc>
          <w:tcPr>
            <w:tcW w:w="1455" w:type="dxa"/>
          </w:tcPr>
          <w:p w14:paraId="7BE6631F" w14:textId="77777777" w:rsidR="00A80C2A" w:rsidRPr="00045AC2" w:rsidRDefault="00A80C2A" w:rsidP="00312822">
            <w:pPr>
              <w:rPr>
                <w:sz w:val="21"/>
              </w:rPr>
            </w:pPr>
            <w:r w:rsidRPr="00045AC2">
              <w:rPr>
                <w:sz w:val="21"/>
              </w:rPr>
              <w:t>CA209009, CA209038 and CA209064.</w:t>
            </w:r>
          </w:p>
        </w:tc>
        <w:tc>
          <w:tcPr>
            <w:tcW w:w="5657" w:type="dxa"/>
          </w:tcPr>
          <w:p w14:paraId="4848B246" w14:textId="548AFFD1" w:rsidR="00A80C2A" w:rsidRPr="00045AC2" w:rsidRDefault="00A80C2A" w:rsidP="00312822">
            <w:pPr>
              <w:rPr>
                <w:sz w:val="21"/>
              </w:rPr>
            </w:pPr>
            <w:r w:rsidRPr="00045AC2">
              <w:rPr>
                <w:sz w:val="21"/>
              </w:rPr>
              <w:t>To further investigate the possible change in PD-L1 status of the tumour during treatment and/or tumour progression</w:t>
            </w:r>
            <w:r w:rsidR="00045AC2" w:rsidRPr="00045AC2">
              <w:rPr>
                <w:sz w:val="21"/>
              </w:rPr>
              <w:t xml:space="preserve"> </w:t>
            </w:r>
            <w:r w:rsidRPr="00045AC2">
              <w:rPr>
                <w:sz w:val="21"/>
              </w:rPr>
              <w:t>in studies CA209009, CA209038 and CA209064.</w:t>
            </w:r>
          </w:p>
        </w:tc>
        <w:tc>
          <w:tcPr>
            <w:tcW w:w="1543" w:type="dxa"/>
          </w:tcPr>
          <w:p w14:paraId="27EC07A4" w14:textId="77777777" w:rsidR="00A80C2A" w:rsidRPr="00045AC2" w:rsidRDefault="00A80C2A" w:rsidP="00312822">
            <w:pPr>
              <w:rPr>
                <w:sz w:val="21"/>
              </w:rPr>
            </w:pPr>
            <w:r w:rsidRPr="00045AC2">
              <w:rPr>
                <w:sz w:val="21"/>
              </w:rPr>
              <w:t>30 September 2017</w:t>
            </w:r>
          </w:p>
        </w:tc>
      </w:tr>
    </w:tbl>
    <w:p w14:paraId="6C147359" w14:textId="77777777"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14:paraId="4084D822" w14:textId="77749905" w:rsidR="003D26F9" w:rsidRPr="003D26F9" w:rsidRDefault="003D26F9" w:rsidP="003D26F9">
      <w:pPr>
        <w:rPr>
          <w:lang w:eastAsia="en-AU"/>
        </w:rPr>
      </w:pPr>
      <w:r>
        <w:rPr>
          <w:lang w:eastAsia="en-AU"/>
        </w:rPr>
        <w:t xml:space="preserve">HCP and </w:t>
      </w:r>
      <w:r w:rsidRPr="003D26F9">
        <w:rPr>
          <w:lang w:eastAsia="en-AU"/>
        </w:rPr>
        <w:t>patient communication tools were included as additional risk minimisation activities for the imp</w:t>
      </w:r>
      <w:r w:rsidR="00246FBD">
        <w:rPr>
          <w:lang w:eastAsia="en-AU"/>
        </w:rPr>
        <w:t xml:space="preserve">ortant identified risks: Immune related Pneumonitis, Immune related Colitis, Immune related Hepatitis, Immune </w:t>
      </w:r>
      <w:r w:rsidRPr="003D26F9">
        <w:rPr>
          <w:lang w:eastAsia="en-AU"/>
        </w:rPr>
        <w:t>related Nephriti</w:t>
      </w:r>
      <w:r w:rsidR="00246FBD">
        <w:rPr>
          <w:lang w:eastAsia="en-AU"/>
        </w:rPr>
        <w:t xml:space="preserve">s and Renal Dysfunction, Immune </w:t>
      </w:r>
      <w:r w:rsidRPr="003D26F9">
        <w:rPr>
          <w:lang w:eastAsia="en-AU"/>
        </w:rPr>
        <w:t>r</w:t>
      </w:r>
      <w:r w:rsidR="00246FBD">
        <w:rPr>
          <w:lang w:eastAsia="en-AU"/>
        </w:rPr>
        <w:t xml:space="preserve">elated </w:t>
      </w:r>
      <w:proofErr w:type="spellStart"/>
      <w:r w:rsidR="00246FBD">
        <w:rPr>
          <w:lang w:eastAsia="en-AU"/>
        </w:rPr>
        <w:t>Endocrinopathies</w:t>
      </w:r>
      <w:proofErr w:type="spellEnd"/>
      <w:r w:rsidR="00246FBD">
        <w:rPr>
          <w:lang w:eastAsia="en-AU"/>
        </w:rPr>
        <w:t xml:space="preserve">, Immune </w:t>
      </w:r>
      <w:r w:rsidRPr="003D26F9">
        <w:rPr>
          <w:lang w:eastAsia="en-AU"/>
        </w:rPr>
        <w:t xml:space="preserve">related Rash, and </w:t>
      </w:r>
      <w:r w:rsidR="00246FBD">
        <w:rPr>
          <w:lang w:eastAsia="en-AU"/>
        </w:rPr>
        <w:t xml:space="preserve">Other Immune </w:t>
      </w:r>
      <w:r w:rsidRPr="003D26F9">
        <w:rPr>
          <w:lang w:eastAsia="en-AU"/>
        </w:rPr>
        <w:t>related ARs. This approach has previously been agreed upon with the TGA. The additional risk minimisation activities are:</w:t>
      </w:r>
    </w:p>
    <w:p w14:paraId="43645EF4" w14:textId="1DA2AC46" w:rsidR="003D26F9" w:rsidRPr="003D26F9" w:rsidRDefault="003D26F9" w:rsidP="003D26F9">
      <w:pPr>
        <w:pStyle w:val="Numberbullet0"/>
        <w:numPr>
          <w:ilvl w:val="0"/>
          <w:numId w:val="32"/>
        </w:numPr>
        <w:rPr>
          <w:lang w:eastAsia="en-AU"/>
        </w:rPr>
      </w:pPr>
      <w:r w:rsidRPr="003D26F9">
        <w:rPr>
          <w:lang w:eastAsia="en-AU"/>
        </w:rPr>
        <w:t>A</w:t>
      </w:r>
      <w:r w:rsidR="00D8296A">
        <w:rPr>
          <w:lang w:eastAsia="en-AU"/>
        </w:rPr>
        <w:t xml:space="preserve"> HCP communication tool (Immune </w:t>
      </w:r>
      <w:r w:rsidRPr="003D26F9">
        <w:rPr>
          <w:lang w:eastAsia="en-AU"/>
        </w:rPr>
        <w:t>Related Adverse Reaction Management Guide)</w:t>
      </w:r>
    </w:p>
    <w:p w14:paraId="7C9B7EDE" w14:textId="1D7655FA" w:rsidR="003D26F9" w:rsidRDefault="003D26F9" w:rsidP="003D26F9">
      <w:pPr>
        <w:pStyle w:val="Numberbullet0"/>
        <w:rPr>
          <w:lang w:eastAsia="en-AU"/>
        </w:rPr>
      </w:pPr>
      <w:r>
        <w:rPr>
          <w:lang w:eastAsia="en-AU"/>
        </w:rPr>
        <w:t>A p</w:t>
      </w:r>
      <w:r w:rsidRPr="003D26F9">
        <w:rPr>
          <w:lang w:eastAsia="en-AU"/>
        </w:rPr>
        <w:t>atient communication tool in the form of a Patient Alert Card</w:t>
      </w:r>
      <w:r>
        <w:rPr>
          <w:lang w:eastAsia="en-AU"/>
        </w:rPr>
        <w:t>.</w:t>
      </w:r>
    </w:p>
    <w:p w14:paraId="6D215387" w14:textId="6ED8CB24" w:rsidR="003D26F9" w:rsidRPr="003D26F9" w:rsidRDefault="003D26F9" w:rsidP="003D26F9">
      <w:r w:rsidRPr="003D26F9">
        <w:t xml:space="preserve">Both are intended to facilitate safe and effective use of </w:t>
      </w:r>
      <w:proofErr w:type="spellStart"/>
      <w:r w:rsidRPr="003D26F9">
        <w:t>nivolumab</w:t>
      </w:r>
      <w:proofErr w:type="spellEnd"/>
      <w:r w:rsidRPr="003D26F9">
        <w:t xml:space="preserve">, and both are now available in Australia for the two currently registered indications: metastatic melanoma and squamous and </w:t>
      </w:r>
      <w:r>
        <w:t>non-</w:t>
      </w:r>
      <w:r w:rsidRPr="003D26F9">
        <w:t xml:space="preserve">squamous </w:t>
      </w:r>
      <w:r>
        <w:t>NSCLC</w:t>
      </w:r>
      <w:r w:rsidRPr="003D26F9">
        <w:t>.</w:t>
      </w:r>
    </w:p>
    <w:p w14:paraId="7E669591" w14:textId="390E2F9A" w:rsidR="003D26F9" w:rsidRPr="003D26F9" w:rsidRDefault="003D26F9" w:rsidP="003D26F9">
      <w:r w:rsidRPr="003D26F9">
        <w:t xml:space="preserve">The sponsor has indicated their intention to update the existing educational materials to include the approved RCC indication and updated pooled monotherapy </w:t>
      </w:r>
      <w:proofErr w:type="spellStart"/>
      <w:r w:rsidRPr="003D26F9">
        <w:t>irAR</w:t>
      </w:r>
      <w:proofErr w:type="spellEnd"/>
      <w:r w:rsidRPr="003D26F9">
        <w:t xml:space="preserve"> data (pooled monotherapy safety data updated to include data from Study CA209025). In addition, these updates will be aligned to the approved </w:t>
      </w:r>
      <w:proofErr w:type="spellStart"/>
      <w:r w:rsidRPr="003D26F9">
        <w:t>O</w:t>
      </w:r>
      <w:r w:rsidR="00324BBB">
        <w:t>pdivo</w:t>
      </w:r>
      <w:proofErr w:type="spellEnd"/>
      <w:r w:rsidRPr="003D26F9">
        <w:t xml:space="preserve"> PI for the RCC indication as part of this application.</w:t>
      </w:r>
    </w:p>
    <w:p w14:paraId="197B1B6C" w14:textId="0408648F" w:rsidR="006F25B8" w:rsidRDefault="006F25B8" w:rsidP="006F25B8">
      <w:pPr>
        <w:pStyle w:val="Heading4"/>
        <w:rPr>
          <w:lang w:eastAsia="en-AU"/>
        </w:rPr>
      </w:pPr>
      <w:bookmarkStart w:id="109" w:name="_Toc247691527"/>
      <w:r w:rsidRPr="006F25B8">
        <w:rPr>
          <w:lang w:eastAsia="en-AU"/>
        </w:rPr>
        <w:t>Reconciliation of is</w:t>
      </w:r>
      <w:r w:rsidR="00B11911">
        <w:rPr>
          <w:lang w:eastAsia="en-AU"/>
        </w:rPr>
        <w:t>sues outlined in the RMP report</w:t>
      </w:r>
    </w:p>
    <w:p w14:paraId="4A4A67F3" w14:textId="77A395DF" w:rsidR="006F25B8" w:rsidRDefault="004D2331" w:rsidP="006F25B8">
      <w:pPr>
        <w:rPr>
          <w:lang w:eastAsia="en-AU"/>
        </w:rPr>
      </w:pPr>
      <w:r>
        <w:rPr>
          <w:lang w:eastAsia="en-AU"/>
        </w:rPr>
        <w:t>Table 13</w:t>
      </w:r>
      <w:r w:rsidR="006F25B8">
        <w:rPr>
          <w:lang w:eastAsia="en-AU"/>
        </w:rPr>
        <w:t xml:space="preserve"> summarises the first round evaluation of the RMP, the sponsor’s responses to issues raised by the</w:t>
      </w:r>
      <w:r>
        <w:rPr>
          <w:lang w:eastAsia="en-AU"/>
        </w:rPr>
        <w:t xml:space="preserve"> TGA</w:t>
      </w:r>
      <w:r w:rsidR="006F25B8">
        <w:rPr>
          <w:lang w:eastAsia="en-AU"/>
        </w:rPr>
        <w:t xml:space="preserve"> and the </w:t>
      </w:r>
      <w:r w:rsidR="00AB2A32">
        <w:rPr>
          <w:lang w:eastAsia="en-AU"/>
        </w:rPr>
        <w:t>RMP evaluator</w:t>
      </w:r>
      <w:r w:rsidR="006F25B8">
        <w:rPr>
          <w:lang w:eastAsia="en-AU"/>
        </w:rPr>
        <w:t>’s evaluat</w:t>
      </w:r>
      <w:r w:rsidR="00AB2A32">
        <w:rPr>
          <w:lang w:eastAsia="en-AU"/>
        </w:rPr>
        <w:t>ion of the sponsor’s responses.</w:t>
      </w:r>
    </w:p>
    <w:p w14:paraId="27D7A6CD" w14:textId="3D03793C" w:rsidR="00246FBD" w:rsidRDefault="00246FBD" w:rsidP="00AB2A32">
      <w:pPr>
        <w:pStyle w:val="Tabletitle0"/>
        <w:rPr>
          <w:lang w:eastAsia="en-AU"/>
        </w:rPr>
      </w:pPr>
      <w:proofErr w:type="gramStart"/>
      <w:r>
        <w:rPr>
          <w:lang w:eastAsia="en-AU"/>
        </w:rPr>
        <w:t>Table 13.</w:t>
      </w:r>
      <w:proofErr w:type="gramEnd"/>
      <w:r>
        <w:rPr>
          <w:lang w:eastAsia="en-AU"/>
        </w:rPr>
        <w:t xml:space="preserve"> </w:t>
      </w:r>
      <w:r w:rsidR="004D2331">
        <w:rPr>
          <w:lang w:eastAsia="en-AU"/>
        </w:rPr>
        <w:t>Reconciliation of issues outlined in the RMP report</w:t>
      </w:r>
    </w:p>
    <w:tbl>
      <w:tblPr>
        <w:tblStyle w:val="TableTGAblack"/>
        <w:tblW w:w="5101" w:type="pct"/>
        <w:tblLayout w:type="fixed"/>
        <w:tblLook w:val="0480" w:firstRow="0" w:lastRow="0" w:firstColumn="1" w:lastColumn="0" w:noHBand="0" w:noVBand="1"/>
      </w:tblPr>
      <w:tblGrid>
        <w:gridCol w:w="8896"/>
      </w:tblGrid>
      <w:tr w:rsidR="00B11911" w:rsidRPr="00502C09" w14:paraId="586AF2A4" w14:textId="77777777" w:rsidTr="00854DC3">
        <w:tc>
          <w:tcPr>
            <w:tcW w:w="5000" w:type="pct"/>
            <w:noWrap/>
          </w:tcPr>
          <w:p w14:paraId="7F9A2ADA" w14:textId="3C49479A" w:rsidR="00B11911" w:rsidRPr="00E00AB7" w:rsidRDefault="00B11911" w:rsidP="00312822">
            <w:r w:rsidRPr="00E00AB7">
              <w:rPr>
                <w:b/>
              </w:rPr>
              <w:t>Recommendation 1</w:t>
            </w:r>
            <w:r w:rsidRPr="00E00AB7">
              <w:t>: Safety considerations may be raised by the nonclinical and clinical evaluators through TGA requests for more information and/or the Nonclinical and Clinical Evaluation Reports respectively. It is important to ensure that the information provided in response to these include</w:t>
            </w:r>
            <w:r w:rsidR="0035342C">
              <w:t>s</w:t>
            </w:r>
            <w:r w:rsidRPr="00E00AB7">
              <w:t xml:space="preserve"> a consideration of the relevance for the RMP, and any specific information needed to address this issue in the RMP. </w:t>
            </w:r>
            <w:r w:rsidRPr="00E00AB7">
              <w:rPr>
                <w:bCs/>
              </w:rPr>
              <w:t xml:space="preserve">For any safety considerations raised, </w:t>
            </w:r>
            <w:r w:rsidRPr="00E00AB7">
              <w:t>the sponsor should</w:t>
            </w:r>
            <w:r w:rsidRPr="00E00AB7">
              <w:rPr>
                <w:bCs/>
              </w:rPr>
              <w:t xml:space="preserve"> provide the necessary information to address </w:t>
            </w:r>
            <w:r w:rsidRPr="00E00AB7">
              <w:rPr>
                <w:bCs/>
              </w:rPr>
              <w:lastRenderedPageBreak/>
              <w:t>the issue in the RMP.</w:t>
            </w:r>
          </w:p>
        </w:tc>
      </w:tr>
      <w:tr w:rsidR="00B11911" w:rsidRPr="00502C09" w14:paraId="776B142C" w14:textId="77777777" w:rsidTr="00854DC3">
        <w:tc>
          <w:tcPr>
            <w:tcW w:w="5000" w:type="pct"/>
            <w:noWrap/>
          </w:tcPr>
          <w:p w14:paraId="19EB6AC0" w14:textId="77777777" w:rsidR="00B11911" w:rsidRPr="00E00AB7" w:rsidRDefault="00B11911" w:rsidP="00312822">
            <w:pPr>
              <w:rPr>
                <w:i/>
              </w:rPr>
            </w:pPr>
            <w:r w:rsidRPr="00E00AB7">
              <w:rPr>
                <w:i/>
              </w:rPr>
              <w:lastRenderedPageBreak/>
              <w:t>Sponsor’s response:</w:t>
            </w:r>
            <w:r w:rsidRPr="00E00AB7">
              <w:t xml:space="preserve"> </w:t>
            </w:r>
            <w:r w:rsidRPr="00E00AB7">
              <w:rPr>
                <w:i/>
              </w:rPr>
              <w:t xml:space="preserve">The sponsor </w:t>
            </w:r>
            <w:r w:rsidRPr="00E00AB7">
              <w:rPr>
                <w:rFonts w:asciiTheme="minorHAnsi" w:hAnsiTheme="minorHAnsi"/>
                <w:i/>
              </w:rPr>
              <w:t>confirmed that there have been no requests within the Clinical Evaluation Report to update the RMP to reflect the proposed indication of RCC.</w:t>
            </w:r>
          </w:p>
        </w:tc>
      </w:tr>
      <w:tr w:rsidR="00B11911" w:rsidRPr="00502C09" w14:paraId="182B5D15" w14:textId="77777777" w:rsidTr="00854DC3">
        <w:tc>
          <w:tcPr>
            <w:tcW w:w="5000" w:type="pct"/>
            <w:noWrap/>
          </w:tcPr>
          <w:p w14:paraId="61F1E6AD" w14:textId="1A428723" w:rsidR="00B11911" w:rsidRPr="00E00AB7" w:rsidRDefault="00B11911" w:rsidP="00312822">
            <w:r w:rsidRPr="00E00AB7">
              <w:rPr>
                <w:b/>
              </w:rPr>
              <w:t>RMP Evaluator comment</w:t>
            </w:r>
            <w:r w:rsidRPr="00E00AB7">
              <w:t>:</w:t>
            </w:r>
            <w:r w:rsidRPr="00E00AB7">
              <w:rPr>
                <w:color w:val="0070C0"/>
              </w:rPr>
              <w:t xml:space="preserve"> </w:t>
            </w:r>
            <w:r w:rsidRPr="00E00AB7">
              <w:t>The sponsor has addressed the evaluator’s RMP questions.</w:t>
            </w:r>
          </w:p>
        </w:tc>
      </w:tr>
      <w:tr w:rsidR="00B11911" w:rsidRPr="00502C09" w14:paraId="2B7E4ED1" w14:textId="77777777" w:rsidTr="00854DC3">
        <w:tc>
          <w:tcPr>
            <w:tcW w:w="5000" w:type="pct"/>
            <w:noWrap/>
          </w:tcPr>
          <w:p w14:paraId="529EA720" w14:textId="1F803213" w:rsidR="00B11911" w:rsidRPr="00E00AB7" w:rsidRDefault="00B11911" w:rsidP="00312822">
            <w:r w:rsidRPr="00E00AB7">
              <w:rPr>
                <w:b/>
              </w:rPr>
              <w:t>Recommendation 2</w:t>
            </w:r>
            <w:r w:rsidRPr="00E00AB7">
              <w:t xml:space="preserve">: The caption for Table 23 in the PI includes reference to ‘Section 4.4’. This appears to be a reference to the relevant section of the EU </w:t>
            </w:r>
            <w:proofErr w:type="spellStart"/>
            <w:r w:rsidRPr="00E00AB7">
              <w:t>SmPC</w:t>
            </w:r>
            <w:proofErr w:type="spellEnd"/>
            <w:r w:rsidRPr="00E00AB7">
              <w:t xml:space="preserve"> which is not applicable in Australia. Such references should be removed.</w:t>
            </w:r>
          </w:p>
        </w:tc>
      </w:tr>
      <w:tr w:rsidR="00B11911" w:rsidRPr="00502C09" w14:paraId="1F257BB7" w14:textId="77777777" w:rsidTr="00854DC3">
        <w:tc>
          <w:tcPr>
            <w:tcW w:w="5000" w:type="pct"/>
            <w:noWrap/>
          </w:tcPr>
          <w:p w14:paraId="27A279C0" w14:textId="7D5E15DA" w:rsidR="00B11911" w:rsidRPr="00E00AB7" w:rsidRDefault="00B11911" w:rsidP="00312822">
            <w:pPr>
              <w:rPr>
                <w:i/>
              </w:rPr>
            </w:pPr>
            <w:r w:rsidRPr="00E00AB7">
              <w:rPr>
                <w:i/>
              </w:rPr>
              <w:t xml:space="preserve">Sponsor’s response: The sponsor states this has now been changed in current versions of the PI (The RMP evaluator reviewed </w:t>
            </w:r>
            <w:r w:rsidR="003B0439" w:rsidRPr="00E00AB7">
              <w:rPr>
                <w:i/>
              </w:rPr>
              <w:t xml:space="preserve">a previous </w:t>
            </w:r>
            <w:r w:rsidRPr="00E00AB7">
              <w:rPr>
                <w:i/>
              </w:rPr>
              <w:t xml:space="preserve">version </w:t>
            </w:r>
            <w:r w:rsidR="003B0439" w:rsidRPr="00E00AB7">
              <w:rPr>
                <w:i/>
              </w:rPr>
              <w:t>(</w:t>
            </w:r>
            <w:r w:rsidRPr="00E00AB7">
              <w:rPr>
                <w:i/>
              </w:rPr>
              <w:t>0.9</w:t>
            </w:r>
            <w:r w:rsidR="003B0439" w:rsidRPr="00E00AB7">
              <w:rPr>
                <w:i/>
              </w:rPr>
              <w:t>)</w:t>
            </w:r>
            <w:r w:rsidRPr="00E00AB7">
              <w:rPr>
                <w:i/>
              </w:rPr>
              <w:t xml:space="preserve"> 12 November 2015).</w:t>
            </w:r>
          </w:p>
        </w:tc>
      </w:tr>
      <w:tr w:rsidR="00B11911" w:rsidRPr="00502C09" w14:paraId="55615EBB" w14:textId="77777777" w:rsidTr="00854DC3">
        <w:tc>
          <w:tcPr>
            <w:tcW w:w="5000" w:type="pct"/>
            <w:noWrap/>
          </w:tcPr>
          <w:p w14:paraId="7C07E176" w14:textId="4C6D85D3" w:rsidR="00B11911" w:rsidRPr="00E00AB7" w:rsidRDefault="00B11911" w:rsidP="00312822">
            <w:pPr>
              <w:rPr>
                <w:b/>
              </w:rPr>
            </w:pPr>
            <w:r w:rsidRPr="00E00AB7">
              <w:rPr>
                <w:b/>
              </w:rPr>
              <w:t>RMP Evaluator comment</w:t>
            </w:r>
            <w:r w:rsidRPr="00E00AB7">
              <w:t xml:space="preserve">: The draft PI (version 3.3) submitted with </w:t>
            </w:r>
            <w:r w:rsidR="003B0439" w:rsidRPr="00E00AB7">
              <w:t>the sponsor’s</w:t>
            </w:r>
            <w:r w:rsidRPr="00E00AB7">
              <w:t xml:space="preserve"> response now </w:t>
            </w:r>
            <w:r w:rsidR="003B0439" w:rsidRPr="00E00AB7">
              <w:t>refers to ‘Precautions’ rather than ‘S</w:t>
            </w:r>
            <w:r w:rsidRPr="00E00AB7">
              <w:t>ection 4.4</w:t>
            </w:r>
            <w:r w:rsidR="003B0439" w:rsidRPr="00E00AB7">
              <w:t>’.</w:t>
            </w:r>
          </w:p>
        </w:tc>
      </w:tr>
      <w:tr w:rsidR="00B11911" w:rsidRPr="00502C09" w14:paraId="1A96F058" w14:textId="77777777" w:rsidTr="00854DC3">
        <w:tc>
          <w:tcPr>
            <w:tcW w:w="5000" w:type="pct"/>
            <w:noWrap/>
          </w:tcPr>
          <w:p w14:paraId="137C174F" w14:textId="6B082318" w:rsidR="00B11911" w:rsidRPr="00E00AB7" w:rsidRDefault="003B0439" w:rsidP="00312822">
            <w:r w:rsidRPr="00E00AB7">
              <w:rPr>
                <w:b/>
              </w:rPr>
              <w:t>Recommendation 3</w:t>
            </w:r>
            <w:r w:rsidRPr="00E00AB7">
              <w:t xml:space="preserve">: </w:t>
            </w:r>
            <w:r w:rsidR="00B11911" w:rsidRPr="00E00AB7">
              <w:t xml:space="preserve">The </w:t>
            </w:r>
            <w:r w:rsidRPr="00E00AB7">
              <w:t>‘</w:t>
            </w:r>
            <w:r w:rsidR="00B11911" w:rsidRPr="00E00AB7">
              <w:t>Dosage and Administration</w:t>
            </w:r>
            <w:r w:rsidRPr="00E00AB7">
              <w:t>’</w:t>
            </w:r>
            <w:r w:rsidR="00B11911" w:rsidRPr="00E00AB7">
              <w:t xml:space="preserve"> section contains monotherapy dosage instructions for melanoma and NSCLC but not specifically Renal Cell Carcinoma (RCC).  From a risk minimisation perspective the dosage and administration advice for the RCC indication should be specifically described.</w:t>
            </w:r>
          </w:p>
        </w:tc>
      </w:tr>
      <w:tr w:rsidR="00B11911" w:rsidRPr="00502C09" w14:paraId="2A0F57EB" w14:textId="77777777" w:rsidTr="00854DC3">
        <w:trPr>
          <w:trHeight w:val="180"/>
        </w:trPr>
        <w:tc>
          <w:tcPr>
            <w:tcW w:w="5000" w:type="pct"/>
            <w:noWrap/>
          </w:tcPr>
          <w:p w14:paraId="2B8F0DC0" w14:textId="77777777" w:rsidR="00B11911" w:rsidRPr="00E00AB7" w:rsidRDefault="00B11911" w:rsidP="00312822">
            <w:pPr>
              <w:rPr>
                <w:i/>
              </w:rPr>
            </w:pPr>
            <w:r w:rsidRPr="00E00AB7">
              <w:rPr>
                <w:i/>
              </w:rPr>
              <w:t>Sponsor’s response: The draft PI version 3.3 includes dosage and administration advice for the RCC indication. (The RMP evaluator reviewed version 0.9, 12 November 2015).</w:t>
            </w:r>
          </w:p>
        </w:tc>
      </w:tr>
      <w:tr w:rsidR="00B11911" w:rsidRPr="00502C09" w14:paraId="5B77DD6A" w14:textId="77777777" w:rsidTr="00854DC3">
        <w:trPr>
          <w:trHeight w:val="110"/>
        </w:trPr>
        <w:tc>
          <w:tcPr>
            <w:tcW w:w="5000" w:type="pct"/>
            <w:noWrap/>
          </w:tcPr>
          <w:p w14:paraId="29AC8BB1" w14:textId="0AFCD0C9" w:rsidR="00B11911" w:rsidRPr="00E00AB7" w:rsidRDefault="00B11911" w:rsidP="00312822">
            <w:pPr>
              <w:rPr>
                <w:b/>
              </w:rPr>
            </w:pPr>
            <w:r w:rsidRPr="00E00AB7">
              <w:rPr>
                <w:b/>
              </w:rPr>
              <w:t xml:space="preserve">RMP Evaluator comment: </w:t>
            </w:r>
            <w:r w:rsidRPr="00E00AB7">
              <w:t xml:space="preserve">The draft PI (version 3.3), dosage for </w:t>
            </w:r>
            <w:proofErr w:type="spellStart"/>
            <w:r w:rsidRPr="00E00AB7">
              <w:t>O</w:t>
            </w:r>
            <w:r w:rsidR="003B0439" w:rsidRPr="00E00AB7">
              <w:t>pdivo</w:t>
            </w:r>
            <w:proofErr w:type="spellEnd"/>
            <w:r w:rsidRPr="00E00AB7">
              <w:t xml:space="preserve"> monotherapy, now includes renal cell carcinoma.</w:t>
            </w:r>
          </w:p>
        </w:tc>
      </w:tr>
      <w:tr w:rsidR="00B11911" w:rsidRPr="00502C09" w14:paraId="6E38D0A7" w14:textId="77777777" w:rsidTr="00854DC3">
        <w:trPr>
          <w:trHeight w:val="140"/>
        </w:trPr>
        <w:tc>
          <w:tcPr>
            <w:tcW w:w="5000" w:type="pct"/>
            <w:noWrap/>
          </w:tcPr>
          <w:p w14:paraId="20761CBA" w14:textId="69B56E82" w:rsidR="00B11911" w:rsidRPr="00E00AB7" w:rsidRDefault="003B0439" w:rsidP="00312822">
            <w:r w:rsidRPr="00E00AB7">
              <w:rPr>
                <w:b/>
              </w:rPr>
              <w:t>Recommendation 4</w:t>
            </w:r>
            <w:r w:rsidRPr="00E00AB7">
              <w:t xml:space="preserve">: </w:t>
            </w:r>
            <w:r w:rsidR="00B11911" w:rsidRPr="00E00AB7">
              <w:t>Changes made to the ASA as a result of previous evaluations are relevant to ASA version 3 but have not yet have been incorporated likely due to the timing of the previous applications. A revised ASA, incorporating all previously accepted changes and any relevant new informati</w:t>
            </w:r>
            <w:r w:rsidRPr="00E00AB7">
              <w:t>on should be submitted with the responses to TGA questions.</w:t>
            </w:r>
          </w:p>
        </w:tc>
      </w:tr>
      <w:tr w:rsidR="00B11911" w:rsidRPr="00502C09" w14:paraId="46059DAD" w14:textId="77777777" w:rsidTr="00854DC3">
        <w:trPr>
          <w:trHeight w:val="180"/>
        </w:trPr>
        <w:tc>
          <w:tcPr>
            <w:tcW w:w="5000" w:type="pct"/>
            <w:noWrap/>
          </w:tcPr>
          <w:p w14:paraId="14A982A5" w14:textId="65477237" w:rsidR="00B11911" w:rsidRPr="00E00AB7" w:rsidRDefault="00B11911" w:rsidP="00312822">
            <w:pPr>
              <w:rPr>
                <w:i/>
              </w:rPr>
            </w:pPr>
            <w:r w:rsidRPr="00E00AB7">
              <w:rPr>
                <w:i/>
              </w:rPr>
              <w:t>Sponsor’s response:</w:t>
            </w:r>
            <w:r w:rsidRPr="00E00AB7">
              <w:t xml:space="preserve"> </w:t>
            </w:r>
            <w:r w:rsidRPr="00E00AB7">
              <w:rPr>
                <w:i/>
              </w:rPr>
              <w:t>Changes made to the ASA as a result of the initial TGA evaluation for</w:t>
            </w:r>
            <w:r w:rsidR="003B0439" w:rsidRPr="00E00AB7">
              <w:rPr>
                <w:i/>
              </w:rPr>
              <w:t xml:space="preserve"> the first </w:t>
            </w:r>
            <w:proofErr w:type="spellStart"/>
            <w:r w:rsidR="003B0439" w:rsidRPr="00E00AB7">
              <w:rPr>
                <w:i/>
              </w:rPr>
              <w:t>nivolumab</w:t>
            </w:r>
            <w:proofErr w:type="spellEnd"/>
            <w:r w:rsidRPr="00E00AB7">
              <w:rPr>
                <w:i/>
              </w:rPr>
              <w:t xml:space="preserve"> application were not included in </w:t>
            </w:r>
            <w:proofErr w:type="spellStart"/>
            <w:r w:rsidRPr="00E00AB7">
              <w:rPr>
                <w:i/>
              </w:rPr>
              <w:t>Nivolumab</w:t>
            </w:r>
            <w:proofErr w:type="spellEnd"/>
            <w:r w:rsidRPr="00E00AB7">
              <w:rPr>
                <w:i/>
              </w:rPr>
              <w:t xml:space="preserve"> ASA v</w:t>
            </w:r>
            <w:r w:rsidR="003B0439" w:rsidRPr="00E00AB7">
              <w:rPr>
                <w:i/>
              </w:rPr>
              <w:t xml:space="preserve">ersion </w:t>
            </w:r>
            <w:r w:rsidRPr="00E00AB7">
              <w:rPr>
                <w:i/>
              </w:rPr>
              <w:t xml:space="preserve">3 due to timing of the dossier submission for </w:t>
            </w:r>
            <w:r w:rsidR="003B0439" w:rsidRPr="00E00AB7">
              <w:rPr>
                <w:i/>
              </w:rPr>
              <w:t>a further application</w:t>
            </w:r>
            <w:r w:rsidRPr="00E00AB7">
              <w:rPr>
                <w:i/>
              </w:rPr>
              <w:t xml:space="preserve"> in December 2015. </w:t>
            </w:r>
            <w:proofErr w:type="spellStart"/>
            <w:r w:rsidRPr="00E00AB7">
              <w:rPr>
                <w:i/>
              </w:rPr>
              <w:t>Nivolumab</w:t>
            </w:r>
            <w:proofErr w:type="spellEnd"/>
            <w:r w:rsidRPr="00E00AB7">
              <w:rPr>
                <w:i/>
              </w:rPr>
              <w:t xml:space="preserve"> ASA v</w:t>
            </w:r>
            <w:r w:rsidR="003B0439" w:rsidRPr="00E00AB7">
              <w:rPr>
                <w:i/>
              </w:rPr>
              <w:t xml:space="preserve">ersion </w:t>
            </w:r>
            <w:r w:rsidRPr="00E00AB7">
              <w:rPr>
                <w:i/>
              </w:rPr>
              <w:t xml:space="preserve">2.2 was approved by the TGA as part of the initial </w:t>
            </w:r>
            <w:proofErr w:type="spellStart"/>
            <w:r w:rsidRPr="00E00AB7">
              <w:rPr>
                <w:i/>
              </w:rPr>
              <w:t>Opdivo</w:t>
            </w:r>
            <w:proofErr w:type="spellEnd"/>
            <w:r w:rsidRPr="00E00AB7">
              <w:rPr>
                <w:i/>
              </w:rPr>
              <w:t xml:space="preserve"> marketing authorisation application (MAA) on 7 January 2016. Previously agreed changes in </w:t>
            </w:r>
            <w:proofErr w:type="spellStart"/>
            <w:r w:rsidRPr="00E00AB7">
              <w:rPr>
                <w:i/>
              </w:rPr>
              <w:t>Nivolumab</w:t>
            </w:r>
            <w:proofErr w:type="spellEnd"/>
            <w:r w:rsidRPr="00E00AB7">
              <w:rPr>
                <w:i/>
              </w:rPr>
              <w:t xml:space="preserve"> ASA v</w:t>
            </w:r>
            <w:r w:rsidR="003B0439" w:rsidRPr="00E00AB7">
              <w:rPr>
                <w:i/>
              </w:rPr>
              <w:t xml:space="preserve">ersion </w:t>
            </w:r>
            <w:r w:rsidRPr="00E00AB7">
              <w:rPr>
                <w:i/>
              </w:rPr>
              <w:t xml:space="preserve">2.2 have been incorporated into </w:t>
            </w:r>
            <w:proofErr w:type="spellStart"/>
            <w:r w:rsidRPr="00E00AB7">
              <w:rPr>
                <w:i/>
              </w:rPr>
              <w:t>Nivolumab</w:t>
            </w:r>
            <w:proofErr w:type="spellEnd"/>
            <w:r w:rsidRPr="00E00AB7">
              <w:rPr>
                <w:i/>
              </w:rPr>
              <w:t xml:space="preserve"> ASA v</w:t>
            </w:r>
            <w:r w:rsidR="003B0439" w:rsidRPr="00E00AB7">
              <w:rPr>
                <w:i/>
              </w:rPr>
              <w:t xml:space="preserve">ersion </w:t>
            </w:r>
            <w:r w:rsidRPr="00E00AB7">
              <w:rPr>
                <w:i/>
              </w:rPr>
              <w:t>4 and ASA v</w:t>
            </w:r>
            <w:r w:rsidR="003B0439" w:rsidRPr="00E00AB7">
              <w:rPr>
                <w:i/>
              </w:rPr>
              <w:t xml:space="preserve">ersion </w:t>
            </w:r>
            <w:r w:rsidRPr="00E00AB7">
              <w:rPr>
                <w:i/>
              </w:rPr>
              <w:t>5.</w:t>
            </w:r>
          </w:p>
        </w:tc>
      </w:tr>
      <w:tr w:rsidR="00B11911" w:rsidRPr="00502C09" w14:paraId="7CF23919" w14:textId="77777777" w:rsidTr="00854DC3">
        <w:trPr>
          <w:trHeight w:val="130"/>
        </w:trPr>
        <w:tc>
          <w:tcPr>
            <w:tcW w:w="5000" w:type="pct"/>
            <w:noWrap/>
          </w:tcPr>
          <w:p w14:paraId="607ED65B" w14:textId="5E2B69CC" w:rsidR="00B11911" w:rsidRPr="00E00AB7" w:rsidRDefault="00B11911" w:rsidP="00312822">
            <w:pPr>
              <w:rPr>
                <w:b/>
              </w:rPr>
            </w:pPr>
            <w:r w:rsidRPr="00E00AB7">
              <w:rPr>
                <w:b/>
              </w:rPr>
              <w:t xml:space="preserve">RMP Evaluator comment: </w:t>
            </w:r>
            <w:r w:rsidRPr="00E00AB7">
              <w:t>ASA v</w:t>
            </w:r>
            <w:r w:rsidR="004B7D4D" w:rsidRPr="00E00AB7">
              <w:t>ersions 4 and 5 have</w:t>
            </w:r>
            <w:r w:rsidRPr="00E00AB7">
              <w:t xml:space="preserve"> been updated and include changes made in version 2.2 including: Study CA209-401, an additional pharmacovigilance activity for Aus</w:t>
            </w:r>
            <w:r w:rsidR="004B7D4D" w:rsidRPr="00E00AB7">
              <w:t>tralia; and the safety concern ‘</w:t>
            </w:r>
            <w:r w:rsidRPr="00E00AB7">
              <w:t>Immune-related rash</w:t>
            </w:r>
            <w:r w:rsidR="004B7D4D" w:rsidRPr="00E00AB7">
              <w:t>’</w:t>
            </w:r>
            <w:r w:rsidRPr="00E00AB7">
              <w:t xml:space="preserve"> </w:t>
            </w:r>
            <w:r w:rsidR="004B7D4D" w:rsidRPr="00E00AB7">
              <w:t>has been renamed ‘</w:t>
            </w:r>
            <w:r w:rsidRPr="00E00AB7">
              <w:t>Immune related</w:t>
            </w:r>
            <w:r w:rsidR="004B7D4D" w:rsidRPr="00E00AB7">
              <w:t xml:space="preserve"> rash and severe skin reactions’</w:t>
            </w:r>
            <w:r w:rsidRPr="00E00AB7">
              <w:t xml:space="preserve"> for Australia as per TGA request.</w:t>
            </w:r>
          </w:p>
        </w:tc>
      </w:tr>
      <w:tr w:rsidR="00B11911" w:rsidRPr="00502C09" w14:paraId="5E80AC3B" w14:textId="77777777" w:rsidTr="00854DC3">
        <w:trPr>
          <w:trHeight w:val="120"/>
        </w:trPr>
        <w:tc>
          <w:tcPr>
            <w:tcW w:w="5000" w:type="pct"/>
            <w:noWrap/>
          </w:tcPr>
          <w:p w14:paraId="73855E54" w14:textId="2D143A1A" w:rsidR="00B11911" w:rsidRPr="00E00AB7" w:rsidRDefault="004B7D4D" w:rsidP="00312822">
            <w:r w:rsidRPr="00E00AB7">
              <w:rPr>
                <w:b/>
              </w:rPr>
              <w:t>Recommendation 5</w:t>
            </w:r>
            <w:r w:rsidRPr="00E00AB7">
              <w:t xml:space="preserve">: </w:t>
            </w:r>
            <w:r w:rsidR="00B11911" w:rsidRPr="00E00AB7">
              <w:t>The pharmacovigilance section of the ASA was substantially revised in response to previous TGA evaluation. However these changes have n</w:t>
            </w:r>
            <w:r w:rsidR="009C7C1F" w:rsidRPr="00E00AB7">
              <w:t xml:space="preserve">ot been included in version 3. </w:t>
            </w:r>
            <w:r w:rsidR="00B11911" w:rsidRPr="00E00AB7">
              <w:t>A revised ASA, incorporating all previously accepted changes should be submitted with th</w:t>
            </w:r>
            <w:r w:rsidR="009C7C1F" w:rsidRPr="00E00AB7">
              <w:t>e sponsor’s response to TGA questions.</w:t>
            </w:r>
          </w:p>
        </w:tc>
      </w:tr>
      <w:tr w:rsidR="00B11911" w:rsidRPr="00502C09" w14:paraId="35047145" w14:textId="77777777" w:rsidTr="00854DC3">
        <w:trPr>
          <w:trHeight w:val="180"/>
        </w:trPr>
        <w:tc>
          <w:tcPr>
            <w:tcW w:w="5000" w:type="pct"/>
            <w:noWrap/>
          </w:tcPr>
          <w:p w14:paraId="095C4D0C" w14:textId="77777777" w:rsidR="00B11911" w:rsidRPr="00E00AB7" w:rsidRDefault="00B11911" w:rsidP="00312822">
            <w:pPr>
              <w:rPr>
                <w:i/>
              </w:rPr>
            </w:pPr>
            <w:r w:rsidRPr="00E00AB7">
              <w:rPr>
                <w:i/>
              </w:rPr>
              <w:t>Sponsor’s response: As above in TGA recommendation 4.</w:t>
            </w:r>
          </w:p>
        </w:tc>
      </w:tr>
      <w:tr w:rsidR="00B11911" w:rsidRPr="00502C09" w14:paraId="176FA3F1" w14:textId="77777777" w:rsidTr="00854DC3">
        <w:trPr>
          <w:trHeight w:val="180"/>
        </w:trPr>
        <w:tc>
          <w:tcPr>
            <w:tcW w:w="5000" w:type="pct"/>
            <w:noWrap/>
          </w:tcPr>
          <w:p w14:paraId="067A287B" w14:textId="0163C6EF" w:rsidR="00B11911" w:rsidRPr="00E00AB7" w:rsidRDefault="00B11911" w:rsidP="00312822">
            <w:pPr>
              <w:rPr>
                <w:b/>
              </w:rPr>
            </w:pPr>
            <w:r w:rsidRPr="00E00AB7">
              <w:rPr>
                <w:b/>
              </w:rPr>
              <w:lastRenderedPageBreak/>
              <w:t xml:space="preserve">RMP Evaluator comment: </w:t>
            </w:r>
            <w:r w:rsidRPr="00E00AB7">
              <w:t>A r</w:t>
            </w:r>
            <w:r w:rsidR="009C7C1F" w:rsidRPr="00E00AB7">
              <w:t xml:space="preserve">evised ASA has been submitted, </w:t>
            </w:r>
            <w:r w:rsidRPr="00E00AB7">
              <w:t>the latest version submitted is number 5.</w:t>
            </w:r>
          </w:p>
        </w:tc>
      </w:tr>
      <w:tr w:rsidR="00B11911" w:rsidRPr="00502C09" w14:paraId="2DE41724" w14:textId="77777777" w:rsidTr="00854DC3">
        <w:trPr>
          <w:trHeight w:val="180"/>
        </w:trPr>
        <w:tc>
          <w:tcPr>
            <w:tcW w:w="5000" w:type="pct"/>
            <w:noWrap/>
          </w:tcPr>
          <w:p w14:paraId="30F1234D" w14:textId="5DEAA932" w:rsidR="00B11911" w:rsidRPr="00E00AB7" w:rsidRDefault="009C7C1F" w:rsidP="00312822">
            <w:r w:rsidRPr="00E00AB7">
              <w:rPr>
                <w:b/>
              </w:rPr>
              <w:t>Recommendation 6</w:t>
            </w:r>
            <w:r w:rsidRPr="00E00AB7">
              <w:t xml:space="preserve">: </w:t>
            </w:r>
            <w:r w:rsidR="00B11911" w:rsidRPr="00E00AB7">
              <w:t xml:space="preserve">The sponsor should confirm whether there are specific additional pharmacovigilance activities proposed for the </w:t>
            </w:r>
            <w:r w:rsidRPr="00E00AB7">
              <w:t>RCC</w:t>
            </w:r>
            <w:r w:rsidR="00B11911" w:rsidRPr="00E00AB7">
              <w:t xml:space="preserve"> indication. If so, details should be included in the RMP documentation.</w:t>
            </w:r>
          </w:p>
        </w:tc>
      </w:tr>
      <w:tr w:rsidR="00B11911" w:rsidRPr="00502C09" w14:paraId="3B6EE58B" w14:textId="77777777" w:rsidTr="00854DC3">
        <w:trPr>
          <w:trHeight w:val="180"/>
        </w:trPr>
        <w:tc>
          <w:tcPr>
            <w:tcW w:w="5000" w:type="pct"/>
            <w:noWrap/>
          </w:tcPr>
          <w:p w14:paraId="22589593" w14:textId="0625F532" w:rsidR="00B11911" w:rsidRPr="00E00AB7" w:rsidRDefault="00B11911" w:rsidP="00312822">
            <w:pPr>
              <w:rPr>
                <w:i/>
              </w:rPr>
            </w:pPr>
            <w:r w:rsidRPr="00E00AB7">
              <w:rPr>
                <w:i/>
              </w:rPr>
              <w:t xml:space="preserve">Sponsor’s response: Although the </w:t>
            </w:r>
            <w:proofErr w:type="spellStart"/>
            <w:r w:rsidRPr="00E00AB7">
              <w:rPr>
                <w:i/>
              </w:rPr>
              <w:t>Nivolumab</w:t>
            </w:r>
            <w:proofErr w:type="spellEnd"/>
            <w:r w:rsidRPr="00E00AB7">
              <w:rPr>
                <w:i/>
              </w:rPr>
              <w:t xml:space="preserve"> EU-RMP has been updated with data for the new indications, there have been no changes to the </w:t>
            </w:r>
            <w:proofErr w:type="spellStart"/>
            <w:r w:rsidRPr="00E00AB7">
              <w:rPr>
                <w:i/>
              </w:rPr>
              <w:t>nivolumab</w:t>
            </w:r>
            <w:proofErr w:type="spellEnd"/>
            <w:r w:rsidRPr="00E00AB7">
              <w:rPr>
                <w:i/>
              </w:rPr>
              <w:t xml:space="preserve"> safety profile since the TGA approved </w:t>
            </w:r>
            <w:proofErr w:type="spellStart"/>
            <w:r w:rsidRPr="00E00AB7">
              <w:rPr>
                <w:i/>
              </w:rPr>
              <w:t>Nivolumab</w:t>
            </w:r>
            <w:proofErr w:type="spellEnd"/>
            <w:r w:rsidRPr="00E00AB7">
              <w:rPr>
                <w:i/>
              </w:rPr>
              <w:t xml:space="preserve"> EU-RMP v</w:t>
            </w:r>
            <w:r w:rsidR="009C7C1F" w:rsidRPr="00E00AB7">
              <w:rPr>
                <w:i/>
              </w:rPr>
              <w:t>ersion 3 (that is</w:t>
            </w:r>
            <w:r w:rsidRPr="00E00AB7">
              <w:rPr>
                <w:i/>
              </w:rPr>
              <w:t>, versions 3 through v</w:t>
            </w:r>
            <w:r w:rsidR="009C7C1F" w:rsidRPr="00E00AB7">
              <w:rPr>
                <w:i/>
              </w:rPr>
              <w:t xml:space="preserve">ersion </w:t>
            </w:r>
            <w:r w:rsidRPr="00E00AB7">
              <w:rPr>
                <w:i/>
              </w:rPr>
              <w:t xml:space="preserve">6). Additionally, no tumour/indication specific changes have been proposed to the Pharmacovigilance section of the ASA since the TGA approved </w:t>
            </w:r>
            <w:proofErr w:type="spellStart"/>
            <w:r w:rsidRPr="00E00AB7">
              <w:rPr>
                <w:i/>
              </w:rPr>
              <w:t>Nivolumab</w:t>
            </w:r>
            <w:proofErr w:type="spellEnd"/>
            <w:r w:rsidRPr="00E00AB7">
              <w:rPr>
                <w:i/>
              </w:rPr>
              <w:t xml:space="preserve"> ASA v</w:t>
            </w:r>
            <w:r w:rsidR="009C7C1F" w:rsidRPr="00E00AB7">
              <w:rPr>
                <w:i/>
              </w:rPr>
              <w:t xml:space="preserve">ersion </w:t>
            </w:r>
            <w:r w:rsidRPr="00E00AB7">
              <w:rPr>
                <w:i/>
              </w:rPr>
              <w:t>2.2 (</w:t>
            </w:r>
            <w:r w:rsidR="009C7C1F" w:rsidRPr="00E00AB7">
              <w:rPr>
                <w:i/>
              </w:rPr>
              <w:t>that is</w:t>
            </w:r>
            <w:r w:rsidRPr="00E00AB7">
              <w:rPr>
                <w:i/>
              </w:rPr>
              <w:t xml:space="preserve"> versions 2.2 through 5).</w:t>
            </w:r>
          </w:p>
        </w:tc>
      </w:tr>
      <w:tr w:rsidR="00B11911" w:rsidRPr="00502C09" w14:paraId="5B8EA96E" w14:textId="77777777" w:rsidTr="00854DC3">
        <w:trPr>
          <w:trHeight w:val="180"/>
        </w:trPr>
        <w:tc>
          <w:tcPr>
            <w:tcW w:w="5000" w:type="pct"/>
            <w:noWrap/>
          </w:tcPr>
          <w:p w14:paraId="2868E7BB" w14:textId="77777777" w:rsidR="00B11911" w:rsidRPr="00E00AB7" w:rsidRDefault="00B11911" w:rsidP="00312822">
            <w:pPr>
              <w:rPr>
                <w:b/>
              </w:rPr>
            </w:pPr>
            <w:r w:rsidRPr="00E00AB7">
              <w:rPr>
                <w:b/>
              </w:rPr>
              <w:t xml:space="preserve">RMP Evaluator comment: </w:t>
            </w:r>
            <w:r w:rsidRPr="00E00AB7">
              <w:t>The RMP evaluator notes there are no indication specific pharmacovigilance activities planned.</w:t>
            </w:r>
          </w:p>
        </w:tc>
      </w:tr>
      <w:tr w:rsidR="00B11911" w:rsidRPr="00502C09" w14:paraId="1BF9DEFE" w14:textId="77777777" w:rsidTr="00854DC3">
        <w:trPr>
          <w:trHeight w:val="180"/>
        </w:trPr>
        <w:tc>
          <w:tcPr>
            <w:tcW w:w="5000" w:type="pct"/>
            <w:noWrap/>
          </w:tcPr>
          <w:p w14:paraId="0B06B928" w14:textId="5CB1C2E0" w:rsidR="00B11911" w:rsidRPr="00E00AB7" w:rsidRDefault="009C7C1F" w:rsidP="00312822">
            <w:r w:rsidRPr="00E00AB7">
              <w:rPr>
                <w:b/>
              </w:rPr>
              <w:t>Recommendation 7</w:t>
            </w:r>
            <w:r w:rsidRPr="00E00AB7">
              <w:t xml:space="preserve">: </w:t>
            </w:r>
            <w:r w:rsidR="00B11911" w:rsidRPr="00E00AB7">
              <w:t xml:space="preserve">The risk minimisation section of the ASA was substantially revised in response to the previous TGA evaluation. However these changes have not been included in version 3. A revised ASA, incorporating all previously accepted changes should be submitted with the </w:t>
            </w:r>
            <w:r w:rsidRPr="00E00AB7">
              <w:t>sponson’s response</w:t>
            </w:r>
            <w:r w:rsidR="00B11911" w:rsidRPr="00E00AB7">
              <w:t>.</w:t>
            </w:r>
          </w:p>
        </w:tc>
      </w:tr>
      <w:tr w:rsidR="00B11911" w:rsidRPr="00502C09" w14:paraId="19A72525" w14:textId="77777777" w:rsidTr="00854DC3">
        <w:trPr>
          <w:trHeight w:val="180"/>
        </w:trPr>
        <w:tc>
          <w:tcPr>
            <w:tcW w:w="5000" w:type="pct"/>
            <w:noWrap/>
          </w:tcPr>
          <w:p w14:paraId="5BEC773C" w14:textId="3393A707" w:rsidR="00B11911" w:rsidRPr="00E00AB7" w:rsidRDefault="00B11911" w:rsidP="00312822">
            <w:pPr>
              <w:rPr>
                <w:i/>
              </w:rPr>
            </w:pPr>
            <w:r w:rsidRPr="00E00AB7">
              <w:rPr>
                <w:i/>
              </w:rPr>
              <w:t xml:space="preserve">Sponsor’s response: Changes made to the ASA as a result of the initial TGA evaluation for </w:t>
            </w:r>
            <w:r w:rsidR="009C7C1F" w:rsidRPr="00E00AB7">
              <w:rPr>
                <w:i/>
              </w:rPr>
              <w:t xml:space="preserve">the first </w:t>
            </w:r>
            <w:proofErr w:type="spellStart"/>
            <w:r w:rsidR="009C7C1F" w:rsidRPr="00E00AB7">
              <w:rPr>
                <w:i/>
              </w:rPr>
              <w:t>nivolumab</w:t>
            </w:r>
            <w:proofErr w:type="spellEnd"/>
            <w:r w:rsidR="009C7C1F" w:rsidRPr="00E00AB7">
              <w:rPr>
                <w:i/>
              </w:rPr>
              <w:t xml:space="preserve"> application </w:t>
            </w:r>
            <w:r w:rsidRPr="00E00AB7">
              <w:rPr>
                <w:i/>
              </w:rPr>
              <w:t xml:space="preserve">were not included in </w:t>
            </w:r>
            <w:proofErr w:type="spellStart"/>
            <w:r w:rsidRPr="00E00AB7">
              <w:rPr>
                <w:i/>
              </w:rPr>
              <w:t>Nivolumab</w:t>
            </w:r>
            <w:proofErr w:type="spellEnd"/>
            <w:r w:rsidRPr="00E00AB7">
              <w:rPr>
                <w:i/>
              </w:rPr>
              <w:t xml:space="preserve"> ASA v3 due to timing of the dossier submission for </w:t>
            </w:r>
            <w:r w:rsidR="009C7C1F" w:rsidRPr="00E00AB7">
              <w:rPr>
                <w:i/>
              </w:rPr>
              <w:t xml:space="preserve">another </w:t>
            </w:r>
            <w:proofErr w:type="spellStart"/>
            <w:r w:rsidR="009C7C1F" w:rsidRPr="00E00AB7">
              <w:rPr>
                <w:i/>
              </w:rPr>
              <w:t>nivolumab</w:t>
            </w:r>
            <w:proofErr w:type="spellEnd"/>
            <w:r w:rsidR="009C7C1F" w:rsidRPr="00E00AB7">
              <w:rPr>
                <w:i/>
              </w:rPr>
              <w:t xml:space="preserve"> </w:t>
            </w:r>
            <w:r w:rsidRPr="00E00AB7">
              <w:rPr>
                <w:i/>
              </w:rPr>
              <w:t xml:space="preserve">application in December 2015. </w:t>
            </w:r>
            <w:proofErr w:type="spellStart"/>
            <w:r w:rsidRPr="00E00AB7">
              <w:rPr>
                <w:i/>
              </w:rPr>
              <w:t>Nivolumab</w:t>
            </w:r>
            <w:proofErr w:type="spellEnd"/>
            <w:r w:rsidRPr="00E00AB7">
              <w:rPr>
                <w:i/>
              </w:rPr>
              <w:t xml:space="preserve"> ASA v</w:t>
            </w:r>
            <w:r w:rsidR="009C7C1F" w:rsidRPr="00E00AB7">
              <w:rPr>
                <w:i/>
              </w:rPr>
              <w:t xml:space="preserve">ersion </w:t>
            </w:r>
            <w:r w:rsidRPr="00E00AB7">
              <w:rPr>
                <w:i/>
              </w:rPr>
              <w:t xml:space="preserve">2.2 was approved by the TGA as part of the initial </w:t>
            </w:r>
            <w:proofErr w:type="spellStart"/>
            <w:r w:rsidRPr="00E00AB7">
              <w:rPr>
                <w:i/>
              </w:rPr>
              <w:t>Opdivo</w:t>
            </w:r>
            <w:proofErr w:type="spellEnd"/>
            <w:r w:rsidRPr="00E00AB7">
              <w:rPr>
                <w:i/>
              </w:rPr>
              <w:t xml:space="preserve"> MAA on 7 January 2016. The sponsor has provided a copy of the current </w:t>
            </w:r>
            <w:proofErr w:type="spellStart"/>
            <w:r w:rsidRPr="00E00AB7">
              <w:rPr>
                <w:i/>
              </w:rPr>
              <w:t>Opdivo</w:t>
            </w:r>
            <w:proofErr w:type="spellEnd"/>
            <w:r w:rsidRPr="00E00AB7">
              <w:rPr>
                <w:i/>
              </w:rPr>
              <w:t xml:space="preserve"> Immune-Related Adverse Reaction (</w:t>
            </w:r>
            <w:proofErr w:type="spellStart"/>
            <w:r w:rsidRPr="00E00AB7">
              <w:rPr>
                <w:i/>
              </w:rPr>
              <w:t>irAR</w:t>
            </w:r>
            <w:proofErr w:type="spellEnd"/>
            <w:r w:rsidRPr="00E00AB7">
              <w:rPr>
                <w:i/>
              </w:rPr>
              <w:t xml:space="preserve">) Management Guide and copies of the two Patient Alert Cards (there are separate Patient Alert Card for patients who are receiving </w:t>
            </w:r>
            <w:proofErr w:type="spellStart"/>
            <w:r w:rsidRPr="00E00AB7">
              <w:rPr>
                <w:i/>
              </w:rPr>
              <w:t>Opdivo</w:t>
            </w:r>
            <w:proofErr w:type="spellEnd"/>
            <w:r w:rsidRPr="00E00AB7">
              <w:rPr>
                <w:i/>
              </w:rPr>
              <w:t xml:space="preserve"> as monotherapy and </w:t>
            </w:r>
            <w:proofErr w:type="spellStart"/>
            <w:r w:rsidRPr="00E00AB7">
              <w:rPr>
                <w:i/>
              </w:rPr>
              <w:t>Opdivo</w:t>
            </w:r>
            <w:proofErr w:type="spellEnd"/>
            <w:r w:rsidRPr="00E00AB7">
              <w:rPr>
                <w:i/>
              </w:rPr>
              <w:t xml:space="preserve"> in combination with </w:t>
            </w:r>
            <w:proofErr w:type="spellStart"/>
            <w:r w:rsidRPr="00E00AB7">
              <w:rPr>
                <w:i/>
              </w:rPr>
              <w:t>ipilimumab</w:t>
            </w:r>
            <w:proofErr w:type="spellEnd"/>
            <w:r w:rsidRPr="00E00AB7">
              <w:rPr>
                <w:i/>
              </w:rPr>
              <w:t>).</w:t>
            </w:r>
          </w:p>
        </w:tc>
      </w:tr>
      <w:tr w:rsidR="00B11911" w:rsidRPr="00502C09" w14:paraId="4F51B0D9" w14:textId="77777777" w:rsidTr="00854DC3">
        <w:trPr>
          <w:trHeight w:val="180"/>
        </w:trPr>
        <w:tc>
          <w:tcPr>
            <w:tcW w:w="5000" w:type="pct"/>
            <w:noWrap/>
          </w:tcPr>
          <w:p w14:paraId="3C48C8F2" w14:textId="77777777" w:rsidR="00B11911" w:rsidRPr="00E00AB7" w:rsidRDefault="00B11911" w:rsidP="00312822">
            <w:pPr>
              <w:rPr>
                <w:b/>
              </w:rPr>
            </w:pPr>
            <w:r w:rsidRPr="00E00AB7">
              <w:rPr>
                <w:b/>
              </w:rPr>
              <w:t xml:space="preserve">RMP Evaluator comment: </w:t>
            </w:r>
            <w:r w:rsidRPr="00E00AB7">
              <w:t>A revised ASA has been submitted with the previously accepted changes included.</w:t>
            </w:r>
          </w:p>
        </w:tc>
      </w:tr>
      <w:tr w:rsidR="00B11911" w:rsidRPr="00502C09" w14:paraId="1D49E6EB" w14:textId="77777777" w:rsidTr="00854DC3">
        <w:trPr>
          <w:trHeight w:val="180"/>
        </w:trPr>
        <w:tc>
          <w:tcPr>
            <w:tcW w:w="5000" w:type="pct"/>
            <w:noWrap/>
          </w:tcPr>
          <w:p w14:paraId="0BFA52DF" w14:textId="3AF3882A" w:rsidR="00B11911" w:rsidRPr="00E00AB7" w:rsidRDefault="009C7C1F" w:rsidP="00312822">
            <w:r w:rsidRPr="00E00AB7">
              <w:rPr>
                <w:b/>
              </w:rPr>
              <w:t>Recommendation 8</w:t>
            </w:r>
            <w:r w:rsidRPr="00E00AB7">
              <w:t>:</w:t>
            </w:r>
            <w:r w:rsidR="00B11911" w:rsidRPr="00E00AB7">
              <w:t xml:space="preserve"> The sponsor should also detail any planned changes to the previously accepted educational materials to accommodate the proposed extension of indications.</w:t>
            </w:r>
          </w:p>
        </w:tc>
      </w:tr>
      <w:tr w:rsidR="00B11911" w:rsidRPr="00502C09" w14:paraId="3FFCB051" w14:textId="77777777" w:rsidTr="00854DC3">
        <w:trPr>
          <w:trHeight w:val="180"/>
        </w:trPr>
        <w:tc>
          <w:tcPr>
            <w:tcW w:w="5000" w:type="pct"/>
            <w:noWrap/>
          </w:tcPr>
          <w:p w14:paraId="372C77CC" w14:textId="77777777" w:rsidR="00B11911" w:rsidRPr="00E00AB7" w:rsidRDefault="00B11911" w:rsidP="00312822">
            <w:pPr>
              <w:rPr>
                <w:i/>
              </w:rPr>
            </w:pPr>
            <w:r w:rsidRPr="00E00AB7">
              <w:rPr>
                <w:i/>
              </w:rPr>
              <w:t xml:space="preserve">Sponsor’s response: As the safety profile remains unchanged across the tumour types for </w:t>
            </w:r>
            <w:proofErr w:type="spellStart"/>
            <w:r w:rsidRPr="00E00AB7">
              <w:rPr>
                <w:i/>
              </w:rPr>
              <w:t>nivolumab</w:t>
            </w:r>
            <w:proofErr w:type="spellEnd"/>
            <w:r w:rsidRPr="00E00AB7">
              <w:rPr>
                <w:i/>
              </w:rPr>
              <w:t xml:space="preserve"> monotherapy, no changes are required to the key messages or </w:t>
            </w:r>
            <w:proofErr w:type="spellStart"/>
            <w:r w:rsidRPr="00E00AB7">
              <w:rPr>
                <w:i/>
              </w:rPr>
              <w:t>irAR</w:t>
            </w:r>
            <w:proofErr w:type="spellEnd"/>
            <w:r w:rsidRPr="00E00AB7">
              <w:rPr>
                <w:i/>
              </w:rPr>
              <w:t xml:space="preserve"> management algorithms within the educational materials as a result of the RCC indication. There are no risk minimisation activities or recommendations specific to the RCC indication. The existing risk minimisation (educational) materials will only be updated to include the approved RCC indication and updated pooled monotherapy </w:t>
            </w:r>
            <w:proofErr w:type="spellStart"/>
            <w:r w:rsidRPr="00E00AB7">
              <w:rPr>
                <w:i/>
              </w:rPr>
              <w:t>irAR</w:t>
            </w:r>
            <w:proofErr w:type="spellEnd"/>
            <w:r w:rsidRPr="00E00AB7">
              <w:rPr>
                <w:i/>
              </w:rPr>
              <w:t xml:space="preserve"> data (pooled monotherapy safety data updated to include data from Study CA209025). These updates will be aligned to the approved </w:t>
            </w:r>
            <w:proofErr w:type="spellStart"/>
            <w:r w:rsidRPr="00E00AB7">
              <w:rPr>
                <w:i/>
              </w:rPr>
              <w:t>Opdivo</w:t>
            </w:r>
            <w:proofErr w:type="spellEnd"/>
            <w:r w:rsidRPr="00E00AB7">
              <w:rPr>
                <w:i/>
              </w:rPr>
              <w:t xml:space="preserve"> PI for the RCC indication as part of this application.</w:t>
            </w:r>
          </w:p>
        </w:tc>
      </w:tr>
      <w:tr w:rsidR="00B11911" w:rsidRPr="00502C09" w14:paraId="4123BD00" w14:textId="77777777" w:rsidTr="00854DC3">
        <w:trPr>
          <w:trHeight w:val="180"/>
        </w:trPr>
        <w:tc>
          <w:tcPr>
            <w:tcW w:w="5000" w:type="pct"/>
            <w:noWrap/>
          </w:tcPr>
          <w:p w14:paraId="5C04D9C8" w14:textId="77777777" w:rsidR="00B11911" w:rsidRPr="00E00AB7" w:rsidRDefault="00B11911" w:rsidP="00312822">
            <w:pPr>
              <w:rPr>
                <w:b/>
              </w:rPr>
            </w:pPr>
            <w:r w:rsidRPr="00E00AB7">
              <w:rPr>
                <w:b/>
              </w:rPr>
              <w:t xml:space="preserve">RMP Evaluator comment: </w:t>
            </w:r>
            <w:r w:rsidRPr="00E00AB7">
              <w:t>The sponsor should provide these updated educational materials to the TGA when available.</w:t>
            </w:r>
          </w:p>
        </w:tc>
      </w:tr>
      <w:tr w:rsidR="00B11911" w:rsidRPr="00502C09" w14:paraId="612D8935" w14:textId="77777777" w:rsidTr="00854DC3">
        <w:trPr>
          <w:trHeight w:val="180"/>
        </w:trPr>
        <w:tc>
          <w:tcPr>
            <w:tcW w:w="5000" w:type="pct"/>
            <w:noWrap/>
          </w:tcPr>
          <w:p w14:paraId="13167FB2" w14:textId="3FED07AB" w:rsidR="00B11911" w:rsidRPr="00E00AB7" w:rsidRDefault="002279A9" w:rsidP="00312822">
            <w:r w:rsidRPr="00E00AB7">
              <w:rPr>
                <w:b/>
              </w:rPr>
              <w:t>Recommendation 9</w:t>
            </w:r>
            <w:r w:rsidRPr="00E00AB7">
              <w:t xml:space="preserve">: </w:t>
            </w:r>
            <w:r w:rsidR="00B11911" w:rsidRPr="00E00AB7">
              <w:t>The evaluator accepts that there may have been changes to the PI as result of previous approvals. The sponsor should ensure that Table 5.1-2 of the ASA reflects the most recently approved PI as well as any proposed amendments as a result of this application.</w:t>
            </w:r>
          </w:p>
        </w:tc>
      </w:tr>
      <w:tr w:rsidR="00B11911" w:rsidRPr="00502C09" w14:paraId="2C859949" w14:textId="77777777" w:rsidTr="00854DC3">
        <w:trPr>
          <w:trHeight w:val="180"/>
        </w:trPr>
        <w:tc>
          <w:tcPr>
            <w:tcW w:w="5000" w:type="pct"/>
            <w:noWrap/>
          </w:tcPr>
          <w:p w14:paraId="2AF5A347" w14:textId="4A0760BF" w:rsidR="00B11911" w:rsidRPr="00E00AB7" w:rsidRDefault="00B11911" w:rsidP="00312822">
            <w:pPr>
              <w:rPr>
                <w:i/>
              </w:rPr>
            </w:pPr>
            <w:r w:rsidRPr="00E00AB7">
              <w:rPr>
                <w:i/>
              </w:rPr>
              <w:lastRenderedPageBreak/>
              <w:t xml:space="preserve">Sponsor’s response: The safety profile of </w:t>
            </w:r>
            <w:proofErr w:type="spellStart"/>
            <w:r w:rsidRPr="00E00AB7">
              <w:rPr>
                <w:i/>
              </w:rPr>
              <w:t>nivolumab</w:t>
            </w:r>
            <w:proofErr w:type="spellEnd"/>
            <w:r w:rsidRPr="00E00AB7">
              <w:rPr>
                <w:i/>
              </w:rPr>
              <w:t xml:space="preserve"> monotherapy remains consistent across tumour types and there have been no changes to the safety concerns contained in the </w:t>
            </w:r>
            <w:proofErr w:type="spellStart"/>
            <w:r w:rsidRPr="00E00AB7">
              <w:rPr>
                <w:i/>
              </w:rPr>
              <w:t>Nivolumab</w:t>
            </w:r>
            <w:proofErr w:type="spellEnd"/>
            <w:r w:rsidRPr="00E00AB7">
              <w:rPr>
                <w:i/>
              </w:rPr>
              <w:t xml:space="preserve"> EU</w:t>
            </w:r>
            <w:r w:rsidR="002279A9" w:rsidRPr="00E00AB7">
              <w:rPr>
                <w:i/>
              </w:rPr>
              <w:t>-</w:t>
            </w:r>
            <w:r w:rsidRPr="00E00AB7">
              <w:rPr>
                <w:i/>
              </w:rPr>
              <w:t xml:space="preserve">RMP. Therefore, there have been no changes made to the risk minimisation wording included in the proposed </w:t>
            </w:r>
            <w:proofErr w:type="spellStart"/>
            <w:r w:rsidRPr="00E00AB7">
              <w:rPr>
                <w:i/>
              </w:rPr>
              <w:t>Opdivo</w:t>
            </w:r>
            <w:proofErr w:type="spellEnd"/>
            <w:r w:rsidRPr="00E00AB7">
              <w:rPr>
                <w:i/>
              </w:rPr>
              <w:t xml:space="preserve"> PI for the indications of RCC, </w:t>
            </w:r>
            <w:r w:rsidR="00AB2A32">
              <w:rPr>
                <w:i/>
              </w:rPr>
              <w:t xml:space="preserve">classical Hodgkin lymphoma </w:t>
            </w:r>
            <w:r w:rsidR="00AB2A32" w:rsidRPr="00AB2A32">
              <w:rPr>
                <w:i/>
              </w:rPr>
              <w:t>(</w:t>
            </w:r>
            <w:proofErr w:type="spellStart"/>
            <w:r w:rsidRPr="00AB2A32">
              <w:rPr>
                <w:i/>
              </w:rPr>
              <w:t>cHL</w:t>
            </w:r>
            <w:proofErr w:type="spellEnd"/>
            <w:r w:rsidR="00AB2A32" w:rsidRPr="00AB2A32">
              <w:rPr>
                <w:i/>
              </w:rPr>
              <w:t>)</w:t>
            </w:r>
            <w:r w:rsidRPr="00AB2A32">
              <w:rPr>
                <w:i/>
              </w:rPr>
              <w:t xml:space="preserve">, and </w:t>
            </w:r>
            <w:r w:rsidR="00AB2A32" w:rsidRPr="00AB2A32">
              <w:rPr>
                <w:i/>
              </w:rPr>
              <w:t>squamous cell cancer of the head and neck (</w:t>
            </w:r>
            <w:r w:rsidRPr="00AB2A32">
              <w:rPr>
                <w:i/>
              </w:rPr>
              <w:t>SCCHN</w:t>
            </w:r>
            <w:r w:rsidR="00AB2A32">
              <w:rPr>
                <w:i/>
              </w:rPr>
              <w:t>)</w:t>
            </w:r>
            <w:r w:rsidRPr="00E00AB7">
              <w:rPr>
                <w:i/>
              </w:rPr>
              <w:t xml:space="preserve">. As agreed during the </w:t>
            </w:r>
            <w:r w:rsidR="00AB2A32">
              <w:rPr>
                <w:i/>
              </w:rPr>
              <w:t>sponsor</w:t>
            </w:r>
            <w:r w:rsidRPr="00E00AB7">
              <w:rPr>
                <w:i/>
              </w:rPr>
              <w:t xml:space="preserve">/TGA teleconference of 17 June 2016, revised </w:t>
            </w:r>
            <w:proofErr w:type="spellStart"/>
            <w:r w:rsidRPr="00E00AB7">
              <w:rPr>
                <w:i/>
              </w:rPr>
              <w:t>Opdivo</w:t>
            </w:r>
            <w:proofErr w:type="spellEnd"/>
            <w:r w:rsidRPr="00E00AB7">
              <w:rPr>
                <w:i/>
              </w:rPr>
              <w:t xml:space="preserve"> PI v</w:t>
            </w:r>
            <w:r w:rsidR="001B74CD" w:rsidRPr="00E00AB7">
              <w:rPr>
                <w:i/>
              </w:rPr>
              <w:t xml:space="preserve">ersion </w:t>
            </w:r>
            <w:r w:rsidRPr="00E00AB7">
              <w:rPr>
                <w:i/>
              </w:rPr>
              <w:t xml:space="preserve">3.3 will be submitted to the TGA under separate cover. Based on comments from the clinical evaluator and discussion with the TGA Delegate on 17 June 2016 there are no proposed amendments to </w:t>
            </w:r>
            <w:proofErr w:type="spellStart"/>
            <w:r w:rsidRPr="00E00AB7">
              <w:rPr>
                <w:i/>
              </w:rPr>
              <w:t>Opdivo</w:t>
            </w:r>
            <w:proofErr w:type="spellEnd"/>
            <w:r w:rsidRPr="00E00AB7">
              <w:rPr>
                <w:i/>
              </w:rPr>
              <w:t xml:space="preserve"> PI v</w:t>
            </w:r>
            <w:r w:rsidR="001B74CD" w:rsidRPr="00E00AB7">
              <w:rPr>
                <w:i/>
              </w:rPr>
              <w:t xml:space="preserve">ersion </w:t>
            </w:r>
            <w:r w:rsidRPr="00E00AB7">
              <w:rPr>
                <w:i/>
              </w:rPr>
              <w:t xml:space="preserve">3.3 that will impact the risk minimisation wording (compared to </w:t>
            </w:r>
            <w:proofErr w:type="spellStart"/>
            <w:r w:rsidRPr="00E00AB7">
              <w:rPr>
                <w:i/>
              </w:rPr>
              <w:t>Opdivo</w:t>
            </w:r>
            <w:proofErr w:type="spellEnd"/>
            <w:r w:rsidRPr="00E00AB7">
              <w:rPr>
                <w:i/>
              </w:rPr>
              <w:t xml:space="preserve"> PI v</w:t>
            </w:r>
            <w:r w:rsidR="001B74CD" w:rsidRPr="00E00AB7">
              <w:rPr>
                <w:i/>
              </w:rPr>
              <w:t>ersion</w:t>
            </w:r>
            <w:r w:rsidRPr="00E00AB7">
              <w:rPr>
                <w:i/>
              </w:rPr>
              <w:t xml:space="preserve"> 3.2).</w:t>
            </w:r>
          </w:p>
        </w:tc>
      </w:tr>
      <w:tr w:rsidR="00B11911" w:rsidRPr="00502C09" w14:paraId="35A3FFFA" w14:textId="77777777" w:rsidTr="00854DC3">
        <w:trPr>
          <w:trHeight w:val="180"/>
        </w:trPr>
        <w:tc>
          <w:tcPr>
            <w:tcW w:w="5000" w:type="pct"/>
            <w:noWrap/>
          </w:tcPr>
          <w:p w14:paraId="1C564BBB" w14:textId="77777777" w:rsidR="00B11911" w:rsidRPr="00E00AB7" w:rsidRDefault="00B11911" w:rsidP="00312822">
            <w:pPr>
              <w:rPr>
                <w:b/>
              </w:rPr>
            </w:pPr>
            <w:r w:rsidRPr="00E00AB7">
              <w:rPr>
                <w:b/>
              </w:rPr>
              <w:t xml:space="preserve">RMP Evaluator comment: </w:t>
            </w:r>
            <w:r w:rsidRPr="00E00AB7">
              <w:t>The ASA (version 5) reflects the current PI (version 3.3).</w:t>
            </w:r>
          </w:p>
        </w:tc>
      </w:tr>
      <w:tr w:rsidR="00B11911" w:rsidRPr="00502C09" w14:paraId="6716E345" w14:textId="77777777" w:rsidTr="00854DC3">
        <w:trPr>
          <w:trHeight w:val="180"/>
        </w:trPr>
        <w:tc>
          <w:tcPr>
            <w:tcW w:w="5000" w:type="pct"/>
            <w:noWrap/>
          </w:tcPr>
          <w:p w14:paraId="6F9FF8C0" w14:textId="74EA212A" w:rsidR="00B11911" w:rsidRPr="00E00AB7" w:rsidRDefault="001B74CD" w:rsidP="00312822">
            <w:r w:rsidRPr="00E00AB7">
              <w:rPr>
                <w:b/>
              </w:rPr>
              <w:t>Recommendation 10</w:t>
            </w:r>
            <w:r w:rsidRPr="00E00AB7">
              <w:t xml:space="preserve">: </w:t>
            </w:r>
            <w:r w:rsidR="00B11911" w:rsidRPr="00E00AB7">
              <w:t xml:space="preserve">The acceptability of the consolidated risk minimisation plan, to be submitted with the </w:t>
            </w:r>
            <w:r w:rsidRPr="00E00AB7">
              <w:t>sponsor’s</w:t>
            </w:r>
            <w:r w:rsidR="00B11911" w:rsidRPr="00E00AB7">
              <w:t xml:space="preserve"> response, will be evaluated in round 2.</w:t>
            </w:r>
          </w:p>
        </w:tc>
      </w:tr>
      <w:tr w:rsidR="00B11911" w:rsidRPr="00502C09" w14:paraId="1B3F136F" w14:textId="77777777" w:rsidTr="00854DC3">
        <w:trPr>
          <w:trHeight w:val="180"/>
        </w:trPr>
        <w:tc>
          <w:tcPr>
            <w:tcW w:w="5000" w:type="pct"/>
            <w:noWrap/>
          </w:tcPr>
          <w:p w14:paraId="7419C247" w14:textId="77777777" w:rsidR="00B11911" w:rsidRPr="00E00AB7" w:rsidRDefault="00B11911" w:rsidP="00312822">
            <w:pPr>
              <w:rPr>
                <w:i/>
              </w:rPr>
            </w:pPr>
            <w:r w:rsidRPr="00E00AB7">
              <w:rPr>
                <w:i/>
              </w:rPr>
              <w:t>Sponsor’s response: The sponsor acknowledges the RMP evaluator’s comment.</w:t>
            </w:r>
          </w:p>
        </w:tc>
      </w:tr>
      <w:tr w:rsidR="00B11911" w:rsidRPr="00502C09" w14:paraId="7306CA3E" w14:textId="77777777" w:rsidTr="00854DC3">
        <w:trPr>
          <w:trHeight w:val="180"/>
        </w:trPr>
        <w:tc>
          <w:tcPr>
            <w:tcW w:w="5000" w:type="pct"/>
            <w:noWrap/>
          </w:tcPr>
          <w:p w14:paraId="5DD943B1" w14:textId="77777777" w:rsidR="00B11911" w:rsidRPr="00E00AB7" w:rsidRDefault="00B11911" w:rsidP="00312822">
            <w:pPr>
              <w:rPr>
                <w:b/>
              </w:rPr>
            </w:pPr>
            <w:r w:rsidRPr="00E00AB7">
              <w:rPr>
                <w:b/>
              </w:rPr>
              <w:t xml:space="preserve">RMP Evaluator comment: </w:t>
            </w:r>
            <w:r w:rsidRPr="00E00AB7">
              <w:t>EU-RMP version 6 and ASA version 5 have been considered as part of the round 2 evaluation.</w:t>
            </w:r>
          </w:p>
        </w:tc>
      </w:tr>
    </w:tbl>
    <w:p w14:paraId="2382B064" w14:textId="77777777"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14:paraId="5A8E6080" w14:textId="092D7ED3" w:rsidR="00C34D77" w:rsidRPr="00C34D77" w:rsidRDefault="00C34D77" w:rsidP="00C34D77">
      <w:pPr>
        <w:pStyle w:val="Heading5"/>
        <w:rPr>
          <w:lang w:eastAsia="en-AU"/>
        </w:rPr>
      </w:pPr>
      <w:bookmarkStart w:id="110" w:name="_Toc459807892"/>
      <w:r>
        <w:rPr>
          <w:lang w:eastAsia="en-AU"/>
        </w:rPr>
        <w:t>New r</w:t>
      </w:r>
      <w:r w:rsidRPr="00C34D77">
        <w:rPr>
          <w:lang w:eastAsia="en-AU"/>
        </w:rPr>
        <w:t>ecommendations (major)</w:t>
      </w:r>
      <w:bookmarkEnd w:id="110"/>
    </w:p>
    <w:p w14:paraId="2318EAD0" w14:textId="52F7B3B1" w:rsidR="00C34D77" w:rsidRPr="00C34D77" w:rsidRDefault="00C34D77" w:rsidP="000E4CDF">
      <w:pPr>
        <w:pStyle w:val="Numberbullet0"/>
        <w:numPr>
          <w:ilvl w:val="0"/>
          <w:numId w:val="21"/>
        </w:numPr>
        <w:rPr>
          <w:lang w:eastAsia="en-AU"/>
        </w:rPr>
      </w:pPr>
      <w:r w:rsidRPr="00C34D77">
        <w:rPr>
          <w:lang w:eastAsia="en-AU"/>
        </w:rPr>
        <w:t xml:space="preserve">The </w:t>
      </w:r>
      <w:r>
        <w:rPr>
          <w:lang w:eastAsia="en-AU"/>
        </w:rPr>
        <w:t>s</w:t>
      </w:r>
      <w:r w:rsidRPr="00C34D77">
        <w:rPr>
          <w:lang w:eastAsia="en-AU"/>
        </w:rPr>
        <w:t xml:space="preserve">ponsor should update the Summary of Safety Concerns as shown in </w:t>
      </w:r>
      <w:r>
        <w:rPr>
          <w:lang w:eastAsia="en-AU"/>
        </w:rPr>
        <w:t>a specified table</w:t>
      </w:r>
      <w:r w:rsidRPr="00C34D77">
        <w:rPr>
          <w:lang w:eastAsia="en-AU"/>
        </w:rPr>
        <w:t xml:space="preserve"> of the RMP Round 2 Evaluation Report</w:t>
      </w:r>
      <w:r>
        <w:rPr>
          <w:lang w:eastAsia="en-AU"/>
        </w:rPr>
        <w:t xml:space="preserve">, </w:t>
      </w:r>
      <w:r w:rsidR="00D8296A">
        <w:rPr>
          <w:lang w:eastAsia="en-AU"/>
        </w:rPr>
        <w:t xml:space="preserve">to include immune </w:t>
      </w:r>
      <w:r w:rsidRPr="00C34D77">
        <w:rPr>
          <w:lang w:eastAsia="en-AU"/>
        </w:rPr>
        <w:t xml:space="preserve">related neurological </w:t>
      </w:r>
      <w:r w:rsidR="00AB2A32">
        <w:rPr>
          <w:lang w:eastAsia="en-AU"/>
        </w:rPr>
        <w:t>AEs</w:t>
      </w:r>
      <w:r w:rsidRPr="00C34D77">
        <w:rPr>
          <w:lang w:eastAsia="en-AU"/>
        </w:rPr>
        <w:t xml:space="preserve"> and a more complete description of the other </w:t>
      </w:r>
      <w:proofErr w:type="spellStart"/>
      <w:r w:rsidR="00D8296A">
        <w:rPr>
          <w:lang w:eastAsia="en-AU"/>
        </w:rPr>
        <w:t>irAEs</w:t>
      </w:r>
      <w:proofErr w:type="spellEnd"/>
      <w:r w:rsidRPr="00C34D77">
        <w:rPr>
          <w:lang w:eastAsia="en-AU"/>
        </w:rPr>
        <w:t xml:space="preserve"> known to be associated with </w:t>
      </w:r>
      <w:proofErr w:type="spellStart"/>
      <w:r w:rsidRPr="00C34D77">
        <w:rPr>
          <w:lang w:eastAsia="en-AU"/>
        </w:rPr>
        <w:t>nivolumab</w:t>
      </w:r>
      <w:proofErr w:type="spellEnd"/>
      <w:r w:rsidRPr="00C34D77">
        <w:rPr>
          <w:lang w:eastAsia="en-AU"/>
        </w:rPr>
        <w:t xml:space="preserve"> treatment. These changes should also be captured in the ASA.</w:t>
      </w:r>
    </w:p>
    <w:p w14:paraId="0DF4FF03" w14:textId="04B7B381" w:rsidR="00C34D77" w:rsidRPr="00C34D77" w:rsidRDefault="00C34D77" w:rsidP="0089792C">
      <w:pPr>
        <w:pStyle w:val="Numberbullet0"/>
        <w:rPr>
          <w:lang w:eastAsia="en-AU"/>
        </w:rPr>
      </w:pPr>
      <w:r w:rsidRPr="00C34D77">
        <w:rPr>
          <w:lang w:eastAsia="en-AU"/>
        </w:rPr>
        <w:t>The sponsor should revise the HCP communication tool to include the RCC indication, and update the information included based on the revised Summary of Safety Concerns. Once revised, the materials should be submitted to the TGA for evaluation, and appended to a revised version of the ASA.</w:t>
      </w:r>
    </w:p>
    <w:p w14:paraId="0AE7DA94" w14:textId="532A11B9" w:rsidR="00C34D77" w:rsidRPr="00C34D77" w:rsidRDefault="00C34D77" w:rsidP="00C34D77">
      <w:pPr>
        <w:pStyle w:val="Numberbullet0"/>
        <w:rPr>
          <w:lang w:eastAsia="en-AU"/>
        </w:rPr>
      </w:pPr>
      <w:r w:rsidRPr="00C34D77">
        <w:rPr>
          <w:lang w:eastAsia="en-AU"/>
        </w:rPr>
        <w:t xml:space="preserve">The sponsor should revise the Patient Alert Card to include the RCC indication, and update the information included based on the revised Summary of Safety Concerns. In addition, during the revision process the </w:t>
      </w:r>
      <w:r w:rsidR="0089792C">
        <w:rPr>
          <w:lang w:eastAsia="en-AU"/>
        </w:rPr>
        <w:t>s</w:t>
      </w:r>
      <w:r w:rsidR="0089792C" w:rsidRPr="00C34D77">
        <w:rPr>
          <w:lang w:eastAsia="en-AU"/>
        </w:rPr>
        <w:t xml:space="preserve">ponsor </w:t>
      </w:r>
      <w:r w:rsidRPr="00C34D77">
        <w:rPr>
          <w:lang w:eastAsia="en-AU"/>
        </w:rPr>
        <w:t>sh</w:t>
      </w:r>
      <w:r w:rsidR="00AB2A32">
        <w:rPr>
          <w:lang w:eastAsia="en-AU"/>
        </w:rPr>
        <w:t>ould give consideration to the clinical e</w:t>
      </w:r>
      <w:r w:rsidRPr="00C34D77">
        <w:rPr>
          <w:lang w:eastAsia="en-AU"/>
        </w:rPr>
        <w:t>valuator’s comments regarding the format of the P</w:t>
      </w:r>
      <w:r>
        <w:rPr>
          <w:lang w:eastAsia="en-AU"/>
        </w:rPr>
        <w:t xml:space="preserve">atient </w:t>
      </w:r>
      <w:r w:rsidRPr="00C34D77">
        <w:rPr>
          <w:lang w:eastAsia="en-AU"/>
        </w:rPr>
        <w:t>A</w:t>
      </w:r>
      <w:r>
        <w:rPr>
          <w:lang w:eastAsia="en-AU"/>
        </w:rPr>
        <w:t xml:space="preserve">lert </w:t>
      </w:r>
      <w:r w:rsidRPr="00C34D77">
        <w:rPr>
          <w:lang w:eastAsia="en-AU"/>
        </w:rPr>
        <w:t>C</w:t>
      </w:r>
      <w:r>
        <w:rPr>
          <w:lang w:eastAsia="en-AU"/>
        </w:rPr>
        <w:t>ard</w:t>
      </w:r>
      <w:r w:rsidRPr="00C34D77">
        <w:rPr>
          <w:lang w:eastAsia="en-AU"/>
        </w:rPr>
        <w:t>. Once revised, the materials should be submitted to the TGA for evaluation, and appended to a revised version of the ASA.</w:t>
      </w:r>
    </w:p>
    <w:p w14:paraId="7BB913FD" w14:textId="1E482DA3" w:rsidR="00C34D77" w:rsidRPr="00C34D77" w:rsidRDefault="00C34D77" w:rsidP="00C34D77">
      <w:pPr>
        <w:pStyle w:val="Numberbullet0"/>
        <w:rPr>
          <w:lang w:eastAsia="en-AU"/>
        </w:rPr>
      </w:pPr>
      <w:r>
        <w:rPr>
          <w:lang w:eastAsia="en-AU"/>
        </w:rPr>
        <w:t>The s</w:t>
      </w:r>
      <w:r w:rsidRPr="00C34D77">
        <w:rPr>
          <w:lang w:eastAsia="en-AU"/>
        </w:rPr>
        <w:t>ponsor should include the planned submission dates for Study CA209401 in the ASA.</w:t>
      </w:r>
    </w:p>
    <w:p w14:paraId="0640C1E8" w14:textId="0FB9E949" w:rsidR="00C34D77" w:rsidRPr="00C34D77" w:rsidRDefault="00C34D77" w:rsidP="00C34D77">
      <w:pPr>
        <w:pStyle w:val="Numberbullet0"/>
        <w:rPr>
          <w:lang w:eastAsia="en-AU"/>
        </w:rPr>
      </w:pPr>
      <w:r w:rsidRPr="00C34D77">
        <w:rPr>
          <w:lang w:eastAsia="en-AU"/>
        </w:rPr>
        <w:t xml:space="preserve">The </w:t>
      </w:r>
      <w:r>
        <w:rPr>
          <w:lang w:eastAsia="en-AU"/>
        </w:rPr>
        <w:t>EU-RMP states there are two PIPs</w:t>
      </w:r>
      <w:r w:rsidRPr="00C34D77">
        <w:rPr>
          <w:lang w:eastAsia="en-AU"/>
        </w:rPr>
        <w:t>. The ASA only refers to one PIP. The sponsor should amend the ASA to include reference to both PIPs, and append a cop</w:t>
      </w:r>
      <w:r w:rsidR="003E1144">
        <w:rPr>
          <w:lang w:eastAsia="en-AU"/>
        </w:rPr>
        <w:t>y of the second PIP to the ASA.</w:t>
      </w:r>
    </w:p>
    <w:p w14:paraId="7D5B9175" w14:textId="31670E77" w:rsidR="00C34D77" w:rsidRPr="00C34D77" w:rsidRDefault="00C34D77" w:rsidP="00C34D77">
      <w:pPr>
        <w:pStyle w:val="Heading5"/>
        <w:rPr>
          <w:lang w:eastAsia="en-AU"/>
        </w:rPr>
      </w:pPr>
      <w:bookmarkStart w:id="111" w:name="_Toc459807893"/>
      <w:r w:rsidRPr="00C34D77">
        <w:rPr>
          <w:lang w:eastAsia="en-AU"/>
        </w:rPr>
        <w:t>New recommendations (other)</w:t>
      </w:r>
      <w:bookmarkEnd w:id="111"/>
    </w:p>
    <w:p w14:paraId="3CE82DD7" w14:textId="50BA7FE3" w:rsidR="00C34D77" w:rsidRPr="00C34D77" w:rsidRDefault="00C34D77" w:rsidP="000E4CDF">
      <w:pPr>
        <w:pStyle w:val="Numberbullet0"/>
        <w:numPr>
          <w:ilvl w:val="0"/>
          <w:numId w:val="22"/>
        </w:numPr>
        <w:rPr>
          <w:lang w:eastAsia="en-AU"/>
        </w:rPr>
      </w:pPr>
      <w:r>
        <w:rPr>
          <w:lang w:eastAsia="en-AU"/>
        </w:rPr>
        <w:t>The s</w:t>
      </w:r>
      <w:r w:rsidRPr="00C34D77">
        <w:rPr>
          <w:lang w:eastAsia="en-AU"/>
        </w:rPr>
        <w:t>ponsor should provide an update on Study CA209234 when it is available, and commit to submitting the interim and final reports to the TGA in the ASA.</w:t>
      </w:r>
    </w:p>
    <w:p w14:paraId="32336028" w14:textId="77777777" w:rsidR="00C34D77" w:rsidRPr="00C34D77" w:rsidRDefault="00C34D77" w:rsidP="00C34D77">
      <w:pPr>
        <w:pStyle w:val="Numberbullet0"/>
        <w:rPr>
          <w:lang w:eastAsia="en-AU"/>
        </w:rPr>
      </w:pPr>
      <w:r w:rsidRPr="00C34D77">
        <w:rPr>
          <w:lang w:eastAsia="en-AU"/>
        </w:rPr>
        <w:t>For completeness, the sponsor should include the ongoing efficacy studies in the ASA.</w:t>
      </w:r>
    </w:p>
    <w:p w14:paraId="77FCAA35" w14:textId="0F5E8004" w:rsidR="00C34D77" w:rsidRPr="00C34D77" w:rsidRDefault="00C34D77" w:rsidP="003E1144">
      <w:pPr>
        <w:pStyle w:val="Numberbullet0"/>
        <w:rPr>
          <w:lang w:eastAsia="en-AU"/>
        </w:rPr>
      </w:pPr>
      <w:r>
        <w:rPr>
          <w:lang w:eastAsia="en-AU"/>
        </w:rPr>
        <w:t>The s</w:t>
      </w:r>
      <w:r w:rsidRPr="00C34D77">
        <w:rPr>
          <w:lang w:eastAsia="en-AU"/>
        </w:rPr>
        <w:t xml:space="preserve">ponsor should include Study CA209401 in the EU-RMP as it is a global study. </w:t>
      </w:r>
    </w:p>
    <w:p w14:paraId="331A9EA1" w14:textId="31C4DD89" w:rsidR="00C34D77" w:rsidRPr="00C34D77" w:rsidRDefault="00C34D77" w:rsidP="003E1144">
      <w:pPr>
        <w:pStyle w:val="Numberbullet0"/>
        <w:rPr>
          <w:lang w:eastAsia="en-AU"/>
        </w:rPr>
      </w:pPr>
      <w:r>
        <w:rPr>
          <w:lang w:eastAsia="en-AU"/>
        </w:rPr>
        <w:lastRenderedPageBreak/>
        <w:t>The s</w:t>
      </w:r>
      <w:r w:rsidRPr="00C34D77">
        <w:rPr>
          <w:lang w:eastAsia="en-AU"/>
        </w:rPr>
        <w:t xml:space="preserve">ponsor should clarify whether the study number for the third melanoma combination study listed is correct (listed as </w:t>
      </w:r>
      <w:r w:rsidR="003E1144">
        <w:rPr>
          <w:lang w:eastAsia="en-AU"/>
        </w:rPr>
        <w:t xml:space="preserve">Study </w:t>
      </w:r>
      <w:r w:rsidR="00AB2A32">
        <w:rPr>
          <w:lang w:eastAsia="en-AU"/>
        </w:rPr>
        <w:t>CA20906, but the RMP e</w:t>
      </w:r>
      <w:r w:rsidRPr="00C34D77">
        <w:rPr>
          <w:lang w:eastAsia="en-AU"/>
        </w:rPr>
        <w:t xml:space="preserve">valuator believes this should be </w:t>
      </w:r>
      <w:r w:rsidR="003E1144">
        <w:rPr>
          <w:lang w:eastAsia="en-AU"/>
        </w:rPr>
        <w:t>‘</w:t>
      </w:r>
      <w:r w:rsidR="003E1144" w:rsidRPr="003E1144">
        <w:rPr>
          <w:i/>
          <w:lang w:eastAsia="en-AU"/>
        </w:rPr>
        <w:t xml:space="preserve">Study </w:t>
      </w:r>
      <w:r w:rsidRPr="003E1144">
        <w:rPr>
          <w:i/>
          <w:lang w:eastAsia="en-AU"/>
        </w:rPr>
        <w:t>CA2090</w:t>
      </w:r>
      <w:r w:rsidR="003E1144" w:rsidRPr="003E1144">
        <w:rPr>
          <w:i/>
          <w:lang w:eastAsia="en-AU"/>
        </w:rPr>
        <w:t>69</w:t>
      </w:r>
      <w:r w:rsidR="003E1144">
        <w:rPr>
          <w:i/>
          <w:lang w:eastAsia="en-AU"/>
        </w:rPr>
        <w:t>’</w:t>
      </w:r>
      <w:r w:rsidR="003E1144">
        <w:rPr>
          <w:lang w:eastAsia="en-AU"/>
        </w:rPr>
        <w:t>.</w:t>
      </w:r>
    </w:p>
    <w:p w14:paraId="3F02694C" w14:textId="777DA72D" w:rsidR="00C34D77" w:rsidRPr="00C34D77" w:rsidRDefault="003E1144" w:rsidP="00C34D77">
      <w:pPr>
        <w:pStyle w:val="Numberbullet0"/>
        <w:rPr>
          <w:lang w:eastAsia="en-AU"/>
        </w:rPr>
      </w:pPr>
      <w:r>
        <w:rPr>
          <w:lang w:eastAsia="en-AU"/>
        </w:rPr>
        <w:t>The annual interim reports of S</w:t>
      </w:r>
      <w:r w:rsidR="00C34D77" w:rsidRPr="00C34D77">
        <w:rPr>
          <w:lang w:eastAsia="en-AU"/>
        </w:rPr>
        <w:t xml:space="preserve">tudy CA209401 should be submitted to the TGA for review when available. </w:t>
      </w:r>
      <w:r>
        <w:rPr>
          <w:lang w:eastAsia="en-AU"/>
        </w:rPr>
        <w:t>The s</w:t>
      </w:r>
      <w:r w:rsidR="00C34D77" w:rsidRPr="00C34D77">
        <w:rPr>
          <w:lang w:eastAsia="en-AU"/>
        </w:rPr>
        <w:t>ponsor should make a commitment in the ASA to submit the interim and final study reports for this study, as well as the other planned and ongoing studies.</w:t>
      </w:r>
    </w:p>
    <w:p w14:paraId="42C83992" w14:textId="77777777" w:rsidR="008E7846" w:rsidRPr="00792A32" w:rsidRDefault="008E7846" w:rsidP="008E7846">
      <w:pPr>
        <w:pStyle w:val="Heading2"/>
      </w:pPr>
      <w:bookmarkStart w:id="112" w:name="_Toc314842510"/>
      <w:bookmarkStart w:id="113" w:name="_Toc48927788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4"/>
      <w:bookmarkEnd w:id="109"/>
      <w:bookmarkEnd w:id="112"/>
      <w:bookmarkEnd w:id="113"/>
    </w:p>
    <w:p w14:paraId="16556AA3" w14:textId="77777777" w:rsidR="008E7846" w:rsidRDefault="008E7846" w:rsidP="008E7846">
      <w:bookmarkStart w:id="114" w:name="_Toc247691528"/>
      <w:r>
        <w:t xml:space="preserve">The submission was summarised in the following </w:t>
      </w:r>
      <w:r w:rsidRPr="00EF5C48">
        <w:t xml:space="preserve">Delegate’s </w:t>
      </w:r>
      <w:r>
        <w:t>overview</w:t>
      </w:r>
      <w:r w:rsidRPr="00EF5C48">
        <w:t xml:space="preserve"> and recommendation</w:t>
      </w:r>
      <w:r w:rsidR="00C06787">
        <w:t>s.</w:t>
      </w:r>
    </w:p>
    <w:p w14:paraId="29208D30" w14:textId="35291997" w:rsidR="00C06787" w:rsidRPr="00EA122B" w:rsidRDefault="00AB2A32" w:rsidP="00C06787">
      <w:pPr>
        <w:rPr>
          <w:b/>
          <w:bCs/>
        </w:rPr>
      </w:pPr>
      <w:r w:rsidRPr="00EA122B">
        <w:rPr>
          <w:bCs/>
        </w:rPr>
        <w:t>The i</w:t>
      </w:r>
      <w:r w:rsidR="00C06787" w:rsidRPr="00EA122B">
        <w:rPr>
          <w:bCs/>
        </w:rPr>
        <w:t>ndication</w:t>
      </w:r>
      <w:r w:rsidR="00392B43" w:rsidRPr="00EA122B">
        <w:rPr>
          <w:bCs/>
        </w:rPr>
        <w:t xml:space="preserve"> proposed (</w:t>
      </w:r>
      <w:r w:rsidR="00C06787" w:rsidRPr="00EA122B">
        <w:rPr>
          <w:bCs/>
        </w:rPr>
        <w:t xml:space="preserve">as per </w:t>
      </w:r>
      <w:r w:rsidR="00772A5D" w:rsidRPr="00EA122B">
        <w:rPr>
          <w:bCs/>
        </w:rPr>
        <w:t>sponsor response to TGA questions</w:t>
      </w:r>
      <w:r w:rsidR="00392B43" w:rsidRPr="00EA122B">
        <w:rPr>
          <w:bCs/>
        </w:rPr>
        <w:t>) is:</w:t>
      </w:r>
    </w:p>
    <w:p w14:paraId="60D544CD" w14:textId="77777777" w:rsidR="00C06787" w:rsidRPr="00EA122B" w:rsidRDefault="00772A5D" w:rsidP="00392B43">
      <w:pPr>
        <w:ind w:left="720"/>
        <w:rPr>
          <w:bCs/>
          <w:i/>
          <w:iCs/>
        </w:rPr>
      </w:pPr>
      <w:r w:rsidRPr="00EA122B">
        <w:rPr>
          <w:bCs/>
          <w:i/>
          <w:iCs/>
        </w:rPr>
        <w:t>‘</w:t>
      </w:r>
      <w:proofErr w:type="spellStart"/>
      <w:r w:rsidRPr="00EA122B">
        <w:rPr>
          <w:bCs/>
          <w:i/>
          <w:iCs/>
        </w:rPr>
        <w:t>Opdivo</w:t>
      </w:r>
      <w:proofErr w:type="spellEnd"/>
      <w:r w:rsidR="00C06787" w:rsidRPr="00EA122B">
        <w:rPr>
          <w:bCs/>
          <w:i/>
          <w:iCs/>
        </w:rPr>
        <w:t>, as monotherapy is indicated for the treatment of patients with advanced renal cell carcinoma (RCC) after prior therapy in adults</w:t>
      </w:r>
      <w:r w:rsidRPr="00EA122B">
        <w:rPr>
          <w:bCs/>
          <w:i/>
          <w:iCs/>
        </w:rPr>
        <w:t>’</w:t>
      </w:r>
    </w:p>
    <w:p w14:paraId="34464F8E" w14:textId="77777777" w:rsidR="00772A5D" w:rsidRDefault="00772A5D" w:rsidP="00772A5D">
      <w:pPr>
        <w:pStyle w:val="Heading3"/>
      </w:pPr>
      <w:bookmarkStart w:id="115" w:name="_Toc489277883"/>
      <w:r>
        <w:t>Quality</w:t>
      </w:r>
      <w:bookmarkEnd w:id="115"/>
    </w:p>
    <w:p w14:paraId="4E3B44FF" w14:textId="048219E7" w:rsidR="0083688E" w:rsidRPr="0083688E" w:rsidRDefault="0083688E" w:rsidP="0083688E">
      <w:r w:rsidRPr="00C06787">
        <w:t>Manufactur</w:t>
      </w:r>
      <w:r w:rsidR="009A2450">
        <w:t xml:space="preserve">ing and quality control issues </w:t>
      </w:r>
      <w:r w:rsidRPr="00C06787">
        <w:t>were evaluated during the initia</w:t>
      </w:r>
      <w:r>
        <w:t xml:space="preserve">l application for registration of the first </w:t>
      </w:r>
      <w:proofErr w:type="spellStart"/>
      <w:r>
        <w:t>nivolumab</w:t>
      </w:r>
      <w:proofErr w:type="spellEnd"/>
      <w:r>
        <w:t xml:space="preserve"> NBE submission.</w:t>
      </w:r>
      <w:r w:rsidR="009A2450" w:rsidRPr="009A2450">
        <w:rPr>
          <w:vertAlign w:val="superscript"/>
        </w:rPr>
        <w:fldChar w:fldCharType="begin"/>
      </w:r>
      <w:r w:rsidR="009A2450" w:rsidRPr="009A2450">
        <w:rPr>
          <w:vertAlign w:val="superscript"/>
        </w:rPr>
        <w:instrText xml:space="preserve"> NOTEREF _Ref490662114 \h </w:instrText>
      </w:r>
      <w:r w:rsidR="009A2450">
        <w:rPr>
          <w:vertAlign w:val="superscript"/>
        </w:rPr>
        <w:instrText xml:space="preserve"> \* MERGEFORMAT </w:instrText>
      </w:r>
      <w:r w:rsidR="009A2450" w:rsidRPr="009A2450">
        <w:rPr>
          <w:vertAlign w:val="superscript"/>
        </w:rPr>
      </w:r>
      <w:r w:rsidR="009A2450" w:rsidRPr="009A2450">
        <w:rPr>
          <w:vertAlign w:val="superscript"/>
        </w:rPr>
        <w:fldChar w:fldCharType="separate"/>
      </w:r>
      <w:r w:rsidR="00AF569E">
        <w:rPr>
          <w:vertAlign w:val="superscript"/>
        </w:rPr>
        <w:t>6</w:t>
      </w:r>
      <w:r w:rsidR="009A2450" w:rsidRPr="009A2450">
        <w:rPr>
          <w:vertAlign w:val="superscript"/>
        </w:rPr>
        <w:fldChar w:fldCharType="end"/>
      </w:r>
    </w:p>
    <w:p w14:paraId="681BF75E" w14:textId="77777777" w:rsidR="00772A5D" w:rsidRDefault="00F97701" w:rsidP="00F97701">
      <w:pPr>
        <w:pStyle w:val="Heading3"/>
      </w:pPr>
      <w:bookmarkStart w:id="116" w:name="_Toc489277884"/>
      <w:r>
        <w:t>Nonclinical</w:t>
      </w:r>
      <w:bookmarkEnd w:id="116"/>
    </w:p>
    <w:p w14:paraId="13EDC2BE" w14:textId="7AFB277C" w:rsidR="00F97701" w:rsidRDefault="009A2450" w:rsidP="00F97701">
      <w:r>
        <w:t>Nonclinical and</w:t>
      </w:r>
      <w:r w:rsidRPr="00C06787">
        <w:t xml:space="preserve"> toxicology </w:t>
      </w:r>
      <w:proofErr w:type="gramStart"/>
      <w:r w:rsidRPr="00C06787">
        <w:t>issues,</w:t>
      </w:r>
      <w:proofErr w:type="gramEnd"/>
      <w:r w:rsidRPr="00C06787">
        <w:t xml:space="preserve"> were evaluated during the initia</w:t>
      </w:r>
      <w:r>
        <w:t xml:space="preserve">l application for registration of the first </w:t>
      </w:r>
      <w:proofErr w:type="spellStart"/>
      <w:r>
        <w:t>nivolumab</w:t>
      </w:r>
      <w:proofErr w:type="spellEnd"/>
      <w:r>
        <w:t xml:space="preserve"> NBE submission.</w:t>
      </w:r>
      <w:r w:rsidRPr="009A2450">
        <w:rPr>
          <w:vertAlign w:val="superscript"/>
        </w:rPr>
        <w:fldChar w:fldCharType="begin"/>
      </w:r>
      <w:r w:rsidRPr="009A2450">
        <w:rPr>
          <w:vertAlign w:val="superscript"/>
        </w:rPr>
        <w:instrText xml:space="preserve"> NOTEREF _Ref490662114 \h </w:instrText>
      </w:r>
      <w:r>
        <w:rPr>
          <w:vertAlign w:val="superscript"/>
        </w:rPr>
        <w:instrText xml:space="preserve"> \* MERGEFORMAT </w:instrText>
      </w:r>
      <w:r w:rsidRPr="009A2450">
        <w:rPr>
          <w:vertAlign w:val="superscript"/>
        </w:rPr>
      </w:r>
      <w:r w:rsidRPr="009A2450">
        <w:rPr>
          <w:vertAlign w:val="superscript"/>
        </w:rPr>
        <w:fldChar w:fldCharType="separate"/>
      </w:r>
      <w:r w:rsidR="00AF569E">
        <w:rPr>
          <w:vertAlign w:val="superscript"/>
        </w:rPr>
        <w:t>6</w:t>
      </w:r>
      <w:r w:rsidRPr="009A2450">
        <w:rPr>
          <w:vertAlign w:val="superscript"/>
        </w:rPr>
        <w:fldChar w:fldCharType="end"/>
      </w:r>
    </w:p>
    <w:p w14:paraId="2354B496" w14:textId="77777777" w:rsidR="00F97701" w:rsidRDefault="00F97701" w:rsidP="00F97701">
      <w:pPr>
        <w:pStyle w:val="Heading3"/>
      </w:pPr>
      <w:bookmarkStart w:id="117" w:name="_Toc489277885"/>
      <w:r>
        <w:t>Clinical</w:t>
      </w:r>
      <w:bookmarkEnd w:id="117"/>
    </w:p>
    <w:p w14:paraId="454C522A" w14:textId="6809379E" w:rsidR="00392B43" w:rsidRDefault="00F97701" w:rsidP="00777403">
      <w:r w:rsidRPr="00F97701">
        <w:t xml:space="preserve">The clinical evaluator has </w:t>
      </w:r>
      <w:r>
        <w:t xml:space="preserve">provided a comprehensive report. </w:t>
      </w:r>
      <w:r w:rsidR="0033050B">
        <w:t>Rather than re-</w:t>
      </w:r>
      <w:r w:rsidRPr="00F97701">
        <w:t>presenting background information and clinical data in any detail here, the focus will be on addressing issues raised in that report.</w:t>
      </w:r>
    </w:p>
    <w:p w14:paraId="03A0B5DD" w14:textId="1A4CDCE9" w:rsidR="00F97701" w:rsidRPr="00F97701" w:rsidRDefault="00F97701" w:rsidP="00777403">
      <w:r>
        <w:t xml:space="preserve">For further details, please see the </w:t>
      </w:r>
      <w:r w:rsidRPr="00F97701">
        <w:t>extract of th</w:t>
      </w:r>
      <w:r w:rsidR="00AE7842">
        <w:t>e clinical</w:t>
      </w:r>
      <w:r w:rsidRPr="00F97701">
        <w:t xml:space="preserve"> </w:t>
      </w:r>
      <w:r w:rsidR="00777403">
        <w:t xml:space="preserve">evaluation </w:t>
      </w:r>
      <w:r w:rsidRPr="00F97701">
        <w:t xml:space="preserve">report </w:t>
      </w:r>
      <w:r>
        <w:t>in</w:t>
      </w:r>
      <w:r w:rsidRPr="00F97701">
        <w:t xml:space="preserve"> Attachment </w:t>
      </w:r>
      <w:r>
        <w:t>2</w:t>
      </w:r>
      <w:r w:rsidRPr="00F97701">
        <w:t>.</w:t>
      </w:r>
    </w:p>
    <w:p w14:paraId="476D8AD2" w14:textId="5163DE11" w:rsidR="00F97701" w:rsidRPr="00F97701" w:rsidRDefault="00F97701" w:rsidP="00F97701">
      <w:pPr>
        <w:pStyle w:val="Heading4"/>
      </w:pPr>
      <w:r>
        <w:t>Clinical e</w:t>
      </w:r>
      <w:r w:rsidRPr="00F97701">
        <w:t xml:space="preserve">valuator’s </w:t>
      </w:r>
      <w:r w:rsidR="00B8723D">
        <w:t>recommendation</w:t>
      </w:r>
    </w:p>
    <w:p w14:paraId="19A7E5B7" w14:textId="1F898E20" w:rsidR="006458C4" w:rsidRDefault="00F97701" w:rsidP="00F97701">
      <w:r w:rsidRPr="00F97701">
        <w:t>The evalua</w:t>
      </w:r>
      <w:r>
        <w:t>tor was uncertain about benefit/</w:t>
      </w:r>
      <w:r w:rsidRPr="00F97701">
        <w:t xml:space="preserve">risk balance after </w:t>
      </w:r>
      <w:r>
        <w:t xml:space="preserve">the </w:t>
      </w:r>
      <w:r w:rsidR="00AE7842">
        <w:t>first round</w:t>
      </w:r>
      <w:r w:rsidR="00AE7842" w:rsidRPr="00F97701">
        <w:t xml:space="preserve"> </w:t>
      </w:r>
      <w:r w:rsidRPr="00F97701">
        <w:t>evaluation</w:t>
      </w:r>
      <w:r w:rsidR="006458C4">
        <w:t>.</w:t>
      </w:r>
    </w:p>
    <w:p w14:paraId="50736238" w14:textId="0BD62715" w:rsidR="00F97701" w:rsidRPr="00F97701" w:rsidRDefault="00F97701" w:rsidP="00F97701">
      <w:r w:rsidRPr="00F97701">
        <w:t xml:space="preserve">After </w:t>
      </w:r>
      <w:r w:rsidR="00AE7842">
        <w:t>second r</w:t>
      </w:r>
      <w:r>
        <w:t>ound, the evaluator concluded:</w:t>
      </w:r>
    </w:p>
    <w:p w14:paraId="758BE691" w14:textId="77777777" w:rsidR="00F97701" w:rsidRPr="00F97701" w:rsidRDefault="00F97701" w:rsidP="00392B43">
      <w:pPr>
        <w:ind w:left="720"/>
        <w:rPr>
          <w:i/>
        </w:rPr>
      </w:pPr>
      <w:r w:rsidRPr="00F97701">
        <w:rPr>
          <w:i/>
        </w:rPr>
        <w:t xml:space="preserve">‘The evaluator recommends that </w:t>
      </w:r>
      <w:proofErr w:type="spellStart"/>
      <w:r w:rsidRPr="00F97701">
        <w:rPr>
          <w:i/>
        </w:rPr>
        <w:t>nivolumab</w:t>
      </w:r>
      <w:proofErr w:type="spellEnd"/>
      <w:r w:rsidRPr="00F97701">
        <w:rPr>
          <w:i/>
        </w:rPr>
        <w:t xml:space="preserve"> be approved for the indication of:</w:t>
      </w:r>
      <w:r>
        <w:rPr>
          <w:i/>
        </w:rPr>
        <w:t xml:space="preserve"> </w:t>
      </w:r>
      <w:r w:rsidRPr="00F97701">
        <w:rPr>
          <w:i/>
        </w:rPr>
        <w:t xml:space="preserve">Adult patients with advanced RCC (clear cell) who had received prior </w:t>
      </w:r>
      <w:r w:rsidRPr="00F97701">
        <w:rPr>
          <w:i/>
          <w:lang w:val="en"/>
        </w:rPr>
        <w:t>anti-angiogenic</w:t>
      </w:r>
      <w:r w:rsidRPr="00F97701">
        <w:rPr>
          <w:i/>
        </w:rPr>
        <w:t xml:space="preserve"> therapy</w:t>
      </w:r>
      <w:r>
        <w:rPr>
          <w:i/>
        </w:rPr>
        <w:t>.’</w:t>
      </w:r>
    </w:p>
    <w:p w14:paraId="13193BEB" w14:textId="39E99D09" w:rsidR="00F97701" w:rsidRPr="00F97701" w:rsidRDefault="00F97701" w:rsidP="00F97701">
      <w:r w:rsidRPr="00F97701">
        <w:t xml:space="preserve">Ongoing refinement of the educational/awareness tools of the PI, Patient Alert Card and </w:t>
      </w:r>
      <w:r w:rsidR="00AB2A32">
        <w:t>HCP</w:t>
      </w:r>
      <w:r w:rsidRPr="00F97701">
        <w:t xml:space="preserve"> guide (as recommended in the sections below) are essential to minim</w:t>
      </w:r>
      <w:r w:rsidR="00AB2A32">
        <w:t xml:space="preserve">ise the risks associated with </w:t>
      </w:r>
      <w:proofErr w:type="spellStart"/>
      <w:r w:rsidR="00D8296A">
        <w:t>irARs</w:t>
      </w:r>
      <w:proofErr w:type="spellEnd"/>
      <w:r w:rsidRPr="00F97701">
        <w:t xml:space="preserve">. A multicentre national observational registry would provide information regarding the safety and efficacy of </w:t>
      </w:r>
      <w:proofErr w:type="spellStart"/>
      <w:r w:rsidRPr="00F97701">
        <w:t>nivolumab</w:t>
      </w:r>
      <w:proofErr w:type="spellEnd"/>
      <w:r w:rsidRPr="00F97701">
        <w:t xml:space="preserve"> outside of clinical trials in the Australian context.</w:t>
      </w:r>
    </w:p>
    <w:p w14:paraId="4A1C67EF" w14:textId="5F4B405E" w:rsidR="00F97701" w:rsidRPr="00F97701" w:rsidRDefault="00F97701" w:rsidP="00F97701">
      <w:r>
        <w:t>The clinical e</w:t>
      </w:r>
      <w:r w:rsidRPr="00F97701">
        <w:t xml:space="preserve">valuator has summarised benefits and risks succinctly </w:t>
      </w:r>
      <w:r>
        <w:t xml:space="preserve">(see </w:t>
      </w:r>
      <w:r w:rsidR="00F765D1">
        <w:t xml:space="preserve">Tables 8 and 9 </w:t>
      </w:r>
      <w:r w:rsidR="00777403">
        <w:t xml:space="preserve">and clinical findings, </w:t>
      </w:r>
      <w:r w:rsidR="00F765D1">
        <w:t>above</w:t>
      </w:r>
      <w:r w:rsidR="00704F9C">
        <w:t>)</w:t>
      </w:r>
      <w:r w:rsidR="00777403">
        <w:t>.</w:t>
      </w:r>
    </w:p>
    <w:p w14:paraId="3ECC1331" w14:textId="77777777" w:rsidR="00F97701" w:rsidRPr="00F97701" w:rsidRDefault="00F97701" w:rsidP="00704F9C">
      <w:pPr>
        <w:pStyle w:val="Heading4"/>
      </w:pPr>
      <w:r w:rsidRPr="00F97701">
        <w:lastRenderedPageBreak/>
        <w:t>Overview of data</w:t>
      </w:r>
    </w:p>
    <w:p w14:paraId="360910B3" w14:textId="77777777" w:rsidR="002C580A" w:rsidRPr="002C580A" w:rsidRDefault="00F97701" w:rsidP="002C580A">
      <w:pPr>
        <w:pStyle w:val="Heading5"/>
        <w:rPr>
          <w:rFonts w:eastAsia="Cambria"/>
        </w:rPr>
      </w:pPr>
      <w:r w:rsidRPr="002C580A">
        <w:rPr>
          <w:rFonts w:eastAsia="Cambria"/>
        </w:rPr>
        <w:t>Study CA209025</w:t>
      </w:r>
    </w:p>
    <w:p w14:paraId="14D26AF6" w14:textId="13051057" w:rsidR="00F97701" w:rsidRPr="00F97701" w:rsidRDefault="00704F9C" w:rsidP="00F97701">
      <w:r>
        <w:t xml:space="preserve">This </w:t>
      </w:r>
      <w:r w:rsidR="00F97701" w:rsidRPr="00F97701">
        <w:t xml:space="preserve">was </w:t>
      </w:r>
      <w:r>
        <w:t xml:space="preserve">the </w:t>
      </w:r>
      <w:r w:rsidR="00F97701" w:rsidRPr="00F97701">
        <w:t>pivotal</w:t>
      </w:r>
      <w:r>
        <w:t xml:space="preserve"> study</w:t>
      </w:r>
      <w:r w:rsidR="00F97701" w:rsidRPr="00F97701">
        <w:t>.</w:t>
      </w:r>
      <w:r>
        <w:t xml:space="preserve"> </w:t>
      </w:r>
      <w:r w:rsidR="00F97701" w:rsidRPr="00F97701">
        <w:t xml:space="preserve">Subjects with advanced </w:t>
      </w:r>
      <w:r w:rsidR="00F765D1">
        <w:t>RCC</w:t>
      </w:r>
      <w:r w:rsidR="00F97701" w:rsidRPr="00F97701">
        <w:t xml:space="preserve"> with a clear cell component who had received 1 or 2 prior anti-angiogenic therapies for a</w:t>
      </w:r>
      <w:r w:rsidR="00F765D1">
        <w:t xml:space="preserve">dvanced disease were enrolled. </w:t>
      </w:r>
      <w:proofErr w:type="spellStart"/>
      <w:r w:rsidR="00F97701" w:rsidRPr="00F97701">
        <w:t>Sunitinib</w:t>
      </w:r>
      <w:proofErr w:type="spellEnd"/>
      <w:r w:rsidR="00F97701" w:rsidRPr="00F97701">
        <w:t xml:space="preserve"> and </w:t>
      </w:r>
      <w:proofErr w:type="spellStart"/>
      <w:r w:rsidR="00F97701" w:rsidRPr="00F97701">
        <w:t>pazopanib</w:t>
      </w:r>
      <w:proofErr w:type="spellEnd"/>
      <w:r w:rsidR="00F97701" w:rsidRPr="00F97701">
        <w:t xml:space="preserve"> </w:t>
      </w:r>
      <w:r w:rsidR="00F765D1">
        <w:t xml:space="preserve">were commoner prior therapies. </w:t>
      </w:r>
      <w:r w:rsidR="00F97701" w:rsidRPr="00F97701">
        <w:t>Patients with</w:t>
      </w:r>
      <w:r>
        <w:t xml:space="preserve"> CNS metastases were excluded. </w:t>
      </w:r>
      <w:r w:rsidR="00F97701" w:rsidRPr="00F97701">
        <w:t>N</w:t>
      </w:r>
      <w:r>
        <w:t xml:space="preserve"> </w:t>
      </w:r>
      <w:r w:rsidR="00F97701" w:rsidRPr="00F97701">
        <w:t>=</w:t>
      </w:r>
      <w:r>
        <w:t xml:space="preserve"> </w:t>
      </w:r>
      <w:r w:rsidR="00F97701" w:rsidRPr="00F97701">
        <w:t xml:space="preserve">410 were randomised to receive </w:t>
      </w:r>
      <w:proofErr w:type="spellStart"/>
      <w:r w:rsidR="00F97701" w:rsidRPr="00F97701">
        <w:t>nivolumab</w:t>
      </w:r>
      <w:proofErr w:type="spellEnd"/>
      <w:r w:rsidR="00F97701" w:rsidRPr="00F97701">
        <w:t xml:space="preserve"> 3 mg/kg </w:t>
      </w:r>
      <w:r w:rsidR="00F765D1">
        <w:t>every 2 weeks IV and n = </w:t>
      </w:r>
      <w:r>
        <w:t xml:space="preserve">411 to receive </w:t>
      </w:r>
      <w:proofErr w:type="spellStart"/>
      <w:r>
        <w:t>everolimus</w:t>
      </w:r>
      <w:proofErr w:type="spellEnd"/>
      <w:r>
        <w:t xml:space="preserve"> 10 mg/day </w:t>
      </w:r>
      <w:r w:rsidR="00F765D1">
        <w:t>orally</w:t>
      </w:r>
      <w:r>
        <w:t xml:space="preserve">. </w:t>
      </w:r>
      <w:r w:rsidR="00392B43">
        <w:t xml:space="preserve">The study was open </w:t>
      </w:r>
      <w:r w:rsidR="00F97701" w:rsidRPr="00F97701">
        <w:t>label.</w:t>
      </w:r>
      <w:r>
        <w:t xml:space="preserve"> </w:t>
      </w:r>
      <w:r w:rsidR="00F97701" w:rsidRPr="00F97701">
        <w:t xml:space="preserve">Median duration of treatment was 5.5 months for </w:t>
      </w:r>
      <w:proofErr w:type="spellStart"/>
      <w:r w:rsidR="00F97701" w:rsidRPr="00F97701">
        <w:t>nivolum</w:t>
      </w:r>
      <w:r>
        <w:t>ab</w:t>
      </w:r>
      <w:proofErr w:type="spellEnd"/>
      <w:r>
        <w:t xml:space="preserve">, 3.7 months for </w:t>
      </w:r>
      <w:proofErr w:type="spellStart"/>
      <w:r>
        <w:t>everolimus</w:t>
      </w:r>
      <w:proofErr w:type="spellEnd"/>
      <w:r>
        <w:t xml:space="preserve">. </w:t>
      </w:r>
      <w:r w:rsidR="00F97701" w:rsidRPr="00F97701">
        <w:t>Minimum follow-up was 14 months.</w:t>
      </w:r>
    </w:p>
    <w:p w14:paraId="675E213A" w14:textId="51162433" w:rsidR="00F97701" w:rsidRPr="00F97701" w:rsidRDefault="00F97701" w:rsidP="00F97701">
      <w:r w:rsidRPr="00F97701">
        <w:t xml:space="preserve">The primary endpoint was </w:t>
      </w:r>
      <w:r w:rsidR="00F765D1">
        <w:t>OS</w:t>
      </w:r>
      <w:r w:rsidR="00704F9C">
        <w:t xml:space="preserve">. </w:t>
      </w:r>
      <w:r w:rsidRPr="00F97701">
        <w:t>The study was stopped when a pre-planned interim analysis found an advantage in OS</w:t>
      </w:r>
      <w:r w:rsidR="00704F9C">
        <w:t xml:space="preserve"> for </w:t>
      </w:r>
      <w:proofErr w:type="spellStart"/>
      <w:r w:rsidR="00704F9C">
        <w:t>nivolumab</w:t>
      </w:r>
      <w:proofErr w:type="spellEnd"/>
      <w:r w:rsidR="00704F9C">
        <w:t xml:space="preserve">. </w:t>
      </w:r>
      <w:r w:rsidRPr="00F97701">
        <w:t xml:space="preserve">The </w:t>
      </w:r>
      <w:r w:rsidR="00704F9C">
        <w:t xml:space="preserve">HR for OS was 0.73 (95% CI 0.57 to </w:t>
      </w:r>
      <w:r w:rsidRPr="00F97701">
        <w:t xml:space="preserve">0.93); median OS was 25 months in the </w:t>
      </w:r>
      <w:proofErr w:type="spellStart"/>
      <w:r w:rsidRPr="00F97701">
        <w:t>nivolumab</w:t>
      </w:r>
      <w:proofErr w:type="spellEnd"/>
      <w:r w:rsidRPr="00F97701">
        <w:t xml:space="preserve"> arm, 19.6</w:t>
      </w:r>
      <w:r w:rsidR="00704F9C">
        <w:t xml:space="preserve"> months in the </w:t>
      </w:r>
      <w:proofErr w:type="spellStart"/>
      <w:r w:rsidR="00704F9C">
        <w:t>everolimus</w:t>
      </w:r>
      <w:proofErr w:type="spellEnd"/>
      <w:r w:rsidR="00704F9C">
        <w:t xml:space="preserve"> arm. </w:t>
      </w:r>
      <w:r w:rsidRPr="00F97701">
        <w:t>There was no sign of a plateau for OS, though median OS had only just been reached.</w:t>
      </w:r>
    </w:p>
    <w:p w14:paraId="212DA150" w14:textId="30C72545" w:rsidR="00F97701" w:rsidRPr="00F97701" w:rsidRDefault="00F97701" w:rsidP="00F97701">
      <w:r w:rsidRPr="00F97701">
        <w:t>Subgrouping by PD-L1 stat</w:t>
      </w:r>
      <w:r w:rsidR="00392B43">
        <w:t xml:space="preserve">us did not reveal differences. </w:t>
      </w:r>
      <w:r w:rsidRPr="00F97701">
        <w:t xml:space="preserve">There was a suggestion the </w:t>
      </w:r>
      <w:r w:rsidR="00A21077">
        <w:t>≥ </w:t>
      </w:r>
      <w:r w:rsidR="00704F9C">
        <w:t>75</w:t>
      </w:r>
      <w:r w:rsidR="00A21077">
        <w:t> </w:t>
      </w:r>
      <w:r w:rsidRPr="00F97701">
        <w:t>y</w:t>
      </w:r>
      <w:r w:rsidR="00704F9C">
        <w:t>ea</w:t>
      </w:r>
      <w:r w:rsidRPr="00F97701">
        <w:t xml:space="preserve">rs subgroup did not benefit from </w:t>
      </w:r>
      <w:proofErr w:type="spellStart"/>
      <w:r w:rsidR="00704F9C">
        <w:t>nivolumab</w:t>
      </w:r>
      <w:proofErr w:type="spellEnd"/>
      <w:r w:rsidR="00704F9C">
        <w:t xml:space="preserve"> (HR 1.23, 95% CI 0.66 to </w:t>
      </w:r>
      <w:r w:rsidRPr="00F97701">
        <w:t>2.31)</w:t>
      </w:r>
      <w:r w:rsidR="00704F9C">
        <w:t xml:space="preserve">. </w:t>
      </w:r>
      <w:r w:rsidRPr="00F97701">
        <w:t xml:space="preserve">Otherwise, all subgroups had an OS benefit with </w:t>
      </w:r>
      <w:proofErr w:type="spellStart"/>
      <w:r w:rsidRPr="00F97701">
        <w:t>nivolumab</w:t>
      </w:r>
      <w:proofErr w:type="spellEnd"/>
      <w:r w:rsidRPr="00F97701">
        <w:t>.</w:t>
      </w:r>
    </w:p>
    <w:p w14:paraId="5D581FE3" w14:textId="72C253D2" w:rsidR="00F97701" w:rsidRPr="00F97701" w:rsidRDefault="00F97701" w:rsidP="00F97701">
      <w:r w:rsidRPr="00F97701">
        <w:t xml:space="preserve">ORR was 25.1% for </w:t>
      </w:r>
      <w:proofErr w:type="spellStart"/>
      <w:r w:rsidRPr="00F97701">
        <w:t>nivolumab</w:t>
      </w:r>
      <w:proofErr w:type="spellEnd"/>
      <w:r w:rsidRPr="00F97701">
        <w:t xml:space="preserve">, 5.4% for </w:t>
      </w:r>
      <w:proofErr w:type="spellStart"/>
      <w:r w:rsidRPr="00F97701">
        <w:t>everolimus</w:t>
      </w:r>
      <w:proofErr w:type="spellEnd"/>
      <w:r w:rsidRPr="00F97701">
        <w:t>, with median duration of r</w:t>
      </w:r>
      <w:r w:rsidR="00FB650C">
        <w:t>esponse 12 </w:t>
      </w:r>
      <w:r w:rsidR="002F2661">
        <w:t xml:space="preserve">months in each arm. </w:t>
      </w:r>
      <w:r w:rsidRPr="00F97701">
        <w:t>The PFS HR was 0.88 (95% CI 0.75</w:t>
      </w:r>
      <w:r w:rsidR="002F2661">
        <w:t xml:space="preserve"> to 1.03); median PFS was 4.4 to </w:t>
      </w:r>
      <w:r w:rsidRPr="00F97701">
        <w:t>4.6 months across arms.</w:t>
      </w:r>
      <w:r w:rsidR="002F2661">
        <w:t xml:space="preserve"> </w:t>
      </w:r>
      <w:r w:rsidRPr="00F97701">
        <w:t>There was no independent review of responses.</w:t>
      </w:r>
    </w:p>
    <w:p w14:paraId="18CC3516" w14:textId="77777777" w:rsidR="00F97701" w:rsidRPr="00F97701" w:rsidRDefault="002F2661" w:rsidP="00F97701">
      <w:r>
        <w:t xml:space="preserve">In both arms, 44 to </w:t>
      </w:r>
      <w:r w:rsidR="00F97701" w:rsidRPr="00F97701">
        <w:t>46% of subjects we</w:t>
      </w:r>
      <w:r>
        <w:t xml:space="preserve">re treated beyond progression. </w:t>
      </w:r>
      <w:r w:rsidR="00F97701" w:rsidRPr="00F97701">
        <w:t xml:space="preserve">51/179 treated in this way with </w:t>
      </w:r>
      <w:proofErr w:type="spellStart"/>
      <w:r w:rsidR="00F97701" w:rsidRPr="00F97701">
        <w:t>nivolumab</w:t>
      </w:r>
      <w:proofErr w:type="spellEnd"/>
      <w:r w:rsidR="00F97701" w:rsidRPr="00F97701">
        <w:t xml:space="preserve"> derived ‘non-conventional benefit’ but the evaluator could not conclude that treatment b</w:t>
      </w:r>
      <w:r>
        <w:t>eyond progression was justified.</w:t>
      </w:r>
    </w:p>
    <w:p w14:paraId="6D1D5CDD" w14:textId="6BA5FD54" w:rsidR="00F97701" w:rsidRPr="00F97701" w:rsidRDefault="00F97701" w:rsidP="00F97701">
      <w:r w:rsidRPr="00F97701">
        <w:t xml:space="preserve">Safety outcomes were arguably better in the </w:t>
      </w:r>
      <w:proofErr w:type="spellStart"/>
      <w:r w:rsidRPr="00F97701">
        <w:t>nivolumab</w:t>
      </w:r>
      <w:proofErr w:type="spellEnd"/>
      <w:r w:rsidRPr="00F97701">
        <w:t xml:space="preserve"> arm, </w:t>
      </w:r>
      <w:r w:rsidR="00804713">
        <w:t xml:space="preserve">for example drug </w:t>
      </w:r>
      <w:r w:rsidR="002F2661">
        <w:t xml:space="preserve">related Grade 3 to </w:t>
      </w:r>
      <w:r w:rsidRPr="00F97701">
        <w:t>4 AEs were seen in 18.7% (</w:t>
      </w:r>
      <w:proofErr w:type="spellStart"/>
      <w:r w:rsidRPr="00F97701">
        <w:t>nivolumab</w:t>
      </w:r>
      <w:proofErr w:type="spellEnd"/>
      <w:r w:rsidRPr="00F97701">
        <w:t>) v</w:t>
      </w:r>
      <w:r w:rsidR="002F2661">
        <w:t>ersu</w:t>
      </w:r>
      <w:r w:rsidRPr="00F97701">
        <w:t>s 36.5% (</w:t>
      </w:r>
      <w:proofErr w:type="spellStart"/>
      <w:r w:rsidRPr="00F97701">
        <w:t>everolimus</w:t>
      </w:r>
      <w:proofErr w:type="spellEnd"/>
      <w:r w:rsidRPr="00F97701">
        <w:t xml:space="preserve">); </w:t>
      </w:r>
      <w:r w:rsidR="002F2661">
        <w:t>S</w:t>
      </w:r>
      <w:r w:rsidRPr="00F97701">
        <w:t>AEs were reported in 48% (</w:t>
      </w:r>
      <w:proofErr w:type="spellStart"/>
      <w:r w:rsidRPr="00F97701">
        <w:t>nivolumab</w:t>
      </w:r>
      <w:proofErr w:type="spellEnd"/>
      <w:r w:rsidRPr="00F97701">
        <w:t>) v</w:t>
      </w:r>
      <w:r w:rsidR="002F2661">
        <w:t>ersu</w:t>
      </w:r>
      <w:r w:rsidR="00804713">
        <w:t>s 44% (</w:t>
      </w:r>
      <w:proofErr w:type="spellStart"/>
      <w:r w:rsidR="00804713">
        <w:t>everolimus</w:t>
      </w:r>
      <w:proofErr w:type="spellEnd"/>
      <w:r w:rsidR="00804713">
        <w:t xml:space="preserve">) but drug </w:t>
      </w:r>
      <w:r w:rsidRPr="00F97701">
        <w:t>related SAEs of</w:t>
      </w:r>
      <w:r w:rsidR="002F2661">
        <w:t xml:space="preserve"> any grade were seen in 11.6% versus 13.4% respectively. </w:t>
      </w:r>
      <w:r w:rsidRPr="00F97701">
        <w:t xml:space="preserve">Discontinuations due to study drug toxicity were more common for </w:t>
      </w:r>
      <w:proofErr w:type="spellStart"/>
      <w:r w:rsidRPr="00F97701">
        <w:t>everolimus</w:t>
      </w:r>
      <w:proofErr w:type="spellEnd"/>
      <w:r w:rsidRPr="00F97701">
        <w:t xml:space="preserve"> (</w:t>
      </w:r>
      <w:r w:rsidR="00804713">
        <w:t>see Attachment 2</w:t>
      </w:r>
      <w:r w:rsidR="002F2661">
        <w:t xml:space="preserve">). </w:t>
      </w:r>
      <w:r w:rsidRPr="00F97701">
        <w:t xml:space="preserve">The spectrum of </w:t>
      </w:r>
      <w:proofErr w:type="spellStart"/>
      <w:r w:rsidRPr="00F97701">
        <w:t>nivolumab</w:t>
      </w:r>
      <w:proofErr w:type="spellEnd"/>
      <w:r w:rsidRPr="00F97701">
        <w:t xml:space="preserve"> AEs was similar to that observ</w:t>
      </w:r>
      <w:r w:rsidR="00804713">
        <w:t xml:space="preserve">ed in other </w:t>
      </w:r>
      <w:proofErr w:type="spellStart"/>
      <w:r w:rsidR="00804713">
        <w:t>nivolumab</w:t>
      </w:r>
      <w:proofErr w:type="spellEnd"/>
      <w:r w:rsidR="00804713">
        <w:t xml:space="preserve"> studies. </w:t>
      </w:r>
      <w:r w:rsidRPr="00F97701">
        <w:t>It is poss</w:t>
      </w:r>
      <w:r w:rsidR="00804713">
        <w:t xml:space="preserve">ible that pneumonitis was under </w:t>
      </w:r>
      <w:r w:rsidRPr="00F97701">
        <w:t>reported.</w:t>
      </w:r>
    </w:p>
    <w:p w14:paraId="1A807C41" w14:textId="272FB0FF" w:rsidR="00F97701" w:rsidRPr="00F97701" w:rsidRDefault="00F97701" w:rsidP="00F97701">
      <w:r w:rsidRPr="00F97701">
        <w:t xml:space="preserve">There was a suggestion that quality of life was better in patients on </w:t>
      </w:r>
      <w:proofErr w:type="spellStart"/>
      <w:r w:rsidRPr="00F97701">
        <w:t>nivolumab</w:t>
      </w:r>
      <w:proofErr w:type="spellEnd"/>
      <w:r w:rsidRPr="00F97701">
        <w:t xml:space="preserve"> than in patients on </w:t>
      </w:r>
      <w:proofErr w:type="spellStart"/>
      <w:r w:rsidRPr="00F97701">
        <w:t>everolimus</w:t>
      </w:r>
      <w:proofErr w:type="spellEnd"/>
      <w:r w:rsidRPr="00F97701">
        <w:t xml:space="preserve"> (</w:t>
      </w:r>
      <w:r w:rsidR="00804713">
        <w:t>see Attachment 2</w:t>
      </w:r>
      <w:r w:rsidRPr="00F97701">
        <w:t>).</w:t>
      </w:r>
    </w:p>
    <w:p w14:paraId="4E2B87BA" w14:textId="77777777" w:rsidR="002C580A" w:rsidRDefault="00F97701" w:rsidP="002C580A">
      <w:pPr>
        <w:pStyle w:val="Heading5"/>
      </w:pPr>
      <w:r w:rsidRPr="00F97701">
        <w:t xml:space="preserve">Studies CA209003, </w:t>
      </w:r>
      <w:r w:rsidR="002C580A">
        <w:t>CA209</w:t>
      </w:r>
      <w:r w:rsidRPr="00F97701">
        <w:t xml:space="preserve">010 and </w:t>
      </w:r>
      <w:r w:rsidR="002C580A">
        <w:t>CA209</w:t>
      </w:r>
      <w:r w:rsidRPr="00F97701">
        <w:t>009</w:t>
      </w:r>
    </w:p>
    <w:p w14:paraId="7702DAA9" w14:textId="2D8C66AE" w:rsidR="00F97701" w:rsidRPr="00F97701" w:rsidRDefault="002C580A" w:rsidP="00F97701">
      <w:r>
        <w:t xml:space="preserve">These </w:t>
      </w:r>
      <w:r w:rsidR="00F97701" w:rsidRPr="00F97701">
        <w:t xml:space="preserve">provided data about </w:t>
      </w:r>
      <w:proofErr w:type="spellStart"/>
      <w:r w:rsidR="00F97701" w:rsidRPr="00F97701">
        <w:t>nivolumab</w:t>
      </w:r>
      <w:proofErr w:type="spellEnd"/>
      <w:r w:rsidR="00F97701" w:rsidRPr="00F97701">
        <w:t xml:space="preserve"> monotherapy in advanced RCC but not u</w:t>
      </w:r>
      <w:r w:rsidR="00804713">
        <w:t xml:space="preserve">sing the proposed dose regimen. </w:t>
      </w:r>
      <w:r w:rsidR="00F97701" w:rsidRPr="00F97701">
        <w:t xml:space="preserve">For Study </w:t>
      </w:r>
      <w:r>
        <w:t>CA209</w:t>
      </w:r>
      <w:r w:rsidR="00F97701" w:rsidRPr="00F97701">
        <w:t>010, there wer</w:t>
      </w:r>
      <w:r>
        <w:t xml:space="preserve">e only 54 to </w:t>
      </w:r>
      <w:r w:rsidR="00F97701" w:rsidRPr="00F97701">
        <w:t>59 subjects per arm, but there was a suggestion t</w:t>
      </w:r>
      <w:r>
        <w:t xml:space="preserve">hat the low dose (0.3 mg/kg </w:t>
      </w:r>
      <w:r w:rsidR="004073E3">
        <w:t>every 3 weeks</w:t>
      </w:r>
      <w:r w:rsidR="00F97701" w:rsidRPr="00F97701">
        <w:t>) was not</w:t>
      </w:r>
      <w:r w:rsidR="00804713">
        <w:t xml:space="preserve"> as efficacious as 2 </w:t>
      </w:r>
      <w:r>
        <w:t xml:space="preserve">to 10 mg/kg </w:t>
      </w:r>
      <w:r w:rsidR="004073E3">
        <w:t>every 3 weeks</w:t>
      </w:r>
      <w:r w:rsidR="00F97701" w:rsidRPr="00F97701">
        <w:t xml:space="preserve">. For Study </w:t>
      </w:r>
      <w:r>
        <w:t xml:space="preserve">CA209003, 1 and 10 mg/kg </w:t>
      </w:r>
      <w:r w:rsidR="004073E3">
        <w:t>every 2 weeks</w:t>
      </w:r>
      <w:r w:rsidR="00F97701" w:rsidRPr="00F97701">
        <w:t xml:space="preserve"> dosing produced similar ORRs.</w:t>
      </w:r>
      <w:r>
        <w:t xml:space="preserve"> </w:t>
      </w:r>
      <w:r w:rsidR="00F97701" w:rsidRPr="00F97701">
        <w:t xml:space="preserve">For Study </w:t>
      </w:r>
      <w:r>
        <w:t>CA209</w:t>
      </w:r>
      <w:r w:rsidR="00F97701" w:rsidRPr="00F97701">
        <w:t>009, results were fairly consistent with lower ef</w:t>
      </w:r>
      <w:r>
        <w:t xml:space="preserve">ficacy at 0.3 mg/kg </w:t>
      </w:r>
      <w:r w:rsidR="004073E3">
        <w:t>every 3 weeks</w:t>
      </w:r>
      <w:r w:rsidR="00F97701" w:rsidRPr="00F97701">
        <w:t xml:space="preserve"> dosing (see </w:t>
      </w:r>
      <w:r w:rsidR="00804713">
        <w:t>Attachment 2</w:t>
      </w:r>
      <w:r w:rsidR="00F97701" w:rsidRPr="00F97701">
        <w:t>).</w:t>
      </w:r>
    </w:p>
    <w:p w14:paraId="438B7B68" w14:textId="001D7A76" w:rsidR="00F97701" w:rsidRPr="00257688" w:rsidRDefault="00F97701" w:rsidP="00F97701">
      <w:r w:rsidRPr="00F97701">
        <w:t>There was evidence of a hi</w:t>
      </w:r>
      <w:r w:rsidR="002C580A">
        <w:t>gher rate of hypersensitivity/</w:t>
      </w:r>
      <w:r w:rsidRPr="00F97701">
        <w:t>infusion reac</w:t>
      </w:r>
      <w:r w:rsidR="002C580A">
        <w:t>tions for the 10 mg/kg arms of S</w:t>
      </w:r>
      <w:r w:rsidRPr="00F97701">
        <w:t xml:space="preserve">tudies </w:t>
      </w:r>
      <w:r w:rsidR="00257688">
        <w:t>CA209</w:t>
      </w:r>
      <w:r w:rsidRPr="00F97701">
        <w:t xml:space="preserve">010 and </w:t>
      </w:r>
      <w:r w:rsidR="00257688">
        <w:t>CA209</w:t>
      </w:r>
      <w:r w:rsidRPr="00F97701">
        <w:t>009.</w:t>
      </w:r>
    </w:p>
    <w:p w14:paraId="590A21EA" w14:textId="452D6FC8" w:rsidR="00F97701" w:rsidRDefault="00F97701" w:rsidP="00F97701">
      <w:r w:rsidRPr="00F97701">
        <w:t xml:space="preserve">Population PK </w:t>
      </w:r>
      <w:r w:rsidR="00804713">
        <w:t>is</w:t>
      </w:r>
      <w:r w:rsidR="00257688">
        <w:t xml:space="preserve"> described in </w:t>
      </w:r>
      <w:r w:rsidR="00804713">
        <w:t>Attachment 2.</w:t>
      </w:r>
    </w:p>
    <w:p w14:paraId="74C405BE" w14:textId="77777777" w:rsidR="00257688" w:rsidRDefault="00257688" w:rsidP="00257688">
      <w:pPr>
        <w:pStyle w:val="Heading3"/>
      </w:pPr>
      <w:bookmarkStart w:id="118" w:name="_Toc489277886"/>
      <w:r>
        <w:t>Risk management plan</w:t>
      </w:r>
      <w:bookmarkEnd w:id="118"/>
    </w:p>
    <w:p w14:paraId="1F1D2DE8" w14:textId="0D62F588" w:rsidR="00257688" w:rsidRPr="00257688" w:rsidRDefault="00257688" w:rsidP="00257688">
      <w:r w:rsidRPr="00257688">
        <w:t>The RMP evaluator considered EU-RMP version 6; date 25 May 2016; D</w:t>
      </w:r>
      <w:r w:rsidR="00804713">
        <w:t>ata lock point 18 </w:t>
      </w:r>
      <w:r w:rsidRPr="00257688">
        <w:t>December 2015; and ASA</w:t>
      </w:r>
      <w:r w:rsidR="00804713">
        <w:t xml:space="preserve"> version 5; </w:t>
      </w:r>
      <w:r w:rsidRPr="00257688">
        <w:t>4 July 2016.</w:t>
      </w:r>
    </w:p>
    <w:p w14:paraId="3D76D5B4" w14:textId="77777777" w:rsidR="00257688" w:rsidRPr="00257688" w:rsidRDefault="00257688" w:rsidP="00257688">
      <w:r w:rsidRPr="00257688">
        <w:t>The second round RMP evaluation includes major recommendations as follows:</w:t>
      </w:r>
    </w:p>
    <w:p w14:paraId="12F12B9E" w14:textId="034CAAAC" w:rsidR="00257688" w:rsidRPr="00257688" w:rsidRDefault="00257688" w:rsidP="00C87A53">
      <w:pPr>
        <w:pStyle w:val="ListBullet"/>
      </w:pPr>
      <w:bookmarkStart w:id="119" w:name="_Ref458594578"/>
      <w:r>
        <w:lastRenderedPageBreak/>
        <w:t>The s</w:t>
      </w:r>
      <w:r w:rsidRPr="00257688">
        <w:t xml:space="preserve">ponsor should update the Summary of Safety Concerns as shown in </w:t>
      </w:r>
      <w:r w:rsidR="00804713">
        <w:t xml:space="preserve">the table [not included here] </w:t>
      </w:r>
      <w:r w:rsidRPr="00257688">
        <w:t xml:space="preserve">of the </w:t>
      </w:r>
      <w:r w:rsidR="00777403">
        <w:t xml:space="preserve">second round </w:t>
      </w:r>
      <w:r w:rsidRPr="00257688">
        <w:t xml:space="preserve">RMP </w:t>
      </w:r>
      <w:r w:rsidR="00777403">
        <w:t>evaluation r</w:t>
      </w:r>
      <w:r w:rsidR="00804713">
        <w:t xml:space="preserve">eport, to include immune </w:t>
      </w:r>
      <w:r w:rsidRPr="00257688">
        <w:t xml:space="preserve">related neurological adverse events and a more complete </w:t>
      </w:r>
      <w:r w:rsidR="00804713">
        <w:t xml:space="preserve">description of the other </w:t>
      </w:r>
      <w:proofErr w:type="spellStart"/>
      <w:r w:rsidR="00D8296A">
        <w:t>irAEs</w:t>
      </w:r>
      <w:proofErr w:type="spellEnd"/>
      <w:r w:rsidRPr="00257688">
        <w:t xml:space="preserve"> known to be associated with </w:t>
      </w:r>
      <w:proofErr w:type="spellStart"/>
      <w:r w:rsidRPr="00257688">
        <w:t>nivolumab</w:t>
      </w:r>
      <w:proofErr w:type="spellEnd"/>
      <w:r w:rsidRPr="00257688">
        <w:t xml:space="preserve"> treatment.</w:t>
      </w:r>
      <w:bookmarkEnd w:id="119"/>
      <w:r w:rsidRPr="00257688">
        <w:t xml:space="preserve"> These changes should also be captured in the ASA.</w:t>
      </w:r>
    </w:p>
    <w:p w14:paraId="4922FBFA" w14:textId="33DE8ECE" w:rsidR="00257688" w:rsidRPr="00257688" w:rsidRDefault="00257688" w:rsidP="00CE3357">
      <w:pPr>
        <w:pStyle w:val="ListBullet"/>
      </w:pPr>
      <w:bookmarkStart w:id="120" w:name="_Ref458594583"/>
      <w:r w:rsidRPr="00257688">
        <w:t xml:space="preserve">The sponsor should revise the </w:t>
      </w:r>
      <w:r w:rsidR="00CE3357" w:rsidRPr="00CE3357">
        <w:t>Health care professional</w:t>
      </w:r>
      <w:r w:rsidR="00CE3357">
        <w:t xml:space="preserve"> </w:t>
      </w:r>
      <w:r w:rsidRPr="00257688">
        <w:t>communication tool to include the RCC indication, and update the information included based on the revised Summary of Safety Concerns. Once revised, the materials should be submitted to the TGA for evaluation, and appended to a revised version of the ASA.</w:t>
      </w:r>
      <w:bookmarkEnd w:id="120"/>
    </w:p>
    <w:p w14:paraId="5E298CC5" w14:textId="5E6796E6" w:rsidR="00257688" w:rsidRPr="00257688" w:rsidRDefault="00257688" w:rsidP="00C87A53">
      <w:pPr>
        <w:pStyle w:val="ListBullet"/>
      </w:pPr>
      <w:r w:rsidRPr="00257688">
        <w:t>The sponsor should revise the Patient Alert Card to include the RCC indication, and update the information included based on the revised Summary of Safety Concerns. In addition, d</w:t>
      </w:r>
      <w:r w:rsidR="00804713">
        <w:t>uring the revision process the s</w:t>
      </w:r>
      <w:r w:rsidRPr="00257688">
        <w:t xml:space="preserve">ponsor should give consideration to the </w:t>
      </w:r>
      <w:r w:rsidR="00CE3357">
        <w:t>c</w:t>
      </w:r>
      <w:r w:rsidRPr="00257688">
        <w:t xml:space="preserve">linical </w:t>
      </w:r>
      <w:r w:rsidR="00CE3357">
        <w:t>e</w:t>
      </w:r>
      <w:r w:rsidRPr="00257688">
        <w:t>valuator’s comments regarding the format of the P</w:t>
      </w:r>
      <w:r w:rsidR="00804713">
        <w:t xml:space="preserve">atient </w:t>
      </w:r>
      <w:r w:rsidRPr="00257688">
        <w:t>A</w:t>
      </w:r>
      <w:r w:rsidR="00804713">
        <w:t xml:space="preserve">lert </w:t>
      </w:r>
      <w:r w:rsidRPr="00257688">
        <w:t>C</w:t>
      </w:r>
      <w:r w:rsidR="00804713">
        <w:t>ard</w:t>
      </w:r>
      <w:r w:rsidRPr="00257688">
        <w:t>. Once revised, the materials should be submitted to the TGA for evaluation, and appended to a revised version of the ASA.</w:t>
      </w:r>
    </w:p>
    <w:p w14:paraId="7B0A516E" w14:textId="65A7346C" w:rsidR="00257688" w:rsidRPr="00257688" w:rsidRDefault="00804713" w:rsidP="00C87A53">
      <w:pPr>
        <w:pStyle w:val="ListBullet"/>
      </w:pPr>
      <w:bookmarkStart w:id="121" w:name="_Ref458594599"/>
      <w:r>
        <w:t>The s</w:t>
      </w:r>
      <w:r w:rsidR="00257688" w:rsidRPr="00257688">
        <w:t>ponsor should include the planned submission dates for Study CA209401 in the ASA.</w:t>
      </w:r>
      <w:bookmarkEnd w:id="121"/>
      <w:r w:rsidR="00257688">
        <w:t xml:space="preserve"> (</w:t>
      </w:r>
      <w:r w:rsidR="00257688" w:rsidRPr="00257688">
        <w:t xml:space="preserve">This study is described in the RMP </w:t>
      </w:r>
      <w:r w:rsidR="00CE3357">
        <w:t>e</w:t>
      </w:r>
      <w:r w:rsidR="00CE3357" w:rsidRPr="00257688">
        <w:t xml:space="preserve">valuation </w:t>
      </w:r>
      <w:r w:rsidR="00CE3357">
        <w:t>r</w:t>
      </w:r>
      <w:r w:rsidR="00CE3357" w:rsidRPr="00257688">
        <w:t xml:space="preserve">eport </w:t>
      </w:r>
      <w:r w:rsidR="00257688" w:rsidRPr="00257688">
        <w:t xml:space="preserve">as a trial of </w:t>
      </w:r>
      <w:proofErr w:type="spellStart"/>
      <w:r w:rsidR="00257688" w:rsidRPr="00257688">
        <w:t>nivolumab</w:t>
      </w:r>
      <w:proofErr w:type="spellEnd"/>
      <w:r w:rsidR="00257688" w:rsidRPr="00257688">
        <w:t xml:space="preserve"> </w:t>
      </w:r>
      <w:r w:rsidR="00257688">
        <w:t>plus</w:t>
      </w:r>
      <w:r w:rsidR="00257688" w:rsidRPr="00257688">
        <w:t xml:space="preserve"> </w:t>
      </w:r>
      <w:proofErr w:type="spellStart"/>
      <w:r w:rsidR="00257688" w:rsidRPr="00257688">
        <w:t>ipilimumab</w:t>
      </w:r>
      <w:proofErr w:type="spellEnd"/>
      <w:r w:rsidR="00257688" w:rsidRPr="00257688">
        <w:t xml:space="preserve"> followed by </w:t>
      </w:r>
      <w:proofErr w:type="spellStart"/>
      <w:r w:rsidR="00257688" w:rsidRPr="00257688">
        <w:t>nivolumab</w:t>
      </w:r>
      <w:proofErr w:type="spellEnd"/>
      <w:r w:rsidR="00257688" w:rsidRPr="00257688">
        <w:t xml:space="preserve"> in 1L </w:t>
      </w:r>
      <w:r w:rsidR="00257688">
        <w:t>S</w:t>
      </w:r>
      <w:r w:rsidR="00257688" w:rsidRPr="00257688">
        <w:t>tage III (</w:t>
      </w:r>
      <w:proofErr w:type="spellStart"/>
      <w:r w:rsidR="00257688" w:rsidRPr="00257688">
        <w:t>unresectable</w:t>
      </w:r>
      <w:proofErr w:type="spellEnd"/>
      <w:r w:rsidR="00257688" w:rsidRPr="00257688">
        <w:t>) or</w:t>
      </w:r>
      <w:r w:rsidR="00257688">
        <w:t xml:space="preserve"> S</w:t>
      </w:r>
      <w:r w:rsidR="00257688" w:rsidRPr="00257688">
        <w:t>tage IV melanoma</w:t>
      </w:r>
      <w:r w:rsidR="00257688">
        <w:t>).</w:t>
      </w:r>
    </w:p>
    <w:p w14:paraId="55E2F06E" w14:textId="5371F126" w:rsidR="00257688" w:rsidRPr="00257688" w:rsidRDefault="00257688" w:rsidP="00C87A53">
      <w:pPr>
        <w:pStyle w:val="ListBullet"/>
      </w:pPr>
      <w:bookmarkStart w:id="122" w:name="_Ref458594603"/>
      <w:r w:rsidRPr="00257688">
        <w:t>The E</w:t>
      </w:r>
      <w:r w:rsidR="0083688E">
        <w:t>U-RMP states there are two paediatric investigation plan</w:t>
      </w:r>
      <w:r w:rsidR="004073E3">
        <w:t>s</w:t>
      </w:r>
      <w:r w:rsidR="0083688E">
        <w:t xml:space="preserve"> (PIP)</w:t>
      </w:r>
      <w:r w:rsidRPr="00257688">
        <w:t>. The ASA only refers to one PIP. The sponsor should amend the ASA to include reference to both PIPs, and append a copy of the second PIP to the ASA.</w:t>
      </w:r>
      <w:bookmarkEnd w:id="122"/>
    </w:p>
    <w:p w14:paraId="3F6D5B96" w14:textId="152DAF51" w:rsidR="00C87A53" w:rsidRDefault="00257688" w:rsidP="00257688">
      <w:r w:rsidRPr="00257688">
        <w:t xml:space="preserve">The </w:t>
      </w:r>
      <w:r w:rsidR="004073E3">
        <w:t>CER</w:t>
      </w:r>
      <w:r w:rsidRPr="00257688">
        <w:t xml:space="preserve"> included detailed consideration of risk mitigation, with many suggestions applying acr</w:t>
      </w:r>
      <w:r w:rsidR="00804713">
        <w:t xml:space="preserve">oss all uses of </w:t>
      </w:r>
      <w:proofErr w:type="spellStart"/>
      <w:r w:rsidR="00804713">
        <w:t>nivolumab</w:t>
      </w:r>
      <w:proofErr w:type="spellEnd"/>
      <w:r w:rsidR="00804713">
        <w:t xml:space="preserve"> (that is, not just RCC). The clinical evaluator writes in the </w:t>
      </w:r>
      <w:r w:rsidR="004073E3">
        <w:t>CER</w:t>
      </w:r>
      <w:r w:rsidR="00C87A53">
        <w:t>:</w:t>
      </w:r>
    </w:p>
    <w:p w14:paraId="5C25C03E" w14:textId="299DEB0A" w:rsidR="00257688" w:rsidRPr="00C87A53" w:rsidRDefault="00C87A53" w:rsidP="00257688">
      <w:pPr>
        <w:rPr>
          <w:i/>
        </w:rPr>
      </w:pPr>
      <w:r w:rsidRPr="00C87A53">
        <w:rPr>
          <w:i/>
        </w:rPr>
        <w:t>‘</w:t>
      </w:r>
      <w:r w:rsidR="00257688" w:rsidRPr="00C87A53">
        <w:rPr>
          <w:i/>
        </w:rPr>
        <w:t>The s</w:t>
      </w:r>
      <w:r w:rsidRPr="00C87A53">
        <w:rPr>
          <w:i/>
        </w:rPr>
        <w:t>ponsor has provided the EU RMP v</w:t>
      </w:r>
      <w:r w:rsidR="00257688" w:rsidRPr="00C87A53">
        <w:rPr>
          <w:i/>
        </w:rPr>
        <w:t xml:space="preserve">ersion 6.0 (Dated 25 May 2016) and the </w:t>
      </w:r>
      <w:r w:rsidR="00EE2D11" w:rsidRPr="00C87A53">
        <w:rPr>
          <w:i/>
        </w:rPr>
        <w:t>ASA</w:t>
      </w:r>
      <w:r w:rsidRPr="00C87A53">
        <w:rPr>
          <w:i/>
        </w:rPr>
        <w:t xml:space="preserve"> v</w:t>
      </w:r>
      <w:r w:rsidR="00257688" w:rsidRPr="00C87A53">
        <w:rPr>
          <w:i/>
        </w:rPr>
        <w:t>ersion 5 (Dated</w:t>
      </w:r>
      <w:r w:rsidR="00E114F7" w:rsidRPr="00C87A53">
        <w:rPr>
          <w:i/>
        </w:rPr>
        <w:t xml:space="preserve"> 30 June 2016) for the Round 2 e</w:t>
      </w:r>
      <w:r w:rsidR="00257688" w:rsidRPr="00C87A53">
        <w:rPr>
          <w:i/>
        </w:rPr>
        <w:t>v</w:t>
      </w:r>
      <w:r w:rsidRPr="00C87A53">
        <w:rPr>
          <w:i/>
        </w:rPr>
        <w:t xml:space="preserve">aluation. The </w:t>
      </w:r>
      <w:proofErr w:type="spellStart"/>
      <w:r w:rsidRPr="00C87A53">
        <w:rPr>
          <w:i/>
        </w:rPr>
        <w:t>Nivolumab</w:t>
      </w:r>
      <w:proofErr w:type="spellEnd"/>
      <w:r w:rsidRPr="00C87A53">
        <w:rPr>
          <w:i/>
        </w:rPr>
        <w:t xml:space="preserve"> EU-RMP v</w:t>
      </w:r>
      <w:r w:rsidR="00E114F7" w:rsidRPr="00C87A53">
        <w:rPr>
          <w:i/>
        </w:rPr>
        <w:t xml:space="preserve">ersion 6/ASA Version </w:t>
      </w:r>
      <w:r w:rsidR="00257688" w:rsidRPr="00C87A53">
        <w:rPr>
          <w:i/>
        </w:rPr>
        <w:t>5 include the indications for classical Hodgkin’s lymphoma (</w:t>
      </w:r>
      <w:proofErr w:type="spellStart"/>
      <w:r w:rsidR="00257688" w:rsidRPr="00C87A53">
        <w:rPr>
          <w:i/>
        </w:rPr>
        <w:t>cHL</w:t>
      </w:r>
      <w:proofErr w:type="spellEnd"/>
      <w:r w:rsidR="00257688" w:rsidRPr="00C87A53">
        <w:rPr>
          <w:i/>
        </w:rPr>
        <w:t xml:space="preserve">) and squamous cell carcinoma of the head and neck (SCCHN). This results from an agreement between the TGA and </w:t>
      </w:r>
      <w:r w:rsidRPr="00C87A53">
        <w:rPr>
          <w:i/>
        </w:rPr>
        <w:t>the sponsor</w:t>
      </w:r>
      <w:r w:rsidR="00257688" w:rsidRPr="00C87A53">
        <w:rPr>
          <w:i/>
        </w:rPr>
        <w:t xml:space="preserve"> t</w:t>
      </w:r>
      <w:r w:rsidR="00E114F7" w:rsidRPr="00C87A53">
        <w:rPr>
          <w:i/>
        </w:rPr>
        <w:t xml:space="preserve">hat the most up to </w:t>
      </w:r>
      <w:r w:rsidR="00257688" w:rsidRPr="00C87A53">
        <w:rPr>
          <w:i/>
        </w:rPr>
        <w:t xml:space="preserve">date version of the </w:t>
      </w:r>
      <w:proofErr w:type="spellStart"/>
      <w:r w:rsidR="00257688" w:rsidRPr="00C87A53">
        <w:rPr>
          <w:i/>
        </w:rPr>
        <w:t>Nivolumab</w:t>
      </w:r>
      <w:proofErr w:type="spellEnd"/>
      <w:r w:rsidR="00257688" w:rsidRPr="00C87A53">
        <w:rPr>
          <w:i/>
        </w:rPr>
        <w:t xml:space="preserve"> EU-RMP/ASA (including all indications) will be submitted to the TGA whenever an RMP is required by the TGA. As the TGA cannot generally approve an RMP containing indications that are still under evaluation, </w:t>
      </w:r>
      <w:r w:rsidR="00E114F7" w:rsidRPr="00C87A53">
        <w:rPr>
          <w:i/>
        </w:rPr>
        <w:t>‘</w:t>
      </w:r>
      <w:r w:rsidR="004073E3">
        <w:rPr>
          <w:i/>
        </w:rPr>
        <w:t>[the sponsor]</w:t>
      </w:r>
      <w:r w:rsidR="00E114F7" w:rsidRPr="00C87A53">
        <w:rPr>
          <w:i/>
        </w:rPr>
        <w:t xml:space="preserve"> requests that the </w:t>
      </w:r>
      <w:proofErr w:type="spellStart"/>
      <w:r w:rsidR="00E114F7" w:rsidRPr="00C87A53">
        <w:rPr>
          <w:i/>
        </w:rPr>
        <w:t>cHL</w:t>
      </w:r>
      <w:proofErr w:type="spellEnd"/>
      <w:r w:rsidR="00E114F7" w:rsidRPr="00C87A53">
        <w:rPr>
          <w:i/>
        </w:rPr>
        <w:t xml:space="preserve"> and SCCHN </w:t>
      </w:r>
      <w:r w:rsidR="00257688" w:rsidRPr="00C87A53">
        <w:rPr>
          <w:i/>
        </w:rPr>
        <w:t xml:space="preserve">specific information in </w:t>
      </w:r>
      <w:r w:rsidR="00E114F7" w:rsidRPr="00C87A53">
        <w:rPr>
          <w:i/>
        </w:rPr>
        <w:t xml:space="preserve">[the] ASA [Version] </w:t>
      </w:r>
      <w:r w:rsidR="00257688" w:rsidRPr="00C87A53">
        <w:rPr>
          <w:i/>
        </w:rPr>
        <w:t xml:space="preserve">5 is disregarded when considering </w:t>
      </w:r>
      <w:r w:rsidR="00E114F7" w:rsidRPr="00C87A53">
        <w:rPr>
          <w:i/>
        </w:rPr>
        <w:t>the current application for RCC’.</w:t>
      </w:r>
    </w:p>
    <w:p w14:paraId="2F4CFD3D" w14:textId="42C65865" w:rsidR="00257688" w:rsidRPr="00257688" w:rsidRDefault="00257688" w:rsidP="00257688">
      <w:r w:rsidRPr="00257688">
        <w:t>The clinical evaluator made recommendations to the TGA regarding the RMP safety specification</w:t>
      </w:r>
      <w:r w:rsidR="00192D92">
        <w:t>.</w:t>
      </w:r>
      <w:r w:rsidRPr="00257688">
        <w:t xml:space="preserve"> </w:t>
      </w:r>
      <w:r w:rsidR="00192D92">
        <w:t>The broad issues are: SIRS/MODS/</w:t>
      </w:r>
      <w:r w:rsidRPr="00257688">
        <w:t>MOF; cardiac arrhythmias given the risk of myocarditis; distinguishing n</w:t>
      </w:r>
      <w:r w:rsidR="00C87A53">
        <w:t>eurological from</w:t>
      </w:r>
      <w:r w:rsidR="004073E3">
        <w:t xml:space="preserve"> </w:t>
      </w:r>
      <w:proofErr w:type="spellStart"/>
      <w:r w:rsidR="00D8296A">
        <w:t>irAE</w:t>
      </w:r>
      <w:r w:rsidR="004073E3">
        <w:t>s</w:t>
      </w:r>
      <w:proofErr w:type="spellEnd"/>
      <w:r w:rsidR="004073E3">
        <w:t xml:space="preserve">; and updating ‘other’ </w:t>
      </w:r>
      <w:proofErr w:type="spellStart"/>
      <w:r w:rsidR="00D8296A">
        <w:t>irAE</w:t>
      </w:r>
      <w:r w:rsidR="00A71B7F">
        <w:t>s</w:t>
      </w:r>
      <w:proofErr w:type="spellEnd"/>
      <w:r w:rsidR="00A71B7F">
        <w:t xml:space="preserve">. </w:t>
      </w:r>
      <w:r w:rsidRPr="00257688">
        <w:t>These issues are expanded upon below.</w:t>
      </w:r>
    </w:p>
    <w:p w14:paraId="379BEA86" w14:textId="48276781" w:rsidR="00257688" w:rsidRPr="00257688" w:rsidRDefault="00A71B7F" w:rsidP="00257688">
      <w:r>
        <w:t>The clinical e</w:t>
      </w:r>
      <w:r w:rsidR="00257688" w:rsidRPr="00257688">
        <w:t>valuator emphasised the importance of the HCP tool (</w:t>
      </w:r>
      <w:r>
        <w:t xml:space="preserve">that is, </w:t>
      </w:r>
      <w:r w:rsidR="00257688" w:rsidRPr="00257688">
        <w:t xml:space="preserve">educational materials directed at clinicians), the patient communication tool (including patient alert card) and </w:t>
      </w:r>
      <w:r w:rsidR="00C87A53">
        <w:t xml:space="preserve">the PI/CMI in risk mitigation. </w:t>
      </w:r>
      <w:r w:rsidR="00257688" w:rsidRPr="00257688">
        <w:t xml:space="preserve">Proposed changes related to: adding clinical detail to the HCP tool; adding directions to the PI in the HCP and patient communication tools; displaying the boxed warning on the </w:t>
      </w:r>
      <w:r w:rsidR="00CE3357" w:rsidRPr="00CE3357">
        <w:t>Health care professional</w:t>
      </w:r>
      <w:r w:rsidR="00CE3357">
        <w:t xml:space="preserve"> </w:t>
      </w:r>
      <w:r w:rsidR="00257688" w:rsidRPr="00257688">
        <w:t xml:space="preserve">tool; modifying the format of the patient alert card; revising distribution of the </w:t>
      </w:r>
      <w:r w:rsidR="00CE3357" w:rsidRPr="00CE3357">
        <w:t>Health care professional</w:t>
      </w:r>
      <w:r w:rsidR="00CE3357">
        <w:t xml:space="preserve"> </w:t>
      </w:r>
      <w:r w:rsidR="00257688" w:rsidRPr="00257688">
        <w:t xml:space="preserve">tool; and </w:t>
      </w:r>
      <w:r w:rsidR="00C87A53">
        <w:t>revising distribution of the PI.</w:t>
      </w:r>
    </w:p>
    <w:p w14:paraId="7380D697" w14:textId="11A28CE1" w:rsidR="00257688" w:rsidRPr="00257688" w:rsidRDefault="00C87A53" w:rsidP="00665BDF">
      <w:pPr>
        <w:pStyle w:val="Heading4"/>
      </w:pPr>
      <w:r>
        <w:t>Recommended condition</w:t>
      </w:r>
      <w:r w:rsidR="00257688" w:rsidRPr="00257688">
        <w:t>s of registration</w:t>
      </w:r>
    </w:p>
    <w:p w14:paraId="38B37822" w14:textId="33E82D33" w:rsidR="00257688" w:rsidRDefault="00257688" w:rsidP="00257688">
      <w:pPr>
        <w:rPr>
          <w:i/>
        </w:rPr>
      </w:pPr>
      <w:r w:rsidRPr="00257688">
        <w:t xml:space="preserve">The </w:t>
      </w:r>
      <w:r w:rsidR="00CE3357">
        <w:t>second r</w:t>
      </w:r>
      <w:r w:rsidRPr="00257688">
        <w:t xml:space="preserve">ound RMP </w:t>
      </w:r>
      <w:r w:rsidR="00CE3357">
        <w:t>e</w:t>
      </w:r>
      <w:r w:rsidRPr="00257688">
        <w:t>valuation noted:</w:t>
      </w:r>
      <w:r w:rsidR="00665BDF">
        <w:t xml:space="preserve"> </w:t>
      </w:r>
      <w:r w:rsidR="00665BDF" w:rsidRPr="00665BDF">
        <w:rPr>
          <w:i/>
        </w:rPr>
        <w:t>‘</w:t>
      </w:r>
      <w:r w:rsidRPr="00665BDF">
        <w:rPr>
          <w:i/>
        </w:rPr>
        <w:t xml:space="preserve">At this time, suggested wording for the conditions of registration cannot be provided due to the recommended amendments to the Summary of </w:t>
      </w:r>
      <w:r w:rsidRPr="00665BDF">
        <w:rPr>
          <w:i/>
        </w:rPr>
        <w:lastRenderedPageBreak/>
        <w:t>Safety Concerns and other outstanding issues described above including changes to the HCP commun</w:t>
      </w:r>
      <w:r w:rsidR="00C87A53">
        <w:rPr>
          <w:i/>
        </w:rPr>
        <w:t>ication tool and Patient Alert C</w:t>
      </w:r>
      <w:r w:rsidRPr="00665BDF">
        <w:rPr>
          <w:i/>
        </w:rPr>
        <w:t>ard.</w:t>
      </w:r>
      <w:r w:rsidR="00665BDF" w:rsidRPr="00665BDF">
        <w:rPr>
          <w:i/>
        </w:rPr>
        <w:t>’</w:t>
      </w:r>
    </w:p>
    <w:p w14:paraId="601D097C" w14:textId="1FD1B710" w:rsidR="006458C4" w:rsidRDefault="006458C4" w:rsidP="006458C4">
      <w:pPr>
        <w:pStyle w:val="Heading3"/>
      </w:pPr>
      <w:bookmarkStart w:id="123" w:name="_Toc489277887"/>
      <w:r>
        <w:t>P</w:t>
      </w:r>
      <w:r w:rsidR="006F65DC">
        <w:t>SUR (January 2016 to July 2016)</w:t>
      </w:r>
      <w:bookmarkEnd w:id="123"/>
    </w:p>
    <w:p w14:paraId="5CA05748" w14:textId="5DE75421" w:rsidR="006F65DC" w:rsidRPr="006F65DC" w:rsidRDefault="006F65DC" w:rsidP="006F65DC">
      <w:r w:rsidRPr="006F65DC">
        <w:t xml:space="preserve">This PSUR was received by the TGA on 24 August 2016, </w:t>
      </w:r>
      <w:r>
        <w:t xml:space="preserve">thus is </w:t>
      </w:r>
      <w:r w:rsidRPr="006F65DC">
        <w:t xml:space="preserve">not incorporated into </w:t>
      </w:r>
      <w:r>
        <w:t xml:space="preserve">any of the evaluation reports. </w:t>
      </w:r>
      <w:r w:rsidRPr="006F65DC">
        <w:t>A brief review indicates:</w:t>
      </w:r>
    </w:p>
    <w:p w14:paraId="0E414944" w14:textId="3D135954" w:rsidR="006F65DC" w:rsidRPr="004F0CD6" w:rsidRDefault="006F65DC" w:rsidP="006F65DC">
      <w:pPr>
        <w:pStyle w:val="ListBullet"/>
      </w:pPr>
      <w:r>
        <w:t xml:space="preserve">In total, approximately </w:t>
      </w:r>
      <w:r w:rsidRPr="004F0CD6">
        <w:t xml:space="preserve">31,479 subjects have been exposed to </w:t>
      </w:r>
      <w:proofErr w:type="spellStart"/>
      <w:r w:rsidRPr="004F0CD6">
        <w:t>nivolumab</w:t>
      </w:r>
      <w:proofErr w:type="spellEnd"/>
      <w:r w:rsidRPr="004F0CD6">
        <w:t xml:space="preserve"> in </w:t>
      </w:r>
      <w:r>
        <w:t>sponsored</w:t>
      </w:r>
      <w:r w:rsidRPr="004F0CD6">
        <w:t xml:space="preserve"> clinical trials and through the </w:t>
      </w:r>
      <w:r>
        <w:t>Early Access Program</w:t>
      </w:r>
      <w:r w:rsidR="0083688E">
        <w:t>/c</w:t>
      </w:r>
      <w:r w:rsidRPr="004F0CD6">
        <w:t>om</w:t>
      </w:r>
      <w:r>
        <w:t xml:space="preserve">passionate use programs from 28 </w:t>
      </w:r>
      <w:r w:rsidRPr="004F0CD6">
        <w:t>Jul</w:t>
      </w:r>
      <w:r>
        <w:t xml:space="preserve">y </w:t>
      </w:r>
      <w:r w:rsidRPr="004F0CD6">
        <w:t>2006 through</w:t>
      </w:r>
      <w:r>
        <w:t xml:space="preserve"> to 3 </w:t>
      </w:r>
      <w:r w:rsidRPr="004F0CD6">
        <w:t>Jul</w:t>
      </w:r>
      <w:r>
        <w:t xml:space="preserve">y </w:t>
      </w:r>
      <w:r w:rsidRPr="004F0CD6">
        <w:t>2016.</w:t>
      </w:r>
    </w:p>
    <w:p w14:paraId="79A45C96" w14:textId="602FBBB0" w:rsidR="006F65DC" w:rsidRPr="004F0CD6" w:rsidRDefault="006F65DC" w:rsidP="006F65DC">
      <w:pPr>
        <w:pStyle w:val="ListBullet"/>
      </w:pPr>
      <w:r w:rsidRPr="004F0CD6">
        <w:t xml:space="preserve">Cumulative exposure to </w:t>
      </w:r>
      <w:proofErr w:type="spellStart"/>
      <w:r w:rsidRPr="004F0CD6">
        <w:t>nivolumab</w:t>
      </w:r>
      <w:proofErr w:type="spellEnd"/>
      <w:r w:rsidRPr="004F0CD6">
        <w:t xml:space="preserve"> in a post-marketing setting is &gt;</w:t>
      </w:r>
      <w:r>
        <w:t xml:space="preserve"> 150,000 person </w:t>
      </w:r>
      <w:r w:rsidRPr="004F0CD6">
        <w:t>years, across at least melanoma and NSCLC uses.</w:t>
      </w:r>
    </w:p>
    <w:p w14:paraId="3180F11C" w14:textId="77777777" w:rsidR="006F65DC" w:rsidRPr="004F0CD6" w:rsidRDefault="006F65DC" w:rsidP="006F65DC">
      <w:r w:rsidRPr="004F0CD6">
        <w:t>The following text is extracted from the sponsor document’s Executive Summary:</w:t>
      </w:r>
    </w:p>
    <w:p w14:paraId="3AAE9A83" w14:textId="237AFA39" w:rsidR="006F65DC" w:rsidRPr="004F0CD6" w:rsidRDefault="006F65DC" w:rsidP="006F65DC">
      <w:pPr>
        <w:pStyle w:val="ListBullet"/>
      </w:pPr>
      <w:r w:rsidRPr="004F0CD6">
        <w:t xml:space="preserve">During the reporting period, </w:t>
      </w:r>
      <w:r>
        <w:t>the sponsor</w:t>
      </w:r>
      <w:r w:rsidR="00353238">
        <w:t xml:space="preserve"> and </w:t>
      </w:r>
      <w:r w:rsidR="0083688E">
        <w:t xml:space="preserve">ONO pharmaceuticals </w:t>
      </w:r>
      <w:r w:rsidRPr="004F0CD6">
        <w:t xml:space="preserve">issued two </w:t>
      </w:r>
      <w:r w:rsidR="0083688E">
        <w:t>Dear Healthcare Professional (</w:t>
      </w:r>
      <w:r w:rsidRPr="004F0CD6">
        <w:t>DHCP</w:t>
      </w:r>
      <w:r w:rsidR="0083688E">
        <w:t>) letters in Australia:</w:t>
      </w:r>
    </w:p>
    <w:p w14:paraId="576A572D" w14:textId="7EB6343A" w:rsidR="006F65DC" w:rsidRPr="004F0CD6" w:rsidRDefault="006F65DC" w:rsidP="006F65DC">
      <w:pPr>
        <w:pStyle w:val="ListBullet2"/>
      </w:pPr>
      <w:r w:rsidRPr="004F0CD6">
        <w:t xml:space="preserve">The first </w:t>
      </w:r>
      <w:r w:rsidR="00E5284A">
        <w:t>Dear Healthcare Professional (</w:t>
      </w:r>
      <w:r w:rsidRPr="004F0CD6">
        <w:t>DHCP</w:t>
      </w:r>
      <w:r w:rsidR="00E5284A">
        <w:t>)</w:t>
      </w:r>
      <w:r w:rsidRPr="004F0CD6">
        <w:t xml:space="preserve"> letter notified the HCPs that the approved indication for </w:t>
      </w:r>
      <w:proofErr w:type="spellStart"/>
      <w:r w:rsidRPr="004F0CD6">
        <w:t>O</w:t>
      </w:r>
      <w:r w:rsidR="00E12152">
        <w:t>pd</w:t>
      </w:r>
      <w:r w:rsidR="00AD712A">
        <w:t>ivo</w:t>
      </w:r>
      <w:proofErr w:type="spellEnd"/>
      <w:r w:rsidRPr="004F0CD6">
        <w:t xml:space="preserve"> in l</w:t>
      </w:r>
      <w:r>
        <w:t xml:space="preserve">ocally advanced or metastatic squamous </w:t>
      </w:r>
      <w:r w:rsidRPr="004F0CD6">
        <w:t xml:space="preserve">and </w:t>
      </w:r>
      <w:r>
        <w:t>non-squamous</w:t>
      </w:r>
      <w:r w:rsidRPr="004F0CD6">
        <w:t xml:space="preserve"> NSCLC does not include combination with TKIs. SAEs including deaths (1 case of pneumonitis and 1 case of TEN), had been reported in a </w:t>
      </w:r>
      <w:r w:rsidR="00353238">
        <w:t xml:space="preserve">Novartis </w:t>
      </w:r>
      <w:r w:rsidRPr="004F0CD6">
        <w:t>sponsored</w:t>
      </w:r>
      <w:r w:rsidR="00AD712A">
        <w:t>, P</w:t>
      </w:r>
      <w:r w:rsidR="00353238">
        <w:t>hase II, non-randomis</w:t>
      </w:r>
      <w:r w:rsidRPr="004F0CD6">
        <w:t xml:space="preserve">ed trial of </w:t>
      </w:r>
      <w:proofErr w:type="spellStart"/>
      <w:r w:rsidRPr="004F0CD6">
        <w:t>nivolumab</w:t>
      </w:r>
      <w:proofErr w:type="spellEnd"/>
      <w:r w:rsidRPr="004F0CD6">
        <w:t xml:space="preserve"> in combina</w:t>
      </w:r>
      <w:r w:rsidR="00E5284A">
        <w:t>tion with an investigational third</w:t>
      </w:r>
      <w:r w:rsidRPr="004F0CD6">
        <w:t xml:space="preserve"> generation TKI.</w:t>
      </w:r>
    </w:p>
    <w:p w14:paraId="259F2D0B" w14:textId="32D37ED4" w:rsidR="006F65DC" w:rsidRPr="004F0CD6" w:rsidRDefault="006F65DC" w:rsidP="006F65DC">
      <w:pPr>
        <w:pStyle w:val="ListBullet2"/>
      </w:pPr>
      <w:r w:rsidRPr="004F0CD6">
        <w:t>The second DHCP letter notified HCPs of isolated cases of SAEs in the Nort</w:t>
      </w:r>
      <w:r w:rsidR="00353238">
        <w:t xml:space="preserve">hern Hemisphere (including life </w:t>
      </w:r>
      <w:r w:rsidRPr="004F0CD6">
        <w:t xml:space="preserve">threatening or fatal myocarditis, myositis and rhabdomyolysis), in patients administered </w:t>
      </w:r>
      <w:proofErr w:type="spellStart"/>
      <w:r w:rsidRPr="004F0CD6">
        <w:t>nivolumab</w:t>
      </w:r>
      <w:proofErr w:type="spellEnd"/>
      <w:r w:rsidRPr="004F0CD6">
        <w:t xml:space="preserve"> plus </w:t>
      </w:r>
      <w:proofErr w:type="spellStart"/>
      <w:r w:rsidRPr="004F0CD6">
        <w:t>ipilimumab</w:t>
      </w:r>
      <w:proofErr w:type="spellEnd"/>
      <w:r w:rsidRPr="004F0CD6">
        <w:t xml:space="preserve"> combination regimen and who had also received an influenza vaccine. The individual benefit-risk decision as to whether to treat a patient with </w:t>
      </w:r>
      <w:proofErr w:type="spellStart"/>
      <w:r w:rsidRPr="004F0CD6">
        <w:t>nivolumab</w:t>
      </w:r>
      <w:proofErr w:type="spellEnd"/>
      <w:r w:rsidRPr="004F0CD6">
        <w:t xml:space="preserve"> plus </w:t>
      </w:r>
      <w:proofErr w:type="spellStart"/>
      <w:r w:rsidRPr="004F0CD6">
        <w:t>ipilimumab</w:t>
      </w:r>
      <w:proofErr w:type="spellEnd"/>
      <w:r w:rsidRPr="004F0CD6">
        <w:t xml:space="preserve"> combination regimen post-influenza vaccination or to advise against influenza vaccination of an already treated patient should be made on a case-by-case basis in consultation with the treating medical oncologist. </w:t>
      </w:r>
      <w:r w:rsidR="00353238">
        <w:t>The sponsor</w:t>
      </w:r>
      <w:r w:rsidRPr="004F0CD6">
        <w:t xml:space="preserve"> prepared a template letter for the HCP and their patient to provide to their general practitioner or allied HCP so that they are informed of the benefits and risks of therapy and are vigilant of reporting any adverse reactions.</w:t>
      </w:r>
    </w:p>
    <w:p w14:paraId="668FD4B6" w14:textId="480FEED7" w:rsidR="006F65DC" w:rsidRPr="004F0CD6" w:rsidRDefault="003257FC" w:rsidP="00353238">
      <w:pPr>
        <w:pStyle w:val="ListBullet2"/>
      </w:pPr>
      <w:r>
        <w:t>The sponsor</w:t>
      </w:r>
      <w:r w:rsidR="006F65DC" w:rsidRPr="004F0CD6">
        <w:t xml:space="preserve"> </w:t>
      </w:r>
      <w:r>
        <w:t xml:space="preserve">and </w:t>
      </w:r>
      <w:r w:rsidR="0083688E">
        <w:t xml:space="preserve">ONO Pharmaceuticals </w:t>
      </w:r>
      <w:r w:rsidR="006F65DC" w:rsidRPr="004F0CD6">
        <w:t>issued an Alert for Proper Use of Drug to HCPs in Japan to raise awa</w:t>
      </w:r>
      <w:r w:rsidR="003A4205">
        <w:t xml:space="preserve">reness of the incidence of type </w:t>
      </w:r>
      <w:r w:rsidR="006F65DC" w:rsidRPr="004F0CD6">
        <w:t xml:space="preserve">1 diabetes mellitus, including early detection and treatment </w:t>
      </w:r>
      <w:r w:rsidR="003A4205">
        <w:t>of fulminant t</w:t>
      </w:r>
      <w:r w:rsidR="00C7422F">
        <w:t xml:space="preserve">ype </w:t>
      </w:r>
      <w:r w:rsidR="006F65DC" w:rsidRPr="004F0CD6">
        <w:t xml:space="preserve">1 diabetes mellitus, attributable to </w:t>
      </w:r>
      <w:proofErr w:type="spellStart"/>
      <w:r w:rsidR="006F65DC" w:rsidRPr="004F0CD6">
        <w:t>O</w:t>
      </w:r>
      <w:r w:rsidR="003A4205">
        <w:t>pdivo</w:t>
      </w:r>
      <w:proofErr w:type="spellEnd"/>
      <w:r w:rsidR="006F65DC" w:rsidRPr="004F0CD6">
        <w:t xml:space="preserve"> intravenous infusion, 20 mg and 100 mg.</w:t>
      </w:r>
    </w:p>
    <w:p w14:paraId="36E04287" w14:textId="5E9F6B36" w:rsidR="006F65DC" w:rsidRPr="004F0CD6" w:rsidRDefault="006F65DC" w:rsidP="003A4205">
      <w:pPr>
        <w:pStyle w:val="ListBullet"/>
      </w:pPr>
      <w:r w:rsidRPr="004F0CD6">
        <w:t xml:space="preserve">The </w:t>
      </w:r>
      <w:r w:rsidR="00C7422F">
        <w:t>Company Core Data S</w:t>
      </w:r>
      <w:r w:rsidR="002F2823">
        <w:t>heet</w:t>
      </w:r>
      <w:r w:rsidRPr="004F0CD6">
        <w:t xml:space="preserve"> was revised to include a new safety concern of rare, observed cases of </w:t>
      </w:r>
      <w:r w:rsidR="00E5284A">
        <w:t>Stevens-Johnson syndrome (</w:t>
      </w:r>
      <w:r w:rsidRPr="004F0CD6">
        <w:t>SJS</w:t>
      </w:r>
      <w:r w:rsidR="00E5284A">
        <w:t>)</w:t>
      </w:r>
      <w:r w:rsidRPr="004F0CD6">
        <w:t xml:space="preserve"> and TEN, some with fatal outcome, and described the recommended management guidance for these events. The impor</w:t>
      </w:r>
      <w:r w:rsidR="00C7422F">
        <w:t xml:space="preserve">tant identified risk of ‘immune </w:t>
      </w:r>
      <w:r w:rsidRPr="004F0CD6">
        <w:t>relat</w:t>
      </w:r>
      <w:r w:rsidR="00C7422F">
        <w:t xml:space="preserve">ed rash’ was renamed as ‘immune </w:t>
      </w:r>
      <w:r w:rsidRPr="004F0CD6">
        <w:t>related skin ARs’. Myocarditis, myositis, and rhabdomyolysis were also ad</w:t>
      </w:r>
      <w:r w:rsidR="00C7422F">
        <w:t xml:space="preserve">ded as ADRs under ‘other immune </w:t>
      </w:r>
      <w:r w:rsidRPr="004F0CD6">
        <w:t xml:space="preserve">related ARs’ given the biological plausibility of the </w:t>
      </w:r>
      <w:proofErr w:type="spellStart"/>
      <w:r w:rsidRPr="004F0CD6">
        <w:t>nivolumab</w:t>
      </w:r>
      <w:proofErr w:type="spellEnd"/>
      <w:r w:rsidRPr="004F0CD6">
        <w:t xml:space="preserve"> mechanism of action to cause or contribute to autoimmunity and the potential inflammatory nature of myocarditis, myositis, and rhabdomyolysis.</w:t>
      </w:r>
    </w:p>
    <w:p w14:paraId="54650AE9" w14:textId="77777777" w:rsidR="006F65DC" w:rsidRPr="00C7422F" w:rsidRDefault="006F65DC" w:rsidP="00C7422F">
      <w:r w:rsidRPr="00C7422F">
        <w:t>Of peripheral interest:</w:t>
      </w:r>
    </w:p>
    <w:p w14:paraId="6BA2CC2A" w14:textId="7F1DBE73" w:rsidR="006458C4" w:rsidRPr="006458C4" w:rsidRDefault="006F65DC" w:rsidP="006458C4">
      <w:pPr>
        <w:pStyle w:val="ListBullet"/>
      </w:pPr>
      <w:r w:rsidRPr="004F0CD6">
        <w:t xml:space="preserve">To facilitate simultaneous co-administration of </w:t>
      </w:r>
      <w:proofErr w:type="spellStart"/>
      <w:r w:rsidRPr="004F0CD6">
        <w:t>nivolumab</w:t>
      </w:r>
      <w:proofErr w:type="spellEnd"/>
      <w:r w:rsidRPr="004F0CD6">
        <w:t xml:space="preserve"> and </w:t>
      </w:r>
      <w:proofErr w:type="spellStart"/>
      <w:r w:rsidRPr="004F0CD6">
        <w:t>ipilimumab</w:t>
      </w:r>
      <w:proofErr w:type="spellEnd"/>
      <w:r w:rsidRPr="004F0CD6">
        <w:t xml:space="preserve">, </w:t>
      </w:r>
      <w:r w:rsidR="00C7422F">
        <w:t>the sponsor</w:t>
      </w:r>
      <w:r w:rsidR="00511C2A">
        <w:t xml:space="preserve"> has developed a fixed ratio c</w:t>
      </w:r>
      <w:r w:rsidRPr="004F0CD6">
        <w:t>ombinat</w:t>
      </w:r>
      <w:r w:rsidR="00C7422F">
        <w:t xml:space="preserve">ion drug product at a </w:t>
      </w:r>
      <w:proofErr w:type="spellStart"/>
      <w:r w:rsidR="00C7422F">
        <w:t>nivolumab</w:t>
      </w:r>
      <w:proofErr w:type="spellEnd"/>
      <w:r w:rsidR="00C7422F">
        <w:t>/</w:t>
      </w:r>
      <w:proofErr w:type="spellStart"/>
      <w:r w:rsidRPr="004F0CD6">
        <w:t>ipilimumab</w:t>
      </w:r>
      <w:proofErr w:type="spellEnd"/>
      <w:r w:rsidRPr="004F0CD6">
        <w:t xml:space="preserve"> protein-mass ratio of 1 to 3 in the same </w:t>
      </w:r>
      <w:r w:rsidR="00C7422F">
        <w:t xml:space="preserve">vial for the treatment of first </w:t>
      </w:r>
      <w:r w:rsidRPr="004F0CD6">
        <w:t>line melanoma.</w:t>
      </w:r>
    </w:p>
    <w:p w14:paraId="406A42BD" w14:textId="77777777" w:rsidR="00AE5322" w:rsidRDefault="00AE5322" w:rsidP="00AE5322">
      <w:pPr>
        <w:pStyle w:val="Heading3"/>
      </w:pPr>
      <w:bookmarkStart w:id="124" w:name="_Toc247691531"/>
      <w:bookmarkStart w:id="125" w:name="_Toc314842515"/>
      <w:bookmarkStart w:id="126" w:name="_Toc489277888"/>
      <w:r>
        <w:lastRenderedPageBreak/>
        <w:t>Risk-benefit analysis</w:t>
      </w:r>
      <w:bookmarkEnd w:id="124"/>
      <w:bookmarkEnd w:id="125"/>
      <w:bookmarkEnd w:id="126"/>
    </w:p>
    <w:p w14:paraId="478F22E7" w14:textId="0B49ABF7" w:rsidR="00AE5322" w:rsidRDefault="00AE5322" w:rsidP="00AE5322">
      <w:pPr>
        <w:pStyle w:val="Heading4"/>
      </w:pPr>
      <w:r w:rsidRPr="00D23139">
        <w:t>Delegate’s consi</w:t>
      </w:r>
      <w:r>
        <w:t>derations</w:t>
      </w:r>
    </w:p>
    <w:p w14:paraId="31256F48" w14:textId="77777777" w:rsidR="00AE5322" w:rsidRPr="00C06787" w:rsidRDefault="00AE5322" w:rsidP="00AE5322">
      <w:pPr>
        <w:pStyle w:val="Heading5"/>
      </w:pPr>
      <w:r w:rsidRPr="00C06787">
        <w:t>Background</w:t>
      </w:r>
    </w:p>
    <w:p w14:paraId="042AF3A1" w14:textId="1BC8130D" w:rsidR="00AE5322" w:rsidRPr="00C06787" w:rsidRDefault="00AE5322" w:rsidP="00AE5322">
      <w:proofErr w:type="spellStart"/>
      <w:r w:rsidRPr="00C06787">
        <w:t>Nivolumab</w:t>
      </w:r>
      <w:proofErr w:type="spellEnd"/>
      <w:r w:rsidRPr="00C06787">
        <w:t xml:space="preserve"> is a </w:t>
      </w:r>
      <w:proofErr w:type="spellStart"/>
      <w:r w:rsidR="00177FA5">
        <w:t>mAb</w:t>
      </w:r>
      <w:proofErr w:type="spellEnd"/>
      <w:r w:rsidRPr="00C06787">
        <w:t xml:space="preserve"> targeting PD-1; it is one of several registered anti-PD-1 checkpoint inhibitors, the other being </w:t>
      </w:r>
      <w:proofErr w:type="spellStart"/>
      <w:r w:rsidRPr="00C06787">
        <w:t>pembrolizumab</w:t>
      </w:r>
      <w:proofErr w:type="spellEnd"/>
      <w:r w:rsidRPr="00C06787">
        <w:t>.</w:t>
      </w:r>
    </w:p>
    <w:p w14:paraId="7ED10C20" w14:textId="130B2203" w:rsidR="00AE5322" w:rsidRPr="00C06787" w:rsidRDefault="00AE5322" w:rsidP="00AE5322">
      <w:r w:rsidRPr="00C06787">
        <w:t>Manufacturing and quality control issues, and toxicology issues, were evaluated during the initia</w:t>
      </w:r>
      <w:r>
        <w:t xml:space="preserve">l application for registration of the first </w:t>
      </w:r>
      <w:proofErr w:type="spellStart"/>
      <w:r>
        <w:t>nivolumab</w:t>
      </w:r>
      <w:proofErr w:type="spellEnd"/>
      <w:r>
        <w:t xml:space="preserve"> NBE submission.</w:t>
      </w:r>
      <w:r w:rsidR="009A2450" w:rsidRPr="009A2450">
        <w:rPr>
          <w:vertAlign w:val="superscript"/>
        </w:rPr>
        <w:fldChar w:fldCharType="begin"/>
      </w:r>
      <w:r w:rsidR="009A2450" w:rsidRPr="009A2450">
        <w:rPr>
          <w:vertAlign w:val="superscript"/>
        </w:rPr>
        <w:instrText xml:space="preserve"> NOTEREF _Ref490662114 \h </w:instrText>
      </w:r>
      <w:r w:rsidR="009A2450">
        <w:rPr>
          <w:vertAlign w:val="superscript"/>
        </w:rPr>
        <w:instrText xml:space="preserve"> \* MERGEFORMAT </w:instrText>
      </w:r>
      <w:r w:rsidR="009A2450" w:rsidRPr="009A2450">
        <w:rPr>
          <w:vertAlign w:val="superscript"/>
        </w:rPr>
      </w:r>
      <w:r w:rsidR="009A2450" w:rsidRPr="009A2450">
        <w:rPr>
          <w:vertAlign w:val="superscript"/>
        </w:rPr>
        <w:fldChar w:fldCharType="separate"/>
      </w:r>
      <w:r w:rsidR="00AF569E">
        <w:rPr>
          <w:vertAlign w:val="superscript"/>
        </w:rPr>
        <w:t>6</w:t>
      </w:r>
      <w:r w:rsidR="009A2450" w:rsidRPr="009A2450">
        <w:rPr>
          <w:vertAlign w:val="superscript"/>
        </w:rPr>
        <w:fldChar w:fldCharType="end"/>
      </w:r>
    </w:p>
    <w:p w14:paraId="34CB2103" w14:textId="77777777" w:rsidR="00AE5322" w:rsidRPr="00C06787" w:rsidRDefault="00AE5322" w:rsidP="00AE5322">
      <w:pPr>
        <w:pStyle w:val="Heading5"/>
      </w:pPr>
      <w:r w:rsidRPr="00C06787">
        <w:t>Clinical</w:t>
      </w:r>
    </w:p>
    <w:p w14:paraId="6FBE2D74" w14:textId="73C6D5A1" w:rsidR="00AE5322" w:rsidRPr="00C06787" w:rsidRDefault="00C22286" w:rsidP="00AE5322">
      <w:pPr>
        <w:pStyle w:val="Comment"/>
      </w:pPr>
      <w:r>
        <w:t>T</w:t>
      </w:r>
      <w:r w:rsidR="00AE5322" w:rsidRPr="00C06787">
        <w:t xml:space="preserve">he focus </w:t>
      </w:r>
      <w:r>
        <w:t xml:space="preserve">here </w:t>
      </w:r>
      <w:r w:rsidR="00AE5322" w:rsidRPr="00C06787">
        <w:t>will be on addressing issues raised in th</w:t>
      </w:r>
      <w:r>
        <w:t>e CER</w:t>
      </w:r>
      <w:r w:rsidR="00AE5322" w:rsidRPr="00C06787">
        <w:t>.</w:t>
      </w:r>
    </w:p>
    <w:p w14:paraId="6DE2B246" w14:textId="68F71626" w:rsidR="00AE5322" w:rsidRPr="00C06787" w:rsidRDefault="00AE5322" w:rsidP="00AE5322">
      <w:r w:rsidRPr="00C06787">
        <w:t xml:space="preserve">The proposal to extend use to advanced RCC is broadly acceptable, but the clinical evaluator suggests a </w:t>
      </w:r>
      <w:r w:rsidRPr="00AE5322">
        <w:rPr>
          <w:i/>
        </w:rPr>
        <w:t>more restrictive indication</w:t>
      </w:r>
      <w:r w:rsidRPr="00C06787">
        <w:t xml:space="preserve"> than proposed by the sponsor, </w:t>
      </w:r>
      <w:r>
        <w:t xml:space="preserve">that is, </w:t>
      </w:r>
      <w:r w:rsidRPr="00C06787">
        <w:t>use only in clear cell RCC and use only after ≥</w:t>
      </w:r>
      <w:r>
        <w:t xml:space="preserve"> </w:t>
      </w:r>
      <w:r w:rsidRPr="00C06787">
        <w:t>1 anti-angiogenic systemic therapy.</w:t>
      </w:r>
    </w:p>
    <w:p w14:paraId="2CDE2071" w14:textId="6079C53E" w:rsidR="00AE5322" w:rsidRPr="00C06787" w:rsidRDefault="00AE5322" w:rsidP="00AE5322">
      <w:r w:rsidRPr="00C06787">
        <w:t>The evaluator also makes recommendations about approaches to risk mitigation, encompassing changes to the PI (</w:t>
      </w:r>
      <w:r>
        <w:t>for example,</w:t>
      </w:r>
      <w:r w:rsidRPr="00C06787">
        <w:t xml:space="preserve"> an expanded black-box warning that focuses more attention on risks of </w:t>
      </w:r>
      <w:proofErr w:type="spellStart"/>
      <w:r w:rsidRPr="00C06787">
        <w:t>nivolumab</w:t>
      </w:r>
      <w:proofErr w:type="spellEnd"/>
      <w:r w:rsidRPr="00C06787">
        <w:t xml:space="preserve"> monotherapy) and refinements to </w:t>
      </w:r>
      <w:r>
        <w:t>HCP</w:t>
      </w:r>
      <w:r w:rsidRPr="00C06787">
        <w:t xml:space="preserve"> educational </w:t>
      </w:r>
      <w:r>
        <w:t xml:space="preserve">tools and the Patient Alert Card. </w:t>
      </w:r>
      <w:r w:rsidRPr="00C06787">
        <w:t xml:space="preserve">The evaluator also recommended an Australian </w:t>
      </w:r>
      <w:proofErr w:type="spellStart"/>
      <w:r w:rsidRPr="00C06787">
        <w:t>nivolumab</w:t>
      </w:r>
      <w:proofErr w:type="spellEnd"/>
      <w:r w:rsidRPr="00C06787">
        <w:t xml:space="preserve"> registry that could provide information on the efficacy and safety of </w:t>
      </w:r>
      <w:proofErr w:type="spellStart"/>
      <w:r w:rsidRPr="00C06787">
        <w:t>nivolumab</w:t>
      </w:r>
      <w:proofErr w:type="spellEnd"/>
      <w:r w:rsidRPr="00C06787">
        <w:t xml:space="preserve"> outside of the clinical trial setting.</w:t>
      </w:r>
    </w:p>
    <w:p w14:paraId="608F5003" w14:textId="77777777" w:rsidR="00AE5322" w:rsidRPr="00C06787" w:rsidRDefault="00AE5322" w:rsidP="00AE5322">
      <w:pPr>
        <w:pStyle w:val="Heading5"/>
      </w:pPr>
      <w:r w:rsidRPr="00C06787">
        <w:t>Risk Management Plan (RMP)</w:t>
      </w:r>
    </w:p>
    <w:p w14:paraId="7F4B0618" w14:textId="7C35B157" w:rsidR="00B8723D" w:rsidRDefault="00AE5322" w:rsidP="00AE5322">
      <w:r w:rsidRPr="00C06787">
        <w:t>The RMP evaluator recommended adjustments to the Summary of Safety Concerns an</w:t>
      </w:r>
      <w:r>
        <w:t>d updating of the HCP tool and Patient Alert C</w:t>
      </w:r>
      <w:r w:rsidRPr="00C06787">
        <w:t>ard t</w:t>
      </w:r>
      <w:r>
        <w:t xml:space="preserve">o reflect use in advanced RCC. </w:t>
      </w:r>
      <w:r w:rsidRPr="00C06787">
        <w:t>There were no major issues arising out of the RMP evaluation report.</w:t>
      </w:r>
    </w:p>
    <w:p w14:paraId="1F2FABA5" w14:textId="4D300143" w:rsidR="0033050B" w:rsidRDefault="0033050B" w:rsidP="0033050B">
      <w:pPr>
        <w:pStyle w:val="Heading5"/>
      </w:pPr>
      <w:r>
        <w:t>Issues</w:t>
      </w:r>
    </w:p>
    <w:p w14:paraId="45AD36D7" w14:textId="77777777" w:rsidR="0033050B" w:rsidRPr="0033050B" w:rsidRDefault="0033050B" w:rsidP="0033050B">
      <w:pPr>
        <w:pStyle w:val="Heading6"/>
      </w:pPr>
      <w:r w:rsidRPr="0033050B">
        <w:t>Efficacy in renal cell carcinoma</w:t>
      </w:r>
    </w:p>
    <w:p w14:paraId="211DBC3C" w14:textId="0AD2942D" w:rsidR="0033050B" w:rsidRPr="0033050B" w:rsidRDefault="0033050B" w:rsidP="0033050B">
      <w:r w:rsidRPr="0033050B">
        <w:t xml:space="preserve">Efficacy was established in the patient population studied in Study </w:t>
      </w:r>
      <w:r>
        <w:t>CA209</w:t>
      </w:r>
      <w:r w:rsidRPr="0033050B">
        <w:t>025, using a relevant comparator (</w:t>
      </w:r>
      <w:proofErr w:type="spellStart"/>
      <w:r w:rsidRPr="0033050B">
        <w:t>everolimus</w:t>
      </w:r>
      <w:proofErr w:type="spellEnd"/>
      <w:r w:rsidRPr="0033050B">
        <w:t>).</w:t>
      </w:r>
      <w:r>
        <w:t xml:space="preserve"> </w:t>
      </w:r>
      <w:r w:rsidRPr="0033050B">
        <w:t>The clinical evaluator raised some concerns about endpoints reliant on investigator assessment of tumour response (</w:t>
      </w:r>
      <w:r>
        <w:t>see Attachment 2), as there was no central/</w:t>
      </w:r>
      <w:r w:rsidRPr="0033050B">
        <w:t xml:space="preserve">independent review of response.  The primary study </w:t>
      </w:r>
      <w:r>
        <w:t xml:space="preserve">endpoint was OS. </w:t>
      </w:r>
      <w:r w:rsidRPr="0033050B">
        <w:t xml:space="preserve">ORR might be subject to bias, but the improvement in ORR with </w:t>
      </w:r>
      <w:proofErr w:type="spellStart"/>
      <w:r w:rsidRPr="0033050B">
        <w:t>nivolumab</w:t>
      </w:r>
      <w:proofErr w:type="spellEnd"/>
      <w:r w:rsidRPr="0033050B">
        <w:t xml:space="preserve"> is consistent with the more incontrovertible gain in survival.</w:t>
      </w:r>
    </w:p>
    <w:p w14:paraId="0CCB1361" w14:textId="68B32456" w:rsidR="0033050B" w:rsidRPr="0033050B" w:rsidRDefault="0033050B" w:rsidP="0033050B">
      <w:r w:rsidRPr="0033050B">
        <w:t xml:space="preserve">There was no influence of PD-L1 IHC status on outcomes in Study </w:t>
      </w:r>
      <w:r>
        <w:t>CA209</w:t>
      </w:r>
      <w:r w:rsidRPr="0033050B">
        <w:t>025 (</w:t>
      </w:r>
      <w:r>
        <w:t>see Attachment 2</w:t>
      </w:r>
      <w:r w:rsidRPr="0033050B">
        <w:t>).</w:t>
      </w:r>
      <w:r>
        <w:t xml:space="preserve"> From the pivotal study, </w:t>
      </w:r>
      <w:r w:rsidRPr="0033050B">
        <w:t>only 24% of subjects had ≥1% PD-L1 positive cells, and only about 8% had ≥</w:t>
      </w:r>
      <w:r>
        <w:t xml:space="preserve"> </w:t>
      </w:r>
      <w:r w:rsidRPr="0033050B">
        <w:t>10% positivity.</w:t>
      </w:r>
      <w:r>
        <w:t xml:space="preserve"> </w:t>
      </w:r>
      <w:r w:rsidRPr="0033050B">
        <w:t xml:space="preserve">A comparison across </w:t>
      </w:r>
      <w:r>
        <w:t xml:space="preserve">the sponsor’s </w:t>
      </w:r>
      <w:r w:rsidRPr="0033050B">
        <w:t xml:space="preserve">studies of </w:t>
      </w:r>
      <w:proofErr w:type="spellStart"/>
      <w:r w:rsidRPr="0033050B">
        <w:t>Opdivo</w:t>
      </w:r>
      <w:proofErr w:type="spellEnd"/>
      <w:r w:rsidRPr="0033050B">
        <w:t xml:space="preserve"> across various cancer types is on </w:t>
      </w:r>
      <w:r>
        <w:t>available in Attachment 2</w:t>
      </w:r>
      <w:r w:rsidRPr="0033050B">
        <w:t>.</w:t>
      </w:r>
    </w:p>
    <w:p w14:paraId="26901C95" w14:textId="012FA3BA" w:rsidR="0033050B" w:rsidRPr="0033050B" w:rsidRDefault="0033050B" w:rsidP="0033050B">
      <w:r w:rsidRPr="0033050B">
        <w:t>Regarding further exploration of bio</w:t>
      </w:r>
      <w:r>
        <w:t>markers to improve the benefit/</w:t>
      </w:r>
      <w:r w:rsidRPr="0033050B">
        <w:t xml:space="preserve">risk balance of </w:t>
      </w:r>
      <w:proofErr w:type="spellStart"/>
      <w:r w:rsidRPr="0033050B">
        <w:t>nivolumab</w:t>
      </w:r>
      <w:proofErr w:type="spellEnd"/>
      <w:r w:rsidRPr="0033050B">
        <w:t xml:space="preserve"> (</w:t>
      </w:r>
      <w:r>
        <w:t>for example</w:t>
      </w:r>
      <w:r w:rsidRPr="0033050B">
        <w:t>, description of EMA requirements</w:t>
      </w:r>
      <w:r>
        <w:t xml:space="preserve"> in Attachment 2</w:t>
      </w:r>
      <w:r w:rsidRPr="0033050B">
        <w:t>), the TGA would be interested in updates from the sponsor about significant outcomes from this further exploration.</w:t>
      </w:r>
    </w:p>
    <w:p w14:paraId="01A549CA" w14:textId="77777777" w:rsidR="0033050B" w:rsidRPr="0033050B" w:rsidRDefault="0033050B" w:rsidP="0033050B">
      <w:pPr>
        <w:pStyle w:val="Heading6"/>
      </w:pPr>
      <w:r w:rsidRPr="0033050B">
        <w:t>Safety in renal cell carcinoma</w:t>
      </w:r>
    </w:p>
    <w:p w14:paraId="3D0C6CB3" w14:textId="73014F8A" w:rsidR="0033050B" w:rsidRPr="0033050B" w:rsidRDefault="0033050B" w:rsidP="0033050B">
      <w:r w:rsidRPr="0033050B">
        <w:t xml:space="preserve">Most issues regarding safety and risk mitigation raised by the clinical evaluator are not specific to use in patients with </w:t>
      </w:r>
      <w:r w:rsidR="00177FA5">
        <w:t>RCC</w:t>
      </w:r>
      <w:r w:rsidRPr="0033050B">
        <w:t xml:space="preserve"> but apply more broadly to all use of </w:t>
      </w:r>
      <w:proofErr w:type="spellStart"/>
      <w:r w:rsidRPr="0033050B">
        <w:t>nivolumab</w:t>
      </w:r>
      <w:proofErr w:type="spellEnd"/>
      <w:r w:rsidRPr="0033050B">
        <w:t>.</w:t>
      </w:r>
    </w:p>
    <w:p w14:paraId="20B2F036" w14:textId="77777777" w:rsidR="0033050B" w:rsidRPr="0033050B" w:rsidRDefault="0033050B" w:rsidP="0033050B">
      <w:pPr>
        <w:pStyle w:val="Heading6"/>
      </w:pPr>
      <w:r w:rsidRPr="0033050B">
        <w:t>Overall risk-benefit in renal cell carcinoma, and indication</w:t>
      </w:r>
    </w:p>
    <w:p w14:paraId="0BB61D1D" w14:textId="676602E0" w:rsidR="0033050B" w:rsidRPr="0033050B" w:rsidRDefault="00590835" w:rsidP="0033050B">
      <w:r>
        <w:t>In the clinical evaluation report (see Attachment 2), the clinical evaluator notes</w:t>
      </w:r>
      <w:r w:rsidR="0033050B" w:rsidRPr="0033050B">
        <w:t xml:space="preserve"> that:</w:t>
      </w:r>
    </w:p>
    <w:p w14:paraId="64879EAD" w14:textId="5B4EFEEE" w:rsidR="0033050B" w:rsidRPr="0033050B" w:rsidRDefault="0033050B" w:rsidP="00590835">
      <w:pPr>
        <w:pStyle w:val="Numberbullet0"/>
        <w:numPr>
          <w:ilvl w:val="0"/>
          <w:numId w:val="26"/>
        </w:numPr>
      </w:pPr>
      <w:r w:rsidRPr="0033050B">
        <w:lastRenderedPageBreak/>
        <w:t>The inclusion criteria of the pi</w:t>
      </w:r>
      <w:r w:rsidR="00590835">
        <w:t xml:space="preserve">votal efficacy study specified </w:t>
      </w:r>
      <w:r w:rsidR="00590835" w:rsidRPr="00590835">
        <w:rPr>
          <w:i/>
        </w:rPr>
        <w:t>‘</w:t>
      </w:r>
      <w:r w:rsidRPr="00590835">
        <w:rPr>
          <w:i/>
        </w:rPr>
        <w:t>renal-cell carcin</w:t>
      </w:r>
      <w:r w:rsidR="00590835" w:rsidRPr="00590835">
        <w:rPr>
          <w:i/>
        </w:rPr>
        <w:t>oma with a clear-cell component’</w:t>
      </w:r>
      <w:r w:rsidRPr="0033050B">
        <w:t>. It would be appropriate to limit the indication to this population.</w:t>
      </w:r>
    </w:p>
    <w:p w14:paraId="41DF3514" w14:textId="1FE1426E" w:rsidR="0033050B" w:rsidRPr="0033050B" w:rsidRDefault="00590835" w:rsidP="00590835">
      <w:pPr>
        <w:pStyle w:val="Numberbullet0"/>
        <w:numPr>
          <w:ilvl w:val="0"/>
          <w:numId w:val="26"/>
        </w:numPr>
      </w:pPr>
      <w:r>
        <w:t>The term ‘prior therapy’</w:t>
      </w:r>
      <w:r w:rsidR="0033050B" w:rsidRPr="0033050B">
        <w:t xml:space="preserve"> is very broad and may include surgery, ra</w:t>
      </w:r>
      <w:r>
        <w:t xml:space="preserve">diotherapy or other therapies. </w:t>
      </w:r>
      <w:r w:rsidR="0033050B" w:rsidRPr="0033050B">
        <w:t>The unmet need described by the spons</w:t>
      </w:r>
      <w:r>
        <w:t>or in the Clinical Overview is ‘</w:t>
      </w:r>
      <w:r w:rsidR="0033050B" w:rsidRPr="00590835">
        <w:rPr>
          <w:i/>
        </w:rPr>
        <w:t>advanced RCC after prior systemic therapy</w:t>
      </w:r>
      <w:r>
        <w:t>’</w:t>
      </w:r>
      <w:r w:rsidR="0033050B" w:rsidRPr="0033050B">
        <w:t>. A more specific indication may be appropriate, such as that</w:t>
      </w:r>
      <w:r>
        <w:t xml:space="preserve"> recently approved by the FDA: ‘</w:t>
      </w:r>
      <w:r w:rsidR="0033050B" w:rsidRPr="00590835">
        <w:rPr>
          <w:i/>
        </w:rPr>
        <w:t xml:space="preserve">patients with advanced RCC who had received prior </w:t>
      </w:r>
      <w:r w:rsidR="0033050B" w:rsidRPr="00590835">
        <w:rPr>
          <w:i/>
          <w:lang w:val="en"/>
        </w:rPr>
        <w:t>anti-angiogenic</w:t>
      </w:r>
      <w:r w:rsidR="0033050B" w:rsidRPr="00590835">
        <w:rPr>
          <w:i/>
        </w:rPr>
        <w:t xml:space="preserve"> therapy</w:t>
      </w:r>
      <w:r>
        <w:rPr>
          <w:i/>
        </w:rPr>
        <w:t>’</w:t>
      </w:r>
      <w:r w:rsidR="0033050B" w:rsidRPr="00590835">
        <w:rPr>
          <w:b/>
          <w:i/>
        </w:rPr>
        <w:t xml:space="preserve">. </w:t>
      </w:r>
      <w:r w:rsidR="0033050B" w:rsidRPr="0033050B">
        <w:t>The evaluator recommends the wording</w:t>
      </w:r>
      <w:r w:rsidR="0033050B" w:rsidRPr="00590835">
        <w:rPr>
          <w:i/>
        </w:rPr>
        <w:t xml:space="preserve">: </w:t>
      </w:r>
      <w:r w:rsidRPr="00590835">
        <w:rPr>
          <w:i/>
        </w:rPr>
        <w:t>‘</w:t>
      </w:r>
      <w:r w:rsidR="0033050B" w:rsidRPr="00590835">
        <w:rPr>
          <w:i/>
        </w:rPr>
        <w:t xml:space="preserve">patients with advanced RCC (clear cell) who had received prior </w:t>
      </w:r>
      <w:r w:rsidR="0033050B" w:rsidRPr="00590835">
        <w:rPr>
          <w:i/>
          <w:lang w:val="en"/>
        </w:rPr>
        <w:t>anti-angiogenic</w:t>
      </w:r>
      <w:r w:rsidRPr="00590835">
        <w:rPr>
          <w:i/>
        </w:rPr>
        <w:t xml:space="preserve"> therapy’</w:t>
      </w:r>
      <w:r w:rsidR="0033050B" w:rsidRPr="00590835">
        <w:t>.</w:t>
      </w:r>
    </w:p>
    <w:p w14:paraId="2B041F20" w14:textId="35EC9EFF" w:rsidR="0033050B" w:rsidRPr="0033050B" w:rsidRDefault="0033050B" w:rsidP="0033050B">
      <w:r w:rsidRPr="0033050B">
        <w:t>With regard to clear cell specif</w:t>
      </w:r>
      <w:r w:rsidR="00590835">
        <w:t>ication, it is relevant that 70 to 80% of RCC is clear cell.</w:t>
      </w:r>
    </w:p>
    <w:p w14:paraId="582AE6D0" w14:textId="77777777" w:rsidR="0033050B" w:rsidRPr="0033050B" w:rsidRDefault="0033050B" w:rsidP="0033050B">
      <w:r w:rsidRPr="0033050B">
        <w:t>The clinical evaluator recommends the following indication:</w:t>
      </w:r>
    </w:p>
    <w:p w14:paraId="00E5B1C0" w14:textId="14696DC5" w:rsidR="0033050B" w:rsidRPr="00590835" w:rsidRDefault="00590835" w:rsidP="00590835">
      <w:pPr>
        <w:ind w:left="720"/>
      </w:pPr>
      <w:r>
        <w:rPr>
          <w:i/>
        </w:rPr>
        <w:t>‘</w:t>
      </w:r>
      <w:r w:rsidR="0033050B" w:rsidRPr="00590835">
        <w:rPr>
          <w:i/>
        </w:rPr>
        <w:t xml:space="preserve">Adult patients with advanced RCC (clear cell) who had received prior </w:t>
      </w:r>
      <w:r w:rsidR="0033050B" w:rsidRPr="00590835">
        <w:rPr>
          <w:i/>
          <w:lang w:val="en"/>
        </w:rPr>
        <w:t>anti-angiogenic</w:t>
      </w:r>
      <w:r w:rsidR="0033050B" w:rsidRPr="00590835">
        <w:rPr>
          <w:i/>
        </w:rPr>
        <w:t xml:space="preserve"> therapy</w:t>
      </w:r>
      <w:r>
        <w:rPr>
          <w:i/>
        </w:rPr>
        <w:t>’</w:t>
      </w:r>
    </w:p>
    <w:p w14:paraId="06E0D3B7" w14:textId="321B3CD9" w:rsidR="0033050B" w:rsidRPr="0033050B" w:rsidRDefault="0033050B" w:rsidP="0033050B">
      <w:r w:rsidRPr="0033050B">
        <w:t>The evaluator makes t</w:t>
      </w:r>
      <w:r w:rsidR="00590835">
        <w:t>he following additional points:</w:t>
      </w:r>
    </w:p>
    <w:p w14:paraId="7A26D976" w14:textId="78EF74EF" w:rsidR="0033050B" w:rsidRPr="0033050B" w:rsidRDefault="0033050B" w:rsidP="00590835">
      <w:pPr>
        <w:pStyle w:val="ListBullet"/>
      </w:pPr>
      <w:r w:rsidRPr="0033050B">
        <w:t>The sponsor provided the ORR results of 9 patients with advanced RCC who were treated with 1</w:t>
      </w:r>
      <w:r w:rsidR="00B2335A">
        <w:t xml:space="preserve"> </w:t>
      </w:r>
      <w:r w:rsidRPr="0033050B">
        <w:t>mg/kg or 10</w:t>
      </w:r>
      <w:r w:rsidR="00B2335A">
        <w:t xml:space="preserve"> </w:t>
      </w:r>
      <w:r w:rsidRPr="0033050B">
        <w:t xml:space="preserve">mg/kg Q2W of </w:t>
      </w:r>
      <w:proofErr w:type="spellStart"/>
      <w:r w:rsidRPr="0033050B">
        <w:t>nivolumab</w:t>
      </w:r>
      <w:proofErr w:type="spellEnd"/>
      <w:r w:rsidRPr="0033050B">
        <w:t xml:space="preserve"> and who had not received prior anti-angiogenesis therapy to support the use in this population.</w:t>
      </w:r>
    </w:p>
    <w:p w14:paraId="3F71823C" w14:textId="77777777" w:rsidR="0033050B" w:rsidRPr="0033050B" w:rsidRDefault="0033050B" w:rsidP="00590835">
      <w:pPr>
        <w:pStyle w:val="ListBullet"/>
      </w:pPr>
      <w:r w:rsidRPr="0033050B">
        <w:t xml:space="preserve">No information was presented to support the use in patients with non-clear cell RCC although the sponsor speculated that due to the unique mechanism of action, </w:t>
      </w:r>
      <w:proofErr w:type="spellStart"/>
      <w:r w:rsidRPr="0033050B">
        <w:t>nivolumab</w:t>
      </w:r>
      <w:proofErr w:type="spellEnd"/>
      <w:r w:rsidRPr="0033050B">
        <w:t xml:space="preserve"> may be effective in this population. The sponsor also indicated that a study of </w:t>
      </w:r>
      <w:proofErr w:type="spellStart"/>
      <w:r w:rsidRPr="0033050B">
        <w:t>nivolumab</w:t>
      </w:r>
      <w:proofErr w:type="spellEnd"/>
      <w:r w:rsidRPr="0033050B">
        <w:t xml:space="preserve"> in patients with non-clear cell RCC in currently ongoing.</w:t>
      </w:r>
    </w:p>
    <w:p w14:paraId="009E0B7F" w14:textId="249EFDCC" w:rsidR="0033050B" w:rsidRPr="0033050B" w:rsidRDefault="00590835" w:rsidP="00590835">
      <w:pPr>
        <w:pStyle w:val="ListBullet"/>
      </w:pPr>
      <w:r>
        <w:t>‘</w:t>
      </w:r>
      <w:r w:rsidR="0033050B" w:rsidRPr="0033050B">
        <w:t>P</w:t>
      </w:r>
      <w:r>
        <w:t>rior therapy’</w:t>
      </w:r>
      <w:r w:rsidR="0033050B" w:rsidRPr="0033050B">
        <w:t xml:space="preserve"> may be interpreted as prior surgery, with </w:t>
      </w:r>
      <w:proofErr w:type="spellStart"/>
      <w:r w:rsidR="0033050B" w:rsidRPr="0033050B">
        <w:t>nivolumab</w:t>
      </w:r>
      <w:proofErr w:type="spellEnd"/>
      <w:r w:rsidR="0033050B" w:rsidRPr="0033050B">
        <w:t xml:space="preserve"> then used as first-line systemic therapy</w:t>
      </w:r>
      <w:r>
        <w:t>.</w:t>
      </w:r>
    </w:p>
    <w:p w14:paraId="6A8C19BA" w14:textId="2645D9EA" w:rsidR="0033050B" w:rsidRPr="0033050B" w:rsidRDefault="0033050B" w:rsidP="0033050B">
      <w:r w:rsidRPr="0033050B">
        <w:t xml:space="preserve">This is further discussed </w:t>
      </w:r>
      <w:r w:rsidR="00590835">
        <w:t>in Attachment 2.</w:t>
      </w:r>
    </w:p>
    <w:p w14:paraId="1BC3D801" w14:textId="1AF0D571" w:rsidR="0033050B" w:rsidRPr="0033050B" w:rsidRDefault="0033050B" w:rsidP="00590835">
      <w:pPr>
        <w:pStyle w:val="Heading6"/>
      </w:pPr>
      <w:r w:rsidRPr="0033050B">
        <w:t>Safety in all uses</w:t>
      </w:r>
      <w:r w:rsidR="00590835">
        <w:t>:</w:t>
      </w:r>
      <w:r w:rsidRPr="0033050B">
        <w:t xml:space="preserve"> risk mitigation</w:t>
      </w:r>
    </w:p>
    <w:p w14:paraId="62811451" w14:textId="7ACB5AC4" w:rsidR="0033050B" w:rsidRPr="00590835" w:rsidRDefault="00590835" w:rsidP="0033050B">
      <w:r>
        <w:t>The clinical e</w:t>
      </w:r>
      <w:r w:rsidR="0033050B" w:rsidRPr="0033050B">
        <w:t>valuator writes:</w:t>
      </w:r>
      <w:r>
        <w:t xml:space="preserve"> </w:t>
      </w:r>
      <w:r w:rsidRPr="00590835">
        <w:rPr>
          <w:i/>
        </w:rPr>
        <w:t>‘</w:t>
      </w:r>
      <w:r w:rsidR="0033050B" w:rsidRPr="00590835">
        <w:rPr>
          <w:i/>
        </w:rPr>
        <w:t>Delays in appropriate care, and worse outcome, may result from lack of awareness of the unique side effect profile of checkpoint inhibitors. The EMA has sought to address this lack of fa</w:t>
      </w:r>
      <w:r>
        <w:rPr>
          <w:i/>
        </w:rPr>
        <w:t>miliarity through the use of a Patient Alert C</w:t>
      </w:r>
      <w:r w:rsidR="0033050B" w:rsidRPr="00590835">
        <w:rPr>
          <w:i/>
        </w:rPr>
        <w:t>ard (including advice for both patient and medical practitioners providing emergency care) and physician education packages. The evaluator strongly recommends that the TGA also adopt this approach</w:t>
      </w:r>
      <w:r>
        <w:rPr>
          <w:i/>
        </w:rPr>
        <w:t>.’</w:t>
      </w:r>
    </w:p>
    <w:p w14:paraId="0CF5659C" w14:textId="472362FC" w:rsidR="0033050B" w:rsidRPr="0033050B" w:rsidRDefault="0033050B" w:rsidP="0033050B">
      <w:r w:rsidRPr="0033050B">
        <w:t xml:space="preserve">The clinical evaluator recommends addressing lack of familiarity with </w:t>
      </w:r>
      <w:proofErr w:type="spellStart"/>
      <w:r w:rsidR="00D8296A">
        <w:t>irAE</w:t>
      </w:r>
      <w:r w:rsidRPr="0033050B">
        <w:t>s</w:t>
      </w:r>
      <w:proofErr w:type="spellEnd"/>
      <w:r w:rsidRPr="0033050B">
        <w:t xml:space="preserve"> by:</w:t>
      </w:r>
    </w:p>
    <w:p w14:paraId="3D47C0A7" w14:textId="0D49E9B9" w:rsidR="0033050B" w:rsidRPr="0033050B" w:rsidRDefault="0033050B" w:rsidP="002268AA">
      <w:pPr>
        <w:pStyle w:val="Numberbullet0"/>
        <w:numPr>
          <w:ilvl w:val="0"/>
          <w:numId w:val="27"/>
        </w:numPr>
      </w:pPr>
      <w:r w:rsidRPr="0033050B">
        <w:t xml:space="preserve">Amending the </w:t>
      </w:r>
      <w:r w:rsidR="002268AA">
        <w:t>PI</w:t>
      </w:r>
      <w:r w:rsidRPr="0033050B">
        <w:t xml:space="preserve"> </w:t>
      </w:r>
      <w:r w:rsidRPr="002268AA">
        <w:t>boxed warning</w:t>
      </w:r>
      <w:r w:rsidR="002268AA">
        <w:t>.</w:t>
      </w:r>
    </w:p>
    <w:p w14:paraId="04B69C3D" w14:textId="596C07BA" w:rsidR="0033050B" w:rsidRPr="0033050B" w:rsidRDefault="0033050B" w:rsidP="002268AA">
      <w:pPr>
        <w:pStyle w:val="Numberbullet0"/>
        <w:numPr>
          <w:ilvl w:val="0"/>
          <w:numId w:val="27"/>
        </w:numPr>
      </w:pPr>
      <w:r w:rsidRPr="0033050B">
        <w:t xml:space="preserve">Ensuring </w:t>
      </w:r>
      <w:r w:rsidRPr="002268AA">
        <w:t>appropriate clinical detail</w:t>
      </w:r>
      <w:r w:rsidR="002268AA">
        <w:t xml:space="preserve"> is provided in the PI and/</w:t>
      </w:r>
      <w:r w:rsidRPr="0033050B">
        <w:t xml:space="preserve">or </w:t>
      </w:r>
      <w:r w:rsidR="002268AA">
        <w:t xml:space="preserve">HCP tool (‘immune </w:t>
      </w:r>
      <w:r w:rsidRPr="0033050B">
        <w:t>related ad</w:t>
      </w:r>
      <w:r w:rsidR="002268AA">
        <w:t>verse reaction management guide’.</w:t>
      </w:r>
    </w:p>
    <w:p w14:paraId="6C949445" w14:textId="6889229C" w:rsidR="0033050B" w:rsidRPr="0033050B" w:rsidRDefault="0033050B" w:rsidP="0033050B">
      <w:r w:rsidRPr="0033050B">
        <w:t xml:space="preserve">On this point, the </w:t>
      </w:r>
      <w:r w:rsidR="002268AA">
        <w:t>clinical e</w:t>
      </w:r>
      <w:r w:rsidRPr="0033050B">
        <w:t xml:space="preserve">valuator argues that the PI should include more detail about recognition and management of </w:t>
      </w:r>
      <w:proofErr w:type="spellStart"/>
      <w:r w:rsidRPr="0033050B">
        <w:t>irARs</w:t>
      </w:r>
      <w:proofErr w:type="spellEnd"/>
      <w:r w:rsidRPr="0033050B">
        <w:t xml:space="preserve">, or that at the </w:t>
      </w:r>
      <w:r w:rsidR="004F0CF6">
        <w:t xml:space="preserve">very </w:t>
      </w:r>
      <w:r w:rsidRPr="0033050B">
        <w:t>least more detail shou</w:t>
      </w:r>
      <w:r w:rsidR="002268AA">
        <w:t xml:space="preserve">ld be included in the HCP tool. </w:t>
      </w:r>
      <w:r w:rsidRPr="0033050B">
        <w:t>A related recommendation is to be more prescriptive a</w:t>
      </w:r>
      <w:r w:rsidR="002268AA">
        <w:t>bout laboratory monitoring.</w:t>
      </w:r>
    </w:p>
    <w:p w14:paraId="1B08F92E" w14:textId="23C6243B" w:rsidR="0033050B" w:rsidRPr="0033050B" w:rsidRDefault="002268AA" w:rsidP="0033050B">
      <w:r>
        <w:t>The clinical e</w:t>
      </w:r>
      <w:r w:rsidR="0033050B" w:rsidRPr="0033050B">
        <w:t xml:space="preserve">valuator also considers that </w:t>
      </w:r>
      <w:r w:rsidR="0033050B" w:rsidRPr="002268AA">
        <w:rPr>
          <w:i/>
        </w:rPr>
        <w:t xml:space="preserve">advice regarding use of non-corticosteroid immunosuppressive agents </w:t>
      </w:r>
      <w:r w:rsidR="0033050B" w:rsidRPr="0033050B">
        <w:t xml:space="preserve">to treat </w:t>
      </w:r>
      <w:proofErr w:type="spellStart"/>
      <w:r w:rsidR="00D8296A">
        <w:t>irAE</w:t>
      </w:r>
      <w:r>
        <w:t>s</w:t>
      </w:r>
      <w:proofErr w:type="spellEnd"/>
      <w:r>
        <w:t xml:space="preserve"> could be strengthened. </w:t>
      </w:r>
      <w:r w:rsidR="0033050B" w:rsidRPr="0033050B">
        <w:t xml:space="preserve">One possibility is to refer to specific agents in the </w:t>
      </w:r>
      <w:r>
        <w:t xml:space="preserve">HCP </w:t>
      </w:r>
      <w:proofErr w:type="spellStart"/>
      <w:r>
        <w:t>irAR</w:t>
      </w:r>
      <w:proofErr w:type="spellEnd"/>
      <w:r>
        <w:t xml:space="preserve"> management guide.</w:t>
      </w:r>
    </w:p>
    <w:p w14:paraId="17FD8C37" w14:textId="18C57B15" w:rsidR="0033050B" w:rsidRPr="0033050B" w:rsidRDefault="002268AA" w:rsidP="0033050B">
      <w:r>
        <w:lastRenderedPageBreak/>
        <w:t>Note</w:t>
      </w:r>
      <w:r w:rsidR="00177FA5">
        <w:t>, the I</w:t>
      </w:r>
      <w:r w:rsidR="0033050B" w:rsidRPr="0033050B">
        <w:t>nvestigator’</w:t>
      </w:r>
      <w:r w:rsidR="00177FA5">
        <w:t>s Brochure for S</w:t>
      </w:r>
      <w:r>
        <w:t>tudy CA209025, version</w:t>
      </w:r>
      <w:r w:rsidR="0033050B" w:rsidRPr="0033050B">
        <w:t xml:space="preserve"> 14 was considered by the evaluator to provide a sufficient level of detail; it is included as a paper for </w:t>
      </w:r>
      <w:r w:rsidR="00DA0837">
        <w:t>Advisory Committee on Prescription Medicines (</w:t>
      </w:r>
      <w:r w:rsidR="0033050B" w:rsidRPr="0033050B">
        <w:t>ACPM</w:t>
      </w:r>
      <w:r w:rsidR="00DA0837">
        <w:t>)</w:t>
      </w:r>
      <w:r w:rsidR="0033050B" w:rsidRPr="0033050B">
        <w:t>.</w:t>
      </w:r>
      <w:r w:rsidR="00C077C8">
        <w:rPr>
          <w:rStyle w:val="FootnoteReference"/>
        </w:rPr>
        <w:footnoteReference w:id="10"/>
      </w:r>
    </w:p>
    <w:p w14:paraId="2D4B6C0C" w14:textId="7BC0297C" w:rsidR="0033050B" w:rsidRPr="0033050B" w:rsidRDefault="0033050B" w:rsidP="0033050B">
      <w:pPr>
        <w:pStyle w:val="Numberbullet0"/>
      </w:pPr>
      <w:r w:rsidRPr="0033050B">
        <w:t xml:space="preserve">Ensuring appropriate emergency care advice in a </w:t>
      </w:r>
      <w:r w:rsidR="00412685">
        <w:t>Patient Alert C</w:t>
      </w:r>
      <w:r w:rsidRPr="00412685">
        <w:t>ard</w:t>
      </w:r>
      <w:r w:rsidR="00412685" w:rsidRPr="00412685">
        <w:t>.</w:t>
      </w:r>
    </w:p>
    <w:p w14:paraId="6E57D7B3" w14:textId="78CC1D51" w:rsidR="0033050B" w:rsidRPr="0033050B" w:rsidRDefault="0033050B" w:rsidP="0033050B">
      <w:pPr>
        <w:pStyle w:val="Numberbullet0"/>
      </w:pPr>
      <w:r w:rsidRPr="0033050B">
        <w:t xml:space="preserve">Targeting oncologists, oncology nurses and pharmacists, as well as GPs, </w:t>
      </w:r>
      <w:r w:rsidR="00177FA5">
        <w:t>emergency medicine</w:t>
      </w:r>
      <w:r w:rsidRPr="0033050B">
        <w:t xml:space="preserve"> specialists and hospital clinicians, in post-market education.</w:t>
      </w:r>
    </w:p>
    <w:p w14:paraId="3AFAD042" w14:textId="05AFE1B1" w:rsidR="0033050B" w:rsidRPr="0033050B" w:rsidRDefault="00412685" w:rsidP="00412685">
      <w:pPr>
        <w:pStyle w:val="Heading6"/>
      </w:pPr>
      <w:r>
        <w:t xml:space="preserve">Safety in all uses: </w:t>
      </w:r>
      <w:r w:rsidR="00177FA5">
        <w:t>TEN/</w:t>
      </w:r>
      <w:r w:rsidR="0033050B" w:rsidRPr="0033050B">
        <w:t>SJS, myositis, myocarditis, rhabdomyolysis</w:t>
      </w:r>
    </w:p>
    <w:p w14:paraId="7DBD93CD" w14:textId="6D24B677" w:rsidR="0033050B" w:rsidRPr="0033050B" w:rsidRDefault="0033050B" w:rsidP="0033050B">
      <w:r w:rsidRPr="0033050B">
        <w:t xml:space="preserve">The sponsor’s request to update the PI to reflect information about </w:t>
      </w:r>
      <w:r w:rsidR="00302224">
        <w:t xml:space="preserve">TEN/SJS, </w:t>
      </w:r>
      <w:r w:rsidRPr="0033050B">
        <w:t xml:space="preserve">myositis, myocarditis and rhabdomyolysis is being assessed separately (but is noted </w:t>
      </w:r>
      <w:r w:rsidR="00412685">
        <w:t>in the CER (see Attachment 2)</w:t>
      </w:r>
      <w:r w:rsidRPr="0033050B">
        <w:t>).</w:t>
      </w:r>
    </w:p>
    <w:p w14:paraId="6CDC1389" w14:textId="62228CA5" w:rsidR="0033050B" w:rsidRPr="0033050B" w:rsidRDefault="0033050B" w:rsidP="00EA5D66">
      <w:pPr>
        <w:pStyle w:val="Heading6"/>
      </w:pPr>
      <w:r w:rsidRPr="0033050B">
        <w:t>Safety in all uses</w:t>
      </w:r>
      <w:r w:rsidR="00EA5D66">
        <w:t>: discontinuation after G</w:t>
      </w:r>
      <w:r w:rsidRPr="0033050B">
        <w:t xml:space="preserve">rade 4 </w:t>
      </w:r>
      <w:proofErr w:type="spellStart"/>
      <w:r w:rsidRPr="0033050B">
        <w:t>endocrinopathies</w:t>
      </w:r>
      <w:proofErr w:type="spellEnd"/>
    </w:p>
    <w:p w14:paraId="51E6568B" w14:textId="142EE197" w:rsidR="0033050B" w:rsidRDefault="00EA5D66" w:rsidP="0033050B">
      <w:r>
        <w:t>In</w:t>
      </w:r>
      <w:r w:rsidR="0033050B" w:rsidRPr="0033050B">
        <w:t xml:space="preserve"> </w:t>
      </w:r>
      <w:r>
        <w:t xml:space="preserve">the CER </w:t>
      </w:r>
      <w:r w:rsidR="001118CF">
        <w:t>the following is noted (see Table 14, below).</w:t>
      </w:r>
    </w:p>
    <w:p w14:paraId="3478D6D0" w14:textId="6AADF431" w:rsidR="00302224" w:rsidRPr="0033050B" w:rsidRDefault="00302224" w:rsidP="001118CF">
      <w:pPr>
        <w:pStyle w:val="Tabletitle0"/>
      </w:pPr>
      <w:proofErr w:type="gramStart"/>
      <w:r>
        <w:t>Table 14.</w:t>
      </w:r>
      <w:proofErr w:type="gramEnd"/>
      <w:r>
        <w:t xml:space="preserve"> Excerpt from the CER</w:t>
      </w:r>
      <w:r w:rsidR="001118CF">
        <w:t xml:space="preserve">, comment on rationale for discontinuation after Grade 4 </w:t>
      </w:r>
      <w:proofErr w:type="spellStart"/>
      <w:r w:rsidR="001118CF">
        <w:t>endocrinopathies</w:t>
      </w:r>
      <w:proofErr w:type="spellEnd"/>
      <w:r w:rsidR="001118CF">
        <w:t xml:space="preserve"> in the PI</w:t>
      </w:r>
    </w:p>
    <w:tbl>
      <w:tblPr>
        <w:tblStyle w:val="TableGridLight1"/>
        <w:tblW w:w="9464" w:type="dxa"/>
        <w:tblLook w:val="04A0" w:firstRow="1" w:lastRow="0" w:firstColumn="1" w:lastColumn="0" w:noHBand="0" w:noVBand="1"/>
      </w:tblPr>
      <w:tblGrid>
        <w:gridCol w:w="2627"/>
        <w:gridCol w:w="6837"/>
      </w:tblGrid>
      <w:tr w:rsidR="00302224" w:rsidRPr="0033050B" w14:paraId="54B33640" w14:textId="77777777" w:rsidTr="00302224">
        <w:tc>
          <w:tcPr>
            <w:tcW w:w="2627" w:type="dxa"/>
          </w:tcPr>
          <w:p w14:paraId="0C93025E" w14:textId="1CF289F4" w:rsidR="0033050B" w:rsidRPr="00302224" w:rsidRDefault="00EA5D66" w:rsidP="00C01694">
            <w:r w:rsidRPr="00302224">
              <w:t>Adverse Effects:</w:t>
            </w:r>
            <w:r w:rsidR="0033050B" w:rsidRPr="00302224">
              <w:t xml:space="preserve"> Description of selected adverse reactions, Immune Related </w:t>
            </w:r>
            <w:proofErr w:type="spellStart"/>
            <w:r w:rsidR="0033050B" w:rsidRPr="00302224">
              <w:t>Endocrinopathies</w:t>
            </w:r>
            <w:proofErr w:type="spellEnd"/>
          </w:p>
        </w:tc>
        <w:tc>
          <w:tcPr>
            <w:tcW w:w="6837" w:type="dxa"/>
          </w:tcPr>
          <w:p w14:paraId="7ECE8AE4" w14:textId="359C7134" w:rsidR="0033050B" w:rsidRPr="00302224" w:rsidRDefault="0033050B" w:rsidP="00C01694">
            <w:proofErr w:type="spellStart"/>
            <w:r w:rsidRPr="00302224">
              <w:t>Endocrinopathies</w:t>
            </w:r>
            <w:proofErr w:type="spellEnd"/>
            <w:r w:rsidRPr="00302224">
              <w:t xml:space="preserve"> manifesting as hormonal deficiency can be </w:t>
            </w:r>
            <w:r w:rsidR="00EA5D66" w:rsidRPr="00302224">
              <w:t>managed by hormonal replacement</w:t>
            </w:r>
            <w:r w:rsidRPr="00302224">
              <w:t>.</w:t>
            </w:r>
            <w:r w:rsidR="00302224" w:rsidRPr="00302224">
              <w:t xml:space="preserve"> </w:t>
            </w:r>
            <w:r w:rsidRPr="00302224">
              <w:t xml:space="preserve">The PI advises that </w:t>
            </w:r>
            <w:proofErr w:type="spellStart"/>
            <w:r w:rsidRPr="00302224">
              <w:t>ni</w:t>
            </w:r>
            <w:r w:rsidR="00EA5D66" w:rsidRPr="00302224">
              <w:t>volumab</w:t>
            </w:r>
            <w:proofErr w:type="spellEnd"/>
            <w:r w:rsidR="00EA5D66" w:rsidRPr="00302224">
              <w:t xml:space="preserve"> treatment be ceased if G</w:t>
            </w:r>
            <w:r w:rsidRPr="00302224">
              <w:t xml:space="preserve">rade 4 </w:t>
            </w:r>
            <w:proofErr w:type="spellStart"/>
            <w:r w:rsidRPr="00302224">
              <w:t>endocrinopathies</w:t>
            </w:r>
            <w:proofErr w:type="spellEnd"/>
            <w:r w:rsidRPr="00302224">
              <w:t xml:space="preserve"> occur although the treatment </w:t>
            </w:r>
            <w:r w:rsidR="00EA5D66" w:rsidRPr="00302224">
              <w:t>may be resumed for G</w:t>
            </w:r>
            <w:r w:rsidRPr="00302224">
              <w:t xml:space="preserve">rade 3 </w:t>
            </w:r>
            <w:proofErr w:type="spellStart"/>
            <w:r w:rsidRPr="00302224">
              <w:t>endocrinopathies</w:t>
            </w:r>
            <w:proofErr w:type="spellEnd"/>
            <w:r w:rsidRPr="00302224">
              <w:t xml:space="preserve"> in which hormone replacement therapy has been effective in controlling the manifestations of the </w:t>
            </w:r>
            <w:proofErr w:type="spellStart"/>
            <w:r w:rsidRPr="00302224">
              <w:t>endocrinopathy</w:t>
            </w:r>
            <w:proofErr w:type="spellEnd"/>
            <w:r w:rsidRPr="00302224">
              <w:t>. The sponsor has been asked to provide the rationale fo</w:t>
            </w:r>
            <w:r w:rsidR="00EA5D66" w:rsidRPr="00302224">
              <w:t>r treatment discontinuation in G</w:t>
            </w:r>
            <w:r w:rsidRPr="00302224">
              <w:t xml:space="preserve">rade 4 </w:t>
            </w:r>
            <w:proofErr w:type="spellStart"/>
            <w:r w:rsidRPr="00302224">
              <w:t>endocrinopathies</w:t>
            </w:r>
            <w:proofErr w:type="spellEnd"/>
            <w:r w:rsidRPr="00302224">
              <w:t xml:space="preserve"> as a blanket statement. See TGA Clinical Question</w:t>
            </w:r>
            <w:r w:rsidR="00EA5D66" w:rsidRPr="00302224">
              <w:t>s</w:t>
            </w:r>
            <w:r w:rsidRPr="00302224">
              <w:t>.</w:t>
            </w:r>
          </w:p>
        </w:tc>
      </w:tr>
      <w:tr w:rsidR="00302224" w:rsidRPr="0033050B" w14:paraId="731B2927" w14:textId="77777777" w:rsidTr="00302224">
        <w:tc>
          <w:tcPr>
            <w:tcW w:w="2627" w:type="dxa"/>
          </w:tcPr>
          <w:p w14:paraId="7A3524F7" w14:textId="7D4C50BE" w:rsidR="0033050B" w:rsidRPr="00302224" w:rsidRDefault="00302224" w:rsidP="00C01694">
            <w:r w:rsidRPr="00302224">
              <w:t>Sponsor’s comment</w:t>
            </w:r>
          </w:p>
        </w:tc>
        <w:tc>
          <w:tcPr>
            <w:tcW w:w="6837" w:type="dxa"/>
          </w:tcPr>
          <w:p w14:paraId="63D81143" w14:textId="07643C9B" w:rsidR="0033050B" w:rsidRPr="00302224" w:rsidRDefault="0033050B" w:rsidP="00C01694">
            <w:r w:rsidRPr="00302224">
              <w:t>Please see response to question</w:t>
            </w:r>
            <w:r w:rsidR="00EA5D66" w:rsidRPr="00302224">
              <w:t>.</w:t>
            </w:r>
          </w:p>
        </w:tc>
      </w:tr>
      <w:tr w:rsidR="00302224" w:rsidRPr="0033050B" w14:paraId="2B748234" w14:textId="77777777" w:rsidTr="00302224">
        <w:tc>
          <w:tcPr>
            <w:tcW w:w="2627" w:type="dxa"/>
          </w:tcPr>
          <w:p w14:paraId="7406B9FF" w14:textId="3C2471B0" w:rsidR="0033050B" w:rsidRPr="00302224" w:rsidRDefault="00302224" w:rsidP="00C01694">
            <w:r w:rsidRPr="00302224">
              <w:t>Evaluator’s comment</w:t>
            </w:r>
          </w:p>
        </w:tc>
        <w:tc>
          <w:tcPr>
            <w:tcW w:w="6837" w:type="dxa"/>
          </w:tcPr>
          <w:p w14:paraId="411A5D27" w14:textId="266147B9" w:rsidR="0033050B" w:rsidRPr="00302224" w:rsidRDefault="0033050B" w:rsidP="00C01694">
            <w:r w:rsidRPr="00302224">
              <w:t xml:space="preserve">The response </w:t>
            </w:r>
            <w:r w:rsidR="004F0CF6">
              <w:t xml:space="preserve">to </w:t>
            </w:r>
            <w:r w:rsidR="00EA5D66" w:rsidRPr="00302224">
              <w:t>the question</w:t>
            </w:r>
            <w:r w:rsidRPr="00302224">
              <w:t xml:space="preserve"> has not provided the requested rationale.</w:t>
            </w:r>
          </w:p>
        </w:tc>
      </w:tr>
    </w:tbl>
    <w:p w14:paraId="663C64DF" w14:textId="0FD3A519" w:rsidR="0033050B" w:rsidRPr="0033050B" w:rsidRDefault="0033050B" w:rsidP="00EA5D66">
      <w:pPr>
        <w:pStyle w:val="Heading6"/>
      </w:pPr>
      <w:r w:rsidRPr="0033050B">
        <w:t xml:space="preserve">Safety </w:t>
      </w:r>
      <w:r w:rsidR="00EA5D66">
        <w:t xml:space="preserve">in all uses: </w:t>
      </w:r>
      <w:r w:rsidRPr="0033050B">
        <w:t>myasthenia gravis-like syndromes</w:t>
      </w:r>
    </w:p>
    <w:p w14:paraId="35F6BA45" w14:textId="161D29BF" w:rsidR="0033050B" w:rsidRPr="0033050B" w:rsidRDefault="0033050B" w:rsidP="0033050B">
      <w:r w:rsidRPr="0033050B">
        <w:t xml:space="preserve">Myasthenia gravis-like syndromes have been reported with checkpoint inhibitors, as discussed by Naidoo et </w:t>
      </w:r>
      <w:r w:rsidR="00EA5D66">
        <w:t>al.</w:t>
      </w:r>
      <w:r w:rsidR="00EA5D66">
        <w:rPr>
          <w:rStyle w:val="FootnoteReference"/>
        </w:rPr>
        <w:footnoteReference w:id="11"/>
      </w:r>
    </w:p>
    <w:p w14:paraId="5554BB30" w14:textId="45C6F9FB" w:rsidR="0033050B" w:rsidRPr="0033050B" w:rsidRDefault="0033050B" w:rsidP="0033050B">
      <w:r w:rsidRPr="0033050B">
        <w:t xml:space="preserve">Events have occurred with </w:t>
      </w:r>
      <w:proofErr w:type="spellStart"/>
      <w:r w:rsidRPr="0033050B">
        <w:t>ipilimumab</w:t>
      </w:r>
      <w:proofErr w:type="spellEnd"/>
      <w:r w:rsidRPr="0033050B">
        <w:t xml:space="preserve"> and with combined P</w:t>
      </w:r>
      <w:r w:rsidR="00EA5D66">
        <w:t xml:space="preserve">D-1/CTLA-4 pathway inhibition, </w:t>
      </w:r>
      <w:r w:rsidRPr="0033050B">
        <w:t xml:space="preserve">including a case with </w:t>
      </w:r>
      <w:proofErr w:type="spellStart"/>
      <w:r w:rsidRPr="0033050B">
        <w:t>nivolumab</w:t>
      </w:r>
      <w:proofErr w:type="spellEnd"/>
      <w:r w:rsidRPr="0033050B">
        <w:t xml:space="preserve"> + </w:t>
      </w:r>
      <w:proofErr w:type="spellStart"/>
      <w:r w:rsidRPr="0033050B">
        <w:t>ipilimumab</w:t>
      </w:r>
      <w:proofErr w:type="spellEnd"/>
      <w:r w:rsidRPr="0033050B">
        <w:t xml:space="preserve"> in small cell lung cancer</w:t>
      </w:r>
      <w:r w:rsidR="00EA5D66">
        <w:t>.</w:t>
      </w:r>
      <w:bookmarkStart w:id="127" w:name="_Ref489271464"/>
      <w:r w:rsidR="00EA5D66">
        <w:rPr>
          <w:rStyle w:val="FootnoteReference"/>
        </w:rPr>
        <w:footnoteReference w:id="12"/>
      </w:r>
      <w:bookmarkEnd w:id="127"/>
    </w:p>
    <w:p w14:paraId="2E9DFD46" w14:textId="77777777" w:rsidR="0033050B" w:rsidRPr="0033050B" w:rsidRDefault="0033050B" w:rsidP="0033050B">
      <w:r w:rsidRPr="0033050B">
        <w:t xml:space="preserve">The </w:t>
      </w:r>
      <w:proofErr w:type="spellStart"/>
      <w:r w:rsidRPr="0033050B">
        <w:t>Yervoy</w:t>
      </w:r>
      <w:proofErr w:type="spellEnd"/>
      <w:r w:rsidRPr="0033050B">
        <w:t xml:space="preserve"> PI includes a Precaution mentioning myasthenia gravis-like symptoms.</w:t>
      </w:r>
    </w:p>
    <w:p w14:paraId="7E0A424A" w14:textId="501ADD6A" w:rsidR="0033050B" w:rsidRPr="0033050B" w:rsidRDefault="0033050B" w:rsidP="0033050B">
      <w:r w:rsidRPr="0033050B">
        <w:t xml:space="preserve">The proposed </w:t>
      </w:r>
      <w:proofErr w:type="spellStart"/>
      <w:r w:rsidRPr="0033050B">
        <w:t>nivolumab</w:t>
      </w:r>
      <w:proofErr w:type="spellEnd"/>
      <w:r w:rsidRPr="0033050B">
        <w:t xml:space="preserve"> PI version 3.3 refers in </w:t>
      </w:r>
      <w:r w:rsidR="00CD7C7F">
        <w:t>a table</w:t>
      </w:r>
      <w:r w:rsidRPr="0033050B">
        <w:t xml:space="preserve"> to </w:t>
      </w:r>
      <w:proofErr w:type="spellStart"/>
      <w:r w:rsidRPr="0033050B">
        <w:t>myasthenic</w:t>
      </w:r>
      <w:proofErr w:type="spellEnd"/>
      <w:r w:rsidRPr="0033050B">
        <w:t xml:space="preserve"> syndrome as rare, but in the </w:t>
      </w:r>
      <w:proofErr w:type="spellStart"/>
      <w:r w:rsidRPr="0033050B">
        <w:t>nivolumab</w:t>
      </w:r>
      <w:proofErr w:type="spellEnd"/>
      <w:r w:rsidRPr="0033050B">
        <w:t xml:space="preserve"> </w:t>
      </w:r>
      <w:r w:rsidR="00CD7C7F">
        <w:t xml:space="preserve">monotherapy column. </w:t>
      </w:r>
      <w:r w:rsidRPr="0033050B">
        <w:t>There is also reference to the syndrome in the last paragraph before ‘Dosage and Administration’.</w:t>
      </w:r>
    </w:p>
    <w:p w14:paraId="6A9E053F" w14:textId="57BE2177" w:rsidR="0033050B" w:rsidRPr="0033050B" w:rsidRDefault="0033050B" w:rsidP="0033050B">
      <w:r w:rsidRPr="0033050B">
        <w:t xml:space="preserve">Given that </w:t>
      </w:r>
      <w:proofErr w:type="spellStart"/>
      <w:r w:rsidRPr="0033050B">
        <w:t>myasthenic</w:t>
      </w:r>
      <w:proofErr w:type="spellEnd"/>
      <w:r w:rsidRPr="0033050B">
        <w:t xml:space="preserve"> syndrome can be life-threatening (see </w:t>
      </w:r>
      <w:r w:rsidR="00CD7C7F">
        <w:t>cited report</w:t>
      </w:r>
      <w:r w:rsidRPr="0033050B">
        <w:t>)</w:t>
      </w:r>
      <w:proofErr w:type="gramStart"/>
      <w:r w:rsidRPr="0033050B">
        <w:t>,</w:t>
      </w:r>
      <w:proofErr w:type="gramEnd"/>
      <w:r w:rsidRPr="0033050B">
        <w:t xml:space="preserve"> the PI should refer to this possibility in the Precautions section and also provide dose modification / cessation advice.</w:t>
      </w:r>
    </w:p>
    <w:p w14:paraId="4B3C1F2C" w14:textId="0E9753A3" w:rsidR="0033050B" w:rsidRPr="0033050B" w:rsidRDefault="0033050B" w:rsidP="0033050B">
      <w:proofErr w:type="spellStart"/>
      <w:r w:rsidRPr="0033050B">
        <w:lastRenderedPageBreak/>
        <w:t>Loochtan</w:t>
      </w:r>
      <w:proofErr w:type="spellEnd"/>
      <w:r w:rsidRPr="0033050B">
        <w:t xml:space="preserve"> et al</w:t>
      </w:r>
      <w:r w:rsidR="001118CF">
        <w:t>.,</w:t>
      </w:r>
      <w:r w:rsidRPr="0033050B">
        <w:t xml:space="preserve"> comment that </w:t>
      </w:r>
      <w:proofErr w:type="spellStart"/>
      <w:r w:rsidRPr="0033050B">
        <w:t>ipilimumab</w:t>
      </w:r>
      <w:proofErr w:type="spellEnd"/>
      <w:r w:rsidRPr="0033050B">
        <w:t xml:space="preserve"> may play an important causative role and that the possible role of </w:t>
      </w:r>
      <w:proofErr w:type="spellStart"/>
      <w:r w:rsidRPr="0033050B">
        <w:t>nivolumab</w:t>
      </w:r>
      <w:proofErr w:type="spellEnd"/>
      <w:r w:rsidRPr="0033050B">
        <w:t xml:space="preserve"> is unclear, but (a) the </w:t>
      </w:r>
      <w:proofErr w:type="spellStart"/>
      <w:r w:rsidRPr="0033050B">
        <w:t>nivolumab</w:t>
      </w:r>
      <w:proofErr w:type="spellEnd"/>
      <w:r w:rsidRPr="0033050B">
        <w:t xml:space="preserve"> PI version 3.3 already notes that </w:t>
      </w:r>
      <w:proofErr w:type="spellStart"/>
      <w:r w:rsidRPr="0033050B">
        <w:t>myasthenic</w:t>
      </w:r>
      <w:proofErr w:type="spellEnd"/>
      <w:r w:rsidRPr="0033050B">
        <w:t xml:space="preserve"> syndrome may occur with </w:t>
      </w:r>
      <w:proofErr w:type="spellStart"/>
      <w:r w:rsidRPr="0033050B">
        <w:t>nivolumab</w:t>
      </w:r>
      <w:proofErr w:type="spellEnd"/>
      <w:r w:rsidRPr="0033050B">
        <w:t xml:space="preserve"> monotherapy; and (b) it seems very plausible that with combination use, additional blockade of the PD-1 pathway will incr</w:t>
      </w:r>
      <w:r w:rsidR="00CD7C7F">
        <w:t>ease the risk of occurrence and/</w:t>
      </w:r>
      <w:r w:rsidRPr="0033050B">
        <w:t xml:space="preserve">or increase the risk of a severe event relative to use of </w:t>
      </w:r>
      <w:proofErr w:type="spellStart"/>
      <w:r w:rsidRPr="0033050B">
        <w:t>ipilimumab</w:t>
      </w:r>
      <w:proofErr w:type="spellEnd"/>
      <w:r w:rsidRPr="0033050B">
        <w:t xml:space="preserve"> alone.</w:t>
      </w:r>
      <w:r w:rsidR="001118CF" w:rsidRPr="001118CF">
        <w:rPr>
          <w:vertAlign w:val="superscript"/>
        </w:rPr>
        <w:fldChar w:fldCharType="begin"/>
      </w:r>
      <w:r w:rsidR="001118CF" w:rsidRPr="001118CF">
        <w:rPr>
          <w:vertAlign w:val="superscript"/>
        </w:rPr>
        <w:instrText xml:space="preserve"> NOTEREF _Ref489271464 \h </w:instrText>
      </w:r>
      <w:r w:rsidR="001118CF">
        <w:rPr>
          <w:vertAlign w:val="superscript"/>
        </w:rPr>
        <w:instrText xml:space="preserve"> \* MERGEFORMAT </w:instrText>
      </w:r>
      <w:r w:rsidR="001118CF" w:rsidRPr="001118CF">
        <w:rPr>
          <w:vertAlign w:val="superscript"/>
        </w:rPr>
      </w:r>
      <w:r w:rsidR="001118CF" w:rsidRPr="001118CF">
        <w:rPr>
          <w:vertAlign w:val="superscript"/>
        </w:rPr>
        <w:fldChar w:fldCharType="separate"/>
      </w:r>
      <w:r w:rsidR="00AF569E">
        <w:rPr>
          <w:vertAlign w:val="superscript"/>
        </w:rPr>
        <w:t>12</w:t>
      </w:r>
      <w:r w:rsidR="001118CF" w:rsidRPr="001118CF">
        <w:rPr>
          <w:vertAlign w:val="superscript"/>
        </w:rPr>
        <w:fldChar w:fldCharType="end"/>
      </w:r>
    </w:p>
    <w:p w14:paraId="30B57AAD" w14:textId="4E0E7A0C" w:rsidR="0033050B" w:rsidRPr="0033050B" w:rsidRDefault="0033050B" w:rsidP="0033050B">
      <w:r w:rsidRPr="0033050B">
        <w:t xml:space="preserve">The US PI for </w:t>
      </w:r>
      <w:proofErr w:type="spellStart"/>
      <w:r w:rsidRPr="0033050B">
        <w:t>atezolizumab</w:t>
      </w:r>
      <w:proofErr w:type="spellEnd"/>
      <w:r w:rsidRPr="0033050B">
        <w:t xml:space="preserve"> (a PD-L1 inhibitor) includes a warning to permanently discontinue in the event of </w:t>
      </w:r>
      <w:proofErr w:type="spellStart"/>
      <w:r w:rsidRPr="0033050B">
        <w:t>myasthenic</w:t>
      </w:r>
      <w:proofErr w:type="spellEnd"/>
      <w:r w:rsidRPr="0033050B">
        <w:t xml:space="preserve"> events.</w:t>
      </w:r>
    </w:p>
    <w:p w14:paraId="3D2FFDB7" w14:textId="1D5A989B" w:rsidR="0033050B" w:rsidRPr="0033050B" w:rsidRDefault="00CD7C7F" w:rsidP="00CD7C7F">
      <w:pPr>
        <w:pStyle w:val="Heading6"/>
      </w:pPr>
      <w:r>
        <w:t xml:space="preserve">Safety in all uses: </w:t>
      </w:r>
      <w:r w:rsidR="0033050B" w:rsidRPr="0033050B">
        <w:t>registry</w:t>
      </w:r>
    </w:p>
    <w:p w14:paraId="7525182A" w14:textId="23073E76" w:rsidR="0033050B" w:rsidRPr="0033050B" w:rsidRDefault="0033050B" w:rsidP="0033050B">
      <w:r w:rsidRPr="0033050B">
        <w:t>The clinical evaluator recommends a national multicentre observational registry in Australia (</w:t>
      </w:r>
      <w:r w:rsidR="00CD7C7F">
        <w:t>see Attachment 2).</w:t>
      </w:r>
    </w:p>
    <w:p w14:paraId="2B1CF66D" w14:textId="5C2317B4" w:rsidR="0033050B" w:rsidRPr="0033050B" w:rsidRDefault="0033050B" w:rsidP="0033050B">
      <w:r w:rsidRPr="0033050B">
        <w:t>There are many</w:t>
      </w:r>
      <w:r w:rsidR="00CD7C7F">
        <w:t xml:space="preserve"> ongoing sponsor and investigator</w:t>
      </w:r>
      <w:r w:rsidRPr="0033050B">
        <w:t xml:space="preserve"> initiated trials of </w:t>
      </w:r>
      <w:proofErr w:type="spellStart"/>
      <w:r w:rsidRPr="0033050B">
        <w:t>nivolu</w:t>
      </w:r>
      <w:r w:rsidR="00CD7C7F">
        <w:t>mab</w:t>
      </w:r>
      <w:proofErr w:type="spellEnd"/>
      <w:r w:rsidR="00CD7C7F">
        <w:t xml:space="preserve"> in Australia and globally. </w:t>
      </w:r>
      <w:r w:rsidRPr="0033050B">
        <w:t xml:space="preserve">Assessment of rare events can be made by pooling </w:t>
      </w:r>
      <w:r w:rsidR="00CD7C7F">
        <w:t xml:space="preserve">safety findings across trials. </w:t>
      </w:r>
      <w:r w:rsidRPr="0033050B">
        <w:t>There have been no TGA-specific registry requirements for other checkpoint inhibitors to date.</w:t>
      </w:r>
    </w:p>
    <w:p w14:paraId="3B228A08" w14:textId="1D9002E2" w:rsidR="0033050B" w:rsidRPr="00CD7C7F" w:rsidRDefault="00CD7C7F" w:rsidP="0033050B">
      <w:r>
        <w:t>The Delegates</w:t>
      </w:r>
      <w:r w:rsidR="0033050B" w:rsidRPr="0033050B">
        <w:t xml:space="preserve"> preliminary view is that no registry is required.</w:t>
      </w:r>
    </w:p>
    <w:p w14:paraId="37162F0C" w14:textId="77777777" w:rsidR="0033050B" w:rsidRPr="0033050B" w:rsidRDefault="0033050B" w:rsidP="00CD7C7F">
      <w:pPr>
        <w:pStyle w:val="Heading6"/>
      </w:pPr>
      <w:r w:rsidRPr="0033050B">
        <w:t>Proposed conditions of registration</w:t>
      </w:r>
    </w:p>
    <w:p w14:paraId="6917A68A" w14:textId="0E97F4DF" w:rsidR="0033050B" w:rsidRPr="0033050B" w:rsidRDefault="00DA0837" w:rsidP="0033050B">
      <w:r>
        <w:t xml:space="preserve">RMP </w:t>
      </w:r>
      <w:r w:rsidR="0033050B" w:rsidRPr="0033050B">
        <w:t>related conditions of registration are likely to be necessary; see above.</w:t>
      </w:r>
    </w:p>
    <w:p w14:paraId="46BF9E24" w14:textId="43CE5A3A" w:rsidR="0033050B" w:rsidRPr="00CD7C7F" w:rsidRDefault="00CD7C7F" w:rsidP="0033050B">
      <w:r>
        <w:t>The clinical e</w:t>
      </w:r>
      <w:r w:rsidR="0033050B" w:rsidRPr="0033050B">
        <w:t>valuator writes</w:t>
      </w:r>
      <w:r>
        <w:t xml:space="preserve">: </w:t>
      </w:r>
      <w:r w:rsidRPr="00CD7C7F">
        <w:rPr>
          <w:i/>
        </w:rPr>
        <w:t>‘</w:t>
      </w:r>
      <w:r w:rsidR="0033050B" w:rsidRPr="00CD7C7F">
        <w:rPr>
          <w:i/>
        </w:rPr>
        <w:t xml:space="preserve">The additional analyses of the value of biomarkers to predict the efficacy of </w:t>
      </w:r>
      <w:proofErr w:type="spellStart"/>
      <w:r w:rsidR="0033050B" w:rsidRPr="00CD7C7F">
        <w:rPr>
          <w:i/>
        </w:rPr>
        <w:t>nivolumab</w:t>
      </w:r>
      <w:proofErr w:type="spellEnd"/>
      <w:r w:rsidR="0033050B" w:rsidRPr="00CD7C7F">
        <w:rPr>
          <w:i/>
        </w:rPr>
        <w:t xml:space="preserve"> and/or </w:t>
      </w:r>
      <w:proofErr w:type="spellStart"/>
      <w:r w:rsidR="0033050B" w:rsidRPr="00CD7C7F">
        <w:rPr>
          <w:i/>
        </w:rPr>
        <w:t>nivolumab</w:t>
      </w:r>
      <w:proofErr w:type="spellEnd"/>
      <w:r w:rsidR="0033050B" w:rsidRPr="00CD7C7F">
        <w:rPr>
          <w:i/>
        </w:rPr>
        <w:t xml:space="preserve"> + </w:t>
      </w:r>
      <w:proofErr w:type="spellStart"/>
      <w:r w:rsidR="0033050B" w:rsidRPr="00CD7C7F">
        <w:rPr>
          <w:i/>
        </w:rPr>
        <w:t>ipilimumab</w:t>
      </w:r>
      <w:proofErr w:type="spellEnd"/>
      <w:r w:rsidR="0033050B" w:rsidRPr="00CD7C7F">
        <w:rPr>
          <w:i/>
        </w:rPr>
        <w:t xml:space="preserve"> combination therapy now includes two studies of patients with advanced RCC, CA209025 and CA209009. These reports should be provided to the TGA as they become available.</w:t>
      </w:r>
      <w:r w:rsidRPr="00CD7C7F">
        <w:rPr>
          <w:i/>
        </w:rPr>
        <w:t>’</w:t>
      </w:r>
    </w:p>
    <w:p w14:paraId="02D8AB4B" w14:textId="5E682F32" w:rsidR="0033050B" w:rsidRPr="0033050B" w:rsidRDefault="0033050B" w:rsidP="0033050B">
      <w:r w:rsidRPr="0033050B">
        <w:t>A recommendation about a registry is discussed above.</w:t>
      </w:r>
    </w:p>
    <w:p w14:paraId="593AD461" w14:textId="77777777" w:rsidR="00AE5322" w:rsidRDefault="00AE5322" w:rsidP="00AE5322">
      <w:pPr>
        <w:pStyle w:val="Heading4"/>
      </w:pPr>
      <w:r w:rsidRPr="00D23139">
        <w:t>Proposed action</w:t>
      </w:r>
    </w:p>
    <w:p w14:paraId="77484D01" w14:textId="25E00298" w:rsidR="00B8723D" w:rsidRPr="00C06787" w:rsidRDefault="00B8723D" w:rsidP="00B8723D">
      <w:r w:rsidRPr="00C06787">
        <w:t xml:space="preserve">The </w:t>
      </w:r>
      <w:r>
        <w:t xml:space="preserve">RCC indication is approvable. </w:t>
      </w:r>
      <w:r w:rsidRPr="00C06787">
        <w:t>The wording of the indication is for discussion at ACPM.</w:t>
      </w:r>
    </w:p>
    <w:p w14:paraId="11795897" w14:textId="6E92C2F7" w:rsidR="00B8723D" w:rsidRPr="00B8723D" w:rsidRDefault="00B8723D" w:rsidP="00B8723D">
      <w:r w:rsidRPr="00C06787">
        <w:t>Although issues regarding</w:t>
      </w:r>
      <w:r>
        <w:t xml:space="preserve"> risk mitigation raised by the clinical e</w:t>
      </w:r>
      <w:r w:rsidRPr="00C06787">
        <w:t xml:space="preserve">valuator extend beyond use in RCC, they also apply to use in RCC, so they need to be resolved to the satisfaction of the Delegate prior </w:t>
      </w:r>
      <w:r>
        <w:t>to approval of the application.</w:t>
      </w:r>
    </w:p>
    <w:p w14:paraId="40F26C9F" w14:textId="77777777" w:rsidR="00AE5322" w:rsidRDefault="00AE5322" w:rsidP="00AE5322">
      <w:pPr>
        <w:pStyle w:val="Heading4"/>
      </w:pPr>
      <w:r w:rsidRPr="00D23139">
        <w:t>Request for ACPM advice</w:t>
      </w:r>
    </w:p>
    <w:p w14:paraId="0D798DBF" w14:textId="77777777" w:rsidR="00B8723D" w:rsidRPr="00C06787" w:rsidRDefault="00B8723D" w:rsidP="00B8723D">
      <w:pPr>
        <w:pStyle w:val="Numberbullet0"/>
        <w:numPr>
          <w:ilvl w:val="0"/>
          <w:numId w:val="24"/>
        </w:numPr>
      </w:pPr>
      <w:r w:rsidRPr="00C06787">
        <w:t>Should the indication be restricted to clear cell RCC (as opposed to R</w:t>
      </w:r>
      <w:r>
        <w:t xml:space="preserve">CC)? </w:t>
      </w:r>
      <w:r w:rsidRPr="00C06787">
        <w:t>Should the indication be restricted to patie</w:t>
      </w:r>
      <w:r>
        <w:t xml:space="preserve">nts with prior anti-angiogenic </w:t>
      </w:r>
      <w:r w:rsidRPr="00C06787">
        <w:t>therapy (as opposed to prior therapy)?</w:t>
      </w:r>
    </w:p>
    <w:p w14:paraId="0B3F98D4" w14:textId="77777777" w:rsidR="00B8723D" w:rsidRPr="00C06787" w:rsidRDefault="00B8723D" w:rsidP="00B8723D">
      <w:pPr>
        <w:pStyle w:val="Numberbullet0"/>
        <w:numPr>
          <w:ilvl w:val="0"/>
          <w:numId w:val="23"/>
        </w:numPr>
      </w:pPr>
      <w:r w:rsidRPr="00C06787">
        <w:t xml:space="preserve">Should the boxed warning be modified to focus more on risks of monotherapy use of </w:t>
      </w:r>
      <w:proofErr w:type="spellStart"/>
      <w:r w:rsidRPr="00C06787">
        <w:t>nivolumab</w:t>
      </w:r>
      <w:proofErr w:type="spellEnd"/>
      <w:r w:rsidRPr="00C06787">
        <w:t>?</w:t>
      </w:r>
    </w:p>
    <w:p w14:paraId="21D6B896" w14:textId="6259E326" w:rsidR="00B8723D" w:rsidRPr="00C06787" w:rsidRDefault="00B8723D" w:rsidP="00B8723D">
      <w:pPr>
        <w:pStyle w:val="Numberbullet0"/>
        <w:numPr>
          <w:ilvl w:val="0"/>
          <w:numId w:val="23"/>
        </w:numPr>
      </w:pPr>
      <w:r w:rsidRPr="00C06787">
        <w:t>What are the ACPM’s views regarding an appropriate level of clinical detail in the PI and healthcare professional tool regardi</w:t>
      </w:r>
      <w:r w:rsidR="001118CF">
        <w:t xml:space="preserve">ng detection and management of </w:t>
      </w:r>
      <w:proofErr w:type="spellStart"/>
      <w:r w:rsidR="00D8296A">
        <w:t>irAE</w:t>
      </w:r>
      <w:r w:rsidRPr="00C06787">
        <w:t>s</w:t>
      </w:r>
      <w:proofErr w:type="spellEnd"/>
      <w:r w:rsidRPr="00C06787">
        <w:t>?</w:t>
      </w:r>
    </w:p>
    <w:p w14:paraId="4574157A" w14:textId="77777777" w:rsidR="00B8723D" w:rsidRPr="00C06787" w:rsidRDefault="00B8723D" w:rsidP="00B8723D">
      <w:pPr>
        <w:pStyle w:val="Numberbullet0"/>
        <w:numPr>
          <w:ilvl w:val="0"/>
          <w:numId w:val="23"/>
        </w:numPr>
      </w:pPr>
      <w:r w:rsidRPr="00C06787">
        <w:t>Does the ACPM have any suggestions about improvements to the patient alert card format or content?</w:t>
      </w:r>
    </w:p>
    <w:p w14:paraId="1168D200" w14:textId="2440DF05" w:rsidR="00B8723D" w:rsidRPr="00C06787" w:rsidRDefault="00B8723D" w:rsidP="00B8723D">
      <w:pPr>
        <w:pStyle w:val="Numberbullet0"/>
        <w:numPr>
          <w:ilvl w:val="0"/>
          <w:numId w:val="23"/>
        </w:numPr>
      </w:pPr>
      <w:r w:rsidRPr="00C06787">
        <w:t>Does the ACPM consider that the risk of myasthenia gravis-like syndromes merits a specific Precaution, or mention w</w:t>
      </w:r>
      <w:r w:rsidR="001118CF">
        <w:t xml:space="preserve">ithin a specific ‘Neurological </w:t>
      </w:r>
      <w:proofErr w:type="spellStart"/>
      <w:r w:rsidR="00D8296A">
        <w:t>irAE</w:t>
      </w:r>
      <w:r w:rsidRPr="00C06787">
        <w:t>s</w:t>
      </w:r>
      <w:proofErr w:type="spellEnd"/>
      <w:r w:rsidRPr="00C06787">
        <w:t>’ Precaution?</w:t>
      </w:r>
    </w:p>
    <w:p w14:paraId="7D4CF3F5" w14:textId="33632A3D" w:rsidR="00B8723D" w:rsidRPr="00C06787" w:rsidRDefault="00B8723D" w:rsidP="00B8723D">
      <w:pPr>
        <w:pStyle w:val="Numberbullet0"/>
        <w:numPr>
          <w:ilvl w:val="0"/>
          <w:numId w:val="23"/>
        </w:numPr>
      </w:pPr>
      <w:r w:rsidRPr="00C06787">
        <w:t>Is there sufficient evidence to s</w:t>
      </w:r>
      <w:r w:rsidR="006458C4">
        <w:t>upport a Precaution about ‘</w:t>
      </w:r>
      <w:r w:rsidR="00DA0837">
        <w:t>systemic inflammatory response syndrome (</w:t>
      </w:r>
      <w:r w:rsidR="006458C4">
        <w:t>SIRS</w:t>
      </w:r>
      <w:r w:rsidR="00DA0837">
        <w:t>), multiple organ</w:t>
      </w:r>
      <w:r w:rsidR="00245959">
        <w:t xml:space="preserve"> dysfunction </w:t>
      </w:r>
      <w:proofErr w:type="gramStart"/>
      <w:r w:rsidR="00245959">
        <w:t>syndrome</w:t>
      </w:r>
      <w:proofErr w:type="gramEnd"/>
      <w:r w:rsidR="00245959">
        <w:t xml:space="preserve"> (MODS), and multiple organ failure (MOF)’</w:t>
      </w:r>
      <w:r w:rsidRPr="00C06787">
        <w:t>?</w:t>
      </w:r>
    </w:p>
    <w:p w14:paraId="1890FE54" w14:textId="706AA980" w:rsidR="00B8723D" w:rsidRDefault="009E6DBB" w:rsidP="00B8723D">
      <w:r>
        <w:lastRenderedPageBreak/>
        <w:t>S</w:t>
      </w:r>
      <w:r w:rsidR="00B8723D" w:rsidRPr="00C06787">
        <w:t xml:space="preserve">ome questions were also directed towards </w:t>
      </w:r>
      <w:r w:rsidR="00B8723D">
        <w:t xml:space="preserve">the sponsor (see </w:t>
      </w:r>
      <w:r w:rsidR="006458C4">
        <w:t>‘Questions for sponsor, below</w:t>
      </w:r>
      <w:r w:rsidR="00B8723D">
        <w:t xml:space="preserve">). </w:t>
      </w:r>
      <w:r w:rsidR="00B8723D" w:rsidRPr="00C06787">
        <w:t>A response to the second ‘</w:t>
      </w:r>
      <w:r>
        <w:t>Q</w:t>
      </w:r>
      <w:r w:rsidRPr="00C06787">
        <w:t xml:space="preserve">uestion </w:t>
      </w:r>
      <w:r w:rsidR="00B8723D" w:rsidRPr="00C06787">
        <w:t>to the sponsor’ may help inform ACPM’s response to Question 6 above.</w:t>
      </w:r>
    </w:p>
    <w:p w14:paraId="32E142BA" w14:textId="06C9B79C" w:rsidR="00B8723D" w:rsidRDefault="00B8723D" w:rsidP="00B8723D">
      <w:pPr>
        <w:pStyle w:val="Heading4"/>
      </w:pPr>
      <w:r>
        <w:t>Questions for sponsor</w:t>
      </w:r>
    </w:p>
    <w:p w14:paraId="1B651932" w14:textId="7FE791B9" w:rsidR="00B8723D" w:rsidRPr="00B8723D" w:rsidRDefault="00B8723D" w:rsidP="00B8723D">
      <w:pPr>
        <w:pStyle w:val="Numberbullet0"/>
        <w:numPr>
          <w:ilvl w:val="0"/>
          <w:numId w:val="25"/>
        </w:numPr>
      </w:pPr>
      <w:r w:rsidRPr="00B8723D">
        <w:t xml:space="preserve">Is there any suggestion of decreased efficacy in the elderly for </w:t>
      </w:r>
      <w:proofErr w:type="spellStart"/>
      <w:r w:rsidRPr="00B8723D">
        <w:t>nivolum</w:t>
      </w:r>
      <w:r>
        <w:t>ab</w:t>
      </w:r>
      <w:proofErr w:type="spellEnd"/>
      <w:r>
        <w:t xml:space="preserve"> across other major studies (for example </w:t>
      </w:r>
      <w:r w:rsidRPr="00B8723D">
        <w:t>in melanoma, NSCLC)?</w:t>
      </w:r>
    </w:p>
    <w:p w14:paraId="03958D94" w14:textId="682ECB33" w:rsidR="00B8723D" w:rsidRPr="00B8723D" w:rsidRDefault="00B8723D" w:rsidP="00B8723D">
      <w:pPr>
        <w:pStyle w:val="Numberbullet0"/>
        <w:numPr>
          <w:ilvl w:val="0"/>
          <w:numId w:val="25"/>
        </w:numPr>
      </w:pPr>
      <w:r w:rsidRPr="00B8723D">
        <w:t>Is there any ev</w:t>
      </w:r>
      <w:r w:rsidR="006458C4">
        <w:t>idence of a higher risk of SIRS/MODS/</w:t>
      </w:r>
      <w:r w:rsidRPr="00B8723D">
        <w:t>MOF wi</w:t>
      </w:r>
      <w:r w:rsidR="0079155B">
        <w:t xml:space="preserve">th combination use of </w:t>
      </w:r>
      <w:proofErr w:type="spellStart"/>
      <w:r w:rsidR="0079155B">
        <w:t>nivolumab</w:t>
      </w:r>
      <w:proofErr w:type="spellEnd"/>
      <w:r w:rsidR="0079155B">
        <w:t>/</w:t>
      </w:r>
      <w:proofErr w:type="spellStart"/>
      <w:r w:rsidRPr="00B8723D">
        <w:t>ipilimumab</w:t>
      </w:r>
      <w:proofErr w:type="spellEnd"/>
      <w:r w:rsidRPr="00B8723D">
        <w:t>?</w:t>
      </w:r>
    </w:p>
    <w:p w14:paraId="2F3DF25E" w14:textId="7B5A7F29" w:rsidR="00AE5322" w:rsidRDefault="00AE5322" w:rsidP="00AE5322">
      <w:pPr>
        <w:pStyle w:val="Heading4"/>
      </w:pPr>
      <w:r w:rsidRPr="00D23139">
        <w:t>R</w:t>
      </w:r>
      <w:r w:rsidR="00562F04">
        <w:t>esponse from sponsor</w:t>
      </w:r>
    </w:p>
    <w:p w14:paraId="1B324277" w14:textId="280AAA13" w:rsidR="00562F04" w:rsidRPr="00562F04" w:rsidRDefault="00562F04" w:rsidP="00562F04">
      <w:pPr>
        <w:rPr>
          <w:lang w:val="en-GB"/>
        </w:rPr>
      </w:pPr>
      <w:r>
        <w:rPr>
          <w:lang w:val="en-GB"/>
        </w:rPr>
        <w:t>The sponsor</w:t>
      </w:r>
      <w:r w:rsidRPr="00562F04">
        <w:rPr>
          <w:lang w:val="en-GB"/>
        </w:rPr>
        <w:t xml:space="preserve"> provides the following comments in relation to questions submitted to the </w:t>
      </w:r>
      <w:r>
        <w:rPr>
          <w:lang w:val="en-GB"/>
        </w:rPr>
        <w:t>ACPM.</w:t>
      </w:r>
    </w:p>
    <w:p w14:paraId="722C962F" w14:textId="24031377" w:rsidR="00562F04" w:rsidRPr="00562F04" w:rsidRDefault="0082062D" w:rsidP="0082062D">
      <w:pPr>
        <w:pStyle w:val="Heading5"/>
        <w:rPr>
          <w:rFonts w:eastAsiaTheme="minorHAnsi"/>
          <w:lang w:val="en-GB"/>
        </w:rPr>
      </w:pPr>
      <w:r w:rsidRPr="00562F04">
        <w:rPr>
          <w:lang w:val="en-GB"/>
        </w:rPr>
        <w:t xml:space="preserve">Sponsor’s responses to questions to </w:t>
      </w:r>
      <w:r>
        <w:rPr>
          <w:lang w:val="en-GB"/>
        </w:rPr>
        <w:t>ACPM</w:t>
      </w:r>
    </w:p>
    <w:p w14:paraId="338A89CD" w14:textId="6CD470F9" w:rsidR="00562F04" w:rsidRPr="0082062D" w:rsidRDefault="0082062D" w:rsidP="0082062D">
      <w:pPr>
        <w:pStyle w:val="Numberbullet0"/>
        <w:numPr>
          <w:ilvl w:val="0"/>
          <w:numId w:val="28"/>
        </w:numPr>
        <w:rPr>
          <w:i/>
          <w:lang w:val="en-GB"/>
        </w:rPr>
      </w:pPr>
      <w:r>
        <w:rPr>
          <w:i/>
          <w:lang w:val="en-GB"/>
        </w:rPr>
        <w:t>‘</w:t>
      </w:r>
      <w:r w:rsidR="00562F04" w:rsidRPr="0082062D">
        <w:rPr>
          <w:i/>
          <w:lang w:val="en-GB"/>
        </w:rPr>
        <w:t>Should the indication be restricted to clear cell RCC (as opposed to RCC)? Should the indication be restricted to patients with prior anti-angiogenic therapy</w:t>
      </w:r>
      <w:r w:rsidRPr="0082062D">
        <w:rPr>
          <w:i/>
          <w:lang w:val="en-GB"/>
        </w:rPr>
        <w:t xml:space="preserve"> (as opposed to prior therapy)?</w:t>
      </w:r>
      <w:r>
        <w:rPr>
          <w:i/>
          <w:lang w:val="en-GB"/>
        </w:rPr>
        <w:t>’</w:t>
      </w:r>
    </w:p>
    <w:p w14:paraId="64D559B5" w14:textId="61111303" w:rsidR="00562F04" w:rsidRPr="00562F04" w:rsidRDefault="00562F04" w:rsidP="00562F04">
      <w:pPr>
        <w:rPr>
          <w:lang w:val="en-GB"/>
        </w:rPr>
      </w:pPr>
      <w:r w:rsidRPr="00562F04">
        <w:rPr>
          <w:lang w:val="en-GB"/>
        </w:rPr>
        <w:t xml:space="preserve">The optimal systemic therapy for non-clear cell </w:t>
      </w:r>
      <w:r w:rsidR="0082062D">
        <w:rPr>
          <w:lang w:val="en-GB"/>
        </w:rPr>
        <w:t xml:space="preserve">renal cell carcinoma </w:t>
      </w:r>
      <w:r w:rsidRPr="00562F04">
        <w:rPr>
          <w:lang w:val="en-GB"/>
        </w:rPr>
        <w:t>remains unclear as limited high-quality clinical efficacy and safety data exist in non-c</w:t>
      </w:r>
      <w:r w:rsidR="001118CF">
        <w:rPr>
          <w:lang w:val="en-GB"/>
        </w:rPr>
        <w:t xml:space="preserve">lear </w:t>
      </w:r>
      <w:r w:rsidRPr="00562F04">
        <w:rPr>
          <w:lang w:val="en-GB"/>
        </w:rPr>
        <w:t>c</w:t>
      </w:r>
      <w:r w:rsidR="001118CF">
        <w:rPr>
          <w:lang w:val="en-GB"/>
        </w:rPr>
        <w:t xml:space="preserve">ell </w:t>
      </w:r>
      <w:r w:rsidRPr="00562F04">
        <w:rPr>
          <w:lang w:val="en-GB"/>
        </w:rPr>
        <w:t>RCC compared to c</w:t>
      </w:r>
      <w:r w:rsidR="001118CF">
        <w:rPr>
          <w:lang w:val="en-GB"/>
        </w:rPr>
        <w:t>lear cell RCC</w:t>
      </w:r>
      <w:r w:rsidR="00CB6E38">
        <w:rPr>
          <w:lang w:val="en-GB"/>
        </w:rPr>
        <w:t>.</w:t>
      </w:r>
      <w:r w:rsidRPr="00562F04">
        <w:rPr>
          <w:lang w:val="en-GB"/>
        </w:rPr>
        <w:t xml:space="preserve"> Therefore, in general, treatment of </w:t>
      </w:r>
      <w:r w:rsidR="002C6914">
        <w:rPr>
          <w:lang w:val="en-GB"/>
        </w:rPr>
        <w:t>non-c</w:t>
      </w:r>
      <w:r w:rsidR="00CB6E38">
        <w:rPr>
          <w:lang w:val="en-GB"/>
        </w:rPr>
        <w:t xml:space="preserve">lear </w:t>
      </w:r>
      <w:r w:rsidR="002C6914">
        <w:rPr>
          <w:lang w:val="en-GB"/>
        </w:rPr>
        <w:t>c</w:t>
      </w:r>
      <w:r w:rsidR="00CB6E38">
        <w:rPr>
          <w:lang w:val="en-GB"/>
        </w:rPr>
        <w:t xml:space="preserve">ell </w:t>
      </w:r>
      <w:r w:rsidR="002C6914">
        <w:rPr>
          <w:lang w:val="en-GB"/>
        </w:rPr>
        <w:t>RCC mirrors that of c</w:t>
      </w:r>
      <w:r w:rsidR="00CB6E38">
        <w:rPr>
          <w:lang w:val="en-GB"/>
        </w:rPr>
        <w:t xml:space="preserve">lear cell </w:t>
      </w:r>
      <w:r w:rsidR="002C6914">
        <w:rPr>
          <w:lang w:val="en-GB"/>
        </w:rPr>
        <w:t>RCC</w:t>
      </w:r>
      <w:r w:rsidR="0082062D">
        <w:rPr>
          <w:lang w:val="en-GB"/>
        </w:rPr>
        <w:t>.</w:t>
      </w:r>
      <w:r w:rsidR="002C6914">
        <w:rPr>
          <w:rStyle w:val="FootnoteReference"/>
          <w:lang w:val="en-GB"/>
        </w:rPr>
        <w:footnoteReference w:id="13"/>
      </w:r>
    </w:p>
    <w:p w14:paraId="67DF6598" w14:textId="0C5CD032" w:rsidR="00562F04" w:rsidRPr="00562F04" w:rsidRDefault="00562F04" w:rsidP="00562F04">
      <w:pPr>
        <w:rPr>
          <w:lang w:val="en-GB"/>
        </w:rPr>
      </w:pPr>
      <w:r w:rsidRPr="00562F04">
        <w:rPr>
          <w:lang w:val="en-GB"/>
        </w:rPr>
        <w:t xml:space="preserve">Currently </w:t>
      </w:r>
      <w:r w:rsidR="0082062D">
        <w:rPr>
          <w:lang w:val="en-GB"/>
        </w:rPr>
        <w:t>TGA-</w:t>
      </w:r>
      <w:r w:rsidRPr="00562F04">
        <w:rPr>
          <w:lang w:val="en-GB"/>
        </w:rPr>
        <w:t>approved indications for advanced RCC are not restricted by histology even when no, or very limited, study results were available for patients with non-c</w:t>
      </w:r>
      <w:r w:rsidR="00CB6E38">
        <w:rPr>
          <w:lang w:val="en-GB"/>
        </w:rPr>
        <w:t xml:space="preserve">lear </w:t>
      </w:r>
      <w:r w:rsidRPr="00562F04">
        <w:rPr>
          <w:lang w:val="en-GB"/>
        </w:rPr>
        <w:t>c</w:t>
      </w:r>
      <w:r w:rsidR="00CB6E38">
        <w:rPr>
          <w:lang w:val="en-GB"/>
        </w:rPr>
        <w:t xml:space="preserve">ell </w:t>
      </w:r>
      <w:r w:rsidRPr="00562F04">
        <w:rPr>
          <w:lang w:val="en-GB"/>
        </w:rPr>
        <w:t>RCC to support registration. Given the lack of other second-line treatment options for which there is strong evidence of a clinical benefit in non-c</w:t>
      </w:r>
      <w:r w:rsidR="00CB6E38">
        <w:rPr>
          <w:lang w:val="en-GB"/>
        </w:rPr>
        <w:t xml:space="preserve">lear </w:t>
      </w:r>
      <w:r w:rsidRPr="00562F04">
        <w:rPr>
          <w:lang w:val="en-GB"/>
        </w:rPr>
        <w:t>c</w:t>
      </w:r>
      <w:r w:rsidR="00CB6E38">
        <w:rPr>
          <w:lang w:val="en-GB"/>
        </w:rPr>
        <w:t xml:space="preserve">ell </w:t>
      </w:r>
      <w:r w:rsidRPr="00562F04">
        <w:rPr>
          <w:lang w:val="en-GB"/>
        </w:rPr>
        <w:t xml:space="preserve">RCC and the lack of clinical rationale suggesting that the activity of </w:t>
      </w:r>
      <w:proofErr w:type="spellStart"/>
      <w:r w:rsidRPr="00562F04">
        <w:rPr>
          <w:lang w:val="en-GB"/>
        </w:rPr>
        <w:t>nivolumab</w:t>
      </w:r>
      <w:proofErr w:type="spellEnd"/>
      <w:r w:rsidRPr="00562F04">
        <w:rPr>
          <w:lang w:val="en-GB"/>
        </w:rPr>
        <w:t xml:space="preserve"> would be limited to the clear-cell population, </w:t>
      </w:r>
      <w:r w:rsidR="005F2E16">
        <w:rPr>
          <w:lang w:val="en-GB"/>
        </w:rPr>
        <w:t>t</w:t>
      </w:r>
      <w:r w:rsidR="0082062D">
        <w:rPr>
          <w:lang w:val="en-GB"/>
        </w:rPr>
        <w:t>he sponsor</w:t>
      </w:r>
      <w:r w:rsidRPr="00562F04">
        <w:rPr>
          <w:lang w:val="en-GB"/>
        </w:rPr>
        <w:t xml:space="preserve"> proposes to retain an indication unrestricted by histology, consis</w:t>
      </w:r>
      <w:r w:rsidR="0082062D">
        <w:rPr>
          <w:lang w:val="en-GB"/>
        </w:rPr>
        <w:t>tent with regulatory precedent.</w:t>
      </w:r>
    </w:p>
    <w:p w14:paraId="00496731" w14:textId="5FABC0F7" w:rsidR="00562F04" w:rsidRPr="00562F04" w:rsidRDefault="0082062D" w:rsidP="00562F04">
      <w:pPr>
        <w:rPr>
          <w:lang w:val="en-GB"/>
        </w:rPr>
      </w:pPr>
      <w:r>
        <w:rPr>
          <w:lang w:val="en-GB"/>
        </w:rPr>
        <w:t>The sponsor has noted the clinical evaluator’s</w:t>
      </w:r>
      <w:r w:rsidR="00562F04" w:rsidRPr="00562F04">
        <w:rPr>
          <w:lang w:val="en-GB"/>
        </w:rPr>
        <w:t xml:space="preserve"> concern that the propo</w:t>
      </w:r>
      <w:r>
        <w:rPr>
          <w:lang w:val="en-GB"/>
        </w:rPr>
        <w:t>sed term ‘prior therapy’</w:t>
      </w:r>
      <w:r w:rsidR="00562F04" w:rsidRPr="00562F04">
        <w:rPr>
          <w:lang w:val="en-GB"/>
        </w:rPr>
        <w:t xml:space="preserve"> could be misinterpreted to mean any therapy including surgery and radiotherapy. For clarity, and to address this concern, </w:t>
      </w:r>
      <w:r w:rsidR="009E6DBB">
        <w:rPr>
          <w:lang w:val="en-GB"/>
        </w:rPr>
        <w:t>the sponsor</w:t>
      </w:r>
      <w:r w:rsidR="009E6DBB" w:rsidRPr="00562F04">
        <w:rPr>
          <w:lang w:val="en-GB"/>
        </w:rPr>
        <w:t xml:space="preserve"> </w:t>
      </w:r>
      <w:r w:rsidR="00562F04" w:rsidRPr="00562F04">
        <w:rPr>
          <w:lang w:val="en-GB"/>
        </w:rPr>
        <w:t>propose</w:t>
      </w:r>
      <w:r w:rsidR="009E6DBB">
        <w:rPr>
          <w:lang w:val="en-GB"/>
        </w:rPr>
        <w:t>s</w:t>
      </w:r>
      <w:r w:rsidR="00562F04" w:rsidRPr="00562F04">
        <w:rPr>
          <w:lang w:val="en-GB"/>
        </w:rPr>
        <w:t xml:space="preserve"> to a</w:t>
      </w:r>
      <w:r>
        <w:rPr>
          <w:lang w:val="en-GB"/>
        </w:rPr>
        <w:t>mend the indication to specify ‘prior systemic therapy’</w:t>
      </w:r>
      <w:r w:rsidR="00562F04" w:rsidRPr="00562F04">
        <w:rPr>
          <w:lang w:val="en-GB"/>
        </w:rPr>
        <w:t xml:space="preserve">. This is also aligned with currently TGA-approved RCC indication statements. </w:t>
      </w:r>
    </w:p>
    <w:p w14:paraId="1B0876A7" w14:textId="17581CA9" w:rsidR="00562F04" w:rsidRPr="00562F04" w:rsidRDefault="00562F04" w:rsidP="00562F04">
      <w:pPr>
        <w:rPr>
          <w:lang w:val="en-GB"/>
        </w:rPr>
      </w:pPr>
      <w:r w:rsidRPr="00562F04">
        <w:rPr>
          <w:lang w:val="en-GB"/>
        </w:rPr>
        <w:t xml:space="preserve">For these reasons, </w:t>
      </w:r>
      <w:r w:rsidR="0082062D">
        <w:rPr>
          <w:lang w:val="en-GB"/>
        </w:rPr>
        <w:t>the sponsor</w:t>
      </w:r>
      <w:r w:rsidRPr="00562F04">
        <w:rPr>
          <w:lang w:val="en-GB"/>
        </w:rPr>
        <w:t xml:space="preserve"> proposes the followi</w:t>
      </w:r>
      <w:r w:rsidR="0082062D">
        <w:rPr>
          <w:lang w:val="en-GB"/>
        </w:rPr>
        <w:t>ng amendment to the indication:</w:t>
      </w:r>
    </w:p>
    <w:p w14:paraId="2EBCB2D2" w14:textId="4F265647" w:rsidR="00562F04" w:rsidRPr="0082062D" w:rsidRDefault="0082062D" w:rsidP="0082062D">
      <w:pPr>
        <w:ind w:left="720"/>
        <w:rPr>
          <w:i/>
          <w:lang w:val="en-GB"/>
        </w:rPr>
      </w:pPr>
      <w:r w:rsidRPr="0082062D">
        <w:rPr>
          <w:i/>
          <w:lang w:val="en-GB"/>
        </w:rPr>
        <w:t>‘</w:t>
      </w:r>
      <w:proofErr w:type="spellStart"/>
      <w:r w:rsidRPr="0082062D">
        <w:rPr>
          <w:i/>
          <w:lang w:val="en-GB"/>
        </w:rPr>
        <w:t>Opdivo</w:t>
      </w:r>
      <w:proofErr w:type="spellEnd"/>
      <w:r w:rsidRPr="0082062D">
        <w:rPr>
          <w:i/>
          <w:lang w:val="en-GB"/>
        </w:rPr>
        <w:t>,</w:t>
      </w:r>
      <w:r w:rsidR="00562F04" w:rsidRPr="0082062D">
        <w:rPr>
          <w:i/>
          <w:lang w:val="en-GB"/>
        </w:rPr>
        <w:t xml:space="preserve"> as monotherapy is indicated for the treatment of patients with advanced renal cell carcinoma (RCC) after pri</w:t>
      </w:r>
      <w:r w:rsidRPr="0082062D">
        <w:rPr>
          <w:i/>
          <w:lang w:val="en-GB"/>
        </w:rPr>
        <w:t>or systemic therapy in adults.’</w:t>
      </w:r>
    </w:p>
    <w:p w14:paraId="1824F576" w14:textId="79F54D7B" w:rsidR="00562F04" w:rsidRPr="00562F04" w:rsidRDefault="0082062D" w:rsidP="00562F04">
      <w:pPr>
        <w:rPr>
          <w:lang w:val="en-GB"/>
        </w:rPr>
      </w:pPr>
      <w:r>
        <w:rPr>
          <w:lang w:val="en-GB"/>
        </w:rPr>
        <w:t>In line with the above, the sponsor</w:t>
      </w:r>
      <w:r w:rsidR="00562F04" w:rsidRPr="00562F04">
        <w:rPr>
          <w:lang w:val="en-GB"/>
        </w:rPr>
        <w:t xml:space="preserve"> also proposes amendments to the </w:t>
      </w:r>
      <w:r>
        <w:rPr>
          <w:lang w:val="en-GB"/>
        </w:rPr>
        <w:t>‘Clinical Trials’ section, to specify that ‘</w:t>
      </w:r>
      <w:r w:rsidR="00562F04" w:rsidRPr="00562F04">
        <w:rPr>
          <w:lang w:val="en-GB"/>
        </w:rPr>
        <w:t>All patients had RCC with</w:t>
      </w:r>
      <w:r>
        <w:rPr>
          <w:lang w:val="en-GB"/>
        </w:rPr>
        <w:t xml:space="preserve"> clear cell histology component’ in Study CA209025.</w:t>
      </w:r>
    </w:p>
    <w:p w14:paraId="5CE97B2B" w14:textId="2D4D387D" w:rsidR="00562F04" w:rsidRPr="00562F04" w:rsidRDefault="00562F04" w:rsidP="00562F04">
      <w:pPr>
        <w:rPr>
          <w:lang w:val="en-GB"/>
        </w:rPr>
      </w:pPr>
      <w:r w:rsidRPr="00562F04">
        <w:rPr>
          <w:lang w:val="en-GB"/>
        </w:rPr>
        <w:t xml:space="preserve">In summary, </w:t>
      </w:r>
      <w:r w:rsidR="0082062D">
        <w:rPr>
          <w:lang w:val="en-GB"/>
        </w:rPr>
        <w:t>the sponsor</w:t>
      </w:r>
      <w:r w:rsidRPr="00562F04">
        <w:rPr>
          <w:lang w:val="en-GB"/>
        </w:rPr>
        <w:t xml:space="preserve"> believes that the indication for </w:t>
      </w:r>
      <w:proofErr w:type="spellStart"/>
      <w:r w:rsidRPr="00562F04">
        <w:rPr>
          <w:lang w:val="en-GB"/>
        </w:rPr>
        <w:t>nivolumab</w:t>
      </w:r>
      <w:proofErr w:type="spellEnd"/>
      <w:r w:rsidRPr="00562F04">
        <w:rPr>
          <w:lang w:val="en-GB"/>
        </w:rPr>
        <w:t xml:space="preserve"> should be aligned with other approved medicines in Australia based on similar clinical trial evidence, thus facilitating a consistent interpretation of </w:t>
      </w:r>
      <w:r w:rsidR="0082062D">
        <w:rPr>
          <w:lang w:val="en-GB"/>
        </w:rPr>
        <w:t>RCC indications by prescribers.</w:t>
      </w:r>
    </w:p>
    <w:p w14:paraId="04270F85" w14:textId="00E1E619" w:rsidR="00562F04" w:rsidRPr="0082062D" w:rsidRDefault="0082062D" w:rsidP="0082062D">
      <w:pPr>
        <w:pStyle w:val="Numberbullet0"/>
        <w:rPr>
          <w:i/>
          <w:lang w:val="en-GB"/>
        </w:rPr>
      </w:pPr>
      <w:r w:rsidRPr="0082062D">
        <w:rPr>
          <w:i/>
          <w:lang w:val="en-GB"/>
        </w:rPr>
        <w:t>‘</w:t>
      </w:r>
      <w:r w:rsidR="00562F04" w:rsidRPr="0082062D">
        <w:rPr>
          <w:i/>
          <w:lang w:val="en-GB"/>
        </w:rPr>
        <w:t>Should the boxed warning be modified to focus more on risks o</w:t>
      </w:r>
      <w:r w:rsidRPr="0082062D">
        <w:rPr>
          <w:i/>
          <w:lang w:val="en-GB"/>
        </w:rPr>
        <w:t xml:space="preserve">f monotherapy use of </w:t>
      </w:r>
      <w:proofErr w:type="spellStart"/>
      <w:r w:rsidRPr="0082062D">
        <w:rPr>
          <w:i/>
          <w:lang w:val="en-GB"/>
        </w:rPr>
        <w:t>nivolumab</w:t>
      </w:r>
      <w:proofErr w:type="spellEnd"/>
      <w:r w:rsidRPr="0082062D">
        <w:rPr>
          <w:i/>
          <w:lang w:val="en-GB"/>
        </w:rPr>
        <w:t>?’</w:t>
      </w:r>
    </w:p>
    <w:p w14:paraId="698B0E32" w14:textId="059BBD5E" w:rsidR="00562F04" w:rsidRPr="00562F04" w:rsidRDefault="0082062D" w:rsidP="00562F04">
      <w:pPr>
        <w:rPr>
          <w:lang w:val="en-GB"/>
        </w:rPr>
      </w:pPr>
      <w:r>
        <w:rPr>
          <w:lang w:val="en-GB"/>
        </w:rPr>
        <w:lastRenderedPageBreak/>
        <w:t>The sponsor strongly disagrees with the clinical evaluator’</w:t>
      </w:r>
      <w:r w:rsidR="00562F04" w:rsidRPr="00562F04">
        <w:rPr>
          <w:lang w:val="en-GB"/>
        </w:rPr>
        <w:t xml:space="preserve">s recommendation that the PI boxed warning should be broadened to include the risks of </w:t>
      </w:r>
      <w:proofErr w:type="spellStart"/>
      <w:r w:rsidR="00562F04" w:rsidRPr="00562F04">
        <w:rPr>
          <w:lang w:val="en-GB"/>
        </w:rPr>
        <w:t>nivolumab</w:t>
      </w:r>
      <w:proofErr w:type="spellEnd"/>
      <w:r w:rsidR="00562F04" w:rsidRPr="00562F04">
        <w:rPr>
          <w:lang w:val="en-GB"/>
        </w:rPr>
        <w:t xml:space="preserve"> monotherapy as the </w:t>
      </w:r>
      <w:proofErr w:type="spellStart"/>
      <w:r w:rsidR="00562F04" w:rsidRPr="00562F04">
        <w:rPr>
          <w:lang w:val="en-GB"/>
        </w:rPr>
        <w:t>nivolumab</w:t>
      </w:r>
      <w:proofErr w:type="spellEnd"/>
      <w:r w:rsidR="00562F04" w:rsidRPr="00562F04">
        <w:rPr>
          <w:lang w:val="en-GB"/>
        </w:rPr>
        <w:t xml:space="preserve"> monotherapy safety profile has remained unchanged relative to that of the combination with </w:t>
      </w:r>
      <w:proofErr w:type="spellStart"/>
      <w:r w:rsidR="00562F04" w:rsidRPr="00562F04">
        <w:rPr>
          <w:lang w:val="en-GB"/>
        </w:rPr>
        <w:t>nivolumab</w:t>
      </w:r>
      <w:proofErr w:type="spellEnd"/>
      <w:r w:rsidR="00562F04" w:rsidRPr="00562F04">
        <w:rPr>
          <w:lang w:val="en-GB"/>
        </w:rPr>
        <w:t xml:space="preserve"> and </w:t>
      </w:r>
      <w:proofErr w:type="spellStart"/>
      <w:r w:rsidR="00562F04" w:rsidRPr="00562F04">
        <w:rPr>
          <w:lang w:val="en-GB"/>
        </w:rPr>
        <w:t>ip</w:t>
      </w:r>
      <w:r>
        <w:rPr>
          <w:lang w:val="en-GB"/>
        </w:rPr>
        <w:t>ilimumab</w:t>
      </w:r>
      <w:proofErr w:type="spellEnd"/>
      <w:r>
        <w:rPr>
          <w:lang w:val="en-GB"/>
        </w:rPr>
        <w:t xml:space="preserve"> (combination therapy).</w:t>
      </w:r>
    </w:p>
    <w:p w14:paraId="16AC8CCD" w14:textId="3DCD7929" w:rsidR="00562F04" w:rsidRPr="00562F04" w:rsidRDefault="00562F04" w:rsidP="00562F04">
      <w:pPr>
        <w:rPr>
          <w:lang w:val="en-GB"/>
        </w:rPr>
      </w:pPr>
      <w:r w:rsidRPr="00562F04">
        <w:rPr>
          <w:lang w:val="en-GB"/>
        </w:rPr>
        <w:t xml:space="preserve">During the evaluation of the initial registration of </w:t>
      </w:r>
      <w:proofErr w:type="spellStart"/>
      <w:r w:rsidR="0082062D">
        <w:rPr>
          <w:lang w:val="en-GB"/>
        </w:rPr>
        <w:t>Opdivo</w:t>
      </w:r>
      <w:proofErr w:type="spellEnd"/>
      <w:r w:rsidR="0082062D">
        <w:rPr>
          <w:lang w:val="en-GB"/>
        </w:rPr>
        <w:t xml:space="preserve"> the Delegate concluded that, </w:t>
      </w:r>
      <w:r w:rsidR="0082062D" w:rsidRPr="0082062D">
        <w:rPr>
          <w:i/>
          <w:lang w:val="en-GB"/>
        </w:rPr>
        <w:t>‘</w:t>
      </w:r>
      <w:r w:rsidRPr="0082062D">
        <w:rPr>
          <w:i/>
          <w:lang w:val="en-GB"/>
        </w:rPr>
        <w:t xml:space="preserve">Relative to </w:t>
      </w:r>
      <w:proofErr w:type="spellStart"/>
      <w:r w:rsidRPr="0082062D">
        <w:rPr>
          <w:i/>
          <w:lang w:val="en-GB"/>
        </w:rPr>
        <w:t>nivolumab</w:t>
      </w:r>
      <w:proofErr w:type="spellEnd"/>
      <w:r w:rsidRPr="0082062D">
        <w:rPr>
          <w:i/>
          <w:lang w:val="en-GB"/>
        </w:rPr>
        <w:t xml:space="preserve"> monotherapy, there is a major step-up in toxicity with additi</w:t>
      </w:r>
      <w:r w:rsidR="0082062D" w:rsidRPr="0082062D">
        <w:rPr>
          <w:i/>
          <w:lang w:val="en-GB"/>
        </w:rPr>
        <w:t xml:space="preserve">on of </w:t>
      </w:r>
      <w:proofErr w:type="spellStart"/>
      <w:r w:rsidR="0082062D" w:rsidRPr="0082062D">
        <w:rPr>
          <w:i/>
          <w:lang w:val="en-GB"/>
        </w:rPr>
        <w:t>ipilimumab</w:t>
      </w:r>
      <w:proofErr w:type="spellEnd"/>
      <w:r w:rsidR="0082062D" w:rsidRPr="0082062D">
        <w:rPr>
          <w:i/>
          <w:lang w:val="en-GB"/>
        </w:rPr>
        <w:t xml:space="preserve"> to the regimen’</w:t>
      </w:r>
      <w:r w:rsidRPr="00562F04">
        <w:rPr>
          <w:lang w:val="en-GB"/>
        </w:rPr>
        <w:t xml:space="preserve"> and requested a</w:t>
      </w:r>
      <w:r w:rsidR="0082062D">
        <w:rPr>
          <w:lang w:val="en-GB"/>
        </w:rPr>
        <w:t xml:space="preserve"> Boxed Warning to reflect this.</w:t>
      </w:r>
    </w:p>
    <w:p w14:paraId="74A258E1" w14:textId="4F38A526" w:rsidR="00562F04" w:rsidRPr="00562F04" w:rsidRDefault="00562F04" w:rsidP="00562F04">
      <w:pPr>
        <w:rPr>
          <w:lang w:val="en-GB"/>
        </w:rPr>
      </w:pPr>
      <w:r w:rsidRPr="00562F04">
        <w:rPr>
          <w:lang w:val="en-GB"/>
        </w:rPr>
        <w:t xml:space="preserve">With increased usage and exposure levels of </w:t>
      </w:r>
      <w:proofErr w:type="spellStart"/>
      <w:r w:rsidRPr="00562F04">
        <w:rPr>
          <w:lang w:val="en-GB"/>
        </w:rPr>
        <w:t>nivolumab</w:t>
      </w:r>
      <w:proofErr w:type="spellEnd"/>
      <w:r w:rsidRPr="00562F04">
        <w:rPr>
          <w:lang w:val="en-GB"/>
        </w:rPr>
        <w:t xml:space="preserve"> monotherapy, the event count of </w:t>
      </w:r>
      <w:r w:rsidR="0082062D">
        <w:rPr>
          <w:lang w:val="en-GB"/>
        </w:rPr>
        <w:t>AEs</w:t>
      </w:r>
      <w:r w:rsidRPr="00562F04">
        <w:rPr>
          <w:lang w:val="en-GB"/>
        </w:rPr>
        <w:t xml:space="preserve"> has increased as would be expected. However, it is important to note that there has been no change in the event frequency for </w:t>
      </w:r>
      <w:proofErr w:type="spellStart"/>
      <w:r w:rsidR="0082062D">
        <w:rPr>
          <w:lang w:val="en-GB"/>
        </w:rPr>
        <w:t>irARs</w:t>
      </w:r>
      <w:proofErr w:type="spellEnd"/>
      <w:r w:rsidRPr="00562F04">
        <w:rPr>
          <w:lang w:val="en-GB"/>
        </w:rPr>
        <w:t xml:space="preserve"> since the initial approva</w:t>
      </w:r>
      <w:r w:rsidR="0082062D">
        <w:rPr>
          <w:lang w:val="en-GB"/>
        </w:rPr>
        <w:t xml:space="preserve">l of </w:t>
      </w:r>
      <w:proofErr w:type="spellStart"/>
      <w:r w:rsidR="0082062D">
        <w:rPr>
          <w:lang w:val="en-GB"/>
        </w:rPr>
        <w:t>nivolumab</w:t>
      </w:r>
      <w:proofErr w:type="spellEnd"/>
      <w:r w:rsidR="0082062D">
        <w:rPr>
          <w:lang w:val="en-GB"/>
        </w:rPr>
        <w:t xml:space="preserve"> in Australia (14 </w:t>
      </w:r>
      <w:r w:rsidRPr="00562F04">
        <w:rPr>
          <w:lang w:val="en-GB"/>
        </w:rPr>
        <w:t>Jan</w:t>
      </w:r>
      <w:r w:rsidR="0082062D">
        <w:rPr>
          <w:lang w:val="en-GB"/>
        </w:rPr>
        <w:t xml:space="preserve">uary </w:t>
      </w:r>
      <w:r w:rsidRPr="00562F04">
        <w:rPr>
          <w:lang w:val="en-GB"/>
        </w:rPr>
        <w:t xml:space="preserve">2016), as illustrated by </w:t>
      </w:r>
      <w:r w:rsidR="00CB6E38" w:rsidRPr="00CB6E38">
        <w:rPr>
          <w:lang w:val="en-GB"/>
        </w:rPr>
        <w:t>Table 15</w:t>
      </w:r>
      <w:r w:rsidR="0082062D">
        <w:rPr>
          <w:lang w:val="en-GB"/>
        </w:rPr>
        <w:t>, below.</w:t>
      </w:r>
    </w:p>
    <w:p w14:paraId="1338A9B9" w14:textId="54045D18" w:rsidR="00562F04" w:rsidRDefault="00562F04" w:rsidP="00562F04">
      <w:pPr>
        <w:rPr>
          <w:lang w:val="en-GB"/>
        </w:rPr>
      </w:pPr>
      <w:r w:rsidRPr="00562F04">
        <w:rPr>
          <w:lang w:val="en-GB"/>
        </w:rPr>
        <w:t xml:space="preserve">During this period, the cumulative exposure to </w:t>
      </w:r>
      <w:proofErr w:type="spellStart"/>
      <w:r w:rsidRPr="00562F04">
        <w:rPr>
          <w:lang w:val="en-GB"/>
        </w:rPr>
        <w:t>nivolumab</w:t>
      </w:r>
      <w:proofErr w:type="spellEnd"/>
      <w:r w:rsidRPr="00562F04">
        <w:rPr>
          <w:lang w:val="en-GB"/>
        </w:rPr>
        <w:t xml:space="preserve"> in </w:t>
      </w:r>
      <w:r w:rsidR="005F2E16">
        <w:rPr>
          <w:lang w:val="en-GB"/>
        </w:rPr>
        <w:t>clinical trial</w:t>
      </w:r>
      <w:r w:rsidRPr="00562F04">
        <w:rPr>
          <w:lang w:val="en-GB"/>
        </w:rPr>
        <w:t xml:space="preserve">s, early patient access programs, and post-market use has increased from 38,556 to 68,069; this analysis is therefore based on the largest available safety database for </w:t>
      </w:r>
      <w:r w:rsidR="005F2E16">
        <w:rPr>
          <w:lang w:val="en-GB"/>
        </w:rPr>
        <w:t>an immuno-oncology</w:t>
      </w:r>
      <w:r w:rsidR="00E01283">
        <w:rPr>
          <w:lang w:val="en-GB"/>
        </w:rPr>
        <w:t xml:space="preserve"> agent.</w:t>
      </w:r>
    </w:p>
    <w:p w14:paraId="7013C8D4" w14:textId="21E6458B" w:rsidR="00D512A6" w:rsidRPr="00562F04" w:rsidRDefault="00D512A6" w:rsidP="00D512A6">
      <w:pPr>
        <w:pStyle w:val="Tabletitle0"/>
        <w:rPr>
          <w:lang w:val="en-GB"/>
        </w:rPr>
      </w:pPr>
      <w:proofErr w:type="gramStart"/>
      <w:r>
        <w:rPr>
          <w:lang w:val="en-GB"/>
        </w:rPr>
        <w:t>Table 1</w:t>
      </w:r>
      <w:r w:rsidR="005F2E16">
        <w:rPr>
          <w:lang w:val="en-GB"/>
        </w:rPr>
        <w:t>5</w:t>
      </w:r>
      <w:r>
        <w:rPr>
          <w:lang w:val="en-GB"/>
        </w:rPr>
        <w:t>.</w:t>
      </w:r>
      <w:proofErr w:type="gramEnd"/>
      <w:r>
        <w:rPr>
          <w:lang w:val="en-GB"/>
        </w:rPr>
        <w:t xml:space="preserve"> Cumulative event frequency of Grade 1 to 5 s</w:t>
      </w:r>
      <w:r w:rsidRPr="00D512A6">
        <w:rPr>
          <w:lang w:val="en-GB"/>
        </w:rPr>
        <w:t xml:space="preserve">elected </w:t>
      </w:r>
      <w:proofErr w:type="spellStart"/>
      <w:r w:rsidRPr="00D512A6">
        <w:rPr>
          <w:lang w:val="en-GB"/>
        </w:rPr>
        <w:t>irARs</w:t>
      </w:r>
      <w:proofErr w:type="spellEnd"/>
      <w:r w:rsidRPr="00D512A6">
        <w:rPr>
          <w:lang w:val="en-GB"/>
        </w:rPr>
        <w:t xml:space="preserve"> from </w:t>
      </w:r>
      <w:r>
        <w:rPr>
          <w:lang w:val="en-GB"/>
        </w:rPr>
        <w:t>clinical trials by Month (2016)</w:t>
      </w:r>
    </w:p>
    <w:p w14:paraId="59CD5116" w14:textId="73306427" w:rsidR="00562F04" w:rsidRDefault="00D512A6" w:rsidP="00562F04">
      <w:r w:rsidRPr="00D512A6">
        <w:rPr>
          <w:noProof/>
          <w:lang w:eastAsia="en-AU"/>
        </w:rPr>
        <w:drawing>
          <wp:inline distT="0" distB="0" distL="0" distR="0" wp14:anchorId="227F239B" wp14:editId="09E08C91">
            <wp:extent cx="5400040" cy="2654533"/>
            <wp:effectExtent l="0" t="0" r="0" b="0"/>
            <wp:docPr id="1" name="Picture 1" descr="Table 15. Cumulative event frequency of Grade 1 to 5 selected irARs from clinical trials by Month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39"/>
                    <a:stretch/>
                  </pic:blipFill>
                  <pic:spPr bwMode="auto">
                    <a:xfrm>
                      <a:off x="0" y="0"/>
                      <a:ext cx="5400040" cy="2654533"/>
                    </a:xfrm>
                    <a:prstGeom prst="rect">
                      <a:avLst/>
                    </a:prstGeom>
                    <a:ln>
                      <a:noFill/>
                    </a:ln>
                    <a:extLst>
                      <a:ext uri="{53640926-AAD7-44D8-BBD7-CCE9431645EC}">
                        <a14:shadowObscured xmlns:a14="http://schemas.microsoft.com/office/drawing/2010/main"/>
                      </a:ext>
                    </a:extLst>
                  </pic:spPr>
                </pic:pic>
              </a:graphicData>
            </a:graphic>
          </wp:inline>
        </w:drawing>
      </w:r>
    </w:p>
    <w:p w14:paraId="4D17D57B" w14:textId="1811F9C3" w:rsidR="00D512A6" w:rsidRPr="00D512A6" w:rsidRDefault="00D512A6" w:rsidP="00D512A6">
      <w:pPr>
        <w:rPr>
          <w:lang w:val="en-GB"/>
        </w:rPr>
      </w:pPr>
      <w:r w:rsidRPr="00D512A6">
        <w:rPr>
          <w:lang w:val="en-GB"/>
        </w:rPr>
        <w:t xml:space="preserve">Critically, each </w:t>
      </w:r>
      <w:proofErr w:type="spellStart"/>
      <w:r w:rsidRPr="00D512A6">
        <w:rPr>
          <w:lang w:val="en-GB"/>
        </w:rPr>
        <w:t>irAR</w:t>
      </w:r>
      <w:proofErr w:type="spellEnd"/>
      <w:r w:rsidRPr="00D512A6">
        <w:rPr>
          <w:lang w:val="en-GB"/>
        </w:rPr>
        <w:t xml:space="preserve"> frequency remains substantially lower for </w:t>
      </w:r>
      <w:proofErr w:type="spellStart"/>
      <w:r w:rsidRPr="00D512A6">
        <w:rPr>
          <w:lang w:val="en-GB"/>
        </w:rPr>
        <w:t>nivolumab</w:t>
      </w:r>
      <w:proofErr w:type="spellEnd"/>
      <w:r w:rsidRPr="00D512A6">
        <w:rPr>
          <w:lang w:val="en-GB"/>
        </w:rPr>
        <w:t xml:space="preserve"> monotherapy compared to combination therapy, therefore r</w:t>
      </w:r>
      <w:r>
        <w:rPr>
          <w:lang w:val="en-GB"/>
        </w:rPr>
        <w:t>etaining a distinct difference.</w:t>
      </w:r>
    </w:p>
    <w:p w14:paraId="2665A674" w14:textId="27A5CB8F" w:rsidR="00D512A6" w:rsidRPr="00D512A6" w:rsidRDefault="00D512A6" w:rsidP="00D512A6">
      <w:pPr>
        <w:rPr>
          <w:lang w:val="en-GB"/>
        </w:rPr>
      </w:pPr>
      <w:r w:rsidRPr="00D512A6">
        <w:rPr>
          <w:lang w:val="en-GB"/>
        </w:rPr>
        <w:t xml:space="preserve">Relevant precautions for both </w:t>
      </w:r>
      <w:proofErr w:type="spellStart"/>
      <w:r w:rsidRPr="00D512A6">
        <w:rPr>
          <w:lang w:val="en-GB"/>
        </w:rPr>
        <w:t>nivolumab</w:t>
      </w:r>
      <w:proofErr w:type="spellEnd"/>
      <w:r w:rsidRPr="00D512A6">
        <w:rPr>
          <w:lang w:val="en-GB"/>
        </w:rPr>
        <w:t xml:space="preserve"> monotherapy and combination therapy are already </w:t>
      </w:r>
      <w:r>
        <w:rPr>
          <w:lang w:val="en-GB"/>
        </w:rPr>
        <w:t>captured prominently in the PI.</w:t>
      </w:r>
    </w:p>
    <w:p w14:paraId="24AF70A8" w14:textId="702221CA" w:rsidR="00D512A6" w:rsidRDefault="00D512A6" w:rsidP="00D512A6">
      <w:pPr>
        <w:rPr>
          <w:lang w:val="en-GB"/>
        </w:rPr>
      </w:pPr>
      <w:r w:rsidRPr="00D512A6">
        <w:rPr>
          <w:lang w:val="en-GB"/>
        </w:rPr>
        <w:t xml:space="preserve">With the large increase in cumulative exposure to </w:t>
      </w:r>
      <w:proofErr w:type="spellStart"/>
      <w:r w:rsidRPr="00D512A6">
        <w:rPr>
          <w:lang w:val="en-GB"/>
        </w:rPr>
        <w:t>nivolumab</w:t>
      </w:r>
      <w:proofErr w:type="spellEnd"/>
      <w:r w:rsidRPr="00D512A6">
        <w:rPr>
          <w:lang w:val="en-GB"/>
        </w:rPr>
        <w:t>, there have been additional cases of less frequent AEs in recent months (</w:t>
      </w:r>
      <w:r>
        <w:rPr>
          <w:lang w:val="en-GB"/>
        </w:rPr>
        <w:t>for example, SJS</w:t>
      </w:r>
      <w:r w:rsidRPr="00D512A6">
        <w:rPr>
          <w:lang w:val="en-GB"/>
        </w:rPr>
        <w:t xml:space="preserve">, </w:t>
      </w:r>
      <w:r>
        <w:rPr>
          <w:lang w:val="en-GB"/>
        </w:rPr>
        <w:t>TEN</w:t>
      </w:r>
      <w:r w:rsidRPr="00D512A6">
        <w:rPr>
          <w:lang w:val="en-GB"/>
        </w:rPr>
        <w:t xml:space="preserve">, myositis, myocarditis, rhabdomyolysis) with both </w:t>
      </w:r>
      <w:proofErr w:type="spellStart"/>
      <w:r w:rsidRPr="00D512A6">
        <w:rPr>
          <w:lang w:val="en-GB"/>
        </w:rPr>
        <w:t>nivolumab</w:t>
      </w:r>
      <w:proofErr w:type="spellEnd"/>
      <w:r w:rsidRPr="00D512A6">
        <w:rPr>
          <w:lang w:val="en-GB"/>
        </w:rPr>
        <w:t xml:space="preserve"> monotherapy and combination therapy (</w:t>
      </w:r>
      <w:r>
        <w:rPr>
          <w:lang w:val="en-GB"/>
        </w:rPr>
        <w:t xml:space="preserve">see </w:t>
      </w:r>
      <w:r w:rsidRPr="00D512A6">
        <w:rPr>
          <w:lang w:val="en-GB"/>
        </w:rPr>
        <w:t xml:space="preserve">Table </w:t>
      </w:r>
      <w:r w:rsidR="005F2E16">
        <w:rPr>
          <w:lang w:val="en-GB"/>
        </w:rPr>
        <w:t>16</w:t>
      </w:r>
      <w:r>
        <w:rPr>
          <w:lang w:val="en-GB"/>
        </w:rPr>
        <w:t>, below).</w:t>
      </w:r>
    </w:p>
    <w:p w14:paraId="0BA3C48E" w14:textId="0F8B1C0E" w:rsidR="00D512A6" w:rsidRPr="00D512A6" w:rsidRDefault="005F2E16" w:rsidP="00D512A6">
      <w:pPr>
        <w:pStyle w:val="Tabletitle0"/>
        <w:rPr>
          <w:lang w:val="en-GB"/>
        </w:rPr>
      </w:pPr>
      <w:proofErr w:type="gramStart"/>
      <w:r>
        <w:rPr>
          <w:lang w:val="en-GB"/>
        </w:rPr>
        <w:t>Table 16</w:t>
      </w:r>
      <w:r w:rsidR="00D512A6">
        <w:rPr>
          <w:lang w:val="en-GB"/>
        </w:rPr>
        <w:t>.</w:t>
      </w:r>
      <w:proofErr w:type="gramEnd"/>
      <w:r w:rsidR="00D512A6">
        <w:rPr>
          <w:lang w:val="en-GB"/>
        </w:rPr>
        <w:t xml:space="preserve"> Frequency of recently identified AEs observed in clinical t</w:t>
      </w:r>
      <w:r w:rsidR="00D512A6" w:rsidRPr="00D512A6">
        <w:rPr>
          <w:lang w:val="en-GB"/>
        </w:rPr>
        <w:t>rials (</w:t>
      </w:r>
      <w:r w:rsidR="00D512A6">
        <w:rPr>
          <w:lang w:val="en-GB"/>
        </w:rPr>
        <w:t>including Early Patient Access)</w:t>
      </w:r>
    </w:p>
    <w:p w14:paraId="53B3031D" w14:textId="279C5F28" w:rsidR="00D512A6" w:rsidRDefault="00D512A6" w:rsidP="00562F04">
      <w:r w:rsidRPr="00D512A6">
        <w:rPr>
          <w:noProof/>
          <w:lang w:eastAsia="en-AU"/>
        </w:rPr>
        <w:drawing>
          <wp:inline distT="0" distB="0" distL="0" distR="0" wp14:anchorId="34FB4F88" wp14:editId="4A94919C">
            <wp:extent cx="5400040" cy="1083310"/>
            <wp:effectExtent l="0" t="0" r="0" b="2540"/>
            <wp:docPr id="2" name="Picture 2" descr="Table 16. Frequency of recently identified AEs observed in clinical trials (including Early Patient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1083310"/>
                    </a:xfrm>
                    <a:prstGeom prst="rect">
                      <a:avLst/>
                    </a:prstGeom>
                  </pic:spPr>
                </pic:pic>
              </a:graphicData>
            </a:graphic>
          </wp:inline>
        </w:drawing>
      </w:r>
    </w:p>
    <w:p w14:paraId="3D9F93D1" w14:textId="3A70792E" w:rsidR="00D512A6" w:rsidRPr="00D512A6" w:rsidRDefault="00D512A6" w:rsidP="00D512A6">
      <w:pPr>
        <w:rPr>
          <w:lang w:val="en-GB"/>
        </w:rPr>
      </w:pPr>
      <w:r w:rsidRPr="00D512A6">
        <w:rPr>
          <w:lang w:val="en-GB"/>
        </w:rPr>
        <w:lastRenderedPageBreak/>
        <w:t xml:space="preserve">For each of these events, the frequency observed in </w:t>
      </w:r>
      <w:r>
        <w:rPr>
          <w:lang w:val="en-GB"/>
        </w:rPr>
        <w:t>clinical trial</w:t>
      </w:r>
      <w:r w:rsidRPr="00D512A6">
        <w:rPr>
          <w:lang w:val="en-GB"/>
        </w:rPr>
        <w:t xml:space="preserve">s was higher with combination therapy use compared to </w:t>
      </w:r>
      <w:proofErr w:type="spellStart"/>
      <w:r w:rsidRPr="00D512A6">
        <w:rPr>
          <w:lang w:val="en-GB"/>
        </w:rPr>
        <w:t>nivolumab</w:t>
      </w:r>
      <w:proofErr w:type="spellEnd"/>
      <w:r w:rsidRPr="00D512A6">
        <w:rPr>
          <w:lang w:val="en-GB"/>
        </w:rPr>
        <w:t xml:space="preserve"> monotherapy, consistent with that observed with the</w:t>
      </w:r>
      <w:r>
        <w:rPr>
          <w:lang w:val="en-GB"/>
        </w:rPr>
        <w:t xml:space="preserve"> </w:t>
      </w:r>
      <w:proofErr w:type="spellStart"/>
      <w:r>
        <w:rPr>
          <w:lang w:val="en-GB"/>
        </w:rPr>
        <w:t>irAR</w:t>
      </w:r>
      <w:proofErr w:type="spellEnd"/>
      <w:r>
        <w:rPr>
          <w:lang w:val="en-GB"/>
        </w:rPr>
        <w:t xml:space="preserve"> profiles discussed above.</w:t>
      </w:r>
    </w:p>
    <w:p w14:paraId="2DF681E8" w14:textId="11B1387D" w:rsidR="00D512A6" w:rsidRPr="00D512A6" w:rsidRDefault="00D512A6" w:rsidP="00D512A6">
      <w:pPr>
        <w:rPr>
          <w:lang w:val="en-GB"/>
        </w:rPr>
      </w:pPr>
      <w:r>
        <w:rPr>
          <w:lang w:val="en-GB"/>
        </w:rPr>
        <w:t xml:space="preserve">Sponsor pharmacovigilance </w:t>
      </w:r>
      <w:r w:rsidRPr="00D512A6">
        <w:rPr>
          <w:lang w:val="en-GB"/>
        </w:rPr>
        <w:t xml:space="preserve">practices ensure that all emerging safety concerns are assessed and appropriately incorporated into labelling updates. The assessment of these events resulted in </w:t>
      </w:r>
      <w:r>
        <w:rPr>
          <w:lang w:val="en-GB"/>
        </w:rPr>
        <w:t>sponsor</w:t>
      </w:r>
      <w:r w:rsidRPr="00D512A6">
        <w:rPr>
          <w:lang w:val="en-GB"/>
        </w:rPr>
        <w:t>-initiated labelling updates glo</w:t>
      </w:r>
      <w:r>
        <w:rPr>
          <w:lang w:val="en-GB"/>
        </w:rPr>
        <w:t xml:space="preserve">bally, and included the PI (April </w:t>
      </w:r>
      <w:r w:rsidRPr="00D512A6">
        <w:rPr>
          <w:lang w:val="en-GB"/>
        </w:rPr>
        <w:t>2016 and Sep</w:t>
      </w:r>
      <w:r>
        <w:rPr>
          <w:lang w:val="en-GB"/>
        </w:rPr>
        <w:t>tember</w:t>
      </w:r>
      <w:r w:rsidRPr="00D512A6">
        <w:rPr>
          <w:lang w:val="en-GB"/>
        </w:rPr>
        <w:t xml:space="preserve"> 2016). This does not represent a change in the </w:t>
      </w:r>
      <w:proofErr w:type="spellStart"/>
      <w:r w:rsidRPr="00D512A6">
        <w:rPr>
          <w:lang w:val="en-GB"/>
        </w:rPr>
        <w:t>nivolumab</w:t>
      </w:r>
      <w:proofErr w:type="spellEnd"/>
      <w:r w:rsidRPr="00D512A6">
        <w:rPr>
          <w:lang w:val="en-GB"/>
        </w:rPr>
        <w:t xml:space="preserve"> monotherapy safety profile; rather, it further characterises the safety</w:t>
      </w:r>
      <w:r>
        <w:rPr>
          <w:lang w:val="en-GB"/>
        </w:rPr>
        <w:t xml:space="preserve"> profile with respect to </w:t>
      </w:r>
      <w:proofErr w:type="spellStart"/>
      <w:r>
        <w:rPr>
          <w:lang w:val="en-GB"/>
        </w:rPr>
        <w:t>irARs</w:t>
      </w:r>
      <w:proofErr w:type="spellEnd"/>
      <w:r>
        <w:rPr>
          <w:lang w:val="en-GB"/>
        </w:rPr>
        <w:t>.</w:t>
      </w:r>
    </w:p>
    <w:p w14:paraId="64E277F9" w14:textId="7A4E151F" w:rsidR="00D512A6" w:rsidRDefault="00D512A6" w:rsidP="00D512A6">
      <w:pPr>
        <w:rPr>
          <w:lang w:val="en-GB"/>
        </w:rPr>
      </w:pPr>
      <w:r w:rsidRPr="00D512A6">
        <w:rPr>
          <w:lang w:val="en-GB"/>
        </w:rPr>
        <w:t>The Delegate notes the 3 Periodic Benefit Risk Evaluation Reports (PBRERs) submitted to TGA since initial registration. All 3 PBRERs include similar AEs commonly reported during th</w:t>
      </w:r>
      <w:r>
        <w:rPr>
          <w:lang w:val="en-GB"/>
        </w:rPr>
        <w:t>e data</w:t>
      </w:r>
      <w:r w:rsidR="005F2E16">
        <w:rPr>
          <w:lang w:val="en-GB"/>
        </w:rPr>
        <w:t xml:space="preserve"> </w:t>
      </w:r>
      <w:r>
        <w:rPr>
          <w:lang w:val="en-GB"/>
        </w:rPr>
        <w:t xml:space="preserve">lock points from 4 July 2014 to 3 </w:t>
      </w:r>
      <w:r w:rsidRPr="00D512A6">
        <w:rPr>
          <w:lang w:val="en-GB"/>
        </w:rPr>
        <w:t>Jul</w:t>
      </w:r>
      <w:r>
        <w:rPr>
          <w:lang w:val="en-GB"/>
        </w:rPr>
        <w:t xml:space="preserve">y </w:t>
      </w:r>
      <w:r w:rsidRPr="00D512A6">
        <w:rPr>
          <w:lang w:val="en-GB"/>
        </w:rPr>
        <w:t xml:space="preserve">2016, and support the unchanged safety profile of </w:t>
      </w:r>
      <w:proofErr w:type="spellStart"/>
      <w:r w:rsidRPr="00D512A6">
        <w:rPr>
          <w:lang w:val="en-GB"/>
        </w:rPr>
        <w:t>nivolumab</w:t>
      </w:r>
      <w:proofErr w:type="spellEnd"/>
      <w:r w:rsidRPr="00D512A6">
        <w:rPr>
          <w:lang w:val="en-GB"/>
        </w:rPr>
        <w:t xml:space="preserve"> monotherapy relat</w:t>
      </w:r>
      <w:r>
        <w:rPr>
          <w:lang w:val="en-GB"/>
        </w:rPr>
        <w:t>ive to the combination therapy.</w:t>
      </w:r>
    </w:p>
    <w:p w14:paraId="584AE305" w14:textId="41497045" w:rsidR="00D512A6" w:rsidRPr="00D512A6" w:rsidRDefault="00D512A6" w:rsidP="00D512A6">
      <w:pPr>
        <w:rPr>
          <w:lang w:val="en-GB"/>
        </w:rPr>
      </w:pPr>
      <w:r>
        <w:rPr>
          <w:lang w:val="en-GB"/>
        </w:rPr>
        <w:t xml:space="preserve">The sponsor </w:t>
      </w:r>
      <w:r w:rsidRPr="00D512A6">
        <w:rPr>
          <w:lang w:val="en-GB"/>
        </w:rPr>
        <w:t xml:space="preserve">considers the </w:t>
      </w:r>
      <w:r>
        <w:rPr>
          <w:lang w:val="en-GB"/>
        </w:rPr>
        <w:t>clinical evaluator’s</w:t>
      </w:r>
      <w:r w:rsidRPr="00D512A6">
        <w:rPr>
          <w:lang w:val="en-GB"/>
        </w:rPr>
        <w:t xml:space="preserve"> recommendation to modify the boxed warning to be arbitrary given the absence of TGA guidance on required evide</w:t>
      </w:r>
      <w:r>
        <w:rPr>
          <w:lang w:val="en-GB"/>
        </w:rPr>
        <w:t>nce to trigger a boxed warning.</w:t>
      </w:r>
    </w:p>
    <w:p w14:paraId="4BF42004" w14:textId="263BA304" w:rsidR="00D512A6" w:rsidRPr="00D512A6" w:rsidRDefault="00D512A6" w:rsidP="00D512A6">
      <w:pPr>
        <w:rPr>
          <w:lang w:val="en-GB"/>
        </w:rPr>
      </w:pPr>
      <w:r w:rsidRPr="00D512A6">
        <w:rPr>
          <w:lang w:val="en-GB"/>
        </w:rPr>
        <w:t xml:space="preserve">Further, as noted by the Delegate, the only boxed warning globally for any </w:t>
      </w:r>
      <w:r w:rsidR="005F2E16">
        <w:rPr>
          <w:lang w:val="en-GB"/>
        </w:rPr>
        <w:t xml:space="preserve">immuno-oncology </w:t>
      </w:r>
      <w:r w:rsidRPr="00D512A6">
        <w:rPr>
          <w:lang w:val="en-GB"/>
        </w:rPr>
        <w:t xml:space="preserve">therapy is for </w:t>
      </w:r>
      <w:proofErr w:type="spellStart"/>
      <w:r w:rsidRPr="00D512A6">
        <w:rPr>
          <w:lang w:val="en-GB"/>
        </w:rPr>
        <w:t>Y</w:t>
      </w:r>
      <w:r w:rsidR="00646CC0">
        <w:rPr>
          <w:lang w:val="en-GB"/>
        </w:rPr>
        <w:t>ervoy</w:t>
      </w:r>
      <w:proofErr w:type="spellEnd"/>
      <w:r w:rsidRPr="00D512A6">
        <w:rPr>
          <w:lang w:val="en-GB"/>
        </w:rPr>
        <w:t xml:space="preserve"> in the United States and Australia. For combination therapy, the only</w:t>
      </w:r>
      <w:r w:rsidR="00646CC0">
        <w:rPr>
          <w:lang w:val="en-GB"/>
        </w:rPr>
        <w:t xml:space="preserve"> boxed warning is in Australia.</w:t>
      </w:r>
    </w:p>
    <w:p w14:paraId="6F7D1430" w14:textId="58E9A499" w:rsidR="00D512A6" w:rsidRPr="00D512A6" w:rsidRDefault="00646CC0" w:rsidP="00D512A6">
      <w:pPr>
        <w:rPr>
          <w:lang w:val="en-GB"/>
        </w:rPr>
      </w:pPr>
      <w:r>
        <w:rPr>
          <w:lang w:val="en-GB"/>
        </w:rPr>
        <w:t>The sponsor</w:t>
      </w:r>
      <w:r w:rsidR="00D512A6" w:rsidRPr="00D512A6">
        <w:rPr>
          <w:lang w:val="en-GB"/>
        </w:rPr>
        <w:t xml:space="preserve"> notes the </w:t>
      </w:r>
      <w:r>
        <w:rPr>
          <w:lang w:val="en-GB"/>
        </w:rPr>
        <w:t>clinical evaluator</w:t>
      </w:r>
      <w:r w:rsidR="00D512A6" w:rsidRPr="00D512A6">
        <w:rPr>
          <w:lang w:val="en-GB"/>
        </w:rPr>
        <w:t xml:space="preserve">’s concern that the current boxed warning could mislead clinicians that fatal outcomes only occur with combination therapy. Although the current boxed warning already states that life-threatening </w:t>
      </w:r>
      <w:proofErr w:type="spellStart"/>
      <w:r w:rsidR="00D512A6" w:rsidRPr="00D512A6">
        <w:rPr>
          <w:lang w:val="en-GB"/>
        </w:rPr>
        <w:t>irARs</w:t>
      </w:r>
      <w:proofErr w:type="spellEnd"/>
      <w:r w:rsidR="00D512A6" w:rsidRPr="00D512A6">
        <w:rPr>
          <w:lang w:val="en-GB"/>
        </w:rPr>
        <w:t xml:space="preserve"> are seen with both </w:t>
      </w:r>
      <w:proofErr w:type="spellStart"/>
      <w:r w:rsidR="00D512A6" w:rsidRPr="00D512A6">
        <w:rPr>
          <w:lang w:val="en-GB"/>
        </w:rPr>
        <w:t>nivolumab</w:t>
      </w:r>
      <w:proofErr w:type="spellEnd"/>
      <w:r w:rsidR="00D512A6" w:rsidRPr="00D512A6">
        <w:rPr>
          <w:lang w:val="en-GB"/>
        </w:rPr>
        <w:t xml:space="preserve"> monotherapy and combination therapy and that they are more serious and more frequent with the combination therapy, </w:t>
      </w:r>
      <w:r>
        <w:rPr>
          <w:lang w:val="en-GB"/>
        </w:rPr>
        <w:t>the sponsor</w:t>
      </w:r>
      <w:r w:rsidR="00D512A6" w:rsidRPr="00D512A6">
        <w:rPr>
          <w:lang w:val="en-GB"/>
        </w:rPr>
        <w:t xml:space="preserve"> proposes to rearrange this information as the opening statement of the boxed warning for greater prominence. The outcomes of </w:t>
      </w:r>
      <w:proofErr w:type="spellStart"/>
      <w:r w:rsidR="00D512A6" w:rsidRPr="00D512A6">
        <w:rPr>
          <w:lang w:val="en-GB"/>
        </w:rPr>
        <w:t>irARs</w:t>
      </w:r>
      <w:proofErr w:type="spellEnd"/>
      <w:r w:rsidR="00D512A6" w:rsidRPr="00D512A6">
        <w:rPr>
          <w:lang w:val="en-GB"/>
        </w:rPr>
        <w:t xml:space="preserve"> for both </w:t>
      </w:r>
      <w:r w:rsidR="007F05FE">
        <w:rPr>
          <w:lang w:val="en-GB"/>
        </w:rPr>
        <w:t xml:space="preserve">the </w:t>
      </w:r>
      <w:r w:rsidR="00D512A6" w:rsidRPr="00D512A6">
        <w:rPr>
          <w:lang w:val="en-GB"/>
        </w:rPr>
        <w:t xml:space="preserve">monotherapy and </w:t>
      </w:r>
      <w:r w:rsidR="007F05FE">
        <w:rPr>
          <w:lang w:val="en-GB"/>
        </w:rPr>
        <w:t xml:space="preserve">the </w:t>
      </w:r>
      <w:r w:rsidR="00D512A6" w:rsidRPr="00D512A6">
        <w:rPr>
          <w:lang w:val="en-GB"/>
        </w:rPr>
        <w:t xml:space="preserve">combination therapy are already described in the </w:t>
      </w:r>
      <w:r>
        <w:rPr>
          <w:lang w:val="en-GB"/>
        </w:rPr>
        <w:t>’Precautions’ in the approved PI:</w:t>
      </w:r>
    </w:p>
    <w:p w14:paraId="5D93E4F8" w14:textId="77777777" w:rsidR="00841321" w:rsidRPr="00EB5D9F" w:rsidRDefault="00646CC0" w:rsidP="00D512A6">
      <w:pPr>
        <w:rPr>
          <w:rFonts w:ascii="MS Mincho" w:eastAsia="MS Mincho" w:hAnsi="MS Mincho" w:cs="MS Mincho"/>
          <w:i/>
          <w:lang w:val="en-GB"/>
        </w:rPr>
      </w:pPr>
      <w:r w:rsidRPr="00EB5D9F">
        <w:rPr>
          <w:i/>
          <w:lang w:val="en-GB"/>
        </w:rPr>
        <w:t>‘</w:t>
      </w:r>
      <w:r w:rsidR="00841321" w:rsidRPr="00EB5D9F">
        <w:rPr>
          <w:i/>
          <w:lang w:val="en-GB"/>
        </w:rPr>
        <w:t xml:space="preserve">Warning: Immune related adverse reactions with </w:t>
      </w:r>
      <w:proofErr w:type="spellStart"/>
      <w:r w:rsidR="00841321" w:rsidRPr="00EB5D9F">
        <w:rPr>
          <w:i/>
          <w:lang w:val="en-GB"/>
        </w:rPr>
        <w:t>Opdivo</w:t>
      </w:r>
      <w:proofErr w:type="spellEnd"/>
      <w:r w:rsidR="00841321" w:rsidRPr="00EB5D9F">
        <w:rPr>
          <w:i/>
          <w:lang w:val="en-GB"/>
        </w:rPr>
        <w:t xml:space="preserve"> and </w:t>
      </w:r>
      <w:proofErr w:type="spellStart"/>
      <w:r w:rsidR="00841321" w:rsidRPr="00EB5D9F">
        <w:rPr>
          <w:i/>
          <w:lang w:val="en-GB"/>
        </w:rPr>
        <w:t>Yervoy</w:t>
      </w:r>
      <w:proofErr w:type="spellEnd"/>
      <w:r w:rsidR="00841321" w:rsidRPr="00EB5D9F">
        <w:rPr>
          <w:i/>
          <w:lang w:val="en-GB"/>
        </w:rPr>
        <w:t xml:space="preserve"> (</w:t>
      </w:r>
      <w:proofErr w:type="spellStart"/>
      <w:r w:rsidR="00841321" w:rsidRPr="00EB5D9F">
        <w:rPr>
          <w:i/>
          <w:lang w:val="en-GB"/>
        </w:rPr>
        <w:t>ipilimumab</w:t>
      </w:r>
      <w:proofErr w:type="spellEnd"/>
      <w:r w:rsidR="00841321" w:rsidRPr="00EB5D9F">
        <w:rPr>
          <w:i/>
          <w:lang w:val="en-GB"/>
        </w:rPr>
        <w:t>) combination therapy</w:t>
      </w:r>
      <w:r w:rsidR="00D512A6" w:rsidRPr="00EB5D9F">
        <w:rPr>
          <w:i/>
          <w:lang w:val="en-GB"/>
        </w:rPr>
        <w:t>.</w:t>
      </w:r>
    </w:p>
    <w:p w14:paraId="2C7C745E" w14:textId="2CB9AE52" w:rsidR="00D512A6" w:rsidRPr="00EB5D9F" w:rsidRDefault="00D512A6" w:rsidP="00EB5D9F">
      <w:pPr>
        <w:rPr>
          <w:i/>
          <w:lang w:val="en-GB"/>
        </w:rPr>
      </w:pPr>
      <w:r w:rsidRPr="00EB5D9F">
        <w:rPr>
          <w:i/>
          <w:lang w:val="en-GB"/>
        </w:rPr>
        <w:t xml:space="preserve">More frequent and more serious immune-related adverse reactions are seen with OPDIVO and </w:t>
      </w:r>
      <w:proofErr w:type="spellStart"/>
      <w:r w:rsidRPr="00EB5D9F">
        <w:rPr>
          <w:i/>
          <w:lang w:val="en-GB"/>
        </w:rPr>
        <w:t>Y</w:t>
      </w:r>
      <w:r w:rsidR="00EB5D9F" w:rsidRPr="00EB5D9F">
        <w:rPr>
          <w:i/>
          <w:lang w:val="en-GB"/>
        </w:rPr>
        <w:t>ervoy</w:t>
      </w:r>
      <w:proofErr w:type="spellEnd"/>
      <w:r w:rsidRPr="00EB5D9F">
        <w:rPr>
          <w:i/>
          <w:lang w:val="en-GB"/>
        </w:rPr>
        <w:t xml:space="preserve"> combination therapy than with the use of single agent </w:t>
      </w:r>
      <w:proofErr w:type="spellStart"/>
      <w:r w:rsidRPr="00EB5D9F">
        <w:rPr>
          <w:i/>
          <w:lang w:val="en-GB"/>
        </w:rPr>
        <w:t>nivolumab</w:t>
      </w:r>
      <w:proofErr w:type="spellEnd"/>
      <w:r w:rsidRPr="00EB5D9F">
        <w:rPr>
          <w:i/>
          <w:lang w:val="en-GB"/>
        </w:rPr>
        <w:t xml:space="preserve"> or </w:t>
      </w:r>
      <w:proofErr w:type="spellStart"/>
      <w:r w:rsidRPr="00EB5D9F">
        <w:rPr>
          <w:i/>
          <w:lang w:val="en-GB"/>
        </w:rPr>
        <w:t>ipilimumab</w:t>
      </w:r>
      <w:proofErr w:type="spellEnd"/>
      <w:r w:rsidRPr="00EB5D9F">
        <w:rPr>
          <w:i/>
          <w:lang w:val="en-GB"/>
        </w:rPr>
        <w:t xml:space="preserve">. Potentially life-threatening immune-related adverse reactions including pneumonitis, hepatitis, diarrhoea/colitis, skin adverse reactions, </w:t>
      </w:r>
      <w:proofErr w:type="spellStart"/>
      <w:r w:rsidRPr="00EB5D9F">
        <w:rPr>
          <w:i/>
          <w:lang w:val="en-GB"/>
        </w:rPr>
        <w:t>hypophysitis</w:t>
      </w:r>
      <w:proofErr w:type="spellEnd"/>
      <w:r w:rsidRPr="00EB5D9F">
        <w:rPr>
          <w:i/>
          <w:lang w:val="en-GB"/>
        </w:rPr>
        <w:t xml:space="preserve"> and thyroid dysfunction as well as immune related adverse reactions in other o</w:t>
      </w:r>
      <w:r w:rsidR="00EB5D9F" w:rsidRPr="00EB5D9F">
        <w:rPr>
          <w:i/>
          <w:lang w:val="en-GB"/>
        </w:rPr>
        <w:t>rgan system have been observed.</w:t>
      </w:r>
    </w:p>
    <w:p w14:paraId="3D890899" w14:textId="164184F7" w:rsidR="00D512A6" w:rsidRPr="00EB5D9F" w:rsidRDefault="00D512A6" w:rsidP="00D512A6">
      <w:pPr>
        <w:rPr>
          <w:i/>
          <w:lang w:val="en-GB"/>
        </w:rPr>
      </w:pPr>
      <w:r w:rsidRPr="00EB5D9F">
        <w:rPr>
          <w:i/>
          <w:lang w:val="en-GB"/>
        </w:rPr>
        <w:t xml:space="preserve">Physicians should consult the </w:t>
      </w:r>
      <w:proofErr w:type="spellStart"/>
      <w:r w:rsidRPr="00EB5D9F">
        <w:rPr>
          <w:i/>
          <w:lang w:val="en-GB"/>
        </w:rPr>
        <w:t>Y</w:t>
      </w:r>
      <w:r w:rsidR="00EB5D9F" w:rsidRPr="00EB5D9F">
        <w:rPr>
          <w:i/>
          <w:lang w:val="en-GB"/>
        </w:rPr>
        <w:t>ervoy</w:t>
      </w:r>
      <w:proofErr w:type="spellEnd"/>
      <w:r w:rsidRPr="00EB5D9F">
        <w:rPr>
          <w:i/>
          <w:lang w:val="en-GB"/>
        </w:rPr>
        <w:t xml:space="preserve"> product information prior to initiation of </w:t>
      </w:r>
      <w:proofErr w:type="spellStart"/>
      <w:r w:rsidRPr="00EB5D9F">
        <w:rPr>
          <w:i/>
          <w:lang w:val="en-GB"/>
        </w:rPr>
        <w:t>O</w:t>
      </w:r>
      <w:r w:rsidR="00EB5D9F" w:rsidRPr="00EB5D9F">
        <w:rPr>
          <w:i/>
          <w:lang w:val="en-GB"/>
        </w:rPr>
        <w:t>pdivo</w:t>
      </w:r>
      <w:proofErr w:type="spellEnd"/>
      <w:r w:rsidRPr="00EB5D9F">
        <w:rPr>
          <w:i/>
          <w:lang w:val="en-GB"/>
        </w:rPr>
        <w:t xml:space="preserve"> in combination with </w:t>
      </w:r>
      <w:proofErr w:type="spellStart"/>
      <w:r w:rsidRPr="00EB5D9F">
        <w:rPr>
          <w:i/>
          <w:lang w:val="en-GB"/>
        </w:rPr>
        <w:t>Y</w:t>
      </w:r>
      <w:r w:rsidR="00EB5D9F" w:rsidRPr="00EB5D9F">
        <w:rPr>
          <w:i/>
          <w:lang w:val="en-GB"/>
        </w:rPr>
        <w:t>ervoy</w:t>
      </w:r>
      <w:proofErr w:type="spellEnd"/>
      <w:r w:rsidRPr="00EB5D9F">
        <w:rPr>
          <w:i/>
          <w:lang w:val="en-GB"/>
        </w:rPr>
        <w:t>.</w:t>
      </w:r>
      <w:r w:rsidRPr="00EB5D9F">
        <w:rPr>
          <w:rFonts w:ascii="MS Mincho" w:eastAsia="MS Mincho" w:hAnsi="MS Mincho" w:cs="MS Mincho"/>
          <w:i/>
          <w:lang w:val="en-GB"/>
        </w:rPr>
        <w:t> </w:t>
      </w:r>
      <w:r w:rsidRPr="00EB5D9F">
        <w:rPr>
          <w:i/>
          <w:lang w:val="en-GB"/>
        </w:rPr>
        <w:t xml:space="preserve">It is recommended that the combination of </w:t>
      </w:r>
      <w:proofErr w:type="spellStart"/>
      <w:r w:rsidRPr="00EB5D9F">
        <w:rPr>
          <w:i/>
          <w:lang w:val="en-GB"/>
        </w:rPr>
        <w:t>O</w:t>
      </w:r>
      <w:r w:rsidR="00EB5D9F" w:rsidRPr="00EB5D9F">
        <w:rPr>
          <w:i/>
          <w:lang w:val="en-GB"/>
        </w:rPr>
        <w:t>pdivo</w:t>
      </w:r>
      <w:proofErr w:type="spellEnd"/>
      <w:r w:rsidRPr="00EB5D9F">
        <w:rPr>
          <w:i/>
          <w:lang w:val="en-GB"/>
        </w:rPr>
        <w:t xml:space="preserve"> and </w:t>
      </w:r>
      <w:proofErr w:type="spellStart"/>
      <w:r w:rsidR="00EB5D9F" w:rsidRPr="00EB5D9F">
        <w:rPr>
          <w:i/>
          <w:lang w:val="en-GB"/>
        </w:rPr>
        <w:t>Yervoy</w:t>
      </w:r>
      <w:proofErr w:type="spellEnd"/>
      <w:r w:rsidRPr="00EB5D9F">
        <w:rPr>
          <w:i/>
          <w:lang w:val="en-GB"/>
        </w:rPr>
        <w:t xml:space="preserve"> should be administered and monitored under the supervision of physicians experienced with the use of immunotherapy in the treatment of </w:t>
      </w:r>
      <w:proofErr w:type="spellStart"/>
      <w:r w:rsidRPr="00EB5D9F">
        <w:rPr>
          <w:i/>
          <w:lang w:val="en-GB"/>
        </w:rPr>
        <w:t>unresectable</w:t>
      </w:r>
      <w:proofErr w:type="spellEnd"/>
      <w:r w:rsidRPr="00EB5D9F">
        <w:rPr>
          <w:i/>
          <w:lang w:val="en-GB"/>
        </w:rPr>
        <w:t xml:space="preserve"> or metastatic melanoma. </w:t>
      </w:r>
    </w:p>
    <w:p w14:paraId="4D1BB63D" w14:textId="4EA80628" w:rsidR="00D512A6" w:rsidRPr="00EB5D9F" w:rsidRDefault="00D512A6" w:rsidP="00D512A6">
      <w:pPr>
        <w:rPr>
          <w:i/>
          <w:lang w:val="en-GB"/>
        </w:rPr>
      </w:pPr>
      <w:r w:rsidRPr="00EB5D9F">
        <w:rPr>
          <w:i/>
          <w:lang w:val="en-GB"/>
        </w:rPr>
        <w:t>Early diagnosis and appropriate management are essential to minimise life-threatening complications (</w:t>
      </w:r>
      <w:r w:rsidR="00EB5D9F" w:rsidRPr="00EB5D9F">
        <w:rPr>
          <w:i/>
          <w:lang w:val="en-GB"/>
        </w:rPr>
        <w:t xml:space="preserve">see </w:t>
      </w:r>
      <w:r w:rsidRPr="00EB5D9F">
        <w:rPr>
          <w:i/>
          <w:lang w:val="en-GB"/>
        </w:rPr>
        <w:t>P</w:t>
      </w:r>
      <w:r w:rsidR="00EB5D9F" w:rsidRPr="00EB5D9F">
        <w:rPr>
          <w:i/>
          <w:lang w:val="en-GB"/>
        </w:rPr>
        <w:t>recautions, Adverse Effects</w:t>
      </w:r>
      <w:r w:rsidRPr="00EB5D9F">
        <w:rPr>
          <w:i/>
          <w:lang w:val="en-GB"/>
        </w:rPr>
        <w:t xml:space="preserve"> and </w:t>
      </w:r>
      <w:r w:rsidR="00EB5D9F">
        <w:rPr>
          <w:i/>
          <w:lang w:val="en-GB"/>
        </w:rPr>
        <w:t>Dosage and</w:t>
      </w:r>
      <w:r w:rsidR="00EB5D9F" w:rsidRPr="00EB5D9F">
        <w:rPr>
          <w:i/>
          <w:lang w:val="en-GB"/>
        </w:rPr>
        <w:t xml:space="preserve"> Administration).’</w:t>
      </w:r>
    </w:p>
    <w:p w14:paraId="3B2B2823" w14:textId="2080F468" w:rsidR="00D512A6" w:rsidRPr="00D512A6" w:rsidRDefault="00EB5D9F" w:rsidP="00D512A6">
      <w:pPr>
        <w:rPr>
          <w:lang w:val="en-GB"/>
        </w:rPr>
      </w:pPr>
      <w:r>
        <w:rPr>
          <w:lang w:val="en-GB"/>
        </w:rPr>
        <w:t>The sponsor</w:t>
      </w:r>
      <w:r w:rsidR="00D512A6" w:rsidRPr="00D512A6">
        <w:rPr>
          <w:lang w:val="en-GB"/>
        </w:rPr>
        <w:t xml:space="preserve"> asserts that the PI should reflect an accurate sense of proportion in relation to the relative risk between </w:t>
      </w:r>
      <w:proofErr w:type="spellStart"/>
      <w:r w:rsidR="00D512A6" w:rsidRPr="00D512A6">
        <w:rPr>
          <w:lang w:val="en-GB"/>
        </w:rPr>
        <w:t>nivolumab</w:t>
      </w:r>
      <w:proofErr w:type="spellEnd"/>
      <w:r w:rsidR="00D512A6" w:rsidRPr="00D512A6">
        <w:rPr>
          <w:lang w:val="en-GB"/>
        </w:rPr>
        <w:t xml:space="preserve"> monotherapy and combination therapy and believes the proposed amendments to the current boxed warning fully address this </w:t>
      </w:r>
      <w:r>
        <w:rPr>
          <w:lang w:val="en-GB"/>
        </w:rPr>
        <w:t>clinical evaluator concern.</w:t>
      </w:r>
    </w:p>
    <w:p w14:paraId="01AFA8BA" w14:textId="7FC72938" w:rsidR="00D512A6" w:rsidRPr="00EB5D9F" w:rsidRDefault="00EB5D9F" w:rsidP="00EB5D9F">
      <w:pPr>
        <w:pStyle w:val="Numberbullet0"/>
        <w:rPr>
          <w:i/>
          <w:lang w:val="en-GB"/>
        </w:rPr>
      </w:pPr>
      <w:r w:rsidRPr="00EB5D9F">
        <w:rPr>
          <w:i/>
          <w:lang w:val="en-GB"/>
        </w:rPr>
        <w:t>‘</w:t>
      </w:r>
      <w:r w:rsidR="00D512A6" w:rsidRPr="00EB5D9F">
        <w:rPr>
          <w:i/>
          <w:lang w:val="en-GB"/>
        </w:rPr>
        <w:t>What are the ACPM’s views regarding an appropriate level of clinical detail in the PI and healthcare professional tool regarding det</w:t>
      </w:r>
      <w:r w:rsidRPr="00EB5D9F">
        <w:rPr>
          <w:i/>
          <w:lang w:val="en-GB"/>
        </w:rPr>
        <w:t xml:space="preserve">ection and management of </w:t>
      </w:r>
      <w:proofErr w:type="spellStart"/>
      <w:r w:rsidRPr="00EB5D9F">
        <w:rPr>
          <w:i/>
          <w:lang w:val="en-GB"/>
        </w:rPr>
        <w:t>irAEs</w:t>
      </w:r>
      <w:proofErr w:type="spellEnd"/>
      <w:r w:rsidRPr="00EB5D9F">
        <w:rPr>
          <w:i/>
          <w:lang w:val="en-GB"/>
        </w:rPr>
        <w:t>?’</w:t>
      </w:r>
    </w:p>
    <w:p w14:paraId="4AE88B29" w14:textId="5BBB86AB" w:rsidR="00D512A6" w:rsidRPr="00D512A6" w:rsidRDefault="00EB5D9F" w:rsidP="00D512A6">
      <w:pPr>
        <w:rPr>
          <w:lang w:val="en-GB"/>
        </w:rPr>
      </w:pPr>
      <w:r>
        <w:rPr>
          <w:lang w:val="en-GB"/>
        </w:rPr>
        <w:t>The sponsor notes the clinical evaluator’s</w:t>
      </w:r>
      <w:r w:rsidR="00D512A6" w:rsidRPr="00D512A6">
        <w:rPr>
          <w:lang w:val="en-GB"/>
        </w:rPr>
        <w:t xml:space="preserve"> recommendat</w:t>
      </w:r>
      <w:r>
        <w:rPr>
          <w:lang w:val="en-GB"/>
        </w:rPr>
        <w:t>ion that the PI and HCP</w:t>
      </w:r>
      <w:r w:rsidR="00D512A6" w:rsidRPr="00D512A6">
        <w:rPr>
          <w:lang w:val="en-GB"/>
        </w:rPr>
        <w:t xml:space="preserve"> Tool should include more details from the </w:t>
      </w:r>
      <w:proofErr w:type="spellStart"/>
      <w:r>
        <w:rPr>
          <w:lang w:val="en-GB"/>
        </w:rPr>
        <w:t>nivolumab</w:t>
      </w:r>
      <w:proofErr w:type="spellEnd"/>
      <w:r>
        <w:rPr>
          <w:lang w:val="en-GB"/>
        </w:rPr>
        <w:t xml:space="preserve"> Investigator Brochure. The sponsor</w:t>
      </w:r>
      <w:r w:rsidR="00D512A6" w:rsidRPr="00D512A6">
        <w:rPr>
          <w:lang w:val="en-GB"/>
        </w:rPr>
        <w:t xml:space="preserve"> contends that the current PI and HCP tool are sufficiently detailed to provide HCP with the </w:t>
      </w:r>
      <w:r w:rsidR="00D512A6" w:rsidRPr="00D512A6">
        <w:rPr>
          <w:lang w:val="en-GB"/>
        </w:rPr>
        <w:lastRenderedPageBreak/>
        <w:t xml:space="preserve">necessary guidance to make informed clinical care decisions regarding </w:t>
      </w:r>
      <w:proofErr w:type="spellStart"/>
      <w:r w:rsidR="00D512A6" w:rsidRPr="00D512A6">
        <w:rPr>
          <w:lang w:val="en-GB"/>
        </w:rPr>
        <w:t>irAR</w:t>
      </w:r>
      <w:proofErr w:type="spellEnd"/>
      <w:r w:rsidR="00D512A6" w:rsidRPr="00D512A6">
        <w:rPr>
          <w:lang w:val="en-GB"/>
        </w:rPr>
        <w:t xml:space="preserve"> detection and management, while ensuring that the HCP has enough flexibility to tailor the management of </w:t>
      </w:r>
      <w:proofErr w:type="spellStart"/>
      <w:r w:rsidR="00D512A6" w:rsidRPr="00D512A6">
        <w:rPr>
          <w:lang w:val="en-GB"/>
        </w:rPr>
        <w:t>irARs</w:t>
      </w:r>
      <w:proofErr w:type="spellEnd"/>
      <w:r w:rsidR="00D512A6" w:rsidRPr="00D512A6">
        <w:rPr>
          <w:lang w:val="en-GB"/>
        </w:rPr>
        <w:t xml:space="preserve"> to t</w:t>
      </w:r>
      <w:r>
        <w:rPr>
          <w:lang w:val="en-GB"/>
        </w:rPr>
        <w:t>he patient’s specific needs.</w:t>
      </w:r>
    </w:p>
    <w:p w14:paraId="562F8873" w14:textId="213A6F4F" w:rsidR="00D512A6" w:rsidRPr="00D512A6" w:rsidRDefault="00D512A6" w:rsidP="00D512A6">
      <w:pPr>
        <w:rPr>
          <w:lang w:val="en-GB"/>
        </w:rPr>
      </w:pPr>
      <w:r w:rsidRPr="00D512A6">
        <w:rPr>
          <w:lang w:val="en-GB"/>
        </w:rPr>
        <w:t>Several</w:t>
      </w:r>
      <w:r w:rsidR="00EB5D9F">
        <w:rPr>
          <w:lang w:val="en-GB"/>
        </w:rPr>
        <w:t xml:space="preserve"> reasons support this position:</w:t>
      </w:r>
    </w:p>
    <w:p w14:paraId="78928B7A" w14:textId="180F8375" w:rsidR="00D512A6" w:rsidRPr="00D512A6" w:rsidRDefault="00D512A6" w:rsidP="00D512A6">
      <w:pPr>
        <w:rPr>
          <w:lang w:val="en-GB"/>
        </w:rPr>
      </w:pPr>
      <w:r w:rsidRPr="00D512A6">
        <w:rPr>
          <w:lang w:val="en-GB"/>
        </w:rPr>
        <w:t xml:space="preserve">Firstly, the purpose of the </w:t>
      </w:r>
      <w:r w:rsidR="00EB5D9F">
        <w:rPr>
          <w:lang w:val="en-GB"/>
        </w:rPr>
        <w:t>Investigational Brochure</w:t>
      </w:r>
      <w:r w:rsidRPr="00D512A6">
        <w:rPr>
          <w:lang w:val="en-GB"/>
        </w:rPr>
        <w:t xml:space="preserve"> is to provide HCPs with information on an investigational product while the efficacy and safety profile is still being established. The management algorithms for </w:t>
      </w:r>
      <w:proofErr w:type="spellStart"/>
      <w:r w:rsidRPr="00D512A6">
        <w:rPr>
          <w:lang w:val="en-GB"/>
        </w:rPr>
        <w:t>nivolumab</w:t>
      </w:r>
      <w:proofErr w:type="spellEnd"/>
      <w:r w:rsidRPr="00D512A6">
        <w:rPr>
          <w:lang w:val="en-GB"/>
        </w:rPr>
        <w:t xml:space="preserve"> were originally </w:t>
      </w:r>
      <w:r w:rsidR="00EB5D9F">
        <w:rPr>
          <w:lang w:val="en-GB"/>
        </w:rPr>
        <w:t xml:space="preserve">developed based on early </w:t>
      </w:r>
      <w:proofErr w:type="gramStart"/>
      <w:r w:rsidR="00EB5D9F">
        <w:rPr>
          <w:lang w:val="en-GB"/>
        </w:rPr>
        <w:t>Phase</w:t>
      </w:r>
      <w:proofErr w:type="gramEnd"/>
      <w:r w:rsidR="00EB5D9F">
        <w:rPr>
          <w:lang w:val="en-GB"/>
        </w:rPr>
        <w:t xml:space="preserve"> I</w:t>
      </w:r>
      <w:r w:rsidRPr="00D512A6">
        <w:rPr>
          <w:lang w:val="en-GB"/>
        </w:rPr>
        <w:t xml:space="preserve"> clinical experience. Many of the recommendations were empiric (based on mechanism of action and understanding of </w:t>
      </w:r>
      <w:proofErr w:type="spellStart"/>
      <w:r w:rsidRPr="00D512A6">
        <w:rPr>
          <w:lang w:val="en-GB"/>
        </w:rPr>
        <w:t>ipilimumab</w:t>
      </w:r>
      <w:proofErr w:type="spellEnd"/>
      <w:r w:rsidRPr="00D512A6">
        <w:rPr>
          <w:lang w:val="en-GB"/>
        </w:rPr>
        <w:t xml:space="preserve"> toxicity). The algorithms are intended to convey general principles around delaying or discontinuing treatment in the presence of significant immune-mediated toxicity, and treating symptoms with </w:t>
      </w:r>
      <w:proofErr w:type="spellStart"/>
      <w:r w:rsidRPr="00D512A6">
        <w:rPr>
          <w:lang w:val="en-GB"/>
        </w:rPr>
        <w:t>immunosuppressants</w:t>
      </w:r>
      <w:proofErr w:type="spellEnd"/>
      <w:r w:rsidRPr="00D512A6">
        <w:rPr>
          <w:lang w:val="en-GB"/>
        </w:rPr>
        <w:t xml:space="preserve">. Given the rarity of some of these </w:t>
      </w:r>
      <w:proofErr w:type="spellStart"/>
      <w:r w:rsidRPr="00D512A6">
        <w:rPr>
          <w:lang w:val="en-GB"/>
        </w:rPr>
        <w:t>irARs</w:t>
      </w:r>
      <w:proofErr w:type="spellEnd"/>
      <w:r w:rsidRPr="00D512A6">
        <w:rPr>
          <w:lang w:val="en-GB"/>
        </w:rPr>
        <w:t xml:space="preserve">, </w:t>
      </w:r>
      <w:r w:rsidR="00EB5D9F">
        <w:rPr>
          <w:lang w:val="en-GB"/>
        </w:rPr>
        <w:t>the sponsor</w:t>
      </w:r>
      <w:r w:rsidRPr="00D512A6">
        <w:rPr>
          <w:lang w:val="en-GB"/>
        </w:rPr>
        <w:t xml:space="preserve"> cannot state with certainty that these specific measures are re</w:t>
      </w:r>
      <w:r w:rsidR="00EB5D9F">
        <w:rPr>
          <w:lang w:val="en-GB"/>
        </w:rPr>
        <w:t>quired for adequate management.</w:t>
      </w:r>
    </w:p>
    <w:p w14:paraId="1BEA407E" w14:textId="734EE5FF" w:rsidR="00D512A6" w:rsidRPr="00D512A6" w:rsidRDefault="00EB5D9F" w:rsidP="00D512A6">
      <w:pPr>
        <w:rPr>
          <w:lang w:val="en-GB"/>
        </w:rPr>
      </w:pPr>
      <w:r>
        <w:rPr>
          <w:lang w:val="en-GB"/>
        </w:rPr>
        <w:t>Secondly, through clinical trial</w:t>
      </w:r>
      <w:r w:rsidR="00D512A6" w:rsidRPr="00D512A6">
        <w:rPr>
          <w:lang w:val="en-GB"/>
        </w:rPr>
        <w:t xml:space="preserve"> participation over the past 10 years and the availability of registered immunotherapies since 2011, Australian oncologists have developed expertise to identify and manage potential </w:t>
      </w:r>
      <w:proofErr w:type="spellStart"/>
      <w:r w:rsidR="00D512A6" w:rsidRPr="00D512A6">
        <w:rPr>
          <w:lang w:val="en-GB"/>
        </w:rPr>
        <w:t>irARs</w:t>
      </w:r>
      <w:proofErr w:type="spellEnd"/>
      <w:r w:rsidR="00D512A6" w:rsidRPr="00D512A6">
        <w:rPr>
          <w:lang w:val="en-GB"/>
        </w:rPr>
        <w:t xml:space="preserve"> associated with immunotherapy. Hospital protocols for management of </w:t>
      </w:r>
      <w:proofErr w:type="spellStart"/>
      <w:r w:rsidR="00D512A6" w:rsidRPr="00D512A6">
        <w:rPr>
          <w:lang w:val="en-GB"/>
        </w:rPr>
        <w:t>irARs</w:t>
      </w:r>
      <w:proofErr w:type="spellEnd"/>
      <w:r w:rsidR="00D512A6" w:rsidRPr="00D512A6">
        <w:rPr>
          <w:lang w:val="en-GB"/>
        </w:rPr>
        <w:t xml:space="preserve"> and structured mechanisms for proactive patient follow-up following an immunotherapy infusion continue to be developed throughout </w:t>
      </w:r>
      <w:r w:rsidRPr="00D512A6">
        <w:rPr>
          <w:lang w:val="en-GB"/>
        </w:rPr>
        <w:t>centres</w:t>
      </w:r>
      <w:r>
        <w:rPr>
          <w:lang w:val="en-GB"/>
        </w:rPr>
        <w:t xml:space="preserve"> in Australia.</w:t>
      </w:r>
    </w:p>
    <w:p w14:paraId="04B8E0F1" w14:textId="5BA95BAA" w:rsidR="00D512A6" w:rsidRPr="00D512A6" w:rsidRDefault="00D512A6" w:rsidP="00D512A6">
      <w:pPr>
        <w:rPr>
          <w:lang w:val="en-GB"/>
        </w:rPr>
      </w:pPr>
      <w:r w:rsidRPr="00D512A6">
        <w:rPr>
          <w:lang w:val="en-GB"/>
        </w:rPr>
        <w:t xml:space="preserve">Thirdly, the </w:t>
      </w:r>
      <w:proofErr w:type="spellStart"/>
      <w:r w:rsidR="00EB5D9F">
        <w:rPr>
          <w:lang w:val="en-GB"/>
        </w:rPr>
        <w:t>Opdivo</w:t>
      </w:r>
      <w:proofErr w:type="spellEnd"/>
      <w:r w:rsidRPr="00D512A6">
        <w:rPr>
          <w:lang w:val="en-GB"/>
        </w:rPr>
        <w:t xml:space="preserve"> HCP tool already details significant management and follow-up recommendations for each potentially affected organ system by grade of severity of each </w:t>
      </w:r>
      <w:proofErr w:type="spellStart"/>
      <w:r w:rsidRPr="00D512A6">
        <w:rPr>
          <w:lang w:val="en-GB"/>
        </w:rPr>
        <w:t>irAR</w:t>
      </w:r>
      <w:proofErr w:type="spellEnd"/>
      <w:r w:rsidRPr="00D512A6">
        <w:rPr>
          <w:lang w:val="en-GB"/>
        </w:rPr>
        <w:t>. The approved PI already provides guidance for the recognition and manageme</w:t>
      </w:r>
      <w:r w:rsidR="00EB5D9F">
        <w:rPr>
          <w:lang w:val="en-GB"/>
        </w:rPr>
        <w:t xml:space="preserve">nt of </w:t>
      </w:r>
      <w:proofErr w:type="spellStart"/>
      <w:r w:rsidR="00EB5D9F">
        <w:rPr>
          <w:lang w:val="en-GB"/>
        </w:rPr>
        <w:t>irARs</w:t>
      </w:r>
      <w:proofErr w:type="spellEnd"/>
      <w:r w:rsidR="00EB5D9F">
        <w:rPr>
          <w:lang w:val="en-GB"/>
        </w:rPr>
        <w:t xml:space="preserve"> under the sections ‘Precautions and ‘Dosage a</w:t>
      </w:r>
      <w:r w:rsidR="00EB5D9F" w:rsidRPr="00D512A6">
        <w:rPr>
          <w:lang w:val="en-GB"/>
        </w:rPr>
        <w:t>nd Administration</w:t>
      </w:r>
      <w:r w:rsidR="00EB5D9F">
        <w:rPr>
          <w:lang w:val="en-GB"/>
        </w:rPr>
        <w:t>’</w:t>
      </w:r>
      <w:r w:rsidRPr="00D512A6">
        <w:rPr>
          <w:lang w:val="en-GB"/>
        </w:rPr>
        <w:t xml:space="preserve">. The </w:t>
      </w:r>
      <w:r w:rsidR="00EB5D9F">
        <w:rPr>
          <w:lang w:val="en-GB"/>
        </w:rPr>
        <w:t>‘P</w:t>
      </w:r>
      <w:r w:rsidR="00EB5D9F" w:rsidRPr="00D512A6">
        <w:rPr>
          <w:lang w:val="en-GB"/>
        </w:rPr>
        <w:t>recautions</w:t>
      </w:r>
      <w:r w:rsidR="00EB5D9F">
        <w:rPr>
          <w:lang w:val="en-GB"/>
        </w:rPr>
        <w:t>’</w:t>
      </w:r>
      <w:r w:rsidRPr="00D512A6">
        <w:rPr>
          <w:lang w:val="en-GB"/>
        </w:rPr>
        <w:t xml:space="preserve"> section describes the clinical presentation of individual </w:t>
      </w:r>
      <w:proofErr w:type="spellStart"/>
      <w:r w:rsidRPr="00D512A6">
        <w:rPr>
          <w:lang w:val="en-GB"/>
        </w:rPr>
        <w:t>irARs</w:t>
      </w:r>
      <w:proofErr w:type="spellEnd"/>
      <w:r w:rsidRPr="00D512A6">
        <w:rPr>
          <w:lang w:val="en-GB"/>
        </w:rPr>
        <w:t xml:space="preserve">, advice regarding management, specific laboratory monitoring, and treatment modifications. Treatment modifications are further presented in a table in the section </w:t>
      </w:r>
      <w:r w:rsidR="009A104F">
        <w:rPr>
          <w:lang w:val="en-GB"/>
        </w:rPr>
        <w:t>‘Dosage a</w:t>
      </w:r>
      <w:r w:rsidR="009A104F" w:rsidRPr="00D512A6">
        <w:rPr>
          <w:lang w:val="en-GB"/>
        </w:rPr>
        <w:t>nd Administration</w:t>
      </w:r>
      <w:r w:rsidR="009A104F">
        <w:rPr>
          <w:lang w:val="en-GB"/>
        </w:rPr>
        <w:t xml:space="preserve">’ </w:t>
      </w:r>
      <w:r w:rsidRPr="00D512A6">
        <w:rPr>
          <w:lang w:val="en-GB"/>
        </w:rPr>
        <w:t xml:space="preserve">Recommended Treatment Modifications for </w:t>
      </w:r>
      <w:proofErr w:type="spellStart"/>
      <w:r w:rsidRPr="00D512A6">
        <w:rPr>
          <w:lang w:val="en-GB"/>
        </w:rPr>
        <w:t>O</w:t>
      </w:r>
      <w:r w:rsidR="009A104F">
        <w:rPr>
          <w:lang w:val="en-GB"/>
        </w:rPr>
        <w:t>pdivo</w:t>
      </w:r>
      <w:proofErr w:type="spellEnd"/>
      <w:r w:rsidR="009A104F">
        <w:rPr>
          <w:lang w:val="en-GB"/>
        </w:rPr>
        <w:t>.</w:t>
      </w:r>
    </w:p>
    <w:p w14:paraId="439A35BF" w14:textId="2D8D2B2A" w:rsidR="00D512A6" w:rsidRPr="00D512A6" w:rsidRDefault="00D512A6" w:rsidP="00D512A6">
      <w:pPr>
        <w:rPr>
          <w:lang w:val="en-GB"/>
        </w:rPr>
      </w:pPr>
      <w:r w:rsidRPr="00D512A6">
        <w:rPr>
          <w:lang w:val="en-GB"/>
        </w:rPr>
        <w:t>The use of immunosuppressive therapy is driven by clinical judgement to ensure appropriate titration, duration of treatment, and withdrawal of therapy to meet a patient’s individual circumstance. Overly prescriptive advice could inadvertently result in inapprop</w:t>
      </w:r>
      <w:r w:rsidR="005C718B">
        <w:rPr>
          <w:lang w:val="en-GB"/>
        </w:rPr>
        <w:t xml:space="preserve">riate treatment of a patient’s </w:t>
      </w:r>
      <w:proofErr w:type="spellStart"/>
      <w:r w:rsidR="00D8296A">
        <w:rPr>
          <w:lang w:val="en-GB"/>
        </w:rPr>
        <w:t>irAE</w:t>
      </w:r>
      <w:r w:rsidRPr="00D512A6">
        <w:rPr>
          <w:lang w:val="en-GB"/>
        </w:rPr>
        <w:t>s</w:t>
      </w:r>
      <w:proofErr w:type="spellEnd"/>
      <w:r w:rsidRPr="00D512A6">
        <w:rPr>
          <w:lang w:val="en-GB"/>
        </w:rPr>
        <w:t>. The current PI recommendation allows for clinical judgement to be exercised, while not precluding alternative options. This rationale has been previously discussed with the TGA Delegates, as a result of which generic recommendation</w:t>
      </w:r>
      <w:r w:rsidR="009A104F">
        <w:rPr>
          <w:lang w:val="en-GB"/>
        </w:rPr>
        <w:t>s have been retained in the PI.</w:t>
      </w:r>
    </w:p>
    <w:p w14:paraId="0E0CC312" w14:textId="65660B16" w:rsidR="00D512A6" w:rsidRPr="00D512A6" w:rsidRDefault="00D512A6" w:rsidP="00D512A6">
      <w:pPr>
        <w:rPr>
          <w:lang w:val="en-GB"/>
        </w:rPr>
      </w:pPr>
      <w:r w:rsidRPr="00D512A6">
        <w:rPr>
          <w:lang w:val="en-GB"/>
        </w:rPr>
        <w:t xml:space="preserve">Finally, </w:t>
      </w:r>
      <w:r w:rsidR="009A104F">
        <w:rPr>
          <w:lang w:val="en-GB"/>
        </w:rPr>
        <w:t>the sponsor</w:t>
      </w:r>
      <w:r w:rsidRPr="00D512A6">
        <w:rPr>
          <w:lang w:val="en-GB"/>
        </w:rPr>
        <w:t xml:space="preserve"> agrees with the </w:t>
      </w:r>
      <w:r w:rsidR="009A104F">
        <w:rPr>
          <w:lang w:val="en-GB"/>
        </w:rPr>
        <w:t>RMP e</w:t>
      </w:r>
      <w:r w:rsidRPr="00D512A6">
        <w:rPr>
          <w:lang w:val="en-GB"/>
        </w:rPr>
        <w:t xml:space="preserve">valuator’s assessment of the current </w:t>
      </w:r>
      <w:proofErr w:type="spellStart"/>
      <w:r w:rsidR="009A104F">
        <w:rPr>
          <w:lang w:val="en-GB"/>
        </w:rPr>
        <w:t>Opdivo</w:t>
      </w:r>
      <w:proofErr w:type="spellEnd"/>
      <w:r w:rsidR="009A104F">
        <w:rPr>
          <w:lang w:val="en-GB"/>
        </w:rPr>
        <w:t xml:space="preserve"> HCP Tool that ‘</w:t>
      </w:r>
      <w:r w:rsidRPr="00D512A6">
        <w:rPr>
          <w:lang w:val="en-GB"/>
        </w:rPr>
        <w:t>the format and current content of the material available for HCPs adequately addresses the intended safety concerns. It also provides suitable instructions on how to treat AEs, and the relevant information</w:t>
      </w:r>
      <w:r w:rsidR="009A104F">
        <w:rPr>
          <w:lang w:val="en-GB"/>
        </w:rPr>
        <w:t xml:space="preserve"> regarding dosage adjustments.’ </w:t>
      </w:r>
      <w:r w:rsidRPr="00D512A6">
        <w:rPr>
          <w:lang w:val="en-GB"/>
        </w:rPr>
        <w:t>The on</w:t>
      </w:r>
      <w:r w:rsidR="009A104F">
        <w:rPr>
          <w:lang w:val="en-GB"/>
        </w:rPr>
        <w:t>ly update requested by the RMP e</w:t>
      </w:r>
      <w:r w:rsidRPr="00D512A6">
        <w:rPr>
          <w:lang w:val="en-GB"/>
        </w:rPr>
        <w:t xml:space="preserve">valuator is to align with the updated safety concerns, which </w:t>
      </w:r>
      <w:r w:rsidR="009A104F">
        <w:rPr>
          <w:lang w:val="en-GB"/>
        </w:rPr>
        <w:t>the sponsor</w:t>
      </w:r>
      <w:r w:rsidR="005C718B">
        <w:rPr>
          <w:lang w:val="en-GB"/>
        </w:rPr>
        <w:t xml:space="preserve"> is addressing.</w:t>
      </w:r>
    </w:p>
    <w:p w14:paraId="1AA4457C" w14:textId="282B0D94" w:rsidR="00D512A6" w:rsidRPr="009A104F" w:rsidRDefault="009A104F" w:rsidP="009A104F">
      <w:pPr>
        <w:pStyle w:val="Numberbullet0"/>
        <w:rPr>
          <w:i/>
          <w:lang w:val="en-GB"/>
        </w:rPr>
      </w:pPr>
      <w:r w:rsidRPr="009A104F">
        <w:rPr>
          <w:i/>
          <w:lang w:val="en-GB"/>
        </w:rPr>
        <w:t>‘</w:t>
      </w:r>
      <w:r w:rsidR="00D512A6" w:rsidRPr="009A104F">
        <w:rPr>
          <w:i/>
          <w:lang w:val="en-GB"/>
        </w:rPr>
        <w:t xml:space="preserve">Does the ACPM have any suggestions about improvements to the Patient Alert Card </w:t>
      </w:r>
      <w:r w:rsidRPr="009A104F">
        <w:rPr>
          <w:i/>
          <w:lang w:val="en-GB"/>
        </w:rPr>
        <w:t>format or content?’</w:t>
      </w:r>
    </w:p>
    <w:p w14:paraId="2B0A6583" w14:textId="26F61029" w:rsidR="00D512A6" w:rsidRPr="00D512A6" w:rsidRDefault="009A104F" w:rsidP="00D512A6">
      <w:pPr>
        <w:rPr>
          <w:lang w:val="en-GB"/>
        </w:rPr>
      </w:pPr>
      <w:r>
        <w:rPr>
          <w:lang w:val="en-GB"/>
        </w:rPr>
        <w:t xml:space="preserve">The sponsor </w:t>
      </w:r>
      <w:r w:rsidR="00D512A6" w:rsidRPr="00D512A6">
        <w:rPr>
          <w:lang w:val="en-GB"/>
        </w:rPr>
        <w:t xml:space="preserve">agrees to the </w:t>
      </w:r>
      <w:r>
        <w:rPr>
          <w:lang w:val="en-GB"/>
        </w:rPr>
        <w:t>clinical evaluator’s</w:t>
      </w:r>
      <w:r w:rsidR="00D512A6" w:rsidRPr="00D512A6">
        <w:rPr>
          <w:lang w:val="en-GB"/>
        </w:rPr>
        <w:t xml:space="preserve"> recommendations for improvements to the </w:t>
      </w:r>
      <w:r>
        <w:rPr>
          <w:lang w:val="en-GB"/>
        </w:rPr>
        <w:t>Patient Alert Card.</w:t>
      </w:r>
      <w:r w:rsidR="00D512A6" w:rsidRPr="00D512A6">
        <w:rPr>
          <w:lang w:val="en-GB"/>
        </w:rPr>
        <w:t xml:space="preserve"> A smaller, streamlined format of the </w:t>
      </w:r>
      <w:r>
        <w:rPr>
          <w:lang w:val="en-GB"/>
        </w:rPr>
        <w:t>Patient Alert Card</w:t>
      </w:r>
      <w:r w:rsidR="00D512A6" w:rsidRPr="00D512A6">
        <w:rPr>
          <w:lang w:val="en-GB"/>
        </w:rPr>
        <w:t xml:space="preserve"> is proposed, and a</w:t>
      </w:r>
      <w:r>
        <w:rPr>
          <w:lang w:val="en-GB"/>
        </w:rPr>
        <w:t>ddresses these recommendations.</w:t>
      </w:r>
    </w:p>
    <w:p w14:paraId="48E526A9" w14:textId="6EA2EF6C" w:rsidR="00D512A6" w:rsidRPr="009A104F" w:rsidRDefault="009A104F" w:rsidP="009A104F">
      <w:pPr>
        <w:pStyle w:val="Numberbullet0"/>
        <w:rPr>
          <w:i/>
          <w:lang w:val="en-GB"/>
        </w:rPr>
      </w:pPr>
      <w:r>
        <w:rPr>
          <w:i/>
          <w:lang w:val="en-GB"/>
        </w:rPr>
        <w:t>‘</w:t>
      </w:r>
      <w:r w:rsidR="00D512A6" w:rsidRPr="009A104F">
        <w:rPr>
          <w:i/>
          <w:lang w:val="en-GB"/>
        </w:rPr>
        <w:t>Does the ACPM consider that the risk of myasthenia gravis-like syndromes merits a specific Precaution, or mention within a specific ‘</w:t>
      </w:r>
      <w:r>
        <w:rPr>
          <w:i/>
          <w:lang w:val="en-GB"/>
        </w:rPr>
        <w:t xml:space="preserve">Neurological </w:t>
      </w:r>
      <w:proofErr w:type="spellStart"/>
      <w:r>
        <w:rPr>
          <w:i/>
          <w:lang w:val="en-GB"/>
        </w:rPr>
        <w:t>irAEs</w:t>
      </w:r>
      <w:proofErr w:type="spellEnd"/>
      <w:r>
        <w:rPr>
          <w:i/>
          <w:lang w:val="en-GB"/>
        </w:rPr>
        <w:t>’ Precaution?’</w:t>
      </w:r>
    </w:p>
    <w:p w14:paraId="1A08F398" w14:textId="422E901E" w:rsidR="00D512A6" w:rsidRPr="00D512A6" w:rsidRDefault="009A104F" w:rsidP="00D512A6">
      <w:pPr>
        <w:rPr>
          <w:lang w:val="en-GB"/>
        </w:rPr>
      </w:pPr>
      <w:r>
        <w:rPr>
          <w:lang w:val="en-GB"/>
        </w:rPr>
        <w:t>The s</w:t>
      </w:r>
      <w:r w:rsidR="00D512A6" w:rsidRPr="00D512A6">
        <w:rPr>
          <w:lang w:val="en-GB"/>
        </w:rPr>
        <w:t>ponsor proposes to amend the PI to ensure easy identification and management of the risk of my</w:t>
      </w:r>
      <w:r>
        <w:rPr>
          <w:lang w:val="en-GB"/>
        </w:rPr>
        <w:t>asthenia gravis-like syndromes:</w:t>
      </w:r>
    </w:p>
    <w:p w14:paraId="6475CBA8" w14:textId="0A3EDE8B" w:rsidR="00D512A6" w:rsidRPr="00D512A6" w:rsidRDefault="00D512A6" w:rsidP="009A104F">
      <w:pPr>
        <w:rPr>
          <w:lang w:val="en-GB"/>
        </w:rPr>
      </w:pPr>
      <w:r w:rsidRPr="00D512A6">
        <w:rPr>
          <w:lang w:val="en-GB"/>
        </w:rPr>
        <w:lastRenderedPageBreak/>
        <w:t xml:space="preserve">In sections </w:t>
      </w:r>
      <w:r w:rsidR="009A104F">
        <w:rPr>
          <w:lang w:val="en-GB"/>
        </w:rPr>
        <w:t>‘Precautions’ and ‘Adverse Events’</w:t>
      </w:r>
      <w:r w:rsidR="009A104F" w:rsidRPr="00D512A6">
        <w:rPr>
          <w:lang w:val="en-GB"/>
        </w:rPr>
        <w:t xml:space="preserve">, </w:t>
      </w:r>
      <w:r w:rsidRPr="00D512A6">
        <w:rPr>
          <w:lang w:val="en-GB"/>
        </w:rPr>
        <w:t xml:space="preserve">creation of a distinct category of </w:t>
      </w:r>
      <w:r w:rsidR="009A104F">
        <w:rPr>
          <w:lang w:val="en-GB"/>
        </w:rPr>
        <w:t xml:space="preserve">‘immune </w:t>
      </w:r>
      <w:r w:rsidRPr="00D512A6">
        <w:rPr>
          <w:lang w:val="en-GB"/>
        </w:rPr>
        <w:t>related</w:t>
      </w:r>
      <w:r w:rsidR="009A104F">
        <w:rPr>
          <w:lang w:val="en-GB"/>
        </w:rPr>
        <w:t xml:space="preserve"> neurological adverse reactions’</w:t>
      </w:r>
      <w:r w:rsidRPr="00D512A6">
        <w:rPr>
          <w:lang w:val="en-GB"/>
        </w:rPr>
        <w:t xml:space="preserve"> to include the </w:t>
      </w:r>
      <w:r w:rsidR="009A104F">
        <w:rPr>
          <w:lang w:val="en-GB"/>
        </w:rPr>
        <w:t xml:space="preserve">AEs of demyelination, </w:t>
      </w:r>
      <w:proofErr w:type="spellStart"/>
      <w:r w:rsidR="009A104F">
        <w:rPr>
          <w:lang w:val="en-GB"/>
        </w:rPr>
        <w:t>Guillain-</w:t>
      </w:r>
      <w:r w:rsidRPr="00D512A6">
        <w:rPr>
          <w:lang w:val="en-GB"/>
        </w:rPr>
        <w:t>Barré</w:t>
      </w:r>
      <w:proofErr w:type="spellEnd"/>
      <w:r w:rsidRPr="00D512A6">
        <w:rPr>
          <w:lang w:val="en-GB"/>
        </w:rPr>
        <w:t xml:space="preserve"> syndrome, </w:t>
      </w:r>
      <w:proofErr w:type="spellStart"/>
      <w:r w:rsidRPr="00D512A6">
        <w:rPr>
          <w:lang w:val="en-GB"/>
        </w:rPr>
        <w:t>myasthenic</w:t>
      </w:r>
      <w:proofErr w:type="spellEnd"/>
      <w:r w:rsidRPr="00D512A6">
        <w:rPr>
          <w:lang w:val="en-GB"/>
        </w:rPr>
        <w:t xml:space="preserve"> syndrome/myasthenia gravis, autoimmune neuropathy (including facial and </w:t>
      </w:r>
      <w:proofErr w:type="spellStart"/>
      <w:r w:rsidRPr="00D512A6">
        <w:rPr>
          <w:lang w:val="en-GB"/>
        </w:rPr>
        <w:t>abducens</w:t>
      </w:r>
      <w:proofErr w:type="spellEnd"/>
      <w:r w:rsidRPr="00D512A6">
        <w:rPr>
          <w:lang w:val="en-GB"/>
        </w:rPr>
        <w:t xml:space="preserve"> n</w:t>
      </w:r>
      <w:r w:rsidR="009A104F">
        <w:rPr>
          <w:lang w:val="en-GB"/>
        </w:rPr>
        <w:t>erve paresis) and encephalitis.</w:t>
      </w:r>
    </w:p>
    <w:p w14:paraId="2A4528A2" w14:textId="4C9F6010" w:rsidR="009A104F" w:rsidRDefault="009A104F" w:rsidP="009A104F">
      <w:pPr>
        <w:rPr>
          <w:lang w:val="en-GB"/>
        </w:rPr>
      </w:pPr>
      <w:r>
        <w:rPr>
          <w:lang w:val="en-GB"/>
        </w:rPr>
        <w:t>In section ‘Dosage a</w:t>
      </w:r>
      <w:r w:rsidRPr="00D512A6">
        <w:rPr>
          <w:lang w:val="en-GB"/>
        </w:rPr>
        <w:t>nd Administration</w:t>
      </w:r>
      <w:r>
        <w:rPr>
          <w:lang w:val="en-GB"/>
        </w:rPr>
        <w:t>’</w:t>
      </w:r>
      <w:r w:rsidR="00D512A6" w:rsidRPr="00D512A6">
        <w:rPr>
          <w:lang w:val="en-GB"/>
        </w:rPr>
        <w:t xml:space="preserve">, include guidance on management of </w:t>
      </w:r>
      <w:proofErr w:type="spellStart"/>
      <w:r w:rsidR="00D512A6" w:rsidRPr="00D512A6">
        <w:rPr>
          <w:lang w:val="en-GB"/>
        </w:rPr>
        <w:t>myasthenic</w:t>
      </w:r>
      <w:proofErr w:type="spellEnd"/>
      <w:r w:rsidR="00D512A6" w:rsidRPr="00D512A6">
        <w:rPr>
          <w:lang w:val="en-GB"/>
        </w:rPr>
        <w:t xml:space="preserve"> syndrome/myasthenia gravis as a separate event under the categ</w:t>
      </w:r>
      <w:r>
        <w:rPr>
          <w:lang w:val="en-GB"/>
        </w:rPr>
        <w:t>ory ‘</w:t>
      </w:r>
      <w:r w:rsidR="00D512A6" w:rsidRPr="00D512A6">
        <w:rPr>
          <w:lang w:val="en-GB"/>
        </w:rPr>
        <w:t xml:space="preserve">immune-related </w:t>
      </w:r>
      <w:r>
        <w:rPr>
          <w:lang w:val="en-GB"/>
        </w:rPr>
        <w:t>neurological adverse reactions’.</w:t>
      </w:r>
    </w:p>
    <w:p w14:paraId="5AEEDD0B" w14:textId="1875820F" w:rsidR="009A104F" w:rsidRPr="009A104F" w:rsidRDefault="009A104F" w:rsidP="009A104F">
      <w:pPr>
        <w:pStyle w:val="Numberbullet0"/>
        <w:rPr>
          <w:i/>
          <w:lang w:val="en-GB"/>
        </w:rPr>
      </w:pPr>
      <w:r>
        <w:rPr>
          <w:i/>
          <w:lang w:val="en-GB"/>
        </w:rPr>
        <w:t>‘</w:t>
      </w:r>
      <w:r w:rsidR="00D512A6" w:rsidRPr="009A104F">
        <w:rPr>
          <w:i/>
          <w:lang w:val="en-GB"/>
        </w:rPr>
        <w:t>Is there sufficient evidence to support a Precaution about ‘SIRS/MODS/MOF’? Is there any evidence of a higher risk of SIRS/MODS/MOF with combinati</w:t>
      </w:r>
      <w:r w:rsidRPr="009A104F">
        <w:rPr>
          <w:i/>
          <w:lang w:val="en-GB"/>
        </w:rPr>
        <w:t xml:space="preserve">on use of </w:t>
      </w:r>
      <w:proofErr w:type="spellStart"/>
      <w:r w:rsidRPr="009A104F">
        <w:rPr>
          <w:i/>
          <w:lang w:val="en-GB"/>
        </w:rPr>
        <w:t>nivolumab</w:t>
      </w:r>
      <w:proofErr w:type="spellEnd"/>
      <w:r w:rsidRPr="009A104F">
        <w:rPr>
          <w:i/>
          <w:lang w:val="en-GB"/>
        </w:rPr>
        <w:t>/</w:t>
      </w:r>
      <w:proofErr w:type="spellStart"/>
      <w:r w:rsidRPr="009A104F">
        <w:rPr>
          <w:i/>
          <w:lang w:val="en-GB"/>
        </w:rPr>
        <w:t>ipilimumab</w:t>
      </w:r>
      <w:proofErr w:type="spellEnd"/>
      <w:r w:rsidRPr="009A104F">
        <w:rPr>
          <w:i/>
          <w:lang w:val="en-GB"/>
        </w:rPr>
        <w:t>?</w:t>
      </w:r>
      <w:r>
        <w:rPr>
          <w:i/>
          <w:lang w:val="en-GB"/>
        </w:rPr>
        <w:t>’</w:t>
      </w:r>
    </w:p>
    <w:p w14:paraId="023BDF74" w14:textId="00CCF2D7" w:rsidR="00D512A6" w:rsidRPr="00D512A6" w:rsidRDefault="009A104F" w:rsidP="00D512A6">
      <w:pPr>
        <w:rPr>
          <w:lang w:val="en-GB"/>
        </w:rPr>
      </w:pPr>
      <w:r>
        <w:rPr>
          <w:lang w:val="en-GB"/>
        </w:rPr>
        <w:t xml:space="preserve">The sponsor </w:t>
      </w:r>
      <w:r w:rsidR="00D512A6" w:rsidRPr="00D512A6">
        <w:rPr>
          <w:lang w:val="en-GB"/>
        </w:rPr>
        <w:t xml:space="preserve">has assessed the events of </w:t>
      </w:r>
      <w:r w:rsidR="005C718B">
        <w:rPr>
          <w:lang w:val="en-GB"/>
        </w:rPr>
        <w:t>SIRS/MODS/MOF</w:t>
      </w:r>
      <w:r w:rsidR="00D512A6" w:rsidRPr="00D512A6">
        <w:rPr>
          <w:lang w:val="en-GB"/>
        </w:rPr>
        <w:t xml:space="preserve"> reported in the </w:t>
      </w:r>
      <w:proofErr w:type="spellStart"/>
      <w:r w:rsidR="00D512A6" w:rsidRPr="00D512A6">
        <w:rPr>
          <w:lang w:val="en-GB"/>
        </w:rPr>
        <w:t>nivolumab</w:t>
      </w:r>
      <w:proofErr w:type="spellEnd"/>
      <w:r w:rsidR="00D512A6" w:rsidRPr="00D512A6">
        <w:rPr>
          <w:lang w:val="en-GB"/>
        </w:rPr>
        <w:t xml:space="preserve"> </w:t>
      </w:r>
      <w:r>
        <w:rPr>
          <w:lang w:val="en-GB"/>
        </w:rPr>
        <w:t>clinical trials</w:t>
      </w:r>
      <w:r w:rsidR="00D512A6" w:rsidRPr="00D512A6">
        <w:rPr>
          <w:lang w:val="en-GB"/>
        </w:rPr>
        <w:t xml:space="preserve"> program and in post-marketing use and has concluded that these are not safety concerns for </w:t>
      </w:r>
      <w:proofErr w:type="spellStart"/>
      <w:r w:rsidR="00D512A6" w:rsidRPr="00D512A6">
        <w:rPr>
          <w:lang w:val="en-GB"/>
        </w:rPr>
        <w:t>nivolumab</w:t>
      </w:r>
      <w:proofErr w:type="spellEnd"/>
      <w:r w:rsidR="00D512A6" w:rsidRPr="00D512A6">
        <w:rPr>
          <w:lang w:val="en-GB"/>
        </w:rPr>
        <w:t xml:space="preserve"> monotherapy or combination therapy. </w:t>
      </w:r>
      <w:r>
        <w:rPr>
          <w:lang w:val="en-GB"/>
        </w:rPr>
        <w:t>The sponsor</w:t>
      </w:r>
      <w:r w:rsidR="00D512A6" w:rsidRPr="00D512A6">
        <w:rPr>
          <w:lang w:val="en-GB"/>
        </w:rPr>
        <w:t xml:space="preserve"> will continue to monitor AEs of SIRS/MODS/MOF as part of routine </w:t>
      </w:r>
      <w:r>
        <w:rPr>
          <w:lang w:val="en-GB"/>
        </w:rPr>
        <w:t>pharmacovigilance</w:t>
      </w:r>
      <w:r w:rsidR="00D512A6" w:rsidRPr="00D512A6">
        <w:rPr>
          <w:lang w:val="en-GB"/>
        </w:rPr>
        <w:t xml:space="preserve">. Continuous safety monitoring will ensure that updated safety information is available in a timely manner and that any future changes to the benefit-risk profile of </w:t>
      </w:r>
      <w:proofErr w:type="spellStart"/>
      <w:r w:rsidR="00D512A6" w:rsidRPr="00D512A6">
        <w:rPr>
          <w:lang w:val="en-GB"/>
        </w:rPr>
        <w:t>nivolumab</w:t>
      </w:r>
      <w:proofErr w:type="spellEnd"/>
      <w:r w:rsidR="00D512A6" w:rsidRPr="00D512A6">
        <w:rPr>
          <w:lang w:val="en-GB"/>
        </w:rPr>
        <w:t xml:space="preserve"> are appropriately reported and managed. </w:t>
      </w:r>
      <w:r w:rsidR="00D512A6" w:rsidRPr="00D512A6">
        <w:rPr>
          <w:rFonts w:ascii="MS Mincho" w:eastAsia="MS Mincho" w:hAnsi="MS Mincho" w:cs="MS Mincho"/>
          <w:lang w:val="en-GB"/>
        </w:rPr>
        <w:t> </w:t>
      </w:r>
      <w:r w:rsidR="00D512A6" w:rsidRPr="00D512A6">
        <w:rPr>
          <w:lang w:val="en-GB"/>
        </w:rPr>
        <w:t>This conclusion is based on a cumulative search of the Corporate saf</w:t>
      </w:r>
      <w:r>
        <w:rPr>
          <w:lang w:val="en-GB"/>
        </w:rPr>
        <w:t xml:space="preserve">ety database (AWARE) through 3 </w:t>
      </w:r>
      <w:r w:rsidR="00460C53">
        <w:rPr>
          <w:lang w:val="en-GB"/>
        </w:rPr>
        <w:t xml:space="preserve">July </w:t>
      </w:r>
      <w:r w:rsidR="00D512A6" w:rsidRPr="00D512A6">
        <w:rPr>
          <w:lang w:val="en-GB"/>
        </w:rPr>
        <w:t>2016 (</w:t>
      </w:r>
      <w:r w:rsidR="00460C53">
        <w:rPr>
          <w:lang w:val="en-GB"/>
        </w:rPr>
        <w:t>Data lock point</w:t>
      </w:r>
      <w:r w:rsidR="00D512A6" w:rsidRPr="00D512A6">
        <w:rPr>
          <w:lang w:val="en-GB"/>
        </w:rPr>
        <w:t xml:space="preserve"> of the last PBRER submitted to TGA) to identify cases from all sources (serious </w:t>
      </w:r>
      <w:r w:rsidR="00460C53">
        <w:rPr>
          <w:lang w:val="en-GB"/>
        </w:rPr>
        <w:t>clinical trials (Phase I to III; Phase IV)), solicited, literature clinical trial</w:t>
      </w:r>
      <w:r w:rsidR="00D512A6" w:rsidRPr="00D512A6">
        <w:rPr>
          <w:lang w:val="en-GB"/>
        </w:rPr>
        <w:t xml:space="preserve">s, literature post marketing, and spontaneous) where </w:t>
      </w:r>
      <w:proofErr w:type="spellStart"/>
      <w:r w:rsidR="00D512A6" w:rsidRPr="00D512A6">
        <w:rPr>
          <w:lang w:val="en-GB"/>
        </w:rPr>
        <w:t>nivolumab</w:t>
      </w:r>
      <w:proofErr w:type="spellEnd"/>
      <w:r w:rsidR="00D512A6" w:rsidRPr="00D512A6">
        <w:rPr>
          <w:lang w:val="en-GB"/>
        </w:rPr>
        <w:t xml:space="preserve"> was considered a suspect or interacting drug and at least 1 of the reported AE terms in the case was mapped to the preferred terms of SIRS and Organ Failure or MODS using Medical Dictionary for </w:t>
      </w:r>
      <w:r w:rsidR="00460C53">
        <w:rPr>
          <w:lang w:val="en-GB"/>
        </w:rPr>
        <w:t>Regulatory Activities (</w:t>
      </w:r>
      <w:proofErr w:type="spellStart"/>
      <w:r w:rsidR="00460C53">
        <w:rPr>
          <w:lang w:val="en-GB"/>
        </w:rPr>
        <w:t>MedDRA</w:t>
      </w:r>
      <w:proofErr w:type="spellEnd"/>
      <w:r w:rsidR="00460C53">
        <w:rPr>
          <w:lang w:val="en-GB"/>
        </w:rPr>
        <w:t>) v</w:t>
      </w:r>
      <w:r w:rsidR="00D512A6" w:rsidRPr="00D512A6">
        <w:rPr>
          <w:lang w:val="en-GB"/>
        </w:rPr>
        <w:t xml:space="preserve">ersion 19.0. The results and </w:t>
      </w:r>
      <w:r w:rsidR="00460C53">
        <w:rPr>
          <w:lang w:val="en-GB"/>
        </w:rPr>
        <w:t>sponsor</w:t>
      </w:r>
      <w:r w:rsidR="00D512A6" w:rsidRPr="00D512A6">
        <w:rPr>
          <w:lang w:val="en-GB"/>
        </w:rPr>
        <w:t xml:space="preserve"> asses</w:t>
      </w:r>
      <w:r w:rsidR="00460C53">
        <w:rPr>
          <w:lang w:val="en-GB"/>
        </w:rPr>
        <w:t>sments follow.</w:t>
      </w:r>
    </w:p>
    <w:p w14:paraId="4DF80D27" w14:textId="7416E4FA" w:rsidR="00D512A6" w:rsidRPr="00D512A6" w:rsidRDefault="00D512A6" w:rsidP="00D512A6">
      <w:pPr>
        <w:rPr>
          <w:lang w:val="en-GB"/>
        </w:rPr>
      </w:pPr>
      <w:r w:rsidRPr="00D512A6">
        <w:rPr>
          <w:lang w:val="en-GB"/>
        </w:rPr>
        <w:t>SIRS is a multifaceted pathophysiological dysregulated inflammatory response to a range of noxious stimuli that may be infectious (sepsis or septic shock) or non-infectious (such as adrenal insufficiency, pancreatitis, anaphylaxis, thromboembolism, burns, trauma, ischemia, complications of surgery, complicated aortic aneurysm, cardiac tamponade, drug overdose, h</w:t>
      </w:r>
      <w:r w:rsidR="00460C53">
        <w:rPr>
          <w:lang w:val="en-GB"/>
        </w:rPr>
        <w:t>a</w:t>
      </w:r>
      <w:r w:rsidRPr="00D512A6">
        <w:rPr>
          <w:lang w:val="en-GB"/>
        </w:rPr>
        <w:t xml:space="preserve">emorrhage, </w:t>
      </w:r>
      <w:r w:rsidR="00460C53">
        <w:rPr>
          <w:lang w:val="en-GB"/>
        </w:rPr>
        <w:t>and so on</w:t>
      </w:r>
      <w:r w:rsidRPr="00D512A6">
        <w:rPr>
          <w:lang w:val="en-GB"/>
        </w:rPr>
        <w:t>). The clinical criteria are two or more abnormalities in temperature, heart rate, respiratory rate, or white blood cell count. Thus, the SIRS criteria are a component of clinical parameters reported with multiple diverse conditions with multiple aetiologies. They are a cluster of non-specific criteria that may simply reflect</w:t>
      </w:r>
      <w:r w:rsidR="00460C53">
        <w:rPr>
          <w:lang w:val="en-GB"/>
        </w:rPr>
        <w:t xml:space="preserve"> an appropriate host mechanism.</w:t>
      </w:r>
    </w:p>
    <w:p w14:paraId="401D6ADC" w14:textId="1E82E329" w:rsidR="00D512A6" w:rsidRPr="00D512A6" w:rsidRDefault="00D512A6" w:rsidP="00D512A6">
      <w:pPr>
        <w:rPr>
          <w:lang w:val="en-GB"/>
        </w:rPr>
      </w:pPr>
      <w:r w:rsidRPr="00D512A6">
        <w:rPr>
          <w:lang w:val="en-GB"/>
        </w:rPr>
        <w:t>With the link between inflammation and cancer well established, although the mechanism by which cancer induces both local and systemic inflammatory responses is yet to be fully elucidated, there is a suggestion that the SIRS pathophysiology could be related to the disea</w:t>
      </w:r>
      <w:r w:rsidR="00460C53">
        <w:rPr>
          <w:lang w:val="en-GB"/>
        </w:rPr>
        <w:t>se itself.</w:t>
      </w:r>
    </w:p>
    <w:p w14:paraId="439954A9" w14:textId="723624F0" w:rsidR="00D512A6" w:rsidRPr="00D512A6" w:rsidRDefault="00460C53" w:rsidP="00D512A6">
      <w:pPr>
        <w:rPr>
          <w:lang w:val="en-GB"/>
        </w:rPr>
      </w:pPr>
      <w:r>
        <w:rPr>
          <w:lang w:val="en-GB"/>
        </w:rPr>
        <w:t>An expert scientific task force</w:t>
      </w:r>
      <w:r w:rsidR="00D512A6" w:rsidRPr="00D512A6">
        <w:rPr>
          <w:lang w:val="en-GB"/>
        </w:rPr>
        <w:t xml:space="preserve"> convened by the European Society of Intensive Care Medicine and the Society of Critical Care Medicine between 2014 and 2015 noted the limitations of previous definitions, and the inadequate specificity and sensitivity of the SIRS criteria.</w:t>
      </w:r>
      <w:r w:rsidR="00FB6588">
        <w:rPr>
          <w:rStyle w:val="FootnoteReference"/>
          <w:lang w:val="en-GB"/>
        </w:rPr>
        <w:footnoteReference w:id="14"/>
      </w:r>
      <w:r w:rsidR="00D512A6" w:rsidRPr="00D512A6">
        <w:rPr>
          <w:lang w:val="en-GB"/>
        </w:rPr>
        <w:t xml:space="preserve"> </w:t>
      </w:r>
      <w:r>
        <w:rPr>
          <w:lang w:val="en-GB"/>
        </w:rPr>
        <w:t>The sponsor agrees with this view.</w:t>
      </w:r>
    </w:p>
    <w:p w14:paraId="6C51AFF5" w14:textId="3DEECCD6" w:rsidR="00D512A6" w:rsidRPr="00D512A6" w:rsidRDefault="00D512A6" w:rsidP="00D512A6">
      <w:pPr>
        <w:rPr>
          <w:lang w:val="en-GB"/>
        </w:rPr>
      </w:pPr>
      <w:r w:rsidRPr="00D512A6">
        <w:rPr>
          <w:lang w:val="en-GB"/>
        </w:rPr>
        <w:t xml:space="preserve">From the search described above, 13 cases reported a </w:t>
      </w:r>
      <w:r w:rsidR="00A21077">
        <w:rPr>
          <w:lang w:val="en-GB"/>
        </w:rPr>
        <w:t>SAE</w:t>
      </w:r>
      <w:r w:rsidRPr="00D512A6">
        <w:rPr>
          <w:lang w:val="en-GB"/>
        </w:rPr>
        <w:t xml:space="preserve"> of SIRS. Of the 13</w:t>
      </w:r>
      <w:r w:rsidR="00460C53">
        <w:rPr>
          <w:lang w:val="en-GB"/>
        </w:rPr>
        <w:t xml:space="preserve"> </w:t>
      </w:r>
      <w:r w:rsidRPr="00D512A6">
        <w:rPr>
          <w:lang w:val="en-GB"/>
        </w:rPr>
        <w:t>cases, 7</w:t>
      </w:r>
      <w:r w:rsidR="00460C53">
        <w:rPr>
          <w:lang w:val="en-GB"/>
        </w:rPr>
        <w:t xml:space="preserve"> </w:t>
      </w:r>
      <w:r w:rsidRPr="00D512A6">
        <w:rPr>
          <w:lang w:val="en-GB"/>
        </w:rPr>
        <w:t xml:space="preserve">patients received </w:t>
      </w:r>
      <w:proofErr w:type="spellStart"/>
      <w:r w:rsidRPr="00D512A6">
        <w:rPr>
          <w:lang w:val="en-GB"/>
        </w:rPr>
        <w:t>nivolumab</w:t>
      </w:r>
      <w:proofErr w:type="spellEnd"/>
      <w:r w:rsidRPr="00D512A6">
        <w:rPr>
          <w:lang w:val="en-GB"/>
        </w:rPr>
        <w:t xml:space="preserve"> monotherapy and 6 received combination therapy. Event outcomes were reported as recovered/resolved (5), recovered/resolved with sequelae (2), recovering/resolving (1), not recovered/not resolved (1), unknown (4)</w:t>
      </w:r>
      <w:r w:rsidR="00460C53">
        <w:rPr>
          <w:lang w:val="en-GB"/>
        </w:rPr>
        <w:t>. There were no fatal outcomes.</w:t>
      </w:r>
    </w:p>
    <w:p w14:paraId="14D83EAC" w14:textId="28601175" w:rsidR="00D512A6" w:rsidRPr="00D512A6" w:rsidRDefault="00D512A6" w:rsidP="00D512A6">
      <w:pPr>
        <w:rPr>
          <w:lang w:val="en-GB"/>
        </w:rPr>
      </w:pPr>
      <w:r w:rsidRPr="00D512A6">
        <w:rPr>
          <w:lang w:val="en-GB"/>
        </w:rPr>
        <w:lastRenderedPageBreak/>
        <w:t xml:space="preserve">All available information in the 13 cases were independently and comprehensively medically reviewed by </w:t>
      </w:r>
      <w:r w:rsidR="00460C53">
        <w:rPr>
          <w:lang w:val="en-GB"/>
        </w:rPr>
        <w:t>the sponsor</w:t>
      </w:r>
      <w:r w:rsidRPr="00D512A6">
        <w:rPr>
          <w:lang w:val="en-GB"/>
        </w:rPr>
        <w:t>, taking into account available information on relevant aspects of the specific case, association with underlying disease, biologic plausibility, and prese</w:t>
      </w:r>
      <w:r w:rsidR="00460C53">
        <w:rPr>
          <w:lang w:val="en-GB"/>
        </w:rPr>
        <w:t>nce of a more likely aetiology.</w:t>
      </w:r>
    </w:p>
    <w:p w14:paraId="46E8F8EB" w14:textId="3B823CE4" w:rsidR="00D512A6" w:rsidRPr="00D512A6" w:rsidRDefault="00D512A6" w:rsidP="00D512A6">
      <w:pPr>
        <w:rPr>
          <w:lang w:val="en-GB"/>
        </w:rPr>
      </w:pPr>
      <w:r w:rsidRPr="00D512A6">
        <w:rPr>
          <w:lang w:val="en-GB"/>
        </w:rPr>
        <w:t xml:space="preserve">An aggregate review of the currently available </w:t>
      </w:r>
      <w:proofErr w:type="spellStart"/>
      <w:r w:rsidRPr="00D512A6">
        <w:rPr>
          <w:lang w:val="en-GB"/>
        </w:rPr>
        <w:t>nivolumab</w:t>
      </w:r>
      <w:proofErr w:type="spellEnd"/>
      <w:r w:rsidRPr="00D512A6">
        <w:rPr>
          <w:lang w:val="en-GB"/>
        </w:rPr>
        <w:t xml:space="preserve"> data found insufficient information to confirm a causal association between </w:t>
      </w:r>
      <w:proofErr w:type="spellStart"/>
      <w:r w:rsidRPr="00D512A6">
        <w:rPr>
          <w:lang w:val="en-GB"/>
        </w:rPr>
        <w:t>nivolumab</w:t>
      </w:r>
      <w:proofErr w:type="spellEnd"/>
      <w:r w:rsidRPr="00D512A6">
        <w:rPr>
          <w:lang w:val="en-GB"/>
        </w:rPr>
        <w:t xml:space="preserve"> and SIRS. This assessment is further confounded by the lack of specificity in the diagnostic criteria for SIRS. Therefore, </w:t>
      </w:r>
      <w:r w:rsidR="00460C53">
        <w:rPr>
          <w:lang w:val="en-GB"/>
        </w:rPr>
        <w:t>the sponsor</w:t>
      </w:r>
      <w:r w:rsidRPr="00D512A6">
        <w:rPr>
          <w:lang w:val="en-GB"/>
        </w:rPr>
        <w:t xml:space="preserve"> deems that SIRS is not a safety concern for </w:t>
      </w:r>
      <w:proofErr w:type="spellStart"/>
      <w:r w:rsidRPr="00D512A6">
        <w:rPr>
          <w:lang w:val="en-GB"/>
        </w:rPr>
        <w:t>nivolumab</w:t>
      </w:r>
      <w:proofErr w:type="spellEnd"/>
      <w:r w:rsidRPr="00D512A6">
        <w:rPr>
          <w:lang w:val="en-GB"/>
        </w:rPr>
        <w:t xml:space="preserve"> mono</w:t>
      </w:r>
      <w:r w:rsidR="00460C53">
        <w:rPr>
          <w:lang w:val="en-GB"/>
        </w:rPr>
        <w:t>therapy or combination therapy.</w:t>
      </w:r>
    </w:p>
    <w:p w14:paraId="72A21E31" w14:textId="450F62EC" w:rsidR="00D512A6" w:rsidRPr="00D512A6" w:rsidRDefault="00460C53" w:rsidP="00D512A6">
      <w:pPr>
        <w:rPr>
          <w:lang w:val="en-GB"/>
        </w:rPr>
      </w:pPr>
      <w:r>
        <w:rPr>
          <w:lang w:val="en-GB"/>
        </w:rPr>
        <w:t>The sponsor</w:t>
      </w:r>
      <w:r w:rsidR="00D512A6" w:rsidRPr="00D512A6">
        <w:rPr>
          <w:lang w:val="en-GB"/>
        </w:rPr>
        <w:t xml:space="preserve"> notes that the </w:t>
      </w:r>
      <w:r>
        <w:rPr>
          <w:lang w:val="en-GB"/>
        </w:rPr>
        <w:t>clinical evaluator</w:t>
      </w:r>
      <w:r w:rsidR="00D512A6" w:rsidRPr="00D512A6">
        <w:rPr>
          <w:lang w:val="en-GB"/>
        </w:rPr>
        <w:t xml:space="preserve"> has referred to an American Society of Clinical Oncology poster presentation as additional cases of SIRS that have been reported. This study included a small sample size that was limited to 1 institution, had no comparator, and provided conclusions on PD-1 targeted therapy which were not specific to </w:t>
      </w:r>
      <w:proofErr w:type="spellStart"/>
      <w:r w:rsidR="00D512A6" w:rsidRPr="00D512A6">
        <w:rPr>
          <w:lang w:val="en-GB"/>
        </w:rPr>
        <w:t>nivolumab</w:t>
      </w:r>
      <w:proofErr w:type="spellEnd"/>
      <w:r w:rsidR="00D512A6" w:rsidRPr="00D512A6">
        <w:rPr>
          <w:lang w:val="en-GB"/>
        </w:rPr>
        <w:t xml:space="preserve">. The SIRS criteria used by the investigators also included hypotension and organ failure, which are not part of the SIRS clinical criteria described above. These cases are not captured in the </w:t>
      </w:r>
      <w:r w:rsidR="001A6275">
        <w:rPr>
          <w:lang w:val="en-GB"/>
        </w:rPr>
        <w:t>sponsor’s</w:t>
      </w:r>
      <w:r w:rsidR="00D512A6" w:rsidRPr="00D512A6">
        <w:rPr>
          <w:lang w:val="en-GB"/>
        </w:rPr>
        <w:t xml:space="preserve"> </w:t>
      </w:r>
      <w:proofErr w:type="gramStart"/>
      <w:r w:rsidR="00D512A6" w:rsidRPr="00D512A6">
        <w:rPr>
          <w:lang w:val="en-GB"/>
        </w:rPr>
        <w:t>Corporate</w:t>
      </w:r>
      <w:proofErr w:type="gramEnd"/>
      <w:r w:rsidR="00D512A6" w:rsidRPr="00D512A6">
        <w:rPr>
          <w:lang w:val="en-GB"/>
        </w:rPr>
        <w:t xml:space="preserve"> safet</w:t>
      </w:r>
      <w:r w:rsidR="001A6275">
        <w:rPr>
          <w:lang w:val="en-GB"/>
        </w:rPr>
        <w:t>y database.</w:t>
      </w:r>
    </w:p>
    <w:p w14:paraId="506D414D" w14:textId="0E69B3E7" w:rsidR="00D512A6" w:rsidRPr="00D512A6" w:rsidRDefault="00D512A6" w:rsidP="00D512A6">
      <w:pPr>
        <w:rPr>
          <w:lang w:val="en-GB"/>
        </w:rPr>
      </w:pPr>
      <w:r w:rsidRPr="00D512A6">
        <w:rPr>
          <w:lang w:val="en-GB"/>
        </w:rPr>
        <w:t>MODS/MOF is</w:t>
      </w:r>
      <w:r w:rsidR="00460C53">
        <w:rPr>
          <w:lang w:val="en-GB"/>
        </w:rPr>
        <w:t xml:space="preserve"> a syndrome in which more than one</w:t>
      </w:r>
      <w:r w:rsidRPr="00D512A6">
        <w:rPr>
          <w:lang w:val="en-GB"/>
        </w:rPr>
        <w:t xml:space="preserve"> organ system fails. The pathophysiology is not completely understood but there is evidence of initiation of a chain of events that result in activation of several endogenous metabolic pathways, which results in an inflammatory response that can lead to organ failure. Multiple precipitating factors (including infection, inadequate perfusion, </w:t>
      </w:r>
      <w:proofErr w:type="spellStart"/>
      <w:r w:rsidRPr="00D512A6">
        <w:rPr>
          <w:lang w:val="en-GB"/>
        </w:rPr>
        <w:t>hypermetabolism</w:t>
      </w:r>
      <w:proofErr w:type="spellEnd"/>
      <w:r w:rsidRPr="00D512A6">
        <w:rPr>
          <w:lang w:val="en-GB"/>
        </w:rPr>
        <w:t>, soft-tissue and bone injury, and inflammatory processes such as pancreatitis) through a common final pathway result in simultaneous organ failure in several organs, most commonly the lungs, kidneys, gastrointestinal tract, and brain. Patient factors such as elderly age, male gender, and medical co-morbidities also play a role. Sepsis is a common cause. It has been suggested that there is a continuous process of varying levels of organ function designated as MODS, further complicated by variations in the definition of organ failure. MODS/MOF is an inherent clinical presentation of underlying disease progression in oncology pat</w:t>
      </w:r>
      <w:r w:rsidR="001A6275">
        <w:rPr>
          <w:lang w:val="en-GB"/>
        </w:rPr>
        <w:t>ients with advanced malignancy.</w:t>
      </w:r>
    </w:p>
    <w:p w14:paraId="3B5B300C" w14:textId="74EF84B8" w:rsidR="00D512A6" w:rsidRPr="00D512A6" w:rsidRDefault="00D512A6" w:rsidP="00D512A6">
      <w:pPr>
        <w:rPr>
          <w:lang w:val="en-GB"/>
        </w:rPr>
      </w:pPr>
      <w:r w:rsidRPr="00D512A6">
        <w:rPr>
          <w:lang w:val="en-GB"/>
        </w:rPr>
        <w:t xml:space="preserve">From the search described above, 46 cases reported an SAE of MODS and 1 case reported an SAE of Organ Failure. Of the 47 cases, 40 patients received </w:t>
      </w:r>
      <w:proofErr w:type="spellStart"/>
      <w:r w:rsidRPr="00D512A6">
        <w:rPr>
          <w:lang w:val="en-GB"/>
        </w:rPr>
        <w:t>nivolumab</w:t>
      </w:r>
      <w:proofErr w:type="spellEnd"/>
      <w:r w:rsidRPr="00D512A6">
        <w:rPr>
          <w:lang w:val="en-GB"/>
        </w:rPr>
        <w:t xml:space="preserve"> monotherapy and 7 received combination therapy. Event outcomes w</w:t>
      </w:r>
      <w:r w:rsidR="00460C53">
        <w:rPr>
          <w:lang w:val="en-GB"/>
        </w:rPr>
        <w:t>ere reported as fatal (35 MODS (</w:t>
      </w:r>
      <w:r w:rsidRPr="00D512A6">
        <w:rPr>
          <w:lang w:val="en-GB"/>
        </w:rPr>
        <w:t xml:space="preserve">30 </w:t>
      </w:r>
      <w:proofErr w:type="spellStart"/>
      <w:r w:rsidRPr="00D512A6">
        <w:rPr>
          <w:lang w:val="en-GB"/>
        </w:rPr>
        <w:t>nivolumab</w:t>
      </w:r>
      <w:proofErr w:type="spellEnd"/>
      <w:r w:rsidRPr="00D512A6">
        <w:rPr>
          <w:lang w:val="en-GB"/>
        </w:rPr>
        <w:t xml:space="preserve"> monotherapy a</w:t>
      </w:r>
      <w:r w:rsidR="00460C53">
        <w:rPr>
          <w:lang w:val="en-GB"/>
        </w:rPr>
        <w:t xml:space="preserve">nd 5 combination therapy, </w:t>
      </w:r>
      <w:r w:rsidRPr="00D512A6">
        <w:rPr>
          <w:lang w:val="en-GB"/>
        </w:rPr>
        <w:t>reflective of greater exposure num</w:t>
      </w:r>
      <w:r w:rsidR="00460C53">
        <w:rPr>
          <w:lang w:val="en-GB"/>
        </w:rPr>
        <w:t xml:space="preserve">bers with </w:t>
      </w:r>
      <w:proofErr w:type="spellStart"/>
      <w:r w:rsidR="00460C53">
        <w:rPr>
          <w:lang w:val="en-GB"/>
        </w:rPr>
        <w:t>nivolumab</w:t>
      </w:r>
      <w:proofErr w:type="spellEnd"/>
      <w:r w:rsidR="00460C53">
        <w:rPr>
          <w:lang w:val="en-GB"/>
        </w:rPr>
        <w:t xml:space="preserve"> monotherapy)</w:t>
      </w:r>
      <w:r w:rsidRPr="00D512A6">
        <w:rPr>
          <w:lang w:val="en-GB"/>
        </w:rPr>
        <w:t>), not recovered/not resolved (3), recovered</w:t>
      </w:r>
      <w:r w:rsidR="00295DD3">
        <w:rPr>
          <w:lang w:val="en-GB"/>
        </w:rPr>
        <w:t>/resolved (2), and unknown (7).</w:t>
      </w:r>
    </w:p>
    <w:p w14:paraId="344F0B43" w14:textId="78C5B12E" w:rsidR="00D512A6" w:rsidRPr="00D512A6" w:rsidRDefault="00D34B4B" w:rsidP="00D512A6">
      <w:pPr>
        <w:rPr>
          <w:lang w:val="en-GB"/>
        </w:rPr>
      </w:pPr>
      <w:r>
        <w:rPr>
          <w:lang w:val="en-GB"/>
        </w:rPr>
        <w:t>The sponsor</w:t>
      </w:r>
      <w:r w:rsidRPr="00D512A6">
        <w:rPr>
          <w:lang w:val="en-GB"/>
        </w:rPr>
        <w:t xml:space="preserve"> </w:t>
      </w:r>
      <w:r w:rsidR="00D512A6" w:rsidRPr="00D512A6">
        <w:rPr>
          <w:lang w:val="en-GB"/>
        </w:rPr>
        <w:t xml:space="preserve">assessed all the cases providing clinical assessment, taking into account available information on relevant aspects of the specific case, association with underlying disease, biologic plausibility, and presence of a more likely aetiology. In all 46 cases, causality was attributed to underlying disease progression and not </w:t>
      </w:r>
      <w:proofErr w:type="spellStart"/>
      <w:r w:rsidR="00D512A6" w:rsidRPr="00D512A6">
        <w:rPr>
          <w:lang w:val="en-GB"/>
        </w:rPr>
        <w:t>nivolumab</w:t>
      </w:r>
      <w:proofErr w:type="spellEnd"/>
      <w:r w:rsidR="00D512A6" w:rsidRPr="00D512A6">
        <w:rPr>
          <w:lang w:val="en-GB"/>
        </w:rPr>
        <w:t xml:space="preserve"> mono</w:t>
      </w:r>
      <w:r w:rsidR="00460C53">
        <w:rPr>
          <w:lang w:val="en-GB"/>
        </w:rPr>
        <w:t>therapy or combination therapy.</w:t>
      </w:r>
    </w:p>
    <w:p w14:paraId="05C20E02" w14:textId="241D138B" w:rsidR="00460C53" w:rsidRPr="00460C53" w:rsidRDefault="00460C53" w:rsidP="00460C53">
      <w:pPr>
        <w:pStyle w:val="Heading5"/>
        <w:rPr>
          <w:rFonts w:eastAsiaTheme="minorHAnsi"/>
          <w:lang w:val="en-GB"/>
        </w:rPr>
      </w:pPr>
      <w:r>
        <w:rPr>
          <w:lang w:val="en-GB"/>
        </w:rPr>
        <w:t>Responses to questions directed to the sponsor</w:t>
      </w:r>
    </w:p>
    <w:p w14:paraId="00A00F2A" w14:textId="27F8ECDC" w:rsidR="00460C53" w:rsidRPr="00460C53" w:rsidRDefault="005B6C88" w:rsidP="00460C53">
      <w:pPr>
        <w:pStyle w:val="Numberbullet0"/>
        <w:numPr>
          <w:ilvl w:val="0"/>
          <w:numId w:val="30"/>
        </w:numPr>
        <w:rPr>
          <w:i/>
          <w:lang w:val="en-GB"/>
        </w:rPr>
      </w:pPr>
      <w:r>
        <w:rPr>
          <w:i/>
          <w:lang w:val="en-GB"/>
        </w:rPr>
        <w:t>‘</w:t>
      </w:r>
      <w:r w:rsidR="00460C53" w:rsidRPr="00460C53">
        <w:rPr>
          <w:i/>
          <w:lang w:val="en-GB"/>
        </w:rPr>
        <w:t xml:space="preserve">Is there any suggestion of decreased efficacy in the elderly for </w:t>
      </w:r>
      <w:proofErr w:type="spellStart"/>
      <w:r w:rsidR="00460C53" w:rsidRPr="00460C53">
        <w:rPr>
          <w:i/>
          <w:lang w:val="en-GB"/>
        </w:rPr>
        <w:t>nivolumab</w:t>
      </w:r>
      <w:proofErr w:type="spellEnd"/>
      <w:r w:rsidR="00460C53" w:rsidRPr="00460C53">
        <w:rPr>
          <w:i/>
          <w:lang w:val="en-GB"/>
        </w:rPr>
        <w:t xml:space="preserve"> across other major studies (for example in melanoma, NSCLC)?</w:t>
      </w:r>
      <w:r>
        <w:rPr>
          <w:i/>
          <w:lang w:val="en-GB"/>
        </w:rPr>
        <w:t>’</w:t>
      </w:r>
    </w:p>
    <w:p w14:paraId="177266B9" w14:textId="7DEBB9B5" w:rsidR="00460C53" w:rsidRDefault="00460C53" w:rsidP="00460C53">
      <w:pPr>
        <w:rPr>
          <w:lang w:val="en-GB"/>
        </w:rPr>
      </w:pPr>
      <w:r w:rsidRPr="00460C53">
        <w:rPr>
          <w:lang w:val="en-GB"/>
        </w:rPr>
        <w:t xml:space="preserve">No consistent evidence of decreased efficacy in the elderly for </w:t>
      </w:r>
      <w:proofErr w:type="spellStart"/>
      <w:r w:rsidRPr="00460C53">
        <w:rPr>
          <w:lang w:val="en-GB"/>
        </w:rPr>
        <w:t>nivolumab</w:t>
      </w:r>
      <w:proofErr w:type="spellEnd"/>
      <w:r w:rsidRPr="00460C53">
        <w:rPr>
          <w:lang w:val="en-GB"/>
        </w:rPr>
        <w:t xml:space="preserve"> has been observed. Marginally improved or slightly lower survival or response rates were noted in patients 75 years of age or older across tumo</w:t>
      </w:r>
      <w:r w:rsidR="005B6C88">
        <w:rPr>
          <w:lang w:val="en-GB"/>
        </w:rPr>
        <w:t>u</w:t>
      </w:r>
      <w:r w:rsidRPr="00460C53">
        <w:rPr>
          <w:lang w:val="en-GB"/>
        </w:rPr>
        <w:t xml:space="preserve">r types (see Table 3 </w:t>
      </w:r>
      <w:r w:rsidR="005B6C88">
        <w:rPr>
          <w:lang w:val="en-GB"/>
        </w:rPr>
        <w:t>below summaris</w:t>
      </w:r>
      <w:r w:rsidRPr="00460C53">
        <w:rPr>
          <w:lang w:val="en-GB"/>
        </w:rPr>
        <w:t xml:space="preserve">ing the findings for melanoma Study CA209067, squamous </w:t>
      </w:r>
      <w:r w:rsidR="005B6C88">
        <w:rPr>
          <w:lang w:val="en-GB"/>
        </w:rPr>
        <w:t>NSCLC; Study CA209017, non-squamous NSCLC, Study CA209057;</w:t>
      </w:r>
      <w:r w:rsidRPr="00460C53">
        <w:rPr>
          <w:lang w:val="en-GB"/>
        </w:rPr>
        <w:t xml:space="preserve"> and RCC</w:t>
      </w:r>
      <w:r w:rsidR="005B6C88">
        <w:rPr>
          <w:lang w:val="en-GB"/>
        </w:rPr>
        <w:t>,</w:t>
      </w:r>
      <w:r w:rsidRPr="00460C53">
        <w:rPr>
          <w:lang w:val="en-GB"/>
        </w:rPr>
        <w:t xml:space="preserve"> Study CA209025). As with the RCC study, the </w:t>
      </w:r>
      <w:proofErr w:type="spellStart"/>
      <w:r w:rsidRPr="00460C53">
        <w:rPr>
          <w:lang w:val="en-GB"/>
        </w:rPr>
        <w:t>nivolumab</w:t>
      </w:r>
      <w:proofErr w:type="spellEnd"/>
      <w:r w:rsidRPr="00460C53">
        <w:rPr>
          <w:lang w:val="en-GB"/>
        </w:rPr>
        <w:t xml:space="preserve"> studies conducted for melanoma and NSCLC have a very small sample size </w:t>
      </w:r>
      <w:r w:rsidRPr="00460C53">
        <w:rPr>
          <w:lang w:val="en-GB"/>
        </w:rPr>
        <w:lastRenderedPageBreak/>
        <w:t xml:space="preserve">of patients </w:t>
      </w:r>
      <w:r w:rsidR="00651475">
        <w:rPr>
          <w:lang w:val="en-GB"/>
        </w:rPr>
        <w:t xml:space="preserve">that are </w:t>
      </w:r>
      <w:r w:rsidR="00CA030A">
        <w:rPr>
          <w:lang w:val="en-GB"/>
        </w:rPr>
        <w:t xml:space="preserve">≥ </w:t>
      </w:r>
      <w:r w:rsidRPr="00460C53">
        <w:rPr>
          <w:lang w:val="en-GB"/>
        </w:rPr>
        <w:t>75 years old, which limits the interpretation o</w:t>
      </w:r>
      <w:r w:rsidR="00CA030A">
        <w:rPr>
          <w:lang w:val="en-GB"/>
        </w:rPr>
        <w:t>f these results in the elderly.</w:t>
      </w:r>
    </w:p>
    <w:p w14:paraId="5FFE4798" w14:textId="5048874E" w:rsidR="00CA030A" w:rsidRPr="00460C53" w:rsidRDefault="00CA030A" w:rsidP="00651475">
      <w:pPr>
        <w:pStyle w:val="Tabletitle0"/>
        <w:rPr>
          <w:lang w:val="en-GB"/>
        </w:rPr>
      </w:pPr>
      <w:proofErr w:type="gramStart"/>
      <w:r>
        <w:rPr>
          <w:lang w:val="en-GB"/>
        </w:rPr>
        <w:t xml:space="preserve">Table </w:t>
      </w:r>
      <w:r w:rsidR="001A6275">
        <w:rPr>
          <w:lang w:val="en-GB"/>
        </w:rPr>
        <w:t>17</w:t>
      </w:r>
      <w:r>
        <w:rPr>
          <w:lang w:val="en-GB"/>
        </w:rPr>
        <w:t>.</w:t>
      </w:r>
      <w:proofErr w:type="gramEnd"/>
      <w:r>
        <w:rPr>
          <w:lang w:val="en-GB"/>
        </w:rPr>
        <w:t xml:space="preserve"> Survival and response rates in </w:t>
      </w:r>
      <w:proofErr w:type="spellStart"/>
      <w:r>
        <w:rPr>
          <w:lang w:val="en-GB"/>
        </w:rPr>
        <w:t>nivolumab</w:t>
      </w:r>
      <w:proofErr w:type="spellEnd"/>
      <w:r>
        <w:rPr>
          <w:lang w:val="en-GB"/>
        </w:rPr>
        <w:t xml:space="preserve"> </w:t>
      </w:r>
      <w:proofErr w:type="gramStart"/>
      <w:r>
        <w:rPr>
          <w:lang w:val="en-GB"/>
        </w:rPr>
        <w:t>s</w:t>
      </w:r>
      <w:r w:rsidRPr="00CA030A">
        <w:rPr>
          <w:lang w:val="en-GB"/>
        </w:rPr>
        <w:t>ubjects</w:t>
      </w:r>
      <w:proofErr w:type="gramEnd"/>
      <w:r w:rsidRPr="00CA030A">
        <w:rPr>
          <w:lang w:val="en-GB"/>
        </w:rPr>
        <w:t xml:space="preserve"> </w:t>
      </w:r>
      <w:r>
        <w:rPr>
          <w:lang w:val="en-GB"/>
        </w:rPr>
        <w:t xml:space="preserve">≥ 75 years old: </w:t>
      </w:r>
      <w:r w:rsidRPr="00CA030A">
        <w:rPr>
          <w:lang w:val="en-GB"/>
        </w:rPr>
        <w:t>Studi</w:t>
      </w:r>
      <w:r>
        <w:rPr>
          <w:lang w:val="en-GB"/>
        </w:rPr>
        <w:t>es in melanoma, NSCLC, and RCC t</w:t>
      </w:r>
      <w:r w:rsidRPr="00CA030A">
        <w:rPr>
          <w:lang w:val="en-GB"/>
        </w:rPr>
        <w:t>umo</w:t>
      </w:r>
      <w:r>
        <w:rPr>
          <w:lang w:val="en-GB"/>
        </w:rPr>
        <w:t>ur types</w:t>
      </w:r>
    </w:p>
    <w:p w14:paraId="50AEC926" w14:textId="18DE199F" w:rsidR="00D512A6" w:rsidRDefault="00CA030A" w:rsidP="009B090D">
      <w:pPr>
        <w:rPr>
          <w:lang w:val="en-GB"/>
        </w:rPr>
      </w:pPr>
      <w:r w:rsidRPr="00CA030A">
        <w:rPr>
          <w:noProof/>
          <w:lang w:eastAsia="en-AU"/>
        </w:rPr>
        <w:drawing>
          <wp:inline distT="0" distB="0" distL="0" distR="0" wp14:anchorId="1B89B292" wp14:editId="49E26B96">
            <wp:extent cx="5400040" cy="911860"/>
            <wp:effectExtent l="0" t="0" r="0" b="2540"/>
            <wp:docPr id="17" name="Picture 17" descr="Table 17. Survival and response rates in nivolumab subjects ≥ 75 years old: Studies in melanoma, NSCLC, and RCC tumour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911860"/>
                    </a:xfrm>
                    <a:prstGeom prst="rect">
                      <a:avLst/>
                    </a:prstGeom>
                  </pic:spPr>
                </pic:pic>
              </a:graphicData>
            </a:graphic>
          </wp:inline>
        </w:drawing>
      </w:r>
    </w:p>
    <w:p w14:paraId="67378CBA" w14:textId="79DF01B6" w:rsidR="00FB6588" w:rsidRPr="009B090D" w:rsidRDefault="00FB6588" w:rsidP="009B090D">
      <w:pPr>
        <w:pStyle w:val="TableDescription"/>
      </w:pPr>
      <w:r w:rsidRPr="009B090D">
        <w:t xml:space="preserve">3) Larkin J, et al. Efficacy and safety in key patient subgroups of </w:t>
      </w:r>
      <w:proofErr w:type="spellStart"/>
      <w:r w:rsidRPr="009B090D">
        <w:t>nivolumab</w:t>
      </w:r>
      <w:proofErr w:type="spellEnd"/>
      <w:r w:rsidRPr="009B090D">
        <w:t xml:space="preserve"> alone or combined with </w:t>
      </w:r>
      <w:proofErr w:type="spellStart"/>
      <w:r w:rsidRPr="009B090D">
        <w:t>ipilimumab</w:t>
      </w:r>
      <w:proofErr w:type="spellEnd"/>
      <w:r w:rsidRPr="009B090D">
        <w:t xml:space="preserve"> versus </w:t>
      </w:r>
      <w:proofErr w:type="spellStart"/>
      <w:r w:rsidRPr="009B090D">
        <w:t>ipilimumab</w:t>
      </w:r>
      <w:proofErr w:type="spellEnd"/>
      <w:r w:rsidRPr="009B090D">
        <w:t xml:space="preserve"> alone in treatment-naive patients with advanced melanoma (Checkmate 067). </w:t>
      </w:r>
      <w:proofErr w:type="gramStart"/>
      <w:r w:rsidRPr="009B090D">
        <w:t>Oral Presentation at European Cancer Congress, 25-29-Sep-2015, Vienna, Austria.</w:t>
      </w:r>
      <w:proofErr w:type="gramEnd"/>
    </w:p>
    <w:p w14:paraId="458C5D2A" w14:textId="677386AE" w:rsidR="00FB6588" w:rsidRPr="009B090D" w:rsidRDefault="00FB6588" w:rsidP="009B090D">
      <w:pPr>
        <w:pStyle w:val="TableDescription"/>
      </w:pPr>
      <w:r w:rsidRPr="009B090D">
        <w:t xml:space="preserve">4) </w:t>
      </w:r>
      <w:proofErr w:type="spellStart"/>
      <w:r w:rsidRPr="009B090D">
        <w:t>Brahmer</w:t>
      </w:r>
      <w:proofErr w:type="spellEnd"/>
      <w:r w:rsidRPr="009B090D">
        <w:t xml:space="preserve"> J, et al. (Supplementary appendix </w:t>
      </w:r>
      <w:proofErr w:type="gramStart"/>
      <w:r w:rsidRPr="009B090D">
        <w:t>to:</w:t>
      </w:r>
      <w:proofErr w:type="gramEnd"/>
      <w:r w:rsidRPr="009B090D">
        <w:t xml:space="preserve">) </w:t>
      </w:r>
      <w:proofErr w:type="spellStart"/>
      <w:r w:rsidRPr="009B090D">
        <w:t>Nivolumab</w:t>
      </w:r>
      <w:proofErr w:type="spellEnd"/>
      <w:r w:rsidRPr="009B090D">
        <w:t xml:space="preserve"> versus docetaxel in advanced squamous-cell non-small-cell lung cancer. N </w:t>
      </w:r>
      <w:proofErr w:type="spellStart"/>
      <w:r w:rsidRPr="009B090D">
        <w:t>Engl</w:t>
      </w:r>
      <w:proofErr w:type="spellEnd"/>
      <w:r w:rsidRPr="009B090D">
        <w:t xml:space="preserve"> J Med. 2015</w:t>
      </w:r>
      <w:proofErr w:type="gramStart"/>
      <w:r w:rsidRPr="009B090D">
        <w:t>;373:123</w:t>
      </w:r>
      <w:proofErr w:type="gramEnd"/>
      <w:r w:rsidRPr="009B090D">
        <w:t>-35.</w:t>
      </w:r>
    </w:p>
    <w:p w14:paraId="34DEDD3D" w14:textId="7B228E16" w:rsidR="00FB6588" w:rsidRPr="009B090D" w:rsidRDefault="00FB6588" w:rsidP="009B090D">
      <w:pPr>
        <w:pStyle w:val="TableDescription"/>
      </w:pPr>
      <w:r w:rsidRPr="009B090D">
        <w:t xml:space="preserve">5) </w:t>
      </w:r>
      <w:proofErr w:type="spellStart"/>
      <w:r w:rsidRPr="009B090D">
        <w:t>Borghaei</w:t>
      </w:r>
      <w:proofErr w:type="spellEnd"/>
      <w:r w:rsidRPr="009B090D">
        <w:t xml:space="preserve"> H, et al. </w:t>
      </w:r>
      <w:proofErr w:type="spellStart"/>
      <w:r w:rsidRPr="009B090D">
        <w:t>Nivolumab</w:t>
      </w:r>
      <w:proofErr w:type="spellEnd"/>
      <w:r w:rsidRPr="009B090D">
        <w:t xml:space="preserve"> versus docetaxel in advanced </w:t>
      </w:r>
      <w:proofErr w:type="spellStart"/>
      <w:r w:rsidRPr="009B090D">
        <w:t>nonsquamous</w:t>
      </w:r>
      <w:proofErr w:type="spellEnd"/>
      <w:r w:rsidRPr="009B090D">
        <w:t xml:space="preserve"> non-small-cell lung cancer. N </w:t>
      </w:r>
      <w:proofErr w:type="spellStart"/>
      <w:r w:rsidRPr="009B090D">
        <w:t>Engl</w:t>
      </w:r>
      <w:proofErr w:type="spellEnd"/>
      <w:r w:rsidRPr="009B090D">
        <w:t xml:space="preserve"> J Med. 2015; 373(17):1627-39.</w:t>
      </w:r>
    </w:p>
    <w:p w14:paraId="7B519A40" w14:textId="3B4BFC2B" w:rsidR="00FB6588" w:rsidRPr="009B090D" w:rsidRDefault="00FB6588" w:rsidP="009B090D">
      <w:pPr>
        <w:pStyle w:val="TableDescription"/>
      </w:pPr>
      <w:r w:rsidRPr="009B090D">
        <w:t xml:space="preserve">6) Motzer R, et al. </w:t>
      </w:r>
      <w:proofErr w:type="spellStart"/>
      <w:r w:rsidRPr="009B090D">
        <w:t>Nivolumab</w:t>
      </w:r>
      <w:proofErr w:type="spellEnd"/>
      <w:r w:rsidRPr="009B090D">
        <w:t xml:space="preserve"> versus </w:t>
      </w:r>
      <w:proofErr w:type="spellStart"/>
      <w:r w:rsidRPr="009B090D">
        <w:t>everolimus</w:t>
      </w:r>
      <w:proofErr w:type="spellEnd"/>
      <w:r w:rsidRPr="009B090D">
        <w:t xml:space="preserve"> in advanced renal-cell carcinoma. N </w:t>
      </w:r>
      <w:proofErr w:type="spellStart"/>
      <w:r w:rsidRPr="009B090D">
        <w:t>Engl</w:t>
      </w:r>
      <w:proofErr w:type="spellEnd"/>
      <w:r w:rsidRPr="009B090D">
        <w:t xml:space="preserve"> J Med. 2015; 373(19):1803-13.</w:t>
      </w:r>
    </w:p>
    <w:p w14:paraId="07F333B3" w14:textId="3160DB52" w:rsidR="00CA030A" w:rsidRPr="00CA030A" w:rsidRDefault="00CA030A" w:rsidP="00CA030A">
      <w:pPr>
        <w:pStyle w:val="Numberbullet0"/>
        <w:rPr>
          <w:i/>
          <w:lang w:val="en-GB"/>
        </w:rPr>
      </w:pPr>
      <w:r w:rsidRPr="00CA030A">
        <w:rPr>
          <w:i/>
          <w:lang w:val="en-GB"/>
        </w:rPr>
        <w:t xml:space="preserve">‘Does the ACPM consider that advice in the PI about discontinuation of </w:t>
      </w:r>
      <w:proofErr w:type="spellStart"/>
      <w:r w:rsidRPr="00CA030A">
        <w:rPr>
          <w:i/>
          <w:lang w:val="en-GB"/>
        </w:rPr>
        <w:t>nivolumab</w:t>
      </w:r>
      <w:proofErr w:type="spellEnd"/>
      <w:r w:rsidRPr="00CA030A">
        <w:rPr>
          <w:i/>
          <w:lang w:val="en-GB"/>
        </w:rPr>
        <w:t xml:space="preserve"> if Grade 4 </w:t>
      </w:r>
      <w:proofErr w:type="spellStart"/>
      <w:r w:rsidRPr="00CA030A">
        <w:rPr>
          <w:i/>
          <w:lang w:val="en-GB"/>
        </w:rPr>
        <w:t>endocrinopathies</w:t>
      </w:r>
      <w:proofErr w:type="spellEnd"/>
      <w:r w:rsidRPr="00CA030A">
        <w:rPr>
          <w:i/>
          <w:lang w:val="en-GB"/>
        </w:rPr>
        <w:t xml:space="preserve"> occur is appropriate?’</w:t>
      </w:r>
    </w:p>
    <w:p w14:paraId="18131D51" w14:textId="331CCD92" w:rsidR="00CA030A" w:rsidRPr="00CA030A" w:rsidRDefault="00CA030A" w:rsidP="00CA030A">
      <w:pPr>
        <w:rPr>
          <w:lang w:val="en-GB"/>
        </w:rPr>
      </w:pPr>
      <w:r>
        <w:rPr>
          <w:lang w:val="en-GB"/>
        </w:rPr>
        <w:t>The sponsor</w:t>
      </w:r>
      <w:r w:rsidRPr="00CA030A">
        <w:rPr>
          <w:lang w:val="en-GB"/>
        </w:rPr>
        <w:t xml:space="preserve"> rec</w:t>
      </w:r>
      <w:r>
        <w:rPr>
          <w:lang w:val="en-GB"/>
        </w:rPr>
        <w:t xml:space="preserve">ommends that any Grade 4 immune </w:t>
      </w:r>
      <w:r w:rsidRPr="00CA030A">
        <w:rPr>
          <w:lang w:val="en-GB"/>
        </w:rPr>
        <w:t xml:space="preserve">related toxicities lead to permanent discontinuation of </w:t>
      </w:r>
      <w:proofErr w:type="spellStart"/>
      <w:r w:rsidRPr="00CA030A">
        <w:rPr>
          <w:lang w:val="en-GB"/>
        </w:rPr>
        <w:t>nivolumab</w:t>
      </w:r>
      <w:proofErr w:type="spellEnd"/>
      <w:r w:rsidRPr="00CA030A">
        <w:rPr>
          <w:lang w:val="en-GB"/>
        </w:rPr>
        <w:t xml:space="preserve">. This recommendation is not specific to </w:t>
      </w:r>
      <w:proofErr w:type="spellStart"/>
      <w:r w:rsidRPr="00CA030A">
        <w:rPr>
          <w:lang w:val="en-GB"/>
        </w:rPr>
        <w:t>endocrinopathies</w:t>
      </w:r>
      <w:proofErr w:type="spellEnd"/>
      <w:r w:rsidRPr="00CA030A">
        <w:rPr>
          <w:lang w:val="en-GB"/>
        </w:rPr>
        <w:t>. Per Common Terminology Criteria for Adverse Events (CTCAE) grading, these events are life-threateni</w:t>
      </w:r>
      <w:r>
        <w:rPr>
          <w:lang w:val="en-GB"/>
        </w:rPr>
        <w:t>ng in nature and therefore the s</w:t>
      </w:r>
      <w:r w:rsidRPr="00CA030A">
        <w:rPr>
          <w:lang w:val="en-GB"/>
        </w:rPr>
        <w:t>ponsor feels it is in the best interest of the patient to be discontinued from therapy in this clinical scenario as the risk overweighs th</w:t>
      </w:r>
      <w:r>
        <w:rPr>
          <w:lang w:val="en-GB"/>
        </w:rPr>
        <w:t>e benefit of continued therapy.</w:t>
      </w:r>
    </w:p>
    <w:p w14:paraId="30587B3E" w14:textId="5BB25571" w:rsidR="00CA030A" w:rsidRPr="00CA030A" w:rsidRDefault="00CA030A" w:rsidP="00CA030A">
      <w:pPr>
        <w:pStyle w:val="Numberbullet0"/>
        <w:rPr>
          <w:i/>
          <w:lang w:val="en-GB"/>
        </w:rPr>
      </w:pPr>
      <w:r>
        <w:rPr>
          <w:i/>
          <w:lang w:val="en-GB"/>
        </w:rPr>
        <w:t>‘</w:t>
      </w:r>
      <w:r w:rsidRPr="00CA030A">
        <w:rPr>
          <w:i/>
          <w:lang w:val="en-GB"/>
        </w:rPr>
        <w:t xml:space="preserve">Does the ACPM consider that a </w:t>
      </w:r>
      <w:proofErr w:type="spellStart"/>
      <w:r w:rsidRPr="00CA030A">
        <w:rPr>
          <w:i/>
          <w:lang w:val="en-GB"/>
        </w:rPr>
        <w:t>nivolumab</w:t>
      </w:r>
      <w:proofErr w:type="spellEnd"/>
      <w:r w:rsidRPr="00CA030A">
        <w:rPr>
          <w:i/>
          <w:lang w:val="en-GB"/>
        </w:rPr>
        <w:t>-specific registry is required to gather additional data relating to efficacy and safety across all uses of the product?</w:t>
      </w:r>
      <w:r>
        <w:rPr>
          <w:i/>
          <w:lang w:val="en-GB"/>
        </w:rPr>
        <w:t>’</w:t>
      </w:r>
    </w:p>
    <w:p w14:paraId="4D7CC769" w14:textId="5CE4513E" w:rsidR="00CA030A" w:rsidRPr="00CA030A" w:rsidRDefault="00CA030A" w:rsidP="00CA030A">
      <w:pPr>
        <w:rPr>
          <w:lang w:val="en-GB"/>
        </w:rPr>
      </w:pPr>
      <w:r>
        <w:rPr>
          <w:lang w:val="en-GB"/>
        </w:rPr>
        <w:t>The sponsor</w:t>
      </w:r>
      <w:r w:rsidRPr="00CA030A">
        <w:rPr>
          <w:lang w:val="en-GB"/>
        </w:rPr>
        <w:t xml:space="preserve"> concurs</w:t>
      </w:r>
      <w:r>
        <w:rPr>
          <w:lang w:val="en-GB"/>
        </w:rPr>
        <w:t xml:space="preserve"> with the Delegate’s comments </w:t>
      </w:r>
      <w:r w:rsidRPr="00CA030A">
        <w:rPr>
          <w:i/>
          <w:lang w:val="en-GB"/>
        </w:rPr>
        <w:t xml:space="preserve">‘There are many ongoing sponsor- and investigator-initiated trials of </w:t>
      </w:r>
      <w:proofErr w:type="spellStart"/>
      <w:r w:rsidRPr="00CA030A">
        <w:rPr>
          <w:i/>
          <w:lang w:val="en-GB"/>
        </w:rPr>
        <w:t>nivolumab</w:t>
      </w:r>
      <w:proofErr w:type="spellEnd"/>
      <w:r w:rsidRPr="00CA030A">
        <w:rPr>
          <w:i/>
          <w:lang w:val="en-GB"/>
        </w:rPr>
        <w:t xml:space="preserve"> in Australia and globally. Assessment of rare events can be made by pooling safety findings across trials. There have been no TGA-specific registry requirements for other checkpoint inhibitors to date and that preliminary view is that no registry is required’.</w:t>
      </w:r>
    </w:p>
    <w:p w14:paraId="46FAED16" w14:textId="446891FA" w:rsidR="00CA030A" w:rsidRPr="00CA030A" w:rsidRDefault="00CA030A" w:rsidP="00CA030A">
      <w:pPr>
        <w:rPr>
          <w:lang w:val="en-GB"/>
        </w:rPr>
      </w:pPr>
      <w:r>
        <w:rPr>
          <w:lang w:val="en-GB"/>
        </w:rPr>
        <w:t xml:space="preserve">The sponsor </w:t>
      </w:r>
      <w:r w:rsidR="00364BD1">
        <w:rPr>
          <w:lang w:val="en-GB"/>
        </w:rPr>
        <w:t xml:space="preserve">disagrees that a </w:t>
      </w:r>
      <w:proofErr w:type="spellStart"/>
      <w:r w:rsidR="00364BD1">
        <w:rPr>
          <w:lang w:val="en-GB"/>
        </w:rPr>
        <w:t>nivolumab</w:t>
      </w:r>
      <w:proofErr w:type="spellEnd"/>
      <w:r w:rsidR="00364BD1">
        <w:rPr>
          <w:lang w:val="en-GB"/>
        </w:rPr>
        <w:t xml:space="preserve"> </w:t>
      </w:r>
      <w:r w:rsidRPr="00CA030A">
        <w:rPr>
          <w:lang w:val="en-GB"/>
        </w:rPr>
        <w:t>specific regi</w:t>
      </w:r>
      <w:r w:rsidR="00364BD1">
        <w:rPr>
          <w:lang w:val="en-GB"/>
        </w:rPr>
        <w:t xml:space="preserve">stry is required. All </w:t>
      </w:r>
      <w:proofErr w:type="spellStart"/>
      <w:r w:rsidR="00364BD1">
        <w:rPr>
          <w:lang w:val="en-GB"/>
        </w:rPr>
        <w:t>nivolumab</w:t>
      </w:r>
      <w:proofErr w:type="spellEnd"/>
      <w:r w:rsidR="00364BD1">
        <w:rPr>
          <w:lang w:val="en-GB"/>
        </w:rPr>
        <w:t xml:space="preserve"> </w:t>
      </w:r>
      <w:r w:rsidRPr="00CA030A">
        <w:rPr>
          <w:lang w:val="en-GB"/>
        </w:rPr>
        <w:t xml:space="preserve">approved indications in Australia for melanoma, </w:t>
      </w:r>
      <w:r>
        <w:rPr>
          <w:lang w:val="en-GB"/>
        </w:rPr>
        <w:t>squamous cell NSCLC and non-squamous cell</w:t>
      </w:r>
      <w:r w:rsidRPr="00CA030A">
        <w:rPr>
          <w:lang w:val="en-GB"/>
        </w:rPr>
        <w:t xml:space="preserve"> NSCLC h</w:t>
      </w:r>
      <w:r>
        <w:rPr>
          <w:lang w:val="en-GB"/>
        </w:rPr>
        <w:t>ave been based on robust Phase III</w:t>
      </w:r>
      <w:r w:rsidRPr="00CA030A">
        <w:rPr>
          <w:lang w:val="en-GB"/>
        </w:rPr>
        <w:t xml:space="preserve"> </w:t>
      </w:r>
      <w:r>
        <w:rPr>
          <w:lang w:val="en-GB"/>
        </w:rPr>
        <w:t>clinical trial</w:t>
      </w:r>
      <w:r w:rsidRPr="00CA030A">
        <w:rPr>
          <w:lang w:val="en-GB"/>
        </w:rPr>
        <w:t xml:space="preserve"> data, as is the current application for RCC. </w:t>
      </w:r>
      <w:r w:rsidR="00651475">
        <w:rPr>
          <w:lang w:val="en-GB"/>
        </w:rPr>
        <w:t xml:space="preserve">The </w:t>
      </w:r>
      <w:r w:rsidRPr="00CA030A">
        <w:rPr>
          <w:lang w:val="en-GB"/>
        </w:rPr>
        <w:t xml:space="preserve">TGA has evaluated </w:t>
      </w:r>
      <w:proofErr w:type="spellStart"/>
      <w:r w:rsidRPr="00CA030A">
        <w:rPr>
          <w:lang w:val="en-GB"/>
        </w:rPr>
        <w:t>nivolumab</w:t>
      </w:r>
      <w:proofErr w:type="spellEnd"/>
      <w:r w:rsidRPr="00CA030A">
        <w:rPr>
          <w:lang w:val="en-GB"/>
        </w:rPr>
        <w:t xml:space="preserve"> data in over</w:t>
      </w:r>
      <w:r w:rsidR="00364BD1">
        <w:rPr>
          <w:lang w:val="en-GB"/>
        </w:rPr>
        <w:t xml:space="preserve"> 3000 patients to date. The TGA </w:t>
      </w:r>
      <w:r w:rsidRPr="00CA030A">
        <w:rPr>
          <w:lang w:val="en-GB"/>
        </w:rPr>
        <w:t xml:space="preserve">approved indications are consistent with globally approved indications, making all post-marketing data and </w:t>
      </w:r>
      <w:r>
        <w:rPr>
          <w:lang w:val="en-GB"/>
        </w:rPr>
        <w:t>pharmacovigilance</w:t>
      </w:r>
      <w:r w:rsidRPr="00CA030A">
        <w:rPr>
          <w:lang w:val="en-GB"/>
        </w:rPr>
        <w:t xml:space="preserve"> measures in place globally relevant and applicable to Australia. The </w:t>
      </w:r>
      <w:proofErr w:type="spellStart"/>
      <w:r w:rsidRPr="00CA030A">
        <w:rPr>
          <w:lang w:val="en-GB"/>
        </w:rPr>
        <w:t>nivolumab</w:t>
      </w:r>
      <w:proofErr w:type="spellEnd"/>
      <w:r w:rsidRPr="00CA030A">
        <w:rPr>
          <w:lang w:val="en-GB"/>
        </w:rPr>
        <w:t xml:space="preserve"> safety database is the largest of any </w:t>
      </w:r>
      <w:r w:rsidR="005F2E16">
        <w:rPr>
          <w:lang w:val="en-GB"/>
        </w:rPr>
        <w:t xml:space="preserve">immuno-oncology </w:t>
      </w:r>
      <w:r w:rsidRPr="00CA030A">
        <w:rPr>
          <w:lang w:val="en-GB"/>
        </w:rPr>
        <w:t xml:space="preserve">therapy and is shared with the TGA as part of routine </w:t>
      </w:r>
      <w:r>
        <w:rPr>
          <w:lang w:val="en-GB"/>
        </w:rPr>
        <w:t>pharmacovigilance</w:t>
      </w:r>
      <w:r w:rsidRPr="00CA030A">
        <w:rPr>
          <w:lang w:val="en-GB"/>
        </w:rPr>
        <w:t xml:space="preserve"> processes. Further, the comprehensive and continuing global </w:t>
      </w:r>
      <w:proofErr w:type="spellStart"/>
      <w:r w:rsidRPr="00CA030A">
        <w:rPr>
          <w:lang w:val="en-GB"/>
        </w:rPr>
        <w:t>nivolumab</w:t>
      </w:r>
      <w:proofErr w:type="spellEnd"/>
      <w:r w:rsidRPr="00CA030A">
        <w:rPr>
          <w:lang w:val="en-GB"/>
        </w:rPr>
        <w:t xml:space="preserve"> development program across tumo</w:t>
      </w:r>
      <w:r>
        <w:rPr>
          <w:lang w:val="en-GB"/>
        </w:rPr>
        <w:t>u</w:t>
      </w:r>
      <w:r w:rsidRPr="00CA030A">
        <w:rPr>
          <w:lang w:val="en-GB"/>
        </w:rPr>
        <w:t>r types continues to inform that there are no changes in safety across tumo</w:t>
      </w:r>
      <w:r>
        <w:rPr>
          <w:lang w:val="en-GB"/>
        </w:rPr>
        <w:t>urs.</w:t>
      </w:r>
    </w:p>
    <w:p w14:paraId="2366305F" w14:textId="528D6639" w:rsidR="00CA030A" w:rsidRPr="00CA030A" w:rsidRDefault="00CA030A" w:rsidP="00063287">
      <w:pPr>
        <w:pStyle w:val="Heading5"/>
        <w:rPr>
          <w:rFonts w:eastAsiaTheme="minorHAnsi"/>
          <w:lang w:val="en-GB"/>
        </w:rPr>
      </w:pPr>
      <w:r>
        <w:rPr>
          <w:lang w:val="en-GB"/>
        </w:rPr>
        <w:t>Sponsor’</w:t>
      </w:r>
      <w:r w:rsidR="00063287">
        <w:rPr>
          <w:lang w:val="en-GB"/>
        </w:rPr>
        <w:t>s conclusion</w:t>
      </w:r>
    </w:p>
    <w:p w14:paraId="225A7C03" w14:textId="793A7CF9" w:rsidR="00CA030A" w:rsidRPr="00CA030A" w:rsidRDefault="00063287" w:rsidP="00CA030A">
      <w:pPr>
        <w:rPr>
          <w:lang w:val="en-GB"/>
        </w:rPr>
      </w:pPr>
      <w:r>
        <w:rPr>
          <w:lang w:val="en-GB"/>
        </w:rPr>
        <w:t xml:space="preserve">The sponsor </w:t>
      </w:r>
      <w:r w:rsidR="00CA030A" w:rsidRPr="00CA030A">
        <w:rPr>
          <w:lang w:val="en-GB"/>
        </w:rPr>
        <w:t>notes the Delegate’s recommendation for an amended indicat</w:t>
      </w:r>
      <w:r w:rsidR="00364BD1">
        <w:rPr>
          <w:lang w:val="en-GB"/>
        </w:rPr>
        <w:t>ion and requests the following:</w:t>
      </w:r>
    </w:p>
    <w:p w14:paraId="04544E38" w14:textId="7A16A4C8" w:rsidR="00CA030A" w:rsidRPr="00063287" w:rsidRDefault="00063287" w:rsidP="00063287">
      <w:pPr>
        <w:ind w:left="720"/>
        <w:rPr>
          <w:i/>
          <w:lang w:val="en-GB"/>
        </w:rPr>
      </w:pPr>
      <w:r w:rsidRPr="00063287">
        <w:rPr>
          <w:i/>
          <w:lang w:val="en-GB"/>
        </w:rPr>
        <w:t>‘</w:t>
      </w:r>
      <w:proofErr w:type="spellStart"/>
      <w:r w:rsidRPr="00063287">
        <w:rPr>
          <w:i/>
          <w:lang w:val="en-GB"/>
        </w:rPr>
        <w:t>Opdivo</w:t>
      </w:r>
      <w:proofErr w:type="spellEnd"/>
      <w:r w:rsidR="00CA030A" w:rsidRPr="00063287">
        <w:rPr>
          <w:i/>
          <w:lang w:val="en-GB"/>
        </w:rPr>
        <w:t>, as monotherapy is indicated for the treatment of patients with advanced renal cell carcinoma (RCC) after pr</w:t>
      </w:r>
      <w:r w:rsidRPr="00063287">
        <w:rPr>
          <w:i/>
          <w:lang w:val="en-GB"/>
        </w:rPr>
        <w:t>ior systemic therapy in adults.’</w:t>
      </w:r>
    </w:p>
    <w:p w14:paraId="3107EC06" w14:textId="77777777" w:rsidR="008E7846" w:rsidRDefault="008E7846" w:rsidP="008E7846">
      <w:pPr>
        <w:pStyle w:val="Heading4"/>
      </w:pPr>
      <w:bookmarkStart w:id="128" w:name="_Toc196046505"/>
      <w:bookmarkStart w:id="129" w:name="_Toc196046949"/>
      <w:bookmarkEnd w:id="114"/>
      <w:r>
        <w:lastRenderedPageBreak/>
        <w:t>Advisory Committee Considerations</w:t>
      </w:r>
    </w:p>
    <w:p w14:paraId="17F6731B" w14:textId="54D8B04F" w:rsidR="009E1C92" w:rsidRPr="009E1C92" w:rsidRDefault="00D23139" w:rsidP="009E1C92">
      <w:pPr>
        <w:rPr>
          <w:bCs/>
          <w:lang w:val="en-GB"/>
        </w:rPr>
      </w:pPr>
      <w:r w:rsidRPr="00D23139">
        <w:rPr>
          <w:bCs/>
        </w:rPr>
        <w:t>The Advisory Committee on Prescription Medicines (ACPM),</w:t>
      </w:r>
      <w:r w:rsidR="009E1C92">
        <w:rPr>
          <w:bCs/>
        </w:rPr>
        <w:t xml:space="preserve"> resolved</w:t>
      </w:r>
      <w:r w:rsidR="009E1C92" w:rsidRPr="009E1C92">
        <w:rPr>
          <w:bCs/>
          <w:lang w:val="en-GB"/>
        </w:rPr>
        <w:t xml:space="preserve"> to recommend to the TGA</w:t>
      </w:r>
      <w:r w:rsidR="009E1C92">
        <w:rPr>
          <w:bCs/>
          <w:lang w:val="en-GB"/>
        </w:rPr>
        <w:t xml:space="preserve"> Delegate of the Secretary that </w:t>
      </w:r>
      <w:r w:rsidR="009E1C92" w:rsidRPr="009E1C92">
        <w:rPr>
          <w:bCs/>
          <w:lang w:val="en-GB"/>
        </w:rPr>
        <w:t xml:space="preserve">taking into account the submitted evidence of efficacy, safety and quality, agreed with the Delegate and considered </w:t>
      </w:r>
      <w:proofErr w:type="spellStart"/>
      <w:r w:rsidR="009E1C92" w:rsidRPr="009E1C92">
        <w:rPr>
          <w:bCs/>
          <w:lang w:val="en-GB"/>
        </w:rPr>
        <w:t>O</w:t>
      </w:r>
      <w:r w:rsidR="00364BD1">
        <w:rPr>
          <w:bCs/>
          <w:lang w:val="en-GB"/>
        </w:rPr>
        <w:t>pdivo</w:t>
      </w:r>
      <w:proofErr w:type="spellEnd"/>
      <w:r w:rsidR="009E1C92" w:rsidRPr="009E1C92">
        <w:rPr>
          <w:bCs/>
          <w:lang w:val="en-GB"/>
        </w:rPr>
        <w:t xml:space="preserve"> concentrate solution vial containing 40</w:t>
      </w:r>
      <w:r w:rsidR="009E1C92">
        <w:rPr>
          <w:bCs/>
          <w:lang w:val="en-GB"/>
        </w:rPr>
        <w:t xml:space="preserve"> </w:t>
      </w:r>
      <w:r w:rsidR="009E1C92" w:rsidRPr="009E1C92">
        <w:rPr>
          <w:bCs/>
          <w:lang w:val="en-GB"/>
        </w:rPr>
        <w:t>mg in 4</w:t>
      </w:r>
      <w:r w:rsidR="009E1C92">
        <w:rPr>
          <w:bCs/>
          <w:lang w:val="en-GB"/>
        </w:rPr>
        <w:t xml:space="preserve"> </w:t>
      </w:r>
      <w:r w:rsidR="009E1C92" w:rsidRPr="009E1C92">
        <w:rPr>
          <w:bCs/>
          <w:lang w:val="en-GB"/>
        </w:rPr>
        <w:t>mL (10</w:t>
      </w:r>
      <w:r w:rsidR="009E1C92">
        <w:rPr>
          <w:bCs/>
          <w:lang w:val="en-GB"/>
        </w:rPr>
        <w:t xml:space="preserve"> </w:t>
      </w:r>
      <w:r w:rsidR="009E1C92" w:rsidRPr="009E1C92">
        <w:rPr>
          <w:bCs/>
          <w:lang w:val="en-GB"/>
        </w:rPr>
        <w:t>mg/mL) and 100</w:t>
      </w:r>
      <w:r w:rsidR="009E1C92">
        <w:rPr>
          <w:bCs/>
          <w:lang w:val="en-GB"/>
        </w:rPr>
        <w:t xml:space="preserve"> </w:t>
      </w:r>
      <w:r w:rsidR="009E1C92" w:rsidRPr="009E1C92">
        <w:rPr>
          <w:bCs/>
          <w:lang w:val="en-GB"/>
        </w:rPr>
        <w:t>mg in 10</w:t>
      </w:r>
      <w:r w:rsidR="009E1C92">
        <w:rPr>
          <w:bCs/>
          <w:lang w:val="en-GB"/>
        </w:rPr>
        <w:t xml:space="preserve"> </w:t>
      </w:r>
      <w:r w:rsidR="009E1C92" w:rsidRPr="009E1C92">
        <w:rPr>
          <w:bCs/>
          <w:lang w:val="en-GB"/>
        </w:rPr>
        <w:t>mL (10</w:t>
      </w:r>
      <w:r w:rsidR="009E1C92">
        <w:rPr>
          <w:bCs/>
          <w:lang w:val="en-GB"/>
        </w:rPr>
        <w:t xml:space="preserve"> </w:t>
      </w:r>
      <w:r w:rsidR="009E1C92" w:rsidRPr="009E1C92">
        <w:rPr>
          <w:bCs/>
          <w:lang w:val="en-GB"/>
        </w:rPr>
        <w:t xml:space="preserve">mg/mL) of </w:t>
      </w:r>
      <w:proofErr w:type="spellStart"/>
      <w:r w:rsidR="009E1C92" w:rsidRPr="009E1C92">
        <w:rPr>
          <w:bCs/>
          <w:lang w:val="en-GB"/>
        </w:rPr>
        <w:t>nivolumab</w:t>
      </w:r>
      <w:proofErr w:type="spellEnd"/>
      <w:r w:rsidR="009E1C92" w:rsidRPr="009E1C92">
        <w:rPr>
          <w:b/>
          <w:bCs/>
          <w:lang w:val="en-GB"/>
        </w:rPr>
        <w:t xml:space="preserve"> </w:t>
      </w:r>
      <w:r w:rsidR="009E1C92" w:rsidRPr="009E1C92">
        <w:rPr>
          <w:bCs/>
          <w:lang w:val="en-GB"/>
        </w:rPr>
        <w:t>to have an overall positive benefit–risk profile for the proposed</w:t>
      </w:r>
      <w:r w:rsidR="009E1C92">
        <w:rPr>
          <w:bCs/>
          <w:lang w:val="en-GB"/>
        </w:rPr>
        <w:t xml:space="preserve"> indication:</w:t>
      </w:r>
    </w:p>
    <w:p w14:paraId="64AA8CE0" w14:textId="77777777" w:rsidR="009E1C92" w:rsidRPr="009E1C92" w:rsidRDefault="009E1C92" w:rsidP="009E1C92">
      <w:pPr>
        <w:ind w:left="720"/>
        <w:rPr>
          <w:bCs/>
          <w:i/>
          <w:lang w:val="en-GB"/>
        </w:rPr>
      </w:pPr>
      <w:r w:rsidRPr="009E1C92">
        <w:rPr>
          <w:bCs/>
          <w:i/>
          <w:lang w:val="en-GB"/>
        </w:rPr>
        <w:t>‘</w:t>
      </w:r>
      <w:proofErr w:type="spellStart"/>
      <w:r w:rsidRPr="009E1C92">
        <w:rPr>
          <w:bCs/>
          <w:i/>
          <w:lang w:val="en-GB"/>
        </w:rPr>
        <w:t>Opdivo</w:t>
      </w:r>
      <w:proofErr w:type="spellEnd"/>
      <w:r w:rsidRPr="009E1C92">
        <w:rPr>
          <w:bCs/>
          <w:i/>
          <w:lang w:val="en-GB"/>
        </w:rPr>
        <w:t>, as monotherapy is indicated for the treatment of adult patients with advanced clear cell renal cell carcinoma (RCC) who had received prior antiangiogenic therapy’.</w:t>
      </w:r>
    </w:p>
    <w:p w14:paraId="7DEB64CF" w14:textId="77777777" w:rsidR="009E1C92" w:rsidRPr="009E1C92" w:rsidRDefault="009E1C92" w:rsidP="009E1C92">
      <w:pPr>
        <w:rPr>
          <w:bCs/>
          <w:lang w:val="en-GB"/>
        </w:rPr>
      </w:pPr>
      <w:proofErr w:type="spellStart"/>
      <w:r w:rsidRPr="009E1C92">
        <w:rPr>
          <w:bCs/>
          <w:lang w:val="en-GB"/>
        </w:rPr>
        <w:t>O</w:t>
      </w:r>
      <w:r>
        <w:rPr>
          <w:bCs/>
          <w:lang w:val="en-GB"/>
        </w:rPr>
        <w:t>pdivo</w:t>
      </w:r>
      <w:proofErr w:type="spellEnd"/>
      <w:r w:rsidRPr="009E1C92">
        <w:rPr>
          <w:bCs/>
          <w:lang w:val="en-GB"/>
        </w:rPr>
        <w:t xml:space="preserve"> is already approved for the following indications:</w:t>
      </w:r>
    </w:p>
    <w:p w14:paraId="4A874791" w14:textId="77777777" w:rsidR="009E1C92" w:rsidRPr="009E1C92" w:rsidRDefault="009E1C92" w:rsidP="00364BD1">
      <w:pPr>
        <w:ind w:left="720"/>
        <w:rPr>
          <w:bCs/>
          <w:i/>
          <w:lang w:val="en-GB"/>
        </w:rPr>
      </w:pPr>
      <w:r>
        <w:rPr>
          <w:bCs/>
          <w:i/>
          <w:lang w:val="en-GB"/>
        </w:rPr>
        <w:t>‘</w:t>
      </w:r>
      <w:r w:rsidRPr="009E1C92">
        <w:rPr>
          <w:bCs/>
          <w:i/>
          <w:lang w:val="en-GB"/>
        </w:rPr>
        <w:t xml:space="preserve">As monotherapy for the treatment of patients with </w:t>
      </w:r>
      <w:proofErr w:type="spellStart"/>
      <w:r w:rsidRPr="009E1C92">
        <w:rPr>
          <w:bCs/>
          <w:i/>
          <w:lang w:val="en-GB"/>
        </w:rPr>
        <w:t>unresectable</w:t>
      </w:r>
      <w:proofErr w:type="spellEnd"/>
      <w:r w:rsidRPr="009E1C92">
        <w:rPr>
          <w:bCs/>
          <w:i/>
          <w:lang w:val="en-GB"/>
        </w:rPr>
        <w:t xml:space="preserve"> (Stage III) or metastatic (Stage IV) melanoma</w:t>
      </w:r>
    </w:p>
    <w:p w14:paraId="42D174F2" w14:textId="77777777" w:rsidR="009E1C92" w:rsidRPr="009E1C92" w:rsidRDefault="009E1C92" w:rsidP="00364BD1">
      <w:pPr>
        <w:ind w:left="720"/>
        <w:rPr>
          <w:bCs/>
          <w:i/>
          <w:lang w:val="en-GB"/>
        </w:rPr>
      </w:pPr>
      <w:r w:rsidRPr="009E1C92">
        <w:rPr>
          <w:bCs/>
          <w:i/>
          <w:lang w:val="en-GB"/>
        </w:rPr>
        <w:t xml:space="preserve">In combination with </w:t>
      </w:r>
      <w:proofErr w:type="spellStart"/>
      <w:r w:rsidRPr="009E1C92">
        <w:rPr>
          <w:bCs/>
          <w:i/>
          <w:lang w:val="en-GB"/>
        </w:rPr>
        <w:t>Y</w:t>
      </w:r>
      <w:r>
        <w:rPr>
          <w:bCs/>
          <w:i/>
          <w:lang w:val="en-GB"/>
        </w:rPr>
        <w:t>ervoy</w:t>
      </w:r>
      <w:proofErr w:type="spellEnd"/>
      <w:r w:rsidRPr="009E1C92">
        <w:rPr>
          <w:bCs/>
          <w:i/>
          <w:lang w:val="en-GB"/>
        </w:rPr>
        <w:t xml:space="preserve"> (</w:t>
      </w:r>
      <w:proofErr w:type="spellStart"/>
      <w:r w:rsidRPr="009E1C92">
        <w:rPr>
          <w:bCs/>
          <w:i/>
          <w:lang w:val="en-GB"/>
        </w:rPr>
        <w:t>ipilimumab</w:t>
      </w:r>
      <w:proofErr w:type="spellEnd"/>
      <w:r w:rsidRPr="009E1C92">
        <w:rPr>
          <w:bCs/>
          <w:i/>
          <w:lang w:val="en-GB"/>
        </w:rPr>
        <w:t>) for the treatment of patients with metastatic (Stage IV) melanoma with M1c disease or elevat</w:t>
      </w:r>
      <w:r>
        <w:rPr>
          <w:bCs/>
          <w:i/>
          <w:lang w:val="en-GB"/>
        </w:rPr>
        <w:t>ed lactic dehydrogenase (LDH</w:t>
      </w:r>
      <w:r w:rsidRPr="009E1C92">
        <w:rPr>
          <w:bCs/>
          <w:i/>
          <w:lang w:val="en-GB"/>
        </w:rPr>
        <w:t>)</w:t>
      </w:r>
    </w:p>
    <w:p w14:paraId="788037A2" w14:textId="77777777" w:rsidR="009E1C92" w:rsidRPr="009E1C92" w:rsidRDefault="009E1C92" w:rsidP="00364BD1">
      <w:pPr>
        <w:ind w:left="720"/>
        <w:rPr>
          <w:bCs/>
          <w:i/>
          <w:lang w:val="en-GB"/>
        </w:rPr>
      </w:pPr>
      <w:r w:rsidRPr="009E1C92">
        <w:rPr>
          <w:bCs/>
          <w:i/>
          <w:lang w:val="en-GB"/>
        </w:rPr>
        <w:t>As monotherapy for the treatment of locally advanced or metastatic squamous non-small cell lung cancer (NSCLC) with progression on or after prior chemotherapy</w:t>
      </w:r>
    </w:p>
    <w:p w14:paraId="69E34C3E" w14:textId="7FAF77A8" w:rsidR="009E1C92" w:rsidRPr="009E1C92" w:rsidRDefault="009E1C92" w:rsidP="00364BD1">
      <w:pPr>
        <w:ind w:left="720"/>
        <w:rPr>
          <w:bCs/>
          <w:i/>
          <w:lang w:val="en-GB"/>
        </w:rPr>
      </w:pPr>
      <w:proofErr w:type="gramStart"/>
      <w:r w:rsidRPr="009E1C92">
        <w:rPr>
          <w:bCs/>
          <w:i/>
          <w:lang w:val="en-GB"/>
        </w:rPr>
        <w:t>As monotherapy for the treatment of loc</w:t>
      </w:r>
      <w:r>
        <w:rPr>
          <w:bCs/>
          <w:i/>
          <w:lang w:val="en-GB"/>
        </w:rPr>
        <w:t>ally advanced or metastatic non-</w:t>
      </w:r>
      <w:r w:rsidRPr="009E1C92">
        <w:rPr>
          <w:bCs/>
          <w:i/>
          <w:lang w:val="en-GB"/>
        </w:rPr>
        <w:t>squamous non-small cell lung cancer (NSCLC) with progression on or after prior chemotherapy.</w:t>
      </w:r>
      <w:proofErr w:type="gramEnd"/>
      <w:r w:rsidRPr="009E1C92">
        <w:rPr>
          <w:bCs/>
          <w:i/>
          <w:lang w:val="en-GB"/>
        </w:rPr>
        <w:t xml:space="preserve"> In patients with tumour EGFR or ALK genomic aberrations, </w:t>
      </w:r>
      <w:proofErr w:type="spellStart"/>
      <w:r w:rsidR="00364BD1" w:rsidRPr="009E1C92">
        <w:rPr>
          <w:bCs/>
          <w:i/>
          <w:lang w:val="en-GB"/>
        </w:rPr>
        <w:t>O</w:t>
      </w:r>
      <w:r w:rsidR="00364BD1">
        <w:rPr>
          <w:bCs/>
          <w:i/>
          <w:lang w:val="en-GB"/>
        </w:rPr>
        <w:t>pdivo</w:t>
      </w:r>
      <w:proofErr w:type="spellEnd"/>
      <w:r w:rsidRPr="009E1C92">
        <w:rPr>
          <w:bCs/>
          <w:i/>
          <w:lang w:val="en-GB"/>
        </w:rPr>
        <w:t xml:space="preserve"> should be used after progression on or after targeted therapy</w:t>
      </w:r>
      <w:r>
        <w:rPr>
          <w:bCs/>
          <w:i/>
          <w:lang w:val="en-GB"/>
        </w:rPr>
        <w:t>’.</w:t>
      </w:r>
    </w:p>
    <w:p w14:paraId="4FF0D33E" w14:textId="77777777" w:rsidR="009E1C92" w:rsidRPr="009E1C92" w:rsidRDefault="009E1C92" w:rsidP="009E1C92">
      <w:pPr>
        <w:rPr>
          <w:bCs/>
          <w:iCs/>
          <w:lang w:val="en-GB"/>
        </w:rPr>
      </w:pPr>
      <w:r w:rsidRPr="009E1C92">
        <w:rPr>
          <w:bCs/>
          <w:iCs/>
          <w:lang w:val="en-GB"/>
        </w:rPr>
        <w:t>In making this recommendation the ACPM</w:t>
      </w:r>
      <w:r>
        <w:rPr>
          <w:bCs/>
          <w:iCs/>
          <w:lang w:val="en-GB"/>
        </w:rPr>
        <w:t>:</w:t>
      </w:r>
    </w:p>
    <w:p w14:paraId="64E4E0DD" w14:textId="35812BB8" w:rsidR="009E1C92" w:rsidRPr="009E1C92" w:rsidRDefault="009E1C92" w:rsidP="009E1C92">
      <w:pPr>
        <w:pStyle w:val="ListBullet"/>
        <w:rPr>
          <w:lang w:val="en-GB"/>
        </w:rPr>
      </w:pPr>
      <w:proofErr w:type="gramStart"/>
      <w:r w:rsidRPr="009E1C92">
        <w:rPr>
          <w:lang w:val="en-GB"/>
        </w:rPr>
        <w:t>noted</w:t>
      </w:r>
      <w:proofErr w:type="gramEnd"/>
      <w:r w:rsidRPr="009E1C92">
        <w:rPr>
          <w:lang w:val="en-GB"/>
        </w:rPr>
        <w:t xml:space="preserve"> that </w:t>
      </w:r>
      <w:proofErr w:type="spellStart"/>
      <w:r w:rsidR="00364BD1">
        <w:rPr>
          <w:lang w:val="en-GB"/>
        </w:rPr>
        <w:t>Opdivo</w:t>
      </w:r>
      <w:proofErr w:type="spellEnd"/>
      <w:r w:rsidRPr="009E1C92">
        <w:rPr>
          <w:lang w:val="en-GB"/>
        </w:rPr>
        <w:t xml:space="preserve"> demonstrated reasonable efficacy and safety for the treatment of patients with clear cell renal cell carcinoma who had received prior antiangiogenic therapy.</w:t>
      </w:r>
    </w:p>
    <w:p w14:paraId="3B937B57" w14:textId="77777777" w:rsidR="009E1C92" w:rsidRPr="009E1C92" w:rsidRDefault="009E1C92" w:rsidP="009E1C92">
      <w:pPr>
        <w:pStyle w:val="Heading5"/>
        <w:rPr>
          <w:lang w:val="en-GB"/>
        </w:rPr>
      </w:pPr>
      <w:r w:rsidRPr="009E1C92">
        <w:rPr>
          <w:lang w:val="en-GB"/>
        </w:rPr>
        <w:t>Proposed conditions of registration</w:t>
      </w:r>
    </w:p>
    <w:p w14:paraId="23EF9884" w14:textId="77777777" w:rsidR="009E1C92" w:rsidRPr="009E1C92" w:rsidRDefault="009E1C92" w:rsidP="009E1C92">
      <w:pPr>
        <w:rPr>
          <w:bCs/>
          <w:lang w:val="en-GB"/>
        </w:rPr>
      </w:pPr>
      <w:r w:rsidRPr="009E1C92">
        <w:rPr>
          <w:bCs/>
          <w:lang w:val="en-GB"/>
        </w:rPr>
        <w:t>The ACPM agreed with the Delegate on the proposed conditions of registration.</w:t>
      </w:r>
    </w:p>
    <w:p w14:paraId="39BAC69C" w14:textId="77777777" w:rsidR="009E1C92" w:rsidRPr="009E1C92" w:rsidRDefault="009E1C92" w:rsidP="009E1C92">
      <w:pPr>
        <w:pStyle w:val="Heading5"/>
        <w:rPr>
          <w:lang w:val="en-GB"/>
        </w:rPr>
      </w:pPr>
      <w:r w:rsidRPr="009E1C92">
        <w:rPr>
          <w:lang w:val="en-GB"/>
        </w:rPr>
        <w:t>Specific Advice</w:t>
      </w:r>
    </w:p>
    <w:p w14:paraId="4D623386" w14:textId="77777777" w:rsidR="009E1C92" w:rsidRPr="009E1C92" w:rsidRDefault="009E1C92" w:rsidP="009E1C92">
      <w:pPr>
        <w:rPr>
          <w:b/>
          <w:bCs/>
          <w:iCs/>
          <w:lang w:val="en-GB"/>
        </w:rPr>
      </w:pPr>
      <w:r w:rsidRPr="009E1C92">
        <w:rPr>
          <w:bCs/>
          <w:lang w:val="en-GB"/>
        </w:rPr>
        <w:t>The ACPM advised the following in response to the Delegate’s specific questions on this submission:</w:t>
      </w:r>
    </w:p>
    <w:p w14:paraId="4B5F8840" w14:textId="77777777" w:rsidR="009E1C92" w:rsidRPr="00364BD1" w:rsidRDefault="009E1C92" w:rsidP="00364BD1">
      <w:pPr>
        <w:pStyle w:val="Numberbullet0"/>
        <w:numPr>
          <w:ilvl w:val="0"/>
          <w:numId w:val="33"/>
        </w:numPr>
        <w:rPr>
          <w:i/>
          <w:lang w:val="en-GB"/>
        </w:rPr>
      </w:pPr>
      <w:r w:rsidRPr="00364BD1">
        <w:rPr>
          <w:i/>
          <w:lang w:val="en-GB"/>
        </w:rPr>
        <w:t>Should the indication be restricted to clear cell RCC (as opposed to RCC)? Should the indication be restricted to patients with prior anti-angiogenic therapy (as opposed to prior therapy)?</w:t>
      </w:r>
    </w:p>
    <w:p w14:paraId="2AFAE0A9" w14:textId="41392A67" w:rsidR="009E1C92" w:rsidRPr="009E1C92" w:rsidRDefault="009E1C92" w:rsidP="009E1C92">
      <w:pPr>
        <w:rPr>
          <w:bCs/>
          <w:iCs/>
        </w:rPr>
      </w:pPr>
      <w:r w:rsidRPr="009E1C92">
        <w:rPr>
          <w:bCs/>
          <w:iCs/>
          <w:lang w:val="en-GB"/>
        </w:rPr>
        <w:t xml:space="preserve">The ACPM noted that inclusion criteria from pivotal efficacy study mandated clear cell </w:t>
      </w:r>
      <w:r w:rsidR="00364BD1">
        <w:rPr>
          <w:bCs/>
          <w:iCs/>
          <w:lang w:val="en-GB"/>
        </w:rPr>
        <w:t>RCC</w:t>
      </w:r>
      <w:r w:rsidRPr="009E1C92">
        <w:rPr>
          <w:bCs/>
          <w:iCs/>
          <w:lang w:val="en-GB"/>
        </w:rPr>
        <w:t xml:space="preserve"> and patients had been treated with one or two lines of antiangiogenic therapy. Additionally clinical e</w:t>
      </w:r>
      <w:r w:rsidRPr="009E1C92">
        <w:rPr>
          <w:bCs/>
          <w:iCs/>
        </w:rPr>
        <w:t xml:space="preserve">valuator recommended the following wording for indication: </w:t>
      </w:r>
      <w:r w:rsidRPr="00245959">
        <w:rPr>
          <w:bCs/>
          <w:i/>
          <w:iCs/>
        </w:rPr>
        <w:t>'Adult patients with advanced RCC (clear cell) who had received prior anti</w:t>
      </w:r>
      <w:r w:rsidR="00364BD1" w:rsidRPr="00245959">
        <w:rPr>
          <w:bCs/>
          <w:i/>
          <w:iCs/>
        </w:rPr>
        <w:t>-</w:t>
      </w:r>
      <w:r w:rsidRPr="00245959">
        <w:rPr>
          <w:bCs/>
          <w:i/>
          <w:iCs/>
        </w:rPr>
        <w:t>angiogenic therapy'</w:t>
      </w:r>
      <w:r w:rsidRPr="009E1C92">
        <w:rPr>
          <w:bCs/>
          <w:iCs/>
        </w:rPr>
        <w:t>. The committee agreed with indication as suggested by clinical evaluator.</w:t>
      </w:r>
    </w:p>
    <w:p w14:paraId="75896BF6" w14:textId="77777777" w:rsidR="009E1C92" w:rsidRPr="009E1C92" w:rsidRDefault="009E1C92" w:rsidP="009E1C92">
      <w:pPr>
        <w:pStyle w:val="Numberbullet0"/>
        <w:rPr>
          <w:i/>
          <w:lang w:val="en-GB"/>
        </w:rPr>
      </w:pPr>
      <w:r w:rsidRPr="009E1C92">
        <w:rPr>
          <w:i/>
          <w:lang w:val="en-GB"/>
        </w:rPr>
        <w:t xml:space="preserve">Should the boxed warning be modified to focus more on risks of monotherapy use of </w:t>
      </w:r>
      <w:proofErr w:type="spellStart"/>
      <w:r w:rsidRPr="009E1C92">
        <w:rPr>
          <w:i/>
          <w:lang w:val="en-GB"/>
        </w:rPr>
        <w:t>nivolumab</w:t>
      </w:r>
      <w:proofErr w:type="spellEnd"/>
      <w:r w:rsidRPr="009E1C92">
        <w:rPr>
          <w:i/>
          <w:lang w:val="en-GB"/>
        </w:rPr>
        <w:t>?</w:t>
      </w:r>
    </w:p>
    <w:p w14:paraId="33FFC1E4" w14:textId="77777777" w:rsidR="009E1C92" w:rsidRPr="009E1C92" w:rsidRDefault="009E1C92" w:rsidP="009E1C92">
      <w:pPr>
        <w:rPr>
          <w:bCs/>
          <w:iCs/>
        </w:rPr>
      </w:pPr>
      <w:r w:rsidRPr="009E1C92">
        <w:rPr>
          <w:bCs/>
          <w:iCs/>
        </w:rPr>
        <w:t xml:space="preserve">The ACPM agrees with clinical evaluator that boxed warning in the PI should be modified to focus on risks of monotherapy use of </w:t>
      </w:r>
      <w:proofErr w:type="spellStart"/>
      <w:r w:rsidRPr="009E1C92">
        <w:rPr>
          <w:bCs/>
          <w:iCs/>
        </w:rPr>
        <w:t>nivolumab</w:t>
      </w:r>
      <w:proofErr w:type="spellEnd"/>
      <w:r w:rsidRPr="009E1C92">
        <w:rPr>
          <w:bCs/>
          <w:iCs/>
        </w:rPr>
        <w:t>.</w:t>
      </w:r>
    </w:p>
    <w:p w14:paraId="75BE15AD" w14:textId="59D0E7FC" w:rsidR="009E1C92" w:rsidRPr="009E1C92" w:rsidRDefault="009E1C92" w:rsidP="009E1C92">
      <w:pPr>
        <w:rPr>
          <w:bCs/>
          <w:iCs/>
        </w:rPr>
      </w:pPr>
      <w:r w:rsidRPr="009E1C92">
        <w:rPr>
          <w:bCs/>
          <w:lang w:val="en-GB"/>
        </w:rPr>
        <w:t xml:space="preserve">The ACPM noted the sponsor’s proposed modifications to the boxed warning. The ACPM also noted that </w:t>
      </w:r>
      <w:proofErr w:type="spellStart"/>
      <w:r w:rsidR="00D8296A">
        <w:rPr>
          <w:bCs/>
          <w:lang w:val="en-GB"/>
        </w:rPr>
        <w:t>irAE</w:t>
      </w:r>
      <w:r w:rsidR="00364BD1">
        <w:rPr>
          <w:bCs/>
          <w:lang w:val="en-GB"/>
        </w:rPr>
        <w:t>s</w:t>
      </w:r>
      <w:proofErr w:type="spellEnd"/>
      <w:r w:rsidRPr="009E1C92">
        <w:rPr>
          <w:bCs/>
          <w:lang w:val="en-GB"/>
        </w:rPr>
        <w:t xml:space="preserve"> can occur late in the treatment course for </w:t>
      </w:r>
      <w:proofErr w:type="spellStart"/>
      <w:r w:rsidRPr="009E1C92">
        <w:rPr>
          <w:bCs/>
          <w:lang w:val="en-GB"/>
        </w:rPr>
        <w:t>nivolumab</w:t>
      </w:r>
      <w:proofErr w:type="spellEnd"/>
      <w:r w:rsidRPr="009E1C92">
        <w:rPr>
          <w:bCs/>
          <w:lang w:val="en-GB"/>
        </w:rPr>
        <w:t xml:space="preserve"> monotherapy and that the PI should communicate this fact.</w:t>
      </w:r>
    </w:p>
    <w:p w14:paraId="1852837D" w14:textId="1C3CC306" w:rsidR="009E1C92" w:rsidRPr="004D76FB" w:rsidRDefault="009E1C92" w:rsidP="00487CFD">
      <w:pPr>
        <w:pStyle w:val="Numberbullet0"/>
        <w:rPr>
          <w:i/>
          <w:lang w:val="en-GB"/>
        </w:rPr>
      </w:pPr>
      <w:r w:rsidRPr="004D76FB">
        <w:rPr>
          <w:i/>
          <w:lang w:val="en-GB"/>
        </w:rPr>
        <w:lastRenderedPageBreak/>
        <w:t>What are the ACPM’s views regarding an appropriate level of clinical detail in the PI and healthcare professional tool regardi</w:t>
      </w:r>
      <w:r w:rsidR="00364BD1">
        <w:rPr>
          <w:i/>
          <w:lang w:val="en-GB"/>
        </w:rPr>
        <w:t xml:space="preserve">ng detection and management of </w:t>
      </w:r>
      <w:proofErr w:type="spellStart"/>
      <w:r w:rsidR="00D8296A">
        <w:rPr>
          <w:i/>
          <w:lang w:val="en-GB"/>
        </w:rPr>
        <w:t>irAE</w:t>
      </w:r>
      <w:r w:rsidRPr="004D76FB">
        <w:rPr>
          <w:i/>
          <w:lang w:val="en-GB"/>
        </w:rPr>
        <w:t>s</w:t>
      </w:r>
      <w:proofErr w:type="spellEnd"/>
      <w:r w:rsidRPr="004D76FB">
        <w:rPr>
          <w:i/>
          <w:lang w:val="en-GB"/>
        </w:rPr>
        <w:t>?</w:t>
      </w:r>
    </w:p>
    <w:p w14:paraId="308B0CC8" w14:textId="780E537C" w:rsidR="009E1C92" w:rsidRPr="009E1C92" w:rsidRDefault="009E1C92" w:rsidP="009E1C92">
      <w:pPr>
        <w:rPr>
          <w:bCs/>
          <w:iCs/>
          <w:lang w:val="en-GB"/>
        </w:rPr>
      </w:pPr>
      <w:r w:rsidRPr="009E1C92">
        <w:rPr>
          <w:bCs/>
          <w:iCs/>
          <w:lang w:val="en-GB"/>
        </w:rPr>
        <w:t xml:space="preserve">The ACPM was of the view that the </w:t>
      </w:r>
      <w:r w:rsidR="00364BD1">
        <w:rPr>
          <w:bCs/>
          <w:iCs/>
          <w:lang w:val="en-GB"/>
        </w:rPr>
        <w:t>HCP</w:t>
      </w:r>
      <w:r w:rsidRPr="009E1C92">
        <w:rPr>
          <w:bCs/>
          <w:iCs/>
          <w:lang w:val="en-GB"/>
        </w:rPr>
        <w:t xml:space="preserve"> tool has more details regarding detection and management of </w:t>
      </w:r>
      <w:proofErr w:type="spellStart"/>
      <w:r w:rsidR="00D8296A">
        <w:rPr>
          <w:bCs/>
          <w:iCs/>
          <w:lang w:val="en-GB"/>
        </w:rPr>
        <w:t>irAE</w:t>
      </w:r>
      <w:r w:rsidR="00364BD1">
        <w:rPr>
          <w:bCs/>
          <w:iCs/>
          <w:lang w:val="en-GB"/>
        </w:rPr>
        <w:t>s</w:t>
      </w:r>
      <w:proofErr w:type="spellEnd"/>
      <w:r w:rsidRPr="009E1C92">
        <w:rPr>
          <w:bCs/>
          <w:iCs/>
          <w:lang w:val="en-GB"/>
        </w:rPr>
        <w:t xml:space="preserve"> and considered this to be appropriate.</w:t>
      </w:r>
    </w:p>
    <w:p w14:paraId="61761B3D" w14:textId="0CD9BE52" w:rsidR="009E1C92" w:rsidRPr="004D76FB" w:rsidRDefault="009E1C92" w:rsidP="00487CFD">
      <w:pPr>
        <w:pStyle w:val="Numberbullet0"/>
        <w:rPr>
          <w:i/>
          <w:lang w:val="en-GB"/>
        </w:rPr>
      </w:pPr>
      <w:r w:rsidRPr="004D76FB">
        <w:rPr>
          <w:i/>
          <w:lang w:val="en-GB"/>
        </w:rPr>
        <w:t>Does the ACPM have any suggest</w:t>
      </w:r>
      <w:r w:rsidR="00364BD1">
        <w:rPr>
          <w:i/>
          <w:lang w:val="en-GB"/>
        </w:rPr>
        <w:t>ions about improvements to the Patient Alert C</w:t>
      </w:r>
      <w:r w:rsidRPr="004D76FB">
        <w:rPr>
          <w:i/>
          <w:lang w:val="en-GB"/>
        </w:rPr>
        <w:t>ard format or content?</w:t>
      </w:r>
    </w:p>
    <w:p w14:paraId="0AFFD10D" w14:textId="2AF896BB" w:rsidR="009E1C92" w:rsidRPr="009E1C92" w:rsidRDefault="009E1C92" w:rsidP="009E1C92">
      <w:pPr>
        <w:rPr>
          <w:bCs/>
          <w:iCs/>
          <w:lang w:val="en-GB"/>
        </w:rPr>
      </w:pPr>
      <w:r w:rsidRPr="009E1C92">
        <w:rPr>
          <w:bCs/>
          <w:iCs/>
          <w:lang w:val="en-GB"/>
        </w:rPr>
        <w:t>The ACPM agreed with the clinical evaluator’s</w:t>
      </w:r>
      <w:r w:rsidR="00364BD1">
        <w:rPr>
          <w:bCs/>
          <w:iCs/>
          <w:lang w:val="en-GB"/>
        </w:rPr>
        <w:t xml:space="preserve"> view that Patient Alert C</w:t>
      </w:r>
      <w:r w:rsidRPr="009E1C92">
        <w:rPr>
          <w:bCs/>
          <w:iCs/>
          <w:lang w:val="en-GB"/>
        </w:rPr>
        <w:t>ard was overly detailed. The committee also agreed with the suggestions from clinical evaluator for a smaller streamlined format.</w:t>
      </w:r>
    </w:p>
    <w:p w14:paraId="130383B1" w14:textId="68FD1760" w:rsidR="009E1C92" w:rsidRPr="004D76FB" w:rsidRDefault="009E1C92" w:rsidP="00487CFD">
      <w:pPr>
        <w:pStyle w:val="Numberbullet0"/>
        <w:rPr>
          <w:i/>
          <w:lang w:val="en-GB"/>
        </w:rPr>
      </w:pPr>
      <w:r w:rsidRPr="004D76FB">
        <w:rPr>
          <w:i/>
          <w:lang w:val="en-GB"/>
        </w:rPr>
        <w:t>Does the ACPM consider that the risk of myasthenia gravis-like syndromes merits a specific Precaution, or mention within a specific ‘Neur</w:t>
      </w:r>
      <w:r w:rsidR="00364BD1">
        <w:rPr>
          <w:i/>
          <w:lang w:val="en-GB"/>
        </w:rPr>
        <w:t xml:space="preserve">ological </w:t>
      </w:r>
      <w:proofErr w:type="spellStart"/>
      <w:r w:rsidR="00D8296A">
        <w:rPr>
          <w:i/>
          <w:lang w:val="en-GB"/>
        </w:rPr>
        <w:t>irAE</w:t>
      </w:r>
      <w:r w:rsidRPr="004D76FB">
        <w:rPr>
          <w:i/>
          <w:lang w:val="en-GB"/>
        </w:rPr>
        <w:t>s</w:t>
      </w:r>
      <w:proofErr w:type="spellEnd"/>
      <w:r w:rsidRPr="004D76FB">
        <w:rPr>
          <w:i/>
          <w:lang w:val="en-GB"/>
        </w:rPr>
        <w:t>’ Precaution?</w:t>
      </w:r>
    </w:p>
    <w:p w14:paraId="08DFD7F9" w14:textId="77777777" w:rsidR="009E1C92" w:rsidRPr="009E1C92" w:rsidRDefault="009E1C92" w:rsidP="009E1C92">
      <w:pPr>
        <w:rPr>
          <w:bCs/>
          <w:iCs/>
        </w:rPr>
      </w:pPr>
      <w:r w:rsidRPr="009E1C92">
        <w:rPr>
          <w:bCs/>
          <w:iCs/>
          <w:lang w:val="en-GB"/>
        </w:rPr>
        <w:t xml:space="preserve">The ACPM noted that the </w:t>
      </w:r>
      <w:r w:rsidR="004D76FB">
        <w:rPr>
          <w:bCs/>
          <w:iCs/>
          <w:lang w:val="en-GB"/>
        </w:rPr>
        <w:t>sponsor</w:t>
      </w:r>
      <w:r w:rsidRPr="009E1C92">
        <w:rPr>
          <w:bCs/>
          <w:iCs/>
        </w:rPr>
        <w:t xml:space="preserve"> proposed to amend PI in sections 'Precautions' and 'Adverse Events' to include these AEs under 'Immune related neurological adverse reactions' and agreed with these suggested changes.</w:t>
      </w:r>
    </w:p>
    <w:p w14:paraId="0E6D278E" w14:textId="02D1EC6F" w:rsidR="009E1C92" w:rsidRPr="00487CFD" w:rsidRDefault="009E1C92" w:rsidP="00487CFD">
      <w:pPr>
        <w:pStyle w:val="Numberbullet0"/>
        <w:rPr>
          <w:i/>
          <w:lang w:val="en-GB"/>
        </w:rPr>
      </w:pPr>
      <w:r w:rsidRPr="00487CFD">
        <w:rPr>
          <w:i/>
          <w:lang w:val="en-GB"/>
        </w:rPr>
        <w:t>Is there sufficient evidence to s</w:t>
      </w:r>
      <w:r w:rsidR="00487CFD">
        <w:rPr>
          <w:i/>
          <w:lang w:val="en-GB"/>
        </w:rPr>
        <w:t>upport a Precaution about ‘SIRS/MODS/MOF’? Note: </w:t>
      </w:r>
      <w:r w:rsidRPr="00487CFD">
        <w:rPr>
          <w:i/>
          <w:lang w:val="en-GB"/>
        </w:rPr>
        <w:t xml:space="preserve">some questions were also directed towards the </w:t>
      </w:r>
      <w:proofErr w:type="gramStart"/>
      <w:r w:rsidRPr="00487CFD">
        <w:rPr>
          <w:i/>
          <w:lang w:val="en-GB"/>
        </w:rPr>
        <w:t>sponsor,</w:t>
      </w:r>
      <w:proofErr w:type="gramEnd"/>
      <w:r w:rsidRPr="00487CFD">
        <w:rPr>
          <w:i/>
          <w:lang w:val="en-GB"/>
        </w:rPr>
        <w:t xml:space="preserve"> see Attachment 2</w:t>
      </w:r>
      <w:r w:rsidR="00B21753">
        <w:rPr>
          <w:i/>
          <w:lang w:val="en-GB"/>
        </w:rPr>
        <w:t xml:space="preserve">[not in this </w:t>
      </w:r>
      <w:proofErr w:type="spellStart"/>
      <w:r w:rsidR="00B21753">
        <w:rPr>
          <w:i/>
          <w:lang w:val="en-GB"/>
        </w:rPr>
        <w:t>AusPAR</w:t>
      </w:r>
      <w:proofErr w:type="spellEnd"/>
      <w:r w:rsidR="00B21753">
        <w:rPr>
          <w:i/>
          <w:lang w:val="en-GB"/>
        </w:rPr>
        <w:t>]</w:t>
      </w:r>
      <w:r w:rsidRPr="00487CFD">
        <w:rPr>
          <w:i/>
          <w:lang w:val="en-GB"/>
        </w:rPr>
        <w:t>. A response to the second ‘</w:t>
      </w:r>
      <w:r w:rsidR="00B21753">
        <w:rPr>
          <w:i/>
          <w:lang w:val="en-GB"/>
        </w:rPr>
        <w:t>Q</w:t>
      </w:r>
      <w:r w:rsidR="00B21753" w:rsidRPr="00487CFD">
        <w:rPr>
          <w:i/>
          <w:lang w:val="en-GB"/>
        </w:rPr>
        <w:t xml:space="preserve">uestion </w:t>
      </w:r>
      <w:r w:rsidRPr="00487CFD">
        <w:rPr>
          <w:i/>
          <w:lang w:val="en-GB"/>
        </w:rPr>
        <w:t>to the sponsor’ may help inform ACPM’s response to Question 6 above.</w:t>
      </w:r>
    </w:p>
    <w:p w14:paraId="0C9319A1" w14:textId="77777777" w:rsidR="009E1C92" w:rsidRPr="009E1C92" w:rsidRDefault="009E1C92" w:rsidP="009E1C92">
      <w:pPr>
        <w:rPr>
          <w:bCs/>
          <w:lang w:val="en-GB"/>
        </w:rPr>
      </w:pPr>
      <w:r w:rsidRPr="009E1C92">
        <w:rPr>
          <w:bCs/>
          <w:lang w:val="en-GB"/>
        </w:rPr>
        <w:t xml:space="preserve">The committee considered that there is insufficient evidence to support precaution. The ACPM noted that the number of SIRS reviewed by sponsor is insufficient to make a causal linkage and the based on the data available from MODS/MOF cases, these events could be attributed to underlying disease progression rather than </w:t>
      </w:r>
      <w:proofErr w:type="spellStart"/>
      <w:r w:rsidRPr="009E1C92">
        <w:rPr>
          <w:bCs/>
          <w:lang w:val="en-GB"/>
        </w:rPr>
        <w:t>nivolumab</w:t>
      </w:r>
      <w:proofErr w:type="spellEnd"/>
      <w:r w:rsidRPr="009E1C92">
        <w:rPr>
          <w:bCs/>
          <w:lang w:val="en-GB"/>
        </w:rPr>
        <w:t xml:space="preserve"> therapy.</w:t>
      </w:r>
    </w:p>
    <w:p w14:paraId="024ADAF5" w14:textId="77777777" w:rsidR="009E1C92" w:rsidRPr="004D76FB" w:rsidRDefault="009E1C92" w:rsidP="004D76FB">
      <w:pPr>
        <w:pStyle w:val="ListBullet"/>
        <w:rPr>
          <w:b/>
          <w:i/>
          <w:lang w:val="en-GB"/>
        </w:rPr>
      </w:pPr>
      <w:r w:rsidRPr="004D76FB">
        <w:rPr>
          <w:i/>
          <w:lang w:val="en-GB"/>
        </w:rPr>
        <w:t>The committee is (also) requested to provide advice on any other issues that it thinks may be relevant to a decision on whether or not to approve this application</w:t>
      </w:r>
    </w:p>
    <w:p w14:paraId="0CBE9597" w14:textId="77777777" w:rsidR="009E1C92" w:rsidRPr="009E1C92" w:rsidRDefault="009E1C92" w:rsidP="009E1C92">
      <w:pPr>
        <w:rPr>
          <w:bCs/>
          <w:lang w:val="en-GB"/>
        </w:rPr>
      </w:pPr>
      <w:r w:rsidRPr="009E1C92">
        <w:rPr>
          <w:bCs/>
          <w:lang w:val="en-GB"/>
        </w:rPr>
        <w:t xml:space="preserve">The committee advised that a registry to gather additional data relating to efficacy and safety across all uses of the </w:t>
      </w:r>
      <w:proofErr w:type="spellStart"/>
      <w:r w:rsidR="004D76FB">
        <w:rPr>
          <w:bCs/>
          <w:lang w:val="en-GB"/>
        </w:rPr>
        <w:t>Opdivo</w:t>
      </w:r>
      <w:proofErr w:type="spellEnd"/>
      <w:r w:rsidRPr="009E1C92">
        <w:rPr>
          <w:bCs/>
          <w:lang w:val="en-GB"/>
        </w:rPr>
        <w:t xml:space="preserve"> would be beneficial and provide a tool to identify post-market events. The committee acknowledged that other methodologies exist to identify post-market events.</w:t>
      </w:r>
    </w:p>
    <w:p w14:paraId="067D7842" w14:textId="77777777" w:rsidR="009E1C92" w:rsidRPr="004D76FB" w:rsidRDefault="009E1C92" w:rsidP="008E7846">
      <w:pPr>
        <w:rPr>
          <w:bCs/>
          <w:lang w:val="en-GB"/>
        </w:rPr>
      </w:pPr>
      <w:r w:rsidRPr="009E1C92">
        <w:rPr>
          <w:bCs/>
          <w:lang w:val="en-GB"/>
        </w:rPr>
        <w:t>The ACPM advised that implementation by the sponsor of the recommendations outlined above to the satisfaction of the TGA, in addition to the evidence of efficacy and safety provided would support the safe and effective use of this product.</w:t>
      </w:r>
    </w:p>
    <w:p w14:paraId="167B4181" w14:textId="77777777" w:rsidR="008E7846" w:rsidRPr="002E238E" w:rsidRDefault="008E7846" w:rsidP="008E7846">
      <w:pPr>
        <w:pStyle w:val="Heading3"/>
      </w:pPr>
      <w:bookmarkStart w:id="130" w:name="_Toc247691532"/>
      <w:bookmarkStart w:id="131" w:name="_Toc314842516"/>
      <w:bookmarkStart w:id="132" w:name="_Toc489277889"/>
      <w:bookmarkEnd w:id="85"/>
      <w:bookmarkEnd w:id="128"/>
      <w:bookmarkEnd w:id="129"/>
      <w:r>
        <w:t>Outcome</w:t>
      </w:r>
      <w:bookmarkEnd w:id="130"/>
      <w:bookmarkEnd w:id="131"/>
      <w:bookmarkEnd w:id="132"/>
    </w:p>
    <w:p w14:paraId="118CABAA" w14:textId="00A3083A" w:rsidR="00D23139" w:rsidRDefault="00D23139" w:rsidP="00043B9D">
      <w:bookmarkStart w:id="133" w:name="_Toc247691533"/>
      <w:bookmarkStart w:id="134" w:name="_Toc314842517"/>
      <w:r w:rsidRPr="00D23139">
        <w:t>Based on a review of quality, safety and efficacy, T</w:t>
      </w:r>
      <w:r w:rsidR="00F51816">
        <w:t xml:space="preserve">GA approved the registration of </w:t>
      </w:r>
      <w:proofErr w:type="spellStart"/>
      <w:r w:rsidR="00043B9D" w:rsidRPr="00043B9D">
        <w:rPr>
          <w:lang w:val="en-GB"/>
        </w:rPr>
        <w:t>O</w:t>
      </w:r>
      <w:r w:rsidR="00043B9D">
        <w:rPr>
          <w:lang w:val="en-GB"/>
        </w:rPr>
        <w:t>pdivo</w:t>
      </w:r>
      <w:proofErr w:type="spellEnd"/>
      <w:r w:rsidR="00043B9D">
        <w:rPr>
          <w:lang w:val="en-GB"/>
        </w:rPr>
        <w:t xml:space="preserve"> </w:t>
      </w:r>
      <w:r w:rsidR="00043B9D" w:rsidRPr="00043B9D">
        <w:rPr>
          <w:lang w:val="en-GB"/>
        </w:rPr>
        <w:t>(</w:t>
      </w:r>
      <w:proofErr w:type="spellStart"/>
      <w:r w:rsidR="00043B9D" w:rsidRPr="00043B9D">
        <w:rPr>
          <w:lang w:val="en-GB"/>
        </w:rPr>
        <w:t>nivolumab</w:t>
      </w:r>
      <w:proofErr w:type="spellEnd"/>
      <w:r w:rsidR="00043B9D" w:rsidRPr="00043B9D">
        <w:rPr>
          <w:lang w:val="en-GB"/>
        </w:rPr>
        <w:t>) 40</w:t>
      </w:r>
      <w:r w:rsidR="00043B9D">
        <w:rPr>
          <w:lang w:val="en-GB"/>
        </w:rPr>
        <w:t xml:space="preserve"> </w:t>
      </w:r>
      <w:r w:rsidR="00043B9D" w:rsidRPr="00043B9D">
        <w:rPr>
          <w:lang w:val="en-GB"/>
        </w:rPr>
        <w:t>mg in 4</w:t>
      </w:r>
      <w:r w:rsidR="00043B9D">
        <w:rPr>
          <w:lang w:val="en-GB"/>
        </w:rPr>
        <w:t xml:space="preserve"> </w:t>
      </w:r>
      <w:r w:rsidR="00043B9D" w:rsidRPr="00043B9D">
        <w:rPr>
          <w:lang w:val="en-GB"/>
        </w:rPr>
        <w:t>mL (10</w:t>
      </w:r>
      <w:r w:rsidR="00043B9D">
        <w:rPr>
          <w:lang w:val="en-GB"/>
        </w:rPr>
        <w:t xml:space="preserve"> </w:t>
      </w:r>
      <w:r w:rsidR="00F51816">
        <w:rPr>
          <w:lang w:val="en-GB"/>
        </w:rPr>
        <w:t xml:space="preserve">mg/mL); and 100 mg in 10 mL (10 mg/mL) </w:t>
      </w:r>
      <w:r w:rsidR="00043B9D" w:rsidRPr="00043B9D">
        <w:rPr>
          <w:lang w:val="en-GB"/>
        </w:rPr>
        <w:t>concentrate solution for IV infusion vial</w:t>
      </w:r>
      <w:r w:rsidR="00F51816">
        <w:rPr>
          <w:lang w:val="en-GB"/>
        </w:rPr>
        <w:t xml:space="preserve">, </w:t>
      </w:r>
      <w:r w:rsidRPr="00D23139">
        <w:t>indicated for:</w:t>
      </w:r>
    </w:p>
    <w:p w14:paraId="2EEF5938" w14:textId="5BCF7123" w:rsidR="00043B9D" w:rsidRDefault="00043B9D" w:rsidP="00043B9D">
      <w:pPr>
        <w:ind w:left="720"/>
        <w:rPr>
          <w:i/>
          <w:iCs/>
          <w:lang w:val="en-GB"/>
        </w:rPr>
      </w:pPr>
      <w:r>
        <w:t>‘</w:t>
      </w:r>
      <w:proofErr w:type="spellStart"/>
      <w:r>
        <w:rPr>
          <w:i/>
          <w:iCs/>
          <w:lang w:val="en-GB"/>
        </w:rPr>
        <w:t>Opdivo</w:t>
      </w:r>
      <w:proofErr w:type="spellEnd"/>
      <w:r w:rsidRPr="00043B9D">
        <w:rPr>
          <w:i/>
          <w:iCs/>
          <w:lang w:val="en-GB"/>
        </w:rPr>
        <w:t xml:space="preserve"> as monotherapy is indicated for the treatment of patients with advanced clear cell renal cell carcinoma after prior anti-angiogenic therapy in adults.</w:t>
      </w:r>
      <w:r>
        <w:rPr>
          <w:i/>
          <w:iCs/>
          <w:lang w:val="en-GB"/>
        </w:rPr>
        <w:t>’</w:t>
      </w:r>
    </w:p>
    <w:p w14:paraId="7992EE64" w14:textId="77777777" w:rsidR="00F51816" w:rsidRDefault="00F51816" w:rsidP="00F51816">
      <w:pPr>
        <w:rPr>
          <w:lang w:val="en-GB"/>
        </w:rPr>
      </w:pPr>
      <w:r>
        <w:rPr>
          <w:lang w:val="en-GB"/>
        </w:rPr>
        <w:t>The full indications</w:t>
      </w:r>
      <w:r w:rsidRPr="00F51816">
        <w:rPr>
          <w:b/>
          <w:bCs/>
          <w:lang w:val="en-GB"/>
        </w:rPr>
        <w:t xml:space="preserve"> </w:t>
      </w:r>
      <w:r>
        <w:rPr>
          <w:lang w:val="en-GB"/>
        </w:rPr>
        <w:t>are now:</w:t>
      </w:r>
    </w:p>
    <w:p w14:paraId="76BF0B0F" w14:textId="4BEC6A58" w:rsidR="00F51816" w:rsidRPr="00F51816" w:rsidRDefault="00F51816" w:rsidP="00F51816">
      <w:pPr>
        <w:ind w:firstLine="360"/>
        <w:rPr>
          <w:i/>
          <w:lang w:val="en-GB"/>
        </w:rPr>
      </w:pPr>
      <w:r w:rsidRPr="00F51816">
        <w:rPr>
          <w:i/>
          <w:lang w:val="en-GB"/>
        </w:rPr>
        <w:t>‘</w:t>
      </w:r>
      <w:proofErr w:type="spellStart"/>
      <w:r w:rsidRPr="00F51816">
        <w:rPr>
          <w:i/>
          <w:lang w:val="en-GB"/>
        </w:rPr>
        <w:t>Opdivo</w:t>
      </w:r>
      <w:proofErr w:type="spellEnd"/>
      <w:r w:rsidRPr="00F51816">
        <w:rPr>
          <w:i/>
          <w:lang w:val="en-GB"/>
        </w:rPr>
        <w:t xml:space="preserve"> is indicated for:</w:t>
      </w:r>
    </w:p>
    <w:p w14:paraId="1A183750" w14:textId="47B88789" w:rsidR="00F51816" w:rsidRPr="00FE4C74" w:rsidRDefault="00F51816" w:rsidP="00FE4C74">
      <w:pPr>
        <w:pStyle w:val="ListBullet2"/>
        <w:rPr>
          <w:i/>
          <w:lang w:val="en-GB"/>
        </w:rPr>
      </w:pPr>
      <w:r w:rsidRPr="00FE4C74">
        <w:rPr>
          <w:i/>
          <w:lang w:val="en-GB"/>
        </w:rPr>
        <w:t xml:space="preserve">As monotherapy for the treatment of patients with </w:t>
      </w:r>
      <w:proofErr w:type="spellStart"/>
      <w:r w:rsidRPr="00FE4C74">
        <w:rPr>
          <w:i/>
          <w:lang w:val="en-GB"/>
        </w:rPr>
        <w:t>unresectable</w:t>
      </w:r>
      <w:proofErr w:type="spellEnd"/>
      <w:r w:rsidRPr="00FE4C74">
        <w:rPr>
          <w:i/>
          <w:lang w:val="en-GB"/>
        </w:rPr>
        <w:t xml:space="preserve"> (Stage III) or metastatic (Stage IV) melanoma </w:t>
      </w:r>
    </w:p>
    <w:p w14:paraId="2E0EAB17" w14:textId="7E592F21" w:rsidR="00F51816" w:rsidRPr="00FE4C74" w:rsidRDefault="00F51816" w:rsidP="00FE4C74">
      <w:pPr>
        <w:pStyle w:val="ListBullet2"/>
        <w:rPr>
          <w:i/>
          <w:lang w:val="en-GB"/>
        </w:rPr>
      </w:pPr>
      <w:r w:rsidRPr="00FE4C74">
        <w:rPr>
          <w:i/>
          <w:lang w:val="en-GB"/>
        </w:rPr>
        <w:t xml:space="preserve">In combination with </w:t>
      </w:r>
      <w:proofErr w:type="spellStart"/>
      <w:r w:rsidRPr="00FE4C74">
        <w:rPr>
          <w:i/>
          <w:lang w:val="en-GB"/>
        </w:rPr>
        <w:t>Yervoy</w:t>
      </w:r>
      <w:proofErr w:type="spellEnd"/>
      <w:r w:rsidRPr="00FE4C74">
        <w:rPr>
          <w:i/>
          <w:lang w:val="en-GB"/>
        </w:rPr>
        <w:t xml:space="preserve"> (</w:t>
      </w:r>
      <w:proofErr w:type="spellStart"/>
      <w:r w:rsidRPr="00FE4C74">
        <w:rPr>
          <w:i/>
          <w:lang w:val="en-GB"/>
        </w:rPr>
        <w:t>ipilimumab</w:t>
      </w:r>
      <w:proofErr w:type="spellEnd"/>
      <w:r w:rsidRPr="00FE4C74">
        <w:rPr>
          <w:i/>
          <w:lang w:val="en-GB"/>
        </w:rPr>
        <w:t>) for the treatment of patients with metastatic (Stage IV) melanoma with M1c disease or elevated lactic dehydrogenase (LDH).</w:t>
      </w:r>
    </w:p>
    <w:p w14:paraId="03C65F96" w14:textId="35834E77" w:rsidR="00F51816" w:rsidRPr="00FE4C74" w:rsidRDefault="00F51816" w:rsidP="00FE4C74">
      <w:pPr>
        <w:pStyle w:val="ListBullet2"/>
        <w:rPr>
          <w:i/>
          <w:lang w:val="en-GB"/>
        </w:rPr>
      </w:pPr>
      <w:r w:rsidRPr="00FE4C74">
        <w:rPr>
          <w:i/>
          <w:lang w:val="en-GB"/>
        </w:rPr>
        <w:lastRenderedPageBreak/>
        <w:t>As monotherapy for the treatment of locally advanced or metastatic squamous non-small cell lung cancer (NSCLC) with progression on or after prior chemotherapy.</w:t>
      </w:r>
    </w:p>
    <w:p w14:paraId="06B8A352" w14:textId="4797D640" w:rsidR="00F51816" w:rsidRPr="00FE4C74" w:rsidRDefault="00F51816" w:rsidP="00FE4C74">
      <w:pPr>
        <w:pStyle w:val="ListBullet2"/>
        <w:rPr>
          <w:rFonts w:ascii="MS Mincho" w:eastAsia="MS Mincho" w:hAnsi="MS Mincho" w:cs="MS Mincho"/>
          <w:i/>
          <w:lang w:val="en-GB"/>
        </w:rPr>
      </w:pPr>
      <w:r w:rsidRPr="00FE4C74">
        <w:rPr>
          <w:i/>
          <w:lang w:val="en-GB"/>
        </w:rPr>
        <w:t>As monotherapy for the treatment of locally advanced or metastatic non squamous non-small cell lung cancer (NSCLC) with progression on or after prior chemotherapy. In patients with tumour EGFR or ALK after targeted therapy.</w:t>
      </w:r>
    </w:p>
    <w:p w14:paraId="379774E6" w14:textId="1810624D" w:rsidR="00F51816" w:rsidRPr="00FE4C74" w:rsidRDefault="00F51816" w:rsidP="00FE4C74">
      <w:pPr>
        <w:pStyle w:val="ListBullet2"/>
        <w:rPr>
          <w:i/>
          <w:lang w:val="en-GB"/>
        </w:rPr>
      </w:pPr>
      <w:r w:rsidRPr="00FE4C74">
        <w:rPr>
          <w:i/>
          <w:lang w:val="en-GB"/>
        </w:rPr>
        <w:t>As monotherapy for the treatment of patients with advanced clear cell renal cell carcinoma after prior anti-angiogenic therapy in adults.’</w:t>
      </w:r>
    </w:p>
    <w:p w14:paraId="5AB21BB1" w14:textId="77777777" w:rsidR="00D23139" w:rsidRDefault="00D23139" w:rsidP="00D23139">
      <w:pPr>
        <w:pStyle w:val="Heading4"/>
      </w:pPr>
      <w:r w:rsidRPr="00D23139">
        <w:t>Specific conditions of registration applying to these goods</w:t>
      </w:r>
    </w:p>
    <w:p w14:paraId="71F75276" w14:textId="265CD2F1" w:rsidR="00043B9D" w:rsidRPr="00043B9D" w:rsidRDefault="00043B9D" w:rsidP="00043B9D">
      <w:pPr>
        <w:pStyle w:val="ListBullet"/>
        <w:rPr>
          <w:lang w:val="en-GB"/>
        </w:rPr>
      </w:pPr>
      <w:r>
        <w:rPr>
          <w:lang w:val="en-GB"/>
        </w:rPr>
        <w:t>Implement</w:t>
      </w:r>
      <w:r w:rsidRPr="00043B9D">
        <w:rPr>
          <w:lang w:val="en-GB"/>
        </w:rPr>
        <w:t xml:space="preserve"> the </w:t>
      </w:r>
      <w:proofErr w:type="spellStart"/>
      <w:r w:rsidRPr="00043B9D">
        <w:rPr>
          <w:lang w:val="en-GB"/>
        </w:rPr>
        <w:t>O</w:t>
      </w:r>
      <w:r>
        <w:rPr>
          <w:lang w:val="en-GB"/>
        </w:rPr>
        <w:t>pdivo</w:t>
      </w:r>
      <w:proofErr w:type="spellEnd"/>
      <w:r w:rsidRPr="00043B9D">
        <w:rPr>
          <w:lang w:val="en-GB"/>
        </w:rPr>
        <w:t xml:space="preserve"> European Union Risk Management Plan (EU-RMP), version 6, dated 25 May 2016; DLP 18 December 2015, and Australian Specific Annex (ASA) version 6; 20 September 2016 and any updates accepted by th</w:t>
      </w:r>
      <w:r>
        <w:rPr>
          <w:lang w:val="en-GB"/>
        </w:rPr>
        <w:t>e TGA’s RMP Evaluation Section.</w:t>
      </w:r>
    </w:p>
    <w:p w14:paraId="4459C631" w14:textId="77777777" w:rsidR="008E7846" w:rsidRDefault="00A80B5B" w:rsidP="00D23139">
      <w:pPr>
        <w:pStyle w:val="Heading2"/>
      </w:pPr>
      <w:bookmarkStart w:id="135" w:name="_Toc489277890"/>
      <w:proofErr w:type="gramStart"/>
      <w:r>
        <w:t>Attachment 1.</w:t>
      </w:r>
      <w:proofErr w:type="gramEnd"/>
      <w:r>
        <w:t xml:space="preserve"> </w:t>
      </w:r>
      <w:r w:rsidR="008E7846">
        <w:t xml:space="preserve">Product </w:t>
      </w:r>
      <w:r w:rsidR="00AA0ED0">
        <w:t>I</w:t>
      </w:r>
      <w:r w:rsidR="008E7846">
        <w:t>nformation</w:t>
      </w:r>
      <w:bookmarkEnd w:id="133"/>
      <w:bookmarkEnd w:id="134"/>
      <w:bookmarkEnd w:id="135"/>
    </w:p>
    <w:p w14:paraId="43151D3E" w14:textId="67094613" w:rsidR="00C80137" w:rsidRDefault="006136D7" w:rsidP="00C80137">
      <w:pPr>
        <w:rPr>
          <w:color w:val="000000"/>
          <w:lang w:eastAsia="en-AU"/>
        </w:rPr>
      </w:pPr>
      <w:r w:rsidRPr="002B3624">
        <w:t xml:space="preserve">The </w:t>
      </w:r>
      <w:r>
        <w:t>PI</w:t>
      </w:r>
      <w:r w:rsidRPr="002B3624">
        <w:t xml:space="preserve"> for </w:t>
      </w:r>
      <w:proofErr w:type="spellStart"/>
      <w:r w:rsidR="00364BD1">
        <w:t>Opdivo</w:t>
      </w:r>
      <w:proofErr w:type="spellEnd"/>
      <w:r w:rsidRPr="002B3624">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23" w:history="1">
        <w:r w:rsidR="007C6B9B" w:rsidRPr="007C6B9B">
          <w:rPr>
            <w:rStyle w:val="Hyperlink"/>
          </w:rPr>
          <w:t>https://www.tga.gov.au/product-information-pi</w:t>
        </w:r>
      </w:hyperlink>
      <w:r w:rsidR="00611EC9">
        <w:t>&gt;.</w:t>
      </w:r>
    </w:p>
    <w:p w14:paraId="1C0FAC64" w14:textId="77777777" w:rsidR="00C80137" w:rsidRDefault="00C80137" w:rsidP="00C80137">
      <w:pPr>
        <w:pStyle w:val="Heading2"/>
        <w:rPr>
          <w:lang w:eastAsia="en-AU"/>
        </w:rPr>
      </w:pPr>
      <w:bookmarkStart w:id="136" w:name="_Toc489277891"/>
      <w:proofErr w:type="gramStart"/>
      <w:r>
        <w:rPr>
          <w:lang w:eastAsia="en-AU"/>
        </w:rPr>
        <w:t>Attachment 2.</w:t>
      </w:r>
      <w:proofErr w:type="gramEnd"/>
      <w:r w:rsidR="00A80B5B">
        <w:rPr>
          <w:lang w:eastAsia="en-AU"/>
        </w:rPr>
        <w:t xml:space="preserve"> </w:t>
      </w:r>
      <w:r>
        <w:rPr>
          <w:lang w:eastAsia="en-AU"/>
        </w:rPr>
        <w:t>Extract from the Clinical Evaluation Report</w:t>
      </w:r>
      <w:bookmarkEnd w:id="136"/>
    </w:p>
    <w:p w14:paraId="4D60E87F" w14:textId="77777777" w:rsidR="00C80137" w:rsidRDefault="00C80137" w:rsidP="003A7F6C">
      <w:pPr>
        <w:pStyle w:val="TableTitle"/>
        <w:rPr>
          <w:b w:val="0"/>
          <w:lang w:eastAsia="ja-JP"/>
        </w:rPr>
      </w:pPr>
    </w:p>
    <w:p w14:paraId="7D40FEB4" w14:textId="77777777" w:rsidR="00B94A84" w:rsidRPr="001D043B" w:rsidRDefault="00B94A84" w:rsidP="003A7F6C">
      <w:pPr>
        <w:pStyle w:val="TableTitle"/>
        <w:sectPr w:rsidR="00B94A84" w:rsidRPr="001D043B" w:rsidSect="00B452CE">
          <w:headerReference w:type="even" r:id="rId24"/>
          <w:headerReference w:type="default" r:id="rId25"/>
          <w:headerReference w:type="first" r:id="rId26"/>
          <w:footerReference w:type="first" r:id="rId2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143DBC7F" w14:textId="77777777" w:rsidTr="00A05FA4">
        <w:trPr>
          <w:trHeight w:hRule="exact" w:val="704"/>
        </w:trPr>
        <w:tc>
          <w:tcPr>
            <w:tcW w:w="9175" w:type="dxa"/>
          </w:tcPr>
          <w:p w14:paraId="19C42149" w14:textId="77777777" w:rsidR="001C32CD" w:rsidRPr="00487162" w:rsidRDefault="001C32CD" w:rsidP="00A05FA4">
            <w:pPr>
              <w:pStyle w:val="TGASignoff"/>
            </w:pPr>
            <w:r w:rsidRPr="00487162">
              <w:lastRenderedPageBreak/>
              <w:t>Therapeutic Goods Administration</w:t>
            </w:r>
          </w:p>
        </w:tc>
      </w:tr>
      <w:tr w:rsidR="001C32CD" w:rsidRPr="004C239D" w14:paraId="7A60184D" w14:textId="77777777" w:rsidTr="00A05FA4">
        <w:trPr>
          <w:trHeight w:val="1221"/>
        </w:trPr>
        <w:tc>
          <w:tcPr>
            <w:tcW w:w="9175" w:type="dxa"/>
            <w:tcMar>
              <w:top w:w="28" w:type="dxa"/>
            </w:tcMar>
          </w:tcPr>
          <w:p w14:paraId="1F7518D9" w14:textId="77777777" w:rsidR="001C32CD" w:rsidRPr="00487162" w:rsidRDefault="001C32CD" w:rsidP="00A05FA4">
            <w:pPr>
              <w:pStyle w:val="Address"/>
            </w:pPr>
            <w:r w:rsidRPr="00487162">
              <w:t>PO Box 100 Woden ACT 2606 Australia</w:t>
            </w:r>
          </w:p>
          <w:p w14:paraId="6A4705F6" w14:textId="77777777" w:rsidR="001C32CD" w:rsidRPr="00487162" w:rsidRDefault="001C32CD" w:rsidP="00A05FA4">
            <w:pPr>
              <w:pStyle w:val="Address"/>
            </w:pPr>
            <w:r w:rsidRPr="00487162">
              <w:t xml:space="preserve">Email: </w:t>
            </w:r>
            <w:hyperlink r:id="rId28" w:history="1">
              <w:r w:rsidRPr="004C239D">
                <w:rPr>
                  <w:rStyle w:val="Hyperlink"/>
                </w:rPr>
                <w:t>info@tga.gov.au</w:t>
              </w:r>
            </w:hyperlink>
            <w:r w:rsidRPr="00487162">
              <w:t xml:space="preserve">  Phone: 1800 020 653  Fax: 02 6232 8605</w:t>
            </w:r>
          </w:p>
          <w:p w14:paraId="41BC92FF" w14:textId="77777777" w:rsidR="001C32CD" w:rsidRPr="004C239D" w:rsidRDefault="00EF69B9" w:rsidP="00A05FA4">
            <w:pPr>
              <w:pStyle w:val="Address"/>
              <w:spacing w:line="260" w:lineRule="atLeast"/>
              <w:rPr>
                <w:b/>
                <w:color w:val="0000FF"/>
                <w:u w:val="single"/>
              </w:rPr>
            </w:pPr>
            <w:hyperlink r:id="rId29" w:history="1">
              <w:r w:rsidR="007C6B9B" w:rsidRPr="007C6B9B">
                <w:rPr>
                  <w:rStyle w:val="Hyperlink"/>
                  <w:b/>
                </w:rPr>
                <w:t>https://www.tga.gov.au</w:t>
              </w:r>
            </w:hyperlink>
          </w:p>
        </w:tc>
      </w:tr>
    </w:tbl>
    <w:p w14:paraId="53912FBE" w14:textId="77777777" w:rsidR="00774E1D" w:rsidRPr="008A5E0B" w:rsidRDefault="00774E1D" w:rsidP="004C239D"/>
    <w:sectPr w:rsidR="00774E1D" w:rsidRPr="008A5E0B" w:rsidSect="001C32CD">
      <w:headerReference w:type="even" r:id="rId30"/>
      <w:headerReference w:type="default" r:id="rId31"/>
      <w:footerReference w:type="default" r:id="rId32"/>
      <w:headerReference w:type="first" r:id="rId33"/>
      <w:footerReference w:type="first" r:id="rId34"/>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4C56F9" w15:done="0"/>
  <w15:commentEx w15:paraId="35FA6F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4C56F9" w16cid:durableId="1D53D41F"/>
  <w16cid:commentId w16cid:paraId="35FA6F9B" w16cid:durableId="1D53D42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F05EAF" w14:textId="77777777" w:rsidR="00EF69B9" w:rsidRDefault="00EF69B9" w:rsidP="00C40A36">
      <w:pPr>
        <w:spacing w:after="0"/>
      </w:pPr>
      <w:r>
        <w:separator/>
      </w:r>
    </w:p>
  </w:endnote>
  <w:endnote w:type="continuationSeparator" w:id="0">
    <w:p w14:paraId="277A6920" w14:textId="77777777" w:rsidR="00EF69B9" w:rsidRDefault="00EF69B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Times New Roman"/>
    <w:panose1 w:val="00000000000000000000"/>
    <w:charset w:val="00"/>
    <w:family w:val="roman"/>
    <w:notTrueType/>
    <w:pitch w:val="default"/>
    <w:sig w:usb0="00000083" w:usb1="090F0000" w:usb2="00000010" w:usb3="00000000" w:csb0="001A0009"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F69B9" w:rsidRPr="00487162" w14:paraId="545D04F9" w14:textId="77777777" w:rsidTr="00DB750B">
      <w:trPr>
        <w:trHeight w:val="269"/>
      </w:trPr>
      <w:tc>
        <w:tcPr>
          <w:tcW w:w="7371" w:type="dxa"/>
          <w:tcMar>
            <w:top w:w="142" w:type="dxa"/>
            <w:bottom w:w="0" w:type="dxa"/>
          </w:tcMar>
        </w:tcPr>
        <w:p w14:paraId="484EBD30" w14:textId="30277859" w:rsidR="00EF69B9" w:rsidRPr="00B238D2" w:rsidRDefault="00EF69B9" w:rsidP="00795348">
          <w:pPr>
            <w:pStyle w:val="Footer"/>
            <w:rPr>
              <w:lang w:val="en-GB"/>
            </w:rPr>
          </w:pPr>
          <w:proofErr w:type="spellStart"/>
          <w:r w:rsidRPr="00487162">
            <w:t>AusPA</w:t>
          </w:r>
          <w:r>
            <w:t>R</w:t>
          </w:r>
          <w:proofErr w:type="spellEnd"/>
          <w:r>
            <w:t xml:space="preserve"> for </w:t>
          </w:r>
          <w:proofErr w:type="spellStart"/>
          <w:r>
            <w:t>Opdivo</w:t>
          </w:r>
          <w:proofErr w:type="spellEnd"/>
          <w:r>
            <w:t xml:space="preserve"> </w:t>
          </w:r>
          <w:proofErr w:type="spellStart"/>
          <w:r>
            <w:t>Nivolumab</w:t>
          </w:r>
          <w:proofErr w:type="spellEnd"/>
          <w:r>
            <w:t xml:space="preserve"> Bristol-Myers Squibb Australia Pty Ltd </w:t>
          </w:r>
          <w:r w:rsidRPr="00B238D2">
            <w:rPr>
              <w:lang w:val="en-GB"/>
            </w:rPr>
            <w:t>PM-2015-03579-1-4</w:t>
          </w:r>
          <w:r>
            <w:br/>
            <w:t>Final 26 October 2017</w:t>
          </w:r>
        </w:p>
      </w:tc>
      <w:tc>
        <w:tcPr>
          <w:tcW w:w="1490" w:type="dxa"/>
          <w:tcMar>
            <w:top w:w="142" w:type="dxa"/>
            <w:bottom w:w="0" w:type="dxa"/>
          </w:tcMar>
        </w:tcPr>
        <w:p w14:paraId="0FBCAD9C" w14:textId="3378D747" w:rsidR="00EF69B9" w:rsidRPr="00487162" w:rsidRDefault="00EF69B9" w:rsidP="00DB750B">
          <w:pPr>
            <w:pStyle w:val="Footer"/>
            <w:jc w:val="right"/>
          </w:pPr>
          <w:r w:rsidRPr="00487162">
            <w:t xml:space="preserve">Page </w:t>
          </w:r>
          <w:r>
            <w:fldChar w:fldCharType="begin"/>
          </w:r>
          <w:r>
            <w:instrText xml:space="preserve"> PAGE  \* Arabic </w:instrText>
          </w:r>
          <w:r>
            <w:fldChar w:fldCharType="separate"/>
          </w:r>
          <w:r w:rsidR="001546AD">
            <w:rPr>
              <w:noProof/>
            </w:rPr>
            <w:t>2</w:t>
          </w:r>
          <w:r>
            <w:fldChar w:fldCharType="end"/>
          </w:r>
          <w:r w:rsidRPr="00487162">
            <w:t xml:space="preserve"> of </w:t>
          </w:r>
          <w:r>
            <w:fldChar w:fldCharType="begin"/>
          </w:r>
          <w:r>
            <w:instrText xml:space="preserve"> NUMPAGES  \* Arabic </w:instrText>
          </w:r>
          <w:r>
            <w:fldChar w:fldCharType="separate"/>
          </w:r>
          <w:r w:rsidR="001546AD">
            <w:rPr>
              <w:noProof/>
            </w:rPr>
            <w:t>64</w:t>
          </w:r>
          <w:r>
            <w:rPr>
              <w:noProof/>
            </w:rPr>
            <w:fldChar w:fldCharType="end"/>
          </w:r>
        </w:p>
      </w:tc>
    </w:tr>
  </w:tbl>
  <w:p w14:paraId="0F94B35B" w14:textId="77777777" w:rsidR="00EF69B9" w:rsidRDefault="00EF69B9"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F69B9" w:rsidRPr="00487162" w14:paraId="24F794D5" w14:textId="77777777" w:rsidTr="00E45619">
      <w:trPr>
        <w:trHeight w:val="269"/>
      </w:trPr>
      <w:tc>
        <w:tcPr>
          <w:tcW w:w="4519" w:type="dxa"/>
          <w:tcBorders>
            <w:top w:val="single" w:sz="4" w:space="0" w:color="auto"/>
          </w:tcBorders>
          <w:tcMar>
            <w:top w:w="142" w:type="dxa"/>
            <w:bottom w:w="0" w:type="dxa"/>
          </w:tcMar>
        </w:tcPr>
        <w:p w14:paraId="10ECC76A" w14:textId="77777777" w:rsidR="00EF69B9" w:rsidRPr="00487162" w:rsidRDefault="00EF69B9" w:rsidP="00FE1DEE">
          <w:pPr>
            <w:pStyle w:val="Footer"/>
          </w:pPr>
          <w:r w:rsidRPr="00487162">
            <w:t>Document title, Part #, Section # - Section title</w:t>
          </w:r>
        </w:p>
        <w:p w14:paraId="66AAE507" w14:textId="77777777" w:rsidR="00EF69B9" w:rsidRPr="00487162" w:rsidRDefault="00EF69B9" w:rsidP="00FE1DEE">
          <w:pPr>
            <w:pStyle w:val="Footer"/>
          </w:pPr>
          <w:r w:rsidRPr="00487162">
            <w:t>V1.0 October 2010</w:t>
          </w:r>
        </w:p>
      </w:tc>
      <w:tc>
        <w:tcPr>
          <w:tcW w:w="4342" w:type="dxa"/>
          <w:tcBorders>
            <w:top w:val="single" w:sz="4" w:space="0" w:color="auto"/>
          </w:tcBorders>
          <w:tcMar>
            <w:top w:w="142" w:type="dxa"/>
            <w:bottom w:w="0" w:type="dxa"/>
          </w:tcMar>
        </w:tcPr>
        <w:p w14:paraId="45212E3C" w14:textId="77777777" w:rsidR="00EF69B9" w:rsidRPr="00487162" w:rsidRDefault="00EF69B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14:paraId="49156B79" w14:textId="77777777" w:rsidR="00EF69B9" w:rsidRDefault="00EF69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4F165" w14:textId="77777777" w:rsidR="00EF69B9" w:rsidRPr="001C32CD" w:rsidRDefault="00EF69B9"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F69B9" w14:paraId="07B6270C" w14:textId="77777777" w:rsidTr="0010601F">
      <w:trPr>
        <w:trHeight w:val="108"/>
      </w:trPr>
      <w:tc>
        <w:tcPr>
          <w:tcW w:w="8875" w:type="dxa"/>
          <w:gridSpan w:val="2"/>
          <w:tcBorders>
            <w:bottom w:val="single" w:sz="4" w:space="0" w:color="auto"/>
          </w:tcBorders>
          <w:tcMar>
            <w:right w:w="284" w:type="dxa"/>
          </w:tcMar>
        </w:tcPr>
        <w:p w14:paraId="0588F57E" w14:textId="77777777" w:rsidR="00EF69B9" w:rsidRDefault="00EF69B9" w:rsidP="006E08B3">
          <w:pPr>
            <w:pStyle w:val="Heading3"/>
          </w:pPr>
          <w:r>
            <w:t>Copyright</w:t>
          </w:r>
        </w:p>
        <w:p w14:paraId="723E9C3E" w14:textId="77777777" w:rsidR="00EF69B9" w:rsidRDefault="00EF69B9" w:rsidP="006E08B3">
          <w:r>
            <w:rPr>
              <w:rFonts w:cs="Arial"/>
            </w:rPr>
            <w:t>©</w:t>
          </w:r>
          <w:r>
            <w:t xml:space="preserve"> Commonwealth of Australia [add year]</w:t>
          </w:r>
        </w:p>
        <w:p w14:paraId="66FCDC93" w14:textId="77777777" w:rsidR="00EF69B9" w:rsidRDefault="00EF69B9" w:rsidP="006E08B3"/>
        <w:p w14:paraId="0DA6DC88" w14:textId="77777777" w:rsidR="00EF69B9" w:rsidRDefault="00EF69B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566FAD0" w14:textId="77777777" w:rsidR="00EF69B9" w:rsidRDefault="00EF69B9" w:rsidP="006E08B3"/>
        <w:p w14:paraId="6AB0DA3F" w14:textId="77777777" w:rsidR="00EF69B9" w:rsidRDefault="00EF69B9" w:rsidP="006E08B3">
          <w:pPr>
            <w:pStyle w:val="Heading3"/>
          </w:pPr>
          <w:r>
            <w:t>Confidentiality</w:t>
          </w:r>
        </w:p>
        <w:p w14:paraId="1DB1972E" w14:textId="77777777" w:rsidR="00EF69B9" w:rsidRDefault="00EF69B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1016F97" w14:textId="77777777" w:rsidR="00EF69B9" w:rsidRDefault="00EF69B9" w:rsidP="006E08B3"/>
        <w:p w14:paraId="6F22D050" w14:textId="77777777" w:rsidR="00EF69B9" w:rsidRDefault="00EF69B9" w:rsidP="006E08B3">
          <w:r>
            <w:t>For submission made by individuals, all personal details, other than your name, will be removed from your submission before it is published on the TGA’s Internet site.</w:t>
          </w:r>
        </w:p>
        <w:p w14:paraId="259E92D0" w14:textId="77777777" w:rsidR="00EF69B9" w:rsidRDefault="00EF69B9" w:rsidP="006E08B3"/>
        <w:p w14:paraId="4F72F1E1" w14:textId="77777777" w:rsidR="00EF69B9" w:rsidRDefault="00EF69B9"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EF69B9" w14:paraId="1BD5A1F7" w14:textId="77777777" w:rsidTr="0010601F">
      <w:trPr>
        <w:trHeight w:val="417"/>
      </w:trPr>
      <w:tc>
        <w:tcPr>
          <w:tcW w:w="4519" w:type="dxa"/>
          <w:tcBorders>
            <w:top w:val="single" w:sz="4" w:space="0" w:color="auto"/>
          </w:tcBorders>
          <w:tcMar>
            <w:top w:w="142" w:type="dxa"/>
            <w:bottom w:w="0" w:type="dxa"/>
          </w:tcMar>
        </w:tcPr>
        <w:p w14:paraId="7204B6D2" w14:textId="77777777" w:rsidR="00EF69B9" w:rsidRDefault="00EF69B9" w:rsidP="006E08B3">
          <w:r>
            <w:t>Document title, Part #, Section # - Section title</w:t>
          </w:r>
        </w:p>
        <w:p w14:paraId="39E690B9" w14:textId="77777777" w:rsidR="00EF69B9" w:rsidRDefault="00EF69B9" w:rsidP="006E08B3">
          <w:r>
            <w:t>V1.0 October 2010</w:t>
          </w:r>
        </w:p>
      </w:tc>
      <w:tc>
        <w:tcPr>
          <w:tcW w:w="4356" w:type="dxa"/>
          <w:tcBorders>
            <w:top w:val="single" w:sz="4" w:space="0" w:color="auto"/>
          </w:tcBorders>
          <w:tcMar>
            <w:top w:w="142" w:type="dxa"/>
            <w:bottom w:w="0" w:type="dxa"/>
          </w:tcMar>
        </w:tcPr>
        <w:p w14:paraId="5D4ADB8D" w14:textId="77777777" w:rsidR="00EF69B9" w:rsidRDefault="00EF69B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14:paraId="6DB3503A" w14:textId="77777777" w:rsidR="00EF69B9" w:rsidRDefault="00EF69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C26466" w14:textId="77777777" w:rsidR="00EF69B9" w:rsidRDefault="00EF69B9" w:rsidP="00C40A36">
      <w:pPr>
        <w:spacing w:after="0"/>
      </w:pPr>
      <w:r>
        <w:separator/>
      </w:r>
    </w:p>
  </w:footnote>
  <w:footnote w:type="continuationSeparator" w:id="0">
    <w:p w14:paraId="3AD02859" w14:textId="77777777" w:rsidR="00EF69B9" w:rsidRDefault="00EF69B9" w:rsidP="00C40A36">
      <w:pPr>
        <w:spacing w:after="0"/>
      </w:pPr>
      <w:r>
        <w:continuationSeparator/>
      </w:r>
    </w:p>
  </w:footnote>
  <w:footnote w:id="1">
    <w:p w14:paraId="75DB96FA" w14:textId="6AC7F3D2" w:rsidR="00EF69B9" w:rsidRPr="00EF69B9" w:rsidRDefault="00EF69B9" w:rsidP="00EF69B9">
      <w:pPr>
        <w:pStyle w:val="FootnoteText"/>
      </w:pPr>
      <w:r w:rsidRPr="00EF69B9">
        <w:rPr>
          <w:rStyle w:val="FootnoteReference"/>
          <w:vertAlign w:val="baseline"/>
        </w:rPr>
        <w:footnoteRef/>
      </w:r>
      <w:r w:rsidRPr="00EF69B9">
        <w:t xml:space="preserve"> This application can be seen as an extension of indication. It was submitted as a new biological entity (NBE) for administrative purposes prior to the initial decision for the first </w:t>
      </w:r>
      <w:proofErr w:type="spellStart"/>
      <w:r w:rsidRPr="00EF69B9">
        <w:t>nivolumab</w:t>
      </w:r>
      <w:proofErr w:type="spellEnd"/>
      <w:r w:rsidRPr="00EF69B9">
        <w:t xml:space="preserve"> application, to facilitate earlier review of the data.</w:t>
      </w:r>
    </w:p>
  </w:footnote>
  <w:footnote w:id="2">
    <w:p w14:paraId="33C60CE4" w14:textId="77777777" w:rsidR="00EF69B9" w:rsidRPr="00EF69B9" w:rsidRDefault="00EF69B9" w:rsidP="00EF69B9">
      <w:pPr>
        <w:pStyle w:val="FootnoteText"/>
      </w:pPr>
      <w:r w:rsidRPr="00EF69B9">
        <w:rPr>
          <w:rStyle w:val="FootnoteReference"/>
          <w:vertAlign w:val="baseline"/>
        </w:rPr>
        <w:footnoteRef/>
      </w:r>
      <w:r w:rsidRPr="00EF69B9">
        <w:t xml:space="preserve"> </w:t>
      </w:r>
      <w:proofErr w:type="spellStart"/>
      <w:r w:rsidRPr="00EF69B9">
        <w:t>Escudier</w:t>
      </w:r>
      <w:proofErr w:type="spellEnd"/>
      <w:r w:rsidRPr="00EF69B9">
        <w:t xml:space="preserve"> B et al. Renal cell carcinoma: ESMO Clinical Practice Guidelines for diagnosis, treatment and follow-up Annals of Oncology 25 (Supplement 3): iii 49–iii 56, 2014.</w:t>
      </w:r>
    </w:p>
  </w:footnote>
  <w:footnote w:id="3">
    <w:p w14:paraId="5A5C5AB5" w14:textId="1CCD004F" w:rsidR="00EF69B9" w:rsidRPr="00EF69B9" w:rsidRDefault="00EF69B9" w:rsidP="00EF69B9">
      <w:pPr>
        <w:pStyle w:val="FootnoteText"/>
      </w:pPr>
      <w:r w:rsidRPr="00EF69B9">
        <w:rPr>
          <w:rStyle w:val="FootnoteReference"/>
          <w:vertAlign w:val="baseline"/>
        </w:rPr>
        <w:footnoteRef/>
      </w:r>
      <w:r w:rsidRPr="00EF69B9">
        <w:t xml:space="preserve"> Cancer Australia (website) based on Australian Institute of Health and Welfare data.</w:t>
      </w:r>
    </w:p>
  </w:footnote>
  <w:footnote w:id="4">
    <w:p w14:paraId="174C20D6" w14:textId="77777777" w:rsidR="00EF69B9" w:rsidRPr="00EF69B9" w:rsidRDefault="00EF69B9" w:rsidP="00EF69B9">
      <w:pPr>
        <w:pStyle w:val="FootnoteText"/>
      </w:pPr>
      <w:r w:rsidRPr="00EF69B9">
        <w:rPr>
          <w:rStyle w:val="FootnoteReference"/>
          <w:vertAlign w:val="baseline"/>
        </w:rPr>
        <w:footnoteRef/>
      </w:r>
      <w:r w:rsidRPr="00EF69B9">
        <w:t xml:space="preserve"> Quinn D et al. Renal-Cell Cancer: Targeting an Immune Checkpoint or Multiple Kinases. N </w:t>
      </w:r>
      <w:proofErr w:type="spellStart"/>
      <w:r w:rsidRPr="00EF69B9">
        <w:t>Engl</w:t>
      </w:r>
      <w:proofErr w:type="spellEnd"/>
      <w:r w:rsidRPr="00EF69B9">
        <w:t xml:space="preserve"> J Med 2015; 373:1872-1874.</w:t>
      </w:r>
    </w:p>
  </w:footnote>
  <w:footnote w:id="5">
    <w:p w14:paraId="1E421359" w14:textId="78BCA8CA" w:rsidR="00EF69B9" w:rsidRPr="00075B90" w:rsidRDefault="00EF69B9" w:rsidP="005670DC">
      <w:pPr>
        <w:pStyle w:val="FootnoteText"/>
      </w:pPr>
      <w:r w:rsidRPr="00075B90">
        <w:rPr>
          <w:rStyle w:val="FootnoteReference"/>
          <w:vertAlign w:val="baseline"/>
        </w:rPr>
        <w:footnoteRef/>
      </w:r>
      <w:r w:rsidRPr="00075B90">
        <w:t xml:space="preserve"> Drake C et al. (2014). Breathing new life into immunotherapy: review of melanoma, lung and kidney cancer. Nature Reviews. Clinical Oncology, 11(1), 24–37.</w:t>
      </w:r>
    </w:p>
  </w:footnote>
  <w:footnote w:id="6">
    <w:p w14:paraId="5ABC359B" w14:textId="5AFDE5B2" w:rsidR="00EF69B9" w:rsidRPr="00AA7A13" w:rsidRDefault="00EF69B9" w:rsidP="00AA7A13">
      <w:pPr>
        <w:pStyle w:val="FootnoteText"/>
      </w:pPr>
      <w:r w:rsidRPr="00AA7A13">
        <w:rPr>
          <w:rStyle w:val="FootnoteReference"/>
          <w:vertAlign w:val="baseline"/>
        </w:rPr>
        <w:footnoteRef/>
      </w:r>
      <w:r w:rsidRPr="00AA7A13">
        <w:t xml:space="preserve"> </w:t>
      </w:r>
      <w:proofErr w:type="spellStart"/>
      <w:r w:rsidRPr="00AA7A13">
        <w:t>AusPAR</w:t>
      </w:r>
      <w:proofErr w:type="spellEnd"/>
      <w:r w:rsidRPr="00AA7A13">
        <w:t xml:space="preserve"> for </w:t>
      </w:r>
      <w:proofErr w:type="spellStart"/>
      <w:r w:rsidRPr="00AA7A13">
        <w:t>Opdivo</w:t>
      </w:r>
      <w:proofErr w:type="spellEnd"/>
      <w:r w:rsidRPr="00AA7A13">
        <w:t xml:space="preserve"> </w:t>
      </w:r>
      <w:proofErr w:type="spellStart"/>
      <w:r w:rsidRPr="00AA7A13">
        <w:t>nivolumab</w:t>
      </w:r>
      <w:proofErr w:type="spellEnd"/>
      <w:r w:rsidRPr="00AA7A13">
        <w:t xml:space="preserve"> Bristol-Myers Squibb Australia Pty Ltd. TGA, Canberra: 23 August 2016. Published online: 7 September 2016</w:t>
      </w:r>
    </w:p>
  </w:footnote>
  <w:footnote w:id="7">
    <w:p w14:paraId="0DE1AA66" w14:textId="77777777" w:rsidR="00EF69B9" w:rsidRPr="00AA7A13" w:rsidRDefault="00EF69B9" w:rsidP="00AA7A13">
      <w:pPr>
        <w:pStyle w:val="FootnoteText"/>
      </w:pPr>
      <w:r w:rsidRPr="00AA7A13">
        <w:rPr>
          <w:rStyle w:val="FootnoteReference"/>
          <w:vertAlign w:val="baseline"/>
        </w:rPr>
        <w:footnoteRef/>
      </w:r>
      <w:r w:rsidRPr="00AA7A13">
        <w:t xml:space="preserve"> EMA Guideline on the investigation of pharmacokinetics of therapeutic proteins</w:t>
      </w:r>
    </w:p>
  </w:footnote>
  <w:footnote w:id="8">
    <w:p w14:paraId="468D338C" w14:textId="0696E155" w:rsidR="00EF69B9" w:rsidRPr="00AA7A13" w:rsidRDefault="00EF69B9" w:rsidP="00AA7A13">
      <w:pPr>
        <w:pStyle w:val="FootnoteText"/>
      </w:pPr>
      <w:r w:rsidRPr="00AA7A13">
        <w:rPr>
          <w:rStyle w:val="FootnoteReference"/>
          <w:vertAlign w:val="baseline"/>
        </w:rPr>
        <w:footnoteRef/>
      </w:r>
      <w:r w:rsidRPr="00AA7A13">
        <w:t xml:space="preserve"> Nijkamp F and </w:t>
      </w:r>
      <w:proofErr w:type="spellStart"/>
      <w:r w:rsidRPr="00AA7A13">
        <w:t>Parnham</w:t>
      </w:r>
      <w:proofErr w:type="spellEnd"/>
      <w:r w:rsidRPr="00AA7A13">
        <w:t xml:space="preserve"> M (eds.), Principles of </w:t>
      </w:r>
      <w:proofErr w:type="spellStart"/>
      <w:r w:rsidRPr="00AA7A13">
        <w:t>Immunopharmacology</w:t>
      </w:r>
      <w:proofErr w:type="spellEnd"/>
      <w:r w:rsidRPr="00AA7A13">
        <w:t>: 3rd revised and extended edition; Springer Basel AG 2011.</w:t>
      </w:r>
    </w:p>
  </w:footnote>
  <w:footnote w:id="9">
    <w:p w14:paraId="1D8CE5EA" w14:textId="77777777" w:rsidR="00EF69B9" w:rsidRPr="001434B8" w:rsidRDefault="00EF69B9" w:rsidP="001434B8">
      <w:pPr>
        <w:pStyle w:val="FootnoteText"/>
      </w:pPr>
      <w:r w:rsidRPr="001434B8">
        <w:rPr>
          <w:rStyle w:val="FootnoteReference"/>
          <w:vertAlign w:val="baseline"/>
        </w:rPr>
        <w:footnoteRef/>
      </w:r>
      <w:r w:rsidRPr="001434B8">
        <w:t xml:space="preserve"> Australian Product Information (PI) for </w:t>
      </w:r>
      <w:proofErr w:type="spellStart"/>
      <w:r w:rsidRPr="001434B8">
        <w:t>everolimus</w:t>
      </w:r>
      <w:proofErr w:type="spellEnd"/>
      <w:r w:rsidRPr="001434B8">
        <w:t xml:space="preserve">. </w:t>
      </w:r>
      <w:proofErr w:type="gramStart"/>
      <w:r w:rsidRPr="001434B8">
        <w:t>Via the TGA website, April 2016.</w:t>
      </w:r>
      <w:proofErr w:type="gramEnd"/>
    </w:p>
  </w:footnote>
  <w:footnote w:id="10">
    <w:p w14:paraId="58AD9412" w14:textId="59937134" w:rsidR="00EF69B9" w:rsidRPr="00C01694" w:rsidRDefault="00EF69B9" w:rsidP="00C01694">
      <w:pPr>
        <w:pStyle w:val="FootnoteText"/>
      </w:pPr>
      <w:r w:rsidRPr="00C01694">
        <w:rPr>
          <w:rStyle w:val="FootnoteReference"/>
          <w:vertAlign w:val="baseline"/>
        </w:rPr>
        <w:footnoteRef/>
      </w:r>
      <w:r w:rsidRPr="00C01694">
        <w:t xml:space="preserve"> The ACM was established in January 2017, to encompass pre and post-market advice for medicines, following the consolidation of the previous functions of the Advisory Committee on Prescription Medicines (ACPM), the Advisory Committee on the Safety of Medicines (ACSOM) and the Advisory Committee on Non-Prescription Medicines (ACNM).</w:t>
      </w:r>
    </w:p>
  </w:footnote>
  <w:footnote w:id="11">
    <w:p w14:paraId="77D74678" w14:textId="267B4251" w:rsidR="00EF69B9" w:rsidRPr="00C01694" w:rsidRDefault="00EF69B9" w:rsidP="00C01694">
      <w:pPr>
        <w:pStyle w:val="FootnoteText"/>
      </w:pPr>
      <w:r w:rsidRPr="00C01694">
        <w:rPr>
          <w:rStyle w:val="FootnoteReference"/>
          <w:vertAlign w:val="baseline"/>
        </w:rPr>
        <w:footnoteRef/>
      </w:r>
      <w:r w:rsidRPr="00C01694">
        <w:t xml:space="preserve"> </w:t>
      </w:r>
      <w:proofErr w:type="gramStart"/>
      <w:r w:rsidRPr="00C01694">
        <w:t>Naidoo et al. Toxicities of the anti-PD-1 and anti-PD-L1 immune checkpoint antibodies.</w:t>
      </w:r>
      <w:proofErr w:type="gramEnd"/>
      <w:r w:rsidRPr="00C01694">
        <w:t xml:space="preserve">  Annals of Oncology (2015) 26 (12): 2375-2391).</w:t>
      </w:r>
    </w:p>
  </w:footnote>
  <w:footnote w:id="12">
    <w:p w14:paraId="7D70F696" w14:textId="5E705AF2" w:rsidR="00EF69B9" w:rsidRPr="00C01694" w:rsidRDefault="00EF69B9" w:rsidP="00C01694">
      <w:pPr>
        <w:pStyle w:val="FootnoteText"/>
      </w:pPr>
      <w:r w:rsidRPr="00C01694">
        <w:rPr>
          <w:rStyle w:val="FootnoteReference"/>
          <w:vertAlign w:val="baseline"/>
        </w:rPr>
        <w:footnoteRef/>
      </w:r>
      <w:r w:rsidRPr="00C01694">
        <w:t xml:space="preserve"> </w:t>
      </w:r>
      <w:proofErr w:type="spellStart"/>
      <w:r w:rsidRPr="00C01694">
        <w:t>Loochtan</w:t>
      </w:r>
      <w:proofErr w:type="spellEnd"/>
      <w:r w:rsidRPr="00C01694">
        <w:t xml:space="preserve"> et al. Myasthenia gravis associated with </w:t>
      </w:r>
      <w:proofErr w:type="spellStart"/>
      <w:r w:rsidRPr="00C01694">
        <w:t>ipilimumab</w:t>
      </w:r>
      <w:proofErr w:type="spellEnd"/>
      <w:r w:rsidRPr="00C01694">
        <w:t xml:space="preserve"> and </w:t>
      </w:r>
      <w:proofErr w:type="spellStart"/>
      <w:r w:rsidRPr="00C01694">
        <w:t>nivolumab</w:t>
      </w:r>
      <w:proofErr w:type="spellEnd"/>
      <w:r w:rsidRPr="00C01694">
        <w:t xml:space="preserve"> in the treatment of small cell lung cancer. Muscle and Nerve 2015; 14 May 2015.</w:t>
      </w:r>
    </w:p>
  </w:footnote>
  <w:footnote w:id="13">
    <w:p w14:paraId="544D1B6E" w14:textId="4CC37697" w:rsidR="00EF69B9" w:rsidRPr="00C01694" w:rsidRDefault="00EF69B9" w:rsidP="00C01694">
      <w:pPr>
        <w:pStyle w:val="FootnoteText"/>
      </w:pPr>
      <w:r w:rsidRPr="00C01694">
        <w:rPr>
          <w:rStyle w:val="FootnoteReference"/>
          <w:vertAlign w:val="baseline"/>
        </w:rPr>
        <w:footnoteRef/>
      </w:r>
      <w:r w:rsidRPr="00C01694">
        <w:t xml:space="preserve"> </w:t>
      </w:r>
      <w:proofErr w:type="spellStart"/>
      <w:r w:rsidRPr="00C01694">
        <w:t>Valenca</w:t>
      </w:r>
      <w:proofErr w:type="spellEnd"/>
      <w:r w:rsidRPr="00C01694">
        <w:t xml:space="preserve"> L et al. Non-clear cell non–clear cell renal cell carcinoma, part 2: therapy. </w:t>
      </w:r>
      <w:proofErr w:type="gramStart"/>
      <w:r w:rsidRPr="00C01694">
        <w:t xml:space="preserve">Clinical Advances in </w:t>
      </w:r>
      <w:proofErr w:type="spellStart"/>
      <w:r w:rsidRPr="00C01694">
        <w:t>Hematology</w:t>
      </w:r>
      <w:proofErr w:type="spellEnd"/>
      <w:r w:rsidRPr="00C01694">
        <w:t xml:space="preserve"> &amp; Oncology.</w:t>
      </w:r>
      <w:proofErr w:type="gramEnd"/>
      <w:r w:rsidRPr="00C01694">
        <w:t xml:space="preserve"> 2015</w:t>
      </w:r>
      <w:proofErr w:type="gramStart"/>
      <w:r w:rsidRPr="00C01694">
        <w:t>;13</w:t>
      </w:r>
      <w:proofErr w:type="gramEnd"/>
      <w:r w:rsidRPr="00C01694">
        <w:t>(6):383-91.</w:t>
      </w:r>
    </w:p>
  </w:footnote>
  <w:footnote w:id="14">
    <w:p w14:paraId="2233FECE" w14:textId="193A28AF" w:rsidR="00EF69B9" w:rsidRPr="009B090D" w:rsidRDefault="00EF69B9" w:rsidP="009B090D">
      <w:pPr>
        <w:pStyle w:val="FootnoteText"/>
      </w:pPr>
      <w:r w:rsidRPr="009B090D">
        <w:rPr>
          <w:rStyle w:val="FootnoteReference"/>
          <w:vertAlign w:val="baseline"/>
        </w:rPr>
        <w:footnoteRef/>
      </w:r>
      <w:r w:rsidRPr="009B090D">
        <w:t xml:space="preserve"> Seymour C et al. Assessment of clinical criteria for sepsis: for the Third International Consensus Definitions for sepsis and septic shock (Sepsis-3). </w:t>
      </w:r>
      <w:proofErr w:type="gramStart"/>
      <w:r w:rsidRPr="009B090D">
        <w:t>JAMA.</w:t>
      </w:r>
      <w:proofErr w:type="gramEnd"/>
      <w:r w:rsidRPr="009B090D">
        <w:t xml:space="preserve"> 2016</w:t>
      </w:r>
      <w:proofErr w:type="gramStart"/>
      <w:r w:rsidRPr="009B090D">
        <w:t>;315</w:t>
      </w:r>
      <w:proofErr w:type="gramEnd"/>
      <w:r w:rsidRPr="009B090D">
        <w:t xml:space="preserve">(8):762-74.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50E4C" w14:textId="77777777" w:rsidR="00EF69B9" w:rsidRDefault="00EF69B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12DD2" w14:textId="77777777" w:rsidR="00EF69B9" w:rsidRDefault="00EF69B9">
    <w:pPr>
      <w:rPr>
        <w:noProof/>
        <w:lang w:eastAsia="en-AU"/>
      </w:rPr>
    </w:pPr>
    <w:r w:rsidRPr="00347824">
      <w:rPr>
        <w:noProof/>
        <w:lang w:eastAsia="en-AU"/>
      </w:rPr>
      <w:drawing>
        <wp:anchor distT="0" distB="0" distL="114300" distR="114300" simplePos="0" relativeHeight="251659264" behindDoc="1" locked="0" layoutInCell="1" allowOverlap="1" wp14:anchorId="50A2D478" wp14:editId="11BDE4FA">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727BC0F" w14:textId="77777777" w:rsidR="00EF69B9" w:rsidRDefault="00EF69B9" w:rsidP="00593AD1">
    <w:pPr>
      <w:pStyle w:val="HeaderNoLine"/>
    </w:pPr>
    <w:r>
      <w:rPr>
        <w:noProof/>
        <w:lang w:eastAsia="en-AU"/>
      </w:rPr>
      <w:drawing>
        <wp:inline distT="0" distB="0" distL="0" distR="0" wp14:anchorId="3D05F515" wp14:editId="2897EB31">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CA1F2" w14:textId="77777777" w:rsidR="00EF69B9" w:rsidRDefault="00EF69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BBD3C" w14:textId="77777777" w:rsidR="00EF69B9" w:rsidRDefault="00EF69B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A7449" w14:textId="77777777" w:rsidR="00EF69B9" w:rsidRDefault="00EF69B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16B41" w14:textId="77777777" w:rsidR="00EF69B9" w:rsidRDefault="00EF69B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0DFED" w14:textId="77777777" w:rsidR="00EF69B9" w:rsidRDefault="00EF69B9"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4F2E8" w14:textId="77777777" w:rsidR="00EF69B9" w:rsidRDefault="00EF69B9" w:rsidP="006E08B3">
    <w:r>
      <w:t>Therapeutic Goods Administration</w:t>
    </w:r>
  </w:p>
  <w:p w14:paraId="52A77C48" w14:textId="77777777" w:rsidR="00EF69B9" w:rsidRDefault="00EF69B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C96555"/>
    <w:multiLevelType w:val="hybridMultilevel"/>
    <w:tmpl w:val="6A281022"/>
    <w:lvl w:ilvl="0" w:tplc="D7A2DB20">
      <w:numFmt w:val="bullet"/>
      <w:lvlText w:val=""/>
      <w:lvlJc w:val="left"/>
      <w:pPr>
        <w:ind w:left="360" w:hanging="360"/>
      </w:pPr>
      <w:rPr>
        <w:rFonts w:ascii="Wingdings" w:eastAsia="MS Mincho" w:hAnsi="Wingdings"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1355824"/>
    <w:multiLevelType w:val="hybridMultilevel"/>
    <w:tmpl w:val="39A254E0"/>
    <w:lvl w:ilvl="0" w:tplc="0C090011">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36F471B7"/>
    <w:multiLevelType w:val="hybridMultilevel"/>
    <w:tmpl w:val="8CDE8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8292AD4"/>
    <w:multiLevelType w:val="multilevel"/>
    <w:tmpl w:val="7110D424"/>
    <w:styleLink w:val="Headings"/>
    <w:lvl w:ilvl="0">
      <w:start w:val="1"/>
      <w:numFmt w:val="decimal"/>
      <w:suff w:val="space"/>
      <w:lvlText w:val="%1."/>
      <w:lvlJc w:val="left"/>
      <w:pPr>
        <w:ind w:left="357" w:hanging="357"/>
      </w:pPr>
      <w:rPr>
        <w:rFonts w:asciiTheme="majorHAnsi" w:hAnsiTheme="majorHAnsi" w:hint="default"/>
      </w:rPr>
    </w:lvl>
    <w:lvl w:ilvl="1">
      <w:start w:val="1"/>
      <w:numFmt w:val="decimal"/>
      <w:suff w:val="space"/>
      <w:lvlText w:val="%1.%2."/>
      <w:lvlJc w:val="left"/>
      <w:pPr>
        <w:ind w:left="783" w:hanging="357"/>
      </w:pPr>
      <w:rPr>
        <w:rFonts w:asciiTheme="majorHAnsi" w:hAnsiTheme="majorHAnsi" w:hint="default"/>
      </w:rPr>
    </w:lvl>
    <w:lvl w:ilvl="2">
      <w:start w:val="1"/>
      <w:numFmt w:val="decimal"/>
      <w:suff w:val="space"/>
      <w:lvlText w:val="%1.%2.%3."/>
      <w:lvlJc w:val="left"/>
      <w:pPr>
        <w:ind w:left="357" w:hanging="357"/>
      </w:pPr>
      <w:rPr>
        <w:rFonts w:asciiTheme="majorHAnsi" w:hAnsiTheme="majorHAnsi" w:hint="default"/>
      </w:rPr>
    </w:lvl>
    <w:lvl w:ilvl="3">
      <w:start w:val="1"/>
      <w:numFmt w:val="decimal"/>
      <w:suff w:val="space"/>
      <w:lvlText w:val="%1.%2.%3.%4."/>
      <w:lvlJc w:val="left"/>
      <w:pPr>
        <w:ind w:left="357" w:hanging="357"/>
      </w:pPr>
      <w:rPr>
        <w:rFonts w:asciiTheme="majorHAnsi" w:hAnsiTheme="majorHAnsi"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7">
    <w:nsid w:val="40E712B6"/>
    <w:multiLevelType w:val="hybridMultilevel"/>
    <w:tmpl w:val="0F56B4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41A63238"/>
    <w:multiLevelType w:val="hybridMultilevel"/>
    <w:tmpl w:val="DCAA23C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421312BF"/>
    <w:multiLevelType w:val="hybridMultilevel"/>
    <w:tmpl w:val="2F288C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533A1F5F"/>
    <w:multiLevelType w:val="hybridMultilevel"/>
    <w:tmpl w:val="69B6E2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5D8503DE"/>
    <w:multiLevelType w:val="hybridMultilevel"/>
    <w:tmpl w:val="2A7AD75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5FE77E6B"/>
    <w:multiLevelType w:val="hybridMultilevel"/>
    <w:tmpl w:val="5598411A"/>
    <w:lvl w:ilvl="0" w:tplc="D7A2DB20">
      <w:numFmt w:val="bullet"/>
      <w:lvlText w:val=""/>
      <w:lvlJc w:val="left"/>
      <w:pPr>
        <w:ind w:left="360" w:hanging="360"/>
      </w:pPr>
      <w:rPr>
        <w:rFonts w:ascii="Wingdings" w:eastAsia="MS Mincho" w:hAnsi="Wingdings"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660236F0"/>
    <w:multiLevelType w:val="hybridMultilevel"/>
    <w:tmpl w:val="DCAA23C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797555E1"/>
    <w:multiLevelType w:val="hybridMultilevel"/>
    <w:tmpl w:val="DDF499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4"/>
  </w:num>
  <w:num w:numId="4">
    <w:abstractNumId w:val="2"/>
  </w:num>
  <w:num w:numId="5">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6">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7">
    <w:abstractNumId w:val="7"/>
  </w:num>
  <w:num w:numId="8">
    <w:abstractNumId w:val="10"/>
  </w:num>
  <w:num w:numId="9">
    <w:abstractNumId w:val="5"/>
  </w:num>
  <w:num w:numId="10">
    <w:abstractNumId w:val="9"/>
  </w:num>
  <w:num w:numId="11">
    <w:abstractNumId w:val="1"/>
  </w:num>
  <w:num w:numId="12">
    <w:abstractNumId w:val="12"/>
  </w:num>
  <w:num w:numId="13">
    <w:abstractNumId w:val="3"/>
  </w:num>
  <w:num w:numId="14">
    <w:abstractNumId w:val="14"/>
  </w:num>
  <w:num w:numId="15">
    <w:abstractNumId w:val="13"/>
  </w:num>
  <w:num w:numId="16">
    <w:abstractNumId w:val="8"/>
  </w:num>
  <w:num w:numId="17">
    <w:abstractNumId w:val="11"/>
  </w:num>
  <w:num w:numId="18">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0">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0A3"/>
    <w:rsid w:val="00002031"/>
    <w:rsid w:val="00003BD9"/>
    <w:rsid w:val="00004734"/>
    <w:rsid w:val="00006B22"/>
    <w:rsid w:val="0001276A"/>
    <w:rsid w:val="000246AE"/>
    <w:rsid w:val="00025C67"/>
    <w:rsid w:val="00043B9D"/>
    <w:rsid w:val="00044772"/>
    <w:rsid w:val="00045AC2"/>
    <w:rsid w:val="0005559E"/>
    <w:rsid w:val="000604D6"/>
    <w:rsid w:val="00063287"/>
    <w:rsid w:val="000734D8"/>
    <w:rsid w:val="00075B90"/>
    <w:rsid w:val="00077775"/>
    <w:rsid w:val="00090471"/>
    <w:rsid w:val="00096AA7"/>
    <w:rsid w:val="00096ED1"/>
    <w:rsid w:val="000A3AED"/>
    <w:rsid w:val="000A5371"/>
    <w:rsid w:val="000A6898"/>
    <w:rsid w:val="000B3532"/>
    <w:rsid w:val="000B3A75"/>
    <w:rsid w:val="000C00C2"/>
    <w:rsid w:val="000C690F"/>
    <w:rsid w:val="000D1295"/>
    <w:rsid w:val="000D391B"/>
    <w:rsid w:val="000D3D6D"/>
    <w:rsid w:val="000D4FC7"/>
    <w:rsid w:val="000E28FD"/>
    <w:rsid w:val="000E4CDF"/>
    <w:rsid w:val="000E6196"/>
    <w:rsid w:val="000F4869"/>
    <w:rsid w:val="000F4ABA"/>
    <w:rsid w:val="000F5B42"/>
    <w:rsid w:val="000F6E6F"/>
    <w:rsid w:val="0010601F"/>
    <w:rsid w:val="0010788A"/>
    <w:rsid w:val="00107A31"/>
    <w:rsid w:val="00107C5F"/>
    <w:rsid w:val="00110EA5"/>
    <w:rsid w:val="001118CF"/>
    <w:rsid w:val="00112F56"/>
    <w:rsid w:val="00114CFD"/>
    <w:rsid w:val="00124A98"/>
    <w:rsid w:val="00125318"/>
    <w:rsid w:val="001305A2"/>
    <w:rsid w:val="00133238"/>
    <w:rsid w:val="00133A1B"/>
    <w:rsid w:val="0014197B"/>
    <w:rsid w:val="001434B8"/>
    <w:rsid w:val="001447CD"/>
    <w:rsid w:val="001516B1"/>
    <w:rsid w:val="001546AD"/>
    <w:rsid w:val="00154EBB"/>
    <w:rsid w:val="00156316"/>
    <w:rsid w:val="00161181"/>
    <w:rsid w:val="00162D14"/>
    <w:rsid w:val="00165389"/>
    <w:rsid w:val="0017693F"/>
    <w:rsid w:val="00177FA5"/>
    <w:rsid w:val="0018110E"/>
    <w:rsid w:val="00181684"/>
    <w:rsid w:val="001843C6"/>
    <w:rsid w:val="001850E0"/>
    <w:rsid w:val="00192D92"/>
    <w:rsid w:val="001A2158"/>
    <w:rsid w:val="001A45AE"/>
    <w:rsid w:val="001A525F"/>
    <w:rsid w:val="001A6275"/>
    <w:rsid w:val="001B0010"/>
    <w:rsid w:val="001B09F9"/>
    <w:rsid w:val="001B5C90"/>
    <w:rsid w:val="001B6448"/>
    <w:rsid w:val="001B6E0E"/>
    <w:rsid w:val="001B74CD"/>
    <w:rsid w:val="001C32CD"/>
    <w:rsid w:val="001D2984"/>
    <w:rsid w:val="001E07CF"/>
    <w:rsid w:val="001E59F1"/>
    <w:rsid w:val="001F2CEE"/>
    <w:rsid w:val="001F49EB"/>
    <w:rsid w:val="001F6CBA"/>
    <w:rsid w:val="00201D4E"/>
    <w:rsid w:val="00206EBB"/>
    <w:rsid w:val="002076C9"/>
    <w:rsid w:val="00220B8A"/>
    <w:rsid w:val="002257F3"/>
    <w:rsid w:val="002268AA"/>
    <w:rsid w:val="002279A9"/>
    <w:rsid w:val="00233456"/>
    <w:rsid w:val="002339A5"/>
    <w:rsid w:val="0023466A"/>
    <w:rsid w:val="00236985"/>
    <w:rsid w:val="00240615"/>
    <w:rsid w:val="00244BAC"/>
    <w:rsid w:val="002454D3"/>
    <w:rsid w:val="00245959"/>
    <w:rsid w:val="00246FBD"/>
    <w:rsid w:val="00257688"/>
    <w:rsid w:val="00257848"/>
    <w:rsid w:val="0027084A"/>
    <w:rsid w:val="00286434"/>
    <w:rsid w:val="00286C59"/>
    <w:rsid w:val="0028792A"/>
    <w:rsid w:val="00291957"/>
    <w:rsid w:val="002942D1"/>
    <w:rsid w:val="0029501A"/>
    <w:rsid w:val="00295DD3"/>
    <w:rsid w:val="00296591"/>
    <w:rsid w:val="002A3721"/>
    <w:rsid w:val="002A7918"/>
    <w:rsid w:val="002B1638"/>
    <w:rsid w:val="002B3624"/>
    <w:rsid w:val="002C580A"/>
    <w:rsid w:val="002C6914"/>
    <w:rsid w:val="002D0952"/>
    <w:rsid w:val="002E40B3"/>
    <w:rsid w:val="002E4C9A"/>
    <w:rsid w:val="002E4D46"/>
    <w:rsid w:val="002F11F8"/>
    <w:rsid w:val="002F2661"/>
    <w:rsid w:val="002F2823"/>
    <w:rsid w:val="002F3F56"/>
    <w:rsid w:val="002F44B5"/>
    <w:rsid w:val="00302224"/>
    <w:rsid w:val="00311AC0"/>
    <w:rsid w:val="00312822"/>
    <w:rsid w:val="003176FC"/>
    <w:rsid w:val="00323735"/>
    <w:rsid w:val="00324BBB"/>
    <w:rsid w:val="003257FC"/>
    <w:rsid w:val="0032583B"/>
    <w:rsid w:val="00327883"/>
    <w:rsid w:val="0033050B"/>
    <w:rsid w:val="00331F55"/>
    <w:rsid w:val="00335504"/>
    <w:rsid w:val="00340C18"/>
    <w:rsid w:val="003442FD"/>
    <w:rsid w:val="00347824"/>
    <w:rsid w:val="00350567"/>
    <w:rsid w:val="0035115E"/>
    <w:rsid w:val="003521E8"/>
    <w:rsid w:val="00353238"/>
    <w:rsid w:val="0035342C"/>
    <w:rsid w:val="00364BD1"/>
    <w:rsid w:val="00370CE3"/>
    <w:rsid w:val="003728F3"/>
    <w:rsid w:val="0037496E"/>
    <w:rsid w:val="0037666F"/>
    <w:rsid w:val="00383221"/>
    <w:rsid w:val="00386150"/>
    <w:rsid w:val="003874CE"/>
    <w:rsid w:val="00390900"/>
    <w:rsid w:val="003915CC"/>
    <w:rsid w:val="003917B8"/>
    <w:rsid w:val="00392B43"/>
    <w:rsid w:val="003A4205"/>
    <w:rsid w:val="003A7F6C"/>
    <w:rsid w:val="003B0439"/>
    <w:rsid w:val="003B4D60"/>
    <w:rsid w:val="003B7E39"/>
    <w:rsid w:val="003C0FA9"/>
    <w:rsid w:val="003C58DC"/>
    <w:rsid w:val="003C6F82"/>
    <w:rsid w:val="003D1E62"/>
    <w:rsid w:val="003D26F9"/>
    <w:rsid w:val="003E0B99"/>
    <w:rsid w:val="003E1144"/>
    <w:rsid w:val="003E2486"/>
    <w:rsid w:val="003E3208"/>
    <w:rsid w:val="003E6F83"/>
    <w:rsid w:val="003F0B04"/>
    <w:rsid w:val="003F62FF"/>
    <w:rsid w:val="0040134E"/>
    <w:rsid w:val="0040193E"/>
    <w:rsid w:val="004024B1"/>
    <w:rsid w:val="004073E3"/>
    <w:rsid w:val="00412685"/>
    <w:rsid w:val="004270A3"/>
    <w:rsid w:val="004334C7"/>
    <w:rsid w:val="004351A8"/>
    <w:rsid w:val="00440A2D"/>
    <w:rsid w:val="00441C3F"/>
    <w:rsid w:val="00444D6E"/>
    <w:rsid w:val="004553EF"/>
    <w:rsid w:val="004564A7"/>
    <w:rsid w:val="00460C53"/>
    <w:rsid w:val="004617BF"/>
    <w:rsid w:val="00463658"/>
    <w:rsid w:val="004637A0"/>
    <w:rsid w:val="004722CC"/>
    <w:rsid w:val="00487CFD"/>
    <w:rsid w:val="00492E0B"/>
    <w:rsid w:val="004936E4"/>
    <w:rsid w:val="00494E60"/>
    <w:rsid w:val="00497487"/>
    <w:rsid w:val="004A6189"/>
    <w:rsid w:val="004A6A76"/>
    <w:rsid w:val="004A7390"/>
    <w:rsid w:val="004B1DA1"/>
    <w:rsid w:val="004B7B76"/>
    <w:rsid w:val="004B7D4D"/>
    <w:rsid w:val="004C1459"/>
    <w:rsid w:val="004C239D"/>
    <w:rsid w:val="004C2DCA"/>
    <w:rsid w:val="004C61D2"/>
    <w:rsid w:val="004C6634"/>
    <w:rsid w:val="004D2331"/>
    <w:rsid w:val="004D3211"/>
    <w:rsid w:val="004D76FB"/>
    <w:rsid w:val="004F0C4A"/>
    <w:rsid w:val="004F0CF6"/>
    <w:rsid w:val="004F0F38"/>
    <w:rsid w:val="004F47D6"/>
    <w:rsid w:val="005012D5"/>
    <w:rsid w:val="00501921"/>
    <w:rsid w:val="00511C2A"/>
    <w:rsid w:val="00530354"/>
    <w:rsid w:val="00530D9F"/>
    <w:rsid w:val="0053625B"/>
    <w:rsid w:val="00536473"/>
    <w:rsid w:val="0053795E"/>
    <w:rsid w:val="005434C6"/>
    <w:rsid w:val="00543B39"/>
    <w:rsid w:val="0054500C"/>
    <w:rsid w:val="00546154"/>
    <w:rsid w:val="00550096"/>
    <w:rsid w:val="00555280"/>
    <w:rsid w:val="00557FF9"/>
    <w:rsid w:val="00562327"/>
    <w:rsid w:val="00562F04"/>
    <w:rsid w:val="005670DC"/>
    <w:rsid w:val="005711D5"/>
    <w:rsid w:val="00576378"/>
    <w:rsid w:val="00577130"/>
    <w:rsid w:val="00577945"/>
    <w:rsid w:val="00577E38"/>
    <w:rsid w:val="00580B00"/>
    <w:rsid w:val="0058502F"/>
    <w:rsid w:val="00585322"/>
    <w:rsid w:val="005857C6"/>
    <w:rsid w:val="00590835"/>
    <w:rsid w:val="00591F57"/>
    <w:rsid w:val="00592F6E"/>
    <w:rsid w:val="00593AD1"/>
    <w:rsid w:val="005A67E8"/>
    <w:rsid w:val="005A68B6"/>
    <w:rsid w:val="005A799E"/>
    <w:rsid w:val="005B6C88"/>
    <w:rsid w:val="005C2A2D"/>
    <w:rsid w:val="005C5570"/>
    <w:rsid w:val="005C718B"/>
    <w:rsid w:val="005C71C8"/>
    <w:rsid w:val="005C79A4"/>
    <w:rsid w:val="005D0CDE"/>
    <w:rsid w:val="005D5442"/>
    <w:rsid w:val="005E7BBE"/>
    <w:rsid w:val="005F2E16"/>
    <w:rsid w:val="00600A5A"/>
    <w:rsid w:val="00603F32"/>
    <w:rsid w:val="00605862"/>
    <w:rsid w:val="00605AD4"/>
    <w:rsid w:val="00611EC9"/>
    <w:rsid w:val="006136D7"/>
    <w:rsid w:val="006204B6"/>
    <w:rsid w:val="00625A6E"/>
    <w:rsid w:val="00632398"/>
    <w:rsid w:val="00636B6C"/>
    <w:rsid w:val="0063797E"/>
    <w:rsid w:val="00640FBC"/>
    <w:rsid w:val="00640FC3"/>
    <w:rsid w:val="00642020"/>
    <w:rsid w:val="00642700"/>
    <w:rsid w:val="006458C4"/>
    <w:rsid w:val="00646CC0"/>
    <w:rsid w:val="00651475"/>
    <w:rsid w:val="0065337B"/>
    <w:rsid w:val="0065419D"/>
    <w:rsid w:val="006541DF"/>
    <w:rsid w:val="006604D8"/>
    <w:rsid w:val="00663454"/>
    <w:rsid w:val="0066352C"/>
    <w:rsid w:val="00664A5B"/>
    <w:rsid w:val="00665BDF"/>
    <w:rsid w:val="0066735C"/>
    <w:rsid w:val="006763D2"/>
    <w:rsid w:val="0067702D"/>
    <w:rsid w:val="00680C08"/>
    <w:rsid w:val="006915F8"/>
    <w:rsid w:val="006916A0"/>
    <w:rsid w:val="00692A02"/>
    <w:rsid w:val="006931B1"/>
    <w:rsid w:val="006A15C0"/>
    <w:rsid w:val="006A5993"/>
    <w:rsid w:val="006A6E13"/>
    <w:rsid w:val="006B34B9"/>
    <w:rsid w:val="006C3E2A"/>
    <w:rsid w:val="006C642F"/>
    <w:rsid w:val="006D03E5"/>
    <w:rsid w:val="006D2AA4"/>
    <w:rsid w:val="006D5D3E"/>
    <w:rsid w:val="006E08B3"/>
    <w:rsid w:val="006F17AC"/>
    <w:rsid w:val="006F25B8"/>
    <w:rsid w:val="006F5523"/>
    <w:rsid w:val="006F572E"/>
    <w:rsid w:val="006F65DC"/>
    <w:rsid w:val="007046D6"/>
    <w:rsid w:val="00704F9C"/>
    <w:rsid w:val="00705DB0"/>
    <w:rsid w:val="00722B57"/>
    <w:rsid w:val="00727A66"/>
    <w:rsid w:val="00730F8A"/>
    <w:rsid w:val="00735A8C"/>
    <w:rsid w:val="0074253D"/>
    <w:rsid w:val="0074429B"/>
    <w:rsid w:val="007615BC"/>
    <w:rsid w:val="00762F05"/>
    <w:rsid w:val="007652FF"/>
    <w:rsid w:val="00770CAC"/>
    <w:rsid w:val="00770EF1"/>
    <w:rsid w:val="00772A5D"/>
    <w:rsid w:val="00773EF7"/>
    <w:rsid w:val="00774E1D"/>
    <w:rsid w:val="007765D8"/>
    <w:rsid w:val="0077675A"/>
    <w:rsid w:val="00777403"/>
    <w:rsid w:val="00780355"/>
    <w:rsid w:val="007816FD"/>
    <w:rsid w:val="007819FD"/>
    <w:rsid w:val="00785717"/>
    <w:rsid w:val="00785721"/>
    <w:rsid w:val="0079155B"/>
    <w:rsid w:val="0079222E"/>
    <w:rsid w:val="00793A59"/>
    <w:rsid w:val="00795348"/>
    <w:rsid w:val="007A0934"/>
    <w:rsid w:val="007B6132"/>
    <w:rsid w:val="007B6E9F"/>
    <w:rsid w:val="007C1216"/>
    <w:rsid w:val="007C1AF7"/>
    <w:rsid w:val="007C6B9B"/>
    <w:rsid w:val="007C76BE"/>
    <w:rsid w:val="007D40DF"/>
    <w:rsid w:val="007F05FE"/>
    <w:rsid w:val="00804713"/>
    <w:rsid w:val="00805855"/>
    <w:rsid w:val="00805D27"/>
    <w:rsid w:val="00806DCB"/>
    <w:rsid w:val="00811AA3"/>
    <w:rsid w:val="0081576D"/>
    <w:rsid w:val="0082062D"/>
    <w:rsid w:val="00821776"/>
    <w:rsid w:val="008321F5"/>
    <w:rsid w:val="00832369"/>
    <w:rsid w:val="00834660"/>
    <w:rsid w:val="0083688E"/>
    <w:rsid w:val="00836BC2"/>
    <w:rsid w:val="00841321"/>
    <w:rsid w:val="008413BA"/>
    <w:rsid w:val="0085156D"/>
    <w:rsid w:val="0085222C"/>
    <w:rsid w:val="00854DC3"/>
    <w:rsid w:val="0085641B"/>
    <w:rsid w:val="00857136"/>
    <w:rsid w:val="00875A6B"/>
    <w:rsid w:val="00885B11"/>
    <w:rsid w:val="00886D15"/>
    <w:rsid w:val="00887CA4"/>
    <w:rsid w:val="00887DD8"/>
    <w:rsid w:val="008914EA"/>
    <w:rsid w:val="00891BA9"/>
    <w:rsid w:val="00896018"/>
    <w:rsid w:val="008960DD"/>
    <w:rsid w:val="0089635C"/>
    <w:rsid w:val="0089792C"/>
    <w:rsid w:val="008A24EC"/>
    <w:rsid w:val="008A2B9D"/>
    <w:rsid w:val="008A3D9F"/>
    <w:rsid w:val="008A5E0B"/>
    <w:rsid w:val="008A6D59"/>
    <w:rsid w:val="008A6EEE"/>
    <w:rsid w:val="008A78BF"/>
    <w:rsid w:val="008B2A76"/>
    <w:rsid w:val="008B4B03"/>
    <w:rsid w:val="008B596F"/>
    <w:rsid w:val="008C159F"/>
    <w:rsid w:val="008C1623"/>
    <w:rsid w:val="008C1850"/>
    <w:rsid w:val="008C51A9"/>
    <w:rsid w:val="008D2239"/>
    <w:rsid w:val="008D278D"/>
    <w:rsid w:val="008E4F2D"/>
    <w:rsid w:val="008E7846"/>
    <w:rsid w:val="008F02E5"/>
    <w:rsid w:val="008F1CCC"/>
    <w:rsid w:val="008F2967"/>
    <w:rsid w:val="008F6176"/>
    <w:rsid w:val="008F6943"/>
    <w:rsid w:val="00902A21"/>
    <w:rsid w:val="00920330"/>
    <w:rsid w:val="009219D7"/>
    <w:rsid w:val="00922D53"/>
    <w:rsid w:val="0092383B"/>
    <w:rsid w:val="009239D4"/>
    <w:rsid w:val="00923B70"/>
    <w:rsid w:val="00924482"/>
    <w:rsid w:val="00930237"/>
    <w:rsid w:val="00930D79"/>
    <w:rsid w:val="00937C17"/>
    <w:rsid w:val="00940A89"/>
    <w:rsid w:val="00946EA5"/>
    <w:rsid w:val="00951B86"/>
    <w:rsid w:val="00963C08"/>
    <w:rsid w:val="009752A5"/>
    <w:rsid w:val="009776AE"/>
    <w:rsid w:val="0098585A"/>
    <w:rsid w:val="00987298"/>
    <w:rsid w:val="009A104F"/>
    <w:rsid w:val="009A2450"/>
    <w:rsid w:val="009A4CED"/>
    <w:rsid w:val="009A690D"/>
    <w:rsid w:val="009A77E8"/>
    <w:rsid w:val="009B090D"/>
    <w:rsid w:val="009B1120"/>
    <w:rsid w:val="009B1D12"/>
    <w:rsid w:val="009B416B"/>
    <w:rsid w:val="009B6DCF"/>
    <w:rsid w:val="009C4BD5"/>
    <w:rsid w:val="009C7C1F"/>
    <w:rsid w:val="009D2061"/>
    <w:rsid w:val="009D34A7"/>
    <w:rsid w:val="009D4EBA"/>
    <w:rsid w:val="009D7B77"/>
    <w:rsid w:val="009E0BB0"/>
    <w:rsid w:val="009E1C92"/>
    <w:rsid w:val="009E3FBB"/>
    <w:rsid w:val="009E5E97"/>
    <w:rsid w:val="009E6DBB"/>
    <w:rsid w:val="009F0655"/>
    <w:rsid w:val="009F3A7D"/>
    <w:rsid w:val="009F7353"/>
    <w:rsid w:val="00A04F85"/>
    <w:rsid w:val="00A05FA4"/>
    <w:rsid w:val="00A102E4"/>
    <w:rsid w:val="00A12C42"/>
    <w:rsid w:val="00A14DF7"/>
    <w:rsid w:val="00A200C4"/>
    <w:rsid w:val="00A21077"/>
    <w:rsid w:val="00A311E0"/>
    <w:rsid w:val="00A313C0"/>
    <w:rsid w:val="00A3246D"/>
    <w:rsid w:val="00A36FA7"/>
    <w:rsid w:val="00A44DDB"/>
    <w:rsid w:val="00A475B7"/>
    <w:rsid w:val="00A47AF7"/>
    <w:rsid w:val="00A47C3E"/>
    <w:rsid w:val="00A50226"/>
    <w:rsid w:val="00A60BAD"/>
    <w:rsid w:val="00A71B7F"/>
    <w:rsid w:val="00A80B5B"/>
    <w:rsid w:val="00A80C2A"/>
    <w:rsid w:val="00A84E36"/>
    <w:rsid w:val="00A93112"/>
    <w:rsid w:val="00A964D1"/>
    <w:rsid w:val="00AA0ED0"/>
    <w:rsid w:val="00AA7A13"/>
    <w:rsid w:val="00AB2A32"/>
    <w:rsid w:val="00AB4D4A"/>
    <w:rsid w:val="00AC2B40"/>
    <w:rsid w:val="00AC2BB2"/>
    <w:rsid w:val="00AC2C3C"/>
    <w:rsid w:val="00AC512D"/>
    <w:rsid w:val="00AD0083"/>
    <w:rsid w:val="00AD3935"/>
    <w:rsid w:val="00AD45CA"/>
    <w:rsid w:val="00AD4CB8"/>
    <w:rsid w:val="00AD712A"/>
    <w:rsid w:val="00AE2EF0"/>
    <w:rsid w:val="00AE2FFF"/>
    <w:rsid w:val="00AE5322"/>
    <w:rsid w:val="00AE5BBA"/>
    <w:rsid w:val="00AE65EB"/>
    <w:rsid w:val="00AE67A7"/>
    <w:rsid w:val="00AE7842"/>
    <w:rsid w:val="00AE7AFD"/>
    <w:rsid w:val="00AF0BB6"/>
    <w:rsid w:val="00AF1D94"/>
    <w:rsid w:val="00AF569E"/>
    <w:rsid w:val="00AF60C5"/>
    <w:rsid w:val="00AF6250"/>
    <w:rsid w:val="00B009C6"/>
    <w:rsid w:val="00B01548"/>
    <w:rsid w:val="00B11911"/>
    <w:rsid w:val="00B13EBD"/>
    <w:rsid w:val="00B20F12"/>
    <w:rsid w:val="00B21753"/>
    <w:rsid w:val="00B21D29"/>
    <w:rsid w:val="00B2335A"/>
    <w:rsid w:val="00B238D2"/>
    <w:rsid w:val="00B25034"/>
    <w:rsid w:val="00B33588"/>
    <w:rsid w:val="00B33863"/>
    <w:rsid w:val="00B37D17"/>
    <w:rsid w:val="00B4175E"/>
    <w:rsid w:val="00B452CE"/>
    <w:rsid w:val="00B54C25"/>
    <w:rsid w:val="00B5715A"/>
    <w:rsid w:val="00B76B91"/>
    <w:rsid w:val="00B77EB1"/>
    <w:rsid w:val="00B811C6"/>
    <w:rsid w:val="00B855B0"/>
    <w:rsid w:val="00B8723D"/>
    <w:rsid w:val="00B91D3B"/>
    <w:rsid w:val="00B92472"/>
    <w:rsid w:val="00B92E08"/>
    <w:rsid w:val="00B9463E"/>
    <w:rsid w:val="00B94A84"/>
    <w:rsid w:val="00BB3AA8"/>
    <w:rsid w:val="00BC622A"/>
    <w:rsid w:val="00BD495D"/>
    <w:rsid w:val="00BE0A78"/>
    <w:rsid w:val="00BE7824"/>
    <w:rsid w:val="00BE79F0"/>
    <w:rsid w:val="00BF046D"/>
    <w:rsid w:val="00BF1190"/>
    <w:rsid w:val="00BF5D04"/>
    <w:rsid w:val="00BF7D2A"/>
    <w:rsid w:val="00C009AA"/>
    <w:rsid w:val="00C01694"/>
    <w:rsid w:val="00C06787"/>
    <w:rsid w:val="00C077C8"/>
    <w:rsid w:val="00C1087E"/>
    <w:rsid w:val="00C1164D"/>
    <w:rsid w:val="00C16861"/>
    <w:rsid w:val="00C22286"/>
    <w:rsid w:val="00C23AB5"/>
    <w:rsid w:val="00C346AB"/>
    <w:rsid w:val="00C34D77"/>
    <w:rsid w:val="00C404A6"/>
    <w:rsid w:val="00C40A36"/>
    <w:rsid w:val="00C44419"/>
    <w:rsid w:val="00C45E7B"/>
    <w:rsid w:val="00C471B1"/>
    <w:rsid w:val="00C6316B"/>
    <w:rsid w:val="00C634A9"/>
    <w:rsid w:val="00C64586"/>
    <w:rsid w:val="00C70D53"/>
    <w:rsid w:val="00C72884"/>
    <w:rsid w:val="00C73D0B"/>
    <w:rsid w:val="00C7422F"/>
    <w:rsid w:val="00C772FF"/>
    <w:rsid w:val="00C80137"/>
    <w:rsid w:val="00C801AF"/>
    <w:rsid w:val="00C80256"/>
    <w:rsid w:val="00C830F9"/>
    <w:rsid w:val="00C87A53"/>
    <w:rsid w:val="00C94CD4"/>
    <w:rsid w:val="00C950B3"/>
    <w:rsid w:val="00C9747E"/>
    <w:rsid w:val="00CA030A"/>
    <w:rsid w:val="00CB6BC0"/>
    <w:rsid w:val="00CB6E38"/>
    <w:rsid w:val="00CC0BE3"/>
    <w:rsid w:val="00CC1B7C"/>
    <w:rsid w:val="00CC727F"/>
    <w:rsid w:val="00CD5B41"/>
    <w:rsid w:val="00CD7C7F"/>
    <w:rsid w:val="00CE3357"/>
    <w:rsid w:val="00CF15C3"/>
    <w:rsid w:val="00CF2B6F"/>
    <w:rsid w:val="00CF2E2E"/>
    <w:rsid w:val="00CF2F3E"/>
    <w:rsid w:val="00CF58B6"/>
    <w:rsid w:val="00D0062D"/>
    <w:rsid w:val="00D017ED"/>
    <w:rsid w:val="00D040D3"/>
    <w:rsid w:val="00D04C65"/>
    <w:rsid w:val="00D071B4"/>
    <w:rsid w:val="00D201D2"/>
    <w:rsid w:val="00D224FE"/>
    <w:rsid w:val="00D23139"/>
    <w:rsid w:val="00D274F3"/>
    <w:rsid w:val="00D34B4B"/>
    <w:rsid w:val="00D425BB"/>
    <w:rsid w:val="00D512A6"/>
    <w:rsid w:val="00D52CC1"/>
    <w:rsid w:val="00D55DCF"/>
    <w:rsid w:val="00D60D57"/>
    <w:rsid w:val="00D6493E"/>
    <w:rsid w:val="00D7195D"/>
    <w:rsid w:val="00D7301E"/>
    <w:rsid w:val="00D8159C"/>
    <w:rsid w:val="00D8296A"/>
    <w:rsid w:val="00D83AE1"/>
    <w:rsid w:val="00D855D4"/>
    <w:rsid w:val="00D902C9"/>
    <w:rsid w:val="00D928B0"/>
    <w:rsid w:val="00D93466"/>
    <w:rsid w:val="00D95014"/>
    <w:rsid w:val="00DA0837"/>
    <w:rsid w:val="00DA1124"/>
    <w:rsid w:val="00DB5BFF"/>
    <w:rsid w:val="00DB6124"/>
    <w:rsid w:val="00DB750B"/>
    <w:rsid w:val="00DB75B7"/>
    <w:rsid w:val="00DC6E02"/>
    <w:rsid w:val="00DC7BC7"/>
    <w:rsid w:val="00DD28CD"/>
    <w:rsid w:val="00DD663B"/>
    <w:rsid w:val="00DE02AE"/>
    <w:rsid w:val="00DF1D7F"/>
    <w:rsid w:val="00DF4BE4"/>
    <w:rsid w:val="00E00AB7"/>
    <w:rsid w:val="00E01283"/>
    <w:rsid w:val="00E02FB4"/>
    <w:rsid w:val="00E03955"/>
    <w:rsid w:val="00E114F7"/>
    <w:rsid w:val="00E12152"/>
    <w:rsid w:val="00E13FC7"/>
    <w:rsid w:val="00E20571"/>
    <w:rsid w:val="00E20656"/>
    <w:rsid w:val="00E235F7"/>
    <w:rsid w:val="00E23659"/>
    <w:rsid w:val="00E239D4"/>
    <w:rsid w:val="00E26130"/>
    <w:rsid w:val="00E40B22"/>
    <w:rsid w:val="00E42C19"/>
    <w:rsid w:val="00E44ED1"/>
    <w:rsid w:val="00E45619"/>
    <w:rsid w:val="00E4588F"/>
    <w:rsid w:val="00E46DA3"/>
    <w:rsid w:val="00E51BB1"/>
    <w:rsid w:val="00E5284A"/>
    <w:rsid w:val="00E6022D"/>
    <w:rsid w:val="00E624A5"/>
    <w:rsid w:val="00E62D9B"/>
    <w:rsid w:val="00E64BA4"/>
    <w:rsid w:val="00E7344E"/>
    <w:rsid w:val="00E82665"/>
    <w:rsid w:val="00EA122B"/>
    <w:rsid w:val="00EA5D66"/>
    <w:rsid w:val="00EB0798"/>
    <w:rsid w:val="00EB40AD"/>
    <w:rsid w:val="00EB586E"/>
    <w:rsid w:val="00EB5D9F"/>
    <w:rsid w:val="00EB5FC8"/>
    <w:rsid w:val="00EC1629"/>
    <w:rsid w:val="00EC463D"/>
    <w:rsid w:val="00EC7A85"/>
    <w:rsid w:val="00ED2922"/>
    <w:rsid w:val="00ED2D24"/>
    <w:rsid w:val="00ED3CAD"/>
    <w:rsid w:val="00ED5A41"/>
    <w:rsid w:val="00ED5F7D"/>
    <w:rsid w:val="00ED7A31"/>
    <w:rsid w:val="00EE1DE8"/>
    <w:rsid w:val="00EE27C2"/>
    <w:rsid w:val="00EE2D11"/>
    <w:rsid w:val="00EE4856"/>
    <w:rsid w:val="00EF4BAD"/>
    <w:rsid w:val="00EF59DC"/>
    <w:rsid w:val="00EF69B9"/>
    <w:rsid w:val="00F033EC"/>
    <w:rsid w:val="00F04F68"/>
    <w:rsid w:val="00F059EA"/>
    <w:rsid w:val="00F12670"/>
    <w:rsid w:val="00F12B6C"/>
    <w:rsid w:val="00F14B27"/>
    <w:rsid w:val="00F3148D"/>
    <w:rsid w:val="00F325C5"/>
    <w:rsid w:val="00F32FE0"/>
    <w:rsid w:val="00F35298"/>
    <w:rsid w:val="00F432EE"/>
    <w:rsid w:val="00F46276"/>
    <w:rsid w:val="00F47333"/>
    <w:rsid w:val="00F47E37"/>
    <w:rsid w:val="00F50634"/>
    <w:rsid w:val="00F51816"/>
    <w:rsid w:val="00F53C07"/>
    <w:rsid w:val="00F54B65"/>
    <w:rsid w:val="00F6122D"/>
    <w:rsid w:val="00F640B6"/>
    <w:rsid w:val="00F66DF2"/>
    <w:rsid w:val="00F765D1"/>
    <w:rsid w:val="00F80E40"/>
    <w:rsid w:val="00F848D9"/>
    <w:rsid w:val="00F862F8"/>
    <w:rsid w:val="00F97119"/>
    <w:rsid w:val="00F97701"/>
    <w:rsid w:val="00FA5B82"/>
    <w:rsid w:val="00FA639E"/>
    <w:rsid w:val="00FB650C"/>
    <w:rsid w:val="00FB6588"/>
    <w:rsid w:val="00FC1FCA"/>
    <w:rsid w:val="00FC25E4"/>
    <w:rsid w:val="00FC4EF7"/>
    <w:rsid w:val="00FD0824"/>
    <w:rsid w:val="00FD119B"/>
    <w:rsid w:val="00FD1EDC"/>
    <w:rsid w:val="00FE1DEE"/>
    <w:rsid w:val="00FE4C74"/>
    <w:rsid w:val="00FF2126"/>
    <w:rsid w:val="00FF5755"/>
    <w:rsid w:val="00FF69BE"/>
    <w:rsid w:val="00FF78A7"/>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F00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CA030A"/>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9"/>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uiPriority w:val="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296591"/>
    <w:pPr>
      <w:keepNext/>
      <w:spacing w:after="180"/>
      <w:outlineLvl w:val="4"/>
    </w:pPr>
    <w:rPr>
      <w:rFonts w:cstheme="minorBidi"/>
      <w:b/>
    </w:rPr>
  </w:style>
  <w:style w:type="character" w:customStyle="1" w:styleId="TabletextChar">
    <w:name w:val="Table text Char"/>
    <w:basedOn w:val="DefaultParagraphFont"/>
    <w:link w:val="Tabletext"/>
    <w:rsid w:val="002E4D46"/>
    <w:rPr>
      <w:rFonts w:ascii="Cambria" w:eastAsia="Cambria" w:hAnsi="Cambria" w:cs="Times New Roman"/>
      <w:sz w:val="19"/>
    </w:rPr>
  </w:style>
  <w:style w:type="paragraph" w:customStyle="1" w:styleId="Standard">
    <w:name w:val="Standard"/>
    <w:basedOn w:val="Normal"/>
    <w:link w:val="StandardChar"/>
    <w:qFormat/>
    <w:rsid w:val="002E4D46"/>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2E4D46"/>
    <w:rPr>
      <w:rFonts w:ascii="Cambria" w:eastAsia="Times New Roman" w:hAnsi="Cambria" w:cs="Times New Roman"/>
      <w:snapToGrid w:val="0"/>
      <w:kern w:val="16"/>
      <w:sz w:val="23"/>
      <w:szCs w:val="24"/>
    </w:rPr>
  </w:style>
  <w:style w:type="paragraph" w:styleId="ListParagraph">
    <w:name w:val="List Paragraph"/>
    <w:basedOn w:val="Normal"/>
    <w:uiPriority w:val="34"/>
    <w:qFormat/>
    <w:rsid w:val="006F65DC"/>
    <w:pPr>
      <w:adjustRightInd w:val="0"/>
      <w:snapToGrid w:val="0"/>
      <w:spacing w:before="180" w:after="180"/>
      <w:ind w:left="720"/>
      <w:contextualSpacing/>
    </w:pPr>
    <w:rPr>
      <w:rFonts w:eastAsia="MS Mincho"/>
      <w:szCs w:val="20"/>
      <w:lang w:eastAsia="ja-JP"/>
    </w:rPr>
  </w:style>
  <w:style w:type="table" w:customStyle="1" w:styleId="TableGridLight1">
    <w:name w:val="Table Grid Light1"/>
    <w:basedOn w:val="TableNormal"/>
    <w:uiPriority w:val="40"/>
    <w:rsid w:val="00EA5D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Headings">
    <w:name w:val="Headings"/>
    <w:uiPriority w:val="99"/>
    <w:rsid w:val="003D26F9"/>
    <w:pPr>
      <w:numPr>
        <w:numId w:val="31"/>
      </w:numPr>
    </w:pPr>
  </w:style>
  <w:style w:type="paragraph" w:styleId="NormalWeb">
    <w:name w:val="Normal (Web)"/>
    <w:basedOn w:val="Normal"/>
    <w:uiPriority w:val="99"/>
    <w:semiHidden/>
    <w:unhideWhenUsed/>
    <w:rsid w:val="0028792A"/>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CA030A"/>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9"/>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uiPriority w:val="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296591"/>
    <w:pPr>
      <w:keepNext/>
      <w:spacing w:after="180"/>
      <w:outlineLvl w:val="4"/>
    </w:pPr>
    <w:rPr>
      <w:rFonts w:cstheme="minorBidi"/>
      <w:b/>
    </w:rPr>
  </w:style>
  <w:style w:type="character" w:customStyle="1" w:styleId="TabletextChar">
    <w:name w:val="Table text Char"/>
    <w:basedOn w:val="DefaultParagraphFont"/>
    <w:link w:val="Tabletext"/>
    <w:rsid w:val="002E4D46"/>
    <w:rPr>
      <w:rFonts w:ascii="Cambria" w:eastAsia="Cambria" w:hAnsi="Cambria" w:cs="Times New Roman"/>
      <w:sz w:val="19"/>
    </w:rPr>
  </w:style>
  <w:style w:type="paragraph" w:customStyle="1" w:styleId="Standard">
    <w:name w:val="Standard"/>
    <w:basedOn w:val="Normal"/>
    <w:link w:val="StandardChar"/>
    <w:qFormat/>
    <w:rsid w:val="002E4D46"/>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2E4D46"/>
    <w:rPr>
      <w:rFonts w:ascii="Cambria" w:eastAsia="Times New Roman" w:hAnsi="Cambria" w:cs="Times New Roman"/>
      <w:snapToGrid w:val="0"/>
      <w:kern w:val="16"/>
      <w:sz w:val="23"/>
      <w:szCs w:val="24"/>
    </w:rPr>
  </w:style>
  <w:style w:type="paragraph" w:styleId="ListParagraph">
    <w:name w:val="List Paragraph"/>
    <w:basedOn w:val="Normal"/>
    <w:uiPriority w:val="34"/>
    <w:qFormat/>
    <w:rsid w:val="006F65DC"/>
    <w:pPr>
      <w:adjustRightInd w:val="0"/>
      <w:snapToGrid w:val="0"/>
      <w:spacing w:before="180" w:after="180"/>
      <w:ind w:left="720"/>
      <w:contextualSpacing/>
    </w:pPr>
    <w:rPr>
      <w:rFonts w:eastAsia="MS Mincho"/>
      <w:szCs w:val="20"/>
      <w:lang w:eastAsia="ja-JP"/>
    </w:rPr>
  </w:style>
  <w:style w:type="table" w:customStyle="1" w:styleId="TableGridLight1">
    <w:name w:val="Table Grid Light1"/>
    <w:basedOn w:val="TableNormal"/>
    <w:uiPriority w:val="40"/>
    <w:rsid w:val="00EA5D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Headings">
    <w:name w:val="Headings"/>
    <w:uiPriority w:val="99"/>
    <w:rsid w:val="003D26F9"/>
    <w:pPr>
      <w:numPr>
        <w:numId w:val="31"/>
      </w:numPr>
    </w:pPr>
  </w:style>
  <w:style w:type="paragraph" w:styleId="NormalWeb">
    <w:name w:val="Normal (Web)"/>
    <w:basedOn w:val="Normal"/>
    <w:uiPriority w:val="99"/>
    <w:semiHidden/>
    <w:unhideWhenUsed/>
    <w:rsid w:val="0028792A"/>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027">
      <w:bodyDiv w:val="1"/>
      <w:marLeft w:val="0"/>
      <w:marRight w:val="0"/>
      <w:marTop w:val="0"/>
      <w:marBottom w:val="0"/>
      <w:divBdr>
        <w:top w:val="none" w:sz="0" w:space="0" w:color="auto"/>
        <w:left w:val="none" w:sz="0" w:space="0" w:color="auto"/>
        <w:bottom w:val="none" w:sz="0" w:space="0" w:color="auto"/>
        <w:right w:val="none" w:sz="0" w:space="0" w:color="auto"/>
      </w:divBdr>
    </w:div>
    <w:div w:id="384186652">
      <w:bodyDiv w:val="1"/>
      <w:marLeft w:val="0"/>
      <w:marRight w:val="0"/>
      <w:marTop w:val="0"/>
      <w:marBottom w:val="0"/>
      <w:divBdr>
        <w:top w:val="none" w:sz="0" w:space="0" w:color="auto"/>
        <w:left w:val="none" w:sz="0" w:space="0" w:color="auto"/>
        <w:bottom w:val="none" w:sz="0" w:space="0" w:color="auto"/>
        <w:right w:val="none" w:sz="0" w:space="0" w:color="auto"/>
      </w:divBdr>
    </w:div>
    <w:div w:id="386994689">
      <w:bodyDiv w:val="1"/>
      <w:marLeft w:val="0"/>
      <w:marRight w:val="0"/>
      <w:marTop w:val="0"/>
      <w:marBottom w:val="0"/>
      <w:divBdr>
        <w:top w:val="none" w:sz="0" w:space="0" w:color="auto"/>
        <w:left w:val="none" w:sz="0" w:space="0" w:color="auto"/>
        <w:bottom w:val="none" w:sz="0" w:space="0" w:color="auto"/>
        <w:right w:val="none" w:sz="0" w:space="0" w:color="auto"/>
      </w:divBdr>
    </w:div>
    <w:div w:id="467819972">
      <w:bodyDiv w:val="1"/>
      <w:marLeft w:val="0"/>
      <w:marRight w:val="0"/>
      <w:marTop w:val="0"/>
      <w:marBottom w:val="0"/>
      <w:divBdr>
        <w:top w:val="none" w:sz="0" w:space="0" w:color="auto"/>
        <w:left w:val="none" w:sz="0" w:space="0" w:color="auto"/>
        <w:bottom w:val="none" w:sz="0" w:space="0" w:color="auto"/>
        <w:right w:val="none" w:sz="0" w:space="0" w:color="auto"/>
      </w:divBdr>
    </w:div>
    <w:div w:id="484736277">
      <w:bodyDiv w:val="1"/>
      <w:marLeft w:val="0"/>
      <w:marRight w:val="0"/>
      <w:marTop w:val="0"/>
      <w:marBottom w:val="0"/>
      <w:divBdr>
        <w:top w:val="none" w:sz="0" w:space="0" w:color="auto"/>
        <w:left w:val="none" w:sz="0" w:space="0" w:color="auto"/>
        <w:bottom w:val="none" w:sz="0" w:space="0" w:color="auto"/>
        <w:right w:val="none" w:sz="0" w:space="0" w:color="auto"/>
      </w:divBdr>
    </w:div>
    <w:div w:id="500857389">
      <w:bodyDiv w:val="1"/>
      <w:marLeft w:val="0"/>
      <w:marRight w:val="0"/>
      <w:marTop w:val="0"/>
      <w:marBottom w:val="0"/>
      <w:divBdr>
        <w:top w:val="none" w:sz="0" w:space="0" w:color="auto"/>
        <w:left w:val="none" w:sz="0" w:space="0" w:color="auto"/>
        <w:bottom w:val="none" w:sz="0" w:space="0" w:color="auto"/>
        <w:right w:val="none" w:sz="0" w:space="0" w:color="auto"/>
      </w:divBdr>
    </w:div>
    <w:div w:id="572466912">
      <w:bodyDiv w:val="1"/>
      <w:marLeft w:val="0"/>
      <w:marRight w:val="0"/>
      <w:marTop w:val="0"/>
      <w:marBottom w:val="0"/>
      <w:divBdr>
        <w:top w:val="none" w:sz="0" w:space="0" w:color="auto"/>
        <w:left w:val="none" w:sz="0" w:space="0" w:color="auto"/>
        <w:bottom w:val="none" w:sz="0" w:space="0" w:color="auto"/>
        <w:right w:val="none" w:sz="0" w:space="0" w:color="auto"/>
      </w:divBdr>
    </w:div>
    <w:div w:id="583757807">
      <w:bodyDiv w:val="1"/>
      <w:marLeft w:val="0"/>
      <w:marRight w:val="0"/>
      <w:marTop w:val="0"/>
      <w:marBottom w:val="0"/>
      <w:divBdr>
        <w:top w:val="none" w:sz="0" w:space="0" w:color="auto"/>
        <w:left w:val="none" w:sz="0" w:space="0" w:color="auto"/>
        <w:bottom w:val="none" w:sz="0" w:space="0" w:color="auto"/>
        <w:right w:val="none" w:sz="0" w:space="0" w:color="auto"/>
      </w:divBdr>
      <w:divsChild>
        <w:div w:id="654645320">
          <w:marLeft w:val="0"/>
          <w:marRight w:val="0"/>
          <w:marTop w:val="0"/>
          <w:marBottom w:val="0"/>
          <w:divBdr>
            <w:top w:val="none" w:sz="0" w:space="0" w:color="auto"/>
            <w:left w:val="none" w:sz="0" w:space="0" w:color="auto"/>
            <w:bottom w:val="none" w:sz="0" w:space="0" w:color="auto"/>
            <w:right w:val="none" w:sz="0" w:space="0" w:color="auto"/>
          </w:divBdr>
          <w:divsChild>
            <w:div w:id="1073041228">
              <w:marLeft w:val="0"/>
              <w:marRight w:val="0"/>
              <w:marTop w:val="0"/>
              <w:marBottom w:val="0"/>
              <w:divBdr>
                <w:top w:val="none" w:sz="0" w:space="0" w:color="auto"/>
                <w:left w:val="none" w:sz="0" w:space="0" w:color="auto"/>
                <w:bottom w:val="none" w:sz="0" w:space="0" w:color="auto"/>
                <w:right w:val="none" w:sz="0" w:space="0" w:color="auto"/>
              </w:divBdr>
              <w:divsChild>
                <w:div w:id="646399563">
                  <w:marLeft w:val="0"/>
                  <w:marRight w:val="0"/>
                  <w:marTop w:val="0"/>
                  <w:marBottom w:val="0"/>
                  <w:divBdr>
                    <w:top w:val="none" w:sz="0" w:space="0" w:color="auto"/>
                    <w:left w:val="none" w:sz="0" w:space="0" w:color="auto"/>
                    <w:bottom w:val="none" w:sz="0" w:space="0" w:color="auto"/>
                    <w:right w:val="none" w:sz="0" w:space="0" w:color="auto"/>
                  </w:divBdr>
                  <w:divsChild>
                    <w:div w:id="58172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735957">
      <w:bodyDiv w:val="1"/>
      <w:marLeft w:val="0"/>
      <w:marRight w:val="0"/>
      <w:marTop w:val="0"/>
      <w:marBottom w:val="0"/>
      <w:divBdr>
        <w:top w:val="none" w:sz="0" w:space="0" w:color="auto"/>
        <w:left w:val="none" w:sz="0" w:space="0" w:color="auto"/>
        <w:bottom w:val="none" w:sz="0" w:space="0" w:color="auto"/>
        <w:right w:val="none" w:sz="0" w:space="0" w:color="auto"/>
      </w:divBdr>
    </w:div>
    <w:div w:id="701397096">
      <w:bodyDiv w:val="1"/>
      <w:marLeft w:val="0"/>
      <w:marRight w:val="0"/>
      <w:marTop w:val="0"/>
      <w:marBottom w:val="0"/>
      <w:divBdr>
        <w:top w:val="none" w:sz="0" w:space="0" w:color="auto"/>
        <w:left w:val="none" w:sz="0" w:space="0" w:color="auto"/>
        <w:bottom w:val="none" w:sz="0" w:space="0" w:color="auto"/>
        <w:right w:val="none" w:sz="0" w:space="0" w:color="auto"/>
      </w:divBdr>
    </w:div>
    <w:div w:id="766459479">
      <w:bodyDiv w:val="1"/>
      <w:marLeft w:val="0"/>
      <w:marRight w:val="0"/>
      <w:marTop w:val="0"/>
      <w:marBottom w:val="0"/>
      <w:divBdr>
        <w:top w:val="none" w:sz="0" w:space="0" w:color="auto"/>
        <w:left w:val="none" w:sz="0" w:space="0" w:color="auto"/>
        <w:bottom w:val="none" w:sz="0" w:space="0" w:color="auto"/>
        <w:right w:val="none" w:sz="0" w:space="0" w:color="auto"/>
      </w:divBdr>
    </w:div>
    <w:div w:id="861165425">
      <w:bodyDiv w:val="1"/>
      <w:marLeft w:val="0"/>
      <w:marRight w:val="0"/>
      <w:marTop w:val="0"/>
      <w:marBottom w:val="0"/>
      <w:divBdr>
        <w:top w:val="none" w:sz="0" w:space="0" w:color="auto"/>
        <w:left w:val="none" w:sz="0" w:space="0" w:color="auto"/>
        <w:bottom w:val="none" w:sz="0" w:space="0" w:color="auto"/>
        <w:right w:val="none" w:sz="0" w:space="0" w:color="auto"/>
      </w:divBdr>
    </w:div>
    <w:div w:id="1057632494">
      <w:bodyDiv w:val="1"/>
      <w:marLeft w:val="0"/>
      <w:marRight w:val="0"/>
      <w:marTop w:val="0"/>
      <w:marBottom w:val="0"/>
      <w:divBdr>
        <w:top w:val="none" w:sz="0" w:space="0" w:color="auto"/>
        <w:left w:val="none" w:sz="0" w:space="0" w:color="auto"/>
        <w:bottom w:val="none" w:sz="0" w:space="0" w:color="auto"/>
        <w:right w:val="none" w:sz="0" w:space="0" w:color="auto"/>
      </w:divBdr>
    </w:div>
    <w:div w:id="1060976525">
      <w:bodyDiv w:val="1"/>
      <w:marLeft w:val="0"/>
      <w:marRight w:val="0"/>
      <w:marTop w:val="0"/>
      <w:marBottom w:val="0"/>
      <w:divBdr>
        <w:top w:val="none" w:sz="0" w:space="0" w:color="auto"/>
        <w:left w:val="none" w:sz="0" w:space="0" w:color="auto"/>
        <w:bottom w:val="none" w:sz="0" w:space="0" w:color="auto"/>
        <w:right w:val="none" w:sz="0" w:space="0" w:color="auto"/>
      </w:divBdr>
      <w:divsChild>
        <w:div w:id="24408954">
          <w:marLeft w:val="0"/>
          <w:marRight w:val="0"/>
          <w:marTop w:val="0"/>
          <w:marBottom w:val="0"/>
          <w:divBdr>
            <w:top w:val="none" w:sz="0" w:space="0" w:color="auto"/>
            <w:left w:val="none" w:sz="0" w:space="0" w:color="auto"/>
            <w:bottom w:val="none" w:sz="0" w:space="0" w:color="auto"/>
            <w:right w:val="none" w:sz="0" w:space="0" w:color="auto"/>
          </w:divBdr>
          <w:divsChild>
            <w:div w:id="1443065477">
              <w:marLeft w:val="0"/>
              <w:marRight w:val="0"/>
              <w:marTop w:val="0"/>
              <w:marBottom w:val="0"/>
              <w:divBdr>
                <w:top w:val="none" w:sz="0" w:space="0" w:color="auto"/>
                <w:left w:val="none" w:sz="0" w:space="0" w:color="auto"/>
                <w:bottom w:val="none" w:sz="0" w:space="0" w:color="auto"/>
                <w:right w:val="none" w:sz="0" w:space="0" w:color="auto"/>
              </w:divBdr>
              <w:divsChild>
                <w:div w:id="89674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22312">
      <w:bodyDiv w:val="1"/>
      <w:marLeft w:val="0"/>
      <w:marRight w:val="0"/>
      <w:marTop w:val="0"/>
      <w:marBottom w:val="0"/>
      <w:divBdr>
        <w:top w:val="none" w:sz="0" w:space="0" w:color="auto"/>
        <w:left w:val="none" w:sz="0" w:space="0" w:color="auto"/>
        <w:bottom w:val="none" w:sz="0" w:space="0" w:color="auto"/>
        <w:right w:val="none" w:sz="0" w:space="0" w:color="auto"/>
      </w:divBdr>
      <w:divsChild>
        <w:div w:id="254443144">
          <w:marLeft w:val="0"/>
          <w:marRight w:val="0"/>
          <w:marTop w:val="0"/>
          <w:marBottom w:val="0"/>
          <w:divBdr>
            <w:top w:val="none" w:sz="0" w:space="0" w:color="auto"/>
            <w:left w:val="none" w:sz="0" w:space="0" w:color="auto"/>
            <w:bottom w:val="none" w:sz="0" w:space="0" w:color="auto"/>
            <w:right w:val="none" w:sz="0" w:space="0" w:color="auto"/>
          </w:divBdr>
          <w:divsChild>
            <w:div w:id="1923290788">
              <w:marLeft w:val="0"/>
              <w:marRight w:val="0"/>
              <w:marTop w:val="0"/>
              <w:marBottom w:val="0"/>
              <w:divBdr>
                <w:top w:val="none" w:sz="0" w:space="0" w:color="auto"/>
                <w:left w:val="none" w:sz="0" w:space="0" w:color="auto"/>
                <w:bottom w:val="none" w:sz="0" w:space="0" w:color="auto"/>
                <w:right w:val="none" w:sz="0" w:space="0" w:color="auto"/>
              </w:divBdr>
              <w:divsChild>
                <w:div w:id="179551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62629">
      <w:bodyDiv w:val="1"/>
      <w:marLeft w:val="0"/>
      <w:marRight w:val="0"/>
      <w:marTop w:val="0"/>
      <w:marBottom w:val="0"/>
      <w:divBdr>
        <w:top w:val="none" w:sz="0" w:space="0" w:color="auto"/>
        <w:left w:val="none" w:sz="0" w:space="0" w:color="auto"/>
        <w:bottom w:val="none" w:sz="0" w:space="0" w:color="auto"/>
        <w:right w:val="none" w:sz="0" w:space="0" w:color="auto"/>
      </w:divBdr>
      <w:divsChild>
        <w:div w:id="1344240831">
          <w:marLeft w:val="0"/>
          <w:marRight w:val="0"/>
          <w:marTop w:val="0"/>
          <w:marBottom w:val="0"/>
          <w:divBdr>
            <w:top w:val="none" w:sz="0" w:space="0" w:color="auto"/>
            <w:left w:val="none" w:sz="0" w:space="0" w:color="auto"/>
            <w:bottom w:val="none" w:sz="0" w:space="0" w:color="auto"/>
            <w:right w:val="none" w:sz="0" w:space="0" w:color="auto"/>
          </w:divBdr>
          <w:divsChild>
            <w:div w:id="603616576">
              <w:marLeft w:val="0"/>
              <w:marRight w:val="0"/>
              <w:marTop w:val="0"/>
              <w:marBottom w:val="0"/>
              <w:divBdr>
                <w:top w:val="none" w:sz="0" w:space="0" w:color="auto"/>
                <w:left w:val="none" w:sz="0" w:space="0" w:color="auto"/>
                <w:bottom w:val="none" w:sz="0" w:space="0" w:color="auto"/>
                <w:right w:val="none" w:sz="0" w:space="0" w:color="auto"/>
              </w:divBdr>
              <w:divsChild>
                <w:div w:id="1878543256">
                  <w:marLeft w:val="0"/>
                  <w:marRight w:val="0"/>
                  <w:marTop w:val="0"/>
                  <w:marBottom w:val="0"/>
                  <w:divBdr>
                    <w:top w:val="none" w:sz="0" w:space="0" w:color="auto"/>
                    <w:left w:val="none" w:sz="0" w:space="0" w:color="auto"/>
                    <w:bottom w:val="none" w:sz="0" w:space="0" w:color="auto"/>
                    <w:right w:val="none" w:sz="0" w:space="0" w:color="auto"/>
                  </w:divBdr>
                  <w:divsChild>
                    <w:div w:id="149448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990283">
      <w:bodyDiv w:val="1"/>
      <w:marLeft w:val="0"/>
      <w:marRight w:val="0"/>
      <w:marTop w:val="0"/>
      <w:marBottom w:val="0"/>
      <w:divBdr>
        <w:top w:val="none" w:sz="0" w:space="0" w:color="auto"/>
        <w:left w:val="none" w:sz="0" w:space="0" w:color="auto"/>
        <w:bottom w:val="none" w:sz="0" w:space="0" w:color="auto"/>
        <w:right w:val="none" w:sz="0" w:space="0" w:color="auto"/>
      </w:divBdr>
    </w:div>
    <w:div w:id="1378554442">
      <w:bodyDiv w:val="1"/>
      <w:marLeft w:val="0"/>
      <w:marRight w:val="0"/>
      <w:marTop w:val="0"/>
      <w:marBottom w:val="0"/>
      <w:divBdr>
        <w:top w:val="none" w:sz="0" w:space="0" w:color="auto"/>
        <w:left w:val="none" w:sz="0" w:space="0" w:color="auto"/>
        <w:bottom w:val="none" w:sz="0" w:space="0" w:color="auto"/>
        <w:right w:val="none" w:sz="0" w:space="0" w:color="auto"/>
      </w:divBdr>
    </w:div>
    <w:div w:id="1391734861">
      <w:bodyDiv w:val="1"/>
      <w:marLeft w:val="0"/>
      <w:marRight w:val="0"/>
      <w:marTop w:val="0"/>
      <w:marBottom w:val="0"/>
      <w:divBdr>
        <w:top w:val="none" w:sz="0" w:space="0" w:color="auto"/>
        <w:left w:val="none" w:sz="0" w:space="0" w:color="auto"/>
        <w:bottom w:val="none" w:sz="0" w:space="0" w:color="auto"/>
        <w:right w:val="none" w:sz="0" w:space="0" w:color="auto"/>
      </w:divBdr>
    </w:div>
    <w:div w:id="1415593948">
      <w:bodyDiv w:val="1"/>
      <w:marLeft w:val="0"/>
      <w:marRight w:val="0"/>
      <w:marTop w:val="0"/>
      <w:marBottom w:val="0"/>
      <w:divBdr>
        <w:top w:val="none" w:sz="0" w:space="0" w:color="auto"/>
        <w:left w:val="none" w:sz="0" w:space="0" w:color="auto"/>
        <w:bottom w:val="none" w:sz="0" w:space="0" w:color="auto"/>
        <w:right w:val="none" w:sz="0" w:space="0" w:color="auto"/>
      </w:divBdr>
    </w:div>
    <w:div w:id="1418477905">
      <w:bodyDiv w:val="1"/>
      <w:marLeft w:val="0"/>
      <w:marRight w:val="0"/>
      <w:marTop w:val="0"/>
      <w:marBottom w:val="0"/>
      <w:divBdr>
        <w:top w:val="none" w:sz="0" w:space="0" w:color="auto"/>
        <w:left w:val="none" w:sz="0" w:space="0" w:color="auto"/>
        <w:bottom w:val="none" w:sz="0" w:space="0" w:color="auto"/>
        <w:right w:val="none" w:sz="0" w:space="0" w:color="auto"/>
      </w:divBdr>
      <w:divsChild>
        <w:div w:id="308634076">
          <w:marLeft w:val="0"/>
          <w:marRight w:val="0"/>
          <w:marTop w:val="0"/>
          <w:marBottom w:val="0"/>
          <w:divBdr>
            <w:top w:val="none" w:sz="0" w:space="0" w:color="auto"/>
            <w:left w:val="none" w:sz="0" w:space="0" w:color="auto"/>
            <w:bottom w:val="none" w:sz="0" w:space="0" w:color="auto"/>
            <w:right w:val="none" w:sz="0" w:space="0" w:color="auto"/>
          </w:divBdr>
          <w:divsChild>
            <w:div w:id="1961060733">
              <w:marLeft w:val="0"/>
              <w:marRight w:val="0"/>
              <w:marTop w:val="0"/>
              <w:marBottom w:val="0"/>
              <w:divBdr>
                <w:top w:val="none" w:sz="0" w:space="0" w:color="auto"/>
                <w:left w:val="none" w:sz="0" w:space="0" w:color="auto"/>
                <w:bottom w:val="none" w:sz="0" w:space="0" w:color="auto"/>
                <w:right w:val="none" w:sz="0" w:space="0" w:color="auto"/>
              </w:divBdr>
              <w:divsChild>
                <w:div w:id="53241983">
                  <w:marLeft w:val="0"/>
                  <w:marRight w:val="0"/>
                  <w:marTop w:val="0"/>
                  <w:marBottom w:val="0"/>
                  <w:divBdr>
                    <w:top w:val="none" w:sz="0" w:space="0" w:color="auto"/>
                    <w:left w:val="none" w:sz="0" w:space="0" w:color="auto"/>
                    <w:bottom w:val="none" w:sz="0" w:space="0" w:color="auto"/>
                    <w:right w:val="none" w:sz="0" w:space="0" w:color="auto"/>
                  </w:divBdr>
                  <w:divsChild>
                    <w:div w:id="82813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8899">
      <w:bodyDiv w:val="1"/>
      <w:marLeft w:val="0"/>
      <w:marRight w:val="0"/>
      <w:marTop w:val="0"/>
      <w:marBottom w:val="0"/>
      <w:divBdr>
        <w:top w:val="none" w:sz="0" w:space="0" w:color="auto"/>
        <w:left w:val="none" w:sz="0" w:space="0" w:color="auto"/>
        <w:bottom w:val="none" w:sz="0" w:space="0" w:color="auto"/>
        <w:right w:val="none" w:sz="0" w:space="0" w:color="auto"/>
      </w:divBdr>
    </w:div>
    <w:div w:id="1555312086">
      <w:bodyDiv w:val="1"/>
      <w:marLeft w:val="0"/>
      <w:marRight w:val="0"/>
      <w:marTop w:val="0"/>
      <w:marBottom w:val="0"/>
      <w:divBdr>
        <w:top w:val="none" w:sz="0" w:space="0" w:color="auto"/>
        <w:left w:val="none" w:sz="0" w:space="0" w:color="auto"/>
        <w:bottom w:val="none" w:sz="0" w:space="0" w:color="auto"/>
        <w:right w:val="none" w:sz="0" w:space="0" w:color="auto"/>
      </w:divBdr>
    </w:div>
    <w:div w:id="1580410353">
      <w:bodyDiv w:val="1"/>
      <w:marLeft w:val="0"/>
      <w:marRight w:val="0"/>
      <w:marTop w:val="0"/>
      <w:marBottom w:val="0"/>
      <w:divBdr>
        <w:top w:val="none" w:sz="0" w:space="0" w:color="auto"/>
        <w:left w:val="none" w:sz="0" w:space="0" w:color="auto"/>
        <w:bottom w:val="none" w:sz="0" w:space="0" w:color="auto"/>
        <w:right w:val="none" w:sz="0" w:space="0" w:color="auto"/>
      </w:divBdr>
    </w:div>
    <w:div w:id="1599220068">
      <w:bodyDiv w:val="1"/>
      <w:marLeft w:val="0"/>
      <w:marRight w:val="0"/>
      <w:marTop w:val="0"/>
      <w:marBottom w:val="0"/>
      <w:divBdr>
        <w:top w:val="none" w:sz="0" w:space="0" w:color="auto"/>
        <w:left w:val="none" w:sz="0" w:space="0" w:color="auto"/>
        <w:bottom w:val="none" w:sz="0" w:space="0" w:color="auto"/>
        <w:right w:val="none" w:sz="0" w:space="0" w:color="auto"/>
      </w:divBdr>
    </w:div>
    <w:div w:id="1626888986">
      <w:bodyDiv w:val="1"/>
      <w:marLeft w:val="0"/>
      <w:marRight w:val="0"/>
      <w:marTop w:val="0"/>
      <w:marBottom w:val="0"/>
      <w:divBdr>
        <w:top w:val="none" w:sz="0" w:space="0" w:color="auto"/>
        <w:left w:val="none" w:sz="0" w:space="0" w:color="auto"/>
        <w:bottom w:val="none" w:sz="0" w:space="0" w:color="auto"/>
        <w:right w:val="none" w:sz="0" w:space="0" w:color="auto"/>
      </w:divBdr>
    </w:div>
    <w:div w:id="1724215123">
      <w:bodyDiv w:val="1"/>
      <w:marLeft w:val="0"/>
      <w:marRight w:val="0"/>
      <w:marTop w:val="0"/>
      <w:marBottom w:val="0"/>
      <w:divBdr>
        <w:top w:val="none" w:sz="0" w:space="0" w:color="auto"/>
        <w:left w:val="none" w:sz="0" w:space="0" w:color="auto"/>
        <w:bottom w:val="none" w:sz="0" w:space="0" w:color="auto"/>
        <w:right w:val="none" w:sz="0" w:space="0" w:color="auto"/>
      </w:divBdr>
      <w:divsChild>
        <w:div w:id="590427469">
          <w:marLeft w:val="0"/>
          <w:marRight w:val="0"/>
          <w:marTop w:val="0"/>
          <w:marBottom w:val="0"/>
          <w:divBdr>
            <w:top w:val="none" w:sz="0" w:space="0" w:color="auto"/>
            <w:left w:val="none" w:sz="0" w:space="0" w:color="auto"/>
            <w:bottom w:val="none" w:sz="0" w:space="0" w:color="auto"/>
            <w:right w:val="none" w:sz="0" w:space="0" w:color="auto"/>
          </w:divBdr>
          <w:divsChild>
            <w:div w:id="524638378">
              <w:marLeft w:val="0"/>
              <w:marRight w:val="0"/>
              <w:marTop w:val="0"/>
              <w:marBottom w:val="0"/>
              <w:divBdr>
                <w:top w:val="none" w:sz="0" w:space="0" w:color="auto"/>
                <w:left w:val="none" w:sz="0" w:space="0" w:color="auto"/>
                <w:bottom w:val="none" w:sz="0" w:space="0" w:color="auto"/>
                <w:right w:val="none" w:sz="0" w:space="0" w:color="auto"/>
              </w:divBdr>
              <w:divsChild>
                <w:div w:id="11305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4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5.xm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tga.gov.au/product-information-pi" TargetMode="External"/><Relationship Id="rId25" Type="http://schemas.openxmlformats.org/officeDocument/2006/relationships/header" Target="header4.xml"/><Relationship Id="rId33" Type="http://schemas.openxmlformats.org/officeDocument/2006/relationships/header" Target="header8.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footer" Target="footer3.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tga.gov.au/product-information-pi" TargetMode="External"/><Relationship Id="rId28" Type="http://schemas.openxmlformats.org/officeDocument/2006/relationships/hyperlink" Target="mailto:info@tga.gov.au" TargetMode="External"/><Relationship Id="rId36"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header" Target="header6.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84CBF-A941-46C9-8773-AF90B61AE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64</Pages>
  <Words>24903</Words>
  <Characters>141950</Characters>
  <Application>Microsoft Office Word</Application>
  <DocSecurity>0</DocSecurity>
  <Lines>1182</Lines>
  <Paragraphs>333</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
  <LinksUpToDate>false</LinksUpToDate>
  <CharactersWithSpaces>166520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Nivolumab</dc:title>
  <dc:subject>prescription medicine regulation</dc:subject>
  <dc:creator> Therapeutic Goods Administration</dc:creator>
  <cp:keywords>auspar, prescription, medicine, assessment, regulation, australia</cp:keywords>
  <cp:lastModifiedBy>THOMPSON, Lynette</cp:lastModifiedBy>
  <cp:revision>13</cp:revision>
  <cp:lastPrinted>2015-09-22T22:39:00Z</cp:lastPrinted>
  <dcterms:created xsi:type="dcterms:W3CDTF">2017-10-26T03:32:00Z</dcterms:created>
  <dcterms:modified xsi:type="dcterms:W3CDTF">2017-11-14T00:56:00Z</dcterms:modified>
  <cp:category>external publication</cp:category>
</cp:coreProperties>
</file>