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1"/>
      </w:tblGrid>
      <w:tr w:rsidR="008E7846" w:rsidRPr="00487162" w:rsidTr="005F74D8">
        <w:trPr>
          <w:trHeight w:val="1745"/>
        </w:trPr>
        <w:tc>
          <w:tcPr>
            <w:tcW w:w="8691" w:type="dxa"/>
            <w:tcBorders>
              <w:top w:val="nil"/>
              <w:left w:val="nil"/>
              <w:bottom w:val="nil"/>
              <w:right w:val="nil"/>
            </w:tcBorders>
          </w:tcPr>
          <w:p w:rsidR="005F74D8" w:rsidRDefault="005F74D8" w:rsidP="0017078F">
            <w:pPr>
              <w:rPr>
                <w:rFonts w:ascii="Arial" w:hAnsi="Arial" w:cs="Arial"/>
                <w:b/>
                <w:color w:val="002C47"/>
                <w:sz w:val="36"/>
                <w:szCs w:val="36"/>
              </w:rPr>
            </w:pPr>
            <w:r>
              <w:rPr>
                <w:rFonts w:ascii="Arial" w:hAnsi="Arial" w:cs="Arial"/>
                <w:b/>
                <w:color w:val="002C47"/>
                <w:sz w:val="36"/>
                <w:szCs w:val="36"/>
              </w:rPr>
              <w:t xml:space="preserve">First </w:t>
            </w:r>
            <w:r w:rsidR="00751074">
              <w:rPr>
                <w:rFonts w:ascii="Arial" w:hAnsi="Arial" w:cs="Arial"/>
                <w:b/>
                <w:color w:val="002C47"/>
                <w:sz w:val="36"/>
                <w:szCs w:val="36"/>
              </w:rPr>
              <w:t>r</w:t>
            </w:r>
            <w:r>
              <w:rPr>
                <w:rFonts w:ascii="Arial" w:hAnsi="Arial" w:cs="Arial"/>
                <w:b/>
                <w:color w:val="002C47"/>
                <w:sz w:val="36"/>
                <w:szCs w:val="36"/>
              </w:rPr>
              <w:t xml:space="preserve">ound </w:t>
            </w:r>
            <w:r w:rsidR="00751074">
              <w:rPr>
                <w:rFonts w:ascii="Arial" w:hAnsi="Arial" w:cs="Arial"/>
                <w:b/>
                <w:color w:val="002C47"/>
                <w:sz w:val="36"/>
                <w:szCs w:val="36"/>
              </w:rPr>
              <w:t>e</w:t>
            </w:r>
            <w:r>
              <w:rPr>
                <w:rFonts w:ascii="Arial" w:hAnsi="Arial" w:cs="Arial"/>
                <w:b/>
                <w:color w:val="002C47"/>
                <w:sz w:val="36"/>
                <w:szCs w:val="36"/>
              </w:rPr>
              <w:t>valuation</w:t>
            </w:r>
            <w:r w:rsidR="00751074">
              <w:rPr>
                <w:rFonts w:ascii="Arial" w:hAnsi="Arial" w:cs="Arial"/>
                <w:b/>
                <w:color w:val="002C47"/>
                <w:sz w:val="36"/>
                <w:szCs w:val="36"/>
              </w:rPr>
              <w:t>:</w:t>
            </w:r>
            <w:r>
              <w:rPr>
                <w:rFonts w:ascii="Arial" w:hAnsi="Arial" w:cs="Arial"/>
                <w:b/>
                <w:color w:val="002C47"/>
                <w:sz w:val="36"/>
                <w:szCs w:val="36"/>
              </w:rPr>
              <w:t xml:space="preserve"> 11 June 2013</w:t>
            </w:r>
          </w:p>
          <w:p w:rsidR="008E7846" w:rsidRPr="0017078F" w:rsidRDefault="00751074" w:rsidP="00751074">
            <w:pPr>
              <w:rPr>
                <w:rFonts w:ascii="Arial" w:hAnsi="Arial" w:cs="Arial"/>
                <w:b/>
                <w:color w:val="002C47"/>
                <w:sz w:val="36"/>
                <w:szCs w:val="36"/>
              </w:rPr>
            </w:pPr>
            <w:r>
              <w:rPr>
                <w:rFonts w:ascii="Arial" w:hAnsi="Arial" w:cs="Arial"/>
                <w:b/>
                <w:color w:val="002C47"/>
                <w:sz w:val="36"/>
                <w:szCs w:val="36"/>
              </w:rPr>
              <w:t>Second r</w:t>
            </w:r>
            <w:r w:rsidR="005F74D8">
              <w:rPr>
                <w:rFonts w:ascii="Arial" w:hAnsi="Arial" w:cs="Arial"/>
                <w:b/>
                <w:color w:val="002C47"/>
                <w:sz w:val="36"/>
                <w:szCs w:val="36"/>
              </w:rPr>
              <w:t xml:space="preserve">ound </w:t>
            </w:r>
            <w:r>
              <w:rPr>
                <w:rFonts w:ascii="Arial" w:hAnsi="Arial" w:cs="Arial"/>
                <w:b/>
                <w:color w:val="002C47"/>
                <w:sz w:val="36"/>
                <w:szCs w:val="36"/>
              </w:rPr>
              <w:t>e</w:t>
            </w:r>
            <w:r w:rsidR="005F74D8">
              <w:rPr>
                <w:rFonts w:ascii="Arial" w:hAnsi="Arial" w:cs="Arial"/>
                <w:b/>
                <w:color w:val="002C47"/>
                <w:sz w:val="36"/>
                <w:szCs w:val="36"/>
              </w:rPr>
              <w:t>valuation</w:t>
            </w:r>
            <w:r>
              <w:rPr>
                <w:rFonts w:ascii="Arial" w:hAnsi="Arial" w:cs="Arial"/>
                <w:b/>
                <w:color w:val="002C47"/>
                <w:sz w:val="36"/>
                <w:szCs w:val="36"/>
              </w:rPr>
              <w:t>:</w:t>
            </w:r>
            <w:r w:rsidR="005F74D8">
              <w:rPr>
                <w:rFonts w:ascii="Arial" w:hAnsi="Arial" w:cs="Arial"/>
                <w:b/>
                <w:color w:val="002C47"/>
                <w:sz w:val="36"/>
                <w:szCs w:val="36"/>
              </w:rPr>
              <w:t xml:space="preserve"> 2 December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D562DD">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F74D8" w:rsidRPr="005F74D8">
              <w:rPr>
                <w:color w:val="FFFFFF" w:themeColor="background1"/>
              </w:rPr>
              <w:t>Normal Human Immunoglobulin</w:t>
            </w:r>
          </w:p>
        </w:tc>
      </w:tr>
      <w:tr w:rsidR="00E07F15" w:rsidRPr="00B64760" w:rsidTr="00E07F15">
        <w:tc>
          <w:tcPr>
            <w:tcW w:w="9079" w:type="dxa"/>
          </w:tcPr>
          <w:p w:rsidR="00E07F15" w:rsidRPr="008E7846" w:rsidRDefault="00E07F15" w:rsidP="005F74D8">
            <w:pPr>
              <w:pStyle w:val="Subtitle"/>
              <w:rPr>
                <w:color w:val="FFFFFF" w:themeColor="background1"/>
              </w:rPr>
            </w:pPr>
            <w:r w:rsidRPr="008E7846">
              <w:rPr>
                <w:color w:val="FFFFFF" w:themeColor="background1"/>
              </w:rPr>
              <w:t xml:space="preserve">Proprietary Product Name: </w:t>
            </w:r>
            <w:proofErr w:type="spellStart"/>
            <w:r w:rsidR="005F74D8">
              <w:rPr>
                <w:color w:val="FFFFFF" w:themeColor="background1"/>
              </w:rPr>
              <w:t>Hizentra</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0D6A22">
              <w:rPr>
                <w:color w:val="FFFFFF" w:themeColor="background1"/>
              </w:rPr>
              <w:t xml:space="preserve"> </w:t>
            </w:r>
            <w:r w:rsidR="005F74D8" w:rsidRPr="005F74D8">
              <w:rPr>
                <w:color w:val="FFFFFF" w:themeColor="background1"/>
              </w:rPr>
              <w:t>CSL Behring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8502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8502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8502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8502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85029">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w:t>
          </w:r>
          <w:bookmarkStart w:id="2" w:name="_GoBack"/>
          <w:bookmarkEnd w:id="2"/>
          <w:r w:rsidRPr="0010788A">
            <w:t>s</w:t>
          </w:r>
        </w:p>
        <w:p w:rsidR="002B58E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2757284" w:history="1">
            <w:r w:rsidR="002B58E8" w:rsidRPr="00B2057B">
              <w:rPr>
                <w:rStyle w:val="Hyperlink"/>
                <w:noProof/>
              </w:rPr>
              <w:t>List of commonly used abbreviations</w:t>
            </w:r>
            <w:r w:rsidR="002B58E8">
              <w:rPr>
                <w:noProof/>
                <w:webHidden/>
              </w:rPr>
              <w:tab/>
            </w:r>
            <w:r w:rsidR="002B58E8">
              <w:rPr>
                <w:noProof/>
                <w:webHidden/>
              </w:rPr>
              <w:fldChar w:fldCharType="begin"/>
            </w:r>
            <w:r w:rsidR="002B58E8">
              <w:rPr>
                <w:noProof/>
                <w:webHidden/>
              </w:rPr>
              <w:instrText xml:space="preserve"> PAGEREF _Toc392757284 \h </w:instrText>
            </w:r>
            <w:r w:rsidR="002B58E8">
              <w:rPr>
                <w:noProof/>
                <w:webHidden/>
              </w:rPr>
            </w:r>
            <w:r w:rsidR="002B58E8">
              <w:rPr>
                <w:noProof/>
                <w:webHidden/>
              </w:rPr>
              <w:fldChar w:fldCharType="separate"/>
            </w:r>
            <w:r w:rsidR="002B58E8">
              <w:rPr>
                <w:noProof/>
                <w:webHidden/>
              </w:rPr>
              <w:t>5</w:t>
            </w:r>
            <w:r w:rsidR="002B58E8">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285" w:history="1">
            <w:r w:rsidRPr="00B2057B">
              <w:rPr>
                <w:rStyle w:val="Hyperlink"/>
                <w:noProof/>
                <w:lang w:eastAsia="en-AU"/>
              </w:rPr>
              <w:t>1.</w:t>
            </w:r>
            <w:r>
              <w:rPr>
                <w:rFonts w:asciiTheme="minorHAnsi" w:eastAsiaTheme="minorEastAsia" w:hAnsiTheme="minorHAnsi" w:cstheme="minorBidi"/>
                <w:b w:val="0"/>
                <w:noProof/>
                <w:sz w:val="22"/>
                <w:lang w:eastAsia="en-AU"/>
              </w:rPr>
              <w:tab/>
            </w:r>
            <w:r w:rsidRPr="00B2057B">
              <w:rPr>
                <w:rStyle w:val="Hyperlink"/>
                <w:noProof/>
                <w:lang w:eastAsia="en-AU"/>
              </w:rPr>
              <w:t>Clinical rationale</w:t>
            </w:r>
            <w:r>
              <w:rPr>
                <w:noProof/>
                <w:webHidden/>
              </w:rPr>
              <w:tab/>
            </w:r>
            <w:r>
              <w:rPr>
                <w:noProof/>
                <w:webHidden/>
              </w:rPr>
              <w:fldChar w:fldCharType="begin"/>
            </w:r>
            <w:r>
              <w:rPr>
                <w:noProof/>
                <w:webHidden/>
              </w:rPr>
              <w:instrText xml:space="preserve"> PAGEREF _Toc392757285 \h </w:instrText>
            </w:r>
            <w:r>
              <w:rPr>
                <w:noProof/>
                <w:webHidden/>
              </w:rPr>
            </w:r>
            <w:r>
              <w:rPr>
                <w:noProof/>
                <w:webHidden/>
              </w:rPr>
              <w:fldChar w:fldCharType="separate"/>
            </w:r>
            <w:r>
              <w:rPr>
                <w:noProof/>
                <w:webHidden/>
              </w:rPr>
              <w:t>8</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86" w:history="1">
            <w:r w:rsidRPr="00B2057B">
              <w:rPr>
                <w:rStyle w:val="Hyperlink"/>
                <w:rFonts w:eastAsia="TimesNewRoman"/>
                <w:noProof/>
              </w:rPr>
              <w:t>1.1.</w:t>
            </w:r>
            <w:r>
              <w:rPr>
                <w:rFonts w:asciiTheme="minorHAnsi" w:eastAsiaTheme="minorEastAsia" w:hAnsiTheme="minorHAnsi" w:cstheme="minorBidi"/>
                <w:noProof/>
                <w:lang w:eastAsia="en-AU"/>
              </w:rPr>
              <w:tab/>
            </w:r>
            <w:r w:rsidRPr="00B2057B">
              <w:rPr>
                <w:rStyle w:val="Hyperlink"/>
                <w:rFonts w:eastAsia="TimesNewRoman"/>
                <w:noProof/>
              </w:rPr>
              <w:t>Primary Immunodeficiencies (PID)</w:t>
            </w:r>
            <w:r>
              <w:rPr>
                <w:noProof/>
                <w:webHidden/>
              </w:rPr>
              <w:tab/>
            </w:r>
            <w:r>
              <w:rPr>
                <w:noProof/>
                <w:webHidden/>
              </w:rPr>
              <w:fldChar w:fldCharType="begin"/>
            </w:r>
            <w:r>
              <w:rPr>
                <w:noProof/>
                <w:webHidden/>
              </w:rPr>
              <w:instrText xml:space="preserve"> PAGEREF _Toc392757286 \h </w:instrText>
            </w:r>
            <w:r>
              <w:rPr>
                <w:noProof/>
                <w:webHidden/>
              </w:rPr>
            </w:r>
            <w:r>
              <w:rPr>
                <w:noProof/>
                <w:webHidden/>
              </w:rPr>
              <w:fldChar w:fldCharType="separate"/>
            </w:r>
            <w:r>
              <w:rPr>
                <w:noProof/>
                <w:webHidden/>
              </w:rPr>
              <w:t>8</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287" w:history="1">
            <w:r w:rsidRPr="00B2057B">
              <w:rPr>
                <w:rStyle w:val="Hyperlink"/>
                <w:noProof/>
                <w:lang w:eastAsia="en-AU"/>
              </w:rPr>
              <w:t>2.</w:t>
            </w:r>
            <w:r>
              <w:rPr>
                <w:rFonts w:asciiTheme="minorHAnsi" w:eastAsiaTheme="minorEastAsia" w:hAnsiTheme="minorHAnsi" w:cstheme="minorBidi"/>
                <w:b w:val="0"/>
                <w:noProof/>
                <w:sz w:val="22"/>
                <w:lang w:eastAsia="en-AU"/>
              </w:rPr>
              <w:tab/>
            </w:r>
            <w:r w:rsidRPr="00B2057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_Toc392757287 \h </w:instrText>
            </w:r>
            <w:r>
              <w:rPr>
                <w:noProof/>
                <w:webHidden/>
              </w:rPr>
            </w:r>
            <w:r>
              <w:rPr>
                <w:noProof/>
                <w:webHidden/>
              </w:rPr>
              <w:fldChar w:fldCharType="separate"/>
            </w:r>
            <w:r>
              <w:rPr>
                <w:noProof/>
                <w:webHidden/>
              </w:rPr>
              <w:t>9</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88" w:history="1">
            <w:r w:rsidRPr="00B2057B">
              <w:rPr>
                <w:rStyle w:val="Hyperlink"/>
                <w:noProof/>
              </w:rPr>
              <w:t>2.1.</w:t>
            </w:r>
            <w:r>
              <w:rPr>
                <w:rFonts w:asciiTheme="minorHAnsi" w:eastAsiaTheme="minorEastAsia" w:hAnsiTheme="minorHAnsi" w:cstheme="minorBidi"/>
                <w:noProof/>
                <w:lang w:eastAsia="en-AU"/>
              </w:rPr>
              <w:tab/>
            </w:r>
            <w:r w:rsidRPr="00B2057B">
              <w:rPr>
                <w:rStyle w:val="Hyperlink"/>
                <w:noProof/>
              </w:rPr>
              <w:t>Scope of the clinical dossier</w:t>
            </w:r>
            <w:r>
              <w:rPr>
                <w:noProof/>
                <w:webHidden/>
              </w:rPr>
              <w:tab/>
            </w:r>
            <w:r>
              <w:rPr>
                <w:noProof/>
                <w:webHidden/>
              </w:rPr>
              <w:fldChar w:fldCharType="begin"/>
            </w:r>
            <w:r>
              <w:rPr>
                <w:noProof/>
                <w:webHidden/>
              </w:rPr>
              <w:instrText xml:space="preserve"> PAGEREF _Toc392757288 \h </w:instrText>
            </w:r>
            <w:r>
              <w:rPr>
                <w:noProof/>
                <w:webHidden/>
              </w:rPr>
            </w:r>
            <w:r>
              <w:rPr>
                <w:noProof/>
                <w:webHidden/>
              </w:rPr>
              <w:fldChar w:fldCharType="separate"/>
            </w:r>
            <w:r>
              <w:rPr>
                <w:noProof/>
                <w:webHidden/>
              </w:rPr>
              <w:t>9</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89" w:history="1">
            <w:r w:rsidRPr="00B2057B">
              <w:rPr>
                <w:rStyle w:val="Hyperlink"/>
                <w:noProof/>
              </w:rPr>
              <w:t>2.2.</w:t>
            </w:r>
            <w:r>
              <w:rPr>
                <w:rFonts w:asciiTheme="minorHAnsi" w:eastAsiaTheme="minorEastAsia" w:hAnsiTheme="minorHAnsi" w:cstheme="minorBidi"/>
                <w:noProof/>
                <w:lang w:eastAsia="en-AU"/>
              </w:rPr>
              <w:tab/>
            </w:r>
            <w:r w:rsidRPr="00B2057B">
              <w:rPr>
                <w:rStyle w:val="Hyperlink"/>
                <w:noProof/>
              </w:rPr>
              <w:t>Paediatric data</w:t>
            </w:r>
            <w:r>
              <w:rPr>
                <w:noProof/>
                <w:webHidden/>
              </w:rPr>
              <w:tab/>
            </w:r>
            <w:r>
              <w:rPr>
                <w:noProof/>
                <w:webHidden/>
              </w:rPr>
              <w:fldChar w:fldCharType="begin"/>
            </w:r>
            <w:r>
              <w:rPr>
                <w:noProof/>
                <w:webHidden/>
              </w:rPr>
              <w:instrText xml:space="preserve"> PAGEREF _Toc392757289 \h </w:instrText>
            </w:r>
            <w:r>
              <w:rPr>
                <w:noProof/>
                <w:webHidden/>
              </w:rPr>
            </w:r>
            <w:r>
              <w:rPr>
                <w:noProof/>
                <w:webHidden/>
              </w:rPr>
              <w:fldChar w:fldCharType="separate"/>
            </w:r>
            <w:r>
              <w:rPr>
                <w:noProof/>
                <w:webHidden/>
              </w:rPr>
              <w:t>10</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0" w:history="1">
            <w:r w:rsidRPr="00B2057B">
              <w:rPr>
                <w:rStyle w:val="Hyperlink"/>
                <w:noProof/>
              </w:rPr>
              <w:t>2.3.</w:t>
            </w:r>
            <w:r>
              <w:rPr>
                <w:rFonts w:asciiTheme="minorHAnsi" w:eastAsiaTheme="minorEastAsia" w:hAnsiTheme="minorHAnsi" w:cstheme="minorBidi"/>
                <w:noProof/>
                <w:lang w:eastAsia="en-AU"/>
              </w:rPr>
              <w:tab/>
            </w:r>
            <w:r w:rsidRPr="00B2057B">
              <w:rPr>
                <w:rStyle w:val="Hyperlink"/>
                <w:noProof/>
              </w:rPr>
              <w:t>Good clinical practice</w:t>
            </w:r>
            <w:r>
              <w:rPr>
                <w:noProof/>
                <w:webHidden/>
              </w:rPr>
              <w:tab/>
            </w:r>
            <w:r>
              <w:rPr>
                <w:noProof/>
                <w:webHidden/>
              </w:rPr>
              <w:fldChar w:fldCharType="begin"/>
            </w:r>
            <w:r>
              <w:rPr>
                <w:noProof/>
                <w:webHidden/>
              </w:rPr>
              <w:instrText xml:space="preserve"> PAGEREF _Toc392757290 \h </w:instrText>
            </w:r>
            <w:r>
              <w:rPr>
                <w:noProof/>
                <w:webHidden/>
              </w:rPr>
            </w:r>
            <w:r>
              <w:rPr>
                <w:noProof/>
                <w:webHidden/>
              </w:rPr>
              <w:fldChar w:fldCharType="separate"/>
            </w:r>
            <w:r>
              <w:rPr>
                <w:noProof/>
                <w:webHidden/>
              </w:rPr>
              <w:t>10</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291" w:history="1">
            <w:r w:rsidRPr="00B2057B">
              <w:rPr>
                <w:rStyle w:val="Hyperlink"/>
                <w:noProof/>
              </w:rPr>
              <w:t>3.</w:t>
            </w:r>
            <w:r>
              <w:rPr>
                <w:rFonts w:asciiTheme="minorHAnsi" w:eastAsiaTheme="minorEastAsia" w:hAnsiTheme="minorHAnsi" w:cstheme="minorBidi"/>
                <w:b w:val="0"/>
                <w:noProof/>
                <w:sz w:val="22"/>
                <w:lang w:eastAsia="en-AU"/>
              </w:rPr>
              <w:tab/>
            </w:r>
            <w:r w:rsidRPr="00B2057B">
              <w:rPr>
                <w:rStyle w:val="Hyperlink"/>
                <w:noProof/>
              </w:rPr>
              <w:t>Pharmacokinetics</w:t>
            </w:r>
            <w:r>
              <w:rPr>
                <w:noProof/>
                <w:webHidden/>
              </w:rPr>
              <w:tab/>
            </w:r>
            <w:r>
              <w:rPr>
                <w:noProof/>
                <w:webHidden/>
              </w:rPr>
              <w:fldChar w:fldCharType="begin"/>
            </w:r>
            <w:r>
              <w:rPr>
                <w:noProof/>
                <w:webHidden/>
              </w:rPr>
              <w:instrText xml:space="preserve"> PAGEREF _Toc392757291 \h </w:instrText>
            </w:r>
            <w:r>
              <w:rPr>
                <w:noProof/>
                <w:webHidden/>
              </w:rPr>
            </w:r>
            <w:r>
              <w:rPr>
                <w:noProof/>
                <w:webHidden/>
              </w:rPr>
              <w:fldChar w:fldCharType="separate"/>
            </w:r>
            <w:r>
              <w:rPr>
                <w:noProof/>
                <w:webHidden/>
              </w:rPr>
              <w:t>10</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2" w:history="1">
            <w:r w:rsidRPr="00B2057B">
              <w:rPr>
                <w:rStyle w:val="Hyperlink"/>
                <w:noProof/>
              </w:rPr>
              <w:t>3.1.</w:t>
            </w:r>
            <w:r>
              <w:rPr>
                <w:rFonts w:asciiTheme="minorHAnsi" w:eastAsiaTheme="minorEastAsia" w:hAnsiTheme="minorHAnsi" w:cstheme="minorBidi"/>
                <w:noProof/>
                <w:lang w:eastAsia="en-AU"/>
              </w:rPr>
              <w:tab/>
            </w:r>
            <w:r w:rsidRPr="00B2057B">
              <w:rPr>
                <w:rStyle w:val="Hyperlink"/>
                <w:noProof/>
              </w:rPr>
              <w:t>Studies providing pharmacokinetic data</w:t>
            </w:r>
            <w:r>
              <w:rPr>
                <w:noProof/>
                <w:webHidden/>
              </w:rPr>
              <w:tab/>
            </w:r>
            <w:r>
              <w:rPr>
                <w:noProof/>
                <w:webHidden/>
              </w:rPr>
              <w:fldChar w:fldCharType="begin"/>
            </w:r>
            <w:r>
              <w:rPr>
                <w:noProof/>
                <w:webHidden/>
              </w:rPr>
              <w:instrText xml:space="preserve"> PAGEREF _Toc392757292 \h </w:instrText>
            </w:r>
            <w:r>
              <w:rPr>
                <w:noProof/>
                <w:webHidden/>
              </w:rPr>
            </w:r>
            <w:r>
              <w:rPr>
                <w:noProof/>
                <w:webHidden/>
              </w:rPr>
              <w:fldChar w:fldCharType="separate"/>
            </w:r>
            <w:r>
              <w:rPr>
                <w:noProof/>
                <w:webHidden/>
              </w:rPr>
              <w:t>10</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3" w:history="1">
            <w:r w:rsidRPr="00B2057B">
              <w:rPr>
                <w:rStyle w:val="Hyperlink"/>
                <w:noProof/>
              </w:rPr>
              <w:t>3.2.</w:t>
            </w:r>
            <w:r>
              <w:rPr>
                <w:rFonts w:asciiTheme="minorHAnsi" w:eastAsiaTheme="minorEastAsia" w:hAnsiTheme="minorHAnsi" w:cstheme="minorBidi"/>
                <w:noProof/>
                <w:lang w:eastAsia="en-AU"/>
              </w:rPr>
              <w:tab/>
            </w:r>
            <w:r w:rsidRPr="00B2057B">
              <w:rPr>
                <w:rStyle w:val="Hyperlink"/>
                <w:noProof/>
              </w:rPr>
              <w:t>Summary of pharmacokinetics</w:t>
            </w:r>
            <w:r>
              <w:rPr>
                <w:noProof/>
                <w:webHidden/>
              </w:rPr>
              <w:tab/>
            </w:r>
            <w:r>
              <w:rPr>
                <w:noProof/>
                <w:webHidden/>
              </w:rPr>
              <w:fldChar w:fldCharType="begin"/>
            </w:r>
            <w:r>
              <w:rPr>
                <w:noProof/>
                <w:webHidden/>
              </w:rPr>
              <w:instrText xml:space="preserve"> PAGEREF _Toc392757293 \h </w:instrText>
            </w:r>
            <w:r>
              <w:rPr>
                <w:noProof/>
                <w:webHidden/>
              </w:rPr>
            </w:r>
            <w:r>
              <w:rPr>
                <w:noProof/>
                <w:webHidden/>
              </w:rPr>
              <w:fldChar w:fldCharType="separate"/>
            </w:r>
            <w:r>
              <w:rPr>
                <w:noProof/>
                <w:webHidden/>
              </w:rPr>
              <w:t>12</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4" w:history="1">
            <w:r w:rsidRPr="00B2057B">
              <w:rPr>
                <w:rStyle w:val="Hyperlink"/>
                <w:noProof/>
              </w:rPr>
              <w:t>3.3.</w:t>
            </w:r>
            <w:r>
              <w:rPr>
                <w:rFonts w:asciiTheme="minorHAnsi" w:eastAsiaTheme="minorEastAsia" w:hAnsiTheme="minorHAnsi" w:cstheme="minorBidi"/>
                <w:noProof/>
                <w:lang w:eastAsia="en-AU"/>
              </w:rPr>
              <w:tab/>
            </w:r>
            <w:r w:rsidRPr="00B2057B">
              <w:rPr>
                <w:rStyle w:val="Hyperlink"/>
                <w:noProof/>
              </w:rPr>
              <w:t>Pharmacokinetics in the target population</w:t>
            </w:r>
            <w:r>
              <w:rPr>
                <w:noProof/>
                <w:webHidden/>
              </w:rPr>
              <w:tab/>
            </w:r>
            <w:r>
              <w:rPr>
                <w:noProof/>
                <w:webHidden/>
              </w:rPr>
              <w:fldChar w:fldCharType="begin"/>
            </w:r>
            <w:r>
              <w:rPr>
                <w:noProof/>
                <w:webHidden/>
              </w:rPr>
              <w:instrText xml:space="preserve"> PAGEREF _Toc392757294 \h </w:instrText>
            </w:r>
            <w:r>
              <w:rPr>
                <w:noProof/>
                <w:webHidden/>
              </w:rPr>
            </w:r>
            <w:r>
              <w:rPr>
                <w:noProof/>
                <w:webHidden/>
              </w:rPr>
              <w:fldChar w:fldCharType="separate"/>
            </w:r>
            <w:r>
              <w:rPr>
                <w:noProof/>
                <w:webHidden/>
              </w:rPr>
              <w:t>14</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5" w:history="1">
            <w:r w:rsidRPr="00B2057B">
              <w:rPr>
                <w:rStyle w:val="Hyperlink"/>
                <w:noProof/>
              </w:rPr>
              <w:t>3.4.</w:t>
            </w:r>
            <w:r>
              <w:rPr>
                <w:rFonts w:asciiTheme="minorHAnsi" w:eastAsiaTheme="minorEastAsia" w:hAnsiTheme="minorHAnsi" w:cstheme="minorBidi"/>
                <w:noProof/>
                <w:lang w:eastAsia="en-AU"/>
              </w:rPr>
              <w:tab/>
            </w:r>
            <w:r w:rsidRPr="00B2057B">
              <w:rPr>
                <w:rStyle w:val="Hyperlink"/>
                <w:noProof/>
              </w:rPr>
              <w:t>Pharmacokinetics in other special populations</w:t>
            </w:r>
            <w:r>
              <w:rPr>
                <w:noProof/>
                <w:webHidden/>
              </w:rPr>
              <w:tab/>
            </w:r>
            <w:r>
              <w:rPr>
                <w:noProof/>
                <w:webHidden/>
              </w:rPr>
              <w:fldChar w:fldCharType="begin"/>
            </w:r>
            <w:r>
              <w:rPr>
                <w:noProof/>
                <w:webHidden/>
              </w:rPr>
              <w:instrText xml:space="preserve"> PAGEREF _Toc392757295 \h </w:instrText>
            </w:r>
            <w:r>
              <w:rPr>
                <w:noProof/>
                <w:webHidden/>
              </w:rPr>
            </w:r>
            <w:r>
              <w:rPr>
                <w:noProof/>
                <w:webHidden/>
              </w:rPr>
              <w:fldChar w:fldCharType="separate"/>
            </w:r>
            <w:r>
              <w:rPr>
                <w:noProof/>
                <w:webHidden/>
              </w:rPr>
              <w:t>15</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6" w:history="1">
            <w:r w:rsidRPr="00B2057B">
              <w:rPr>
                <w:rStyle w:val="Hyperlink"/>
                <w:noProof/>
              </w:rPr>
              <w:t>3.5.</w:t>
            </w:r>
            <w:r>
              <w:rPr>
                <w:rFonts w:asciiTheme="minorHAnsi" w:eastAsiaTheme="minorEastAsia" w:hAnsiTheme="minorHAnsi" w:cstheme="minorBidi"/>
                <w:noProof/>
                <w:lang w:eastAsia="en-AU"/>
              </w:rPr>
              <w:tab/>
            </w:r>
            <w:r w:rsidRPr="00B2057B">
              <w:rPr>
                <w:rStyle w:val="Hyperlink"/>
                <w:noProof/>
              </w:rPr>
              <w:t>Pharmacokinetic interactions</w:t>
            </w:r>
            <w:r>
              <w:rPr>
                <w:noProof/>
                <w:webHidden/>
              </w:rPr>
              <w:tab/>
            </w:r>
            <w:r>
              <w:rPr>
                <w:noProof/>
                <w:webHidden/>
              </w:rPr>
              <w:fldChar w:fldCharType="begin"/>
            </w:r>
            <w:r>
              <w:rPr>
                <w:noProof/>
                <w:webHidden/>
              </w:rPr>
              <w:instrText xml:space="preserve"> PAGEREF _Toc392757296 \h </w:instrText>
            </w:r>
            <w:r>
              <w:rPr>
                <w:noProof/>
                <w:webHidden/>
              </w:rPr>
            </w:r>
            <w:r>
              <w:rPr>
                <w:noProof/>
                <w:webHidden/>
              </w:rPr>
              <w:fldChar w:fldCharType="separate"/>
            </w:r>
            <w:r>
              <w:rPr>
                <w:noProof/>
                <w:webHidden/>
              </w:rPr>
              <w:t>16</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297" w:history="1">
            <w:r w:rsidRPr="00B2057B">
              <w:rPr>
                <w:rStyle w:val="Hyperlink"/>
                <w:noProof/>
              </w:rPr>
              <w:t>4.</w:t>
            </w:r>
            <w:r>
              <w:rPr>
                <w:rFonts w:asciiTheme="minorHAnsi" w:eastAsiaTheme="minorEastAsia" w:hAnsiTheme="minorHAnsi" w:cstheme="minorBidi"/>
                <w:b w:val="0"/>
                <w:noProof/>
                <w:sz w:val="22"/>
                <w:lang w:eastAsia="en-AU"/>
              </w:rPr>
              <w:tab/>
            </w:r>
            <w:r w:rsidRPr="00B2057B">
              <w:rPr>
                <w:rStyle w:val="Hyperlink"/>
                <w:noProof/>
              </w:rPr>
              <w:t>Evaluator’s overall conclusions on pharmacokinetics</w:t>
            </w:r>
            <w:r>
              <w:rPr>
                <w:noProof/>
                <w:webHidden/>
              </w:rPr>
              <w:tab/>
            </w:r>
            <w:r>
              <w:rPr>
                <w:noProof/>
                <w:webHidden/>
              </w:rPr>
              <w:fldChar w:fldCharType="begin"/>
            </w:r>
            <w:r>
              <w:rPr>
                <w:noProof/>
                <w:webHidden/>
              </w:rPr>
              <w:instrText xml:space="preserve"> PAGEREF _Toc392757297 \h </w:instrText>
            </w:r>
            <w:r>
              <w:rPr>
                <w:noProof/>
                <w:webHidden/>
              </w:rPr>
            </w:r>
            <w:r>
              <w:rPr>
                <w:noProof/>
                <w:webHidden/>
              </w:rPr>
              <w:fldChar w:fldCharType="separate"/>
            </w:r>
            <w:r>
              <w:rPr>
                <w:noProof/>
                <w:webHidden/>
              </w:rPr>
              <w:t>16</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298" w:history="1">
            <w:r w:rsidRPr="00B2057B">
              <w:rPr>
                <w:rStyle w:val="Hyperlink"/>
                <w:noProof/>
              </w:rPr>
              <w:t>5.</w:t>
            </w:r>
            <w:r>
              <w:rPr>
                <w:rFonts w:asciiTheme="minorHAnsi" w:eastAsiaTheme="minorEastAsia" w:hAnsiTheme="minorHAnsi" w:cstheme="minorBidi"/>
                <w:b w:val="0"/>
                <w:noProof/>
                <w:sz w:val="22"/>
                <w:lang w:eastAsia="en-AU"/>
              </w:rPr>
              <w:tab/>
            </w:r>
            <w:r w:rsidRPr="00B2057B">
              <w:rPr>
                <w:rStyle w:val="Hyperlink"/>
                <w:noProof/>
              </w:rPr>
              <w:t>Pharmacodynamics</w:t>
            </w:r>
            <w:r>
              <w:rPr>
                <w:noProof/>
                <w:webHidden/>
              </w:rPr>
              <w:tab/>
            </w:r>
            <w:r>
              <w:rPr>
                <w:noProof/>
                <w:webHidden/>
              </w:rPr>
              <w:fldChar w:fldCharType="begin"/>
            </w:r>
            <w:r>
              <w:rPr>
                <w:noProof/>
                <w:webHidden/>
              </w:rPr>
              <w:instrText xml:space="preserve"> PAGEREF _Toc392757298 \h </w:instrText>
            </w:r>
            <w:r>
              <w:rPr>
                <w:noProof/>
                <w:webHidden/>
              </w:rPr>
            </w:r>
            <w:r>
              <w:rPr>
                <w:noProof/>
                <w:webHidden/>
              </w:rPr>
              <w:fldChar w:fldCharType="separate"/>
            </w:r>
            <w:r>
              <w:rPr>
                <w:noProof/>
                <w:webHidden/>
              </w:rPr>
              <w:t>17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299" w:history="1">
            <w:r w:rsidRPr="00B2057B">
              <w:rPr>
                <w:rStyle w:val="Hyperlink"/>
                <w:noProof/>
              </w:rPr>
              <w:t>5.1.</w:t>
            </w:r>
            <w:r>
              <w:rPr>
                <w:rFonts w:asciiTheme="minorHAnsi" w:eastAsiaTheme="minorEastAsia" w:hAnsiTheme="minorHAnsi" w:cstheme="minorBidi"/>
                <w:noProof/>
                <w:lang w:eastAsia="en-AU"/>
              </w:rPr>
              <w:tab/>
            </w:r>
            <w:r w:rsidRPr="00B2057B">
              <w:rPr>
                <w:rStyle w:val="Hyperlink"/>
                <w:noProof/>
              </w:rPr>
              <w:t>Studies providing pharmacodynamic data</w:t>
            </w:r>
            <w:r>
              <w:rPr>
                <w:noProof/>
                <w:webHidden/>
              </w:rPr>
              <w:tab/>
            </w:r>
            <w:r>
              <w:rPr>
                <w:noProof/>
                <w:webHidden/>
              </w:rPr>
              <w:fldChar w:fldCharType="begin"/>
            </w:r>
            <w:r>
              <w:rPr>
                <w:noProof/>
                <w:webHidden/>
              </w:rPr>
              <w:instrText xml:space="preserve"> PAGEREF _Toc392757299 \h </w:instrText>
            </w:r>
            <w:r>
              <w:rPr>
                <w:noProof/>
                <w:webHidden/>
              </w:rPr>
            </w:r>
            <w:r>
              <w:rPr>
                <w:noProof/>
                <w:webHidden/>
              </w:rPr>
              <w:fldChar w:fldCharType="separate"/>
            </w:r>
            <w:r>
              <w:rPr>
                <w:noProof/>
                <w:webHidden/>
              </w:rPr>
              <w:t>17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0" w:history="1">
            <w:r w:rsidRPr="00B2057B">
              <w:rPr>
                <w:rStyle w:val="Hyperlink"/>
                <w:noProof/>
              </w:rPr>
              <w:t>5.2.</w:t>
            </w:r>
            <w:r>
              <w:rPr>
                <w:rFonts w:asciiTheme="minorHAnsi" w:eastAsiaTheme="minorEastAsia" w:hAnsiTheme="minorHAnsi" w:cstheme="minorBidi"/>
                <w:noProof/>
                <w:lang w:eastAsia="en-AU"/>
              </w:rPr>
              <w:tab/>
            </w:r>
            <w:r w:rsidRPr="00B2057B">
              <w:rPr>
                <w:rStyle w:val="Hyperlink"/>
                <w:noProof/>
              </w:rPr>
              <w:t>Summary of pharmacodynamics</w:t>
            </w:r>
            <w:r>
              <w:rPr>
                <w:noProof/>
                <w:webHidden/>
              </w:rPr>
              <w:tab/>
            </w:r>
            <w:r>
              <w:rPr>
                <w:noProof/>
                <w:webHidden/>
              </w:rPr>
              <w:fldChar w:fldCharType="begin"/>
            </w:r>
            <w:r>
              <w:rPr>
                <w:noProof/>
                <w:webHidden/>
              </w:rPr>
              <w:instrText xml:space="preserve"> PAGEREF _Toc392757300 \h </w:instrText>
            </w:r>
            <w:r>
              <w:rPr>
                <w:noProof/>
                <w:webHidden/>
              </w:rPr>
            </w:r>
            <w:r>
              <w:rPr>
                <w:noProof/>
                <w:webHidden/>
              </w:rPr>
              <w:fldChar w:fldCharType="separate"/>
            </w:r>
            <w:r>
              <w:rPr>
                <w:noProof/>
                <w:webHidden/>
              </w:rPr>
              <w:t>17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1" w:history="1">
            <w:r w:rsidRPr="00B2057B">
              <w:rPr>
                <w:rStyle w:val="Hyperlink"/>
                <w:noProof/>
              </w:rPr>
              <w:t>5.3.</w:t>
            </w:r>
            <w:r>
              <w:rPr>
                <w:rFonts w:asciiTheme="minorHAnsi" w:eastAsiaTheme="minorEastAsia" w:hAnsiTheme="minorHAnsi" w:cstheme="minorBidi"/>
                <w:noProof/>
                <w:lang w:eastAsia="en-AU"/>
              </w:rPr>
              <w:tab/>
            </w:r>
            <w:r w:rsidRPr="00B2057B">
              <w:rPr>
                <w:rStyle w:val="Hyperlink"/>
                <w:noProof/>
              </w:rPr>
              <w:t>Mechanism of action</w:t>
            </w:r>
            <w:r>
              <w:rPr>
                <w:noProof/>
                <w:webHidden/>
              </w:rPr>
              <w:tab/>
            </w:r>
            <w:r>
              <w:rPr>
                <w:noProof/>
                <w:webHidden/>
              </w:rPr>
              <w:fldChar w:fldCharType="begin"/>
            </w:r>
            <w:r>
              <w:rPr>
                <w:noProof/>
                <w:webHidden/>
              </w:rPr>
              <w:instrText xml:space="preserve"> PAGEREF _Toc392757301 \h </w:instrText>
            </w:r>
            <w:r>
              <w:rPr>
                <w:noProof/>
                <w:webHidden/>
              </w:rPr>
            </w:r>
            <w:r>
              <w:rPr>
                <w:noProof/>
                <w:webHidden/>
              </w:rPr>
              <w:fldChar w:fldCharType="separate"/>
            </w:r>
            <w:r>
              <w:rPr>
                <w:noProof/>
                <w:webHidden/>
              </w:rPr>
              <w:t>17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2" w:history="1">
            <w:r w:rsidRPr="00B2057B">
              <w:rPr>
                <w:rStyle w:val="Hyperlink"/>
                <w:noProof/>
              </w:rPr>
              <w:t>5.4.</w:t>
            </w:r>
            <w:r>
              <w:rPr>
                <w:rFonts w:asciiTheme="minorHAnsi" w:eastAsiaTheme="minorEastAsia" w:hAnsiTheme="minorHAnsi" w:cstheme="minorBidi"/>
                <w:noProof/>
                <w:lang w:eastAsia="en-AU"/>
              </w:rPr>
              <w:tab/>
            </w:r>
            <w:r w:rsidRPr="00B2057B">
              <w:rPr>
                <w:rStyle w:val="Hyperlink"/>
                <w:noProof/>
              </w:rPr>
              <w:t>Pharmacodynamic effects</w:t>
            </w:r>
            <w:r>
              <w:rPr>
                <w:noProof/>
                <w:webHidden/>
              </w:rPr>
              <w:tab/>
            </w:r>
            <w:r>
              <w:rPr>
                <w:noProof/>
                <w:webHidden/>
              </w:rPr>
              <w:fldChar w:fldCharType="begin"/>
            </w:r>
            <w:r>
              <w:rPr>
                <w:noProof/>
                <w:webHidden/>
              </w:rPr>
              <w:instrText xml:space="preserve"> PAGEREF _Toc392757302 \h </w:instrText>
            </w:r>
            <w:r>
              <w:rPr>
                <w:noProof/>
                <w:webHidden/>
              </w:rPr>
            </w:r>
            <w:r>
              <w:rPr>
                <w:noProof/>
                <w:webHidden/>
              </w:rPr>
              <w:fldChar w:fldCharType="separate"/>
            </w:r>
            <w:r>
              <w:rPr>
                <w:noProof/>
                <w:webHidden/>
              </w:rPr>
              <w:t>17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3" w:history="1">
            <w:r w:rsidRPr="00B2057B">
              <w:rPr>
                <w:rStyle w:val="Hyperlink"/>
                <w:noProof/>
              </w:rPr>
              <w:t>5.5.</w:t>
            </w:r>
            <w:r>
              <w:rPr>
                <w:rFonts w:asciiTheme="minorHAnsi" w:eastAsiaTheme="minorEastAsia" w:hAnsiTheme="minorHAnsi" w:cstheme="minorBidi"/>
                <w:noProof/>
                <w:lang w:eastAsia="en-AU"/>
              </w:rPr>
              <w:tab/>
            </w:r>
            <w:r w:rsidRPr="00B2057B">
              <w:rPr>
                <w:rStyle w:val="Hyperlink"/>
                <w:noProof/>
              </w:rPr>
              <w:t>Time course of pharmacodynamic effects</w:t>
            </w:r>
            <w:r>
              <w:rPr>
                <w:noProof/>
                <w:webHidden/>
              </w:rPr>
              <w:tab/>
            </w:r>
            <w:r>
              <w:rPr>
                <w:noProof/>
                <w:webHidden/>
              </w:rPr>
              <w:fldChar w:fldCharType="begin"/>
            </w:r>
            <w:r>
              <w:rPr>
                <w:noProof/>
                <w:webHidden/>
              </w:rPr>
              <w:instrText xml:space="preserve"> PAGEREF _Toc392757303 \h </w:instrText>
            </w:r>
            <w:r>
              <w:rPr>
                <w:noProof/>
                <w:webHidden/>
              </w:rPr>
            </w:r>
            <w:r>
              <w:rPr>
                <w:noProof/>
                <w:webHidden/>
              </w:rPr>
              <w:fldChar w:fldCharType="separate"/>
            </w:r>
            <w:r>
              <w:rPr>
                <w:noProof/>
                <w:webHidden/>
              </w:rPr>
              <w:t>17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4" w:history="1">
            <w:r w:rsidRPr="00B2057B">
              <w:rPr>
                <w:rStyle w:val="Hyperlink"/>
                <w:noProof/>
              </w:rPr>
              <w:t>5.6.</w:t>
            </w:r>
            <w:r>
              <w:rPr>
                <w:rFonts w:asciiTheme="minorHAnsi" w:eastAsiaTheme="minorEastAsia" w:hAnsiTheme="minorHAnsi" w:cstheme="minorBidi"/>
                <w:noProof/>
                <w:lang w:eastAsia="en-AU"/>
              </w:rPr>
              <w:tab/>
            </w:r>
            <w:r w:rsidRPr="00B2057B">
              <w:rPr>
                <w:rStyle w:val="Hyperlink"/>
                <w:noProof/>
              </w:rPr>
              <w:t>Relationship between drug concentration and pharmacodynamic effects</w:t>
            </w:r>
            <w:r>
              <w:rPr>
                <w:noProof/>
                <w:webHidden/>
              </w:rPr>
              <w:tab/>
            </w:r>
            <w:r>
              <w:rPr>
                <w:noProof/>
                <w:webHidden/>
              </w:rPr>
              <w:fldChar w:fldCharType="begin"/>
            </w:r>
            <w:r>
              <w:rPr>
                <w:noProof/>
                <w:webHidden/>
              </w:rPr>
              <w:instrText xml:space="preserve"> PAGEREF _Toc392757304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5" w:history="1">
            <w:r w:rsidRPr="00B2057B">
              <w:rPr>
                <w:rStyle w:val="Hyperlink"/>
                <w:noProof/>
              </w:rPr>
              <w:t>5.7.</w:t>
            </w:r>
            <w:r>
              <w:rPr>
                <w:rFonts w:asciiTheme="minorHAnsi" w:eastAsiaTheme="minorEastAsia" w:hAnsiTheme="minorHAnsi" w:cstheme="minorBidi"/>
                <w:noProof/>
                <w:lang w:eastAsia="en-AU"/>
              </w:rPr>
              <w:tab/>
            </w:r>
            <w:r w:rsidRPr="00B2057B">
              <w:rPr>
                <w:rStyle w:val="Hyperlink"/>
                <w:noProof/>
              </w:rPr>
              <w:t>Genetic, gender and age-related differences in pharmacodynamic response</w:t>
            </w:r>
            <w:r>
              <w:rPr>
                <w:noProof/>
                <w:webHidden/>
              </w:rPr>
              <w:tab/>
            </w:r>
            <w:r>
              <w:rPr>
                <w:noProof/>
                <w:webHidden/>
              </w:rPr>
              <w:fldChar w:fldCharType="begin"/>
            </w:r>
            <w:r>
              <w:rPr>
                <w:noProof/>
                <w:webHidden/>
              </w:rPr>
              <w:instrText xml:space="preserve"> PAGEREF _Toc392757305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6" w:history="1">
            <w:r w:rsidRPr="00B2057B">
              <w:rPr>
                <w:rStyle w:val="Hyperlink"/>
                <w:noProof/>
              </w:rPr>
              <w:t>5.8.</w:t>
            </w:r>
            <w:r>
              <w:rPr>
                <w:rFonts w:asciiTheme="minorHAnsi" w:eastAsiaTheme="minorEastAsia" w:hAnsiTheme="minorHAnsi" w:cstheme="minorBidi"/>
                <w:noProof/>
                <w:lang w:eastAsia="en-AU"/>
              </w:rPr>
              <w:tab/>
            </w:r>
            <w:r w:rsidRPr="00B2057B">
              <w:rPr>
                <w:rStyle w:val="Hyperlink"/>
                <w:noProof/>
              </w:rPr>
              <w:t>Pharmacodynamic interactions</w:t>
            </w:r>
            <w:r>
              <w:rPr>
                <w:noProof/>
                <w:webHidden/>
              </w:rPr>
              <w:tab/>
            </w:r>
            <w:r>
              <w:rPr>
                <w:noProof/>
                <w:webHidden/>
              </w:rPr>
              <w:fldChar w:fldCharType="begin"/>
            </w:r>
            <w:r>
              <w:rPr>
                <w:noProof/>
                <w:webHidden/>
              </w:rPr>
              <w:instrText xml:space="preserve"> PAGEREF _Toc392757306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07" w:history="1">
            <w:r w:rsidRPr="00B2057B">
              <w:rPr>
                <w:rStyle w:val="Hyperlink"/>
                <w:noProof/>
              </w:rPr>
              <w:t>5.9.</w:t>
            </w:r>
            <w:r>
              <w:rPr>
                <w:rFonts w:asciiTheme="minorHAnsi" w:eastAsiaTheme="minorEastAsia" w:hAnsiTheme="minorHAnsi" w:cstheme="minorBidi"/>
                <w:noProof/>
                <w:lang w:eastAsia="en-AU"/>
              </w:rPr>
              <w:tab/>
            </w:r>
            <w:r w:rsidRPr="00B2057B">
              <w:rPr>
                <w:rStyle w:val="Hyperlink"/>
                <w:noProof/>
              </w:rPr>
              <w:t>Evaluator’s overall conclusions on pharmacodynamics</w:t>
            </w:r>
            <w:r>
              <w:rPr>
                <w:noProof/>
                <w:webHidden/>
              </w:rPr>
              <w:tab/>
            </w:r>
            <w:r>
              <w:rPr>
                <w:noProof/>
                <w:webHidden/>
              </w:rPr>
              <w:fldChar w:fldCharType="begin"/>
            </w:r>
            <w:r>
              <w:rPr>
                <w:noProof/>
                <w:webHidden/>
              </w:rPr>
              <w:instrText xml:space="preserve"> PAGEREF _Toc392757307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08" w:history="1">
            <w:r w:rsidRPr="00B2057B">
              <w:rPr>
                <w:rStyle w:val="Hyperlink"/>
                <w:noProof/>
              </w:rPr>
              <w:t>6.</w:t>
            </w:r>
            <w:r>
              <w:rPr>
                <w:rFonts w:asciiTheme="minorHAnsi" w:eastAsiaTheme="minorEastAsia" w:hAnsiTheme="minorHAnsi" w:cstheme="minorBidi"/>
                <w:b w:val="0"/>
                <w:noProof/>
                <w:sz w:val="22"/>
                <w:lang w:eastAsia="en-AU"/>
              </w:rPr>
              <w:tab/>
            </w:r>
            <w:r w:rsidRPr="00B2057B">
              <w:rPr>
                <w:rStyle w:val="Hyperlink"/>
                <w:noProof/>
              </w:rPr>
              <w:t>Dosage selection for the pivotal studies</w:t>
            </w:r>
            <w:r>
              <w:rPr>
                <w:noProof/>
                <w:webHidden/>
              </w:rPr>
              <w:tab/>
            </w:r>
            <w:r>
              <w:rPr>
                <w:noProof/>
                <w:webHidden/>
              </w:rPr>
              <w:fldChar w:fldCharType="begin"/>
            </w:r>
            <w:r>
              <w:rPr>
                <w:noProof/>
                <w:webHidden/>
              </w:rPr>
              <w:instrText xml:space="preserve"> PAGEREF _Toc392757308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09" w:history="1">
            <w:r w:rsidRPr="00B2057B">
              <w:rPr>
                <w:rStyle w:val="Hyperlink"/>
                <w:noProof/>
              </w:rPr>
              <w:t>7.</w:t>
            </w:r>
            <w:r>
              <w:rPr>
                <w:rFonts w:asciiTheme="minorHAnsi" w:eastAsiaTheme="minorEastAsia" w:hAnsiTheme="minorHAnsi" w:cstheme="minorBidi"/>
                <w:b w:val="0"/>
                <w:noProof/>
                <w:sz w:val="22"/>
                <w:lang w:eastAsia="en-AU"/>
              </w:rPr>
              <w:tab/>
            </w:r>
            <w:r w:rsidRPr="00B2057B">
              <w:rPr>
                <w:rStyle w:val="Hyperlink"/>
                <w:noProof/>
              </w:rPr>
              <w:t>Clinical efficacy</w:t>
            </w:r>
            <w:r>
              <w:rPr>
                <w:noProof/>
                <w:webHidden/>
              </w:rPr>
              <w:tab/>
            </w:r>
            <w:r>
              <w:rPr>
                <w:noProof/>
                <w:webHidden/>
              </w:rPr>
              <w:fldChar w:fldCharType="begin"/>
            </w:r>
            <w:r>
              <w:rPr>
                <w:noProof/>
                <w:webHidden/>
              </w:rPr>
              <w:instrText xml:space="preserve"> PAGEREF _Toc392757309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0" w:history="1">
            <w:r w:rsidRPr="00B2057B">
              <w:rPr>
                <w:rStyle w:val="Hyperlink"/>
                <w:noProof/>
              </w:rPr>
              <w:t>7.1.</w:t>
            </w:r>
            <w:r>
              <w:rPr>
                <w:rFonts w:asciiTheme="minorHAnsi" w:eastAsiaTheme="minorEastAsia" w:hAnsiTheme="minorHAnsi" w:cstheme="minorBidi"/>
                <w:noProof/>
                <w:lang w:eastAsia="en-AU"/>
              </w:rPr>
              <w:tab/>
            </w:r>
            <w:r w:rsidRPr="00B2057B">
              <w:rPr>
                <w:rStyle w:val="Hyperlink"/>
                <w:noProof/>
              </w:rPr>
              <w:t>Pivotal efficacy study for use of Hizentra</w:t>
            </w:r>
            <w:r w:rsidRPr="00B2057B">
              <w:rPr>
                <w:rStyle w:val="Hyperlink"/>
                <w:noProof/>
              </w:rPr>
              <w:sym w:font="Symbol" w:char="F0D2"/>
            </w:r>
            <w:r w:rsidRPr="00B2057B">
              <w:rPr>
                <w:rStyle w:val="Hyperlink"/>
                <w:noProof/>
              </w:rPr>
              <w:t xml:space="preserve"> as Ig replacement in PID</w:t>
            </w:r>
            <w:r>
              <w:rPr>
                <w:noProof/>
                <w:webHidden/>
              </w:rPr>
              <w:tab/>
            </w:r>
            <w:r>
              <w:rPr>
                <w:noProof/>
                <w:webHidden/>
              </w:rPr>
              <w:fldChar w:fldCharType="begin"/>
            </w:r>
            <w:r>
              <w:rPr>
                <w:noProof/>
                <w:webHidden/>
              </w:rPr>
              <w:instrText xml:space="preserve"> PAGEREF _Toc392757310 \h </w:instrText>
            </w:r>
            <w:r>
              <w:rPr>
                <w:noProof/>
                <w:webHidden/>
              </w:rPr>
            </w:r>
            <w:r>
              <w:rPr>
                <w:noProof/>
                <w:webHidden/>
              </w:rPr>
              <w:fldChar w:fldCharType="separate"/>
            </w:r>
            <w:r>
              <w:rPr>
                <w:noProof/>
                <w:webHidden/>
              </w:rPr>
              <w:t>18</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1" w:history="1">
            <w:r w:rsidRPr="00B2057B">
              <w:rPr>
                <w:rStyle w:val="Hyperlink"/>
                <w:noProof/>
              </w:rPr>
              <w:t>7.2.</w:t>
            </w:r>
            <w:r>
              <w:rPr>
                <w:rFonts w:asciiTheme="minorHAnsi" w:eastAsiaTheme="minorEastAsia" w:hAnsiTheme="minorHAnsi" w:cstheme="minorBidi"/>
                <w:noProof/>
                <w:lang w:eastAsia="en-AU"/>
              </w:rPr>
              <w:tab/>
            </w:r>
            <w:r w:rsidRPr="00B2057B">
              <w:rPr>
                <w:rStyle w:val="Hyperlink"/>
                <w:noProof/>
              </w:rPr>
              <w:t>Pivotal efficacy study for use of Hizentra</w:t>
            </w:r>
            <w:r w:rsidRPr="00B2057B">
              <w:rPr>
                <w:rStyle w:val="Hyperlink"/>
                <w:noProof/>
              </w:rPr>
              <w:sym w:font="Symbol" w:char="F0D2"/>
            </w:r>
            <w:r w:rsidRPr="00B2057B">
              <w:rPr>
                <w:rStyle w:val="Hyperlink"/>
                <w:noProof/>
              </w:rPr>
              <w:t xml:space="preserve"> as Ig replacement in PID</w:t>
            </w:r>
            <w:r>
              <w:rPr>
                <w:noProof/>
                <w:webHidden/>
              </w:rPr>
              <w:tab/>
            </w:r>
            <w:r>
              <w:rPr>
                <w:noProof/>
                <w:webHidden/>
              </w:rPr>
              <w:fldChar w:fldCharType="begin"/>
            </w:r>
            <w:r>
              <w:rPr>
                <w:noProof/>
                <w:webHidden/>
              </w:rPr>
              <w:instrText xml:space="preserve"> PAGEREF _Toc392757311 \h </w:instrText>
            </w:r>
            <w:r>
              <w:rPr>
                <w:noProof/>
                <w:webHidden/>
              </w:rPr>
            </w:r>
            <w:r>
              <w:rPr>
                <w:noProof/>
                <w:webHidden/>
              </w:rPr>
              <w:fldChar w:fldCharType="separate"/>
            </w:r>
            <w:r>
              <w:rPr>
                <w:noProof/>
                <w:webHidden/>
              </w:rPr>
              <w:t>25</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2" w:history="1">
            <w:r w:rsidRPr="00B2057B">
              <w:rPr>
                <w:rStyle w:val="Hyperlink"/>
                <w:noProof/>
              </w:rPr>
              <w:t>7.3.</w:t>
            </w:r>
            <w:r>
              <w:rPr>
                <w:rFonts w:asciiTheme="minorHAnsi" w:eastAsiaTheme="minorEastAsia" w:hAnsiTheme="minorHAnsi" w:cstheme="minorBidi"/>
                <w:noProof/>
                <w:lang w:eastAsia="en-AU"/>
              </w:rPr>
              <w:tab/>
            </w:r>
            <w:r w:rsidRPr="00B2057B">
              <w:rPr>
                <w:rStyle w:val="Hyperlink"/>
                <w:noProof/>
              </w:rPr>
              <w:t>Pivotal efficacy study for use of Hizentra</w:t>
            </w:r>
            <w:r w:rsidRPr="00B2057B">
              <w:rPr>
                <w:rStyle w:val="Hyperlink"/>
                <w:noProof/>
              </w:rPr>
              <w:sym w:font="Symbol" w:char="F0D2"/>
            </w:r>
            <w:r w:rsidRPr="00B2057B">
              <w:rPr>
                <w:rStyle w:val="Hyperlink"/>
                <w:noProof/>
              </w:rPr>
              <w:t xml:space="preserve"> as Ig replacement in PID</w:t>
            </w:r>
            <w:r>
              <w:rPr>
                <w:noProof/>
                <w:webHidden/>
              </w:rPr>
              <w:tab/>
            </w:r>
            <w:r>
              <w:rPr>
                <w:noProof/>
                <w:webHidden/>
              </w:rPr>
              <w:fldChar w:fldCharType="begin"/>
            </w:r>
            <w:r>
              <w:rPr>
                <w:noProof/>
                <w:webHidden/>
              </w:rPr>
              <w:instrText xml:space="preserve"> PAGEREF _Toc392757312 \h </w:instrText>
            </w:r>
            <w:r>
              <w:rPr>
                <w:noProof/>
                <w:webHidden/>
              </w:rPr>
            </w:r>
            <w:r>
              <w:rPr>
                <w:noProof/>
                <w:webHidden/>
              </w:rPr>
              <w:fldChar w:fldCharType="separate"/>
            </w:r>
            <w:r>
              <w:rPr>
                <w:noProof/>
                <w:webHidden/>
              </w:rPr>
              <w:t>33</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3" w:history="1">
            <w:r w:rsidRPr="00B2057B">
              <w:rPr>
                <w:rStyle w:val="Hyperlink"/>
                <w:noProof/>
              </w:rPr>
              <w:t>7.4.</w:t>
            </w:r>
            <w:r>
              <w:rPr>
                <w:rFonts w:asciiTheme="minorHAnsi" w:eastAsiaTheme="minorEastAsia" w:hAnsiTheme="minorHAnsi" w:cstheme="minorBidi"/>
                <w:noProof/>
                <w:lang w:eastAsia="en-AU"/>
              </w:rPr>
              <w:tab/>
            </w:r>
            <w:r w:rsidRPr="00B2057B">
              <w:rPr>
                <w:rStyle w:val="Hyperlink"/>
                <w:noProof/>
              </w:rPr>
              <w:t>Other efficacy studies</w:t>
            </w:r>
            <w:r>
              <w:rPr>
                <w:noProof/>
                <w:webHidden/>
              </w:rPr>
              <w:tab/>
            </w:r>
            <w:r>
              <w:rPr>
                <w:noProof/>
                <w:webHidden/>
              </w:rPr>
              <w:fldChar w:fldCharType="begin"/>
            </w:r>
            <w:r>
              <w:rPr>
                <w:noProof/>
                <w:webHidden/>
              </w:rPr>
              <w:instrText xml:space="preserve"> PAGEREF _Toc392757313 \h </w:instrText>
            </w:r>
            <w:r>
              <w:rPr>
                <w:noProof/>
                <w:webHidden/>
              </w:rPr>
            </w:r>
            <w:r>
              <w:rPr>
                <w:noProof/>
                <w:webHidden/>
              </w:rPr>
              <w:fldChar w:fldCharType="separate"/>
            </w:r>
            <w:r>
              <w:rPr>
                <w:noProof/>
                <w:webHidden/>
              </w:rPr>
              <w:t>37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4" w:history="1">
            <w:r w:rsidRPr="00B2057B">
              <w:rPr>
                <w:rStyle w:val="Hyperlink"/>
                <w:noProof/>
              </w:rPr>
              <w:t>7.5.</w:t>
            </w:r>
            <w:r>
              <w:rPr>
                <w:rFonts w:asciiTheme="minorHAnsi" w:eastAsiaTheme="minorEastAsia" w:hAnsiTheme="minorHAnsi" w:cstheme="minorBidi"/>
                <w:noProof/>
                <w:lang w:eastAsia="en-AU"/>
              </w:rPr>
              <w:tab/>
            </w:r>
            <w:r w:rsidRPr="00B2057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_Toc392757314 \h </w:instrText>
            </w:r>
            <w:r>
              <w:rPr>
                <w:noProof/>
                <w:webHidden/>
              </w:rPr>
            </w:r>
            <w:r>
              <w:rPr>
                <w:noProof/>
                <w:webHidden/>
              </w:rPr>
              <w:fldChar w:fldCharType="separate"/>
            </w:r>
            <w:r>
              <w:rPr>
                <w:noProof/>
                <w:webHidden/>
              </w:rPr>
              <w:t>43</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5" w:history="1">
            <w:r w:rsidRPr="00B2057B">
              <w:rPr>
                <w:rStyle w:val="Hyperlink"/>
                <w:noProof/>
              </w:rPr>
              <w:t>7.6.</w:t>
            </w:r>
            <w:r>
              <w:rPr>
                <w:rFonts w:asciiTheme="minorHAnsi" w:eastAsiaTheme="minorEastAsia" w:hAnsiTheme="minorHAnsi" w:cstheme="minorBidi"/>
                <w:noProof/>
                <w:lang w:eastAsia="en-AU"/>
              </w:rPr>
              <w:tab/>
            </w:r>
            <w:r w:rsidRPr="00B2057B">
              <w:rPr>
                <w:rStyle w:val="Hyperlink"/>
                <w:noProof/>
              </w:rPr>
              <w:t>Evaluator’s conclusions on clinical efficacy for SC Hizentra</w:t>
            </w:r>
            <w:r w:rsidRPr="00B2057B">
              <w:rPr>
                <w:rStyle w:val="Hyperlink"/>
                <w:noProof/>
              </w:rPr>
              <w:sym w:font="Symbol" w:char="F0D2"/>
            </w:r>
            <w:r w:rsidRPr="00B2057B">
              <w:rPr>
                <w:rStyle w:val="Hyperlink"/>
                <w:noProof/>
              </w:rPr>
              <w:t xml:space="preserve"> for immunoglobulin replacement</w:t>
            </w:r>
            <w:r>
              <w:rPr>
                <w:noProof/>
                <w:webHidden/>
              </w:rPr>
              <w:tab/>
            </w:r>
            <w:r>
              <w:rPr>
                <w:noProof/>
                <w:webHidden/>
              </w:rPr>
              <w:fldChar w:fldCharType="begin"/>
            </w:r>
            <w:r>
              <w:rPr>
                <w:noProof/>
                <w:webHidden/>
              </w:rPr>
              <w:instrText xml:space="preserve"> PAGEREF _Toc392757315 \h </w:instrText>
            </w:r>
            <w:r>
              <w:rPr>
                <w:noProof/>
                <w:webHidden/>
              </w:rPr>
            </w:r>
            <w:r>
              <w:rPr>
                <w:noProof/>
                <w:webHidden/>
              </w:rPr>
              <w:fldChar w:fldCharType="separate"/>
            </w:r>
            <w:r>
              <w:rPr>
                <w:noProof/>
                <w:webHidden/>
              </w:rPr>
              <w:t>43</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16" w:history="1">
            <w:r w:rsidRPr="00B2057B">
              <w:rPr>
                <w:rStyle w:val="Hyperlink"/>
                <w:noProof/>
              </w:rPr>
              <w:t>8.</w:t>
            </w:r>
            <w:r>
              <w:rPr>
                <w:rFonts w:asciiTheme="minorHAnsi" w:eastAsiaTheme="minorEastAsia" w:hAnsiTheme="minorHAnsi" w:cstheme="minorBidi"/>
                <w:b w:val="0"/>
                <w:noProof/>
                <w:sz w:val="22"/>
                <w:lang w:eastAsia="en-AU"/>
              </w:rPr>
              <w:tab/>
            </w:r>
            <w:r w:rsidRPr="00B2057B">
              <w:rPr>
                <w:rStyle w:val="Hyperlink"/>
                <w:noProof/>
              </w:rPr>
              <w:t>Clinical safety</w:t>
            </w:r>
            <w:r>
              <w:rPr>
                <w:noProof/>
                <w:webHidden/>
              </w:rPr>
              <w:tab/>
            </w:r>
            <w:r>
              <w:rPr>
                <w:noProof/>
                <w:webHidden/>
              </w:rPr>
              <w:fldChar w:fldCharType="begin"/>
            </w:r>
            <w:r>
              <w:rPr>
                <w:noProof/>
                <w:webHidden/>
              </w:rPr>
              <w:instrText xml:space="preserve"> PAGEREF _Toc392757316 \h </w:instrText>
            </w:r>
            <w:r>
              <w:rPr>
                <w:noProof/>
                <w:webHidden/>
              </w:rPr>
            </w:r>
            <w:r>
              <w:rPr>
                <w:noProof/>
                <w:webHidden/>
              </w:rPr>
              <w:fldChar w:fldCharType="separate"/>
            </w:r>
            <w:r>
              <w:rPr>
                <w:noProof/>
                <w:webHidden/>
              </w:rPr>
              <w:t>45</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7" w:history="1">
            <w:r w:rsidRPr="00B2057B">
              <w:rPr>
                <w:rStyle w:val="Hyperlink"/>
                <w:noProof/>
              </w:rPr>
              <w:t>8.1.</w:t>
            </w:r>
            <w:r>
              <w:rPr>
                <w:rFonts w:asciiTheme="minorHAnsi" w:eastAsiaTheme="minorEastAsia" w:hAnsiTheme="minorHAnsi" w:cstheme="minorBidi"/>
                <w:noProof/>
                <w:lang w:eastAsia="en-AU"/>
              </w:rPr>
              <w:tab/>
            </w:r>
            <w:r w:rsidRPr="00B2057B">
              <w:rPr>
                <w:rStyle w:val="Hyperlink"/>
                <w:noProof/>
              </w:rPr>
              <w:t>Studies providing evaluable safety data</w:t>
            </w:r>
            <w:r>
              <w:rPr>
                <w:noProof/>
                <w:webHidden/>
              </w:rPr>
              <w:tab/>
            </w:r>
            <w:r>
              <w:rPr>
                <w:noProof/>
                <w:webHidden/>
              </w:rPr>
              <w:fldChar w:fldCharType="begin"/>
            </w:r>
            <w:r>
              <w:rPr>
                <w:noProof/>
                <w:webHidden/>
              </w:rPr>
              <w:instrText xml:space="preserve"> PAGEREF _Toc392757317 \h </w:instrText>
            </w:r>
            <w:r>
              <w:rPr>
                <w:noProof/>
                <w:webHidden/>
              </w:rPr>
            </w:r>
            <w:r>
              <w:rPr>
                <w:noProof/>
                <w:webHidden/>
              </w:rPr>
              <w:fldChar w:fldCharType="separate"/>
            </w:r>
            <w:r>
              <w:rPr>
                <w:noProof/>
                <w:webHidden/>
              </w:rPr>
              <w:t>45</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8" w:history="1">
            <w:r w:rsidRPr="00B2057B">
              <w:rPr>
                <w:rStyle w:val="Hyperlink"/>
                <w:noProof/>
              </w:rPr>
              <w:t>8.2.</w:t>
            </w:r>
            <w:r>
              <w:rPr>
                <w:rFonts w:asciiTheme="minorHAnsi" w:eastAsiaTheme="minorEastAsia" w:hAnsiTheme="minorHAnsi" w:cstheme="minorBidi"/>
                <w:noProof/>
                <w:lang w:eastAsia="en-AU"/>
              </w:rPr>
              <w:tab/>
            </w:r>
            <w:r w:rsidRPr="00B2057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_Toc392757318 \h </w:instrText>
            </w:r>
            <w:r>
              <w:rPr>
                <w:noProof/>
                <w:webHidden/>
              </w:rPr>
            </w:r>
            <w:r>
              <w:rPr>
                <w:noProof/>
                <w:webHidden/>
              </w:rPr>
              <w:fldChar w:fldCharType="separate"/>
            </w:r>
            <w:r>
              <w:rPr>
                <w:noProof/>
                <w:webHidden/>
              </w:rPr>
              <w:t>46</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19" w:history="1">
            <w:r w:rsidRPr="00B2057B">
              <w:rPr>
                <w:rStyle w:val="Hyperlink"/>
                <w:noProof/>
              </w:rPr>
              <w:t>8.3.</w:t>
            </w:r>
            <w:r>
              <w:rPr>
                <w:rFonts w:asciiTheme="minorHAnsi" w:eastAsiaTheme="minorEastAsia" w:hAnsiTheme="minorHAnsi" w:cstheme="minorBidi"/>
                <w:noProof/>
                <w:lang w:eastAsia="en-AU"/>
              </w:rPr>
              <w:tab/>
            </w:r>
            <w:r w:rsidRPr="00B2057B">
              <w:rPr>
                <w:rStyle w:val="Hyperlink"/>
                <w:noProof/>
              </w:rPr>
              <w:t>Patient exposure</w:t>
            </w:r>
            <w:r>
              <w:rPr>
                <w:noProof/>
                <w:webHidden/>
              </w:rPr>
              <w:tab/>
            </w:r>
            <w:r>
              <w:rPr>
                <w:noProof/>
                <w:webHidden/>
              </w:rPr>
              <w:fldChar w:fldCharType="begin"/>
            </w:r>
            <w:r>
              <w:rPr>
                <w:noProof/>
                <w:webHidden/>
              </w:rPr>
              <w:instrText xml:space="preserve"> PAGEREF _Toc392757319 \h </w:instrText>
            </w:r>
            <w:r>
              <w:rPr>
                <w:noProof/>
                <w:webHidden/>
              </w:rPr>
            </w:r>
            <w:r>
              <w:rPr>
                <w:noProof/>
                <w:webHidden/>
              </w:rPr>
              <w:fldChar w:fldCharType="separate"/>
            </w:r>
            <w:r>
              <w:rPr>
                <w:noProof/>
                <w:webHidden/>
              </w:rPr>
              <w:t>46</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0" w:history="1">
            <w:r w:rsidRPr="00B2057B">
              <w:rPr>
                <w:rStyle w:val="Hyperlink"/>
                <w:noProof/>
              </w:rPr>
              <w:t>8.4.</w:t>
            </w:r>
            <w:r>
              <w:rPr>
                <w:rFonts w:asciiTheme="minorHAnsi" w:eastAsiaTheme="minorEastAsia" w:hAnsiTheme="minorHAnsi" w:cstheme="minorBidi"/>
                <w:noProof/>
                <w:lang w:eastAsia="en-AU"/>
              </w:rPr>
              <w:tab/>
            </w:r>
            <w:r w:rsidRPr="00B2057B">
              <w:rPr>
                <w:rStyle w:val="Hyperlink"/>
                <w:noProof/>
              </w:rPr>
              <w:t>Adverse events</w:t>
            </w:r>
            <w:r>
              <w:rPr>
                <w:noProof/>
                <w:webHidden/>
              </w:rPr>
              <w:tab/>
            </w:r>
            <w:r>
              <w:rPr>
                <w:noProof/>
                <w:webHidden/>
              </w:rPr>
              <w:fldChar w:fldCharType="begin"/>
            </w:r>
            <w:r>
              <w:rPr>
                <w:noProof/>
                <w:webHidden/>
              </w:rPr>
              <w:instrText xml:space="preserve"> PAGEREF _Toc392757320 \h </w:instrText>
            </w:r>
            <w:r>
              <w:rPr>
                <w:noProof/>
                <w:webHidden/>
              </w:rPr>
            </w:r>
            <w:r>
              <w:rPr>
                <w:noProof/>
                <w:webHidden/>
              </w:rPr>
              <w:fldChar w:fldCharType="separate"/>
            </w:r>
            <w:r>
              <w:rPr>
                <w:noProof/>
                <w:webHidden/>
              </w:rPr>
              <w:t>47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1" w:history="1">
            <w:r w:rsidRPr="00B2057B">
              <w:rPr>
                <w:rStyle w:val="Hyperlink"/>
                <w:noProof/>
              </w:rPr>
              <w:t>8.5.</w:t>
            </w:r>
            <w:r>
              <w:rPr>
                <w:rFonts w:asciiTheme="minorHAnsi" w:eastAsiaTheme="minorEastAsia" w:hAnsiTheme="minorHAnsi" w:cstheme="minorBidi"/>
                <w:noProof/>
                <w:lang w:eastAsia="en-AU"/>
              </w:rPr>
              <w:tab/>
            </w:r>
            <w:r w:rsidRPr="00B2057B">
              <w:rPr>
                <w:rStyle w:val="Hyperlink"/>
                <w:noProof/>
              </w:rPr>
              <w:t>Laboratory tests</w:t>
            </w:r>
            <w:r>
              <w:rPr>
                <w:noProof/>
                <w:webHidden/>
              </w:rPr>
              <w:tab/>
            </w:r>
            <w:r>
              <w:rPr>
                <w:noProof/>
                <w:webHidden/>
              </w:rPr>
              <w:fldChar w:fldCharType="begin"/>
            </w:r>
            <w:r>
              <w:rPr>
                <w:noProof/>
                <w:webHidden/>
              </w:rPr>
              <w:instrText xml:space="preserve"> PAGEREF _Toc392757321 \h </w:instrText>
            </w:r>
            <w:r>
              <w:rPr>
                <w:noProof/>
                <w:webHidden/>
              </w:rPr>
            </w:r>
            <w:r>
              <w:rPr>
                <w:noProof/>
                <w:webHidden/>
              </w:rPr>
              <w:fldChar w:fldCharType="separate"/>
            </w:r>
            <w:r>
              <w:rPr>
                <w:noProof/>
                <w:webHidden/>
              </w:rPr>
              <w:t>51</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2" w:history="1">
            <w:r w:rsidRPr="00B2057B">
              <w:rPr>
                <w:rStyle w:val="Hyperlink"/>
                <w:noProof/>
              </w:rPr>
              <w:t>8.6.</w:t>
            </w:r>
            <w:r>
              <w:rPr>
                <w:rFonts w:asciiTheme="minorHAnsi" w:eastAsiaTheme="minorEastAsia" w:hAnsiTheme="minorHAnsi" w:cstheme="minorBidi"/>
                <w:noProof/>
                <w:lang w:eastAsia="en-AU"/>
              </w:rPr>
              <w:tab/>
            </w:r>
            <w:r w:rsidRPr="00B2057B">
              <w:rPr>
                <w:rStyle w:val="Hyperlink"/>
                <w:noProof/>
              </w:rPr>
              <w:t>Postmarketing experience</w:t>
            </w:r>
            <w:r>
              <w:rPr>
                <w:noProof/>
                <w:webHidden/>
              </w:rPr>
              <w:tab/>
            </w:r>
            <w:r>
              <w:rPr>
                <w:noProof/>
                <w:webHidden/>
              </w:rPr>
              <w:fldChar w:fldCharType="begin"/>
            </w:r>
            <w:r>
              <w:rPr>
                <w:noProof/>
                <w:webHidden/>
              </w:rPr>
              <w:instrText xml:space="preserve"> PAGEREF _Toc392757322 \h </w:instrText>
            </w:r>
            <w:r>
              <w:rPr>
                <w:noProof/>
                <w:webHidden/>
              </w:rPr>
            </w:r>
            <w:r>
              <w:rPr>
                <w:noProof/>
                <w:webHidden/>
              </w:rPr>
              <w:fldChar w:fldCharType="separate"/>
            </w:r>
            <w:r>
              <w:rPr>
                <w:noProof/>
                <w:webHidden/>
              </w:rPr>
              <w:t>54</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3" w:history="1">
            <w:r w:rsidRPr="00B2057B">
              <w:rPr>
                <w:rStyle w:val="Hyperlink"/>
                <w:noProof/>
              </w:rPr>
              <w:t>8.7.</w:t>
            </w:r>
            <w:r>
              <w:rPr>
                <w:rFonts w:asciiTheme="minorHAnsi" w:eastAsiaTheme="minorEastAsia" w:hAnsiTheme="minorHAnsi" w:cstheme="minorBidi"/>
                <w:noProof/>
                <w:lang w:eastAsia="en-AU"/>
              </w:rPr>
              <w:tab/>
            </w:r>
            <w:r w:rsidRPr="00B2057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_Toc392757323 \h </w:instrText>
            </w:r>
            <w:r>
              <w:rPr>
                <w:noProof/>
                <w:webHidden/>
              </w:rPr>
            </w:r>
            <w:r>
              <w:rPr>
                <w:noProof/>
                <w:webHidden/>
              </w:rPr>
              <w:fldChar w:fldCharType="separate"/>
            </w:r>
            <w:r>
              <w:rPr>
                <w:noProof/>
                <w:webHidden/>
              </w:rPr>
              <w:t>55</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4" w:history="1">
            <w:r w:rsidRPr="00B2057B">
              <w:rPr>
                <w:rStyle w:val="Hyperlink"/>
                <w:noProof/>
              </w:rPr>
              <w:t>8.8.</w:t>
            </w:r>
            <w:r>
              <w:rPr>
                <w:rFonts w:asciiTheme="minorHAnsi" w:eastAsiaTheme="minorEastAsia" w:hAnsiTheme="minorHAnsi" w:cstheme="minorBidi"/>
                <w:noProof/>
                <w:lang w:eastAsia="en-AU"/>
              </w:rPr>
              <w:tab/>
            </w:r>
            <w:r w:rsidRPr="00B2057B">
              <w:rPr>
                <w:rStyle w:val="Hyperlink"/>
                <w:noProof/>
              </w:rPr>
              <w:t>Other safety issues</w:t>
            </w:r>
            <w:r>
              <w:rPr>
                <w:noProof/>
                <w:webHidden/>
              </w:rPr>
              <w:tab/>
            </w:r>
            <w:r>
              <w:rPr>
                <w:noProof/>
                <w:webHidden/>
              </w:rPr>
              <w:fldChar w:fldCharType="begin"/>
            </w:r>
            <w:r>
              <w:rPr>
                <w:noProof/>
                <w:webHidden/>
              </w:rPr>
              <w:instrText xml:space="preserve"> PAGEREF _Toc392757324 \h </w:instrText>
            </w:r>
            <w:r>
              <w:rPr>
                <w:noProof/>
                <w:webHidden/>
              </w:rPr>
            </w:r>
            <w:r>
              <w:rPr>
                <w:noProof/>
                <w:webHidden/>
              </w:rPr>
              <w:fldChar w:fldCharType="separate"/>
            </w:r>
            <w:r>
              <w:rPr>
                <w:noProof/>
                <w:webHidden/>
              </w:rPr>
              <w:t>55</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5" w:history="1">
            <w:r w:rsidRPr="00B2057B">
              <w:rPr>
                <w:rStyle w:val="Hyperlink"/>
                <w:noProof/>
              </w:rPr>
              <w:t>8.9.</w:t>
            </w:r>
            <w:r>
              <w:rPr>
                <w:rFonts w:asciiTheme="minorHAnsi" w:eastAsiaTheme="minorEastAsia" w:hAnsiTheme="minorHAnsi" w:cstheme="minorBidi"/>
                <w:noProof/>
                <w:lang w:eastAsia="en-AU"/>
              </w:rPr>
              <w:tab/>
            </w:r>
            <w:r w:rsidRPr="00B2057B">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_Toc392757325 \h </w:instrText>
            </w:r>
            <w:r>
              <w:rPr>
                <w:noProof/>
                <w:webHidden/>
              </w:rPr>
            </w:r>
            <w:r>
              <w:rPr>
                <w:noProof/>
                <w:webHidden/>
              </w:rPr>
              <w:fldChar w:fldCharType="separate"/>
            </w:r>
            <w:r>
              <w:rPr>
                <w:noProof/>
                <w:webHidden/>
              </w:rPr>
              <w:t>56</w:t>
            </w:r>
            <w:r>
              <w:rPr>
                <w:noProof/>
                <w:webHidden/>
              </w:rPr>
              <w:fldChar w:fldCharType="end"/>
            </w:r>
          </w:hyperlink>
        </w:p>
        <w:p w:rsidR="002B58E8" w:rsidRDefault="002B58E8">
          <w:pPr>
            <w:pStyle w:val="TOC3"/>
            <w:tabs>
              <w:tab w:val="left" w:pos="1697"/>
            </w:tabs>
            <w:rPr>
              <w:rFonts w:asciiTheme="minorHAnsi" w:eastAsiaTheme="minorEastAsia" w:hAnsiTheme="minorHAnsi" w:cstheme="minorBidi"/>
              <w:noProof/>
              <w:lang w:eastAsia="en-AU"/>
            </w:rPr>
          </w:pPr>
          <w:hyperlink w:anchor="_Toc392757326" w:history="1">
            <w:r w:rsidRPr="00B2057B">
              <w:rPr>
                <w:rStyle w:val="Hyperlink"/>
                <w:noProof/>
              </w:rPr>
              <w:t>8.10.</w:t>
            </w:r>
            <w:r>
              <w:rPr>
                <w:rFonts w:asciiTheme="minorHAnsi" w:eastAsiaTheme="minorEastAsia" w:hAnsiTheme="minorHAnsi" w:cstheme="minorBidi"/>
                <w:noProof/>
                <w:lang w:eastAsia="en-AU"/>
              </w:rPr>
              <w:tab/>
            </w:r>
            <w:r w:rsidRPr="00B2057B">
              <w:rPr>
                <w:rStyle w:val="Hyperlink"/>
                <w:noProof/>
              </w:rPr>
              <w:t>Evaluator’s overall conclusions on clinical safety</w:t>
            </w:r>
            <w:r>
              <w:rPr>
                <w:noProof/>
                <w:webHidden/>
              </w:rPr>
              <w:tab/>
            </w:r>
            <w:r>
              <w:rPr>
                <w:noProof/>
                <w:webHidden/>
              </w:rPr>
              <w:fldChar w:fldCharType="begin"/>
            </w:r>
            <w:r>
              <w:rPr>
                <w:noProof/>
                <w:webHidden/>
              </w:rPr>
              <w:instrText xml:space="preserve"> PAGEREF _Toc392757326 \h </w:instrText>
            </w:r>
            <w:r>
              <w:rPr>
                <w:noProof/>
                <w:webHidden/>
              </w:rPr>
            </w:r>
            <w:r>
              <w:rPr>
                <w:noProof/>
                <w:webHidden/>
              </w:rPr>
              <w:fldChar w:fldCharType="separate"/>
            </w:r>
            <w:r>
              <w:rPr>
                <w:noProof/>
                <w:webHidden/>
              </w:rPr>
              <w:t>56</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27" w:history="1">
            <w:r w:rsidRPr="00B2057B">
              <w:rPr>
                <w:rStyle w:val="Hyperlink"/>
                <w:noProof/>
              </w:rPr>
              <w:t>9.</w:t>
            </w:r>
            <w:r>
              <w:rPr>
                <w:rFonts w:asciiTheme="minorHAnsi" w:eastAsiaTheme="minorEastAsia" w:hAnsiTheme="minorHAnsi" w:cstheme="minorBidi"/>
                <w:b w:val="0"/>
                <w:noProof/>
                <w:sz w:val="22"/>
                <w:lang w:eastAsia="en-AU"/>
              </w:rPr>
              <w:tab/>
            </w:r>
            <w:r w:rsidRPr="00B2057B">
              <w:rPr>
                <w:rStyle w:val="Hyperlink"/>
                <w:noProof/>
              </w:rPr>
              <w:t>First round benefit-risk assessment</w:t>
            </w:r>
            <w:r>
              <w:rPr>
                <w:noProof/>
                <w:webHidden/>
              </w:rPr>
              <w:tab/>
            </w:r>
            <w:r>
              <w:rPr>
                <w:noProof/>
                <w:webHidden/>
              </w:rPr>
              <w:fldChar w:fldCharType="begin"/>
            </w:r>
            <w:r>
              <w:rPr>
                <w:noProof/>
                <w:webHidden/>
              </w:rPr>
              <w:instrText xml:space="preserve"> PAGEREF _Toc392757327 \h </w:instrText>
            </w:r>
            <w:r>
              <w:rPr>
                <w:noProof/>
                <w:webHidden/>
              </w:rPr>
            </w:r>
            <w:r>
              <w:rPr>
                <w:noProof/>
                <w:webHidden/>
              </w:rPr>
              <w:fldChar w:fldCharType="separate"/>
            </w:r>
            <w:r>
              <w:rPr>
                <w:noProof/>
                <w:webHidden/>
              </w:rPr>
              <w:t>57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8" w:history="1">
            <w:r w:rsidRPr="00B2057B">
              <w:rPr>
                <w:rStyle w:val="Hyperlink"/>
                <w:noProof/>
              </w:rPr>
              <w:t>9.1.</w:t>
            </w:r>
            <w:r>
              <w:rPr>
                <w:rFonts w:asciiTheme="minorHAnsi" w:eastAsiaTheme="minorEastAsia" w:hAnsiTheme="minorHAnsi" w:cstheme="minorBidi"/>
                <w:noProof/>
                <w:lang w:eastAsia="en-AU"/>
              </w:rPr>
              <w:tab/>
            </w:r>
            <w:r w:rsidRPr="00B2057B">
              <w:rPr>
                <w:rStyle w:val="Hyperlink"/>
                <w:noProof/>
              </w:rPr>
              <w:t>First round assessment of benefits</w:t>
            </w:r>
            <w:r>
              <w:rPr>
                <w:noProof/>
                <w:webHidden/>
              </w:rPr>
              <w:tab/>
            </w:r>
            <w:r>
              <w:rPr>
                <w:noProof/>
                <w:webHidden/>
              </w:rPr>
              <w:fldChar w:fldCharType="begin"/>
            </w:r>
            <w:r>
              <w:rPr>
                <w:noProof/>
                <w:webHidden/>
              </w:rPr>
              <w:instrText xml:space="preserve"> PAGEREF _Toc392757328 \h </w:instrText>
            </w:r>
            <w:r>
              <w:rPr>
                <w:noProof/>
                <w:webHidden/>
              </w:rPr>
            </w:r>
            <w:r>
              <w:rPr>
                <w:noProof/>
                <w:webHidden/>
              </w:rPr>
              <w:fldChar w:fldCharType="separate"/>
            </w:r>
            <w:r>
              <w:rPr>
                <w:noProof/>
                <w:webHidden/>
              </w:rPr>
              <w:t>57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29" w:history="1">
            <w:r w:rsidRPr="00B2057B">
              <w:rPr>
                <w:rStyle w:val="Hyperlink"/>
                <w:noProof/>
              </w:rPr>
              <w:t>9.2.</w:t>
            </w:r>
            <w:r>
              <w:rPr>
                <w:rFonts w:asciiTheme="minorHAnsi" w:eastAsiaTheme="minorEastAsia" w:hAnsiTheme="minorHAnsi" w:cstheme="minorBidi"/>
                <w:noProof/>
                <w:lang w:eastAsia="en-AU"/>
              </w:rPr>
              <w:tab/>
            </w:r>
            <w:r w:rsidRPr="00B2057B">
              <w:rPr>
                <w:rStyle w:val="Hyperlink"/>
                <w:noProof/>
              </w:rPr>
              <w:t>First round assessment of risks</w:t>
            </w:r>
            <w:r>
              <w:rPr>
                <w:noProof/>
                <w:webHidden/>
              </w:rPr>
              <w:tab/>
            </w:r>
            <w:r>
              <w:rPr>
                <w:noProof/>
                <w:webHidden/>
              </w:rPr>
              <w:fldChar w:fldCharType="begin"/>
            </w:r>
            <w:r>
              <w:rPr>
                <w:noProof/>
                <w:webHidden/>
              </w:rPr>
              <w:instrText xml:space="preserve"> PAGEREF _Toc392757329 \h </w:instrText>
            </w:r>
            <w:r>
              <w:rPr>
                <w:noProof/>
                <w:webHidden/>
              </w:rPr>
            </w:r>
            <w:r>
              <w:rPr>
                <w:noProof/>
                <w:webHidden/>
              </w:rPr>
              <w:fldChar w:fldCharType="separate"/>
            </w:r>
            <w:r>
              <w:rPr>
                <w:noProof/>
                <w:webHidden/>
              </w:rPr>
              <w:t>57</w:t>
            </w:r>
            <w:r>
              <w:rPr>
                <w:noProof/>
                <w:webHidden/>
              </w:rPr>
              <w:fldChar w:fldCharType="end"/>
            </w:r>
          </w:hyperlink>
        </w:p>
        <w:p w:rsidR="002B58E8" w:rsidRDefault="002B58E8">
          <w:pPr>
            <w:pStyle w:val="TOC3"/>
            <w:tabs>
              <w:tab w:val="left" w:pos="1575"/>
            </w:tabs>
            <w:rPr>
              <w:rFonts w:asciiTheme="minorHAnsi" w:eastAsiaTheme="minorEastAsia" w:hAnsiTheme="minorHAnsi" w:cstheme="minorBidi"/>
              <w:noProof/>
              <w:lang w:eastAsia="en-AU"/>
            </w:rPr>
          </w:pPr>
          <w:hyperlink w:anchor="_Toc392757330" w:history="1">
            <w:r w:rsidRPr="00B2057B">
              <w:rPr>
                <w:rStyle w:val="Hyperlink"/>
                <w:noProof/>
              </w:rPr>
              <w:t>9.3.</w:t>
            </w:r>
            <w:r>
              <w:rPr>
                <w:rFonts w:asciiTheme="minorHAnsi" w:eastAsiaTheme="minorEastAsia" w:hAnsiTheme="minorHAnsi" w:cstheme="minorBidi"/>
                <w:noProof/>
                <w:lang w:eastAsia="en-AU"/>
              </w:rPr>
              <w:tab/>
            </w:r>
            <w:r w:rsidRPr="00B2057B">
              <w:rPr>
                <w:rStyle w:val="Hyperlink"/>
                <w:noProof/>
              </w:rPr>
              <w:t>First round assessment of benefit-risk balance</w:t>
            </w:r>
            <w:r>
              <w:rPr>
                <w:noProof/>
                <w:webHidden/>
              </w:rPr>
              <w:tab/>
            </w:r>
            <w:r>
              <w:rPr>
                <w:noProof/>
                <w:webHidden/>
              </w:rPr>
              <w:fldChar w:fldCharType="begin"/>
            </w:r>
            <w:r>
              <w:rPr>
                <w:noProof/>
                <w:webHidden/>
              </w:rPr>
              <w:instrText xml:space="preserve"> PAGEREF _Toc392757330 \h </w:instrText>
            </w:r>
            <w:r>
              <w:rPr>
                <w:noProof/>
                <w:webHidden/>
              </w:rPr>
            </w:r>
            <w:r>
              <w:rPr>
                <w:noProof/>
                <w:webHidden/>
              </w:rPr>
              <w:fldChar w:fldCharType="separate"/>
            </w:r>
            <w:r>
              <w:rPr>
                <w:noProof/>
                <w:webHidden/>
              </w:rPr>
              <w:t>57</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1" w:history="1">
            <w:r w:rsidRPr="00B2057B">
              <w:rPr>
                <w:rStyle w:val="Hyperlink"/>
                <w:noProof/>
              </w:rPr>
              <w:t>10.</w:t>
            </w:r>
            <w:r>
              <w:rPr>
                <w:rFonts w:asciiTheme="minorHAnsi" w:eastAsiaTheme="minorEastAsia" w:hAnsiTheme="minorHAnsi" w:cstheme="minorBidi"/>
                <w:b w:val="0"/>
                <w:noProof/>
                <w:sz w:val="22"/>
                <w:lang w:eastAsia="en-AU"/>
              </w:rPr>
              <w:tab/>
            </w:r>
            <w:r w:rsidRPr="00B2057B">
              <w:rPr>
                <w:rStyle w:val="Hyperlink"/>
                <w:noProof/>
              </w:rPr>
              <w:t>First round recommendation regarding authorisation</w:t>
            </w:r>
            <w:r>
              <w:rPr>
                <w:noProof/>
                <w:webHidden/>
              </w:rPr>
              <w:tab/>
            </w:r>
            <w:r>
              <w:rPr>
                <w:noProof/>
                <w:webHidden/>
              </w:rPr>
              <w:fldChar w:fldCharType="begin"/>
            </w:r>
            <w:r>
              <w:rPr>
                <w:noProof/>
                <w:webHidden/>
              </w:rPr>
              <w:instrText xml:space="preserve"> PAGEREF _Toc392757331 \h </w:instrText>
            </w:r>
            <w:r>
              <w:rPr>
                <w:noProof/>
                <w:webHidden/>
              </w:rPr>
            </w:r>
            <w:r>
              <w:rPr>
                <w:noProof/>
                <w:webHidden/>
              </w:rPr>
              <w:fldChar w:fldCharType="separate"/>
            </w:r>
            <w:r>
              <w:rPr>
                <w:noProof/>
                <w:webHidden/>
              </w:rPr>
              <w:t>57</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2" w:history="1">
            <w:r w:rsidRPr="00B2057B">
              <w:rPr>
                <w:rStyle w:val="Hyperlink"/>
                <w:noProof/>
              </w:rPr>
              <w:t>11.</w:t>
            </w:r>
            <w:r>
              <w:rPr>
                <w:rFonts w:asciiTheme="minorHAnsi" w:eastAsiaTheme="minorEastAsia" w:hAnsiTheme="minorHAnsi" w:cstheme="minorBidi"/>
                <w:b w:val="0"/>
                <w:noProof/>
                <w:sz w:val="22"/>
                <w:lang w:eastAsia="en-AU"/>
              </w:rPr>
              <w:tab/>
            </w:r>
            <w:r w:rsidRPr="00B2057B">
              <w:rPr>
                <w:rStyle w:val="Hyperlink"/>
                <w:noProof/>
              </w:rPr>
              <w:t>Clinical questions</w:t>
            </w:r>
            <w:r>
              <w:rPr>
                <w:noProof/>
                <w:webHidden/>
              </w:rPr>
              <w:tab/>
            </w:r>
            <w:r>
              <w:rPr>
                <w:noProof/>
                <w:webHidden/>
              </w:rPr>
              <w:fldChar w:fldCharType="begin"/>
            </w:r>
            <w:r>
              <w:rPr>
                <w:noProof/>
                <w:webHidden/>
              </w:rPr>
              <w:instrText xml:space="preserve"> PAGEREF _Toc392757332 \h </w:instrText>
            </w:r>
            <w:r>
              <w:rPr>
                <w:noProof/>
                <w:webHidden/>
              </w:rPr>
            </w:r>
            <w:r>
              <w:rPr>
                <w:noProof/>
                <w:webHidden/>
              </w:rPr>
              <w:fldChar w:fldCharType="separate"/>
            </w:r>
            <w:r>
              <w:rPr>
                <w:noProof/>
                <w:webHidden/>
              </w:rPr>
              <w:t>58</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3" w:history="1">
            <w:r w:rsidRPr="00B2057B">
              <w:rPr>
                <w:rStyle w:val="Hyperlink"/>
                <w:rFonts w:eastAsia="TimesNewRoman"/>
                <w:noProof/>
              </w:rPr>
              <w:t>12.</w:t>
            </w:r>
            <w:r>
              <w:rPr>
                <w:rFonts w:asciiTheme="minorHAnsi" w:eastAsiaTheme="minorEastAsia" w:hAnsiTheme="minorHAnsi" w:cstheme="minorBidi"/>
                <w:b w:val="0"/>
                <w:noProof/>
                <w:sz w:val="22"/>
                <w:lang w:eastAsia="en-AU"/>
              </w:rPr>
              <w:tab/>
            </w:r>
            <w:r w:rsidRPr="00B2057B">
              <w:rPr>
                <w:rStyle w:val="Hyperlink"/>
                <w:rFonts w:eastAsia="TimesNewRoman"/>
                <w:noProof/>
              </w:rPr>
              <w:t>Additional corrected safety data</w:t>
            </w:r>
            <w:r>
              <w:rPr>
                <w:noProof/>
                <w:webHidden/>
              </w:rPr>
              <w:tab/>
            </w:r>
            <w:r>
              <w:rPr>
                <w:noProof/>
                <w:webHidden/>
              </w:rPr>
              <w:fldChar w:fldCharType="begin"/>
            </w:r>
            <w:r>
              <w:rPr>
                <w:noProof/>
                <w:webHidden/>
              </w:rPr>
              <w:instrText xml:space="preserve"> PAGEREF _Toc392757333 \h </w:instrText>
            </w:r>
            <w:r>
              <w:rPr>
                <w:noProof/>
                <w:webHidden/>
              </w:rPr>
            </w:r>
            <w:r>
              <w:rPr>
                <w:noProof/>
                <w:webHidden/>
              </w:rPr>
              <w:fldChar w:fldCharType="separate"/>
            </w:r>
            <w:r>
              <w:rPr>
                <w:noProof/>
                <w:webHidden/>
              </w:rPr>
              <w:t>58</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4" w:history="1">
            <w:r w:rsidRPr="00B2057B">
              <w:rPr>
                <w:rStyle w:val="Hyperlink"/>
                <w:noProof/>
              </w:rPr>
              <w:t>13.</w:t>
            </w:r>
            <w:r>
              <w:rPr>
                <w:rFonts w:asciiTheme="minorHAnsi" w:eastAsiaTheme="minorEastAsia" w:hAnsiTheme="minorHAnsi" w:cstheme="minorBidi"/>
                <w:b w:val="0"/>
                <w:noProof/>
                <w:sz w:val="22"/>
                <w:lang w:eastAsia="en-AU"/>
              </w:rPr>
              <w:tab/>
            </w:r>
            <w:r w:rsidRPr="00B2057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_Toc392757334 \h </w:instrText>
            </w:r>
            <w:r>
              <w:rPr>
                <w:noProof/>
                <w:webHidden/>
              </w:rPr>
            </w:r>
            <w:r>
              <w:rPr>
                <w:noProof/>
                <w:webHidden/>
              </w:rPr>
              <w:fldChar w:fldCharType="separate"/>
            </w:r>
            <w:r>
              <w:rPr>
                <w:noProof/>
                <w:webHidden/>
              </w:rPr>
              <w:t>59</w:t>
            </w:r>
            <w:r>
              <w:rPr>
                <w:noProof/>
                <w:webHidden/>
              </w:rPr>
              <w:fldChar w:fldCharType="end"/>
            </w:r>
          </w:hyperlink>
        </w:p>
        <w:p w:rsidR="002B58E8" w:rsidRDefault="002B58E8">
          <w:pPr>
            <w:pStyle w:val="TOC3"/>
            <w:tabs>
              <w:tab w:val="left" w:pos="1697"/>
            </w:tabs>
            <w:rPr>
              <w:rFonts w:asciiTheme="minorHAnsi" w:eastAsiaTheme="minorEastAsia" w:hAnsiTheme="minorHAnsi" w:cstheme="minorBidi"/>
              <w:noProof/>
              <w:lang w:eastAsia="en-AU"/>
            </w:rPr>
          </w:pPr>
          <w:hyperlink w:anchor="_Toc392757335" w:history="1">
            <w:r w:rsidRPr="00B2057B">
              <w:rPr>
                <w:rStyle w:val="Hyperlink"/>
                <w:noProof/>
              </w:rPr>
              <w:t>13.1.</w:t>
            </w:r>
            <w:r>
              <w:rPr>
                <w:rFonts w:asciiTheme="minorHAnsi" w:eastAsiaTheme="minorEastAsia" w:hAnsiTheme="minorHAnsi" w:cstheme="minorBidi"/>
                <w:noProof/>
                <w:lang w:eastAsia="en-AU"/>
              </w:rPr>
              <w:tab/>
            </w:r>
            <w:r w:rsidRPr="00B2057B">
              <w:rPr>
                <w:rStyle w:val="Hyperlink"/>
                <w:noProof/>
              </w:rPr>
              <w:t>Indications for use of Hizentra</w:t>
            </w:r>
            <w:r>
              <w:rPr>
                <w:noProof/>
                <w:webHidden/>
              </w:rPr>
              <w:tab/>
            </w:r>
            <w:r>
              <w:rPr>
                <w:noProof/>
                <w:webHidden/>
              </w:rPr>
              <w:fldChar w:fldCharType="begin"/>
            </w:r>
            <w:r>
              <w:rPr>
                <w:noProof/>
                <w:webHidden/>
              </w:rPr>
              <w:instrText xml:space="preserve"> PAGEREF _Toc392757335 \h </w:instrText>
            </w:r>
            <w:r>
              <w:rPr>
                <w:noProof/>
                <w:webHidden/>
              </w:rPr>
            </w:r>
            <w:r>
              <w:rPr>
                <w:noProof/>
                <w:webHidden/>
              </w:rPr>
              <w:fldChar w:fldCharType="separate"/>
            </w:r>
            <w:r>
              <w:rPr>
                <w:noProof/>
                <w:webHidden/>
              </w:rPr>
              <w:t>59</w:t>
            </w:r>
            <w:r>
              <w:rPr>
                <w:noProof/>
                <w:webHidden/>
              </w:rPr>
              <w:fldChar w:fldCharType="end"/>
            </w:r>
          </w:hyperlink>
        </w:p>
        <w:p w:rsidR="002B58E8" w:rsidRDefault="002B58E8">
          <w:pPr>
            <w:pStyle w:val="TOC3"/>
            <w:tabs>
              <w:tab w:val="left" w:pos="1697"/>
            </w:tabs>
            <w:rPr>
              <w:rFonts w:asciiTheme="minorHAnsi" w:eastAsiaTheme="minorEastAsia" w:hAnsiTheme="minorHAnsi" w:cstheme="minorBidi"/>
              <w:noProof/>
              <w:lang w:eastAsia="en-AU"/>
            </w:rPr>
          </w:pPr>
          <w:hyperlink w:anchor="_Toc392757336" w:history="1">
            <w:r w:rsidRPr="00B2057B">
              <w:rPr>
                <w:rStyle w:val="Hyperlink"/>
                <w:noProof/>
              </w:rPr>
              <w:t>13.2.</w:t>
            </w:r>
            <w:r>
              <w:rPr>
                <w:rFonts w:asciiTheme="minorHAnsi" w:eastAsiaTheme="minorEastAsia" w:hAnsiTheme="minorHAnsi" w:cstheme="minorBidi"/>
                <w:noProof/>
                <w:lang w:eastAsia="en-AU"/>
              </w:rPr>
              <w:tab/>
            </w:r>
            <w:r w:rsidRPr="00B2057B">
              <w:rPr>
                <w:rStyle w:val="Hyperlink"/>
                <w:noProof/>
              </w:rPr>
              <w:t>Additional corrected safety data</w:t>
            </w:r>
            <w:r>
              <w:rPr>
                <w:noProof/>
                <w:webHidden/>
              </w:rPr>
              <w:tab/>
            </w:r>
            <w:r>
              <w:rPr>
                <w:noProof/>
                <w:webHidden/>
              </w:rPr>
              <w:fldChar w:fldCharType="begin"/>
            </w:r>
            <w:r>
              <w:rPr>
                <w:noProof/>
                <w:webHidden/>
              </w:rPr>
              <w:instrText xml:space="preserve"> PAGEREF _Toc392757336 \h </w:instrText>
            </w:r>
            <w:r>
              <w:rPr>
                <w:noProof/>
                <w:webHidden/>
              </w:rPr>
            </w:r>
            <w:r>
              <w:rPr>
                <w:noProof/>
                <w:webHidden/>
              </w:rPr>
              <w:fldChar w:fldCharType="separate"/>
            </w:r>
            <w:r>
              <w:rPr>
                <w:noProof/>
                <w:webHidden/>
              </w:rPr>
              <w:t>61</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7" w:history="1">
            <w:r w:rsidRPr="00B2057B">
              <w:rPr>
                <w:rStyle w:val="Hyperlink"/>
                <w:noProof/>
              </w:rPr>
              <w:t>14.</w:t>
            </w:r>
            <w:r>
              <w:rPr>
                <w:rFonts w:asciiTheme="minorHAnsi" w:eastAsiaTheme="minorEastAsia" w:hAnsiTheme="minorHAnsi" w:cstheme="minorBidi"/>
                <w:b w:val="0"/>
                <w:noProof/>
                <w:sz w:val="22"/>
                <w:lang w:eastAsia="en-AU"/>
              </w:rPr>
              <w:tab/>
            </w:r>
            <w:r w:rsidRPr="00B2057B">
              <w:rPr>
                <w:rStyle w:val="Hyperlink"/>
                <w:noProof/>
              </w:rPr>
              <w:t>Second round benefit-risk assessment</w:t>
            </w:r>
            <w:r>
              <w:rPr>
                <w:noProof/>
                <w:webHidden/>
              </w:rPr>
              <w:tab/>
            </w:r>
            <w:r>
              <w:rPr>
                <w:noProof/>
                <w:webHidden/>
              </w:rPr>
              <w:fldChar w:fldCharType="begin"/>
            </w:r>
            <w:r>
              <w:rPr>
                <w:noProof/>
                <w:webHidden/>
              </w:rPr>
              <w:instrText xml:space="preserve"> PAGEREF _Toc392757337 \h </w:instrText>
            </w:r>
            <w:r>
              <w:rPr>
                <w:noProof/>
                <w:webHidden/>
              </w:rPr>
            </w:r>
            <w:r>
              <w:rPr>
                <w:noProof/>
                <w:webHidden/>
              </w:rPr>
              <w:fldChar w:fldCharType="separate"/>
            </w:r>
            <w:r>
              <w:rPr>
                <w:noProof/>
                <w:webHidden/>
              </w:rPr>
              <w:t>61</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8" w:history="1">
            <w:r w:rsidRPr="00B2057B">
              <w:rPr>
                <w:rStyle w:val="Hyperlink"/>
                <w:noProof/>
              </w:rPr>
              <w:t>15.</w:t>
            </w:r>
            <w:r>
              <w:rPr>
                <w:rFonts w:asciiTheme="minorHAnsi" w:eastAsiaTheme="minorEastAsia" w:hAnsiTheme="minorHAnsi" w:cstheme="minorBidi"/>
                <w:b w:val="0"/>
                <w:noProof/>
                <w:sz w:val="22"/>
                <w:lang w:eastAsia="en-AU"/>
              </w:rPr>
              <w:tab/>
            </w:r>
            <w:r w:rsidRPr="00B2057B">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_Toc392757338 \h </w:instrText>
            </w:r>
            <w:r>
              <w:rPr>
                <w:noProof/>
                <w:webHidden/>
              </w:rPr>
            </w:r>
            <w:r>
              <w:rPr>
                <w:noProof/>
                <w:webHidden/>
              </w:rPr>
              <w:fldChar w:fldCharType="separate"/>
            </w:r>
            <w:r>
              <w:rPr>
                <w:noProof/>
                <w:webHidden/>
              </w:rPr>
              <w:t>61</w:t>
            </w:r>
            <w:r>
              <w:rPr>
                <w:noProof/>
                <w:webHidden/>
              </w:rPr>
              <w:fldChar w:fldCharType="end"/>
            </w:r>
          </w:hyperlink>
        </w:p>
        <w:p w:rsidR="002B58E8" w:rsidRDefault="002B58E8">
          <w:pPr>
            <w:pStyle w:val="TOC2"/>
            <w:tabs>
              <w:tab w:val="left" w:pos="1247"/>
            </w:tabs>
            <w:rPr>
              <w:rFonts w:asciiTheme="minorHAnsi" w:eastAsiaTheme="minorEastAsia" w:hAnsiTheme="minorHAnsi" w:cstheme="minorBidi"/>
              <w:b w:val="0"/>
              <w:noProof/>
              <w:sz w:val="22"/>
              <w:lang w:eastAsia="en-AU"/>
            </w:rPr>
          </w:pPr>
          <w:hyperlink w:anchor="_Toc392757339" w:history="1">
            <w:r w:rsidRPr="00B2057B">
              <w:rPr>
                <w:rStyle w:val="Hyperlink"/>
                <w:noProof/>
              </w:rPr>
              <w:t>16.</w:t>
            </w:r>
            <w:r>
              <w:rPr>
                <w:rFonts w:asciiTheme="minorHAnsi" w:eastAsiaTheme="minorEastAsia" w:hAnsiTheme="minorHAnsi" w:cstheme="minorBidi"/>
                <w:b w:val="0"/>
                <w:noProof/>
                <w:sz w:val="22"/>
                <w:lang w:eastAsia="en-AU"/>
              </w:rPr>
              <w:tab/>
            </w:r>
            <w:r w:rsidRPr="00B2057B">
              <w:rPr>
                <w:rStyle w:val="Hyperlink"/>
                <w:noProof/>
              </w:rPr>
              <w:t>References</w:t>
            </w:r>
            <w:r>
              <w:rPr>
                <w:noProof/>
                <w:webHidden/>
              </w:rPr>
              <w:tab/>
            </w:r>
            <w:r>
              <w:rPr>
                <w:noProof/>
                <w:webHidden/>
              </w:rPr>
              <w:fldChar w:fldCharType="begin"/>
            </w:r>
            <w:r>
              <w:rPr>
                <w:noProof/>
                <w:webHidden/>
              </w:rPr>
              <w:instrText xml:space="preserve"> PAGEREF _Toc392757339 \h </w:instrText>
            </w:r>
            <w:r>
              <w:rPr>
                <w:noProof/>
                <w:webHidden/>
              </w:rPr>
            </w:r>
            <w:r>
              <w:rPr>
                <w:noProof/>
                <w:webHidden/>
              </w:rPr>
              <w:fldChar w:fldCharType="separate"/>
            </w:r>
            <w:r>
              <w:rPr>
                <w:noProof/>
                <w:webHidden/>
              </w:rPr>
              <w:t>62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04863" w:rsidRDefault="00904863">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159A3">
      <w:pPr>
        <w:pStyle w:val="Heading2"/>
        <w:numPr>
          <w:ilvl w:val="0"/>
          <w:numId w:val="0"/>
        </w:numPr>
      </w:pPr>
      <w:bookmarkStart w:id="7" w:name="_Toc392757284"/>
      <w:r>
        <w:lastRenderedPageBreak/>
        <w:t xml:space="preserve">List of </w:t>
      </w:r>
      <w:r w:rsidR="005F74D8">
        <w:t xml:space="preserve">commonly used </w:t>
      </w:r>
      <w:r>
        <w:t>abbreviations</w:t>
      </w:r>
      <w:bookmarkEnd w:id="4"/>
      <w:bookmarkEnd w:id="5"/>
      <w:bookmarkEnd w:id="6"/>
      <w:bookmarkEnd w:id="7"/>
    </w:p>
    <w:tbl>
      <w:tblPr>
        <w:tblStyle w:val="TableTGAblue"/>
        <w:tblW w:w="8897" w:type="dxa"/>
        <w:tblLayout w:type="fixed"/>
        <w:tblLook w:val="04A0" w:firstRow="1" w:lastRow="0" w:firstColumn="1" w:lastColumn="0" w:noHBand="0" w:noVBand="1"/>
      </w:tblPr>
      <w:tblGrid>
        <w:gridCol w:w="1668"/>
        <w:gridCol w:w="2551"/>
        <w:gridCol w:w="1701"/>
        <w:gridCol w:w="2977"/>
      </w:tblGrid>
      <w:tr w:rsidR="00D562DD" w:rsidRPr="00E005C8" w:rsidTr="00A6787F">
        <w:trPr>
          <w:cnfStyle w:val="100000000000" w:firstRow="1" w:lastRow="0" w:firstColumn="0" w:lastColumn="0" w:oddVBand="0" w:evenVBand="0" w:oddHBand="0" w:evenHBand="0" w:firstRowFirstColumn="0" w:firstRowLastColumn="0" w:lastRowFirstColumn="0" w:lastRowLastColumn="0"/>
          <w:trHeight w:val="527"/>
          <w:tblHeader/>
        </w:trPr>
        <w:tc>
          <w:tcPr>
            <w:cnfStyle w:val="001000000000" w:firstRow="0" w:lastRow="0" w:firstColumn="1" w:lastColumn="0" w:oddVBand="0" w:evenVBand="0" w:oddHBand="0" w:evenHBand="0" w:firstRowFirstColumn="0" w:firstRowLastColumn="0" w:lastRowFirstColumn="0" w:lastRowLastColumn="0"/>
            <w:tcW w:w="1668" w:type="dxa"/>
          </w:tcPr>
          <w:p w:rsidR="005F74D8" w:rsidRPr="005F74D8" w:rsidRDefault="005F74D8" w:rsidP="005159A3">
            <w:pPr>
              <w:keepNext/>
              <w:autoSpaceDE w:val="0"/>
              <w:autoSpaceDN w:val="0"/>
              <w:adjustRightInd w:val="0"/>
              <w:rPr>
                <w:sz w:val="18"/>
                <w:szCs w:val="18"/>
              </w:rPr>
            </w:pPr>
            <w:r w:rsidRPr="005F74D8">
              <w:rPr>
                <w:sz w:val="18"/>
                <w:szCs w:val="18"/>
              </w:rPr>
              <w:t>Abbreviation</w:t>
            </w:r>
          </w:p>
        </w:tc>
        <w:tc>
          <w:tcPr>
            <w:tcW w:w="2551" w:type="dxa"/>
          </w:tcPr>
          <w:p w:rsidR="005F74D8" w:rsidRPr="005F74D8" w:rsidRDefault="005F74D8" w:rsidP="005159A3">
            <w:pPr>
              <w:keepNext/>
              <w:cnfStyle w:val="100000000000" w:firstRow="1" w:lastRow="0" w:firstColumn="0" w:lastColumn="0" w:oddVBand="0" w:evenVBand="0" w:oddHBand="0" w:evenHBand="0" w:firstRowFirstColumn="0" w:firstRowLastColumn="0" w:lastRowFirstColumn="0" w:lastRowLastColumn="0"/>
              <w:rPr>
                <w:sz w:val="18"/>
                <w:szCs w:val="18"/>
              </w:rPr>
            </w:pPr>
            <w:r w:rsidRPr="005F74D8">
              <w:rPr>
                <w:sz w:val="18"/>
                <w:szCs w:val="18"/>
              </w:rPr>
              <w:t>Meaning</w:t>
            </w:r>
          </w:p>
        </w:tc>
        <w:tc>
          <w:tcPr>
            <w:tcW w:w="1701" w:type="dxa"/>
          </w:tcPr>
          <w:p w:rsidR="005F74D8" w:rsidRPr="005F74D8" w:rsidRDefault="005F74D8" w:rsidP="005159A3">
            <w:pPr>
              <w:keepNext/>
              <w:autoSpaceDE w:val="0"/>
              <w:autoSpaceDN w:val="0"/>
              <w:adjustRightInd w:val="0"/>
              <w:cnfStyle w:val="100000000000" w:firstRow="1" w:lastRow="0" w:firstColumn="0" w:lastColumn="0" w:oddVBand="0" w:evenVBand="0" w:oddHBand="0" w:evenHBand="0" w:firstRowFirstColumn="0" w:firstRowLastColumn="0" w:lastRowFirstColumn="0" w:lastRowLastColumn="0"/>
              <w:rPr>
                <w:sz w:val="18"/>
                <w:szCs w:val="18"/>
              </w:rPr>
            </w:pPr>
            <w:r w:rsidRPr="005F74D8">
              <w:rPr>
                <w:sz w:val="18"/>
                <w:szCs w:val="18"/>
              </w:rPr>
              <w:t>Abbreviation</w:t>
            </w:r>
          </w:p>
        </w:tc>
        <w:tc>
          <w:tcPr>
            <w:tcW w:w="2977" w:type="dxa"/>
          </w:tcPr>
          <w:p w:rsidR="005F74D8" w:rsidRPr="005F74D8" w:rsidRDefault="005F74D8" w:rsidP="005159A3">
            <w:pPr>
              <w:keepNext/>
              <w:cnfStyle w:val="100000000000" w:firstRow="1" w:lastRow="0" w:firstColumn="0" w:lastColumn="0" w:oddVBand="0" w:evenVBand="0" w:oddHBand="0" w:evenHBand="0" w:firstRowFirstColumn="0" w:firstRowLastColumn="0" w:lastRowFirstColumn="0" w:lastRowLastColumn="0"/>
              <w:rPr>
                <w:sz w:val="18"/>
                <w:szCs w:val="18"/>
              </w:rPr>
            </w:pPr>
            <w:r w:rsidRPr="005F74D8">
              <w:rPr>
                <w:sz w:val="18"/>
                <w:szCs w:val="18"/>
              </w:rPr>
              <w:t>Meaning</w:t>
            </w:r>
          </w:p>
        </w:tc>
      </w:tr>
      <w:tr w:rsidR="00D562DD"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keepNext/>
              <w:autoSpaceDE w:val="0"/>
              <w:autoSpaceDN w:val="0"/>
              <w:adjustRightInd w:val="0"/>
              <w:ind w:left="0"/>
              <w:rPr>
                <w:sz w:val="18"/>
                <w:szCs w:val="18"/>
              </w:rPr>
            </w:pPr>
            <w:r w:rsidRPr="00A6787F">
              <w:rPr>
                <w:sz w:val="18"/>
                <w:szCs w:val="18"/>
              </w:rPr>
              <w:t>ACA</w:t>
            </w:r>
          </w:p>
        </w:tc>
        <w:tc>
          <w:tcPr>
            <w:tcW w:w="2551"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Anti-complement activity</w:t>
            </w:r>
          </w:p>
        </w:tc>
        <w:tc>
          <w:tcPr>
            <w:tcW w:w="1701" w:type="dxa"/>
          </w:tcPr>
          <w:p w:rsidR="005F74D8" w:rsidRPr="00A6787F" w:rsidRDefault="005F74D8" w:rsidP="00DC5BB2">
            <w:pPr>
              <w:keepNext/>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HAV</w:t>
            </w:r>
          </w:p>
        </w:tc>
        <w:tc>
          <w:tcPr>
            <w:tcW w:w="2977"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Hepatitis A virus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keepNext/>
              <w:ind w:left="0"/>
              <w:rPr>
                <w:sz w:val="18"/>
                <w:szCs w:val="18"/>
              </w:rPr>
            </w:pPr>
            <w:r w:rsidRPr="00A6787F">
              <w:rPr>
                <w:sz w:val="18"/>
                <w:szCs w:val="18"/>
              </w:rPr>
              <w:t>AE</w:t>
            </w:r>
          </w:p>
        </w:tc>
        <w:tc>
          <w:tcPr>
            <w:tcW w:w="2551"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Adverse event</w:t>
            </w:r>
          </w:p>
        </w:tc>
        <w:tc>
          <w:tcPr>
            <w:tcW w:w="1701" w:type="dxa"/>
          </w:tcPr>
          <w:p w:rsidR="005F74D8" w:rsidRPr="00A6787F" w:rsidRDefault="005F74D8" w:rsidP="00DC5BB2">
            <w:pPr>
              <w:keepNext/>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HBV</w:t>
            </w:r>
          </w:p>
        </w:tc>
        <w:tc>
          <w:tcPr>
            <w:tcW w:w="2977"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Hepatitis B virus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keepNext/>
              <w:autoSpaceDE w:val="0"/>
              <w:autoSpaceDN w:val="0"/>
              <w:adjustRightInd w:val="0"/>
              <w:ind w:left="0"/>
              <w:rPr>
                <w:sz w:val="18"/>
                <w:szCs w:val="18"/>
              </w:rPr>
            </w:pPr>
            <w:r w:rsidRPr="00A6787F">
              <w:rPr>
                <w:sz w:val="18"/>
                <w:szCs w:val="18"/>
              </w:rPr>
              <w:t>ALP</w:t>
            </w:r>
          </w:p>
        </w:tc>
        <w:tc>
          <w:tcPr>
            <w:tcW w:w="2551"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Alkaline phosphatase</w:t>
            </w:r>
          </w:p>
        </w:tc>
        <w:tc>
          <w:tcPr>
            <w:tcW w:w="1701" w:type="dxa"/>
          </w:tcPr>
          <w:p w:rsidR="005F74D8" w:rsidRPr="00A6787F" w:rsidRDefault="005F74D8" w:rsidP="00DC5BB2">
            <w:pPr>
              <w:keepNext/>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HCV</w:t>
            </w:r>
          </w:p>
        </w:tc>
        <w:tc>
          <w:tcPr>
            <w:tcW w:w="2977"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Hepatitis C virus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keepNext/>
              <w:autoSpaceDE w:val="0"/>
              <w:autoSpaceDN w:val="0"/>
              <w:adjustRightInd w:val="0"/>
              <w:ind w:left="0"/>
              <w:rPr>
                <w:sz w:val="18"/>
                <w:szCs w:val="18"/>
              </w:rPr>
            </w:pPr>
            <w:r w:rsidRPr="00A6787F">
              <w:rPr>
                <w:sz w:val="18"/>
                <w:szCs w:val="18"/>
              </w:rPr>
              <w:t>ALT</w:t>
            </w:r>
          </w:p>
        </w:tc>
        <w:tc>
          <w:tcPr>
            <w:tcW w:w="2551"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Alanine aminotransferase</w:t>
            </w:r>
          </w:p>
        </w:tc>
        <w:tc>
          <w:tcPr>
            <w:tcW w:w="1701" w:type="dxa"/>
          </w:tcPr>
          <w:p w:rsidR="005F74D8" w:rsidRPr="00A6787F" w:rsidRDefault="00A6787F" w:rsidP="00DC5BB2">
            <w:pPr>
              <w:keepNext/>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HIV</w:t>
            </w:r>
          </w:p>
        </w:tc>
        <w:tc>
          <w:tcPr>
            <w:tcW w:w="2977" w:type="dxa"/>
          </w:tcPr>
          <w:p w:rsidR="005F74D8" w:rsidRPr="00A6787F" w:rsidRDefault="005F74D8" w:rsidP="00DC5BB2">
            <w:pPr>
              <w:keepNext/>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Human immunodeficiency virus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AMS</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8" w:name="_Toc362482934"/>
            <w:bookmarkStart w:id="9" w:name="_Toc362485014"/>
            <w:bookmarkStart w:id="10" w:name="_Toc362729271"/>
            <w:bookmarkStart w:id="11" w:name="_Toc362747889"/>
            <w:bookmarkStart w:id="12" w:name="_Toc362945287"/>
            <w:bookmarkStart w:id="13" w:name="_Toc365368661"/>
            <w:bookmarkStart w:id="14" w:name="_Toc373748345"/>
            <w:r w:rsidRPr="00A6787F">
              <w:rPr>
                <w:sz w:val="18"/>
                <w:szCs w:val="18"/>
              </w:rPr>
              <w:t>Aseptic Meningitis Syndrome</w:t>
            </w:r>
            <w:bookmarkEnd w:id="8"/>
            <w:bookmarkEnd w:id="9"/>
            <w:bookmarkEnd w:id="10"/>
            <w:bookmarkEnd w:id="11"/>
            <w:bookmarkEnd w:id="12"/>
            <w:bookmarkEnd w:id="13"/>
            <w:bookmarkEnd w:id="14"/>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15" w:name="_Toc362482933"/>
            <w:bookmarkStart w:id="16" w:name="_Toc362485013"/>
            <w:bookmarkStart w:id="17" w:name="_Toc362729270"/>
            <w:bookmarkStart w:id="18" w:name="_Toc362747888"/>
            <w:bookmarkStart w:id="19" w:name="_Toc362945288"/>
            <w:bookmarkStart w:id="20" w:name="_Toc365368662"/>
            <w:bookmarkStart w:id="21" w:name="_Toc373748346"/>
            <w:r w:rsidRPr="00A6787F">
              <w:rPr>
                <w:sz w:val="18"/>
                <w:szCs w:val="18"/>
              </w:rPr>
              <w:t>HRQL</w:t>
            </w:r>
            <w:bookmarkEnd w:id="15"/>
            <w:bookmarkEnd w:id="16"/>
            <w:bookmarkEnd w:id="17"/>
            <w:bookmarkEnd w:id="18"/>
            <w:bookmarkEnd w:id="19"/>
            <w:bookmarkEnd w:id="20"/>
            <w:bookmarkEnd w:id="21"/>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sz w:val="18"/>
                <w:szCs w:val="18"/>
              </w:rPr>
              <w:t>Health-Related Quality of Life</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ARAG</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Autosomal recessive agammaglobulinemia</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ICH</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International Conference on Harmonisation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AST</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Aspartate aminotransferase</w:t>
            </w:r>
          </w:p>
        </w:tc>
        <w:tc>
          <w:tcPr>
            <w:tcW w:w="1701" w:type="dxa"/>
          </w:tcPr>
          <w:p w:rsidR="005F74D8" w:rsidRPr="00A6787F" w:rsidRDefault="00A6787F" w:rsidP="00DC5BB2">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IgG</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Immunoglobulin G</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 xml:space="preserve">AUC </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Area under the concentration-time curve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IgPro20</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HIZENTRA</w:t>
            </w:r>
            <w:r w:rsidRPr="00A6787F">
              <w:rPr>
                <w:sz w:val="18"/>
                <w:szCs w:val="18"/>
              </w:rPr>
              <w:sym w:font="Symbol" w:char="F0D2"/>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AUC24</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Area under the concentration-time curve from 0-24 h</w:t>
            </w:r>
          </w:p>
        </w:tc>
        <w:tc>
          <w:tcPr>
            <w:tcW w:w="1701" w:type="dxa"/>
          </w:tcPr>
          <w:p w:rsidR="005F74D8" w:rsidRPr="00A6787F" w:rsidRDefault="005F74D8" w:rsidP="00DC5BB2">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IM</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intramuscular</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AUC</w:t>
            </w:r>
            <w:r w:rsidRPr="00A6787F">
              <w:rPr>
                <w:sz w:val="18"/>
                <w:szCs w:val="18"/>
                <w:vertAlign w:val="subscript"/>
              </w:rPr>
              <w:t>last</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Area under the concentration-time curve until last measured concentration</w:t>
            </w:r>
          </w:p>
        </w:tc>
        <w:tc>
          <w:tcPr>
            <w:tcW w:w="1701" w:type="dxa"/>
          </w:tcPr>
          <w:p w:rsidR="005F74D8" w:rsidRPr="00A6787F" w:rsidRDefault="00A6787F" w:rsidP="00DC5BB2">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IMIG</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Immunoglobulin for intramuscular application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AUC</w:t>
            </w:r>
            <w:r w:rsidRPr="00A6787F">
              <w:rPr>
                <w:sz w:val="18"/>
                <w:szCs w:val="18"/>
              </w:rPr>
              <w:sym w:font="Symbol" w:char="F074"/>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bookmarkStart w:id="22" w:name="_Toc362729272"/>
            <w:bookmarkStart w:id="23" w:name="_Toc362747890"/>
            <w:bookmarkStart w:id="24" w:name="_Toc362945289"/>
            <w:bookmarkStart w:id="25" w:name="_Toc365368663"/>
            <w:bookmarkStart w:id="26" w:name="_Toc373748347"/>
            <w:r w:rsidRPr="00A6787F">
              <w:rPr>
                <w:sz w:val="18"/>
                <w:szCs w:val="18"/>
              </w:rPr>
              <w:t>Area under the concentration-time curve during</w:t>
            </w:r>
            <w:bookmarkEnd w:id="22"/>
            <w:bookmarkEnd w:id="23"/>
            <w:bookmarkEnd w:id="24"/>
            <w:bookmarkEnd w:id="25"/>
            <w:bookmarkEnd w:id="26"/>
            <w:r w:rsidRPr="00A6787F">
              <w:rPr>
                <w:sz w:val="18"/>
                <w:szCs w:val="18"/>
              </w:rPr>
              <w:t xml:space="preserve"> </w:t>
            </w:r>
            <w:bookmarkStart w:id="27" w:name="_Toc362729273"/>
            <w:bookmarkStart w:id="28" w:name="_Toc362747891"/>
            <w:bookmarkStart w:id="29" w:name="_Toc362945290"/>
            <w:bookmarkStart w:id="30" w:name="_Toc365368664"/>
            <w:bookmarkStart w:id="31" w:name="_Toc373748348"/>
            <w:r w:rsidRPr="00A6787F">
              <w:rPr>
                <w:sz w:val="18"/>
                <w:szCs w:val="18"/>
              </w:rPr>
              <w:t>1 regular dosing interval</w:t>
            </w:r>
            <w:bookmarkEnd w:id="27"/>
            <w:bookmarkEnd w:id="28"/>
            <w:bookmarkEnd w:id="29"/>
            <w:bookmarkEnd w:id="30"/>
            <w:bookmarkEnd w:id="31"/>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Pr>
                <w:rFonts w:eastAsia="TimesNewRomanPSMT"/>
                <w:sz w:val="18"/>
                <w:szCs w:val="18"/>
              </w:rPr>
              <w:t>IMP</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Investigational Medicinal Product</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B19V</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Parvovirus B19</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IRB</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Institutional review board</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BMI</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Body Mass Index</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ITT</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sz w:val="18"/>
                <w:szCs w:val="18"/>
              </w:rPr>
              <w:t>Intent to treat</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BP</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Blood pressure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IV</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Intravenous(lV)</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bw</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Body weight</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IVIG</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Immunoglobulin for intravenous application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b/>
                <w:sz w:val="18"/>
                <w:szCs w:val="18"/>
              </w:rPr>
            </w:pPr>
            <w:bookmarkStart w:id="32" w:name="_Toc362729274"/>
            <w:bookmarkStart w:id="33" w:name="_Toc362747892"/>
            <w:bookmarkStart w:id="34" w:name="_Toc362945291"/>
            <w:bookmarkStart w:id="35" w:name="_Toc365368665"/>
            <w:bookmarkStart w:id="36" w:name="_Toc373748349"/>
            <w:r w:rsidRPr="00A6787F">
              <w:rPr>
                <w:sz w:val="18"/>
                <w:szCs w:val="18"/>
              </w:rPr>
              <w:t>CBP</w:t>
            </w:r>
            <w:bookmarkEnd w:id="32"/>
            <w:bookmarkEnd w:id="33"/>
            <w:bookmarkEnd w:id="34"/>
            <w:bookmarkEnd w:id="35"/>
            <w:bookmarkEnd w:id="36"/>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childbearing potential</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LDH</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Lactate dehydrogenase</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b/>
                <w:sz w:val="18"/>
                <w:szCs w:val="18"/>
              </w:rPr>
            </w:pPr>
            <w:bookmarkStart w:id="37" w:name="_Toc362482935"/>
            <w:bookmarkStart w:id="38" w:name="_Toc362485015"/>
            <w:bookmarkStart w:id="39" w:name="_Toc362729275"/>
            <w:bookmarkStart w:id="40" w:name="_Toc362747893"/>
            <w:bookmarkStart w:id="41" w:name="_Toc362945292"/>
            <w:bookmarkStart w:id="42" w:name="_Toc365368666"/>
            <w:bookmarkStart w:id="43" w:name="_Toc373748350"/>
            <w:r w:rsidRPr="00A6787F">
              <w:rPr>
                <w:sz w:val="18"/>
                <w:szCs w:val="18"/>
              </w:rPr>
              <w:t>CIDP</w:t>
            </w:r>
            <w:bookmarkEnd w:id="37"/>
            <w:bookmarkEnd w:id="38"/>
            <w:bookmarkEnd w:id="39"/>
            <w:bookmarkEnd w:id="40"/>
            <w:bookmarkEnd w:id="41"/>
            <w:bookmarkEnd w:id="42"/>
            <w:bookmarkEnd w:id="43"/>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Chronic Inflammatory Demyelinating Polyneuropathy</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MA</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sz w:val="18"/>
                <w:szCs w:val="18"/>
              </w:rPr>
              <w:t>Marketing Authorisation</w:t>
            </w:r>
          </w:p>
        </w:tc>
      </w:tr>
      <w:tr w:rsidR="005F74D8" w:rsidRPr="002F6EE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CNS</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Central Nervous System</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MedDRA</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Medical Dictionary for Regulatory Activities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lastRenderedPageBreak/>
              <w:t>CFR</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Code of federal regulations</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NBS</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rFonts w:eastAsia="TimesNewRomanPSMT"/>
                <w:sz w:val="18"/>
                <w:szCs w:val="18"/>
              </w:rPr>
              <w:t>Nijmegen breakage syndrome</w:t>
            </w:r>
          </w:p>
        </w:tc>
      </w:tr>
      <w:tr w:rsidR="005F74D8" w:rsidRPr="00E005C8" w:rsidTr="00A6787F">
        <w:trPr>
          <w:trHeight w:val="691"/>
        </w:trPr>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CI</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Confidence interval</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PAGID</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A6787F">
              <w:rPr>
                <w:sz w:val="18"/>
                <w:szCs w:val="18"/>
              </w:rPr>
              <w:t>Pan-American Group for Immunodeficiency</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bookmarkStart w:id="44" w:name="_Toc362482936"/>
            <w:bookmarkStart w:id="45" w:name="_Toc362485016"/>
            <w:bookmarkStart w:id="46" w:name="_Toc362729276"/>
            <w:bookmarkStart w:id="47" w:name="_Toc362747894"/>
            <w:bookmarkStart w:id="48" w:name="_Toc362945293"/>
            <w:bookmarkStart w:id="49" w:name="_Toc365368667"/>
            <w:bookmarkStart w:id="50" w:name="_Toc373748351"/>
            <w:r w:rsidRPr="00A6787F">
              <w:rPr>
                <w:sz w:val="18"/>
                <w:szCs w:val="18"/>
              </w:rPr>
              <w:t>CIOMS</w:t>
            </w:r>
            <w:bookmarkEnd w:id="44"/>
            <w:bookmarkEnd w:id="45"/>
            <w:bookmarkEnd w:id="46"/>
            <w:bookmarkEnd w:id="47"/>
            <w:bookmarkEnd w:id="48"/>
            <w:bookmarkEnd w:id="49"/>
            <w:bookmarkEnd w:id="50"/>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Council for International Organizations of Medical Sciences</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PCR</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Polymerase chain reaction</w:t>
            </w:r>
          </w:p>
        </w:tc>
      </w:tr>
      <w:tr w:rsidR="005F74D8" w:rsidRPr="00E005C8" w:rsidTr="00DC5BB2">
        <w:trPr>
          <w:trHeight w:val="673"/>
        </w:trPr>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CJD</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Creutzfeldt-Jakob Disease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PID</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Primary Immunodeficiency Disease</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CL</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Confidence Limit</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PK</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Pharmacokinetics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b/>
                <w:sz w:val="18"/>
                <w:szCs w:val="18"/>
              </w:rPr>
            </w:pPr>
            <w:bookmarkStart w:id="51" w:name="_Toc362729277"/>
            <w:bookmarkStart w:id="52" w:name="_Toc362747895"/>
            <w:bookmarkStart w:id="53" w:name="_Toc362945294"/>
            <w:bookmarkStart w:id="54" w:name="_Toc365368668"/>
            <w:bookmarkStart w:id="55" w:name="_Toc373748352"/>
            <w:r w:rsidRPr="00A6787F">
              <w:rPr>
                <w:sz w:val="18"/>
                <w:szCs w:val="18"/>
              </w:rPr>
              <w:t>Cl</w:t>
            </w:r>
            <w:r w:rsidRPr="00A6787F">
              <w:rPr>
                <w:sz w:val="18"/>
                <w:szCs w:val="18"/>
                <w:vertAlign w:val="subscript"/>
              </w:rPr>
              <w:t>ast</w:t>
            </w:r>
            <w:bookmarkEnd w:id="51"/>
            <w:bookmarkEnd w:id="52"/>
            <w:bookmarkEnd w:id="53"/>
            <w:bookmarkEnd w:id="54"/>
            <w:bookmarkEnd w:id="55"/>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Last measured concentration</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PP</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Per protocol</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CLSI</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Clinical and Laboratory Standards Institute</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QD</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Once daily</w:t>
            </w:r>
          </w:p>
        </w:tc>
      </w:tr>
      <w:tr w:rsidR="005F74D8" w:rsidRPr="00E005C8" w:rsidTr="00D562DD">
        <w:trPr>
          <w:trHeight w:val="309"/>
        </w:trPr>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w:t>
            </w:r>
            <w:r w:rsidRPr="00A6787F">
              <w:rPr>
                <w:sz w:val="18"/>
                <w:szCs w:val="18"/>
                <w:vertAlign w:val="subscript"/>
              </w:rPr>
              <w:t>max</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Maximum concentration</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56" w:name="_Toc362482937"/>
            <w:bookmarkStart w:id="57" w:name="_Toc362485017"/>
            <w:bookmarkStart w:id="58" w:name="_Toc362729278"/>
            <w:bookmarkStart w:id="59" w:name="_Toc362747896"/>
            <w:bookmarkStart w:id="60" w:name="_Toc362945295"/>
            <w:bookmarkStart w:id="61" w:name="_Toc365368669"/>
            <w:bookmarkStart w:id="62" w:name="_Toc373748353"/>
            <w:r w:rsidRPr="00A6787F">
              <w:rPr>
                <w:sz w:val="18"/>
                <w:szCs w:val="18"/>
              </w:rPr>
              <w:t>RMP</w:t>
            </w:r>
            <w:bookmarkEnd w:id="56"/>
            <w:bookmarkEnd w:id="57"/>
            <w:bookmarkEnd w:id="58"/>
            <w:bookmarkEnd w:id="59"/>
            <w:bookmarkEnd w:id="60"/>
            <w:bookmarkEnd w:id="61"/>
            <w:bookmarkEnd w:id="62"/>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Risk Management Plan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w:t>
            </w:r>
            <w:r w:rsidRPr="00A6787F">
              <w:rPr>
                <w:sz w:val="18"/>
                <w:szCs w:val="18"/>
                <w:vertAlign w:val="subscript"/>
              </w:rPr>
              <w:t>min</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Minimum concentration</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63" w:name="_Toc362729279"/>
            <w:bookmarkStart w:id="64" w:name="_Toc362747897"/>
            <w:bookmarkStart w:id="65" w:name="_Toc362945296"/>
            <w:bookmarkStart w:id="66" w:name="_Toc365368670"/>
            <w:bookmarkStart w:id="67" w:name="_Toc373748354"/>
            <w:r w:rsidRPr="00A6787F">
              <w:rPr>
                <w:sz w:val="18"/>
                <w:szCs w:val="18"/>
              </w:rPr>
              <w:t>sAUC</w:t>
            </w:r>
            <w:bookmarkEnd w:id="63"/>
            <w:bookmarkEnd w:id="64"/>
            <w:bookmarkEnd w:id="65"/>
            <w:bookmarkEnd w:id="66"/>
            <w:bookmarkEnd w:id="67"/>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AUC standardized</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CPK</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Creatine phosphokinase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68" w:name="_Toc362482938"/>
            <w:bookmarkStart w:id="69" w:name="_Toc362485018"/>
            <w:bookmarkStart w:id="70" w:name="_Toc362729280"/>
            <w:bookmarkStart w:id="71" w:name="_Toc362747898"/>
            <w:bookmarkStart w:id="72" w:name="_Toc362945297"/>
            <w:bookmarkStart w:id="73" w:name="_Toc365368671"/>
            <w:bookmarkStart w:id="74" w:name="_Toc373748355"/>
            <w:r w:rsidRPr="00A6787F">
              <w:rPr>
                <w:sz w:val="18"/>
                <w:szCs w:val="18"/>
              </w:rPr>
              <w:t>SBIs</w:t>
            </w:r>
            <w:bookmarkEnd w:id="68"/>
            <w:bookmarkEnd w:id="69"/>
            <w:bookmarkEnd w:id="70"/>
            <w:bookmarkEnd w:id="71"/>
            <w:bookmarkEnd w:id="72"/>
            <w:bookmarkEnd w:id="73"/>
            <w:bookmarkEnd w:id="74"/>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Serious Bacterial Infections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CRF</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Case report form</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SC</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subcutaneous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w:t>
            </w:r>
            <w:r w:rsidRPr="00A6787F">
              <w:rPr>
                <w:sz w:val="18"/>
                <w:szCs w:val="18"/>
                <w:vertAlign w:val="subscript"/>
              </w:rPr>
              <w:t>trough</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Trough level</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SCIG</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Immunoglobulin for subcutaneous use</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CVID</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common variable immunodeficiency</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SD</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Standard deviation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rFonts w:eastAsia="TimesNewRoman" w:cs="TimesNewRoman"/>
                <w:sz w:val="18"/>
                <w:szCs w:val="18"/>
              </w:rPr>
              <w:t>DAC</w:t>
            </w:r>
          </w:p>
        </w:tc>
        <w:tc>
          <w:tcPr>
            <w:tcW w:w="2551" w:type="dxa"/>
          </w:tcPr>
          <w:p w:rsidR="005F74D8" w:rsidRPr="00A6787F" w:rsidRDefault="00DC5BB2" w:rsidP="00DC5BB2">
            <w:pPr>
              <w:ind w:left="0"/>
              <w:cnfStyle w:val="000000000000" w:firstRow="0" w:lastRow="0" w:firstColumn="0" w:lastColumn="0" w:oddVBand="0" w:evenVBand="0" w:oddHBand="0" w:evenHBand="0" w:firstRowFirstColumn="0" w:firstRowLastColumn="0" w:lastRowFirstColumn="0" w:lastRowLastColumn="0"/>
              <w:rPr>
                <w:rFonts w:eastAsia="TimesNewRoman" w:cs="TimesNewRoman"/>
                <w:sz w:val="18"/>
                <w:szCs w:val="18"/>
              </w:rPr>
            </w:pPr>
            <w:r>
              <w:rPr>
                <w:rFonts w:eastAsia="TimesNewRoman" w:cs="TimesNewRoman"/>
                <w:sz w:val="18"/>
                <w:szCs w:val="18"/>
              </w:rPr>
              <w:t>dose adjustment coefficient</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SAE</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Serious adverse event</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DD</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D-Dimer</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SOC</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System Organ Class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 xml:space="preserve">DMP </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Data Management Plan</w:t>
            </w:r>
          </w:p>
        </w:tc>
        <w:tc>
          <w:tcPr>
            <w:tcW w:w="1701" w:type="dxa"/>
          </w:tcPr>
          <w:p w:rsidR="005F74D8" w:rsidRPr="00A6787F" w:rsidRDefault="00DC5BB2"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TAT</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Thrombin-antithrombin fragments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DSUR</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Development Safety Update Report.</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75" w:name="_Toc362482939"/>
            <w:bookmarkStart w:id="76" w:name="_Toc362485019"/>
            <w:bookmarkStart w:id="77" w:name="_Toc362729281"/>
            <w:bookmarkStart w:id="78" w:name="_Toc362747899"/>
            <w:bookmarkStart w:id="79" w:name="_Toc362945298"/>
            <w:bookmarkStart w:id="80" w:name="_Toc365368672"/>
            <w:bookmarkStart w:id="81" w:name="_Toc373748356"/>
            <w:r w:rsidRPr="00A6787F">
              <w:rPr>
                <w:sz w:val="18"/>
                <w:szCs w:val="18"/>
              </w:rPr>
              <w:t>TEE</w:t>
            </w:r>
            <w:bookmarkEnd w:id="75"/>
            <w:bookmarkEnd w:id="76"/>
            <w:bookmarkEnd w:id="77"/>
            <w:bookmarkEnd w:id="78"/>
            <w:bookmarkEnd w:id="79"/>
            <w:bookmarkEnd w:id="80"/>
            <w:bookmarkEnd w:id="81"/>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Thromboembolic Events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DSV</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Data study verification</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82" w:name="_Toc362729282"/>
            <w:bookmarkStart w:id="83" w:name="_Toc362747900"/>
            <w:bookmarkStart w:id="84" w:name="_Toc362945299"/>
            <w:bookmarkStart w:id="85" w:name="_Toc365368673"/>
            <w:bookmarkStart w:id="86" w:name="_Toc373748357"/>
            <w:r w:rsidRPr="00A6787F">
              <w:rPr>
                <w:sz w:val="18"/>
                <w:szCs w:val="18"/>
              </w:rPr>
              <w:t>TLR</w:t>
            </w:r>
            <w:bookmarkEnd w:id="82"/>
            <w:bookmarkEnd w:id="83"/>
            <w:bookmarkEnd w:id="84"/>
            <w:bookmarkEnd w:id="85"/>
            <w:bookmarkEnd w:id="86"/>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Trough level ratio</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ECG</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Electrocardiogram</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87" w:name="_Toc362729283"/>
            <w:bookmarkStart w:id="88" w:name="_Toc362747901"/>
            <w:bookmarkStart w:id="89" w:name="_Toc362945300"/>
            <w:bookmarkStart w:id="90" w:name="_Toc365368674"/>
            <w:bookmarkStart w:id="91" w:name="_Toc373748358"/>
            <w:r w:rsidRPr="00A6787F">
              <w:rPr>
                <w:sz w:val="18"/>
                <w:szCs w:val="18"/>
              </w:rPr>
              <w:t>T</w:t>
            </w:r>
            <w:r w:rsidRPr="00A6787F">
              <w:rPr>
                <w:sz w:val="18"/>
                <w:szCs w:val="18"/>
                <w:vertAlign w:val="subscript"/>
              </w:rPr>
              <w:t>max</w:t>
            </w:r>
            <w:bookmarkEnd w:id="87"/>
            <w:bookmarkEnd w:id="88"/>
            <w:bookmarkEnd w:id="89"/>
            <w:bookmarkEnd w:id="90"/>
            <w:bookmarkEnd w:id="91"/>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b/>
                <w:sz w:val="18"/>
                <w:szCs w:val="18"/>
              </w:rPr>
            </w:pPr>
            <w:bookmarkStart w:id="92" w:name="_Toc362729284"/>
            <w:bookmarkStart w:id="93" w:name="_Toc362747902"/>
            <w:bookmarkStart w:id="94" w:name="_Toc362945301"/>
            <w:bookmarkStart w:id="95" w:name="_Toc365368675"/>
            <w:bookmarkStart w:id="96" w:name="_Toc373748359"/>
            <w:r w:rsidRPr="00A6787F">
              <w:rPr>
                <w:sz w:val="18"/>
                <w:szCs w:val="18"/>
              </w:rPr>
              <w:t>Timepoint of maximum concentration</w:t>
            </w:r>
            <w:bookmarkEnd w:id="92"/>
            <w:bookmarkEnd w:id="93"/>
            <w:bookmarkEnd w:id="94"/>
            <w:bookmarkEnd w:id="95"/>
            <w:bookmarkEnd w:id="96"/>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EAE</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Experimental allergic encephalomyelitis</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TNF</w:t>
            </w:r>
            <w:r w:rsidR="00A6787F" w:rsidRPr="00A6787F">
              <w:rPr>
                <w:rFonts w:eastAsia="TimesNewRomanPSMT" w:cs="TimesNewRomanPSMT"/>
                <w:sz w:val="18"/>
                <w:szCs w:val="18"/>
              </w:rPr>
              <w:t>α</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Tumor necrosis factor-alpha</w:t>
            </w:r>
          </w:p>
        </w:tc>
      </w:tr>
      <w:tr w:rsidR="005F74D8" w:rsidRPr="00E005C8" w:rsidTr="00D562DD">
        <w:trPr>
          <w:trHeight w:val="60"/>
        </w:trPr>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lastRenderedPageBreak/>
              <w:t>ELISA</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Enzyme-linked immunosorbent assay</w:t>
            </w:r>
          </w:p>
        </w:tc>
        <w:tc>
          <w:tcPr>
            <w:tcW w:w="1701" w:type="dxa"/>
          </w:tcPr>
          <w:p w:rsidR="005F74D8" w:rsidRPr="00A6787F" w:rsidRDefault="00A6787F"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TSE</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Transmissible Spongiform Encephalopathy</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EMA</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European Medicines Agency</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ULN</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Upper Limit of Normal</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ESID</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European</w:t>
            </w:r>
            <w:r w:rsidRPr="00A6787F">
              <w:rPr>
                <w:b/>
                <w:sz w:val="18"/>
                <w:szCs w:val="18"/>
              </w:rPr>
              <w:t xml:space="preserve"> </w:t>
            </w:r>
            <w:r w:rsidRPr="00A6787F">
              <w:rPr>
                <w:sz w:val="18"/>
                <w:szCs w:val="18"/>
              </w:rPr>
              <w:t>Society for Immunodeficiencies</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US</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United States</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sz w:val="18"/>
                <w:szCs w:val="18"/>
              </w:rPr>
            </w:pPr>
            <w:r w:rsidRPr="00A6787F">
              <w:rPr>
                <w:sz w:val="18"/>
                <w:szCs w:val="18"/>
              </w:rPr>
              <w:t>EU</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European Union</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URTI</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upper respiratory tract infection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FDA</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US Food and Drug Administration</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UTI</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urinary tract infection</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sz w:val="18"/>
                <w:szCs w:val="18"/>
              </w:rPr>
            </w:pPr>
            <w:r w:rsidRPr="00A6787F">
              <w:rPr>
                <w:sz w:val="18"/>
                <w:szCs w:val="18"/>
              </w:rPr>
              <w:t>F1+2</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Prothrombin fragments 1 and 2</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vCJD</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variant Creutzfeldt-Jakob-Disease</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A6787F" w:rsidP="00DC5BB2">
            <w:pPr>
              <w:ind w:left="0"/>
              <w:rPr>
                <w:rFonts w:eastAsia="TimesNewRomanPSMT"/>
                <w:sz w:val="18"/>
                <w:szCs w:val="18"/>
              </w:rPr>
            </w:pPr>
            <w:r w:rsidRPr="00A6787F">
              <w:rPr>
                <w:rFonts w:eastAsia="TimesNewRomanPSMT"/>
                <w:sz w:val="18"/>
                <w:szCs w:val="18"/>
              </w:rPr>
              <w:t>GCP</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Good Clinical Practice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WHO-DRL</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World Health Organization Drug Reference List</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b/>
                <w:sz w:val="18"/>
                <w:szCs w:val="18"/>
              </w:rPr>
            </w:pPr>
            <w:bookmarkStart w:id="97" w:name="_Toc362482940"/>
            <w:bookmarkStart w:id="98" w:name="_Toc362485020"/>
            <w:bookmarkStart w:id="99" w:name="_Toc362729285"/>
            <w:bookmarkStart w:id="100" w:name="_Toc362747903"/>
            <w:bookmarkStart w:id="101" w:name="_Toc362945302"/>
            <w:bookmarkStart w:id="102" w:name="_Toc365368676"/>
            <w:bookmarkStart w:id="103" w:name="_Toc373748360"/>
            <w:r w:rsidRPr="00A6787F">
              <w:rPr>
                <w:sz w:val="18"/>
                <w:szCs w:val="18"/>
              </w:rPr>
              <w:t>GCSP</w:t>
            </w:r>
            <w:bookmarkEnd w:id="97"/>
            <w:bookmarkEnd w:id="98"/>
            <w:bookmarkEnd w:id="99"/>
            <w:bookmarkEnd w:id="100"/>
            <w:bookmarkEnd w:id="101"/>
            <w:bookmarkEnd w:id="102"/>
            <w:bookmarkEnd w:id="103"/>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Global Clinical Safety &amp; Pharmacovigilance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WI/WO</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wash-in/wash-out</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b/>
                <w:sz w:val="18"/>
                <w:szCs w:val="18"/>
              </w:rPr>
            </w:pPr>
            <w:bookmarkStart w:id="104" w:name="_Toc362729286"/>
            <w:bookmarkStart w:id="105" w:name="_Toc362747904"/>
            <w:bookmarkStart w:id="106" w:name="_Toc362945303"/>
            <w:bookmarkStart w:id="107" w:name="_Toc365368677"/>
            <w:bookmarkStart w:id="108" w:name="_Toc373748361"/>
            <w:r w:rsidRPr="00A6787F">
              <w:rPr>
                <w:rFonts w:eastAsia="TimesNewRomanPSMT" w:cs="TimesNewRomanPSMT"/>
                <w:sz w:val="18"/>
                <w:szCs w:val="18"/>
              </w:rPr>
              <w:t>γ</w:t>
            </w:r>
            <w:r w:rsidRPr="00A6787F">
              <w:rPr>
                <w:rFonts w:eastAsia="TimesNewRomanPSMT"/>
                <w:sz w:val="18"/>
                <w:szCs w:val="18"/>
              </w:rPr>
              <w:t>-GT</w:t>
            </w:r>
            <w:bookmarkEnd w:id="104"/>
            <w:bookmarkEnd w:id="105"/>
            <w:bookmarkEnd w:id="106"/>
            <w:bookmarkEnd w:id="107"/>
            <w:bookmarkEnd w:id="108"/>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rFonts w:eastAsia="TimesNewRomanPSMT"/>
                <w:sz w:val="18"/>
                <w:szCs w:val="18"/>
              </w:rPr>
              <w:t>Gamma-glutamyltransferase</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XLA</w:t>
            </w: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X-linked agammaglobulinemia</w:t>
            </w:r>
          </w:p>
        </w:tc>
      </w:tr>
      <w:tr w:rsidR="005F74D8" w:rsidRPr="00E005C8" w:rsidTr="00D562DD">
        <w:tc>
          <w:tcPr>
            <w:cnfStyle w:val="001000000000" w:firstRow="0" w:lastRow="0" w:firstColumn="1" w:lastColumn="0" w:oddVBand="0" w:evenVBand="0" w:oddHBand="0" w:evenHBand="0" w:firstRowFirstColumn="0" w:firstRowLastColumn="0" w:lastRowFirstColumn="0" w:lastRowLastColumn="0"/>
            <w:tcW w:w="1668" w:type="dxa"/>
          </w:tcPr>
          <w:p w:rsidR="005F74D8" w:rsidRPr="00A6787F" w:rsidRDefault="005F74D8" w:rsidP="00DC5BB2">
            <w:pPr>
              <w:ind w:left="0"/>
              <w:rPr>
                <w:rFonts w:eastAsia="TimesNewRomanPSMT"/>
                <w:sz w:val="18"/>
                <w:szCs w:val="18"/>
              </w:rPr>
            </w:pPr>
            <w:r w:rsidRPr="00A6787F">
              <w:rPr>
                <w:sz w:val="18"/>
                <w:szCs w:val="18"/>
              </w:rPr>
              <w:t>GMR</w:t>
            </w:r>
          </w:p>
        </w:tc>
        <w:tc>
          <w:tcPr>
            <w:tcW w:w="255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r w:rsidRPr="00A6787F">
              <w:rPr>
                <w:sz w:val="18"/>
                <w:szCs w:val="18"/>
              </w:rPr>
              <w:t>Geometric mean ratio</w:t>
            </w:r>
          </w:p>
        </w:tc>
        <w:tc>
          <w:tcPr>
            <w:tcW w:w="1701"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rsidR="005F74D8" w:rsidRPr="00A6787F" w:rsidRDefault="005F74D8" w:rsidP="00DC5BB2">
            <w:pPr>
              <w:ind w:left="0"/>
              <w:cnfStyle w:val="000000000000" w:firstRow="0" w:lastRow="0" w:firstColumn="0" w:lastColumn="0" w:oddVBand="0" w:evenVBand="0" w:oddHBand="0" w:evenHBand="0" w:firstRowFirstColumn="0" w:firstRowLastColumn="0" w:lastRowFirstColumn="0" w:lastRowLastColumn="0"/>
              <w:rPr>
                <w:sz w:val="18"/>
                <w:szCs w:val="18"/>
              </w:rPr>
            </w:pPr>
          </w:p>
        </w:tc>
      </w:tr>
    </w:tbl>
    <w:p w:rsidR="00586F98" w:rsidRDefault="00586F98" w:rsidP="0043797D">
      <w:pPr>
        <w:pStyle w:val="Heading2"/>
        <w:pageBreakBefore/>
        <w:rPr>
          <w:lang w:eastAsia="en-AU"/>
        </w:rPr>
      </w:pPr>
      <w:bookmarkStart w:id="109" w:name="_Toc351718900"/>
      <w:bookmarkStart w:id="110" w:name="_Toc355338635"/>
      <w:bookmarkStart w:id="111" w:name="_Toc392757285"/>
      <w:r>
        <w:rPr>
          <w:lang w:eastAsia="en-AU"/>
        </w:rPr>
        <w:lastRenderedPageBreak/>
        <w:t>Clinical rationale</w:t>
      </w:r>
      <w:bookmarkEnd w:id="111"/>
    </w:p>
    <w:p w:rsidR="005F74D8" w:rsidRPr="00E005C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Human immunoglobulins are naturally occurring proteins; highly purified preparations have</w:t>
      </w:r>
      <w:r>
        <w:rPr>
          <w:rFonts w:eastAsia="TimesNewRoman" w:cs="TimesNewRoman"/>
          <w:color w:val="000000" w:themeColor="text1"/>
        </w:rPr>
        <w:t xml:space="preserve"> </w:t>
      </w:r>
      <w:r w:rsidRPr="00E005C8">
        <w:rPr>
          <w:rFonts w:eastAsia="TimesNewRoman" w:cs="TimesNewRoman"/>
          <w:color w:val="000000" w:themeColor="text1"/>
        </w:rPr>
        <w:t xml:space="preserve">been marketed by various manufacturers, including CSL Behring, as medicinal products for many </w:t>
      </w:r>
      <w:r w:rsidR="003944A8">
        <w:rPr>
          <w:rFonts w:eastAsia="TimesNewRoman" w:cs="TimesNewRoman"/>
          <w:color w:val="000000" w:themeColor="text1"/>
        </w:rPr>
        <w:t>years</w:t>
      </w:r>
      <w:r w:rsidRPr="00E005C8">
        <w:rPr>
          <w:rFonts w:eastAsia="TimesNewRoman" w:cs="TimesNewRoman"/>
          <w:color w:val="000000" w:themeColor="text1"/>
        </w:rPr>
        <w:t xml:space="preserve"> with a well-established safety and tolerability record.</w:t>
      </w:r>
    </w:p>
    <w:p w:rsidR="00D562DD" w:rsidRDefault="00D562DD" w:rsidP="00D562DD">
      <w:pPr>
        <w:pStyle w:val="Heading3"/>
        <w:rPr>
          <w:rFonts w:eastAsia="TimesNewRoman"/>
        </w:rPr>
      </w:pPr>
      <w:bookmarkStart w:id="112" w:name="_Toc392757286"/>
      <w:r w:rsidRPr="00E005C8">
        <w:rPr>
          <w:rFonts w:eastAsia="TimesNewRoman"/>
        </w:rPr>
        <w:t>Primary Immunodeficiencies</w:t>
      </w:r>
      <w:r>
        <w:rPr>
          <w:rFonts w:eastAsia="TimesNewRoman"/>
        </w:rPr>
        <w:t xml:space="preserve"> (PID)</w:t>
      </w:r>
      <w:bookmarkEnd w:id="112"/>
    </w:p>
    <w:p w:rsidR="005F74D8" w:rsidRPr="00AB7E6A" w:rsidRDefault="005F74D8" w:rsidP="005F74D8">
      <w:pPr>
        <w:rPr>
          <w:rFonts w:eastAsia="TimesNewRoman" w:cs="TimesNewRoman"/>
          <w:b/>
          <w:color w:val="000000" w:themeColor="text1"/>
        </w:rPr>
      </w:pPr>
      <w:r w:rsidRPr="00E005C8">
        <w:rPr>
          <w:rFonts w:eastAsia="TimesNewRoman" w:cs="TimesNewRoman"/>
          <w:color w:val="000000" w:themeColor="text1"/>
        </w:rPr>
        <w:t>PIDs include a variety of disorders in which there is an intrinsic defect in the immune system that renders subjects more susceptible to infections. These infections may be fatal if left untreated. The disorders constitute a spectrum of more than 100 innate defects in the body’s immune system.</w:t>
      </w:r>
      <w:r w:rsidR="00D562DD">
        <w:rPr>
          <w:rStyle w:val="FootnoteReference"/>
          <w:rFonts w:eastAsia="TimesNewRoman" w:cs="TimesNewRoman"/>
          <w:color w:val="000000" w:themeColor="text1"/>
        </w:rPr>
        <w:footnoteReference w:id="1"/>
      </w:r>
      <w:r w:rsidRPr="00E005C8">
        <w:rPr>
          <w:rFonts w:eastAsia="TimesNewRoman" w:cs="TimesNewRoman"/>
          <w:color w:val="000000" w:themeColor="text1"/>
        </w:rPr>
        <w:t xml:space="preserve"> Common PIDs include disorders of humoral immunity (affecting B-cell differentiation or antibody production), T-cell defects and combined B- and T-cell defects, phagocytic disorders, and complement deficiencies.</w:t>
      </w:r>
      <w:r w:rsidR="00D562DD">
        <w:rPr>
          <w:rStyle w:val="FootnoteReference"/>
          <w:rFonts w:eastAsia="TimesNewRoman" w:cs="TimesNewRoman"/>
          <w:color w:val="000000" w:themeColor="text1"/>
        </w:rPr>
        <w:footnoteReference w:id="2"/>
      </w:r>
      <w:r w:rsidRPr="00E005C8">
        <w:rPr>
          <w:rFonts w:eastAsia="TimesNewRoman" w:cs="TimesNewRoman"/>
          <w:color w:val="000000" w:themeColor="text1"/>
        </w:rPr>
        <w:t xml:space="preserve"> Major features of these disorders include multiple infections despite aggressive treatment, infections with unusual or opportunistic organisms, failure to thrive or poor growth, and a positive family history. PIDs generally are considered to be relatively uncommon. The true population prevalence, however, is not well established. In the US, there may be as many as 500,000 cases, of which about 50,000 cases are diagnosed each year. Immunoglobulin replacement therapy is the standard treatment for subjects with PIDs. Providing passive immunity and maintaining consistent serum IgG levels decreases the frequency of the recurrent infections and results in significantly improved quality of life for these subjects. IVIG infusions are common practice; however, the incidence of severe systemic reactions and difficult venous access, particularly in children, has prompted the development of alternatives.</w:t>
      </w:r>
    </w:p>
    <w:p w:rsidR="005F74D8" w:rsidRDefault="005F74D8" w:rsidP="005F74D8">
      <w:pPr>
        <w:rPr>
          <w:color w:val="000000" w:themeColor="text1"/>
        </w:rPr>
      </w:pPr>
      <w:r w:rsidRPr="00E005C8">
        <w:rPr>
          <w:rFonts w:eastAsia="TimesNewRoman" w:cs="TimesNewRoman"/>
          <w:color w:val="000000" w:themeColor="text1"/>
        </w:rPr>
        <w:t xml:space="preserve">Home-based SC administration of IgG is the standard of care in Sweden and is increasingly used in subjects with PID in other European countries and in the </w:t>
      </w:r>
      <w:proofErr w:type="gramStart"/>
      <w:r w:rsidRPr="00E005C8">
        <w:rPr>
          <w:rFonts w:eastAsia="TimesNewRoman" w:cs="TimesNewRoman"/>
          <w:color w:val="000000" w:themeColor="text1"/>
        </w:rPr>
        <w:t>USA.</w:t>
      </w:r>
      <w:r w:rsidR="00D562DD" w:rsidRPr="00D562DD">
        <w:rPr>
          <w:rStyle w:val="FootnoteReference"/>
          <w:rFonts w:eastAsia="TimesNewRoman" w:cs="TimesNewRoman"/>
          <w:color w:val="000000" w:themeColor="text1"/>
        </w:rPr>
        <w:footnoteReference w:id="3"/>
      </w:r>
      <w:r w:rsidR="00D562DD" w:rsidRPr="00D562DD">
        <w:rPr>
          <w:rFonts w:eastAsia="TimesNewRoman" w:cs="TimesNewRoman"/>
          <w:color w:val="000000" w:themeColor="text1"/>
          <w:vertAlign w:val="superscript"/>
        </w:rPr>
        <w:t>,</w:t>
      </w:r>
      <w:bookmarkStart w:id="113" w:name="_Ref386708680"/>
      <w:r w:rsidR="00D562DD" w:rsidRPr="00D562DD">
        <w:rPr>
          <w:rStyle w:val="FootnoteReference"/>
          <w:rFonts w:eastAsia="TimesNewRoman" w:cs="TimesNewRoman"/>
          <w:color w:val="000000" w:themeColor="text1"/>
        </w:rPr>
        <w:footnoteReference w:id="4"/>
      </w:r>
      <w:bookmarkEnd w:id="113"/>
      <w:r w:rsidR="00D562DD" w:rsidRPr="00D562DD">
        <w:rPr>
          <w:rFonts w:eastAsia="TimesNewRoman" w:cs="TimesNewRoman"/>
          <w:color w:val="000000" w:themeColor="text1"/>
          <w:vertAlign w:val="superscript"/>
        </w:rPr>
        <w:t>,</w:t>
      </w:r>
      <w:bookmarkStart w:id="114" w:name="_Ref386708691"/>
      <w:proofErr w:type="gramEnd"/>
      <w:r w:rsidR="00D562DD">
        <w:rPr>
          <w:rStyle w:val="FootnoteReference"/>
          <w:rFonts w:eastAsia="TimesNewRoman" w:cs="TimesNewRoman"/>
          <w:color w:val="000000" w:themeColor="text1"/>
        </w:rPr>
        <w:footnoteReference w:id="5"/>
      </w:r>
      <w:bookmarkEnd w:id="114"/>
      <w:r w:rsidRPr="00E005C8">
        <w:rPr>
          <w:rFonts w:eastAsia="TimesNewRoman" w:cs="TimesNewRoman"/>
          <w:color w:val="000000" w:themeColor="text1"/>
        </w:rPr>
        <w:t xml:space="preserve"> </w:t>
      </w:r>
      <w:r w:rsidRPr="00E005C8">
        <w:rPr>
          <w:color w:val="000000" w:themeColor="text1"/>
        </w:rPr>
        <w:t xml:space="preserve">With SCIG treatment, smaller doses of IgG are given more frequently than with IVIG. </w:t>
      </w:r>
      <w:proofErr w:type="gramStart"/>
      <w:r w:rsidRPr="00E005C8">
        <w:rPr>
          <w:color w:val="000000" w:themeColor="text1"/>
        </w:rPr>
        <w:t>This</w:t>
      </w:r>
      <w:r w:rsidR="00D562DD">
        <w:rPr>
          <w:color w:val="000000" w:themeColor="text1"/>
        </w:rPr>
        <w:t xml:space="preserve"> </w:t>
      </w:r>
      <w:r w:rsidRPr="00E005C8">
        <w:rPr>
          <w:color w:val="000000" w:themeColor="text1"/>
        </w:rPr>
        <w:t>results</w:t>
      </w:r>
      <w:proofErr w:type="gramEnd"/>
      <w:r w:rsidRPr="00E005C8">
        <w:rPr>
          <w:color w:val="000000" w:themeColor="text1"/>
        </w:rPr>
        <w:t xml:space="preserve"> in mo</w:t>
      </w:r>
      <w:r w:rsidR="00D562DD">
        <w:rPr>
          <w:color w:val="000000" w:themeColor="text1"/>
        </w:rPr>
        <w:t>re stable serum IgG concentratio</w:t>
      </w:r>
      <w:r w:rsidRPr="00E005C8">
        <w:rPr>
          <w:color w:val="000000" w:themeColor="text1"/>
        </w:rPr>
        <w:t>ns, as indi</w:t>
      </w:r>
      <w:r>
        <w:rPr>
          <w:color w:val="000000" w:themeColor="text1"/>
        </w:rPr>
        <w:t>cated by lower peak conc</w:t>
      </w:r>
      <w:r w:rsidR="00D562DD">
        <w:rPr>
          <w:color w:val="000000" w:themeColor="text1"/>
        </w:rPr>
        <w:t>entrations</w:t>
      </w:r>
      <w:r>
        <w:rPr>
          <w:color w:val="000000" w:themeColor="text1"/>
        </w:rPr>
        <w:t xml:space="preserve"> and levels of IgG </w:t>
      </w:r>
      <w:r w:rsidRPr="00E005C8">
        <w:rPr>
          <w:color w:val="000000" w:themeColor="text1"/>
        </w:rPr>
        <w:t xml:space="preserve">sustained </w:t>
      </w:r>
      <w:r w:rsidR="00DC5BB2">
        <w:rPr>
          <w:color w:val="000000" w:themeColor="text1"/>
        </w:rPr>
        <w:t>throughout the treatment cycle.</w:t>
      </w:r>
    </w:p>
    <w:p w:rsidR="005F74D8" w:rsidRPr="00E005C8" w:rsidRDefault="005F74D8" w:rsidP="005F74D8">
      <w:pPr>
        <w:rPr>
          <w:color w:val="000000" w:themeColor="text1"/>
        </w:rPr>
      </w:pPr>
      <w:r w:rsidRPr="00E005C8">
        <w:rPr>
          <w:color w:val="000000" w:themeColor="text1"/>
        </w:rPr>
        <w:t>In contrast, the large IV bolus</w:t>
      </w:r>
      <w:r>
        <w:rPr>
          <w:color w:val="000000" w:themeColor="text1"/>
        </w:rPr>
        <w:t xml:space="preserve"> </w:t>
      </w:r>
      <w:r w:rsidRPr="00E005C8">
        <w:rPr>
          <w:color w:val="000000" w:themeColor="text1"/>
        </w:rPr>
        <w:t xml:space="preserve">doses result in rapidly attained high peak </w:t>
      </w:r>
      <w:r>
        <w:rPr>
          <w:color w:val="000000" w:themeColor="text1"/>
        </w:rPr>
        <w:t>conc</w:t>
      </w:r>
      <w:r w:rsidR="00D562DD">
        <w:rPr>
          <w:color w:val="000000" w:themeColor="text1"/>
        </w:rPr>
        <w:t>entrations</w:t>
      </w:r>
      <w:r w:rsidRPr="00E005C8">
        <w:rPr>
          <w:color w:val="000000" w:themeColor="text1"/>
        </w:rPr>
        <w:t xml:space="preserve"> of serum IgG, followed by an</w:t>
      </w:r>
      <w:r>
        <w:rPr>
          <w:color w:val="000000" w:themeColor="text1"/>
        </w:rPr>
        <w:t xml:space="preserve"> </w:t>
      </w:r>
      <w:r w:rsidRPr="00E005C8">
        <w:rPr>
          <w:color w:val="000000" w:themeColor="text1"/>
        </w:rPr>
        <w:t xml:space="preserve">initially rapid decline and a period of more gradual decline to </w:t>
      </w:r>
      <w:proofErr w:type="gramStart"/>
      <w:r w:rsidRPr="00E005C8">
        <w:rPr>
          <w:color w:val="000000" w:themeColor="text1"/>
        </w:rPr>
        <w:t>baseline.</w:t>
      </w:r>
      <w:r w:rsidR="00D562DD">
        <w:rPr>
          <w:rStyle w:val="FootnoteReference"/>
          <w:color w:val="000000" w:themeColor="text1"/>
        </w:rPr>
        <w:footnoteReference w:id="6"/>
      </w:r>
      <w:r w:rsidR="00D562DD" w:rsidRPr="00D562DD">
        <w:rPr>
          <w:color w:val="000000" w:themeColor="text1"/>
          <w:vertAlign w:val="superscript"/>
        </w:rPr>
        <w:t>,</w:t>
      </w:r>
      <w:proofErr w:type="gramEnd"/>
      <w:r w:rsidR="00D562DD">
        <w:rPr>
          <w:rStyle w:val="FootnoteReference"/>
          <w:color w:val="000000" w:themeColor="text1"/>
        </w:rPr>
        <w:footnoteReference w:id="7"/>
      </w:r>
      <w:r w:rsidR="00D562DD">
        <w:rPr>
          <w:color w:val="000000" w:themeColor="text1"/>
        </w:rPr>
        <w:t xml:space="preserve"> </w:t>
      </w:r>
      <w:r w:rsidRPr="00E005C8">
        <w:rPr>
          <w:color w:val="000000" w:themeColor="text1"/>
        </w:rPr>
        <w:t xml:space="preserve">Previous studies have shown that the side-effect profile of SC infusions of IgG is more favourable than </w:t>
      </w:r>
      <w:r w:rsidR="00D562DD">
        <w:rPr>
          <w:color w:val="000000" w:themeColor="text1"/>
        </w:rPr>
        <w:t>IVIG</w:t>
      </w:r>
      <w:r w:rsidRPr="00E005C8">
        <w:rPr>
          <w:color w:val="000000" w:themeColor="text1"/>
        </w:rPr>
        <w:t>.</w:t>
      </w:r>
      <w:r w:rsidR="00D562DD" w:rsidRPr="00D562DD">
        <w:rPr>
          <w:color w:val="000000" w:themeColor="text1"/>
          <w:vertAlign w:val="superscript"/>
        </w:rPr>
        <w:fldChar w:fldCharType="begin"/>
      </w:r>
      <w:r w:rsidR="00D562DD" w:rsidRPr="00D562DD">
        <w:rPr>
          <w:color w:val="000000" w:themeColor="text1"/>
          <w:vertAlign w:val="superscript"/>
        </w:rPr>
        <w:instrText xml:space="preserve"> NOTEREF _Ref386708680 \h </w:instrText>
      </w:r>
      <w:r w:rsidR="00D562DD">
        <w:rPr>
          <w:color w:val="000000" w:themeColor="text1"/>
          <w:vertAlign w:val="superscript"/>
        </w:rPr>
        <w:instrText xml:space="preserve"> \* MERGEFORMAT </w:instrText>
      </w:r>
      <w:r w:rsidR="00D562DD" w:rsidRPr="00D562DD">
        <w:rPr>
          <w:color w:val="000000" w:themeColor="text1"/>
          <w:vertAlign w:val="superscript"/>
        </w:rPr>
      </w:r>
      <w:r w:rsidR="00D562DD" w:rsidRPr="00D562DD">
        <w:rPr>
          <w:color w:val="000000" w:themeColor="text1"/>
          <w:vertAlign w:val="superscript"/>
        </w:rPr>
        <w:fldChar w:fldCharType="separate"/>
      </w:r>
      <w:r w:rsidR="00904863">
        <w:rPr>
          <w:color w:val="000000" w:themeColor="text1"/>
          <w:vertAlign w:val="superscript"/>
        </w:rPr>
        <w:t>4</w:t>
      </w:r>
      <w:r w:rsidR="00D562DD" w:rsidRPr="00D562DD">
        <w:rPr>
          <w:color w:val="000000" w:themeColor="text1"/>
          <w:vertAlign w:val="superscript"/>
        </w:rPr>
        <w:fldChar w:fldCharType="end"/>
      </w:r>
      <w:proofErr w:type="gramStart"/>
      <w:r w:rsidR="00D562DD" w:rsidRPr="00D562DD">
        <w:rPr>
          <w:color w:val="000000" w:themeColor="text1"/>
          <w:vertAlign w:val="superscript"/>
        </w:rPr>
        <w:t>,</w:t>
      </w:r>
      <w:proofErr w:type="gramEnd"/>
      <w:r w:rsidR="00D562DD" w:rsidRPr="00D562DD">
        <w:rPr>
          <w:color w:val="000000" w:themeColor="text1"/>
          <w:vertAlign w:val="superscript"/>
        </w:rPr>
        <w:fldChar w:fldCharType="begin"/>
      </w:r>
      <w:r w:rsidR="00D562DD" w:rsidRPr="00D562DD">
        <w:rPr>
          <w:color w:val="000000" w:themeColor="text1"/>
          <w:vertAlign w:val="superscript"/>
        </w:rPr>
        <w:instrText xml:space="preserve"> NOTEREF _Ref386708691 \h </w:instrText>
      </w:r>
      <w:r w:rsidR="00D562DD">
        <w:rPr>
          <w:color w:val="000000" w:themeColor="text1"/>
          <w:vertAlign w:val="superscript"/>
        </w:rPr>
        <w:instrText xml:space="preserve"> \* MERGEFORMAT </w:instrText>
      </w:r>
      <w:r w:rsidR="00D562DD" w:rsidRPr="00D562DD">
        <w:rPr>
          <w:color w:val="000000" w:themeColor="text1"/>
          <w:vertAlign w:val="superscript"/>
        </w:rPr>
      </w:r>
      <w:r w:rsidR="00D562DD" w:rsidRPr="00D562DD">
        <w:rPr>
          <w:color w:val="000000" w:themeColor="text1"/>
          <w:vertAlign w:val="superscript"/>
        </w:rPr>
        <w:fldChar w:fldCharType="separate"/>
      </w:r>
      <w:r w:rsidR="00904863">
        <w:rPr>
          <w:color w:val="000000" w:themeColor="text1"/>
          <w:vertAlign w:val="superscript"/>
        </w:rPr>
        <w:t>5</w:t>
      </w:r>
      <w:r w:rsidR="00D562DD" w:rsidRPr="00D562DD">
        <w:rPr>
          <w:color w:val="000000" w:themeColor="text1"/>
          <w:vertAlign w:val="superscript"/>
        </w:rPr>
        <w:fldChar w:fldCharType="end"/>
      </w:r>
      <w:r w:rsidRPr="00E005C8">
        <w:rPr>
          <w:color w:val="000000" w:themeColor="text1"/>
        </w:rPr>
        <w:t xml:space="preserve"> This may be due to the slower systemic absorption of SCIG and the more stable serum IgG </w:t>
      </w:r>
      <w:r>
        <w:rPr>
          <w:color w:val="000000" w:themeColor="text1"/>
        </w:rPr>
        <w:t>conc</w:t>
      </w:r>
      <w:r w:rsidR="00D562DD">
        <w:rPr>
          <w:color w:val="000000" w:themeColor="text1"/>
        </w:rPr>
        <w:t>entratio</w:t>
      </w:r>
      <w:r>
        <w:rPr>
          <w:color w:val="000000" w:themeColor="text1"/>
        </w:rPr>
        <w:t>ns</w:t>
      </w:r>
      <w:r w:rsidR="00D562DD">
        <w:rPr>
          <w:color w:val="000000" w:themeColor="text1"/>
        </w:rPr>
        <w:t xml:space="preserve"> achieved with the SC route</w:t>
      </w:r>
      <w:r w:rsidRPr="00E005C8">
        <w:rPr>
          <w:color w:val="000000" w:themeColor="text1"/>
        </w:rPr>
        <w:t>.</w:t>
      </w:r>
      <w:r w:rsidR="00D562DD" w:rsidRPr="00D562DD">
        <w:rPr>
          <w:color w:val="000000" w:themeColor="text1"/>
          <w:vertAlign w:val="superscript"/>
        </w:rPr>
        <w:fldChar w:fldCharType="begin"/>
      </w:r>
      <w:r w:rsidR="00D562DD" w:rsidRPr="00D562DD">
        <w:rPr>
          <w:color w:val="000000" w:themeColor="text1"/>
          <w:vertAlign w:val="superscript"/>
        </w:rPr>
        <w:instrText xml:space="preserve"> NOTEREF _Ref386708680 \h </w:instrText>
      </w:r>
      <w:r w:rsidR="00D562DD">
        <w:rPr>
          <w:color w:val="000000" w:themeColor="text1"/>
          <w:vertAlign w:val="superscript"/>
        </w:rPr>
        <w:instrText xml:space="preserve"> \* MERGEFORMAT </w:instrText>
      </w:r>
      <w:r w:rsidR="00D562DD" w:rsidRPr="00D562DD">
        <w:rPr>
          <w:color w:val="000000" w:themeColor="text1"/>
          <w:vertAlign w:val="superscript"/>
        </w:rPr>
      </w:r>
      <w:r w:rsidR="00D562DD" w:rsidRPr="00D562DD">
        <w:rPr>
          <w:color w:val="000000" w:themeColor="text1"/>
          <w:vertAlign w:val="superscript"/>
        </w:rPr>
        <w:fldChar w:fldCharType="separate"/>
      </w:r>
      <w:r w:rsidR="00904863">
        <w:rPr>
          <w:color w:val="000000" w:themeColor="text1"/>
          <w:vertAlign w:val="superscript"/>
        </w:rPr>
        <w:t>4</w:t>
      </w:r>
      <w:r w:rsidR="00D562DD" w:rsidRPr="00D562DD">
        <w:rPr>
          <w:color w:val="000000" w:themeColor="text1"/>
          <w:vertAlign w:val="superscript"/>
        </w:rPr>
        <w:fldChar w:fldCharType="end"/>
      </w:r>
      <w:proofErr w:type="gramStart"/>
      <w:r w:rsidR="00D562DD" w:rsidRPr="00D562DD">
        <w:rPr>
          <w:color w:val="000000" w:themeColor="text1"/>
          <w:vertAlign w:val="superscript"/>
        </w:rPr>
        <w:t>,</w:t>
      </w:r>
      <w:proofErr w:type="gramEnd"/>
      <w:r w:rsidR="00D562DD" w:rsidRPr="00D562DD">
        <w:rPr>
          <w:color w:val="000000" w:themeColor="text1"/>
          <w:vertAlign w:val="superscript"/>
        </w:rPr>
        <w:fldChar w:fldCharType="begin"/>
      </w:r>
      <w:r w:rsidR="00D562DD" w:rsidRPr="00D562DD">
        <w:rPr>
          <w:color w:val="000000" w:themeColor="text1"/>
          <w:vertAlign w:val="superscript"/>
        </w:rPr>
        <w:instrText xml:space="preserve"> NOTEREF _Ref386708691 \h </w:instrText>
      </w:r>
      <w:r w:rsidR="00D562DD">
        <w:rPr>
          <w:color w:val="000000" w:themeColor="text1"/>
          <w:vertAlign w:val="superscript"/>
        </w:rPr>
        <w:instrText xml:space="preserve"> \* MERGEFORMAT </w:instrText>
      </w:r>
      <w:r w:rsidR="00D562DD" w:rsidRPr="00D562DD">
        <w:rPr>
          <w:color w:val="000000" w:themeColor="text1"/>
          <w:vertAlign w:val="superscript"/>
        </w:rPr>
      </w:r>
      <w:r w:rsidR="00D562DD" w:rsidRPr="00D562DD">
        <w:rPr>
          <w:color w:val="000000" w:themeColor="text1"/>
          <w:vertAlign w:val="superscript"/>
        </w:rPr>
        <w:fldChar w:fldCharType="separate"/>
      </w:r>
      <w:r w:rsidR="00904863">
        <w:rPr>
          <w:color w:val="000000" w:themeColor="text1"/>
          <w:vertAlign w:val="superscript"/>
        </w:rPr>
        <w:t>5</w:t>
      </w:r>
      <w:r w:rsidR="00D562DD" w:rsidRPr="00D562DD">
        <w:rPr>
          <w:color w:val="000000" w:themeColor="text1"/>
          <w:vertAlign w:val="superscript"/>
        </w:rPr>
        <w:fldChar w:fldCharType="end"/>
      </w:r>
      <w:r w:rsidRPr="00E005C8">
        <w:rPr>
          <w:color w:val="000000" w:themeColor="text1"/>
        </w:rPr>
        <w:t xml:space="preserve"> It is assumed that the l</w:t>
      </w:r>
      <w:r>
        <w:rPr>
          <w:color w:val="000000" w:themeColor="text1"/>
        </w:rPr>
        <w:t>ower peak serum IgG conc</w:t>
      </w:r>
      <w:r w:rsidR="00D562DD">
        <w:rPr>
          <w:color w:val="000000" w:themeColor="text1"/>
        </w:rPr>
        <w:t>entrations</w:t>
      </w:r>
      <w:r w:rsidRPr="00E005C8">
        <w:rPr>
          <w:color w:val="000000" w:themeColor="text1"/>
        </w:rPr>
        <w:t xml:space="preserve"> with SC treatment reduce systemic AEs such as headaches, chills, fevers, and fatigue, which are commonly associated with the higher peaks of serum IgG with bolus IV doses.</w:t>
      </w:r>
      <w:r w:rsidR="00D562DD" w:rsidRPr="00D562DD">
        <w:rPr>
          <w:color w:val="000000" w:themeColor="text1"/>
          <w:vertAlign w:val="superscript"/>
        </w:rPr>
        <w:fldChar w:fldCharType="begin"/>
      </w:r>
      <w:r w:rsidR="00D562DD" w:rsidRPr="00D562DD">
        <w:rPr>
          <w:color w:val="000000" w:themeColor="text1"/>
          <w:vertAlign w:val="superscript"/>
        </w:rPr>
        <w:instrText xml:space="preserve"> NOTEREF _Ref386708680 \h </w:instrText>
      </w:r>
      <w:r w:rsidR="00D562DD">
        <w:rPr>
          <w:color w:val="000000" w:themeColor="text1"/>
          <w:vertAlign w:val="superscript"/>
        </w:rPr>
        <w:instrText xml:space="preserve"> \* MERGEFORMAT </w:instrText>
      </w:r>
      <w:r w:rsidR="00D562DD" w:rsidRPr="00D562DD">
        <w:rPr>
          <w:color w:val="000000" w:themeColor="text1"/>
          <w:vertAlign w:val="superscript"/>
        </w:rPr>
      </w:r>
      <w:r w:rsidR="00D562DD" w:rsidRPr="00D562DD">
        <w:rPr>
          <w:color w:val="000000" w:themeColor="text1"/>
          <w:vertAlign w:val="superscript"/>
        </w:rPr>
        <w:fldChar w:fldCharType="separate"/>
      </w:r>
      <w:r w:rsidR="00904863">
        <w:rPr>
          <w:color w:val="000000" w:themeColor="text1"/>
          <w:vertAlign w:val="superscript"/>
        </w:rPr>
        <w:t>4</w:t>
      </w:r>
      <w:r w:rsidR="00D562DD" w:rsidRPr="00D562DD">
        <w:rPr>
          <w:color w:val="000000" w:themeColor="text1"/>
          <w:vertAlign w:val="superscript"/>
        </w:rPr>
        <w:fldChar w:fldCharType="end"/>
      </w:r>
      <w:r w:rsidRPr="00E005C8">
        <w:rPr>
          <w:color w:val="000000" w:themeColor="text1"/>
        </w:rPr>
        <w:t xml:space="preserve"> The efficacy of SCIG treatment in subjects with immunodeficiency has been </w:t>
      </w:r>
      <w:r w:rsidRPr="00E005C8">
        <w:rPr>
          <w:color w:val="000000" w:themeColor="text1"/>
        </w:rPr>
        <w:lastRenderedPageBreak/>
        <w:t>demonstrated by sustained IgG trough concentration level (C</w:t>
      </w:r>
      <w:r w:rsidRPr="00E005C8">
        <w:rPr>
          <w:color w:val="000000" w:themeColor="text1"/>
          <w:vertAlign w:val="subscript"/>
        </w:rPr>
        <w:t>trough</w:t>
      </w:r>
      <w:r w:rsidRPr="00E005C8">
        <w:rPr>
          <w:color w:val="000000" w:themeColor="text1"/>
        </w:rPr>
        <w:t>) values co</w:t>
      </w:r>
      <w:r>
        <w:rPr>
          <w:color w:val="000000" w:themeColor="text1"/>
        </w:rPr>
        <w:t xml:space="preserve">mpared to previous IVIG </w:t>
      </w:r>
      <w:r w:rsidRPr="00E005C8">
        <w:rPr>
          <w:color w:val="000000" w:themeColor="text1"/>
        </w:rPr>
        <w:t xml:space="preserve">at doses equal to the </w:t>
      </w:r>
      <w:r>
        <w:rPr>
          <w:color w:val="000000" w:themeColor="text1"/>
        </w:rPr>
        <w:t>previous therapy</w:t>
      </w:r>
      <w:r w:rsidR="00D562DD">
        <w:rPr>
          <w:color w:val="000000" w:themeColor="text1"/>
        </w:rPr>
        <w:fldChar w:fldCharType="begin"/>
      </w:r>
      <w:r w:rsidR="00D562DD">
        <w:rPr>
          <w:color w:val="000000" w:themeColor="text1"/>
        </w:rPr>
        <w:instrText xml:space="preserve"> NOTEREF _Ref386708680 \h </w:instrText>
      </w:r>
      <w:r w:rsidR="00D562DD">
        <w:rPr>
          <w:color w:val="000000" w:themeColor="text1"/>
        </w:rPr>
      </w:r>
      <w:r w:rsidR="00D562DD">
        <w:rPr>
          <w:color w:val="000000" w:themeColor="text1"/>
        </w:rPr>
        <w:fldChar w:fldCharType="separate"/>
      </w:r>
      <w:r w:rsidR="00904863">
        <w:rPr>
          <w:color w:val="000000" w:themeColor="text1"/>
        </w:rPr>
        <w:t>4</w:t>
      </w:r>
      <w:r w:rsidR="00D562DD">
        <w:rPr>
          <w:color w:val="000000" w:themeColor="text1"/>
        </w:rPr>
        <w:fldChar w:fldCharType="end"/>
      </w:r>
      <w:r w:rsidRPr="00E005C8">
        <w:rPr>
          <w:color w:val="000000" w:themeColor="text1"/>
        </w:rPr>
        <w:t xml:space="preserve"> and by reduced or similar infection frequencies compared </w:t>
      </w:r>
      <w:r w:rsidR="00D562DD">
        <w:rPr>
          <w:color w:val="000000" w:themeColor="text1"/>
        </w:rPr>
        <w:t>to IVIG</w:t>
      </w:r>
      <w:r>
        <w:rPr>
          <w:color w:val="000000" w:themeColor="text1"/>
        </w:rPr>
        <w:t>.</w:t>
      </w:r>
      <w:r w:rsidR="00D562DD">
        <w:rPr>
          <w:rStyle w:val="FootnoteReference"/>
          <w:color w:val="000000" w:themeColor="text1"/>
        </w:rPr>
        <w:footnoteReference w:id="8"/>
      </w:r>
      <w:r w:rsidR="00D562DD" w:rsidRPr="00D562DD">
        <w:rPr>
          <w:color w:val="000000" w:themeColor="text1"/>
          <w:vertAlign w:val="superscript"/>
        </w:rPr>
        <w:t>,</w:t>
      </w:r>
      <w:r w:rsidR="00D562DD">
        <w:rPr>
          <w:rStyle w:val="FootnoteReference"/>
          <w:color w:val="000000" w:themeColor="text1"/>
        </w:rPr>
        <w:footnoteReference w:id="9"/>
      </w:r>
      <w:r>
        <w:rPr>
          <w:color w:val="000000" w:themeColor="text1"/>
        </w:rPr>
        <w:t xml:space="preserve"> With SCIG, </w:t>
      </w:r>
      <w:r w:rsidRPr="00E005C8">
        <w:rPr>
          <w:color w:val="000000" w:themeColor="text1"/>
        </w:rPr>
        <w:t xml:space="preserve">reported rates of serious bacterial infections (SBIs) were as low as 0.04 </w:t>
      </w:r>
      <w:r>
        <w:rPr>
          <w:color w:val="000000" w:themeColor="text1"/>
        </w:rPr>
        <w:t>infections/subject/y</w:t>
      </w:r>
      <w:r w:rsidR="00D562DD">
        <w:rPr>
          <w:color w:val="000000" w:themeColor="text1"/>
        </w:rPr>
        <w:t>ea</w:t>
      </w:r>
      <w:r w:rsidRPr="00E005C8">
        <w:rPr>
          <w:color w:val="000000" w:themeColor="text1"/>
        </w:rPr>
        <w:t>r.</w:t>
      </w:r>
      <w:r w:rsidR="00D562DD">
        <w:rPr>
          <w:rStyle w:val="FootnoteReference"/>
          <w:color w:val="000000" w:themeColor="text1"/>
        </w:rPr>
        <w:footnoteReference w:id="10"/>
      </w:r>
      <w:r w:rsidR="00D562DD">
        <w:rPr>
          <w:color w:val="000000" w:themeColor="text1"/>
        </w:rPr>
        <w:t>,</w:t>
      </w:r>
      <w:r w:rsidR="00D562DD">
        <w:rPr>
          <w:rStyle w:val="FootnoteReference"/>
          <w:color w:val="000000" w:themeColor="text1"/>
        </w:rPr>
        <w:footnoteReference w:id="11"/>
      </w:r>
    </w:p>
    <w:p w:rsidR="000D6A22" w:rsidRDefault="005F74D8" w:rsidP="005F74D8">
      <w:pPr>
        <w:rPr>
          <w:color w:val="000000" w:themeColor="text1"/>
        </w:rPr>
      </w:pPr>
      <w:r w:rsidRPr="00E005C8">
        <w:rPr>
          <w:color w:val="000000" w:themeColor="text1"/>
        </w:rPr>
        <w:t>IgPro20 is a 20% IgG solution that has been developed by CSL Behrin</w:t>
      </w:r>
      <w:r>
        <w:rPr>
          <w:color w:val="000000" w:themeColor="text1"/>
        </w:rPr>
        <w:t>g.</w:t>
      </w:r>
      <w:r w:rsidRPr="00E005C8">
        <w:rPr>
          <w:color w:val="000000" w:themeColor="text1"/>
        </w:rPr>
        <w:t xml:space="preserve"> IgPro20 is a chromatographically purified SCIG product</w:t>
      </w:r>
      <w:r>
        <w:rPr>
          <w:color w:val="000000" w:themeColor="text1"/>
        </w:rPr>
        <w:t xml:space="preserve"> </w:t>
      </w:r>
      <w:r w:rsidRPr="00E005C8">
        <w:rPr>
          <w:color w:val="000000" w:themeColor="text1"/>
        </w:rPr>
        <w:t>with ≥ 98% purity. The high purity potentially benefits the protein stability.</w:t>
      </w:r>
      <w:r w:rsidR="00D562DD">
        <w:rPr>
          <w:rStyle w:val="FootnoteReference"/>
          <w:color w:val="000000" w:themeColor="text1"/>
        </w:rPr>
        <w:footnoteReference w:id="12"/>
      </w:r>
      <w:r w:rsidRPr="00E005C8">
        <w:rPr>
          <w:color w:val="000000" w:themeColor="text1"/>
        </w:rPr>
        <w:t xml:space="preserve"> L-proline is used as a stabi</w:t>
      </w:r>
      <w:r w:rsidR="00D562DD">
        <w:rPr>
          <w:color w:val="000000" w:themeColor="text1"/>
        </w:rPr>
        <w:t>lis</w:t>
      </w:r>
      <w:r>
        <w:rPr>
          <w:color w:val="000000" w:themeColor="text1"/>
        </w:rPr>
        <w:t>er at a concentration of 250</w:t>
      </w:r>
      <w:r w:rsidR="00D562DD">
        <w:rPr>
          <w:color w:val="000000" w:themeColor="text1"/>
        </w:rPr>
        <w:t xml:space="preserve"> </w:t>
      </w:r>
      <w:r w:rsidRPr="00E005C8">
        <w:rPr>
          <w:color w:val="000000" w:themeColor="text1"/>
        </w:rPr>
        <w:t xml:space="preserve">mmol/L IgPro20 </w:t>
      </w:r>
      <w:r>
        <w:rPr>
          <w:color w:val="000000" w:themeColor="text1"/>
        </w:rPr>
        <w:t>(=28.75 g/L). L-proline stabilis</w:t>
      </w:r>
      <w:r w:rsidRPr="00E005C8">
        <w:rPr>
          <w:color w:val="000000" w:themeColor="text1"/>
        </w:rPr>
        <w:t>es IgG in solution and p</w:t>
      </w:r>
      <w:r>
        <w:rPr>
          <w:color w:val="000000" w:themeColor="text1"/>
        </w:rPr>
        <w:t>roved to be superior to glycine</w:t>
      </w:r>
      <w:r w:rsidRPr="00E005C8">
        <w:rPr>
          <w:color w:val="000000" w:themeColor="text1"/>
        </w:rPr>
        <w:t>. The combination of L-proline as an excipient and the mod</w:t>
      </w:r>
      <w:r>
        <w:rPr>
          <w:color w:val="000000" w:themeColor="text1"/>
        </w:rPr>
        <w:t>erately acidic pH of 4.8 minimis</w:t>
      </w:r>
      <w:r w:rsidRPr="00E005C8">
        <w:rPr>
          <w:color w:val="000000" w:themeColor="text1"/>
        </w:rPr>
        <w:t>es IgG aggregation and denaturation.</w:t>
      </w:r>
      <w:r w:rsidR="00D562DD">
        <w:rPr>
          <w:rStyle w:val="FootnoteReference"/>
          <w:color w:val="000000" w:themeColor="text1"/>
        </w:rPr>
        <w:footnoteReference w:id="13"/>
      </w:r>
      <w:r w:rsidRPr="00E005C8">
        <w:rPr>
          <w:color w:val="000000" w:themeColor="text1"/>
        </w:rPr>
        <w:t xml:space="preserve"> A second excipient is polysorbate 80 (P80), a surfactant widely used as an additive to approved drugs, including plasma-derived IVIG and </w:t>
      </w:r>
      <w:r>
        <w:rPr>
          <w:color w:val="000000" w:themeColor="text1"/>
        </w:rPr>
        <w:t>SCIG products (</w:t>
      </w:r>
      <w:r w:rsidR="00D562DD">
        <w:rPr>
          <w:color w:val="000000" w:themeColor="text1"/>
        </w:rPr>
        <w:t>for example</w:t>
      </w:r>
      <w:r>
        <w:rPr>
          <w:color w:val="000000" w:themeColor="text1"/>
        </w:rPr>
        <w:t xml:space="preserve"> </w:t>
      </w:r>
      <w:r w:rsidRPr="00E005C8">
        <w:rPr>
          <w:color w:val="000000" w:themeColor="text1"/>
        </w:rPr>
        <w:t>Subgam, Gamm</w:t>
      </w:r>
      <w:r>
        <w:rPr>
          <w:color w:val="000000" w:themeColor="text1"/>
        </w:rPr>
        <w:t xml:space="preserve">aplex, Gammagard Liquid, </w:t>
      </w:r>
      <w:r w:rsidRPr="00E005C8">
        <w:rPr>
          <w:color w:val="000000" w:themeColor="text1"/>
        </w:rPr>
        <w:t xml:space="preserve">Gammagard S/D 5%). When IgPro20 is administered at 400 mg/kg body weight (bw) IgG for a 60 kg patient, the maximum daily dose of P80 is 3.6 mg. More than 90% of the IgG in IgPro20 consists of monomers and dimers. IgPro20 contains no more than 50 μg/mL of immunoglobulin A. In practice, batch analyses showed a consistently lower immunoglobulin A content (mean: 8 </w:t>
      </w:r>
      <w:r w:rsidR="000D6A22">
        <w:rPr>
          <w:color w:val="000000" w:themeColor="text1"/>
        </w:rPr>
        <w:t>µ</w:t>
      </w:r>
      <w:r w:rsidRPr="00E005C8">
        <w:rPr>
          <w:color w:val="000000" w:themeColor="text1"/>
        </w:rPr>
        <w:t xml:space="preserve">g/mL; range: 4 to 11 </w:t>
      </w:r>
      <w:r w:rsidR="000D6A22">
        <w:rPr>
          <w:color w:val="000000" w:themeColor="text1"/>
        </w:rPr>
        <w:t>µ</w:t>
      </w:r>
      <w:r w:rsidRPr="00E005C8">
        <w:rPr>
          <w:color w:val="000000" w:themeColor="text1"/>
        </w:rPr>
        <w:t>g/mL).</w:t>
      </w:r>
    </w:p>
    <w:p w:rsidR="00586F98" w:rsidRDefault="00586F98" w:rsidP="00586F98">
      <w:pPr>
        <w:pStyle w:val="Heading2"/>
        <w:rPr>
          <w:lang w:eastAsia="en-AU"/>
        </w:rPr>
      </w:pPr>
      <w:bookmarkStart w:id="115" w:name="_Toc392757287"/>
      <w:r>
        <w:rPr>
          <w:lang w:eastAsia="en-AU"/>
        </w:rPr>
        <w:t>Contents of the clinical dossier</w:t>
      </w:r>
      <w:bookmarkEnd w:id="109"/>
      <w:bookmarkEnd w:id="110"/>
      <w:bookmarkEnd w:id="115"/>
    </w:p>
    <w:p w:rsidR="00586F98" w:rsidRDefault="00586F98" w:rsidP="00586F98">
      <w:pPr>
        <w:pStyle w:val="Heading3"/>
      </w:pPr>
      <w:bookmarkStart w:id="116" w:name="_Toc392757288"/>
      <w:r>
        <w:t>Scope of the clinical dossier</w:t>
      </w:r>
      <w:bookmarkEnd w:id="116"/>
    </w:p>
    <w:p w:rsidR="005F74D8" w:rsidRPr="00E005C8" w:rsidRDefault="005F74D8" w:rsidP="005F74D8">
      <w:pPr>
        <w:rPr>
          <w:color w:val="000000" w:themeColor="text1"/>
        </w:rPr>
      </w:pPr>
      <w:r w:rsidRPr="00E005C8">
        <w:rPr>
          <w:color w:val="000000" w:themeColor="text1"/>
        </w:rPr>
        <w:t>The submission contained the following clinical informa</w:t>
      </w:r>
      <w:r w:rsidR="00DC5BB2">
        <w:rPr>
          <w:color w:val="000000" w:themeColor="text1"/>
        </w:rPr>
        <w:t>tion.</w:t>
      </w:r>
    </w:p>
    <w:p w:rsidR="005F74D8" w:rsidRPr="00E005C8" w:rsidRDefault="000D6A22" w:rsidP="000D6A22">
      <w:pPr>
        <w:pStyle w:val="Heading4"/>
      </w:pPr>
      <w:r>
        <w:t>Clinical data</w:t>
      </w:r>
    </w:p>
    <w:p w:rsidR="005F74D8" w:rsidRPr="00E005C8" w:rsidRDefault="005F74D8" w:rsidP="000D6A22">
      <w:pPr>
        <w:pStyle w:val="ListBullet"/>
      </w:pPr>
      <w:r w:rsidRPr="00E005C8">
        <w:t>3 Phase III pivotal efficacy/safety studies</w:t>
      </w:r>
      <w:r w:rsidR="000D6A22">
        <w:t>;</w:t>
      </w:r>
    </w:p>
    <w:p w:rsidR="005F74D8" w:rsidRPr="00E005C8" w:rsidRDefault="005F74D8" w:rsidP="000D6A22">
      <w:pPr>
        <w:pStyle w:val="ListBullet2"/>
      </w:pPr>
      <w:r w:rsidRPr="00E005C8">
        <w:rPr>
          <w:b/>
        </w:rPr>
        <w:t>ZLB06_002C R</w:t>
      </w:r>
      <w:r w:rsidRPr="00E005C8">
        <w:t xml:space="preserve"> (Japan pivotal study) Phase III, prospective, open-label, multicenter, single arm study including a PK substudy;</w:t>
      </w:r>
    </w:p>
    <w:p w:rsidR="005F74D8" w:rsidRPr="00E005C8" w:rsidRDefault="005F74D8" w:rsidP="000D6A22">
      <w:pPr>
        <w:pStyle w:val="ListBullet2"/>
      </w:pPr>
      <w:r w:rsidRPr="00E005C8">
        <w:rPr>
          <w:b/>
        </w:rPr>
        <w:t>ZLB06_001CR</w:t>
      </w:r>
      <w:r w:rsidRPr="00E005C8">
        <w:t xml:space="preserve"> (European pivotal study) Phase III, prospective, open-label, multicenter, single-arm</w:t>
      </w:r>
      <w:r w:rsidR="00DC5BB2">
        <w:t xml:space="preserve"> study including a PK substudy;</w:t>
      </w:r>
    </w:p>
    <w:p w:rsidR="005F74D8" w:rsidRPr="00E005C8" w:rsidRDefault="005F74D8" w:rsidP="000D6A22">
      <w:pPr>
        <w:pStyle w:val="ListBullet2"/>
      </w:pPr>
      <w:r w:rsidRPr="00E005C8">
        <w:rPr>
          <w:b/>
        </w:rPr>
        <w:t>ZLB04_009C R</w:t>
      </w:r>
      <w:r w:rsidRPr="00E005C8">
        <w:t xml:space="preserve"> (US pivotal study) Phase III, prospective, open-label, multicenter, single-arm</w:t>
      </w:r>
      <w:r w:rsidR="00DC5BB2">
        <w:t xml:space="preserve"> study including a PK substudy;</w:t>
      </w:r>
    </w:p>
    <w:p w:rsidR="005F74D8" w:rsidRPr="00E005C8" w:rsidRDefault="000D6A22" w:rsidP="000D6A22">
      <w:pPr>
        <w:pStyle w:val="ListBullet2"/>
      </w:pPr>
      <w:r>
        <w:t>1 Phase I</w:t>
      </w:r>
      <w:r w:rsidR="005F74D8" w:rsidRPr="00E005C8">
        <w:t xml:space="preserve"> PK study - </w:t>
      </w:r>
      <w:r w:rsidR="005F74D8" w:rsidRPr="00E005C8">
        <w:rPr>
          <w:b/>
        </w:rPr>
        <w:t>ZLB04_008CR</w:t>
      </w:r>
      <w:r w:rsidR="005F74D8" w:rsidRPr="00E005C8">
        <w:t>, Phase I, prospective, randomized, 4-way cross-over, Assessment-blinded PK study with Comparator: IgPro16 (16 mL); Vivaglobin (15</w:t>
      </w:r>
      <w:r>
        <w:t xml:space="preserve"> </w:t>
      </w:r>
      <w:r w:rsidR="005F74D8" w:rsidRPr="00E005C8">
        <w:t>mL);</w:t>
      </w:r>
    </w:p>
    <w:p w:rsidR="005F74D8" w:rsidRPr="00E005C8" w:rsidRDefault="000D6A22" w:rsidP="000D6A22">
      <w:pPr>
        <w:pStyle w:val="ListBullet2"/>
      </w:pPr>
      <w:r>
        <w:t>1 Phase I</w:t>
      </w:r>
      <w:r w:rsidR="005F74D8" w:rsidRPr="00E005C8">
        <w:t xml:space="preserve"> PK study - </w:t>
      </w:r>
      <w:r w:rsidR="005F74D8" w:rsidRPr="00E005C8">
        <w:rPr>
          <w:b/>
        </w:rPr>
        <w:t>ZLB06</w:t>
      </w:r>
      <w:r w:rsidR="00E56D81">
        <w:rPr>
          <w:b/>
        </w:rPr>
        <w:t>_</w:t>
      </w:r>
      <w:r w:rsidR="005F74D8" w:rsidRPr="00E005C8">
        <w:rPr>
          <w:b/>
        </w:rPr>
        <w:t xml:space="preserve">003CR </w:t>
      </w:r>
      <w:r w:rsidR="005F74D8" w:rsidRPr="00E005C8">
        <w:t>of</w:t>
      </w:r>
      <w:r>
        <w:t xml:space="preserve"> </w:t>
      </w:r>
      <w:r w:rsidR="005F74D8" w:rsidRPr="00E005C8">
        <w:t>IV Hizentra</w:t>
      </w:r>
      <w:r w:rsidR="005F74D8" w:rsidRPr="00E005C8">
        <w:sym w:font="Symbol" w:char="F0D2"/>
      </w:r>
      <w:r w:rsidR="005F74D8">
        <w:t xml:space="preserve"> </w:t>
      </w:r>
      <w:r w:rsidR="005F74D8" w:rsidRPr="00E005C8">
        <w:t>administered a</w:t>
      </w:r>
      <w:r w:rsidR="00DC5BB2">
        <w:t>t SC dose in healthy volunteers;</w:t>
      </w:r>
    </w:p>
    <w:p w:rsidR="005F74D8" w:rsidRPr="00E005C8" w:rsidRDefault="005F74D8" w:rsidP="000D6A22">
      <w:pPr>
        <w:pStyle w:val="ListBullet"/>
      </w:pPr>
      <w:r w:rsidRPr="00E005C8">
        <w:lastRenderedPageBreak/>
        <w:t xml:space="preserve">3 other efficacy/safety studies </w:t>
      </w:r>
      <w:r w:rsidR="00C2531A">
        <w:t>that is,</w:t>
      </w:r>
      <w:r w:rsidRPr="00E005C8">
        <w:t xml:space="preserve"> extension to the 3 pivotal Phase III studies above.</w:t>
      </w:r>
    </w:p>
    <w:p w:rsidR="005F74D8" w:rsidRPr="00E005C8" w:rsidRDefault="005F74D8" w:rsidP="000D6A22">
      <w:pPr>
        <w:pStyle w:val="ListBullet2"/>
      </w:pPr>
      <w:r w:rsidRPr="00E005C8">
        <w:t xml:space="preserve">Japan follow-up study </w:t>
      </w:r>
      <w:r w:rsidRPr="00E005C8">
        <w:rPr>
          <w:b/>
        </w:rPr>
        <w:t>ZLB07_001CR</w:t>
      </w:r>
      <w:r w:rsidRPr="00E005C8">
        <w:t xml:space="preserve">; European extension study </w:t>
      </w:r>
      <w:r w:rsidRPr="00E005C8">
        <w:rPr>
          <w:b/>
        </w:rPr>
        <w:t>ZLB07_002CR</w:t>
      </w:r>
      <w:r w:rsidRPr="00E005C8">
        <w:t xml:space="preserve">; US extension study </w:t>
      </w:r>
      <w:r w:rsidRPr="00E005C8">
        <w:rPr>
          <w:b/>
        </w:rPr>
        <w:t>IgPro20_3001</w:t>
      </w:r>
    </w:p>
    <w:p w:rsidR="00586F98" w:rsidRDefault="005F74D8" w:rsidP="000D6A22">
      <w:pPr>
        <w:pStyle w:val="ListBullet"/>
      </w:pPr>
      <w:r w:rsidRPr="00E005C8">
        <w:t>PSURs for three reporting periods since the International Birth Date of Hizentra</w:t>
      </w:r>
      <w:r w:rsidRPr="00E005C8">
        <w:sym w:font="Symbol" w:char="F0D2"/>
      </w:r>
      <w:r w:rsidRPr="00E005C8">
        <w:t xml:space="preserve"> in March 2010</w:t>
      </w:r>
      <w:r w:rsidR="000D6A22">
        <w:t xml:space="preserve"> and</w:t>
      </w:r>
      <w:r w:rsidRPr="00E005C8">
        <w:t xml:space="preserve"> </w:t>
      </w:r>
      <w:r w:rsidRPr="00E005C8">
        <w:rPr>
          <w:i/>
        </w:rPr>
        <w:t>Integrated Summary of Efficacy</w:t>
      </w:r>
      <w:r w:rsidRPr="00E005C8">
        <w:t xml:space="preserve">, </w:t>
      </w:r>
      <w:r w:rsidRPr="00E005C8">
        <w:rPr>
          <w:i/>
        </w:rPr>
        <w:t>Integrated Summary of Safety</w:t>
      </w:r>
      <w:r w:rsidRPr="00E005C8">
        <w:t>.</w:t>
      </w:r>
    </w:p>
    <w:p w:rsidR="0051348D" w:rsidRDefault="0051348D" w:rsidP="00DC5BB2">
      <w:r w:rsidRPr="00E005C8">
        <w:t>Of the 7 studies, 1 is a Phase I safety and tolerability study conducted in healthy volunteers (ZLB04-008CR).</w:t>
      </w:r>
      <w:r w:rsidR="000D6A22">
        <w:t xml:space="preserve"> </w:t>
      </w:r>
      <w:r w:rsidRPr="00E005C8">
        <w:t>The remaining 6 studies are Phase III studies conducted in PID patients.</w:t>
      </w:r>
      <w:r w:rsidR="000D6A22">
        <w:t xml:space="preserve"> </w:t>
      </w:r>
      <w:r w:rsidRPr="00E005C8">
        <w:t>Three of these studies are short-term efficacy and safety studies conducted in the EU (ZLB06-001CR), US (ZLB04-009CR) and Japan (ZLB06-002CR).</w:t>
      </w:r>
      <w:r w:rsidR="000D6A22">
        <w:t xml:space="preserve"> </w:t>
      </w:r>
      <w:r w:rsidRPr="00E005C8">
        <w:t xml:space="preserve">Subsets of patients in each of these studies also contributed </w:t>
      </w:r>
      <w:r w:rsidR="000D6A22">
        <w:t>Pharmacokinetic (</w:t>
      </w:r>
      <w:r w:rsidRPr="00E005C8">
        <w:t>PK</w:t>
      </w:r>
      <w:r w:rsidR="000D6A22">
        <w:t>)</w:t>
      </w:r>
      <w:r w:rsidRPr="00E005C8">
        <w:t xml:space="preserve"> data. Patients from these 3 studies were eligible to enter extension studies (the remaining 3 clinical studies in the submission), in which longer term safety and health-related quality of life was assessed – EU (ZLB07-002CR), US (IgPro20-3001) and Japan (ZLB07-001CR). In addition, the TGA requested that the sponsor included an additional study report of a trial conducted in 20 healthy volunteers that assessed the safety of unintended IV administration of the product at the SC dose used for IgG replacement therapy. This study (ZLB06-003CR) was included in EU submission but initially excluded from the Australian submission without explanation. This situation has now been rectified</w:t>
      </w:r>
      <w:r w:rsidR="00DC5BB2">
        <w:t>.</w:t>
      </w:r>
    </w:p>
    <w:p w:rsidR="0051348D" w:rsidRPr="00AB7E6A" w:rsidRDefault="0051348D" w:rsidP="00DC5BB2">
      <w:r w:rsidRPr="00E005C8">
        <w:t>Hizentra</w:t>
      </w:r>
      <w:r w:rsidRPr="00E005C8">
        <w:sym w:font="Symbol" w:char="F0D2"/>
      </w:r>
      <w:r w:rsidRPr="00E005C8">
        <w:t xml:space="preserve"> is </w:t>
      </w:r>
      <w:r w:rsidR="007F036F">
        <w:t xml:space="preserve">[information redated] </w:t>
      </w:r>
      <w:r w:rsidRPr="00E005C8">
        <w:t xml:space="preserve">the only 20% formulation of SC Ig; the higher concentration means smaller volumes need to be infused; this may </w:t>
      </w:r>
      <w:r w:rsidR="00DC5BB2">
        <w:t>be preferable in some patients.</w:t>
      </w:r>
    </w:p>
    <w:p w:rsidR="00586F98" w:rsidRDefault="00586F98" w:rsidP="00586F98">
      <w:pPr>
        <w:pStyle w:val="Heading3"/>
      </w:pPr>
      <w:bookmarkStart w:id="117" w:name="_Toc392757289"/>
      <w:r>
        <w:t>Paediatric data</w:t>
      </w:r>
      <w:bookmarkEnd w:id="117"/>
    </w:p>
    <w:p w:rsidR="00586F98" w:rsidRDefault="005F74D8" w:rsidP="00586F98">
      <w:pPr>
        <w:rPr>
          <w:lang w:eastAsia="ja-JP"/>
        </w:rPr>
      </w:pPr>
      <w:r w:rsidRPr="005F74D8">
        <w:rPr>
          <w:lang w:eastAsia="ja-JP"/>
        </w:rPr>
        <w:t>The submission included paediatric PK, efficacy and safety data.</w:t>
      </w:r>
    </w:p>
    <w:p w:rsidR="00586F98" w:rsidRDefault="00586F98" w:rsidP="00586F98">
      <w:pPr>
        <w:pStyle w:val="Heading3"/>
      </w:pPr>
      <w:bookmarkStart w:id="118" w:name="_Toc392757290"/>
      <w:r>
        <w:t>Good clinical practice</w:t>
      </w:r>
      <w:bookmarkEnd w:id="118"/>
    </w:p>
    <w:p w:rsidR="00586F98" w:rsidRPr="00586F98" w:rsidRDefault="005F74D8" w:rsidP="00586F98">
      <w:pPr>
        <w:rPr>
          <w:lang w:eastAsia="ja-JP"/>
        </w:rPr>
      </w:pPr>
      <w:r w:rsidRPr="005F74D8">
        <w:rPr>
          <w:lang w:eastAsia="ja-JP"/>
        </w:rPr>
        <w:t xml:space="preserve">All studies conducted using good Clinical Practice Guidelines (CPMP); each study being approved by an appropriate </w:t>
      </w:r>
      <w:r w:rsidR="000D6A22" w:rsidRPr="000D6A22">
        <w:rPr>
          <w:lang w:eastAsia="ja-JP"/>
        </w:rPr>
        <w:t xml:space="preserve">Institutional review board </w:t>
      </w:r>
      <w:r w:rsidR="000D6A22">
        <w:rPr>
          <w:lang w:eastAsia="ja-JP"/>
        </w:rPr>
        <w:t>(</w:t>
      </w:r>
      <w:r w:rsidRPr="005F74D8">
        <w:rPr>
          <w:lang w:eastAsia="ja-JP"/>
        </w:rPr>
        <w:t>IRB</w:t>
      </w:r>
      <w:r w:rsidR="000D6A22">
        <w:rPr>
          <w:lang w:eastAsia="ja-JP"/>
        </w:rPr>
        <w:t>)</w:t>
      </w:r>
      <w:r w:rsidRPr="005F74D8">
        <w:rPr>
          <w:lang w:eastAsia="ja-JP"/>
        </w:rPr>
        <w:t>; informed consent obtained from all trial participants or for paediatric patients an adult with the legal right to consent on their behalf.</w:t>
      </w:r>
    </w:p>
    <w:p w:rsidR="00586F98" w:rsidRDefault="00586F98" w:rsidP="00586F98">
      <w:pPr>
        <w:pStyle w:val="Heading2"/>
      </w:pPr>
      <w:bookmarkStart w:id="119" w:name="_Toc355338639"/>
      <w:bookmarkStart w:id="120" w:name="_Toc392757291"/>
      <w:r>
        <w:t>Pharmacokinetics</w:t>
      </w:r>
      <w:bookmarkEnd w:id="119"/>
      <w:bookmarkEnd w:id="120"/>
    </w:p>
    <w:p w:rsidR="005F74D8" w:rsidRPr="00E005C8" w:rsidRDefault="005F74D8" w:rsidP="000D6A22">
      <w:pPr>
        <w:pStyle w:val="Heading3"/>
      </w:pPr>
      <w:bookmarkStart w:id="121" w:name="_Ref271017296"/>
      <w:bookmarkStart w:id="122" w:name="_Ref271018924"/>
      <w:bookmarkStart w:id="123" w:name="_Ref271018934"/>
      <w:bookmarkStart w:id="124" w:name="_Toc272414614"/>
      <w:bookmarkStart w:id="125" w:name="_Toc290846238"/>
      <w:bookmarkStart w:id="126" w:name="_Toc373748385"/>
      <w:bookmarkStart w:id="127" w:name="_Toc392757292"/>
      <w:r w:rsidRPr="00E005C8">
        <w:t>Studies</w:t>
      </w:r>
      <w:bookmarkEnd w:id="121"/>
      <w:bookmarkEnd w:id="122"/>
      <w:bookmarkEnd w:id="123"/>
      <w:r w:rsidRPr="00E005C8">
        <w:t xml:space="preserve"> providing pharmacokinetic data</w:t>
      </w:r>
      <w:bookmarkEnd w:id="124"/>
      <w:bookmarkEnd w:id="125"/>
      <w:bookmarkEnd w:id="126"/>
      <w:bookmarkEnd w:id="127"/>
    </w:p>
    <w:p w:rsidR="005F74D8" w:rsidRPr="000D6A22" w:rsidRDefault="000D6A22" w:rsidP="00DC5BB2">
      <w:r>
        <w:t xml:space="preserve">Table 1 </w:t>
      </w:r>
      <w:r w:rsidR="005F74D8" w:rsidRPr="000D6A22">
        <w:t>shows the studies relating to each PK topic.</w:t>
      </w:r>
    </w:p>
    <w:p w:rsidR="005F74D8" w:rsidRPr="007E7F95" w:rsidRDefault="005F74D8" w:rsidP="00DC5BB2">
      <w:pPr>
        <w:pStyle w:val="TableTitle"/>
      </w:pPr>
      <w:bookmarkStart w:id="128" w:name="_Ref272426277"/>
      <w:bookmarkStart w:id="129" w:name="_Toc362767712"/>
      <w:r w:rsidRPr="007E7F95">
        <w:lastRenderedPageBreak/>
        <w:t xml:space="preserve">Table </w:t>
      </w:r>
      <w:fldSimple w:instr=" SEQ Table \* ARABIC ">
        <w:r w:rsidR="00904863">
          <w:rPr>
            <w:noProof/>
          </w:rPr>
          <w:t>1</w:t>
        </w:r>
      </w:fldSimple>
      <w:bookmarkEnd w:id="128"/>
      <w:r w:rsidRPr="007E7F95">
        <w:t xml:space="preserve">. Submitted </w:t>
      </w:r>
      <w:r w:rsidRPr="00DC5BB2">
        <w:t>pharmacokinetic</w:t>
      </w:r>
      <w:r w:rsidRPr="007E7F95">
        <w:t xml:space="preserve"> studies.</w:t>
      </w:r>
      <w:bookmarkEnd w:id="129"/>
    </w:p>
    <w:tbl>
      <w:tblPr>
        <w:tblStyle w:val="TableTGAblue"/>
        <w:tblW w:w="7338" w:type="dxa"/>
        <w:tblLayout w:type="fixed"/>
        <w:tblLook w:val="04A0" w:firstRow="1" w:lastRow="0" w:firstColumn="1" w:lastColumn="0" w:noHBand="0" w:noVBand="1"/>
      </w:tblPr>
      <w:tblGrid>
        <w:gridCol w:w="1668"/>
        <w:gridCol w:w="3118"/>
        <w:gridCol w:w="1985"/>
        <w:gridCol w:w="567"/>
      </w:tblGrid>
      <w:tr w:rsidR="000D6A22" w:rsidRPr="00E005C8" w:rsidTr="00515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D6A22" w:rsidRPr="000D6A22" w:rsidRDefault="000D6A22" w:rsidP="005F74D8">
            <w:pPr>
              <w:pStyle w:val="Tabletext"/>
              <w:keepNext/>
              <w:rPr>
                <w:rFonts w:asciiTheme="minorHAnsi" w:hAnsiTheme="minorHAnsi"/>
                <w:sz w:val="20"/>
                <w:szCs w:val="20"/>
              </w:rPr>
            </w:pPr>
            <w:r w:rsidRPr="000D6A22">
              <w:rPr>
                <w:rFonts w:asciiTheme="minorHAnsi" w:hAnsiTheme="minorHAnsi"/>
                <w:sz w:val="20"/>
                <w:szCs w:val="20"/>
              </w:rPr>
              <w:t>PK topic</w:t>
            </w:r>
          </w:p>
        </w:tc>
        <w:tc>
          <w:tcPr>
            <w:tcW w:w="3118" w:type="dxa"/>
          </w:tcPr>
          <w:p w:rsidR="000D6A22" w:rsidRPr="000D6A22" w:rsidRDefault="000D6A22" w:rsidP="005F74D8">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Subtopic</w:t>
            </w:r>
          </w:p>
        </w:tc>
        <w:tc>
          <w:tcPr>
            <w:tcW w:w="1985" w:type="dxa"/>
          </w:tcPr>
          <w:p w:rsidR="000D6A22" w:rsidRPr="000D6A22" w:rsidRDefault="000D6A22" w:rsidP="005F74D8">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Study ID</w:t>
            </w:r>
          </w:p>
        </w:tc>
        <w:tc>
          <w:tcPr>
            <w:tcW w:w="567" w:type="dxa"/>
          </w:tcPr>
          <w:p w:rsidR="000D6A22" w:rsidRPr="000D6A22" w:rsidRDefault="000D6A22" w:rsidP="005F74D8">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w:t>
            </w: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val="restart"/>
          </w:tcPr>
          <w:p w:rsidR="000D6A22" w:rsidRPr="000D6A22" w:rsidRDefault="000D6A22" w:rsidP="00DC5BB2">
            <w:pPr>
              <w:pStyle w:val="Tabletext"/>
              <w:keepNext/>
              <w:rPr>
                <w:rFonts w:asciiTheme="minorHAnsi" w:hAnsiTheme="minorHAnsi"/>
                <w:b/>
                <w:sz w:val="20"/>
                <w:szCs w:val="20"/>
              </w:rPr>
            </w:pPr>
            <w:r w:rsidRPr="000D6A22">
              <w:rPr>
                <w:rFonts w:asciiTheme="minorHAnsi" w:hAnsiTheme="minorHAnsi"/>
                <w:b/>
                <w:sz w:val="20"/>
                <w:szCs w:val="20"/>
              </w:rPr>
              <w:t>PK in healthy adults</w:t>
            </w: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General PK</w:t>
            </w:r>
            <w:r w:rsidRPr="000D6A22">
              <w:rPr>
                <w:rFonts w:asciiTheme="minorHAnsi" w:hAnsiTheme="minorHAnsi"/>
                <w:sz w:val="20"/>
                <w:szCs w:val="20"/>
              </w:rPr>
              <w:tab/>
              <w:t>- Single dose</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0D6A22">
              <w:rPr>
                <w:rFonts w:asciiTheme="minorHAnsi" w:hAnsiTheme="minorHAnsi"/>
                <w:b/>
                <w:sz w:val="20"/>
                <w:szCs w:val="20"/>
              </w:rPr>
              <w:t>ZLB04_008CR</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rPr>
          <w:trHeight w:val="70"/>
        </w:trPr>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ab/>
            </w:r>
            <w:r w:rsidRPr="000D6A22">
              <w:rPr>
                <w:rFonts w:asciiTheme="minorHAnsi" w:hAnsiTheme="minorHAnsi"/>
                <w:sz w:val="20"/>
                <w:szCs w:val="20"/>
              </w:rPr>
              <w:tab/>
              <w:t>- Multi-dose</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not applicable</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159A3">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Bioequivalence† -Single dose</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not applicable</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ab/>
            </w:r>
            <w:r w:rsidRPr="000D6A22">
              <w:rPr>
                <w:rFonts w:asciiTheme="minorHAnsi" w:hAnsiTheme="minorHAnsi"/>
                <w:sz w:val="20"/>
                <w:szCs w:val="20"/>
              </w:rPr>
              <w:tab/>
              <w:t>- Multi-dose</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Food effect</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not applicable</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Other (</w:t>
            </w:r>
            <w:r w:rsidRPr="000D6A22">
              <w:rPr>
                <w:rFonts w:asciiTheme="minorHAnsi" w:hAnsiTheme="minorHAnsi"/>
                <w:b/>
                <w:sz w:val="20"/>
                <w:szCs w:val="20"/>
                <w:u w:val="single"/>
              </w:rPr>
              <w:t>IV</w:t>
            </w:r>
            <w:r w:rsidRPr="000D6A22">
              <w:rPr>
                <w:rFonts w:asciiTheme="minorHAnsi" w:hAnsiTheme="minorHAnsi"/>
                <w:sz w:val="20"/>
                <w:szCs w:val="20"/>
              </w:rPr>
              <w:t xml:space="preserve"> Hizentra</w:t>
            </w:r>
            <w:r w:rsidRPr="000D6A22">
              <w:rPr>
                <w:rFonts w:asciiTheme="minorHAnsi" w:hAnsiTheme="minorHAnsi"/>
                <w:sz w:val="20"/>
                <w:szCs w:val="20"/>
              </w:rPr>
              <w:sym w:font="Symbol" w:char="F0D2"/>
            </w:r>
            <w:r w:rsidRPr="000D6A22">
              <w:rPr>
                <w:rFonts w:asciiTheme="minorHAnsi" w:hAnsiTheme="minorHAnsi"/>
                <w:sz w:val="20"/>
                <w:szCs w:val="20"/>
              </w:rPr>
              <w:t>)</w:t>
            </w:r>
          </w:p>
        </w:tc>
        <w:tc>
          <w:tcPr>
            <w:tcW w:w="1985" w:type="dxa"/>
          </w:tcPr>
          <w:p w:rsidR="000D6A22" w:rsidRPr="000D6A22" w:rsidRDefault="000D6A22" w:rsidP="005F74D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Arial"/>
                <w:b/>
                <w:sz w:val="20"/>
                <w:szCs w:val="20"/>
              </w:rPr>
            </w:pPr>
            <w:r w:rsidRPr="000D6A22">
              <w:rPr>
                <w:rFonts w:asciiTheme="minorHAnsi" w:eastAsia="SimSun" w:hAnsiTheme="minorHAnsi" w:cs="Arial"/>
                <w:b/>
                <w:sz w:val="20"/>
                <w:szCs w:val="20"/>
              </w:rPr>
              <w:t>ZLB06-003CR</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val="restart"/>
          </w:tcPr>
          <w:p w:rsidR="000D6A22" w:rsidRPr="000D6A22" w:rsidRDefault="000D6A22" w:rsidP="00DC5BB2">
            <w:pPr>
              <w:pStyle w:val="Tabletext"/>
              <w:keepNext/>
              <w:rPr>
                <w:rFonts w:asciiTheme="minorHAnsi" w:hAnsiTheme="minorHAnsi"/>
                <w:b/>
                <w:sz w:val="20"/>
                <w:szCs w:val="20"/>
              </w:rPr>
            </w:pPr>
            <w:r w:rsidRPr="000D6A22">
              <w:rPr>
                <w:rFonts w:asciiTheme="minorHAnsi" w:hAnsiTheme="minorHAnsi"/>
                <w:b/>
                <w:sz w:val="20"/>
                <w:szCs w:val="20"/>
              </w:rPr>
              <w:t>PK in special populations</w:t>
            </w: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Target population (adults and children with PID) §</w:t>
            </w:r>
            <w:r w:rsidRPr="000D6A22">
              <w:rPr>
                <w:rFonts w:asciiTheme="minorHAnsi" w:hAnsiTheme="minorHAnsi"/>
                <w:sz w:val="20"/>
                <w:szCs w:val="20"/>
              </w:rPr>
              <w:tab/>
            </w:r>
            <w:r w:rsidRPr="000D6A22">
              <w:rPr>
                <w:rFonts w:asciiTheme="minorHAnsi" w:hAnsiTheme="minorHAnsi"/>
                <w:sz w:val="20"/>
                <w:szCs w:val="20"/>
              </w:rPr>
              <w:tab/>
              <w:t>- Single dose</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not applicable</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0D6A22">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ab/>
              <w:t>- Multi-dose</w:t>
            </w:r>
          </w:p>
        </w:tc>
        <w:tc>
          <w:tcPr>
            <w:tcW w:w="1985" w:type="dxa"/>
          </w:tcPr>
          <w:p w:rsidR="000D6A22" w:rsidRPr="000D6A22" w:rsidRDefault="000D6A22" w:rsidP="00DC5BB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Arial"/>
                <w:b/>
                <w:sz w:val="20"/>
                <w:szCs w:val="20"/>
              </w:rPr>
            </w:pPr>
            <w:r w:rsidRPr="000D6A22">
              <w:rPr>
                <w:rFonts w:asciiTheme="minorHAnsi" w:eastAsia="SimSun" w:hAnsiTheme="minorHAnsi" w:cs="Arial"/>
                <w:b/>
                <w:sz w:val="20"/>
                <w:szCs w:val="20"/>
              </w:rPr>
              <w:t>ZLB06_002C R</w:t>
            </w:r>
            <w:r w:rsidR="00DC5BB2">
              <w:rPr>
                <w:rFonts w:asciiTheme="minorHAnsi" w:eastAsia="SimSun" w:hAnsiTheme="minorHAnsi" w:cs="Arial"/>
                <w:b/>
                <w:sz w:val="20"/>
                <w:szCs w:val="20"/>
              </w:rPr>
              <w:t xml:space="preserve"> </w:t>
            </w:r>
            <w:r w:rsidRPr="000D6A22">
              <w:rPr>
                <w:rFonts w:asciiTheme="minorHAnsi" w:eastAsia="SimSun" w:hAnsiTheme="minorHAnsi" w:cs="Arial"/>
                <w:b/>
                <w:sz w:val="20"/>
                <w:szCs w:val="20"/>
              </w:rPr>
              <w:t>ZLB06_001CR</w:t>
            </w:r>
            <w:r w:rsidR="00DC5BB2">
              <w:rPr>
                <w:rFonts w:asciiTheme="minorHAnsi" w:eastAsia="SimSun" w:hAnsiTheme="minorHAnsi" w:cs="Arial"/>
                <w:b/>
                <w:sz w:val="20"/>
                <w:szCs w:val="20"/>
              </w:rPr>
              <w:t xml:space="preserve"> </w:t>
            </w:r>
            <w:r w:rsidRPr="000D6A22">
              <w:rPr>
                <w:rFonts w:asciiTheme="minorHAnsi" w:eastAsia="SimSun" w:hAnsiTheme="minorHAnsi" w:cs="Arial"/>
                <w:b/>
                <w:sz w:val="20"/>
                <w:szCs w:val="20"/>
              </w:rPr>
              <w:t>ZLB04_009C R</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Hepatic and/or renal impairment</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not applicable</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DC5BB2">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Neonates/infants/children/</w:t>
            </w:r>
            <w:r w:rsidR="00DC5BB2">
              <w:rPr>
                <w:rFonts w:asciiTheme="minorHAnsi" w:hAnsiTheme="minorHAnsi"/>
                <w:sz w:val="20"/>
                <w:szCs w:val="20"/>
              </w:rPr>
              <w:t xml:space="preserve"> </w:t>
            </w:r>
            <w:r w:rsidRPr="000D6A22">
              <w:rPr>
                <w:rFonts w:asciiTheme="minorHAnsi" w:hAnsiTheme="minorHAnsi"/>
                <w:sz w:val="20"/>
                <w:szCs w:val="20"/>
              </w:rPr>
              <w:t>adolescents</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b/>
                <w:sz w:val="20"/>
                <w:szCs w:val="20"/>
                <w:u w:val="single"/>
              </w:rPr>
              <w:t>very limited</w:t>
            </w:r>
            <w:r w:rsidRPr="000D6A22">
              <w:rPr>
                <w:rFonts w:asciiTheme="minorHAnsi" w:hAnsiTheme="minorHAnsi"/>
                <w:sz w:val="20"/>
                <w:szCs w:val="20"/>
              </w:rPr>
              <w:t xml:space="preserve"> (in terms of nos.), paediatric data included in Phase III studies</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vMerge/>
          </w:tcPr>
          <w:p w:rsidR="000D6A22" w:rsidRPr="000D6A22" w:rsidRDefault="000D6A22" w:rsidP="005F74D8">
            <w:pPr>
              <w:pStyle w:val="Tabletext"/>
              <w:keepNext/>
              <w:rPr>
                <w:rFonts w:asciiTheme="minorHAnsi" w:hAnsiTheme="minorHAnsi"/>
                <w:sz w:val="20"/>
                <w:szCs w:val="20"/>
              </w:rPr>
            </w:pP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Elderly</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b/>
                <w:sz w:val="20"/>
                <w:szCs w:val="20"/>
                <w:u w:val="single"/>
              </w:rPr>
              <w:t>very limited</w:t>
            </w:r>
            <w:r w:rsidRPr="000D6A22">
              <w:rPr>
                <w:rFonts w:asciiTheme="minorHAnsi" w:hAnsiTheme="minorHAnsi"/>
                <w:sz w:val="20"/>
                <w:szCs w:val="20"/>
              </w:rPr>
              <w:t xml:space="preserve"> (in terms of nos.), data included in Phase III studies</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A22" w:rsidRPr="00E005C8" w:rsidTr="005159A3">
        <w:tc>
          <w:tcPr>
            <w:cnfStyle w:val="001000000000" w:firstRow="0" w:lastRow="0" w:firstColumn="1" w:lastColumn="0" w:oddVBand="0" w:evenVBand="0" w:oddHBand="0" w:evenHBand="0" w:firstRowFirstColumn="0" w:firstRowLastColumn="0" w:lastRowFirstColumn="0" w:lastRowLastColumn="0"/>
            <w:tcW w:w="1668" w:type="dxa"/>
          </w:tcPr>
          <w:p w:rsidR="000D6A22" w:rsidRPr="000D6A22" w:rsidRDefault="000D6A22" w:rsidP="00DC5BB2">
            <w:pPr>
              <w:pStyle w:val="Tabletext"/>
              <w:keepNext/>
              <w:rPr>
                <w:rFonts w:asciiTheme="minorHAnsi" w:hAnsiTheme="minorHAnsi"/>
                <w:b/>
                <w:sz w:val="20"/>
                <w:szCs w:val="20"/>
              </w:rPr>
            </w:pPr>
            <w:r w:rsidRPr="000D6A22">
              <w:rPr>
                <w:rFonts w:asciiTheme="minorHAnsi" w:hAnsiTheme="minorHAnsi"/>
                <w:b/>
                <w:sz w:val="20"/>
                <w:szCs w:val="20"/>
              </w:rPr>
              <w:t>Genetic</w:t>
            </w:r>
            <w:r w:rsidR="00DC5BB2">
              <w:rPr>
                <w:rFonts w:asciiTheme="minorHAnsi" w:hAnsiTheme="minorHAnsi"/>
                <w:b/>
                <w:sz w:val="20"/>
                <w:szCs w:val="20"/>
              </w:rPr>
              <w:t xml:space="preserve"> </w:t>
            </w:r>
            <w:r w:rsidRPr="000D6A22">
              <w:rPr>
                <w:rFonts w:asciiTheme="minorHAnsi" w:hAnsiTheme="minorHAnsi"/>
                <w:b/>
                <w:sz w:val="20"/>
                <w:szCs w:val="20"/>
              </w:rPr>
              <w:t>/</w:t>
            </w:r>
            <w:r w:rsidR="00DC5BB2">
              <w:rPr>
                <w:rFonts w:asciiTheme="minorHAnsi" w:hAnsiTheme="minorHAnsi"/>
                <w:b/>
                <w:sz w:val="20"/>
                <w:szCs w:val="20"/>
              </w:rPr>
              <w:t xml:space="preserve"> </w:t>
            </w:r>
            <w:r w:rsidRPr="000D6A22">
              <w:rPr>
                <w:rFonts w:asciiTheme="minorHAnsi" w:hAnsiTheme="minorHAnsi"/>
                <w:b/>
                <w:sz w:val="20"/>
                <w:szCs w:val="20"/>
              </w:rPr>
              <w:t>gender-related PK</w:t>
            </w:r>
          </w:p>
        </w:tc>
        <w:tc>
          <w:tcPr>
            <w:tcW w:w="3118"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Males</w:t>
            </w:r>
            <w:r w:rsidR="0070299A">
              <w:rPr>
                <w:rFonts w:asciiTheme="minorHAnsi" w:hAnsiTheme="minorHAnsi"/>
                <w:sz w:val="20"/>
                <w:szCs w:val="20"/>
              </w:rPr>
              <w:t xml:space="preserve"> versus</w:t>
            </w:r>
            <w:r w:rsidRPr="000D6A22">
              <w:rPr>
                <w:rFonts w:asciiTheme="minorHAnsi" w:hAnsiTheme="minorHAnsi"/>
                <w:sz w:val="20"/>
                <w:szCs w:val="20"/>
              </w:rPr>
              <w:t xml:space="preserve"> females</w:t>
            </w:r>
          </w:p>
        </w:tc>
        <w:tc>
          <w:tcPr>
            <w:tcW w:w="1985"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D6A22">
              <w:rPr>
                <w:rFonts w:asciiTheme="minorHAnsi" w:hAnsiTheme="minorHAnsi"/>
                <w:sz w:val="20"/>
                <w:szCs w:val="20"/>
              </w:rPr>
              <w:t>not applicable, Phase 1 PK study conducted only in Males; the PK substudies of the Pivotal efficacy stu</w:t>
            </w:r>
            <w:r w:rsidR="00DC5BB2">
              <w:rPr>
                <w:rFonts w:asciiTheme="minorHAnsi" w:hAnsiTheme="minorHAnsi"/>
                <w:sz w:val="20"/>
                <w:szCs w:val="20"/>
              </w:rPr>
              <w:t>dies enrolled males and females</w:t>
            </w:r>
          </w:p>
        </w:tc>
        <w:tc>
          <w:tcPr>
            <w:tcW w:w="567" w:type="dxa"/>
          </w:tcPr>
          <w:p w:rsidR="000D6A22" w:rsidRPr="000D6A22" w:rsidRDefault="000D6A22" w:rsidP="005F74D8">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rsidR="005F74D8" w:rsidRPr="007B1EAB" w:rsidRDefault="005F74D8" w:rsidP="003D0F2B">
      <w:pPr>
        <w:pStyle w:val="TableDescription"/>
      </w:pPr>
      <w:r w:rsidRPr="00E005C8">
        <w:t>* Indicates the primary aim of the study.</w:t>
      </w:r>
      <w:r>
        <w:t xml:space="preserve"> </w:t>
      </w:r>
      <w:r w:rsidRPr="00E005C8">
        <w:t>† Bioequivalence of different formulations.</w:t>
      </w:r>
      <w:r>
        <w:t xml:space="preserve"> </w:t>
      </w:r>
      <w:r w:rsidRPr="00E005C8">
        <w:t>§ Subjects who would be eligible to receive the drug if approved for the proposed indication.</w:t>
      </w:r>
    </w:p>
    <w:p w:rsidR="005F74D8" w:rsidRDefault="005F74D8" w:rsidP="005F74D8">
      <w:pPr>
        <w:rPr>
          <w:color w:val="000000" w:themeColor="text1"/>
        </w:rPr>
      </w:pPr>
      <w:r w:rsidRPr="00E005C8">
        <w:rPr>
          <w:color w:val="000000" w:themeColor="text1"/>
        </w:rPr>
        <w:t>None of the PK studies had deficiencies that excluded their results from consideration</w:t>
      </w:r>
      <w:r w:rsidR="00B66F98">
        <w:rPr>
          <w:color w:val="000000" w:themeColor="text1"/>
        </w:rPr>
        <w:t xml:space="preserve">. </w:t>
      </w:r>
      <w:r w:rsidR="0070299A">
        <w:rPr>
          <w:color w:val="000000" w:themeColor="text1"/>
        </w:rPr>
        <w:t xml:space="preserve"> Number</w:t>
      </w:r>
      <w:r w:rsidR="00B66F98">
        <w:rPr>
          <w:color w:val="000000" w:themeColor="text1"/>
        </w:rPr>
        <w:t>s</w:t>
      </w:r>
      <w:r w:rsidR="0070299A">
        <w:rPr>
          <w:color w:val="000000" w:themeColor="text1"/>
        </w:rPr>
        <w:t xml:space="preserve"> </w:t>
      </w:r>
      <w:r w:rsidRPr="00E005C8">
        <w:rPr>
          <w:color w:val="000000" w:themeColor="text1"/>
        </w:rPr>
        <w:t>were very small</w:t>
      </w:r>
      <w:r w:rsidR="00B66F98">
        <w:rPr>
          <w:color w:val="000000" w:themeColor="text1"/>
        </w:rPr>
        <w:t xml:space="preserve"> but</w:t>
      </w:r>
      <w:r w:rsidRPr="00E005C8">
        <w:rPr>
          <w:color w:val="000000" w:themeColor="text1"/>
        </w:rPr>
        <w:t xml:space="preserve"> this has to be put into context</w:t>
      </w:r>
      <w:r w:rsidR="00B66F98">
        <w:rPr>
          <w:color w:val="000000" w:themeColor="text1"/>
        </w:rPr>
        <w:t>;</w:t>
      </w:r>
      <w:r w:rsidRPr="00E005C8">
        <w:rPr>
          <w:color w:val="000000" w:themeColor="text1"/>
        </w:rPr>
        <w:t xml:space="preserve"> PIDs are rare conditions a</w:t>
      </w:r>
      <w:r>
        <w:rPr>
          <w:color w:val="000000" w:themeColor="text1"/>
        </w:rPr>
        <w:t>nd the recruitment into the main</w:t>
      </w:r>
      <w:r w:rsidRPr="00E005C8">
        <w:rPr>
          <w:color w:val="000000" w:themeColor="text1"/>
        </w:rPr>
        <w:t xml:space="preserve"> studies in which these PK substudies were embedded were </w:t>
      </w:r>
      <w:r w:rsidR="003D0F2B">
        <w:rPr>
          <w:color w:val="000000" w:themeColor="text1"/>
        </w:rPr>
        <w:t>small.</w:t>
      </w:r>
    </w:p>
    <w:p w:rsidR="005F74D8" w:rsidRPr="00E005C8" w:rsidRDefault="005F74D8" w:rsidP="000D6A22">
      <w:pPr>
        <w:pStyle w:val="Heading3"/>
      </w:pPr>
      <w:bookmarkStart w:id="130" w:name="_Ref269118175"/>
      <w:bookmarkStart w:id="131" w:name="_Toc272414616"/>
      <w:bookmarkStart w:id="132" w:name="_Toc290846239"/>
      <w:bookmarkStart w:id="133" w:name="_Toc373748386"/>
      <w:bookmarkStart w:id="134" w:name="_Toc392757293"/>
      <w:r w:rsidRPr="00E005C8">
        <w:lastRenderedPageBreak/>
        <w:t>Summary of pharmacokinetics</w:t>
      </w:r>
      <w:bookmarkEnd w:id="130"/>
      <w:bookmarkEnd w:id="131"/>
      <w:bookmarkEnd w:id="132"/>
      <w:bookmarkEnd w:id="133"/>
      <w:bookmarkEnd w:id="134"/>
    </w:p>
    <w:p w:rsidR="005F74D8" w:rsidRDefault="005F74D8" w:rsidP="005F74D8">
      <w:pPr>
        <w:rPr>
          <w:color w:val="000000" w:themeColor="text1"/>
        </w:rPr>
      </w:pPr>
      <w:r w:rsidRPr="00E005C8">
        <w:rPr>
          <w:color w:val="000000" w:themeColor="text1"/>
        </w:rPr>
        <w:t xml:space="preserve">PK studies </w:t>
      </w:r>
      <w:r>
        <w:rPr>
          <w:color w:val="000000" w:themeColor="text1"/>
        </w:rPr>
        <w:t>are complicated by both endogenous production of Ig and the inability to differentiate</w:t>
      </w:r>
      <w:r w:rsidRPr="00E005C8">
        <w:rPr>
          <w:color w:val="000000" w:themeColor="text1"/>
        </w:rPr>
        <w:t xml:space="preserve"> between endogenously produced IgG and </w:t>
      </w:r>
      <w:r>
        <w:rPr>
          <w:color w:val="000000" w:themeColor="text1"/>
        </w:rPr>
        <w:t>Ig replacement in regards to serum measurement of IgG.</w:t>
      </w:r>
    </w:p>
    <w:p w:rsidR="005F74D8" w:rsidRPr="00E005C8" w:rsidRDefault="005F74D8" w:rsidP="00C2531A">
      <w:pPr>
        <w:pStyle w:val="Heading4"/>
      </w:pPr>
      <w:bookmarkStart w:id="135" w:name="_Toc272414617"/>
      <w:bookmarkStart w:id="136" w:name="_Toc290846240"/>
      <w:bookmarkStart w:id="137" w:name="_Toc373748387"/>
      <w:r w:rsidRPr="00E005C8">
        <w:t>Physicochemical characteristics of the active substance</w:t>
      </w:r>
      <w:bookmarkEnd w:id="135"/>
      <w:bookmarkEnd w:id="136"/>
      <w:bookmarkEnd w:id="137"/>
    </w:p>
    <w:p w:rsidR="005F74D8" w:rsidRDefault="005F74D8" w:rsidP="005F74D8">
      <w:pPr>
        <w:rPr>
          <w:color w:val="000000" w:themeColor="text1"/>
        </w:rPr>
      </w:pPr>
      <w:r w:rsidRPr="00E005C8">
        <w:rPr>
          <w:color w:val="000000" w:themeColor="text1"/>
        </w:rPr>
        <w:t xml:space="preserve">The following information is derived from the Sponsor’s summaries in </w:t>
      </w:r>
      <w:r w:rsidRPr="00C2531A">
        <w:rPr>
          <w:color w:val="000000" w:themeColor="text1"/>
        </w:rPr>
        <w:t>Module 2</w:t>
      </w:r>
      <w:r w:rsidR="00C2531A">
        <w:rPr>
          <w:color w:val="000000" w:themeColor="text1"/>
        </w:rPr>
        <w:t>.</w:t>
      </w:r>
      <w:r w:rsidRPr="00E005C8">
        <w:rPr>
          <w:color w:val="000000" w:themeColor="text1"/>
        </w:rPr>
        <w:t xml:space="preserve"> IgPro20 is prepared from large donor pools and </w:t>
      </w:r>
      <w:r>
        <w:rPr>
          <w:color w:val="000000" w:themeColor="text1"/>
        </w:rPr>
        <w:t>a</w:t>
      </w:r>
      <w:r w:rsidRPr="00E005C8">
        <w:rPr>
          <w:color w:val="000000" w:themeColor="text1"/>
        </w:rPr>
        <w:t>ll IgG subclasses found in normal serum are present in IgPro20. IgG functions (Fc</w:t>
      </w:r>
      <w:r>
        <w:rPr>
          <w:color w:val="000000" w:themeColor="text1"/>
        </w:rPr>
        <w:t xml:space="preserve"> </w:t>
      </w:r>
      <w:r w:rsidRPr="00E005C8">
        <w:rPr>
          <w:color w:val="000000" w:themeColor="text1"/>
        </w:rPr>
        <w:t>and Fab mediated acti</w:t>
      </w:r>
      <w:r>
        <w:rPr>
          <w:color w:val="000000" w:themeColor="text1"/>
        </w:rPr>
        <w:t xml:space="preserve">vities) are retained. Dimer and </w:t>
      </w:r>
      <w:r w:rsidRPr="00E005C8">
        <w:rPr>
          <w:color w:val="000000" w:themeColor="text1"/>
        </w:rPr>
        <w:t>aggregate contents of IgPro20</w:t>
      </w:r>
      <w:r>
        <w:rPr>
          <w:color w:val="000000" w:themeColor="text1"/>
        </w:rPr>
        <w:t xml:space="preserve"> </w:t>
      </w:r>
      <w:r w:rsidRPr="00E005C8">
        <w:rPr>
          <w:color w:val="000000" w:themeColor="text1"/>
        </w:rPr>
        <w:t>correspond to the requirements of an IVIG. The sterile 20% IgG solution is formulated with 250 mmol/L of L-proline at pH 4.8. To improve the appearance of the fin</w:t>
      </w:r>
      <w:r>
        <w:rPr>
          <w:color w:val="000000" w:themeColor="text1"/>
        </w:rPr>
        <w:t>al product, IgPro20 contains 20</w:t>
      </w:r>
      <w:r w:rsidRPr="00E005C8">
        <w:rPr>
          <w:color w:val="000000" w:themeColor="text1"/>
        </w:rPr>
        <w:t>μg/m</w:t>
      </w:r>
      <w:r>
        <w:rPr>
          <w:color w:val="000000" w:themeColor="text1"/>
        </w:rPr>
        <w:t xml:space="preserve">L polysorbate 80. IgPro20 has </w:t>
      </w:r>
      <w:r w:rsidRPr="00E005C8">
        <w:rPr>
          <w:color w:val="000000" w:themeColor="text1"/>
        </w:rPr>
        <w:t>low sodium content (&lt;</w:t>
      </w:r>
      <w:r>
        <w:rPr>
          <w:color w:val="000000" w:themeColor="text1"/>
        </w:rPr>
        <w:t xml:space="preserve">10 mmol/L); </w:t>
      </w:r>
      <w:r w:rsidRPr="00E005C8">
        <w:rPr>
          <w:color w:val="000000" w:themeColor="text1"/>
        </w:rPr>
        <w:t xml:space="preserve">osmolality is </w:t>
      </w:r>
      <w:r w:rsidR="00C2531A">
        <w:rPr>
          <w:color w:val="000000" w:themeColor="text1"/>
        </w:rPr>
        <w:t>approximately</w:t>
      </w:r>
      <w:r>
        <w:rPr>
          <w:color w:val="000000" w:themeColor="text1"/>
        </w:rPr>
        <w:t xml:space="preserve">380 mOsmol/kg; </w:t>
      </w:r>
      <w:r w:rsidRPr="00E005C8">
        <w:rPr>
          <w:color w:val="000000" w:themeColor="text1"/>
        </w:rPr>
        <w:t>no preservative. The protein moiety of IgPro20 is high</w:t>
      </w:r>
      <w:r>
        <w:rPr>
          <w:color w:val="000000" w:themeColor="text1"/>
        </w:rPr>
        <w:t>ly purified IgG (</w:t>
      </w:r>
      <w:r w:rsidR="00C2531A">
        <w:rPr>
          <w:color w:val="000000" w:themeColor="text1"/>
        </w:rPr>
        <w:t>≥</w:t>
      </w:r>
      <w:r>
        <w:rPr>
          <w:color w:val="000000" w:themeColor="text1"/>
        </w:rPr>
        <w:t xml:space="preserve"> 98% purity); </w:t>
      </w:r>
      <w:r w:rsidRPr="00E005C8">
        <w:rPr>
          <w:color w:val="000000" w:themeColor="text1"/>
        </w:rPr>
        <w:t>&gt;90% of the IgG consists of mon</w:t>
      </w:r>
      <w:r>
        <w:rPr>
          <w:color w:val="000000" w:themeColor="text1"/>
        </w:rPr>
        <w:t>omers and dimers.</w:t>
      </w:r>
    </w:p>
    <w:p w:rsidR="005F74D8" w:rsidRPr="00E005C8" w:rsidRDefault="005F74D8" w:rsidP="00C2531A">
      <w:pPr>
        <w:pStyle w:val="Heading4"/>
      </w:pPr>
      <w:bookmarkStart w:id="138" w:name="_Ref271189106"/>
      <w:bookmarkStart w:id="139" w:name="_Ref271189143"/>
      <w:bookmarkStart w:id="140" w:name="_Toc272414618"/>
      <w:bookmarkStart w:id="141" w:name="_Toc290846241"/>
      <w:bookmarkStart w:id="142" w:name="_Toc373748388"/>
      <w:r w:rsidRPr="00E005C8">
        <w:t>Pharmacokinetics in healthy subjects</w:t>
      </w:r>
      <w:bookmarkEnd w:id="138"/>
      <w:bookmarkEnd w:id="139"/>
      <w:bookmarkEnd w:id="140"/>
      <w:bookmarkEnd w:id="141"/>
      <w:bookmarkEnd w:id="142"/>
    </w:p>
    <w:p w:rsidR="005F74D8" w:rsidRPr="00E005C8" w:rsidRDefault="005F74D8" w:rsidP="00C2531A">
      <w:pPr>
        <w:pStyle w:val="Heading5"/>
      </w:pPr>
      <w:bookmarkStart w:id="143" w:name="_Toc272414619"/>
      <w:bookmarkStart w:id="144" w:name="_Toc290846242"/>
      <w:bookmarkStart w:id="145" w:name="_Toc373748389"/>
      <w:r w:rsidRPr="00E005C8">
        <w:t>Absorption</w:t>
      </w:r>
      <w:bookmarkEnd w:id="143"/>
      <w:bookmarkEnd w:id="144"/>
      <w:bookmarkEnd w:id="145"/>
    </w:p>
    <w:p w:rsidR="005F74D8" w:rsidRPr="00E005C8" w:rsidRDefault="005F74D8" w:rsidP="00C2531A">
      <w:pPr>
        <w:pStyle w:val="Heading6"/>
      </w:pPr>
      <w:r w:rsidRPr="00E005C8">
        <w:t>Sites and mechanisms of absorption</w:t>
      </w:r>
    </w:p>
    <w:p w:rsidR="005F74D8" w:rsidRDefault="005F74D8" w:rsidP="005F74D8">
      <w:pPr>
        <w:autoSpaceDE w:val="0"/>
        <w:autoSpaceDN w:val="0"/>
        <w:adjustRightInd w:val="0"/>
        <w:rPr>
          <w:color w:val="000000" w:themeColor="text1"/>
        </w:rPr>
      </w:pPr>
      <w:r w:rsidRPr="00E005C8">
        <w:rPr>
          <w:color w:val="000000" w:themeColor="text1"/>
        </w:rPr>
        <w:t>This is a p</w:t>
      </w:r>
      <w:r w:rsidR="003D0F2B">
        <w:rPr>
          <w:color w:val="000000" w:themeColor="text1"/>
        </w:rPr>
        <w:t>arenterally administered agent.</w:t>
      </w:r>
    </w:p>
    <w:p w:rsidR="005F74D8" w:rsidRPr="00E005C8" w:rsidRDefault="005F74D8" w:rsidP="00C2531A">
      <w:pPr>
        <w:pStyle w:val="Heading5"/>
      </w:pPr>
      <w:bookmarkStart w:id="146" w:name="_Toc241374287"/>
      <w:bookmarkStart w:id="147" w:name="_Toc272414620"/>
      <w:bookmarkStart w:id="148" w:name="_Toc290846243"/>
      <w:bookmarkStart w:id="149" w:name="_Toc373748390"/>
      <w:r w:rsidRPr="00E005C8">
        <w:t>Bioavailability</w:t>
      </w:r>
      <w:bookmarkEnd w:id="146"/>
      <w:bookmarkEnd w:id="147"/>
      <w:bookmarkEnd w:id="148"/>
      <w:bookmarkEnd w:id="149"/>
    </w:p>
    <w:p w:rsidR="005F74D8" w:rsidRPr="00E005C8" w:rsidRDefault="005F74D8" w:rsidP="00C2531A">
      <w:pPr>
        <w:pStyle w:val="Heading6"/>
      </w:pPr>
      <w:r w:rsidRPr="00E005C8">
        <w:t>Absolute bioavailability</w:t>
      </w:r>
    </w:p>
    <w:p w:rsidR="005F74D8" w:rsidRPr="00E005C8" w:rsidRDefault="005F74D8" w:rsidP="00C2531A">
      <w:pPr>
        <w:pStyle w:val="Heading6"/>
      </w:pPr>
      <w:r w:rsidRPr="00E005C8">
        <w:t>Bioavailability relative to an oral solution or micronised suspension</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6"/>
      </w:pPr>
      <w:r w:rsidRPr="00E005C8">
        <w:t>Bioequivalence of clinical trial and market formulations</w:t>
      </w:r>
    </w:p>
    <w:p w:rsidR="005F74D8" w:rsidRPr="00E005C8" w:rsidRDefault="005F74D8" w:rsidP="00C2531A">
      <w:pPr>
        <w:pStyle w:val="Heading6"/>
      </w:pPr>
      <w:r w:rsidRPr="00E005C8">
        <w:t>Bioequivalence of different dosage forms and strengths</w:t>
      </w:r>
    </w:p>
    <w:p w:rsidR="005F74D8" w:rsidRDefault="005F74D8" w:rsidP="005F74D8">
      <w:pPr>
        <w:autoSpaceDE w:val="0"/>
        <w:autoSpaceDN w:val="0"/>
        <w:adjustRightInd w:val="0"/>
        <w:rPr>
          <w:color w:val="000000" w:themeColor="text1"/>
        </w:rPr>
      </w:pPr>
      <w:r w:rsidRPr="00E005C8">
        <w:rPr>
          <w:color w:val="000000" w:themeColor="text1"/>
        </w:rPr>
        <w:t>Not applicable, only one strength of Hizentra</w:t>
      </w:r>
      <w:r w:rsidRPr="00E005C8">
        <w:rPr>
          <w:color w:val="000000" w:themeColor="text1"/>
        </w:rPr>
        <w:sym w:font="Symbol" w:char="F0D2"/>
      </w:r>
      <w:r w:rsidRPr="00E005C8">
        <w:rPr>
          <w:color w:val="000000" w:themeColor="text1"/>
        </w:rPr>
        <w:t xml:space="preserve"> explored, dose varies according to IgG response in individuals for this passive immunotherapy.</w:t>
      </w:r>
    </w:p>
    <w:p w:rsidR="005F74D8" w:rsidRPr="00E005C8" w:rsidRDefault="005F74D8" w:rsidP="00C2531A">
      <w:pPr>
        <w:pStyle w:val="Heading6"/>
      </w:pPr>
      <w:r w:rsidRPr="00E005C8">
        <w:t>Bioequivalence to relevant registered products</w:t>
      </w:r>
    </w:p>
    <w:p w:rsidR="005F74D8" w:rsidRDefault="005F74D8" w:rsidP="005F74D8">
      <w:pPr>
        <w:autoSpaceDE w:val="0"/>
        <w:autoSpaceDN w:val="0"/>
        <w:adjustRightInd w:val="0"/>
        <w:rPr>
          <w:rFonts w:eastAsia="TimesNewRoman" w:cs="TimesNewRoman"/>
          <w:color w:val="000000" w:themeColor="text1"/>
        </w:rPr>
      </w:pPr>
      <w:r w:rsidRPr="00A148B6">
        <w:rPr>
          <w:rFonts w:eastAsia="TimesNewRoman" w:cs="TimesNewRoman"/>
          <w:color w:val="000000" w:themeColor="text1"/>
        </w:rPr>
        <w:t>The</w:t>
      </w:r>
      <w:r>
        <w:rPr>
          <w:rFonts w:eastAsia="TimesNewRoman" w:cs="TimesNewRoman"/>
          <w:b/>
          <w:color w:val="000000" w:themeColor="text1"/>
        </w:rPr>
        <w:t xml:space="preserve"> </w:t>
      </w:r>
      <w:r w:rsidR="00C2531A">
        <w:rPr>
          <w:rFonts w:eastAsia="TimesNewRoman" w:cs="TimesNewRoman"/>
          <w:color w:val="000000" w:themeColor="text1"/>
        </w:rPr>
        <w:t>Phase I</w:t>
      </w:r>
      <w:r w:rsidRPr="00E005C8">
        <w:rPr>
          <w:rFonts w:eastAsia="TimesNewRoman" w:cs="TimesNewRoman"/>
          <w:color w:val="000000" w:themeColor="text1"/>
        </w:rPr>
        <w:t xml:space="preserve"> safety study in healthy volunteers (</w:t>
      </w:r>
      <w:r w:rsidRPr="00E005C8">
        <w:rPr>
          <w:rFonts w:eastAsia="TimesNewRoman" w:cs="TimesNewRoman"/>
          <w:b/>
          <w:color w:val="000000" w:themeColor="text1"/>
        </w:rPr>
        <w:t>ZLB04_008CR</w:t>
      </w:r>
      <w:r>
        <w:rPr>
          <w:rFonts w:eastAsia="TimesNewRoman" w:cs="TimesNewRoman"/>
          <w:color w:val="000000" w:themeColor="text1"/>
        </w:rPr>
        <w:t>)</w:t>
      </w:r>
      <w:r w:rsidRPr="00A148B6">
        <w:rPr>
          <w:rFonts w:eastAsia="TimesNewRoman" w:cs="TimesNewRoman"/>
          <w:b/>
          <w:color w:val="000000" w:themeColor="text1"/>
        </w:rPr>
        <w:t>.</w:t>
      </w:r>
      <w:r w:rsidRPr="00E005C8">
        <w:rPr>
          <w:rFonts w:eastAsia="TimesNewRoman" w:cs="TimesNewRoman"/>
          <w:color w:val="000000" w:themeColor="text1"/>
        </w:rPr>
        <w:t xml:space="preserve"> Bioequivalence is almost impossible to assess in this setting because of </w:t>
      </w:r>
      <w:r>
        <w:rPr>
          <w:rFonts w:eastAsia="TimesNewRoman" w:cs="TimesNewRoman"/>
          <w:color w:val="000000" w:themeColor="text1"/>
        </w:rPr>
        <w:t xml:space="preserve">i) </w:t>
      </w:r>
      <w:r w:rsidRPr="00E005C8">
        <w:rPr>
          <w:rFonts w:eastAsia="TimesNewRoman" w:cs="TimesNewRoman"/>
          <w:color w:val="000000" w:themeColor="text1"/>
        </w:rPr>
        <w:t>endogenous pr</w:t>
      </w:r>
      <w:r>
        <w:rPr>
          <w:rFonts w:eastAsia="TimesNewRoman" w:cs="TimesNewRoman"/>
          <w:color w:val="000000" w:themeColor="text1"/>
        </w:rPr>
        <w:t xml:space="preserve">oduction of Ig; ii) </w:t>
      </w:r>
      <w:r w:rsidRPr="00E005C8">
        <w:rPr>
          <w:rFonts w:eastAsia="TimesNewRoman" w:cs="TimesNewRoman"/>
          <w:color w:val="000000" w:themeColor="text1"/>
        </w:rPr>
        <w:t>very small</w:t>
      </w:r>
      <w:r>
        <w:rPr>
          <w:rFonts w:eastAsia="TimesNewRoman" w:cs="TimesNewRoman"/>
          <w:color w:val="000000" w:themeColor="text1"/>
        </w:rPr>
        <w:t xml:space="preserve"> doses </w:t>
      </w:r>
      <w:r w:rsidRPr="00E005C8">
        <w:rPr>
          <w:rFonts w:eastAsia="TimesNewRoman" w:cs="TimesNewRoman"/>
          <w:color w:val="000000" w:themeColor="text1"/>
        </w:rPr>
        <w:t>used</w:t>
      </w:r>
      <w:r>
        <w:rPr>
          <w:rFonts w:eastAsia="TimesNewRoman" w:cs="TimesNewRoman"/>
          <w:color w:val="000000" w:themeColor="text1"/>
        </w:rPr>
        <w:t xml:space="preserve">. The </w:t>
      </w:r>
      <w:r w:rsidRPr="00E005C8">
        <w:rPr>
          <w:rFonts w:eastAsia="TimesNewRoman" w:cs="TimesNewRoman"/>
          <w:color w:val="000000" w:themeColor="text1"/>
        </w:rPr>
        <w:t>no</w:t>
      </w:r>
      <w:r>
        <w:rPr>
          <w:rFonts w:eastAsia="TimesNewRoman" w:cs="TimesNewRoman"/>
          <w:color w:val="000000" w:themeColor="text1"/>
        </w:rPr>
        <w:t>n</w:t>
      </w:r>
      <w:r w:rsidR="005159A3">
        <w:rPr>
          <w:rFonts w:eastAsia="TimesNewRoman" w:cs="TimesNewRoman"/>
          <w:color w:val="000000" w:themeColor="text1"/>
        </w:rPr>
        <w:t>-</w:t>
      </w:r>
      <w:r w:rsidRPr="00E005C8">
        <w:rPr>
          <w:rFonts w:eastAsia="TimesNewRoman" w:cs="TimesNewRoman"/>
          <w:color w:val="000000" w:themeColor="text1"/>
        </w:rPr>
        <w:t xml:space="preserve">discernible increase in serum Ig </w:t>
      </w:r>
      <w:r>
        <w:rPr>
          <w:rFonts w:eastAsia="TimesNewRoman" w:cs="TimesNewRoman"/>
          <w:color w:val="000000" w:themeColor="text1"/>
        </w:rPr>
        <w:t xml:space="preserve">meant </w:t>
      </w:r>
      <w:r w:rsidRPr="00E005C8">
        <w:rPr>
          <w:rFonts w:eastAsia="TimesNewRoman" w:cs="TimesNewRoman"/>
          <w:color w:val="000000" w:themeColor="text1"/>
        </w:rPr>
        <w:t>PK p</w:t>
      </w:r>
      <w:r>
        <w:rPr>
          <w:rFonts w:eastAsia="TimesNewRoman" w:cs="TimesNewRoman"/>
          <w:color w:val="000000" w:themeColor="text1"/>
        </w:rPr>
        <w:t>arameters could not be established. T</w:t>
      </w:r>
      <w:r w:rsidRPr="00E005C8">
        <w:rPr>
          <w:rFonts w:eastAsia="TimesNewRoman" w:cs="TimesNewRoman"/>
          <w:color w:val="000000" w:themeColor="text1"/>
        </w:rPr>
        <w:t>his study was primarily designed as a safety and tolerability study.</w:t>
      </w:r>
      <w:r w:rsidR="000D6A22">
        <w:rPr>
          <w:rFonts w:eastAsia="TimesNewRoman" w:cs="TimesNewRoman"/>
          <w:color w:val="000000" w:themeColor="text1"/>
        </w:rPr>
        <w:t xml:space="preserve"> </w:t>
      </w:r>
      <w:r w:rsidRPr="00E005C8">
        <w:rPr>
          <w:rFonts w:eastAsia="TimesNewRoman" w:cs="TimesNewRoman"/>
          <w:color w:val="000000" w:themeColor="text1"/>
        </w:rPr>
        <w:t xml:space="preserve">Bioequivalence and bioavailability </w:t>
      </w:r>
      <w:r>
        <w:rPr>
          <w:rFonts w:eastAsia="TimesNewRoman" w:cs="TimesNewRoman"/>
          <w:color w:val="000000" w:themeColor="text1"/>
        </w:rPr>
        <w:t xml:space="preserve">in PID patients </w:t>
      </w:r>
      <w:r w:rsidRPr="00E005C8">
        <w:rPr>
          <w:rFonts w:eastAsia="TimesNewRoman" w:cs="TimesNewRoman"/>
          <w:color w:val="000000" w:themeColor="text1"/>
        </w:rPr>
        <w:t xml:space="preserve">was assessed in the </w:t>
      </w:r>
      <w:r>
        <w:rPr>
          <w:rFonts w:eastAsia="TimesNewRoman" w:cs="TimesNewRoman"/>
          <w:color w:val="000000" w:themeColor="text1"/>
        </w:rPr>
        <w:t>US p</w:t>
      </w:r>
      <w:r w:rsidRPr="00E005C8">
        <w:rPr>
          <w:rFonts w:eastAsia="TimesNewRoman" w:cs="TimesNewRoman"/>
          <w:color w:val="000000" w:themeColor="text1"/>
        </w:rPr>
        <w:t xml:space="preserve">ivotal study </w:t>
      </w:r>
      <w:r w:rsidRPr="00E005C8">
        <w:rPr>
          <w:rFonts w:eastAsia="TimesNewRoman" w:cs="TimesNewRoman"/>
          <w:b/>
          <w:color w:val="000000" w:themeColor="text1"/>
        </w:rPr>
        <w:t>ZLB04_009CR</w:t>
      </w:r>
      <w:r w:rsidRPr="00E005C8">
        <w:rPr>
          <w:rFonts w:eastAsia="TimesNewRoman" w:cs="TimesNewRoman"/>
          <w:color w:val="000000" w:themeColor="text1"/>
        </w:rPr>
        <w:t xml:space="preserve">. As a part of this </w:t>
      </w:r>
      <w:r>
        <w:rPr>
          <w:rFonts w:eastAsia="TimesNewRoman" w:cs="TimesNewRoman"/>
          <w:color w:val="000000" w:themeColor="text1"/>
        </w:rPr>
        <w:t xml:space="preserve">study, bioequivalence of IgPro 20 </w:t>
      </w:r>
      <w:r w:rsidRPr="00E005C8">
        <w:rPr>
          <w:rFonts w:eastAsia="TimesNewRoman" w:cs="TimesNewRoman"/>
          <w:color w:val="000000" w:themeColor="text1"/>
        </w:rPr>
        <w:t>was approximately calculate</w:t>
      </w:r>
      <w:r>
        <w:rPr>
          <w:rFonts w:eastAsia="TimesNewRoman" w:cs="TimesNewRoman"/>
          <w:color w:val="000000" w:themeColor="text1"/>
        </w:rPr>
        <w:t xml:space="preserve">d against </w:t>
      </w:r>
      <w:r w:rsidRPr="00E005C8">
        <w:rPr>
          <w:rFonts w:eastAsia="TimesNewRoman" w:cs="TimesNewRoman"/>
          <w:color w:val="000000" w:themeColor="text1"/>
        </w:rPr>
        <w:t xml:space="preserve">the </w:t>
      </w:r>
      <w:r>
        <w:rPr>
          <w:rFonts w:eastAsia="TimesNewRoman" w:cs="TimesNewRoman"/>
          <w:color w:val="000000" w:themeColor="text1"/>
        </w:rPr>
        <w:t>IVIG product</w:t>
      </w:r>
      <w:r w:rsidRPr="00E005C8">
        <w:rPr>
          <w:rFonts w:eastAsia="TimesNewRoman" w:cs="TimesNewRoman"/>
          <w:color w:val="000000" w:themeColor="text1"/>
        </w:rPr>
        <w:t xml:space="preserve"> Privigen® (IgPro10). Bioavailability could not be assessed directly </w:t>
      </w:r>
      <w:r>
        <w:rPr>
          <w:rFonts w:eastAsia="TimesNewRoman" w:cs="TimesNewRoman"/>
          <w:color w:val="000000" w:themeColor="text1"/>
        </w:rPr>
        <w:t>again because of</w:t>
      </w:r>
      <w:r w:rsidR="000D6A22">
        <w:rPr>
          <w:rFonts w:eastAsia="TimesNewRoman" w:cs="TimesNewRoman"/>
          <w:color w:val="000000" w:themeColor="text1"/>
        </w:rPr>
        <w:t xml:space="preserve"> </w:t>
      </w:r>
      <w:r>
        <w:rPr>
          <w:rFonts w:eastAsia="TimesNewRoman" w:cs="TimesNewRoman"/>
          <w:color w:val="000000" w:themeColor="text1"/>
        </w:rPr>
        <w:t xml:space="preserve">the patients’ variable ability to generate </w:t>
      </w:r>
      <w:r w:rsidRPr="00E005C8">
        <w:rPr>
          <w:rFonts w:eastAsia="TimesNewRoman" w:cs="TimesNewRoman"/>
          <w:color w:val="000000" w:themeColor="text1"/>
        </w:rPr>
        <w:t>endogenous IgG. However, based on serum IgG C</w:t>
      </w:r>
      <w:r w:rsidRPr="00E005C8">
        <w:rPr>
          <w:rFonts w:eastAsia="TimesNewRoman" w:cs="TimesNewRoman"/>
          <w:color w:val="000000" w:themeColor="text1"/>
          <w:vertAlign w:val="subscript"/>
        </w:rPr>
        <w:t xml:space="preserve">trough </w:t>
      </w:r>
      <w:r w:rsidRPr="00E005C8">
        <w:rPr>
          <w:rFonts w:eastAsia="TimesNewRoman" w:cs="TimesNewRoman"/>
          <w:color w:val="000000" w:themeColor="text1"/>
        </w:rPr>
        <w:t>measured in Part I of the PK substudy</w:t>
      </w:r>
      <w:r>
        <w:rPr>
          <w:rFonts w:eastAsia="TimesNewRoman" w:cs="TimesNewRoman"/>
          <w:color w:val="000000" w:themeColor="text1"/>
        </w:rPr>
        <w:t xml:space="preserve"> during IVIG</w:t>
      </w:r>
      <w:r w:rsidRPr="00E005C8">
        <w:rPr>
          <w:rFonts w:eastAsia="TimesNewRoman" w:cs="TimesNewRoman"/>
          <w:color w:val="000000" w:themeColor="text1"/>
        </w:rPr>
        <w:t>, a mean dose adjustment coefficient (DAC) of 1.53 (range: 1.26 t</w:t>
      </w:r>
      <w:r>
        <w:rPr>
          <w:rFonts w:eastAsia="TimesNewRoman" w:cs="TimesNewRoman"/>
          <w:color w:val="000000" w:themeColor="text1"/>
        </w:rPr>
        <w:t xml:space="preserve">o 1.87) was calculated for SCIG </w:t>
      </w:r>
      <w:r w:rsidRPr="00E005C8">
        <w:rPr>
          <w:rFonts w:eastAsia="TimesNewRoman" w:cs="TimesNewRoman"/>
          <w:color w:val="000000" w:themeColor="text1"/>
        </w:rPr>
        <w:t xml:space="preserve">treatment. The DAC was used for calculating the dose adjustments in the non-PK subjects of the US pivotal study. Thus, a comparable systemic exposure to IgG during SCIg treatment with IgPro20 relative to the previous exposure observed during IVIg treatment was achieved. On this basis, serum bioavailability of IgPro20 was </w:t>
      </w:r>
      <w:r w:rsidR="00C2531A">
        <w:rPr>
          <w:rFonts w:eastAsia="TimesNewRoman" w:cs="TimesNewRoman"/>
          <w:color w:val="000000" w:themeColor="text1"/>
        </w:rPr>
        <w:t xml:space="preserve">approximately </w:t>
      </w:r>
      <w:r w:rsidRPr="00E005C8">
        <w:rPr>
          <w:rFonts w:eastAsia="TimesNewRoman" w:cs="TimesNewRoman"/>
          <w:color w:val="000000" w:themeColor="text1"/>
        </w:rPr>
        <w:t>65% (</w:t>
      </w:r>
      <w:r w:rsidR="00C2531A">
        <w:rPr>
          <w:rFonts w:eastAsia="TimesNewRoman" w:cs="TimesNewRoman"/>
          <w:color w:val="000000" w:themeColor="text1"/>
        </w:rPr>
        <w:t>that is,</w:t>
      </w:r>
      <w:r w:rsidRPr="00E005C8">
        <w:rPr>
          <w:rFonts w:eastAsia="TimesNewRoman" w:cs="TimesNewRoman"/>
          <w:color w:val="000000" w:themeColor="text1"/>
        </w:rPr>
        <w:t xml:space="preserve"> [1 / 1.53] × 100%; range: 53% to 79%).</w:t>
      </w:r>
    </w:p>
    <w:p w:rsidR="005F74D8" w:rsidRPr="00E005C8" w:rsidRDefault="005F74D8" w:rsidP="00C2531A">
      <w:pPr>
        <w:pStyle w:val="Heading5"/>
      </w:pPr>
      <w:r w:rsidRPr="00E005C8">
        <w:t>Influence of food</w:t>
      </w:r>
    </w:p>
    <w:p w:rsidR="005F74D8" w:rsidRDefault="005F74D8" w:rsidP="005F74D8">
      <w:pPr>
        <w:autoSpaceDE w:val="0"/>
        <w:autoSpaceDN w:val="0"/>
        <w:adjustRightInd w:val="0"/>
        <w:rPr>
          <w:color w:val="000000" w:themeColor="text1"/>
        </w:rPr>
      </w:pPr>
      <w:r w:rsidRPr="00E005C8">
        <w:rPr>
          <w:color w:val="000000" w:themeColor="text1"/>
        </w:rPr>
        <w:t>Not applicable this is a par</w:t>
      </w:r>
      <w:r w:rsidR="003D0F2B">
        <w:rPr>
          <w:color w:val="000000" w:themeColor="text1"/>
        </w:rPr>
        <w:t>enterally administered product.</w:t>
      </w:r>
    </w:p>
    <w:p w:rsidR="005F74D8" w:rsidRPr="00E005C8" w:rsidRDefault="005F74D8" w:rsidP="00C2531A">
      <w:pPr>
        <w:pStyle w:val="Heading5"/>
      </w:pPr>
      <w:r w:rsidRPr="00E005C8">
        <w:lastRenderedPageBreak/>
        <w:t>Dose proportionality</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5"/>
      </w:pPr>
      <w:r w:rsidRPr="00E005C8">
        <w:t>Bioavailability during multiple-dosing</w:t>
      </w:r>
    </w:p>
    <w:p w:rsidR="005F74D8" w:rsidRDefault="005F74D8" w:rsidP="005F74D8">
      <w:pPr>
        <w:autoSpaceDE w:val="0"/>
        <w:autoSpaceDN w:val="0"/>
        <w:adjustRightInd w:val="0"/>
        <w:rPr>
          <w:color w:val="000000" w:themeColor="text1"/>
        </w:rPr>
      </w:pPr>
      <w:r>
        <w:rPr>
          <w:color w:val="000000" w:themeColor="text1"/>
        </w:rPr>
        <w:t xml:space="preserve">See </w:t>
      </w:r>
      <w:r w:rsidRPr="00E005C8">
        <w:rPr>
          <w:color w:val="000000" w:themeColor="text1"/>
        </w:rPr>
        <w:t>above.</w:t>
      </w:r>
    </w:p>
    <w:p w:rsidR="005F74D8" w:rsidRPr="00E005C8" w:rsidRDefault="005F74D8" w:rsidP="00C2531A">
      <w:pPr>
        <w:pStyle w:val="Heading5"/>
      </w:pPr>
      <w:r w:rsidRPr="00E005C8">
        <w:t>Effect of administration timing</w:t>
      </w:r>
    </w:p>
    <w:p w:rsidR="005F74D8" w:rsidRDefault="005F74D8" w:rsidP="005F74D8">
      <w:pPr>
        <w:autoSpaceDE w:val="0"/>
        <w:autoSpaceDN w:val="0"/>
        <w:adjustRightInd w:val="0"/>
        <w:rPr>
          <w:color w:val="000000" w:themeColor="text1"/>
        </w:rPr>
      </w:pPr>
      <w:r w:rsidRPr="00E005C8">
        <w:rPr>
          <w:color w:val="000000" w:themeColor="text1"/>
        </w:rPr>
        <w:t>Not applicable</w:t>
      </w:r>
      <w:r>
        <w:rPr>
          <w:color w:val="000000" w:themeColor="text1"/>
        </w:rPr>
        <w:t>.</w:t>
      </w:r>
    </w:p>
    <w:p w:rsidR="005F74D8" w:rsidRPr="00E005C8" w:rsidRDefault="005F74D8" w:rsidP="00C2531A">
      <w:pPr>
        <w:pStyle w:val="Heading4"/>
      </w:pPr>
      <w:bookmarkStart w:id="150" w:name="_Toc241374288"/>
      <w:bookmarkStart w:id="151" w:name="_Toc272414621"/>
      <w:bookmarkStart w:id="152" w:name="_Toc290846244"/>
      <w:bookmarkStart w:id="153" w:name="_Toc373748391"/>
      <w:r w:rsidRPr="00E005C8">
        <w:t>Distribution</w:t>
      </w:r>
      <w:bookmarkEnd w:id="150"/>
      <w:bookmarkEnd w:id="151"/>
      <w:bookmarkEnd w:id="152"/>
      <w:bookmarkEnd w:id="153"/>
    </w:p>
    <w:p w:rsidR="005F74D8" w:rsidRPr="00E005C8" w:rsidRDefault="005F74D8" w:rsidP="00C2531A">
      <w:pPr>
        <w:pStyle w:val="Heading5"/>
      </w:pPr>
      <w:r w:rsidRPr="00E005C8">
        <w:t>Volume of distribution</w:t>
      </w:r>
    </w:p>
    <w:p w:rsidR="005F74D8" w:rsidRDefault="00C2531A" w:rsidP="005F74D8">
      <w:pPr>
        <w:autoSpaceDE w:val="0"/>
        <w:autoSpaceDN w:val="0"/>
        <w:adjustRightInd w:val="0"/>
        <w:rPr>
          <w:color w:val="000000" w:themeColor="text1"/>
        </w:rPr>
      </w:pPr>
      <w:r>
        <w:rPr>
          <w:color w:val="000000" w:themeColor="text1"/>
        </w:rPr>
        <w:t>No details provided in this a</w:t>
      </w:r>
      <w:r w:rsidR="005F74D8" w:rsidRPr="00E005C8">
        <w:rPr>
          <w:color w:val="000000" w:themeColor="text1"/>
        </w:rPr>
        <w:t>pplication, presumably as</w:t>
      </w:r>
      <w:r w:rsidR="005F74D8">
        <w:rPr>
          <w:color w:val="000000" w:themeColor="text1"/>
        </w:rPr>
        <w:t xml:space="preserve"> for endogenous immunoglobulin.</w:t>
      </w:r>
    </w:p>
    <w:p w:rsidR="005F74D8" w:rsidRPr="00E005C8" w:rsidRDefault="005F74D8" w:rsidP="00C2531A">
      <w:pPr>
        <w:pStyle w:val="Heading5"/>
      </w:pPr>
      <w:r w:rsidRPr="00E005C8">
        <w:t>Plasma protein binding</w:t>
      </w:r>
    </w:p>
    <w:p w:rsidR="005F74D8" w:rsidRDefault="00C2531A" w:rsidP="005F74D8">
      <w:pPr>
        <w:autoSpaceDE w:val="0"/>
        <w:autoSpaceDN w:val="0"/>
        <w:adjustRightInd w:val="0"/>
        <w:rPr>
          <w:color w:val="000000" w:themeColor="text1"/>
        </w:rPr>
      </w:pPr>
      <w:r>
        <w:rPr>
          <w:color w:val="000000" w:themeColor="text1"/>
        </w:rPr>
        <w:t>No details provided in this a</w:t>
      </w:r>
      <w:r w:rsidR="005F74D8" w:rsidRPr="00E005C8">
        <w:rPr>
          <w:color w:val="000000" w:themeColor="text1"/>
        </w:rPr>
        <w:t>pplication, presumably as</w:t>
      </w:r>
      <w:r w:rsidR="003D0F2B">
        <w:rPr>
          <w:color w:val="000000" w:themeColor="text1"/>
        </w:rPr>
        <w:t xml:space="preserve"> for endogenous immunoglobulin.</w:t>
      </w:r>
    </w:p>
    <w:p w:rsidR="005F74D8" w:rsidRPr="00E005C8" w:rsidRDefault="005F74D8" w:rsidP="00C2531A">
      <w:pPr>
        <w:pStyle w:val="Heading5"/>
      </w:pPr>
      <w:r w:rsidRPr="00E005C8">
        <w:t>Erythrocyte distribution</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5"/>
      </w:pPr>
      <w:r w:rsidRPr="00E005C8">
        <w:t>Tissue distribution</w:t>
      </w:r>
    </w:p>
    <w:p w:rsidR="005F74D8" w:rsidRPr="00E005C8" w:rsidRDefault="005F74D8" w:rsidP="00C2531A">
      <w:pPr>
        <w:rPr>
          <w:color w:val="000000" w:themeColor="text1"/>
        </w:rPr>
      </w:pPr>
      <w:r w:rsidRPr="00E005C8">
        <w:t>No specific details provided in this Application, Hizentra</w:t>
      </w:r>
      <w:r w:rsidRPr="00E005C8">
        <w:sym w:font="Symbol" w:char="F0D2"/>
      </w:r>
      <w:r w:rsidRPr="00E005C8">
        <w:t xml:space="preserve"> is effectively passive immunity of immunoglobulins extracted and concentrated from human plasma donations. The tissue distribution is presumably as per endogenous IgG produced by the individual.</w:t>
      </w:r>
    </w:p>
    <w:p w:rsidR="005F74D8" w:rsidRPr="00E005C8" w:rsidRDefault="005F74D8" w:rsidP="00C2531A">
      <w:pPr>
        <w:pStyle w:val="Heading5"/>
      </w:pPr>
      <w:r w:rsidRPr="00E005C8">
        <w:t>Interconversion between enantiomers</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5"/>
      </w:pPr>
      <w:r w:rsidRPr="00E005C8">
        <w:t>Sites of metabolism and mechanisms / enzyme systems involved</w:t>
      </w:r>
    </w:p>
    <w:p w:rsidR="005F74D8" w:rsidRDefault="005F74D8" w:rsidP="005F74D8">
      <w:pPr>
        <w:autoSpaceDE w:val="0"/>
        <w:autoSpaceDN w:val="0"/>
        <w:adjustRightInd w:val="0"/>
        <w:rPr>
          <w:color w:val="000000" w:themeColor="text1"/>
        </w:rPr>
      </w:pPr>
      <w:r w:rsidRPr="00E005C8">
        <w:rPr>
          <w:color w:val="000000" w:themeColor="text1"/>
        </w:rPr>
        <w:t>No details given in this application, but endogenous IgG is metabolised in the liver.</w:t>
      </w:r>
    </w:p>
    <w:p w:rsidR="005F74D8" w:rsidRPr="00E005C8" w:rsidRDefault="005F74D8" w:rsidP="00C2531A">
      <w:pPr>
        <w:pStyle w:val="Heading5"/>
      </w:pPr>
      <w:r w:rsidRPr="00E005C8">
        <w:t>Non-renal clearance</w:t>
      </w:r>
    </w:p>
    <w:p w:rsidR="005F74D8" w:rsidRDefault="005F74D8" w:rsidP="005F74D8">
      <w:pPr>
        <w:autoSpaceDE w:val="0"/>
        <w:autoSpaceDN w:val="0"/>
        <w:adjustRightInd w:val="0"/>
        <w:rPr>
          <w:color w:val="000000" w:themeColor="text1"/>
        </w:rPr>
      </w:pPr>
      <w:r w:rsidRPr="00E005C8">
        <w:rPr>
          <w:color w:val="000000" w:themeColor="text1"/>
        </w:rPr>
        <w:t>No details given in this application.</w:t>
      </w:r>
    </w:p>
    <w:p w:rsidR="005F74D8" w:rsidRPr="00E005C8" w:rsidRDefault="005F74D8" w:rsidP="00C2531A">
      <w:pPr>
        <w:pStyle w:val="Heading5"/>
      </w:pPr>
      <w:r w:rsidRPr="00E005C8">
        <w:t>Metabolites identified in humans</w:t>
      </w:r>
    </w:p>
    <w:p w:rsidR="005F74D8" w:rsidRPr="00E005C8" w:rsidRDefault="005F74D8" w:rsidP="00C2531A">
      <w:pPr>
        <w:pStyle w:val="Heading6"/>
      </w:pPr>
      <w:r w:rsidRPr="00E005C8">
        <w:t>Active metabolites</w:t>
      </w:r>
    </w:p>
    <w:p w:rsidR="005F74D8" w:rsidRDefault="005F74D8" w:rsidP="005F74D8">
      <w:pPr>
        <w:rPr>
          <w:color w:val="000000" w:themeColor="text1"/>
        </w:rPr>
      </w:pPr>
      <w:r w:rsidRPr="00E005C8">
        <w:rPr>
          <w:color w:val="000000" w:themeColor="text1"/>
        </w:rPr>
        <w:t>No details given in this application, none would be expected as infused Ig will undergo the same physiologi</w:t>
      </w:r>
      <w:r w:rsidR="003D0F2B">
        <w:rPr>
          <w:color w:val="000000" w:themeColor="text1"/>
        </w:rPr>
        <w:t>cal breakdown as endogenous Ig.</w:t>
      </w:r>
    </w:p>
    <w:p w:rsidR="005F74D8" w:rsidRPr="00E005C8" w:rsidRDefault="005F74D8" w:rsidP="00C2531A">
      <w:pPr>
        <w:pStyle w:val="Heading6"/>
      </w:pPr>
      <w:r w:rsidRPr="00E005C8">
        <w:t>Other metabolites</w:t>
      </w:r>
    </w:p>
    <w:p w:rsidR="005F74D8" w:rsidRDefault="005F74D8" w:rsidP="005F74D8">
      <w:pPr>
        <w:rPr>
          <w:color w:val="000000" w:themeColor="text1"/>
        </w:rPr>
      </w:pPr>
      <w:r w:rsidRPr="00E005C8">
        <w:rPr>
          <w:color w:val="000000" w:themeColor="text1"/>
        </w:rPr>
        <w:t>Not applicable.</w:t>
      </w:r>
    </w:p>
    <w:p w:rsidR="005F74D8" w:rsidRPr="00E005C8" w:rsidRDefault="005F74D8" w:rsidP="00C2531A">
      <w:pPr>
        <w:pStyle w:val="Heading5"/>
      </w:pPr>
      <w:r w:rsidRPr="00E005C8">
        <w:t>Pharmacokinetics of metabolites</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5"/>
      </w:pPr>
      <w:r w:rsidRPr="00E005C8">
        <w:t>Consequences of genetic polymorphism</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4"/>
      </w:pPr>
      <w:bookmarkStart w:id="154" w:name="_Toc241374289"/>
      <w:bookmarkStart w:id="155" w:name="_Toc272414623"/>
      <w:bookmarkStart w:id="156" w:name="_Toc290846246"/>
      <w:bookmarkStart w:id="157" w:name="_Toc373748392"/>
      <w:r w:rsidRPr="00E005C8">
        <w:t>E</w:t>
      </w:r>
      <w:bookmarkEnd w:id="154"/>
      <w:r w:rsidRPr="00E005C8">
        <w:t>xcretion</w:t>
      </w:r>
      <w:bookmarkEnd w:id="155"/>
      <w:bookmarkEnd w:id="156"/>
      <w:bookmarkEnd w:id="157"/>
    </w:p>
    <w:p w:rsidR="005F74D8" w:rsidRPr="00E005C8" w:rsidRDefault="005F74D8" w:rsidP="00C2531A">
      <w:pPr>
        <w:pStyle w:val="Heading5"/>
      </w:pPr>
      <w:r w:rsidRPr="00E005C8">
        <w:t>Routes and mechanisms of excretion</w:t>
      </w:r>
    </w:p>
    <w:p w:rsidR="005F74D8" w:rsidRPr="00E005C8" w:rsidRDefault="005F74D8" w:rsidP="00C2531A">
      <w:pPr>
        <w:pStyle w:val="Heading5"/>
      </w:pPr>
      <w:r w:rsidRPr="00E005C8">
        <w:t>Mass balance studies</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5"/>
      </w:pPr>
      <w:r w:rsidRPr="00E005C8">
        <w:lastRenderedPageBreak/>
        <w:t>Renal clearance</w:t>
      </w:r>
    </w:p>
    <w:p w:rsidR="005F74D8" w:rsidRDefault="005F74D8" w:rsidP="005F74D8">
      <w:pPr>
        <w:autoSpaceDE w:val="0"/>
        <w:autoSpaceDN w:val="0"/>
        <w:adjustRightInd w:val="0"/>
        <w:rPr>
          <w:color w:val="000000" w:themeColor="text1"/>
        </w:rPr>
      </w:pPr>
      <w:r w:rsidRPr="00E005C8">
        <w:rPr>
          <w:color w:val="000000" w:themeColor="text1"/>
        </w:rPr>
        <w:t>Not applicable.</w:t>
      </w:r>
    </w:p>
    <w:p w:rsidR="005F74D8" w:rsidRPr="00E005C8" w:rsidRDefault="005F74D8" w:rsidP="00C2531A">
      <w:pPr>
        <w:pStyle w:val="Heading4"/>
      </w:pPr>
      <w:bookmarkStart w:id="158" w:name="_Toc241374291"/>
      <w:bookmarkStart w:id="159" w:name="_Toc272414624"/>
      <w:bookmarkStart w:id="160" w:name="_Toc290846247"/>
      <w:bookmarkStart w:id="161" w:name="_Toc373748393"/>
      <w:r w:rsidRPr="00E005C8">
        <w:t>Intra- and inter-individual variability</w:t>
      </w:r>
      <w:bookmarkEnd w:id="158"/>
      <w:r w:rsidRPr="00E005C8">
        <w:t xml:space="preserve"> of pharmacokinetics</w:t>
      </w:r>
      <w:bookmarkEnd w:id="159"/>
      <w:bookmarkEnd w:id="160"/>
      <w:bookmarkEnd w:id="161"/>
    </w:p>
    <w:p w:rsidR="005F74D8" w:rsidRDefault="005F74D8" w:rsidP="005F74D8">
      <w:pPr>
        <w:autoSpaceDE w:val="0"/>
        <w:autoSpaceDN w:val="0"/>
        <w:adjustRightInd w:val="0"/>
        <w:rPr>
          <w:color w:val="000000" w:themeColor="text1"/>
        </w:rPr>
      </w:pPr>
      <w:r w:rsidRPr="00E005C8">
        <w:rPr>
          <w:color w:val="000000" w:themeColor="text1"/>
        </w:rPr>
        <w:t>Not assessed in this application. This would be hard to assess between individuals due to the different am</w:t>
      </w:r>
      <w:r>
        <w:rPr>
          <w:color w:val="000000" w:themeColor="text1"/>
        </w:rPr>
        <w:t>ounts of endogenous production o</w:t>
      </w:r>
      <w:r w:rsidRPr="00E005C8">
        <w:rPr>
          <w:color w:val="000000" w:themeColor="text1"/>
        </w:rPr>
        <w:t xml:space="preserve">f IgG and the </w:t>
      </w:r>
      <w:r>
        <w:rPr>
          <w:color w:val="000000" w:themeColor="text1"/>
        </w:rPr>
        <w:t xml:space="preserve">consequent variable </w:t>
      </w:r>
      <w:r w:rsidRPr="00E005C8">
        <w:rPr>
          <w:color w:val="000000" w:themeColor="text1"/>
        </w:rPr>
        <w:t xml:space="preserve">dosing </w:t>
      </w:r>
      <w:r>
        <w:rPr>
          <w:color w:val="000000" w:themeColor="text1"/>
        </w:rPr>
        <w:t xml:space="preserve">to achieve “target” IgG </w:t>
      </w:r>
      <w:r w:rsidR="003D0F2B">
        <w:rPr>
          <w:color w:val="000000" w:themeColor="text1"/>
        </w:rPr>
        <w:t>in that individual.</w:t>
      </w:r>
    </w:p>
    <w:p w:rsidR="005F74D8" w:rsidRPr="00E005C8" w:rsidRDefault="005F74D8" w:rsidP="00C2531A">
      <w:pPr>
        <w:pStyle w:val="Heading3"/>
      </w:pPr>
      <w:bookmarkStart w:id="162" w:name="_Toc241374292"/>
      <w:bookmarkStart w:id="163" w:name="_Ref271189131"/>
      <w:bookmarkStart w:id="164" w:name="_Ref271189136"/>
      <w:bookmarkStart w:id="165" w:name="_Toc272414625"/>
      <w:bookmarkStart w:id="166" w:name="_Toc290846248"/>
      <w:bookmarkStart w:id="167" w:name="_Toc373748394"/>
      <w:bookmarkStart w:id="168" w:name="_Toc392757294"/>
      <w:r w:rsidRPr="00E005C8">
        <w:t>Pharmacokinetics in the target population</w:t>
      </w:r>
      <w:bookmarkEnd w:id="162"/>
      <w:bookmarkEnd w:id="163"/>
      <w:bookmarkEnd w:id="164"/>
      <w:bookmarkEnd w:id="165"/>
      <w:bookmarkEnd w:id="166"/>
      <w:bookmarkEnd w:id="167"/>
      <w:bookmarkEnd w:id="168"/>
    </w:p>
    <w:p w:rsidR="005F74D8" w:rsidRDefault="005F74D8" w:rsidP="005F74D8">
      <w:pPr>
        <w:autoSpaceDE w:val="0"/>
        <w:autoSpaceDN w:val="0"/>
        <w:adjustRightInd w:val="0"/>
        <w:rPr>
          <w:color w:val="000000" w:themeColor="text1"/>
        </w:rPr>
      </w:pPr>
      <w:r w:rsidRPr="00E005C8">
        <w:rPr>
          <w:color w:val="000000" w:themeColor="text1"/>
        </w:rPr>
        <w:t xml:space="preserve">PK in the </w:t>
      </w:r>
      <w:r>
        <w:rPr>
          <w:color w:val="000000" w:themeColor="text1"/>
        </w:rPr>
        <w:t xml:space="preserve">population target (children </w:t>
      </w:r>
      <w:r w:rsidR="00C2531A">
        <w:rPr>
          <w:color w:val="000000" w:themeColor="text1"/>
        </w:rPr>
        <w:t>and</w:t>
      </w:r>
      <w:r>
        <w:rPr>
          <w:color w:val="000000" w:themeColor="text1"/>
        </w:rPr>
        <w:t xml:space="preserve"> </w:t>
      </w:r>
      <w:r w:rsidRPr="00E005C8">
        <w:rPr>
          <w:color w:val="000000" w:themeColor="text1"/>
        </w:rPr>
        <w:t xml:space="preserve">adults with PID) was only assessed in </w:t>
      </w:r>
      <w:r>
        <w:rPr>
          <w:color w:val="000000" w:themeColor="text1"/>
        </w:rPr>
        <w:t xml:space="preserve">PID </w:t>
      </w:r>
      <w:r w:rsidRPr="00E005C8">
        <w:rPr>
          <w:color w:val="000000" w:themeColor="text1"/>
        </w:rPr>
        <w:t>pat</w:t>
      </w:r>
      <w:r>
        <w:rPr>
          <w:color w:val="000000" w:themeColor="text1"/>
        </w:rPr>
        <w:t>ients already stable on</w:t>
      </w:r>
      <w:r w:rsidRPr="00E005C8">
        <w:rPr>
          <w:color w:val="000000" w:themeColor="text1"/>
        </w:rPr>
        <w:t xml:space="preserve"> </w:t>
      </w:r>
      <w:r>
        <w:rPr>
          <w:color w:val="000000" w:themeColor="text1"/>
        </w:rPr>
        <w:t xml:space="preserve">IVIG (Japan </w:t>
      </w:r>
      <w:r w:rsidR="00C2531A">
        <w:rPr>
          <w:color w:val="000000" w:themeColor="text1"/>
        </w:rPr>
        <w:t>and</w:t>
      </w:r>
      <w:r>
        <w:rPr>
          <w:color w:val="000000" w:themeColor="text1"/>
        </w:rPr>
        <w:t xml:space="preserve"> </w:t>
      </w:r>
      <w:r w:rsidRPr="00E005C8">
        <w:rPr>
          <w:color w:val="000000" w:themeColor="text1"/>
        </w:rPr>
        <w:t xml:space="preserve">US pivotal studies) or IVIG </w:t>
      </w:r>
      <w:r w:rsidRPr="00C2531A">
        <w:rPr>
          <w:color w:val="000000" w:themeColor="text1"/>
        </w:rPr>
        <w:t xml:space="preserve">or </w:t>
      </w:r>
      <w:r>
        <w:rPr>
          <w:color w:val="000000" w:themeColor="text1"/>
        </w:rPr>
        <w:t xml:space="preserve">SCIG in the EU pivotal study. No data on PK was provided for </w:t>
      </w:r>
      <w:r w:rsidRPr="00E005C8">
        <w:rPr>
          <w:color w:val="000000" w:themeColor="text1"/>
        </w:rPr>
        <w:t>PID patient</w:t>
      </w:r>
      <w:r>
        <w:rPr>
          <w:color w:val="000000" w:themeColor="text1"/>
        </w:rPr>
        <w:t>s</w:t>
      </w:r>
      <w:r w:rsidRPr="00E005C8">
        <w:rPr>
          <w:color w:val="000000" w:themeColor="text1"/>
        </w:rPr>
        <w:t xml:space="preserve"> starting SC Hizentra</w:t>
      </w:r>
      <w:r w:rsidRPr="00E005C8">
        <w:rPr>
          <w:color w:val="000000" w:themeColor="text1"/>
        </w:rPr>
        <w:sym w:font="Symbol" w:char="F0D2"/>
      </w:r>
      <w:r w:rsidRPr="00E005C8">
        <w:rPr>
          <w:color w:val="000000" w:themeColor="text1"/>
        </w:rPr>
        <w:t xml:space="preserve"> as de novo Ig replacement. Patients in the Pivotal studies previously maintained on stable IVIG or SCIG acted as their own controls</w:t>
      </w:r>
      <w:r>
        <w:rPr>
          <w:color w:val="000000" w:themeColor="text1"/>
        </w:rPr>
        <w:t xml:space="preserve"> in regards to trough IgG levels prior to Hizentra</w:t>
      </w:r>
      <w:r>
        <w:rPr>
          <w:color w:val="000000" w:themeColor="text1"/>
        </w:rPr>
        <w:sym w:font="Symbol" w:char="F0D2"/>
      </w:r>
      <w:r>
        <w:rPr>
          <w:color w:val="000000" w:themeColor="text1"/>
        </w:rPr>
        <w:t xml:space="preserve"> dosing</w:t>
      </w:r>
      <w:r w:rsidRPr="00E005C8">
        <w:rPr>
          <w:color w:val="000000" w:themeColor="text1"/>
        </w:rPr>
        <w:t>.</w:t>
      </w:r>
    </w:p>
    <w:p w:rsidR="005F74D8" w:rsidRPr="00C2531A" w:rsidRDefault="005F74D8" w:rsidP="00C2531A">
      <w:pPr>
        <w:pStyle w:val="TableTitle"/>
      </w:pPr>
      <w:r w:rsidRPr="00C2531A">
        <w:t>Table 2</w:t>
      </w:r>
      <w:r w:rsidR="0049599C">
        <w:t>a</w:t>
      </w:r>
      <w:r w:rsidRPr="00C2531A">
        <w:t>: Overview of the Human PK Studies Conducted with IgPro20</w:t>
      </w:r>
    </w:p>
    <w:p w:rsidR="005F74D8" w:rsidRDefault="00BF6870" w:rsidP="005F74D8">
      <w:pPr>
        <w:autoSpaceDE w:val="0"/>
        <w:autoSpaceDN w:val="0"/>
        <w:adjustRightInd w:val="0"/>
        <w:rPr>
          <w:color w:val="000000" w:themeColor="text1"/>
        </w:rPr>
      </w:pPr>
      <w:r>
        <w:rPr>
          <w:noProof/>
          <w:color w:val="000000" w:themeColor="text1"/>
          <w:lang w:eastAsia="en-AU"/>
        </w:rPr>
        <w:drawing>
          <wp:inline distT="0" distB="0" distL="0" distR="0" wp14:anchorId="4B149B0B" wp14:editId="708CE277">
            <wp:extent cx="4305300" cy="3760579"/>
            <wp:effectExtent l="0" t="0" r="0" b="0"/>
            <wp:docPr id="1" name="Picture 1" descr="Table 2a: Overview of the Human PK Studies Conducted with IgPr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3393" cy="3758913"/>
                    </a:xfrm>
                    <a:prstGeom prst="rect">
                      <a:avLst/>
                    </a:prstGeom>
                  </pic:spPr>
                </pic:pic>
              </a:graphicData>
            </a:graphic>
          </wp:inline>
        </w:drawing>
      </w:r>
    </w:p>
    <w:p w:rsidR="005F74D8" w:rsidRDefault="005F74D8" w:rsidP="003D0F2B">
      <w:r w:rsidRPr="00E005C8">
        <w:t>The mean of the individual median IgG C</w:t>
      </w:r>
      <w:r w:rsidRPr="00E005C8">
        <w:rPr>
          <w:vertAlign w:val="subscript"/>
        </w:rPr>
        <w:t>trough</w:t>
      </w:r>
      <w:r w:rsidRPr="00E005C8">
        <w:t xml:space="preserve"> values during steady-state IgPro20 treatment</w:t>
      </w:r>
      <w:r>
        <w:t xml:space="preserve"> </w:t>
      </w:r>
      <w:r w:rsidRPr="00E005C8">
        <w:t xml:space="preserve">was 7.15 g/L in the Japan pivotal study </w:t>
      </w:r>
      <w:r w:rsidRPr="00E005C8">
        <w:rPr>
          <w:b/>
        </w:rPr>
        <w:t>ZLB06_002CR</w:t>
      </w:r>
      <w:r w:rsidRPr="00E005C8">
        <w:t>. The corresponding values were</w:t>
      </w:r>
      <w:r>
        <w:t xml:space="preserve"> </w:t>
      </w:r>
      <w:r w:rsidRPr="00E005C8">
        <w:t xml:space="preserve">8.10 g/L in the EU Pivotal </w:t>
      </w:r>
      <w:r w:rsidRPr="00E005C8">
        <w:rPr>
          <w:b/>
        </w:rPr>
        <w:t>ZLB06_001CR</w:t>
      </w:r>
      <w:r w:rsidRPr="00E005C8">
        <w:t xml:space="preserve"> and 12.53 g/L in the US pivotal study </w:t>
      </w:r>
      <w:r w:rsidRPr="00E005C8">
        <w:rPr>
          <w:b/>
        </w:rPr>
        <w:t>ZLB04_009CR</w:t>
      </w:r>
      <w:r w:rsidRPr="00E005C8">
        <w:t>, reflecting the higher mean dose given in these studies. The C</w:t>
      </w:r>
      <w:r w:rsidRPr="00E005C8">
        <w:rPr>
          <w:vertAlign w:val="subscript"/>
        </w:rPr>
        <w:t>trough</w:t>
      </w:r>
      <w:r w:rsidRPr="00E005C8">
        <w:t xml:space="preserve"> </w:t>
      </w:r>
      <w:r>
        <w:t xml:space="preserve">values in </w:t>
      </w:r>
      <w:r w:rsidRPr="00290A22">
        <w:rPr>
          <w:b/>
        </w:rPr>
        <w:t>ZLB06_002CR and ZLB06_001CR</w:t>
      </w:r>
      <w:r w:rsidRPr="00E005C8">
        <w:t xml:space="preserve"> </w:t>
      </w:r>
      <w:r>
        <w:t xml:space="preserve">were comparable to </w:t>
      </w:r>
      <w:r w:rsidRPr="00E005C8">
        <w:t>values achieved</w:t>
      </w:r>
      <w:r>
        <w:t xml:space="preserve"> </w:t>
      </w:r>
      <w:r w:rsidRPr="00E005C8">
        <w:t>at the recommended doses for other SCIG products licensed in</w:t>
      </w:r>
      <w:r>
        <w:t xml:space="preserve"> the EU</w:t>
      </w:r>
      <w:r w:rsidRPr="00E005C8">
        <w:t>, according to the</w:t>
      </w:r>
      <w:r>
        <w:t xml:space="preserve">ir </w:t>
      </w:r>
      <w:r w:rsidRPr="00E005C8">
        <w:t>SPCs (Vivaglobin: 8 to 9 g/L; Subcuvia:</w:t>
      </w:r>
      <w:r>
        <w:t xml:space="preserve"> 7.2 to 7.9 g/L; no data quoted </w:t>
      </w:r>
      <w:r w:rsidRPr="00E005C8">
        <w:t>for Subgam</w:t>
      </w:r>
      <w:r>
        <w:t xml:space="preserve"> </w:t>
      </w:r>
      <w:r w:rsidR="00C2531A">
        <w:t>and</w:t>
      </w:r>
      <w:r>
        <w:t xml:space="preserve"> </w:t>
      </w:r>
      <w:r w:rsidRPr="00E005C8">
        <w:t>Gammanorm).</w:t>
      </w:r>
      <w:r w:rsidR="000D6A22">
        <w:t xml:space="preserve"> </w:t>
      </w:r>
      <w:r>
        <w:t>R</w:t>
      </w:r>
      <w:r w:rsidRPr="00E005C8">
        <w:t>atios of the individual IgG subclasses contributing to total IgG at steady-state and measurement of specific IgGs were only evaluated in the European and US studies</w:t>
      </w:r>
      <w:r>
        <w:t xml:space="preserve"> </w:t>
      </w:r>
      <w:r w:rsidRPr="000F526B">
        <w:rPr>
          <w:b/>
        </w:rPr>
        <w:t>ZLB06_001CR and ZLB04_009CR</w:t>
      </w:r>
      <w:r w:rsidRPr="00E005C8">
        <w:t>. Measured values in these stu</w:t>
      </w:r>
      <w:r>
        <w:t xml:space="preserve">dies </w:t>
      </w:r>
      <w:r w:rsidRPr="00E005C8">
        <w:t>generally within the range of physiological IgG subclasses ratios reported in the</w:t>
      </w:r>
      <w:r>
        <w:t xml:space="preserve"> </w:t>
      </w:r>
      <w:r w:rsidRPr="00E005C8">
        <w:t>literature (</w:t>
      </w:r>
      <w:r w:rsidRPr="005F74D8">
        <w:rPr>
          <w:highlight w:val="lightGray"/>
        </w:rPr>
        <w:t>French; Shakib and Stanworth</w:t>
      </w:r>
      <w:r w:rsidRPr="00E005C8">
        <w:t>).</w:t>
      </w:r>
    </w:p>
    <w:p w:rsidR="005F74D8" w:rsidRDefault="005F74D8" w:rsidP="005F74D8">
      <w:pPr>
        <w:autoSpaceDE w:val="0"/>
        <w:autoSpaceDN w:val="0"/>
        <w:adjustRightInd w:val="0"/>
        <w:rPr>
          <w:color w:val="000000" w:themeColor="text1"/>
        </w:rPr>
      </w:pPr>
      <w:r w:rsidRPr="00E005C8">
        <w:rPr>
          <w:color w:val="000000" w:themeColor="text1"/>
        </w:rPr>
        <w:lastRenderedPageBreak/>
        <w:t xml:space="preserve">This indicates that IgPro20 treatment should provide protection against a range of different types of infection comparable to protection in healthy people. One possible exception was proportionally lower levels of </w:t>
      </w:r>
      <w:r>
        <w:rPr>
          <w:color w:val="000000" w:themeColor="text1"/>
        </w:rPr>
        <w:t xml:space="preserve">Ig </w:t>
      </w:r>
      <w:r w:rsidRPr="00E005C8">
        <w:rPr>
          <w:color w:val="000000" w:themeColor="text1"/>
        </w:rPr>
        <w:t xml:space="preserve">G4 (IgG4) in study </w:t>
      </w:r>
      <w:r w:rsidRPr="00E005C8">
        <w:rPr>
          <w:b/>
          <w:color w:val="000000" w:themeColor="text1"/>
        </w:rPr>
        <w:t>ZLB06_001CR</w:t>
      </w:r>
      <w:r w:rsidRPr="00E005C8">
        <w:rPr>
          <w:color w:val="000000" w:themeColor="text1"/>
        </w:rPr>
        <w:t xml:space="preserve"> compared to somewhat higher than normal values in study </w:t>
      </w:r>
      <w:r w:rsidRPr="00E005C8">
        <w:rPr>
          <w:b/>
          <w:color w:val="000000" w:themeColor="text1"/>
        </w:rPr>
        <w:t>ZLB04_009CR.</w:t>
      </w:r>
      <w:r w:rsidR="000D6A22">
        <w:rPr>
          <w:color w:val="000000" w:themeColor="text1"/>
        </w:rPr>
        <w:t xml:space="preserve"> </w:t>
      </w:r>
      <w:r w:rsidRPr="00E005C8">
        <w:rPr>
          <w:color w:val="000000" w:themeColor="text1"/>
        </w:rPr>
        <w:t>However, IgG4 represents only a small fraction of the total IgG, its function is uncertain, and</w:t>
      </w:r>
      <w:r>
        <w:rPr>
          <w:color w:val="000000" w:themeColor="text1"/>
        </w:rPr>
        <w:t xml:space="preserve"> </w:t>
      </w:r>
      <w:r w:rsidRPr="00E005C8">
        <w:rPr>
          <w:color w:val="000000" w:themeColor="text1"/>
        </w:rPr>
        <w:t>low IgG4 levels are not associated with immunodeficiency (</w:t>
      </w:r>
      <w:r w:rsidRPr="005F74D8">
        <w:rPr>
          <w:color w:val="000000" w:themeColor="text1"/>
          <w:highlight w:val="lightGray"/>
        </w:rPr>
        <w:t>Aalberse et al. 2009</w:t>
      </w:r>
      <w:r w:rsidRPr="00E005C8">
        <w:rPr>
          <w:color w:val="000000" w:themeColor="text1"/>
        </w:rPr>
        <w:t>).</w:t>
      </w:r>
      <w:r>
        <w:rPr>
          <w:color w:val="000000" w:themeColor="text1"/>
        </w:rPr>
        <w:t xml:space="preserve"> </w:t>
      </w:r>
      <w:r w:rsidRPr="00E005C8">
        <w:rPr>
          <w:color w:val="000000" w:themeColor="text1"/>
        </w:rPr>
        <w:t xml:space="preserve">In the EU and US pivotal studies, the serum </w:t>
      </w:r>
      <w:r w:rsidR="003944A8">
        <w:rPr>
          <w:color w:val="000000" w:themeColor="text1"/>
        </w:rPr>
        <w:t>concentrations</w:t>
      </w:r>
      <w:r w:rsidRPr="00E005C8">
        <w:rPr>
          <w:color w:val="000000" w:themeColor="text1"/>
        </w:rPr>
        <w:t xml:space="preserve"> of total serum IgG, IgG</w:t>
      </w:r>
      <w:r>
        <w:rPr>
          <w:color w:val="000000" w:themeColor="text1"/>
        </w:rPr>
        <w:t xml:space="preserve"> </w:t>
      </w:r>
      <w:r w:rsidRPr="00E005C8">
        <w:rPr>
          <w:color w:val="000000" w:themeColor="text1"/>
        </w:rPr>
        <w:t xml:space="preserve">subclasses, and specific IgGs were stable throughout the dosing interval. The changes in serum </w:t>
      </w:r>
      <w:r w:rsidR="003944A8">
        <w:rPr>
          <w:color w:val="000000" w:themeColor="text1"/>
        </w:rPr>
        <w:t>concentrations</w:t>
      </w:r>
      <w:r w:rsidRPr="00E005C8">
        <w:rPr>
          <w:color w:val="000000" w:themeColor="text1"/>
        </w:rPr>
        <w:t xml:space="preserve"> of specific IgGs over time were low</w:t>
      </w:r>
      <w:r>
        <w:rPr>
          <w:color w:val="000000" w:themeColor="text1"/>
        </w:rPr>
        <w:t xml:space="preserve"> and generally comparable to </w:t>
      </w:r>
      <w:r w:rsidRPr="00E005C8">
        <w:rPr>
          <w:color w:val="000000" w:themeColor="text1"/>
        </w:rPr>
        <w:t>changes in total serum IgG and IgG subclasses. This is confirmed by the fact that IgPro20 provides antibodies to a range of infection types (anti-mea</w:t>
      </w:r>
      <w:r>
        <w:rPr>
          <w:color w:val="000000" w:themeColor="text1"/>
        </w:rPr>
        <w:t>sles, anti-cytomegalovirus</w:t>
      </w:r>
      <w:r w:rsidRPr="00E005C8">
        <w:rPr>
          <w:color w:val="000000" w:themeColor="text1"/>
        </w:rPr>
        <w:t>, anti-Haemophilus influenzae type B, anti-tetanus, and anti-</w:t>
      </w:r>
      <w:r w:rsidRPr="00593E02">
        <w:rPr>
          <w:i/>
          <w:color w:val="000000" w:themeColor="text1"/>
        </w:rPr>
        <w:t>Streptococcus pneumoniae</w:t>
      </w:r>
      <w:r>
        <w:rPr>
          <w:color w:val="000000" w:themeColor="text1"/>
        </w:rPr>
        <w:t>) (</w:t>
      </w:r>
      <w:r w:rsidRPr="005F74D8">
        <w:rPr>
          <w:color w:val="000000" w:themeColor="text1"/>
          <w:highlight w:val="lightGray"/>
        </w:rPr>
        <w:t>ACIP</w:t>
      </w:r>
      <w:r>
        <w:rPr>
          <w:color w:val="000000" w:themeColor="text1"/>
        </w:rPr>
        <w:t>)</w:t>
      </w:r>
      <w:r w:rsidR="003D0F2B">
        <w:rPr>
          <w:color w:val="000000" w:themeColor="text1"/>
        </w:rPr>
        <w:t>.</w:t>
      </w:r>
    </w:p>
    <w:p w:rsidR="005F74D8" w:rsidRDefault="005F74D8" w:rsidP="005F74D8">
      <w:pPr>
        <w:autoSpaceDE w:val="0"/>
        <w:autoSpaceDN w:val="0"/>
        <w:adjustRightInd w:val="0"/>
        <w:rPr>
          <w:color w:val="000000" w:themeColor="text1"/>
        </w:rPr>
      </w:pPr>
      <w:r w:rsidRPr="00E005C8">
        <w:rPr>
          <w:color w:val="000000" w:themeColor="text1"/>
        </w:rPr>
        <w:t xml:space="preserve">As expected, lower serum </w:t>
      </w:r>
      <w:r>
        <w:rPr>
          <w:color w:val="000000" w:themeColor="text1"/>
        </w:rPr>
        <w:t>conc</w:t>
      </w:r>
      <w:r w:rsidR="003944A8">
        <w:rPr>
          <w:color w:val="000000" w:themeColor="text1"/>
        </w:rPr>
        <w:t>entrations</w:t>
      </w:r>
      <w:r w:rsidRPr="00E005C8">
        <w:rPr>
          <w:color w:val="000000" w:themeColor="text1"/>
        </w:rPr>
        <w:t xml:space="preserve"> for IgG subclasses and specific IgGs were generally observed in </w:t>
      </w:r>
      <w:r w:rsidRPr="000F526B">
        <w:rPr>
          <w:b/>
          <w:color w:val="000000" w:themeColor="text1"/>
        </w:rPr>
        <w:t>study ZLB06_001CR</w:t>
      </w:r>
      <w:r w:rsidRPr="00E005C8">
        <w:rPr>
          <w:color w:val="000000" w:themeColor="text1"/>
        </w:rPr>
        <w:t xml:space="preserve"> than in study </w:t>
      </w:r>
      <w:r w:rsidRPr="000F526B">
        <w:rPr>
          <w:b/>
          <w:color w:val="000000" w:themeColor="text1"/>
        </w:rPr>
        <w:t>ZLB04_009CR</w:t>
      </w:r>
      <w:r w:rsidRPr="00E005C8">
        <w:rPr>
          <w:color w:val="000000" w:themeColor="text1"/>
        </w:rPr>
        <w:t xml:space="preserve">, </w:t>
      </w:r>
      <w:r>
        <w:rPr>
          <w:color w:val="000000" w:themeColor="text1"/>
        </w:rPr>
        <w:t xml:space="preserve">reflecting the </w:t>
      </w:r>
      <w:r w:rsidRPr="00E005C8">
        <w:rPr>
          <w:color w:val="000000" w:themeColor="text1"/>
        </w:rPr>
        <w:t xml:space="preserve">lower total IgG levels </w:t>
      </w:r>
      <w:r>
        <w:rPr>
          <w:color w:val="000000" w:themeColor="text1"/>
        </w:rPr>
        <w:t xml:space="preserve">in the former due to </w:t>
      </w:r>
      <w:r w:rsidRPr="00E005C8">
        <w:rPr>
          <w:color w:val="000000" w:themeColor="text1"/>
        </w:rPr>
        <w:t>lower IgPro20 do</w:t>
      </w:r>
      <w:r>
        <w:rPr>
          <w:color w:val="000000" w:themeColor="text1"/>
        </w:rPr>
        <w:t>sing.</w:t>
      </w:r>
    </w:p>
    <w:p w:rsidR="005F74D8" w:rsidRPr="007E7F95" w:rsidRDefault="005F74D8" w:rsidP="003D0F2B">
      <w:pPr>
        <w:pStyle w:val="TableTitle"/>
      </w:pPr>
      <w:r w:rsidRPr="007E7F95">
        <w:t xml:space="preserve">Table </w:t>
      </w:r>
      <w:r w:rsidR="0049599C">
        <w:t>2b</w:t>
      </w:r>
      <w:r w:rsidRPr="007E7F95">
        <w:t>. Steady-state Pharmacokinetics of Serum IgG During IgPro20 Treatment, PPK Population (Studies ZLB06_002CR and ZLB0</w:t>
      </w:r>
      <w:r w:rsidR="003944A8">
        <w:t>6_001CR)</w:t>
      </w:r>
    </w:p>
    <w:p w:rsidR="005F74D8" w:rsidRPr="00E005C8" w:rsidRDefault="00BF6870" w:rsidP="005F74D8">
      <w:pPr>
        <w:autoSpaceDE w:val="0"/>
        <w:autoSpaceDN w:val="0"/>
        <w:adjustRightInd w:val="0"/>
        <w:rPr>
          <w:color w:val="000000" w:themeColor="text1"/>
        </w:rPr>
      </w:pPr>
      <w:r>
        <w:rPr>
          <w:noProof/>
          <w:color w:val="000000" w:themeColor="text1"/>
          <w:lang w:eastAsia="en-AU"/>
        </w:rPr>
        <w:drawing>
          <wp:inline distT="0" distB="0" distL="0" distR="0" wp14:anchorId="67D8D787" wp14:editId="04D15041">
            <wp:extent cx="4171950" cy="2319856"/>
            <wp:effectExtent l="0" t="0" r="0" b="0"/>
            <wp:docPr id="2" name="Picture 2" descr="Table 2b. Steady-state Pharmacokinetics of Serum IgG During IgPro20 Treatment, PPK Population (Studies ZLB06_002CR and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0102" cy="2318829"/>
                    </a:xfrm>
                    <a:prstGeom prst="rect">
                      <a:avLst/>
                    </a:prstGeom>
                  </pic:spPr>
                </pic:pic>
              </a:graphicData>
            </a:graphic>
          </wp:inline>
        </w:drawing>
      </w:r>
    </w:p>
    <w:p w:rsidR="005F74D8" w:rsidRDefault="005F74D8" w:rsidP="003D0F2B">
      <w:r w:rsidRPr="00E005C8">
        <w:rPr>
          <w:b/>
        </w:rPr>
        <w:t>L-proline:</w:t>
      </w:r>
      <w:r w:rsidRPr="00E005C8">
        <w:t xml:space="preserve"> Serum L-proline was rapidly eliminated from the circulation in the</w:t>
      </w:r>
      <w:r>
        <w:t xml:space="preserve"> EU</w:t>
      </w:r>
      <w:r w:rsidRPr="00E005C8">
        <w:t xml:space="preserve"> and US pivotal studies </w:t>
      </w:r>
      <w:r w:rsidRPr="00E005C8">
        <w:rPr>
          <w:b/>
        </w:rPr>
        <w:t>ZLB06_001CR and ZLB04_009CR</w:t>
      </w:r>
      <w:r>
        <w:t xml:space="preserve">. One day post </w:t>
      </w:r>
      <w:r w:rsidRPr="00E005C8">
        <w:t>IgPro20 at steady-state</w:t>
      </w:r>
      <w:r>
        <w:t xml:space="preserve"> (W</w:t>
      </w:r>
      <w:r w:rsidR="003944A8">
        <w:t>ee</w:t>
      </w:r>
      <w:r>
        <w:t xml:space="preserve">k 28 </w:t>
      </w:r>
      <w:r w:rsidR="003944A8">
        <w:t>±</w:t>
      </w:r>
      <w:r>
        <w:t xml:space="preserve"> 1), serum L-proline conc</w:t>
      </w:r>
      <w:r w:rsidR="003944A8">
        <w:t>entratio</w:t>
      </w:r>
      <w:r w:rsidRPr="00E005C8">
        <w:t xml:space="preserve">n had returned to </w:t>
      </w:r>
      <w:r w:rsidR="003944A8">
        <w:t xml:space="preserve">approximately </w:t>
      </w:r>
      <w:r>
        <w:t xml:space="preserve">pre-infusion levels, indicating rapid elimination and </w:t>
      </w:r>
      <w:r w:rsidRPr="00E005C8">
        <w:t xml:space="preserve">lack of </w:t>
      </w:r>
      <w:r>
        <w:t>accumulation</w:t>
      </w:r>
      <w:r w:rsidRPr="00E005C8">
        <w:t>. These observations confirmed the expected sa</w:t>
      </w:r>
      <w:r w:rsidR="003D0F2B">
        <w:t>fety with respect to L-proline.</w:t>
      </w:r>
    </w:p>
    <w:p w:rsidR="005F74D8" w:rsidRPr="00E005C8" w:rsidRDefault="005F74D8" w:rsidP="003944A8">
      <w:pPr>
        <w:pStyle w:val="Heading3"/>
      </w:pPr>
      <w:bookmarkStart w:id="169" w:name="_Toc241374293"/>
      <w:bookmarkStart w:id="170" w:name="_Toc272414626"/>
      <w:bookmarkStart w:id="171" w:name="_Toc290846249"/>
      <w:bookmarkStart w:id="172" w:name="_Toc373748395"/>
      <w:bookmarkStart w:id="173" w:name="_Toc392757295"/>
      <w:r w:rsidRPr="00E005C8">
        <w:t>Pharmacokinetics in other special populations</w:t>
      </w:r>
      <w:bookmarkEnd w:id="169"/>
      <w:bookmarkEnd w:id="170"/>
      <w:bookmarkEnd w:id="171"/>
      <w:bookmarkEnd w:id="172"/>
      <w:bookmarkEnd w:id="173"/>
    </w:p>
    <w:p w:rsidR="005F74D8" w:rsidRPr="00E005C8" w:rsidRDefault="005F74D8" w:rsidP="003944A8">
      <w:pPr>
        <w:pStyle w:val="Heading4"/>
      </w:pPr>
      <w:bookmarkStart w:id="174" w:name="_Toc272414627"/>
      <w:bookmarkStart w:id="175" w:name="_Toc290846250"/>
      <w:bookmarkStart w:id="176" w:name="_Toc373748396"/>
      <w:r w:rsidRPr="00E005C8">
        <w:t>Pharmacokinetics in subjects with impaired hepatic function</w:t>
      </w:r>
      <w:bookmarkEnd w:id="174"/>
      <w:bookmarkEnd w:id="175"/>
      <w:bookmarkEnd w:id="176"/>
    </w:p>
    <w:p w:rsidR="005F74D8" w:rsidRDefault="005F74D8" w:rsidP="005F74D8">
      <w:pPr>
        <w:autoSpaceDE w:val="0"/>
        <w:autoSpaceDN w:val="0"/>
        <w:adjustRightInd w:val="0"/>
        <w:rPr>
          <w:bCs/>
          <w:color w:val="000000" w:themeColor="text1"/>
        </w:rPr>
      </w:pPr>
      <w:r w:rsidRPr="00E005C8">
        <w:rPr>
          <w:bCs/>
          <w:color w:val="000000" w:themeColor="text1"/>
        </w:rPr>
        <w:t>Not assessed.</w:t>
      </w:r>
    </w:p>
    <w:p w:rsidR="005F74D8" w:rsidRPr="00E005C8" w:rsidRDefault="005F74D8" w:rsidP="003944A8">
      <w:pPr>
        <w:pStyle w:val="Heading4"/>
      </w:pPr>
      <w:bookmarkStart w:id="177" w:name="_Toc272414628"/>
      <w:bookmarkStart w:id="178" w:name="_Toc290846251"/>
      <w:bookmarkStart w:id="179" w:name="_Toc373748397"/>
      <w:r w:rsidRPr="00E005C8">
        <w:t>Pharmacokinetics in subjects with impaired renal function</w:t>
      </w:r>
      <w:bookmarkEnd w:id="177"/>
      <w:bookmarkEnd w:id="178"/>
      <w:bookmarkEnd w:id="179"/>
    </w:p>
    <w:p w:rsidR="005F74D8" w:rsidRDefault="005F74D8" w:rsidP="005F74D8">
      <w:pPr>
        <w:autoSpaceDE w:val="0"/>
        <w:autoSpaceDN w:val="0"/>
        <w:adjustRightInd w:val="0"/>
        <w:rPr>
          <w:bCs/>
          <w:color w:val="000000" w:themeColor="text1"/>
        </w:rPr>
      </w:pPr>
      <w:r w:rsidRPr="00E005C8">
        <w:rPr>
          <w:bCs/>
          <w:color w:val="000000" w:themeColor="text1"/>
        </w:rPr>
        <w:t>Not assessed.</w:t>
      </w:r>
    </w:p>
    <w:p w:rsidR="005F74D8" w:rsidRPr="00E005C8" w:rsidRDefault="005F74D8" w:rsidP="003944A8">
      <w:pPr>
        <w:pStyle w:val="Heading4"/>
      </w:pPr>
      <w:bookmarkStart w:id="180" w:name="_Toc272414629"/>
      <w:bookmarkStart w:id="181" w:name="_Toc290846252"/>
      <w:bookmarkStart w:id="182" w:name="_Toc373748398"/>
      <w:r w:rsidRPr="00E005C8">
        <w:t>Pharmacokinetics according to age</w:t>
      </w:r>
      <w:bookmarkEnd w:id="180"/>
      <w:bookmarkEnd w:id="181"/>
      <w:bookmarkEnd w:id="182"/>
    </w:p>
    <w:p w:rsidR="005F74D8" w:rsidRPr="003944A8" w:rsidRDefault="005F74D8" w:rsidP="005F74D8">
      <w:pPr>
        <w:autoSpaceDE w:val="0"/>
        <w:autoSpaceDN w:val="0"/>
        <w:adjustRightInd w:val="0"/>
      </w:pPr>
      <w:r w:rsidRPr="00A6122B">
        <w:rPr>
          <w:bCs/>
          <w:color w:val="000000" w:themeColor="text1"/>
        </w:rPr>
        <w:t>Very limited data was available from the PK substudies of SC Hizentra</w:t>
      </w:r>
      <w:r w:rsidRPr="00A6122B">
        <w:rPr>
          <w:bCs/>
          <w:color w:val="000000" w:themeColor="text1"/>
        </w:rPr>
        <w:sym w:font="Symbol" w:char="F0D2"/>
      </w:r>
      <w:r w:rsidRPr="00A6122B">
        <w:rPr>
          <w:bCs/>
          <w:color w:val="000000" w:themeColor="text1"/>
        </w:rPr>
        <w:t xml:space="preserve"> in children &lt;16 </w:t>
      </w:r>
      <w:r w:rsidR="003944A8">
        <w:rPr>
          <w:bCs/>
          <w:color w:val="000000" w:themeColor="text1"/>
        </w:rPr>
        <w:t>years</w:t>
      </w:r>
      <w:r w:rsidRPr="00A6122B">
        <w:rPr>
          <w:bCs/>
          <w:color w:val="000000" w:themeColor="text1"/>
        </w:rPr>
        <w:t xml:space="preserve"> of age. </w:t>
      </w:r>
      <w:r>
        <w:rPr>
          <w:bCs/>
          <w:color w:val="000000" w:themeColor="text1"/>
        </w:rPr>
        <w:t xml:space="preserve">However, these data suggest </w:t>
      </w:r>
      <w:r w:rsidRPr="00A6122B">
        <w:rPr>
          <w:bCs/>
          <w:color w:val="000000" w:themeColor="text1"/>
        </w:rPr>
        <w:t xml:space="preserve">no differences in PK </w:t>
      </w:r>
      <w:r>
        <w:rPr>
          <w:bCs/>
          <w:color w:val="000000" w:themeColor="text1"/>
        </w:rPr>
        <w:t>for</w:t>
      </w:r>
      <w:r w:rsidRPr="00A6122B">
        <w:rPr>
          <w:bCs/>
          <w:color w:val="000000" w:themeColor="text1"/>
        </w:rPr>
        <w:t xml:space="preserve"> age. No data was provided in children &lt;2 </w:t>
      </w:r>
      <w:r w:rsidR="003944A8">
        <w:rPr>
          <w:bCs/>
          <w:color w:val="000000" w:themeColor="text1"/>
        </w:rPr>
        <w:t>years</w:t>
      </w:r>
      <w:r w:rsidRPr="00A6122B">
        <w:rPr>
          <w:bCs/>
          <w:color w:val="000000" w:themeColor="text1"/>
        </w:rPr>
        <w:t xml:space="preserve"> of age.</w:t>
      </w:r>
      <w:r w:rsidR="000D6A22">
        <w:rPr>
          <w:bCs/>
          <w:color w:val="000000" w:themeColor="text1"/>
        </w:rPr>
        <w:t xml:space="preserve"> </w:t>
      </w:r>
      <w:r w:rsidRPr="00A6122B">
        <w:rPr>
          <w:bCs/>
          <w:color w:val="000000" w:themeColor="text1"/>
        </w:rPr>
        <w:t xml:space="preserve">Further data in regards to the efficacy endpoint of Serum IgG is </w:t>
      </w:r>
      <w:r w:rsidRPr="00A6122B">
        <w:rPr>
          <w:rFonts w:eastAsia="TimesNewRoman" w:cs="TimesNewRoman"/>
          <w:color w:val="000000" w:themeColor="text1"/>
        </w:rPr>
        <w:t>demonstrated in the pivotal EU clinical study</w:t>
      </w:r>
      <w:r w:rsidRPr="00A6122B">
        <w:rPr>
          <w:bCs/>
          <w:color w:val="000000" w:themeColor="text1"/>
        </w:rPr>
        <w:t xml:space="preserve"> </w:t>
      </w:r>
      <w:r w:rsidRPr="00A6122B">
        <w:rPr>
          <w:rFonts w:eastAsia="TimesNewRoman" w:cs="TimesNewRoman"/>
          <w:b/>
          <w:color w:val="000000" w:themeColor="text1"/>
        </w:rPr>
        <w:t>ZLB06_001CR</w:t>
      </w:r>
      <w:r w:rsidRPr="00A6122B">
        <w:rPr>
          <w:rFonts w:eastAsia="TimesNewRoman" w:cs="TimesNewRoman"/>
          <w:color w:val="000000" w:themeColor="text1"/>
        </w:rPr>
        <w:t xml:space="preserve"> which included 17 children (2 to &lt;12 </w:t>
      </w:r>
      <w:r w:rsidR="003944A8">
        <w:rPr>
          <w:rFonts w:eastAsia="TimesNewRoman" w:cs="TimesNewRoman"/>
          <w:color w:val="000000" w:themeColor="text1"/>
        </w:rPr>
        <w:t>years</w:t>
      </w:r>
      <w:r w:rsidRPr="00A6122B">
        <w:rPr>
          <w:rFonts w:eastAsia="TimesNewRoman" w:cs="TimesNewRoman"/>
          <w:color w:val="000000" w:themeColor="text1"/>
        </w:rPr>
        <w:t>) and 5 children (12 to &lt;16</w:t>
      </w:r>
      <w:r w:rsidRPr="00A6122B">
        <w:rPr>
          <w:bCs/>
          <w:color w:val="000000" w:themeColor="text1"/>
        </w:rPr>
        <w:t xml:space="preserve"> </w:t>
      </w:r>
      <w:r w:rsidR="003944A8">
        <w:rPr>
          <w:rFonts w:eastAsia="TimesNewRoman" w:cs="TimesNewRoman"/>
          <w:color w:val="000000" w:themeColor="text1"/>
        </w:rPr>
        <w:t>years</w:t>
      </w:r>
      <w:r w:rsidRPr="00A6122B">
        <w:rPr>
          <w:rFonts w:eastAsia="TimesNewRoman" w:cs="TimesNewRoman"/>
          <w:color w:val="000000" w:themeColor="text1"/>
        </w:rPr>
        <w:t xml:space="preserve"> of age). A sub-group analysis of the effect of age on serum IgG, was </w:t>
      </w:r>
      <w:r w:rsidRPr="003944A8">
        <w:lastRenderedPageBreak/>
        <w:t>conducted for this study. The analysis demonstrated no paediatric specific dose requiremen</w:t>
      </w:r>
      <w:r w:rsidR="003D0F2B">
        <w:t>ts, beyond weight based dosing.</w:t>
      </w:r>
    </w:p>
    <w:p w:rsidR="005F74D8" w:rsidRDefault="005F74D8" w:rsidP="003944A8">
      <w:r w:rsidRPr="00A6122B">
        <w:t>Moreover, 12 children p</w:t>
      </w:r>
      <w:r>
        <w:t>articipated in the PK substudy</w:t>
      </w:r>
      <w:r>
        <w:rPr>
          <w:rFonts w:asciiTheme="majorHAnsi" w:hAnsiTheme="majorHAnsi" w:cs="TimesNewRomanPS-BoldMT"/>
          <w:bCs/>
          <w:sz w:val="20"/>
          <w:szCs w:val="20"/>
        </w:rPr>
        <w:t xml:space="preserve"> </w:t>
      </w:r>
      <w:r w:rsidRPr="00A6122B">
        <w:t>confirm</w:t>
      </w:r>
      <w:r>
        <w:t>ing</w:t>
      </w:r>
      <w:r w:rsidRPr="00A6122B">
        <w:t xml:space="preserve"> that aside from weight based dosing</w:t>
      </w:r>
      <w:r>
        <w:t xml:space="preserve">, </w:t>
      </w:r>
      <w:r w:rsidRPr="00A6122B">
        <w:t>no dosing adjustments for age</w:t>
      </w:r>
      <w:r w:rsidR="003D0F2B">
        <w:t>.</w:t>
      </w:r>
    </w:p>
    <w:p w:rsidR="005F74D8" w:rsidRPr="00E005C8" w:rsidRDefault="005F74D8" w:rsidP="003944A8">
      <w:pPr>
        <w:pStyle w:val="Heading4"/>
      </w:pPr>
      <w:bookmarkStart w:id="183" w:name="_Toc272414630"/>
      <w:bookmarkStart w:id="184" w:name="_Toc290846253"/>
      <w:bookmarkStart w:id="185" w:name="_Toc373748399"/>
      <w:r w:rsidRPr="00E005C8">
        <w:t>Pharmacokinetics related to genetic factors</w:t>
      </w:r>
      <w:bookmarkEnd w:id="183"/>
      <w:bookmarkEnd w:id="184"/>
      <w:bookmarkEnd w:id="185"/>
    </w:p>
    <w:p w:rsidR="005F74D8" w:rsidRDefault="003D0F2B" w:rsidP="005F74D8">
      <w:pPr>
        <w:rPr>
          <w:bCs/>
          <w:color w:val="000000" w:themeColor="text1"/>
        </w:rPr>
      </w:pPr>
      <w:r>
        <w:rPr>
          <w:bCs/>
          <w:color w:val="000000" w:themeColor="text1"/>
        </w:rPr>
        <w:t>Not applicable.</w:t>
      </w:r>
    </w:p>
    <w:p w:rsidR="005F74D8" w:rsidRPr="00E005C8" w:rsidRDefault="005F74D8" w:rsidP="003944A8">
      <w:pPr>
        <w:pStyle w:val="Heading4"/>
      </w:pPr>
      <w:bookmarkStart w:id="186" w:name="_Toc272414631"/>
      <w:bookmarkStart w:id="187" w:name="_Toc290846254"/>
      <w:bookmarkStart w:id="188" w:name="_Toc373748400"/>
      <w:r w:rsidRPr="00E005C8">
        <w:t>Pharmacokinetics {in other special population / according to other population characteristic}</w:t>
      </w:r>
      <w:bookmarkEnd w:id="186"/>
      <w:bookmarkEnd w:id="187"/>
      <w:bookmarkEnd w:id="188"/>
    </w:p>
    <w:p w:rsidR="005F74D8" w:rsidRPr="00E005C8" w:rsidRDefault="005F74D8" w:rsidP="003944A8">
      <w:pPr>
        <w:pStyle w:val="Heading3"/>
      </w:pPr>
      <w:bookmarkStart w:id="189" w:name="_Toc241374294"/>
      <w:bookmarkStart w:id="190" w:name="_Toc272414632"/>
      <w:bookmarkStart w:id="191" w:name="_Toc290846255"/>
      <w:bookmarkStart w:id="192" w:name="_Toc373748401"/>
      <w:bookmarkStart w:id="193" w:name="_Toc392757296"/>
      <w:r w:rsidRPr="00E005C8">
        <w:t>Pharmacokinetic interactions</w:t>
      </w:r>
      <w:bookmarkEnd w:id="189"/>
      <w:bookmarkEnd w:id="190"/>
      <w:bookmarkEnd w:id="191"/>
      <w:bookmarkEnd w:id="192"/>
      <w:bookmarkEnd w:id="193"/>
    </w:p>
    <w:p w:rsidR="005F74D8" w:rsidRPr="00E005C8" w:rsidRDefault="005F74D8" w:rsidP="003944A8">
      <w:pPr>
        <w:pStyle w:val="Heading4"/>
      </w:pPr>
      <w:bookmarkStart w:id="194" w:name="_Toc272414633"/>
      <w:bookmarkStart w:id="195" w:name="_Toc290846256"/>
      <w:bookmarkStart w:id="196" w:name="_Toc373748402"/>
      <w:r w:rsidRPr="00E005C8">
        <w:t>Pharmacokinetic interactions demonstrated in human studies</w:t>
      </w:r>
      <w:bookmarkEnd w:id="194"/>
      <w:bookmarkEnd w:id="195"/>
      <w:bookmarkEnd w:id="196"/>
    </w:p>
    <w:p w:rsidR="005F74D8" w:rsidRPr="00E005C8" w:rsidRDefault="005F74D8" w:rsidP="003944A8">
      <w:pPr>
        <w:rPr>
          <w:rFonts w:asciiTheme="majorHAnsi" w:eastAsia="TimesNewRoman" w:hAnsiTheme="majorHAnsi" w:cs="TimesNewRoman"/>
          <w:color w:val="000000" w:themeColor="text1"/>
        </w:rPr>
      </w:pPr>
      <w:r>
        <w:t xml:space="preserve">Significant </w:t>
      </w:r>
      <w:r w:rsidRPr="00E005C8">
        <w:t xml:space="preserve">drug interactions </w:t>
      </w:r>
      <w:r>
        <w:t>are</w:t>
      </w:r>
      <w:r w:rsidRPr="00E005C8">
        <w:t xml:space="preserve"> reported with human IgG and</w:t>
      </w:r>
      <w:r>
        <w:t xml:space="preserve"> are not </w:t>
      </w:r>
      <w:r w:rsidRPr="00E005C8">
        <w:t xml:space="preserve">expected with IgPro20. L-proline </w:t>
      </w:r>
      <w:r>
        <w:t xml:space="preserve">(an excipient) </w:t>
      </w:r>
      <w:r w:rsidRPr="00E005C8">
        <w:t>is permanently present in the blood and has been used in high doses as component of solu</w:t>
      </w:r>
      <w:r>
        <w:t xml:space="preserve">tions for parenteral nutrition. Drug-L-proline interactions </w:t>
      </w:r>
      <w:r w:rsidRPr="00E005C8">
        <w:t>have not been reported in t</w:t>
      </w:r>
      <w:r>
        <w:t xml:space="preserve">he literature and, based on its metabolism </w:t>
      </w:r>
      <w:r w:rsidRPr="00E005C8">
        <w:t>are not expected at the</w:t>
      </w:r>
      <w:r>
        <w:t>se doses.</w:t>
      </w:r>
    </w:p>
    <w:p w:rsidR="005F74D8" w:rsidRPr="00E005C8" w:rsidRDefault="005F74D8" w:rsidP="003944A8">
      <w:pPr>
        <w:pStyle w:val="Heading4"/>
      </w:pPr>
      <w:bookmarkStart w:id="197" w:name="_Toc272414634"/>
      <w:bookmarkStart w:id="198" w:name="_Toc290846257"/>
      <w:bookmarkStart w:id="199" w:name="_Toc373748403"/>
      <w:r w:rsidRPr="00E005C8">
        <w:t xml:space="preserve">Clinical implications of </w:t>
      </w:r>
      <w:r w:rsidRPr="00E005C8">
        <w:rPr>
          <w:i/>
        </w:rPr>
        <w:t>in vitro</w:t>
      </w:r>
      <w:r w:rsidRPr="00E005C8">
        <w:t xml:space="preserve"> findings</w:t>
      </w:r>
      <w:bookmarkEnd w:id="197"/>
      <w:bookmarkEnd w:id="198"/>
      <w:bookmarkEnd w:id="199"/>
    </w:p>
    <w:p w:rsidR="005F74D8" w:rsidRDefault="005F74D8" w:rsidP="005F74D8">
      <w:pPr>
        <w:rPr>
          <w:color w:val="000000" w:themeColor="text1"/>
        </w:rPr>
      </w:pPr>
      <w:r>
        <w:rPr>
          <w:color w:val="000000" w:themeColor="text1"/>
        </w:rPr>
        <w:t>Not applicable.</w:t>
      </w:r>
    </w:p>
    <w:p w:rsidR="005F74D8" w:rsidRPr="00E005C8" w:rsidRDefault="005F74D8" w:rsidP="003D0F2B">
      <w:pPr>
        <w:pStyle w:val="Heading2"/>
      </w:pPr>
      <w:bookmarkStart w:id="200" w:name="_Toc241374296"/>
      <w:bookmarkStart w:id="201" w:name="_Ref269982040"/>
      <w:bookmarkStart w:id="202" w:name="_Ref271018704"/>
      <w:bookmarkStart w:id="203" w:name="_Ref271018755"/>
      <w:bookmarkStart w:id="204" w:name="_Toc272414635"/>
      <w:bookmarkStart w:id="205" w:name="_Toc290846258"/>
      <w:bookmarkStart w:id="206" w:name="_Toc373748404"/>
      <w:bookmarkStart w:id="207" w:name="_Toc392757297"/>
      <w:r w:rsidRPr="003D0F2B">
        <w:t>Evaluator’s</w:t>
      </w:r>
      <w:r w:rsidRPr="00E005C8">
        <w:t xml:space="preserve"> overall conclusions on pharmacokinetics</w:t>
      </w:r>
      <w:bookmarkEnd w:id="200"/>
      <w:bookmarkEnd w:id="201"/>
      <w:bookmarkEnd w:id="202"/>
      <w:bookmarkEnd w:id="203"/>
      <w:bookmarkEnd w:id="204"/>
      <w:bookmarkEnd w:id="205"/>
      <w:bookmarkEnd w:id="206"/>
      <w:bookmarkEnd w:id="207"/>
    </w:p>
    <w:p w:rsidR="005F74D8" w:rsidRPr="003944A8" w:rsidRDefault="005F74D8" w:rsidP="003944A8">
      <w:r>
        <w:t>Very l</w:t>
      </w:r>
      <w:r w:rsidRPr="00E005C8">
        <w:t xml:space="preserve">imited PK data </w:t>
      </w:r>
      <w:r>
        <w:t xml:space="preserve">is </w:t>
      </w:r>
      <w:r w:rsidRPr="00E005C8">
        <w:t xml:space="preserve">available from the pre-clinical setting as testing of human </w:t>
      </w:r>
      <w:r>
        <w:t>Ig</w:t>
      </w:r>
      <w:r w:rsidRPr="00E005C8">
        <w:t xml:space="preserve"> in animal models is </w:t>
      </w:r>
      <w:r>
        <w:t>problematic</w:t>
      </w:r>
      <w:r w:rsidRPr="00E005C8">
        <w:t xml:space="preserve"> </w:t>
      </w:r>
      <w:r>
        <w:t xml:space="preserve">due to its immunogenicity. Other challenges in PK studies of Ig relate to </w:t>
      </w:r>
      <w:r w:rsidRPr="003944A8">
        <w:t>variable production of endogenous IgG in PID patients. The safety study in healthy volunteers (ZLB04_008CR) did not generate</w:t>
      </w:r>
      <w:r w:rsidR="007F036F">
        <w:t xml:space="preserve"> </w:t>
      </w:r>
      <w:r w:rsidRPr="003944A8">
        <w:t>PK data because there was no discernible change in serum IgG. The assessment of the Ig PK during treatment with IgPro20 is based on the PK substud</w:t>
      </w:r>
      <w:r w:rsidR="003944A8" w:rsidRPr="003944A8">
        <w:t>ies of the 3 Phase III pivotal S</w:t>
      </w:r>
      <w:r w:rsidRPr="003944A8">
        <w:t xml:space="preserve">tudies ZLB06_002CR, ZLB06_001CR and ZLB04_009CR. PK data were obtained in 8 adults aged </w:t>
      </w:r>
      <w:r w:rsidR="003944A8" w:rsidRPr="003944A8">
        <w:t>≥</w:t>
      </w:r>
      <w:r w:rsidRPr="003944A8">
        <w:t xml:space="preserve">16 to &lt;65 </w:t>
      </w:r>
      <w:r w:rsidR="003944A8" w:rsidRPr="003944A8">
        <w:t>years</w:t>
      </w:r>
      <w:r w:rsidRPr="003944A8">
        <w:t xml:space="preserve"> from the Japan pivotal study ZLB06_002CR; 23 (including 9 children 2 to &lt;12 </w:t>
      </w:r>
      <w:r w:rsidR="003944A8" w:rsidRPr="003944A8">
        <w:t>years</w:t>
      </w:r>
      <w:r w:rsidRPr="003944A8">
        <w:t xml:space="preserve"> of age and 3 adolescents 12 to &lt;16 </w:t>
      </w:r>
      <w:r w:rsidR="003944A8" w:rsidRPr="003944A8">
        <w:t>years</w:t>
      </w:r>
      <w:r w:rsidRPr="003944A8">
        <w:t xml:space="preserve"> of age) subjects in European pivotal </w:t>
      </w:r>
      <w:r w:rsidR="003944A8" w:rsidRPr="003944A8">
        <w:t>S</w:t>
      </w:r>
      <w:r w:rsidRPr="003944A8">
        <w:t>tudy ZLB06_001CR.</w:t>
      </w:r>
      <w:r w:rsidR="000D6A22" w:rsidRPr="003944A8">
        <w:t xml:space="preserve"> </w:t>
      </w:r>
      <w:r w:rsidRPr="003944A8">
        <w:t xml:space="preserve">There were differences in IgPro20 dosing in the Japan pivotal </w:t>
      </w:r>
      <w:r w:rsidR="003944A8" w:rsidRPr="003944A8">
        <w:t>S</w:t>
      </w:r>
      <w:r w:rsidRPr="003944A8">
        <w:t xml:space="preserve">tudy ZLB06_002CR, with mean value of the individual median doses of 75.5 mg/kg bw which was 63% of the value in the ZLB06_001CR (118.9 mg/kg bw) and 33% </w:t>
      </w:r>
      <w:r w:rsidR="003944A8" w:rsidRPr="003944A8">
        <w:t>of the value in the US pivotal S</w:t>
      </w:r>
      <w:r w:rsidRPr="003944A8">
        <w:t>tudy ZLB04_009CR (229.0 mg/kg bw). This difference in IgPro20 dose resulted in relatively lower maximum concentration (C</w:t>
      </w:r>
      <w:r w:rsidRPr="003944A8">
        <w:rPr>
          <w:vertAlign w:val="subscript"/>
        </w:rPr>
        <w:t>max</w:t>
      </w:r>
      <w:r w:rsidRPr="003944A8">
        <w:t>) and AUC values at steady-state. The C</w:t>
      </w:r>
      <w:r w:rsidRPr="003944A8">
        <w:rPr>
          <w:vertAlign w:val="subscript"/>
        </w:rPr>
        <w:t xml:space="preserve">max </w:t>
      </w:r>
      <w:r w:rsidRPr="003944A8">
        <w:t>for IgG in the European pivotal</w:t>
      </w:r>
      <w:r w:rsidR="0076779E">
        <w:t xml:space="preserve"> </w:t>
      </w:r>
      <w:r w:rsidR="003944A8" w:rsidRPr="003944A8">
        <w:t>S</w:t>
      </w:r>
      <w:r w:rsidRPr="003944A8">
        <w:t xml:space="preserve">tudy ZLB06_001CR was achieved at approximately 2 days after dosing with IgPro20. This is comparable to the result achieved in the Japan pivotal </w:t>
      </w:r>
      <w:r w:rsidR="003944A8" w:rsidRPr="003944A8">
        <w:t>S</w:t>
      </w:r>
      <w:r w:rsidRPr="003944A8">
        <w:t>tudy ZLB06_002CR with IgPro20 (approximately 2</w:t>
      </w:r>
      <w:r w:rsidR="003944A8" w:rsidRPr="003944A8">
        <w:t>.5</w:t>
      </w:r>
      <w:r w:rsidRPr="003944A8">
        <w:t xml:space="preserve"> days after dosing) and also to Vivaglobin, CSL Behring’s other SCIG product (2 days [</w:t>
      </w:r>
      <w:r w:rsidRPr="003944A8">
        <w:rPr>
          <w:highlight w:val="lightGray"/>
        </w:rPr>
        <w:t>Vivaglobin SPC]).</w:t>
      </w:r>
      <w:r w:rsidRPr="003944A8">
        <w:t xml:space="preserve"> Other SCIG products have described a longer time to maximum concentration (T</w:t>
      </w:r>
      <w:r w:rsidRPr="003944A8">
        <w:rPr>
          <w:vertAlign w:val="subscript"/>
        </w:rPr>
        <w:t>max</w:t>
      </w:r>
      <w:r w:rsidRPr="003944A8">
        <w:t xml:space="preserve">) </w:t>
      </w:r>
      <w:r w:rsidR="00C2531A" w:rsidRPr="003944A8">
        <w:t>that is,</w:t>
      </w:r>
      <w:r w:rsidRPr="003944A8">
        <w:t xml:space="preserve"> Subcuvia (4 days [</w:t>
      </w:r>
      <w:r w:rsidRPr="003944A8">
        <w:rPr>
          <w:highlight w:val="lightGray"/>
        </w:rPr>
        <w:t>Subcuvia SPC</w:t>
      </w:r>
      <w:r w:rsidRPr="003944A8">
        <w:t>]); Subgam (3 to 4 days [</w:t>
      </w:r>
      <w:r w:rsidRPr="003944A8">
        <w:rPr>
          <w:highlight w:val="lightGray"/>
        </w:rPr>
        <w:t>Subgam SPC</w:t>
      </w:r>
      <w:r w:rsidRPr="003944A8">
        <w:t>]) and Gammanorm (4 to 6 days [</w:t>
      </w:r>
      <w:r w:rsidRPr="003944A8">
        <w:rPr>
          <w:highlight w:val="lightGray"/>
        </w:rPr>
        <w:t>Gammanorm SPC</w:t>
      </w:r>
      <w:r w:rsidRPr="003944A8">
        <w:t>]).</w:t>
      </w:r>
    </w:p>
    <w:p w:rsidR="005F74D8" w:rsidRPr="003944A8" w:rsidRDefault="005F74D8" w:rsidP="003944A8">
      <w:r w:rsidRPr="003944A8">
        <w:t>Dosing algorithms used to guide PID patients stable on IVIG switching to SC Hizentra</w:t>
      </w:r>
      <w:r w:rsidRPr="003944A8">
        <w:sym w:font="Symbol" w:char="F0D2"/>
      </w:r>
      <w:r w:rsidRPr="003944A8">
        <w:t xml:space="preserve"> in the Pivotal Phase III studies, were based on the previous experience with Vivaglobin®.</w:t>
      </w:r>
      <w:r w:rsidR="003944A8" w:rsidRPr="003944A8">
        <w:rPr>
          <w:rStyle w:val="FootnoteReference"/>
        </w:rPr>
        <w:footnoteReference w:id="14"/>
      </w:r>
      <w:r w:rsidRPr="003944A8">
        <w:t xml:space="preserve"> The PK substudy of ZLB04_009CR confirmed that the doses of SCIG should be higher compared to the previously received IVIG doses to achieve matching systemic exposure. The TLR (IgG C</w:t>
      </w:r>
      <w:r w:rsidRPr="003944A8">
        <w:rPr>
          <w:vertAlign w:val="subscript"/>
        </w:rPr>
        <w:t>trough</w:t>
      </w:r>
      <w:r w:rsidRPr="003944A8">
        <w:t xml:space="preserve"> </w:t>
      </w:r>
      <w:r w:rsidRPr="003944A8">
        <w:lastRenderedPageBreak/>
        <w:t>value on steady-state SC IgPro20 treatment divided by the IgG C</w:t>
      </w:r>
      <w:r w:rsidRPr="003944A8">
        <w:rPr>
          <w:vertAlign w:val="subscript"/>
        </w:rPr>
        <w:t>trough</w:t>
      </w:r>
      <w:r w:rsidRPr="003944A8">
        <w:t xml:space="preserve"> value during previous steady-state IVIG treatment) associated with comparable exposure in terms of matching areas under the concentration time-curves was determined to be 1.29 in </w:t>
      </w:r>
      <w:r w:rsidR="003944A8" w:rsidRPr="003944A8">
        <w:t>S</w:t>
      </w:r>
      <w:r w:rsidR="0076779E">
        <w:t>tudy ZLB04_009CR.</w:t>
      </w:r>
    </w:p>
    <w:p w:rsidR="00586F98" w:rsidRPr="003944A8" w:rsidRDefault="005F74D8" w:rsidP="003944A8">
      <w:r w:rsidRPr="003944A8">
        <w:t>Despite the somewhat limited PK data for SC Hizentra</w:t>
      </w:r>
      <w:r w:rsidRPr="003944A8">
        <w:sym w:font="Symbol" w:char="F0D2"/>
      </w:r>
      <w:r w:rsidRPr="003944A8">
        <w:t xml:space="preserve">, the studies meet the requirement of the EMEA and </w:t>
      </w:r>
      <w:r w:rsidR="003944A8" w:rsidRPr="003944A8">
        <w:t>the evaluator</w:t>
      </w:r>
      <w:r w:rsidRPr="003944A8">
        <w:t xml:space="preserve"> concur</w:t>
      </w:r>
      <w:r w:rsidR="003944A8" w:rsidRPr="003944A8">
        <w:t>red</w:t>
      </w:r>
      <w:r w:rsidRPr="003944A8">
        <w:t xml:space="preserve"> with their opinion that there is sufficient PK data for this product. </w:t>
      </w:r>
      <w:r w:rsidR="003944A8" w:rsidRPr="003944A8">
        <w:t>The evaluator</w:t>
      </w:r>
      <w:r w:rsidRPr="003944A8">
        <w:t xml:space="preserve"> note</w:t>
      </w:r>
      <w:r w:rsidR="003944A8" w:rsidRPr="003944A8">
        <w:t>d</w:t>
      </w:r>
      <w:r w:rsidRPr="003944A8">
        <w:t xml:space="preserve"> the lack of any specific PK data in children under the age of 2 </w:t>
      </w:r>
      <w:r w:rsidR="003944A8" w:rsidRPr="003944A8">
        <w:t>years</w:t>
      </w:r>
      <w:r w:rsidRPr="003944A8">
        <w:t xml:space="preserve"> of age.</w:t>
      </w:r>
    </w:p>
    <w:p w:rsidR="00586F98" w:rsidRDefault="00586F98" w:rsidP="003944A8">
      <w:pPr>
        <w:pStyle w:val="Heading2"/>
      </w:pPr>
      <w:bookmarkStart w:id="208" w:name="_Toc392757298"/>
      <w:r>
        <w:t>Pharmacodynamics</w:t>
      </w:r>
      <w:bookmarkEnd w:id="208"/>
    </w:p>
    <w:p w:rsidR="005F74D8" w:rsidRPr="00E005C8" w:rsidRDefault="005F74D8" w:rsidP="003944A8">
      <w:pPr>
        <w:pStyle w:val="Heading3"/>
      </w:pPr>
      <w:bookmarkStart w:id="209" w:name="_Toc272414637"/>
      <w:bookmarkStart w:id="210" w:name="_Toc290846260"/>
      <w:bookmarkStart w:id="211" w:name="_Toc373748406"/>
      <w:bookmarkStart w:id="212" w:name="_Toc392757299"/>
      <w:r w:rsidRPr="00E005C8">
        <w:t>Studies providing pharmacodynamic data</w:t>
      </w:r>
      <w:bookmarkEnd w:id="209"/>
      <w:bookmarkEnd w:id="210"/>
      <w:bookmarkEnd w:id="211"/>
      <w:bookmarkEnd w:id="212"/>
    </w:p>
    <w:p w:rsidR="005F74D8" w:rsidRPr="00F07E94" w:rsidRDefault="005F74D8" w:rsidP="005F74D8">
      <w:pPr>
        <w:rPr>
          <w:color w:val="000000" w:themeColor="text1"/>
        </w:rPr>
      </w:pPr>
      <w:r w:rsidRPr="00F07E94">
        <w:rPr>
          <w:color w:val="000000" w:themeColor="text1"/>
        </w:rPr>
        <w:t>No PD studies have been performed with IgPro20.</w:t>
      </w:r>
    </w:p>
    <w:p w:rsidR="005F74D8" w:rsidRPr="00E005C8" w:rsidRDefault="005F74D8" w:rsidP="003944A8">
      <w:pPr>
        <w:pStyle w:val="Heading3"/>
      </w:pPr>
      <w:bookmarkStart w:id="213" w:name="_Ref269119989"/>
      <w:bookmarkStart w:id="214" w:name="_Toc272414639"/>
      <w:bookmarkStart w:id="215" w:name="_Toc290846261"/>
      <w:bookmarkStart w:id="216" w:name="_Toc373748407"/>
      <w:bookmarkStart w:id="217" w:name="_Toc392757300"/>
      <w:r w:rsidRPr="00E005C8">
        <w:t>Summary of pharmacodynamics</w:t>
      </w:r>
      <w:bookmarkEnd w:id="213"/>
      <w:bookmarkEnd w:id="214"/>
      <w:bookmarkEnd w:id="215"/>
      <w:bookmarkEnd w:id="216"/>
      <w:bookmarkEnd w:id="217"/>
    </w:p>
    <w:p w:rsidR="005F74D8" w:rsidRDefault="005F74D8" w:rsidP="005F74D8">
      <w:pPr>
        <w:rPr>
          <w:color w:val="000000" w:themeColor="text1"/>
        </w:rPr>
      </w:pPr>
      <w:r w:rsidRPr="00E005C8">
        <w:rPr>
          <w:color w:val="000000" w:themeColor="text1"/>
        </w:rPr>
        <w:t xml:space="preserve">Not applicable, see </w:t>
      </w:r>
      <w:r w:rsidR="003944A8" w:rsidRPr="003944A8">
        <w:rPr>
          <w:i/>
          <w:color w:val="000000" w:themeColor="text1"/>
        </w:rPr>
        <w:t>Efficacy</w:t>
      </w:r>
      <w:r w:rsidRPr="00E005C8">
        <w:rPr>
          <w:color w:val="000000" w:themeColor="text1"/>
        </w:rPr>
        <w:t xml:space="preserve"> for the findings of the Pivotal efficacy studies in regards to the serum IgG levels attained with SC Hizentra</w:t>
      </w:r>
      <w:r w:rsidRPr="00E005C8">
        <w:rPr>
          <w:color w:val="000000" w:themeColor="text1"/>
        </w:rPr>
        <w:sym w:font="Symbol" w:char="F0D2"/>
      </w:r>
      <w:r w:rsidRPr="00E005C8">
        <w:rPr>
          <w:color w:val="000000" w:themeColor="text1"/>
        </w:rPr>
        <w:t xml:space="preserve"> in PID.</w:t>
      </w:r>
    </w:p>
    <w:p w:rsidR="005F74D8" w:rsidRPr="00E005C8" w:rsidRDefault="005F74D8" w:rsidP="003944A8">
      <w:pPr>
        <w:pStyle w:val="Heading3"/>
      </w:pPr>
      <w:bookmarkStart w:id="218" w:name="_Toc241374299"/>
      <w:bookmarkStart w:id="219" w:name="_Toc272414640"/>
      <w:bookmarkStart w:id="220" w:name="_Toc290846262"/>
      <w:bookmarkStart w:id="221" w:name="_Toc373748408"/>
      <w:bookmarkStart w:id="222" w:name="_Toc392757301"/>
      <w:r w:rsidRPr="00E005C8">
        <w:t>Mechanism of action</w:t>
      </w:r>
      <w:bookmarkEnd w:id="218"/>
      <w:bookmarkEnd w:id="219"/>
      <w:bookmarkEnd w:id="220"/>
      <w:bookmarkEnd w:id="221"/>
      <w:bookmarkEnd w:id="222"/>
    </w:p>
    <w:p w:rsidR="005F74D8" w:rsidRDefault="005F74D8" w:rsidP="005F74D8">
      <w:pPr>
        <w:autoSpaceDE w:val="0"/>
        <w:autoSpaceDN w:val="0"/>
        <w:adjustRightInd w:val="0"/>
        <w:rPr>
          <w:rFonts w:eastAsia="TimesNewRoman" w:cs="TimesNewRoman"/>
          <w:b/>
          <w:color w:val="000000" w:themeColor="text1"/>
        </w:rPr>
      </w:pPr>
      <w:r>
        <w:rPr>
          <w:rFonts w:eastAsia="TimesNewRoman" w:cs="TimesNewRoman"/>
          <w:color w:val="000000" w:themeColor="text1"/>
        </w:rPr>
        <w:t>A</w:t>
      </w:r>
      <w:r w:rsidRPr="00725637">
        <w:rPr>
          <w:rFonts w:eastAsia="TimesNewRoman" w:cs="TimesNewRoman"/>
          <w:color w:val="000000" w:themeColor="text1"/>
        </w:rPr>
        <w:t xml:space="preserve">ntibodies are bifunctional protein </w:t>
      </w:r>
      <w:r>
        <w:rPr>
          <w:rFonts w:eastAsia="TimesNewRoman" w:cs="TimesNewRoman"/>
          <w:color w:val="000000" w:themeColor="text1"/>
        </w:rPr>
        <w:t xml:space="preserve">molecules; the </w:t>
      </w:r>
      <w:r w:rsidRPr="00725637">
        <w:rPr>
          <w:rFonts w:eastAsia="TimesNewRoman" w:cs="TimesNewRoman"/>
          <w:color w:val="000000" w:themeColor="text1"/>
        </w:rPr>
        <w:t>variable domains are res</w:t>
      </w:r>
      <w:r>
        <w:rPr>
          <w:rFonts w:eastAsia="TimesNewRoman" w:cs="TimesNewRoman"/>
          <w:color w:val="000000" w:themeColor="text1"/>
        </w:rPr>
        <w:t xml:space="preserve">ponsible for antigen binding; </w:t>
      </w:r>
      <w:r w:rsidRPr="00725637">
        <w:rPr>
          <w:rFonts w:eastAsia="TimesNewRoman" w:cs="TimesNewRoman"/>
          <w:color w:val="000000" w:themeColor="text1"/>
        </w:rPr>
        <w:t xml:space="preserve">constant domains </w:t>
      </w:r>
      <w:r>
        <w:rPr>
          <w:rFonts w:eastAsia="TimesNewRoman" w:cs="TimesNewRoman"/>
          <w:color w:val="000000" w:themeColor="text1"/>
        </w:rPr>
        <w:t>perform</w:t>
      </w:r>
      <w:r w:rsidRPr="00725637">
        <w:rPr>
          <w:rFonts w:eastAsia="TimesNewRoman" w:cs="TimesNewRoman"/>
          <w:color w:val="000000" w:themeColor="text1"/>
        </w:rPr>
        <w:t xml:space="preserve"> Fc-mediated effector functions </w:t>
      </w:r>
      <w:r w:rsidR="00C2531A">
        <w:rPr>
          <w:rFonts w:eastAsia="TimesNewRoman" w:cs="TimesNewRoman"/>
          <w:color w:val="000000" w:themeColor="text1"/>
        </w:rPr>
        <w:t>that is,</w:t>
      </w:r>
      <w:r w:rsidR="003944A8">
        <w:rPr>
          <w:rFonts w:eastAsia="TimesNewRoman" w:cs="TimesNewRoman"/>
          <w:color w:val="000000" w:themeColor="text1"/>
        </w:rPr>
        <w:t xml:space="preserve"> </w:t>
      </w:r>
      <w:r w:rsidRPr="00725637">
        <w:rPr>
          <w:rFonts w:eastAsia="TimesNewRoman" w:cs="TimesNewRoman"/>
          <w:color w:val="000000" w:themeColor="text1"/>
        </w:rPr>
        <w:t xml:space="preserve">complement activation via the classical complement pathway, binding to different Fc-receptors on a variety of immune cells and thereby regulating IgG-synthesis and controlling biological half-life and catabolism. In order to assure the antigen </w:t>
      </w:r>
      <w:r>
        <w:rPr>
          <w:rFonts w:eastAsia="TimesNewRoman" w:cs="TimesNewRoman"/>
          <w:color w:val="000000" w:themeColor="text1"/>
        </w:rPr>
        <w:t>binding function of IgPro20 tit</w:t>
      </w:r>
      <w:r w:rsidRPr="00725637">
        <w:rPr>
          <w:rFonts w:eastAsia="TimesNewRoman" w:cs="TimesNewRoman"/>
          <w:color w:val="000000" w:themeColor="text1"/>
        </w:rPr>
        <w:t>r</w:t>
      </w:r>
      <w:r>
        <w:rPr>
          <w:rFonts w:eastAsia="TimesNewRoman" w:cs="TimesNewRoman"/>
          <w:color w:val="000000" w:themeColor="text1"/>
        </w:rPr>
        <w:t>e</w:t>
      </w:r>
      <w:r w:rsidRPr="00725637">
        <w:rPr>
          <w:rFonts w:eastAsia="TimesNewRoman" w:cs="TimesNewRoman"/>
          <w:color w:val="000000" w:themeColor="text1"/>
        </w:rPr>
        <w:t>s of antibodies with specific antigen reactivity including antiviral, antibacterial and antitoxin antibodies were measured in the final product. They compare well with the titre</w:t>
      </w:r>
      <w:r>
        <w:rPr>
          <w:rFonts w:eastAsia="TimesNewRoman" w:cs="TimesNewRoman"/>
          <w:color w:val="000000" w:themeColor="text1"/>
        </w:rPr>
        <w:t xml:space="preserve">s found in </w:t>
      </w:r>
      <w:r w:rsidRPr="00725637">
        <w:rPr>
          <w:rFonts w:eastAsia="TimesNewRoman" w:cs="TimesNewRoman"/>
          <w:color w:val="000000" w:themeColor="text1"/>
        </w:rPr>
        <w:t>IVIG p</w:t>
      </w:r>
      <w:r>
        <w:rPr>
          <w:rFonts w:eastAsia="TimesNewRoman" w:cs="TimesNewRoman"/>
          <w:color w:val="000000" w:themeColor="text1"/>
        </w:rPr>
        <w:t xml:space="preserve">roducts Privigen </w:t>
      </w:r>
      <w:r w:rsidR="003944A8">
        <w:rPr>
          <w:rFonts w:eastAsia="TimesNewRoman" w:cs="TimesNewRoman"/>
          <w:color w:val="000000" w:themeColor="text1"/>
        </w:rPr>
        <w:t>and</w:t>
      </w:r>
      <w:r>
        <w:rPr>
          <w:rFonts w:eastAsia="TimesNewRoman" w:cs="TimesNewRoman"/>
          <w:color w:val="000000" w:themeColor="text1"/>
        </w:rPr>
        <w:t xml:space="preserve"> </w:t>
      </w:r>
      <w:r w:rsidRPr="00725637">
        <w:rPr>
          <w:rFonts w:eastAsia="TimesNewRoman" w:cs="TimesNewRoman"/>
          <w:color w:val="000000" w:themeColor="text1"/>
        </w:rPr>
        <w:t xml:space="preserve">Sandoglobulin. The functional integrity of the IgG </w:t>
      </w:r>
      <w:r>
        <w:rPr>
          <w:rFonts w:eastAsia="TimesNewRoman" w:cs="TimesNewRoman"/>
          <w:color w:val="000000" w:themeColor="text1"/>
        </w:rPr>
        <w:t xml:space="preserve">molecule is demonstrated by the </w:t>
      </w:r>
      <w:r w:rsidRPr="00725637">
        <w:rPr>
          <w:rFonts w:eastAsia="TimesNewRoman" w:cs="TimesNewRoman"/>
          <w:color w:val="000000" w:themeColor="text1"/>
        </w:rPr>
        <w:t>Fc-function test</w:t>
      </w:r>
      <w:r>
        <w:rPr>
          <w:rFonts w:eastAsia="TimesNewRoman" w:cs="TimesNewRoman"/>
          <w:color w:val="000000" w:themeColor="text1"/>
        </w:rPr>
        <w:t xml:space="preserve"> which measures </w:t>
      </w:r>
      <w:r w:rsidRPr="00725637">
        <w:rPr>
          <w:rFonts w:eastAsia="TimesNewRoman" w:cs="TimesNewRoman"/>
          <w:color w:val="000000" w:themeColor="text1"/>
        </w:rPr>
        <w:t xml:space="preserve">effector function of </w:t>
      </w:r>
      <w:r>
        <w:rPr>
          <w:rFonts w:eastAsia="TimesNewRoman" w:cs="TimesNewRoman"/>
          <w:color w:val="000000" w:themeColor="text1"/>
        </w:rPr>
        <w:t>Fc-part</w:t>
      </w:r>
      <w:r w:rsidRPr="00725637">
        <w:rPr>
          <w:rFonts w:eastAsia="TimesNewRoman" w:cs="TimesNewRoman"/>
          <w:color w:val="000000" w:themeColor="text1"/>
        </w:rPr>
        <w:t>. Another assay</w:t>
      </w:r>
      <w:r>
        <w:rPr>
          <w:rFonts w:eastAsia="TimesNewRoman" w:cs="TimesNewRoman"/>
          <w:color w:val="000000" w:themeColor="text1"/>
        </w:rPr>
        <w:t xml:space="preserve"> applied measures </w:t>
      </w:r>
      <w:r w:rsidRPr="00725637">
        <w:rPr>
          <w:rFonts w:eastAsia="TimesNewRoman" w:cs="TimesNewRoman"/>
          <w:color w:val="000000" w:themeColor="text1"/>
        </w:rPr>
        <w:t xml:space="preserve">activation of neutrophils by erythrocyte bound antibodies of </w:t>
      </w:r>
      <w:r>
        <w:rPr>
          <w:rFonts w:eastAsia="TimesNewRoman" w:cs="TimesNewRoman"/>
          <w:color w:val="000000" w:themeColor="text1"/>
        </w:rPr>
        <w:t xml:space="preserve">IgPro20. These assays show </w:t>
      </w:r>
      <w:r w:rsidRPr="00725637">
        <w:rPr>
          <w:rFonts w:eastAsia="TimesNewRoman" w:cs="TimesNewRoman"/>
          <w:color w:val="000000" w:themeColor="text1"/>
        </w:rPr>
        <w:t xml:space="preserve">functionality of </w:t>
      </w:r>
      <w:r>
        <w:rPr>
          <w:rFonts w:eastAsia="TimesNewRoman" w:cs="TimesNewRoman"/>
          <w:color w:val="000000" w:themeColor="text1"/>
        </w:rPr>
        <w:t>Ig</w:t>
      </w:r>
      <w:r w:rsidRPr="00725637">
        <w:rPr>
          <w:rFonts w:eastAsia="TimesNewRoman" w:cs="TimesNewRoman"/>
          <w:color w:val="000000" w:themeColor="text1"/>
        </w:rPr>
        <w:t xml:space="preserve"> in IgPro20 is </w:t>
      </w:r>
      <w:r>
        <w:rPr>
          <w:rFonts w:eastAsia="TimesNewRoman" w:cs="TimesNewRoman"/>
          <w:color w:val="000000" w:themeColor="text1"/>
        </w:rPr>
        <w:t>retained and compares to IVIG</w:t>
      </w:r>
      <w:r w:rsidR="003944A8">
        <w:rPr>
          <w:rFonts w:eastAsia="TimesNewRoman" w:cs="TimesNewRoman"/>
          <w:color w:val="000000" w:themeColor="text1"/>
        </w:rPr>
        <w:t>.</w:t>
      </w:r>
    </w:p>
    <w:p w:rsidR="005F74D8" w:rsidRPr="00E005C8" w:rsidRDefault="005F74D8" w:rsidP="003944A8">
      <w:pPr>
        <w:pStyle w:val="Heading3"/>
      </w:pPr>
      <w:bookmarkStart w:id="223" w:name="_Toc241374300"/>
      <w:bookmarkStart w:id="224" w:name="_Toc272414641"/>
      <w:bookmarkStart w:id="225" w:name="_Toc290846263"/>
      <w:bookmarkStart w:id="226" w:name="_Toc373748409"/>
      <w:bookmarkStart w:id="227" w:name="_Toc392757302"/>
      <w:r w:rsidRPr="00E005C8">
        <w:t>Pharmacodynamic effects</w:t>
      </w:r>
      <w:bookmarkEnd w:id="223"/>
      <w:bookmarkEnd w:id="224"/>
      <w:bookmarkEnd w:id="225"/>
      <w:bookmarkEnd w:id="226"/>
      <w:bookmarkEnd w:id="227"/>
    </w:p>
    <w:p w:rsidR="005F74D8" w:rsidRPr="00E005C8" w:rsidRDefault="005F74D8" w:rsidP="003944A8">
      <w:pPr>
        <w:pStyle w:val="Heading4"/>
      </w:pPr>
      <w:bookmarkStart w:id="228" w:name="_Toc272414642"/>
      <w:bookmarkStart w:id="229" w:name="_Toc290846264"/>
      <w:bookmarkStart w:id="230" w:name="_Toc373748410"/>
      <w:r w:rsidRPr="00E005C8">
        <w:t>Primary pharmacodynamic effects</w:t>
      </w:r>
      <w:bookmarkEnd w:id="228"/>
      <w:bookmarkEnd w:id="229"/>
      <w:bookmarkEnd w:id="230"/>
    </w:p>
    <w:p w:rsidR="005F74D8" w:rsidRDefault="005F74D8" w:rsidP="003944A8">
      <w:r w:rsidRPr="00E005C8">
        <w:t xml:space="preserve">The primary effect of infused human </w:t>
      </w:r>
      <w:r>
        <w:t>Ig</w:t>
      </w:r>
      <w:r w:rsidRPr="00E005C8">
        <w:t xml:space="preserve"> is to provide </w:t>
      </w:r>
      <w:r>
        <w:t>passive immun</w:t>
      </w:r>
      <w:r w:rsidR="0076779E">
        <w:t>ity to Ig deficient recipients.</w:t>
      </w:r>
    </w:p>
    <w:p w:rsidR="005F74D8" w:rsidRPr="00E005C8" w:rsidRDefault="005F74D8" w:rsidP="003944A8">
      <w:pPr>
        <w:pStyle w:val="Heading4"/>
      </w:pPr>
      <w:bookmarkStart w:id="231" w:name="_Toc272414643"/>
      <w:bookmarkStart w:id="232" w:name="_Toc290846265"/>
      <w:bookmarkStart w:id="233" w:name="_Toc373748411"/>
      <w:r w:rsidRPr="00E005C8">
        <w:t>Secondary pharmacodynamic effects</w:t>
      </w:r>
      <w:bookmarkEnd w:id="231"/>
      <w:bookmarkEnd w:id="232"/>
      <w:bookmarkEnd w:id="233"/>
    </w:p>
    <w:p w:rsidR="005F74D8" w:rsidRDefault="005F74D8" w:rsidP="005F74D8">
      <w:pPr>
        <w:rPr>
          <w:color w:val="000000" w:themeColor="text1"/>
        </w:rPr>
      </w:pPr>
      <w:r w:rsidRPr="00E005C8">
        <w:rPr>
          <w:color w:val="000000" w:themeColor="text1"/>
        </w:rPr>
        <w:t>The secondary and most important aspect of increasing circulating antibody levels is to protect the recipient from serious bacterial infections that would otherwise be potentially life threatening.</w:t>
      </w:r>
    </w:p>
    <w:p w:rsidR="005F74D8" w:rsidRPr="00E005C8" w:rsidRDefault="005F74D8" w:rsidP="003944A8">
      <w:pPr>
        <w:pStyle w:val="Heading3"/>
      </w:pPr>
      <w:bookmarkStart w:id="234" w:name="_Toc272414644"/>
      <w:bookmarkStart w:id="235" w:name="_Toc290846266"/>
      <w:bookmarkStart w:id="236" w:name="_Toc373748412"/>
      <w:bookmarkStart w:id="237" w:name="_Toc392757303"/>
      <w:r w:rsidRPr="00E005C8">
        <w:t>Time course of pharmacodynamic effects</w:t>
      </w:r>
      <w:bookmarkEnd w:id="234"/>
      <w:bookmarkEnd w:id="235"/>
      <w:bookmarkEnd w:id="236"/>
      <w:bookmarkEnd w:id="237"/>
    </w:p>
    <w:p w:rsidR="005F74D8" w:rsidRDefault="005F74D8" w:rsidP="001B71ED">
      <w:bookmarkStart w:id="238" w:name="_Toc272414645"/>
      <w:bookmarkStart w:id="239" w:name="_Toc290846267"/>
      <w:r>
        <w:t xml:space="preserve">Several prior/published </w:t>
      </w:r>
      <w:r w:rsidRPr="00E005C8">
        <w:t>studies ha</w:t>
      </w:r>
      <w:r>
        <w:t xml:space="preserve">ve shown that </w:t>
      </w:r>
      <w:r w:rsidRPr="00E005C8">
        <w:t>PK of IgG, differ</w:t>
      </w:r>
      <w:r>
        <w:t>s</w:t>
      </w:r>
      <w:r w:rsidRPr="00E005C8">
        <w:t xml:space="preserve"> between IV and SC administration. SC administration of IgG results in lower peak serum </w:t>
      </w:r>
      <w:r w:rsidR="003944A8">
        <w:t>concentrations</w:t>
      </w:r>
      <w:r w:rsidRPr="00E005C8">
        <w:t xml:space="preserve"> and higher serum C</w:t>
      </w:r>
      <w:r w:rsidRPr="00E005C8">
        <w:rPr>
          <w:vertAlign w:val="subscript"/>
        </w:rPr>
        <w:t>trough</w:t>
      </w:r>
      <w:r>
        <w:t xml:space="preserve"> values of IgG compared to IVIG </w:t>
      </w:r>
      <w:r w:rsidRPr="00E005C8">
        <w:t>(</w:t>
      </w:r>
      <w:r w:rsidRPr="005F74D8">
        <w:rPr>
          <w:highlight w:val="lightGray"/>
        </w:rPr>
        <w:t>Berger 2004; Ochs</w:t>
      </w:r>
      <w:r w:rsidRPr="00E005C8">
        <w:t>). In SC regimens, smaller d</w:t>
      </w:r>
      <w:r>
        <w:t xml:space="preserve">oses are given more frequently </w:t>
      </w:r>
      <w:r w:rsidR="00C2531A">
        <w:t>that is,</w:t>
      </w:r>
      <w:r w:rsidR="003944A8">
        <w:t xml:space="preserve"> wee</w:t>
      </w:r>
      <w:r>
        <w:t xml:space="preserve">kly </w:t>
      </w:r>
      <w:r w:rsidRPr="00E005C8">
        <w:t>compared to the large boluses of 3 or 4</w:t>
      </w:r>
      <w:r w:rsidR="003944A8">
        <w:t xml:space="preserve"> </w:t>
      </w:r>
      <w:r>
        <w:t>W</w:t>
      </w:r>
      <w:r w:rsidR="003944A8">
        <w:t>ee</w:t>
      </w:r>
      <w:r>
        <w:t xml:space="preserve">kly IV infusions. Based </w:t>
      </w:r>
      <w:r w:rsidRPr="00E005C8">
        <w:t xml:space="preserve">experience with </w:t>
      </w:r>
      <w:r>
        <w:t xml:space="preserve">SCIG treatment using Vivaglobin, </w:t>
      </w:r>
      <w:r w:rsidRPr="00E005C8">
        <w:t xml:space="preserve">subjects switching from IVIG </w:t>
      </w:r>
      <w:r w:rsidRPr="00E005C8">
        <w:lastRenderedPageBreak/>
        <w:t xml:space="preserve">to </w:t>
      </w:r>
      <w:r>
        <w:t>SCIG</w:t>
      </w:r>
      <w:r w:rsidRPr="00E005C8">
        <w:t xml:space="preserve"> treatment need to have their IgG dose increased to provide an eq</w:t>
      </w:r>
      <w:r>
        <w:t xml:space="preserve">uivalent systemic IgG exposure </w:t>
      </w:r>
      <w:r w:rsidRPr="00E005C8">
        <w:t>compared to their previous IVIG treatment.</w:t>
      </w:r>
    </w:p>
    <w:p w:rsidR="005F74D8" w:rsidRPr="00E005C8" w:rsidRDefault="005F74D8" w:rsidP="003944A8">
      <w:pPr>
        <w:pStyle w:val="Heading3"/>
      </w:pPr>
      <w:bookmarkStart w:id="240" w:name="_Toc373748413"/>
      <w:bookmarkStart w:id="241" w:name="_Toc392757304"/>
      <w:r w:rsidRPr="00E005C8">
        <w:t>Relationship between drug concentration and pharmacodynamic effects</w:t>
      </w:r>
      <w:bookmarkEnd w:id="238"/>
      <w:bookmarkEnd w:id="239"/>
      <w:bookmarkEnd w:id="240"/>
      <w:bookmarkEnd w:id="241"/>
    </w:p>
    <w:p w:rsidR="005F74D8" w:rsidRPr="00E005C8" w:rsidRDefault="005F74D8" w:rsidP="003944A8">
      <w:pPr>
        <w:pStyle w:val="Heading3"/>
      </w:pPr>
      <w:bookmarkStart w:id="242" w:name="_Toc241374304"/>
      <w:bookmarkStart w:id="243" w:name="_Toc272414646"/>
      <w:bookmarkStart w:id="244" w:name="_Toc290846268"/>
      <w:bookmarkStart w:id="245" w:name="_Toc373748414"/>
      <w:bookmarkStart w:id="246" w:name="_Toc392757305"/>
      <w:r w:rsidRPr="00E005C8">
        <w:t>Genetic, gender and age-related differences in pharmacodynamic response</w:t>
      </w:r>
      <w:bookmarkEnd w:id="242"/>
      <w:bookmarkEnd w:id="243"/>
      <w:bookmarkEnd w:id="244"/>
      <w:bookmarkEnd w:id="245"/>
      <w:bookmarkEnd w:id="246"/>
    </w:p>
    <w:p w:rsidR="005F74D8" w:rsidRDefault="005F74D8" w:rsidP="005F74D8">
      <w:pPr>
        <w:rPr>
          <w:color w:val="000000" w:themeColor="text1"/>
        </w:rPr>
      </w:pPr>
      <w:r w:rsidRPr="00E005C8">
        <w:rPr>
          <w:color w:val="000000" w:themeColor="text1"/>
        </w:rPr>
        <w:t>Not applicable.</w:t>
      </w:r>
    </w:p>
    <w:p w:rsidR="005F74D8" w:rsidRPr="00E005C8" w:rsidRDefault="005F74D8" w:rsidP="0070299A">
      <w:pPr>
        <w:pStyle w:val="Heading3"/>
      </w:pPr>
      <w:bookmarkStart w:id="247" w:name="_Toc241374303"/>
      <w:bookmarkStart w:id="248" w:name="_Toc272414647"/>
      <w:bookmarkStart w:id="249" w:name="_Toc290846269"/>
      <w:bookmarkStart w:id="250" w:name="_Toc373748415"/>
      <w:bookmarkStart w:id="251" w:name="_Toc392757306"/>
      <w:r w:rsidRPr="00E005C8">
        <w:t>Pharmacodynamic interactions</w:t>
      </w:r>
      <w:bookmarkEnd w:id="247"/>
      <w:bookmarkEnd w:id="248"/>
      <w:bookmarkEnd w:id="249"/>
      <w:bookmarkEnd w:id="250"/>
      <w:bookmarkEnd w:id="251"/>
    </w:p>
    <w:p w:rsidR="005F74D8" w:rsidRDefault="005F74D8" w:rsidP="005F74D8">
      <w:pPr>
        <w:rPr>
          <w:color w:val="000000" w:themeColor="text1"/>
        </w:rPr>
      </w:pPr>
      <w:r w:rsidRPr="00E005C8">
        <w:rPr>
          <w:color w:val="000000" w:themeColor="text1"/>
        </w:rPr>
        <w:t>Not applicable.</w:t>
      </w:r>
    </w:p>
    <w:p w:rsidR="005F74D8" w:rsidRPr="00E005C8" w:rsidRDefault="005F74D8" w:rsidP="0070299A">
      <w:pPr>
        <w:pStyle w:val="Heading3"/>
      </w:pPr>
      <w:bookmarkStart w:id="252" w:name="_Ref269983272"/>
      <w:bookmarkStart w:id="253" w:name="_Toc272414648"/>
      <w:bookmarkStart w:id="254" w:name="_Toc290846270"/>
      <w:bookmarkStart w:id="255" w:name="_Toc373748416"/>
      <w:bookmarkStart w:id="256" w:name="_Toc392757307"/>
      <w:r w:rsidRPr="00E005C8">
        <w:t>Evaluator’s overall conclusions on pharmacodynamics</w:t>
      </w:r>
      <w:bookmarkEnd w:id="252"/>
      <w:bookmarkEnd w:id="253"/>
      <w:bookmarkEnd w:id="254"/>
      <w:bookmarkEnd w:id="255"/>
      <w:bookmarkEnd w:id="256"/>
    </w:p>
    <w:p w:rsidR="00C22678" w:rsidRPr="00586F98" w:rsidRDefault="005F74D8" w:rsidP="005F74D8">
      <w:pPr>
        <w:rPr>
          <w:lang w:eastAsia="ja-JP"/>
        </w:rPr>
      </w:pPr>
      <w:r w:rsidRPr="00E005C8">
        <w:rPr>
          <w:color w:val="000000" w:themeColor="text1"/>
        </w:rPr>
        <w:t>No</w:t>
      </w:r>
      <w:r>
        <w:rPr>
          <w:color w:val="000000" w:themeColor="text1"/>
        </w:rPr>
        <w:t xml:space="preserve"> specific PD data was provided; </w:t>
      </w:r>
      <w:r w:rsidRPr="00E005C8">
        <w:rPr>
          <w:color w:val="000000" w:themeColor="text1"/>
        </w:rPr>
        <w:t xml:space="preserve">see efficacy data </w:t>
      </w:r>
      <w:r>
        <w:rPr>
          <w:color w:val="000000" w:themeColor="text1"/>
        </w:rPr>
        <w:t>as measured by steady-state serum</w:t>
      </w:r>
      <w:r w:rsidRPr="00E005C8">
        <w:rPr>
          <w:color w:val="000000" w:themeColor="text1"/>
        </w:rPr>
        <w:t xml:space="preserve"> IgG </w:t>
      </w:r>
      <w:r>
        <w:rPr>
          <w:color w:val="000000" w:themeColor="text1"/>
        </w:rPr>
        <w:t xml:space="preserve">and </w:t>
      </w:r>
      <w:r w:rsidRPr="00E005C8">
        <w:rPr>
          <w:color w:val="000000" w:themeColor="text1"/>
        </w:rPr>
        <w:t xml:space="preserve">clinical </w:t>
      </w:r>
      <w:r>
        <w:rPr>
          <w:color w:val="000000" w:themeColor="text1"/>
        </w:rPr>
        <w:t>efficacy as measured by rates of SBIs</w:t>
      </w:r>
      <w:r w:rsidRPr="00E005C8">
        <w:rPr>
          <w:color w:val="000000" w:themeColor="text1"/>
        </w:rPr>
        <w:t xml:space="preserve"> and other infections.</w:t>
      </w:r>
    </w:p>
    <w:p w:rsidR="00586F98" w:rsidRDefault="00C22678" w:rsidP="0070299A">
      <w:pPr>
        <w:pStyle w:val="Heading2"/>
      </w:pPr>
      <w:bookmarkStart w:id="257" w:name="_Toc392757308"/>
      <w:r>
        <w:t>Dosage selection for the pivotal studies</w:t>
      </w:r>
      <w:bookmarkEnd w:id="257"/>
    </w:p>
    <w:p w:rsidR="00C22678" w:rsidRPr="00586F98" w:rsidRDefault="0070299A" w:rsidP="00C22678">
      <w:pPr>
        <w:rPr>
          <w:lang w:eastAsia="ja-JP"/>
        </w:rPr>
      </w:pPr>
      <w:r>
        <w:rPr>
          <w:lang w:eastAsia="ja-JP"/>
        </w:rPr>
        <w:t>T</w:t>
      </w:r>
      <w:r w:rsidR="005F74D8" w:rsidRPr="005F74D8">
        <w:rPr>
          <w:lang w:eastAsia="ja-JP"/>
        </w:rPr>
        <w:t>wo algorithms depending on whether starting Ig de novo or transitioning to SC Hizentra. N</w:t>
      </w:r>
      <w:r>
        <w:rPr>
          <w:lang w:eastAsia="ja-JP"/>
        </w:rPr>
        <w:t>umbers</w:t>
      </w:r>
      <w:r w:rsidR="005F74D8" w:rsidRPr="005F74D8">
        <w:rPr>
          <w:lang w:eastAsia="ja-JP"/>
        </w:rPr>
        <w:t xml:space="preserve"> of injection sites per treatment depend on volume of the total dose individualised by weight and target serum IgG levels.</w:t>
      </w:r>
    </w:p>
    <w:p w:rsidR="00C22678" w:rsidRDefault="00C22678" w:rsidP="0070299A">
      <w:pPr>
        <w:pStyle w:val="Heading2"/>
      </w:pPr>
      <w:bookmarkStart w:id="258" w:name="_Toc392757309"/>
      <w:r>
        <w:t>Clinical efficacy</w:t>
      </w:r>
      <w:bookmarkEnd w:id="258"/>
    </w:p>
    <w:p w:rsidR="005F74D8" w:rsidRDefault="005F74D8" w:rsidP="005F74D8">
      <w:pPr>
        <w:rPr>
          <w:b/>
          <w:color w:val="000000" w:themeColor="text1"/>
        </w:rPr>
      </w:pPr>
      <w:r>
        <w:rPr>
          <w:color w:val="000000" w:themeColor="text1"/>
        </w:rPr>
        <w:t>D</w:t>
      </w:r>
      <w:r w:rsidRPr="00E005C8">
        <w:rPr>
          <w:color w:val="000000" w:themeColor="text1"/>
        </w:rPr>
        <w:t xml:space="preserve">etails </w:t>
      </w:r>
      <w:r>
        <w:rPr>
          <w:color w:val="000000" w:themeColor="text1"/>
        </w:rPr>
        <w:t xml:space="preserve">of </w:t>
      </w:r>
      <w:r w:rsidRPr="00E005C8">
        <w:rPr>
          <w:color w:val="000000" w:themeColor="text1"/>
        </w:rPr>
        <w:t>the 3 pivot</w:t>
      </w:r>
      <w:r>
        <w:rPr>
          <w:color w:val="000000" w:themeColor="text1"/>
        </w:rPr>
        <w:t xml:space="preserve">al efficacy </w:t>
      </w:r>
      <w:r w:rsidR="0070299A">
        <w:rPr>
          <w:color w:val="000000" w:themeColor="text1"/>
        </w:rPr>
        <w:t xml:space="preserve">are </w:t>
      </w:r>
      <w:r>
        <w:rPr>
          <w:color w:val="000000" w:themeColor="text1"/>
        </w:rPr>
        <w:t>provided here</w:t>
      </w:r>
      <w:r w:rsidR="0070299A">
        <w:rPr>
          <w:color w:val="000000" w:themeColor="text1"/>
        </w:rPr>
        <w:t>.</w:t>
      </w:r>
    </w:p>
    <w:p w:rsidR="005F74D8" w:rsidRPr="00E005C8" w:rsidRDefault="005F74D8" w:rsidP="0070299A">
      <w:pPr>
        <w:pStyle w:val="Heading3"/>
      </w:pPr>
      <w:bookmarkStart w:id="259" w:name="_Toc373748419"/>
      <w:bookmarkStart w:id="260" w:name="_Toc392757310"/>
      <w:r w:rsidRPr="00E005C8">
        <w:t>Pivotal efficacy study for use of Hizentra</w:t>
      </w:r>
      <w:r w:rsidRPr="00E005C8">
        <w:sym w:font="Symbol" w:char="F0D2"/>
      </w:r>
      <w:r w:rsidRPr="00E005C8">
        <w:t xml:space="preserve"> as </w:t>
      </w:r>
      <w:r w:rsidR="00904863">
        <w:t>Ig</w:t>
      </w:r>
      <w:r w:rsidRPr="00E005C8">
        <w:t xml:space="preserve"> replacement in P</w:t>
      </w:r>
      <w:r w:rsidR="00904863">
        <w:t>ID</w:t>
      </w:r>
      <w:bookmarkEnd w:id="259"/>
      <w:bookmarkEnd w:id="260"/>
    </w:p>
    <w:p w:rsidR="005F74D8" w:rsidRPr="00DC65EC" w:rsidRDefault="005F74D8" w:rsidP="0070299A">
      <w:pPr>
        <w:pStyle w:val="Heading4"/>
      </w:pPr>
      <w:bookmarkStart w:id="261" w:name="_Toc373748420"/>
      <w:r w:rsidRPr="00E005C8">
        <w:t>Phase III, prospective, open-label, multicenter, single arm study including a PK substudy</w:t>
      </w:r>
      <w:r>
        <w:t xml:space="preserve">: </w:t>
      </w:r>
      <w:r w:rsidRPr="00DC65EC">
        <w:t>ZLB06_002C R (Japan pivotal study)</w:t>
      </w:r>
      <w:bookmarkEnd w:id="261"/>
    </w:p>
    <w:p w:rsidR="005F74D8" w:rsidRPr="00E005C8" w:rsidRDefault="005F74D8" w:rsidP="0070299A">
      <w:pPr>
        <w:pStyle w:val="Heading5"/>
      </w:pPr>
      <w:r w:rsidRPr="00E005C8">
        <w:t>Study design, objectives, locations and dates</w:t>
      </w:r>
    </w:p>
    <w:p w:rsidR="005F74D8" w:rsidRDefault="005F74D8" w:rsidP="005F74D8">
      <w:pPr>
        <w:autoSpaceDE w:val="0"/>
        <w:autoSpaceDN w:val="0"/>
        <w:adjustRightInd w:val="0"/>
        <w:rPr>
          <w:color w:val="000000" w:themeColor="text1"/>
        </w:rPr>
      </w:pPr>
      <w:r w:rsidRPr="00E005C8">
        <w:rPr>
          <w:color w:val="000000" w:themeColor="text1"/>
        </w:rPr>
        <w:t>A Multicenter Study of Efficacy, Safety, Tolerability, and Pharmacokinetics of Immune Globulin Subcutaneous (Human) IgPro20 in Subjects with Primary Immunodeficiency (IgPro20 Japanese Pivotal Study). There was also a PK substudy conducted in 8 patients</w:t>
      </w:r>
      <w:r w:rsidR="0070299A">
        <w:rPr>
          <w:color w:val="000000" w:themeColor="text1"/>
        </w:rPr>
        <w:t>.</w:t>
      </w:r>
      <w:r>
        <w:rPr>
          <w:b/>
          <w:color w:val="000000" w:themeColor="text1"/>
        </w:rPr>
        <w:t xml:space="preserve"> </w:t>
      </w:r>
      <w:r w:rsidRPr="00E005C8">
        <w:rPr>
          <w:color w:val="000000" w:themeColor="text1"/>
        </w:rPr>
        <w:t xml:space="preserve">Multicentre, conducted at 9 sites in Japan 2010-2011. Date of first enrolment: 06 September 2010; Date of </w:t>
      </w:r>
      <w:r w:rsidR="001B71ED">
        <w:rPr>
          <w:color w:val="000000" w:themeColor="text1"/>
        </w:rPr>
        <w:t>last completed: 23 August 2011.</w:t>
      </w:r>
    </w:p>
    <w:p w:rsidR="005F74D8" w:rsidRPr="00E005C8" w:rsidRDefault="005F74D8" w:rsidP="0070299A">
      <w:pPr>
        <w:pStyle w:val="Heading5"/>
      </w:pPr>
      <w:r w:rsidRPr="00E005C8">
        <w:t>Inclusion and exclusion criteria</w:t>
      </w:r>
    </w:p>
    <w:p w:rsidR="0070299A" w:rsidRDefault="005F74D8" w:rsidP="005F74D8">
      <w:pPr>
        <w:autoSpaceDE w:val="0"/>
        <w:autoSpaceDN w:val="0"/>
        <w:adjustRightInd w:val="0"/>
        <w:rPr>
          <w:b/>
          <w:color w:val="000000" w:themeColor="text1"/>
        </w:rPr>
      </w:pPr>
      <w:r w:rsidRPr="00E005C8">
        <w:rPr>
          <w:b/>
          <w:color w:val="000000" w:themeColor="text1"/>
        </w:rPr>
        <w:t>Inclusion</w:t>
      </w:r>
      <w:r w:rsidRPr="00E005C8">
        <w:rPr>
          <w:color w:val="000000" w:themeColor="text1"/>
        </w:rPr>
        <w:t>1. Ma</w:t>
      </w:r>
      <w:r>
        <w:rPr>
          <w:color w:val="000000" w:themeColor="text1"/>
        </w:rPr>
        <w:t xml:space="preserve">le/female </w:t>
      </w:r>
      <w:r w:rsidR="0070299A">
        <w:rPr>
          <w:color w:val="000000" w:themeColor="text1"/>
        </w:rPr>
        <w:t>≤</w:t>
      </w:r>
      <w:r>
        <w:rPr>
          <w:color w:val="000000" w:themeColor="text1"/>
        </w:rPr>
        <w:t>75</w:t>
      </w:r>
      <w:r w:rsidR="003944A8">
        <w:rPr>
          <w:color w:val="000000" w:themeColor="text1"/>
        </w:rPr>
        <w:t>years</w:t>
      </w:r>
      <w:r w:rsidRPr="00E005C8">
        <w:rPr>
          <w:color w:val="000000" w:themeColor="text1"/>
        </w:rPr>
        <w:t xml:space="preserve"> </w:t>
      </w:r>
      <w:r>
        <w:rPr>
          <w:color w:val="000000" w:themeColor="text1"/>
        </w:rPr>
        <w:t>old</w:t>
      </w:r>
      <w:r w:rsidRPr="00E005C8">
        <w:rPr>
          <w:color w:val="000000" w:themeColor="text1"/>
        </w:rPr>
        <w:t>;</w:t>
      </w:r>
      <w:r>
        <w:rPr>
          <w:color w:val="000000" w:themeColor="text1"/>
        </w:rPr>
        <w:t xml:space="preserve"> </w:t>
      </w:r>
      <w:r w:rsidRPr="00E005C8">
        <w:rPr>
          <w:color w:val="000000" w:themeColor="text1"/>
        </w:rPr>
        <w:t xml:space="preserve">2. </w:t>
      </w:r>
      <w:r>
        <w:rPr>
          <w:color w:val="000000" w:themeColor="text1"/>
        </w:rPr>
        <w:t>PID (</w:t>
      </w:r>
      <w:r w:rsidRPr="00E005C8">
        <w:rPr>
          <w:color w:val="000000" w:themeColor="text1"/>
        </w:rPr>
        <w:t>CVID, XLA, ARAG, NBS, hyper IgM syn</w:t>
      </w:r>
      <w:r>
        <w:rPr>
          <w:color w:val="000000" w:themeColor="text1"/>
        </w:rPr>
        <w:t xml:space="preserve">drome, </w:t>
      </w:r>
      <w:r w:rsidRPr="00E005C8">
        <w:rPr>
          <w:color w:val="000000" w:themeColor="text1"/>
        </w:rPr>
        <w:t>ataxia telangiectasia</w:t>
      </w:r>
      <w:r>
        <w:rPr>
          <w:color w:val="000000" w:themeColor="text1"/>
        </w:rPr>
        <w:t xml:space="preserve"> with hypo</w:t>
      </w:r>
      <w:r w:rsidR="0070299A">
        <w:rPr>
          <w:color w:val="000000" w:themeColor="text1"/>
        </w:rPr>
        <w:t xml:space="preserve"> </w:t>
      </w:r>
      <w:r w:rsidRPr="00E005C8">
        <w:rPr>
          <w:color w:val="000000" w:themeColor="text1"/>
        </w:rPr>
        <w:t xml:space="preserve">or agammaglobulinemia requiring IgG </w:t>
      </w:r>
      <w:r w:rsidR="0070299A">
        <w:rPr>
          <w:color w:val="000000" w:themeColor="text1"/>
        </w:rPr>
        <w:t>replacement with a diagnosis of</w:t>
      </w:r>
      <w:r w:rsidRPr="00E005C8">
        <w:rPr>
          <w:color w:val="000000" w:themeColor="text1"/>
        </w:rPr>
        <w:t>;</w:t>
      </w:r>
      <w:r>
        <w:rPr>
          <w:color w:val="000000" w:themeColor="text1"/>
        </w:rPr>
        <w:t xml:space="preserve"> </w:t>
      </w:r>
      <w:r w:rsidRPr="00E005C8">
        <w:rPr>
          <w:color w:val="000000" w:themeColor="text1"/>
        </w:rPr>
        <w:t>3. Subjects who had received IVIG therapy at regular 3 or 4</w:t>
      </w:r>
      <w:r w:rsidR="0070299A">
        <w:rPr>
          <w:color w:val="000000" w:themeColor="text1"/>
        </w:rPr>
        <w:t xml:space="preserve"> Week</w:t>
      </w:r>
      <w:r w:rsidRPr="00E005C8">
        <w:rPr>
          <w:color w:val="000000" w:themeColor="text1"/>
        </w:rPr>
        <w:t xml:space="preserve"> intervals at a stable dose</w:t>
      </w:r>
      <w:r>
        <w:rPr>
          <w:color w:val="000000" w:themeColor="text1"/>
        </w:rPr>
        <w:t xml:space="preserve"> (variations of </w:t>
      </w:r>
      <w:r w:rsidR="0070299A">
        <w:rPr>
          <w:color w:val="000000" w:themeColor="text1"/>
        </w:rPr>
        <w:t>±</w:t>
      </w:r>
      <w:r>
        <w:rPr>
          <w:color w:val="000000" w:themeColor="text1"/>
        </w:rPr>
        <w:t xml:space="preserve">10% allowed) for at </w:t>
      </w:r>
      <w:r w:rsidR="0070299A">
        <w:rPr>
          <w:color w:val="000000" w:themeColor="text1"/>
        </w:rPr>
        <w:t>≥</w:t>
      </w:r>
      <w:r w:rsidRPr="00E005C8">
        <w:rPr>
          <w:color w:val="000000" w:themeColor="text1"/>
        </w:rPr>
        <w:t>3 doses prior to consent</w:t>
      </w:r>
      <w:r>
        <w:rPr>
          <w:color w:val="000000" w:themeColor="text1"/>
        </w:rPr>
        <w:t>ing</w:t>
      </w:r>
      <w:r w:rsidRPr="00E005C8">
        <w:rPr>
          <w:color w:val="000000" w:themeColor="text1"/>
        </w:rPr>
        <w:t>;</w:t>
      </w:r>
      <w:r>
        <w:rPr>
          <w:color w:val="000000" w:themeColor="text1"/>
        </w:rPr>
        <w:t xml:space="preserve"> </w:t>
      </w:r>
      <w:r w:rsidRPr="00E005C8">
        <w:rPr>
          <w:color w:val="000000" w:themeColor="text1"/>
        </w:rPr>
        <w:t xml:space="preserve">4. </w:t>
      </w:r>
      <w:r>
        <w:rPr>
          <w:color w:val="000000" w:themeColor="text1"/>
        </w:rPr>
        <w:t>consent by subject/parent</w:t>
      </w:r>
      <w:r w:rsidR="001B71ED">
        <w:rPr>
          <w:color w:val="000000" w:themeColor="text1"/>
        </w:rPr>
        <w:t>.</w:t>
      </w:r>
    </w:p>
    <w:p w:rsidR="005F74D8" w:rsidRDefault="005F74D8" w:rsidP="001B71ED">
      <w:r w:rsidRPr="00E005C8">
        <w:rPr>
          <w:b/>
        </w:rPr>
        <w:t xml:space="preserve">Inclusion criteria for the </w:t>
      </w:r>
      <w:r>
        <w:rPr>
          <w:b/>
        </w:rPr>
        <w:t xml:space="preserve">SC </w:t>
      </w:r>
      <w:r w:rsidRPr="00E005C8">
        <w:rPr>
          <w:b/>
        </w:rPr>
        <w:t>Ig period</w:t>
      </w:r>
      <w:r>
        <w:rPr>
          <w:b/>
        </w:rPr>
        <w:t xml:space="preserve">: </w:t>
      </w:r>
      <w:r w:rsidRPr="00E005C8">
        <w:t>1) IgG trough level ≥5 g/L at least once between screening or first IVIG infusion until third</w:t>
      </w:r>
      <w:r>
        <w:rPr>
          <w:b/>
        </w:rPr>
        <w:t xml:space="preserve"> </w:t>
      </w:r>
      <w:r w:rsidRPr="00E005C8">
        <w:t xml:space="preserve">IVIG infusion; 2) IgG trough level </w:t>
      </w:r>
      <w:r w:rsidR="0070299A">
        <w:t>≥</w:t>
      </w:r>
      <w:r w:rsidRPr="00E005C8">
        <w:t>4 g/L between screening or</w:t>
      </w:r>
      <w:r>
        <w:t xml:space="preserve"> first IVIG infusion until 3</w:t>
      </w:r>
      <w:r w:rsidRPr="00DC65EC">
        <w:rPr>
          <w:vertAlign w:val="superscript"/>
        </w:rPr>
        <w:t>rd</w:t>
      </w:r>
      <w:r>
        <w:t xml:space="preserve"> IVIG</w:t>
      </w:r>
      <w:r w:rsidRPr="00E005C8">
        <w:t>; 3) N</w:t>
      </w:r>
      <w:r>
        <w:t xml:space="preserve">o development of SBIs during </w:t>
      </w:r>
      <w:r w:rsidRPr="00E005C8">
        <w:t>IVIG period.</w:t>
      </w:r>
      <w:r>
        <w:rPr>
          <w:b/>
        </w:rPr>
        <w:t xml:space="preserve"> </w:t>
      </w:r>
      <w:r w:rsidRPr="00E005C8">
        <w:rPr>
          <w:b/>
        </w:rPr>
        <w:t>Exclusion:</w:t>
      </w:r>
      <w:r>
        <w:rPr>
          <w:b/>
        </w:rPr>
        <w:t xml:space="preserve"> </w:t>
      </w:r>
      <w:r>
        <w:t xml:space="preserve">1) </w:t>
      </w:r>
      <w:r w:rsidRPr="00447777">
        <w:t>Newl</w:t>
      </w:r>
      <w:r>
        <w:t>y diagnosed PID</w:t>
      </w:r>
      <w:r w:rsidRPr="00447777">
        <w:t>;</w:t>
      </w:r>
      <w:r>
        <w:t xml:space="preserve">2) </w:t>
      </w:r>
      <w:r w:rsidRPr="00447777">
        <w:t>Ongoing SBIs at screening;</w:t>
      </w:r>
      <w:r>
        <w:t xml:space="preserve">3) Hx lymphoid malignancies; 4) </w:t>
      </w:r>
      <w:r w:rsidRPr="00447777">
        <w:t xml:space="preserve">Known hyperprolinemia; </w:t>
      </w:r>
      <w:r>
        <w:t xml:space="preserve">5) </w:t>
      </w:r>
      <w:r w:rsidRPr="00447777">
        <w:t>Hypoalbumin</w:t>
      </w:r>
      <w:r>
        <w:t>a</w:t>
      </w:r>
      <w:r w:rsidRPr="00447777">
        <w:t xml:space="preserve">emia, protein-losing enteropathies, </w:t>
      </w:r>
      <w:r>
        <w:t xml:space="preserve">proteinuria; </w:t>
      </w:r>
      <w:r>
        <w:lastRenderedPageBreak/>
        <w:t xml:space="preserve">6) </w:t>
      </w:r>
      <w:r w:rsidRPr="00447777">
        <w:t xml:space="preserve">Allergic or other severe reactions to </w:t>
      </w:r>
      <w:r>
        <w:t xml:space="preserve">Ig or </w:t>
      </w:r>
      <w:r w:rsidRPr="00447777">
        <w:t xml:space="preserve">blood products in the </w:t>
      </w:r>
      <w:r>
        <w:t>past 3 m</w:t>
      </w:r>
      <w:r w:rsidR="0070299A">
        <w:t>on</w:t>
      </w:r>
      <w:r>
        <w:t xml:space="preserve">ths or at </w:t>
      </w:r>
      <w:r w:rsidRPr="00447777">
        <w:t xml:space="preserve">time of screening; </w:t>
      </w:r>
      <w:r>
        <w:t xml:space="preserve">7) </w:t>
      </w:r>
      <w:r w:rsidRPr="00447777">
        <w:t>Known haemophilia or thromboc</w:t>
      </w:r>
      <w:r>
        <w:t>ytopaenia</w:t>
      </w:r>
      <w:r w:rsidRPr="00447777">
        <w:t xml:space="preserve">; </w:t>
      </w:r>
      <w:r>
        <w:t xml:space="preserve">8) </w:t>
      </w:r>
      <w:r w:rsidRPr="00447777">
        <w:t xml:space="preserve">Female subjects of CBP </w:t>
      </w:r>
      <w:r>
        <w:t>not using/</w:t>
      </w:r>
      <w:r w:rsidRPr="00447777">
        <w:t xml:space="preserve">not willing to use, a medically reliable method of contraception for </w:t>
      </w:r>
      <w:r>
        <w:t xml:space="preserve">study duration; 9) </w:t>
      </w:r>
      <w:r w:rsidRPr="00447777">
        <w:t xml:space="preserve">Intention to become pregnant during course of the study or </w:t>
      </w:r>
      <w:r>
        <w:t xml:space="preserve">10) </w:t>
      </w:r>
      <w:r w:rsidRPr="00447777">
        <w:t>Pregnant</w:t>
      </w:r>
      <w:r>
        <w:t>/</w:t>
      </w:r>
      <w:r w:rsidRPr="00447777">
        <w:t xml:space="preserve">nursing mother; </w:t>
      </w:r>
      <w:r>
        <w:t xml:space="preserve">11) </w:t>
      </w:r>
      <w:r w:rsidRPr="00447777">
        <w:t>HIV-1</w:t>
      </w:r>
      <w:r>
        <w:t xml:space="preserve">/2,HBV, </w:t>
      </w:r>
      <w:r w:rsidRPr="00447777">
        <w:t>HCV</w:t>
      </w:r>
      <w:r>
        <w:t>+ve</w:t>
      </w:r>
      <w:r w:rsidRPr="00447777">
        <w:t>;</w:t>
      </w:r>
      <w:r>
        <w:t xml:space="preserve"> 12) </w:t>
      </w:r>
      <w:r w:rsidRPr="00447777">
        <w:t>AST</w:t>
      </w:r>
      <w:r>
        <w:t>/</w:t>
      </w:r>
      <w:r w:rsidRPr="00447777">
        <w:t xml:space="preserve">ALT&gt;2.5 times </w:t>
      </w:r>
      <w:r>
        <w:t>ULN</w:t>
      </w:r>
      <w:r w:rsidRPr="00447777">
        <w:t xml:space="preserve">; </w:t>
      </w:r>
      <w:r>
        <w:t xml:space="preserve">Creatinine &gt;1.5 times ULN; 13) </w:t>
      </w:r>
      <w:r w:rsidRPr="00447777">
        <w:t>Participated in a study with other investigational product within</w:t>
      </w:r>
      <w:r>
        <w:rPr>
          <w:b/>
        </w:rPr>
        <w:t xml:space="preserve"> </w:t>
      </w:r>
      <w:r>
        <w:t>3 months of screen</w:t>
      </w:r>
      <w:r w:rsidRPr="00E005C8">
        <w:t xml:space="preserve">; </w:t>
      </w:r>
      <w:r>
        <w:t xml:space="preserve">14) </w:t>
      </w:r>
      <w:r w:rsidRPr="00E005C8">
        <w:t>Subjects with recent blood donation</w:t>
      </w:r>
      <w:r>
        <w:t xml:space="preserve">;15) </w:t>
      </w:r>
      <w:r w:rsidRPr="00E005C8">
        <w:t xml:space="preserve">Subjects who were employees at the investigational site, or relatives or spouse of the study Personnel; </w:t>
      </w:r>
      <w:r>
        <w:t xml:space="preserve">16) </w:t>
      </w:r>
      <w:r w:rsidRPr="00E005C8">
        <w:t xml:space="preserve">Alcohol, drug, or medication abuse within the last year; </w:t>
      </w:r>
      <w:r>
        <w:t>17) Treatment with steroids/</w:t>
      </w:r>
      <w:r w:rsidRPr="00E005C8">
        <w:t xml:space="preserve">other systemic immunosuppressants; </w:t>
      </w:r>
      <w:r>
        <w:t xml:space="preserve">18) </w:t>
      </w:r>
      <w:r w:rsidRPr="00E005C8">
        <w:t xml:space="preserve">Re-entry of subjects previously participating in the current study; </w:t>
      </w:r>
      <w:r>
        <w:t xml:space="preserve">19) Any condition </w:t>
      </w:r>
      <w:r w:rsidRPr="00E005C8">
        <w:t xml:space="preserve">likely to interfere with evaluation of the </w:t>
      </w:r>
      <w:r>
        <w:t>IMP</w:t>
      </w:r>
      <w:r w:rsidRPr="00E005C8">
        <w:t>;</w:t>
      </w:r>
      <w:r>
        <w:t>20) Known/</w:t>
      </w:r>
      <w:r w:rsidRPr="00E005C8">
        <w:t>suspected antibodies to the I</w:t>
      </w:r>
      <w:r>
        <w:t>MP, or to excipients</w:t>
      </w:r>
      <w:r w:rsidRPr="00E005C8">
        <w:t xml:space="preserve">; </w:t>
      </w:r>
      <w:r>
        <w:t xml:space="preserve">21) </w:t>
      </w:r>
      <w:r w:rsidRPr="00E005C8">
        <w:t xml:space="preserve">recent </w:t>
      </w:r>
      <w:r>
        <w:t>X</w:t>
      </w:r>
      <w:r w:rsidR="0070299A">
        <w:t>-</w:t>
      </w:r>
      <w:r>
        <w:t>rays suggesting</w:t>
      </w:r>
      <w:r w:rsidRPr="00E005C8">
        <w:t xml:space="preserve"> infection</w:t>
      </w:r>
      <w:r w:rsidR="001B71ED">
        <w:t>.</w:t>
      </w:r>
    </w:p>
    <w:p w:rsidR="005F74D8" w:rsidRPr="00E005C8" w:rsidRDefault="005F74D8" w:rsidP="0070299A">
      <w:pPr>
        <w:pStyle w:val="Heading5"/>
      </w:pPr>
      <w:r w:rsidRPr="00E005C8">
        <w:t>Study treatments</w:t>
      </w:r>
    </w:p>
    <w:p w:rsidR="005F74D8" w:rsidRDefault="005F74D8" w:rsidP="005F74D8">
      <w:pPr>
        <w:autoSpaceDE w:val="0"/>
        <w:autoSpaceDN w:val="0"/>
        <w:adjustRightInd w:val="0"/>
        <w:rPr>
          <w:color w:val="000000" w:themeColor="text1"/>
        </w:rPr>
      </w:pPr>
      <w:r w:rsidRPr="00E005C8">
        <w:rPr>
          <w:color w:val="000000" w:themeColor="text1"/>
        </w:rPr>
        <w:t>IgPro20 administered a</w:t>
      </w:r>
      <w:r>
        <w:rPr>
          <w:color w:val="000000" w:themeColor="text1"/>
        </w:rPr>
        <w:t>s SC infusion</w:t>
      </w:r>
      <w:r w:rsidRPr="00E479EE">
        <w:rPr>
          <w:color w:val="000000" w:themeColor="text1"/>
        </w:rPr>
        <w:t xml:space="preserve"> </w:t>
      </w:r>
      <w:r w:rsidRPr="00E005C8">
        <w:rPr>
          <w:color w:val="000000" w:themeColor="text1"/>
        </w:rPr>
        <w:t>using Coopdech Syringe Pumps (CSP-100), Daiken Medical Co., LTD (Japan)</w:t>
      </w:r>
      <w:r>
        <w:rPr>
          <w:color w:val="000000" w:themeColor="text1"/>
        </w:rPr>
        <w:t xml:space="preserve">; </w:t>
      </w:r>
      <w:r w:rsidRPr="00E005C8">
        <w:rPr>
          <w:color w:val="000000" w:themeColor="text1"/>
        </w:rPr>
        <w:t>home-based after a training period</w:t>
      </w:r>
      <w:r>
        <w:rPr>
          <w:color w:val="000000" w:themeColor="text1"/>
        </w:rPr>
        <w:t xml:space="preserve">. </w:t>
      </w:r>
      <w:r w:rsidRPr="00E005C8">
        <w:rPr>
          <w:color w:val="000000" w:themeColor="text1"/>
        </w:rPr>
        <w:t xml:space="preserve">Target injections sites </w:t>
      </w:r>
      <w:r>
        <w:rPr>
          <w:color w:val="000000" w:themeColor="text1"/>
        </w:rPr>
        <w:t xml:space="preserve">as per </w:t>
      </w:r>
      <w:r w:rsidRPr="00E005C8">
        <w:rPr>
          <w:b/>
          <w:color w:val="000000" w:themeColor="text1"/>
        </w:rPr>
        <w:t>Figure 1</w:t>
      </w:r>
      <w:r w:rsidRPr="00E005C8">
        <w:rPr>
          <w:color w:val="000000" w:themeColor="text1"/>
        </w:rPr>
        <w:t>, rotation of sites</w:t>
      </w:r>
      <w:r>
        <w:rPr>
          <w:color w:val="000000" w:themeColor="text1"/>
        </w:rPr>
        <w:t xml:space="preserve"> could occur </w:t>
      </w:r>
      <w:r w:rsidR="0070299A">
        <w:rPr>
          <w:color w:val="000000" w:themeColor="text1"/>
        </w:rPr>
        <w:t>week</w:t>
      </w:r>
      <w:r>
        <w:rPr>
          <w:color w:val="000000" w:themeColor="text1"/>
        </w:rPr>
        <w:t>ly especially i</w:t>
      </w:r>
      <w:r w:rsidRPr="00E005C8">
        <w:rPr>
          <w:color w:val="000000" w:themeColor="text1"/>
        </w:rPr>
        <w:t>f local site reactions not resolved before next dosing.</w:t>
      </w:r>
    </w:p>
    <w:p w:rsidR="005F74D8" w:rsidRDefault="005F74D8" w:rsidP="005F74D8">
      <w:pPr>
        <w:autoSpaceDE w:val="0"/>
        <w:autoSpaceDN w:val="0"/>
        <w:adjustRightInd w:val="0"/>
        <w:rPr>
          <w:color w:val="000000" w:themeColor="text1"/>
        </w:rPr>
      </w:pPr>
      <w:r w:rsidRPr="00E005C8">
        <w:rPr>
          <w:b/>
          <w:color w:val="000000" w:themeColor="text1"/>
        </w:rPr>
        <w:t xml:space="preserve">Selection of doses in the study: </w:t>
      </w:r>
      <w:r>
        <w:rPr>
          <w:color w:val="000000" w:themeColor="text1"/>
        </w:rPr>
        <w:t>I</w:t>
      </w:r>
      <w:r w:rsidRPr="00E005C8">
        <w:rPr>
          <w:color w:val="000000" w:themeColor="text1"/>
        </w:rPr>
        <w:t xml:space="preserve">nitial </w:t>
      </w:r>
      <w:r w:rsidR="0070299A">
        <w:rPr>
          <w:color w:val="000000" w:themeColor="text1"/>
        </w:rPr>
        <w:t>week</w:t>
      </w:r>
      <w:r w:rsidRPr="00E005C8">
        <w:rPr>
          <w:color w:val="000000" w:themeColor="text1"/>
        </w:rPr>
        <w:t xml:space="preserve">ly dose of IgPro20 during the SCIG </w:t>
      </w:r>
      <w:r>
        <w:rPr>
          <w:color w:val="000000" w:themeColor="text1"/>
        </w:rPr>
        <w:t>WI/WO</w:t>
      </w:r>
      <w:r w:rsidRPr="00E005C8">
        <w:rPr>
          <w:color w:val="000000" w:themeColor="text1"/>
        </w:rPr>
        <w:t xml:space="preserve"> period was the dose</w:t>
      </w:r>
      <w:r w:rsidRPr="00E005C8">
        <w:rPr>
          <w:b/>
          <w:color w:val="000000" w:themeColor="text1"/>
        </w:rPr>
        <w:t xml:space="preserve"> </w:t>
      </w:r>
      <w:r w:rsidRPr="00E005C8">
        <w:rPr>
          <w:color w:val="000000" w:themeColor="text1"/>
        </w:rPr>
        <w:t>of the IVIG period divided by the treatment interval (</w:t>
      </w:r>
      <w:r>
        <w:rPr>
          <w:color w:val="000000" w:themeColor="text1"/>
        </w:rPr>
        <w:t>Nos</w:t>
      </w:r>
      <w:r w:rsidRPr="00E005C8">
        <w:rPr>
          <w:color w:val="000000" w:themeColor="text1"/>
        </w:rPr>
        <w:t xml:space="preserve"> of </w:t>
      </w:r>
      <w:r w:rsidR="0070299A">
        <w:rPr>
          <w:color w:val="000000" w:themeColor="text1"/>
        </w:rPr>
        <w:t>Week</w:t>
      </w:r>
      <w:r w:rsidRPr="00E005C8">
        <w:rPr>
          <w:color w:val="000000" w:themeColor="text1"/>
        </w:rPr>
        <w:t>s). If the dose in the IVIG</w:t>
      </w:r>
      <w:r w:rsidRPr="00E005C8">
        <w:rPr>
          <w:b/>
          <w:color w:val="000000" w:themeColor="text1"/>
        </w:rPr>
        <w:t xml:space="preserve"> </w:t>
      </w:r>
      <w:r w:rsidRPr="00E005C8">
        <w:rPr>
          <w:color w:val="000000" w:themeColor="text1"/>
        </w:rPr>
        <w:t>period was adjusted according to the</w:t>
      </w:r>
      <w:r>
        <w:rPr>
          <w:color w:val="000000" w:themeColor="text1"/>
        </w:rPr>
        <w:t xml:space="preserve"> procedure described</w:t>
      </w:r>
      <w:r w:rsidRPr="00E005C8">
        <w:rPr>
          <w:color w:val="000000" w:themeColor="text1"/>
        </w:rPr>
        <w:t>, the average dose of IV 1, IV 2,</w:t>
      </w:r>
      <w:r w:rsidRPr="00E005C8">
        <w:rPr>
          <w:b/>
          <w:color w:val="000000" w:themeColor="text1"/>
        </w:rPr>
        <w:t xml:space="preserve"> </w:t>
      </w:r>
      <w:r w:rsidRPr="00E005C8">
        <w:rPr>
          <w:color w:val="000000" w:themeColor="text1"/>
        </w:rPr>
        <w:t>and IV 3 was to be used. Dose adjustment</w:t>
      </w:r>
      <w:r>
        <w:rPr>
          <w:color w:val="000000" w:themeColor="text1"/>
        </w:rPr>
        <w:t xml:space="preserve">s if trough levels &lt;5 g/L. If necessary, </w:t>
      </w:r>
      <w:r w:rsidRPr="00E005C8">
        <w:rPr>
          <w:color w:val="000000" w:themeColor="text1"/>
        </w:rPr>
        <w:t xml:space="preserve">IgPro20 </w:t>
      </w:r>
      <w:r>
        <w:rPr>
          <w:color w:val="000000" w:themeColor="text1"/>
        </w:rPr>
        <w:t xml:space="preserve">dose </w:t>
      </w:r>
      <w:r w:rsidRPr="00E005C8">
        <w:rPr>
          <w:color w:val="000000" w:themeColor="text1"/>
        </w:rPr>
        <w:t xml:space="preserve">adjusted based on the IgG trough levels taken during the </w:t>
      </w:r>
      <w:r>
        <w:rPr>
          <w:color w:val="000000" w:themeColor="text1"/>
        </w:rPr>
        <w:t>WI/WO</w:t>
      </w:r>
      <w:r w:rsidRPr="00E005C8">
        <w:rPr>
          <w:color w:val="000000" w:themeColor="text1"/>
        </w:rPr>
        <w:t xml:space="preserve"> period to produce IgG trough of </w:t>
      </w:r>
      <w:r w:rsidR="0070299A">
        <w:rPr>
          <w:color w:val="000000" w:themeColor="text1"/>
        </w:rPr>
        <w:t>≥</w:t>
      </w:r>
      <w:r w:rsidRPr="00E005C8">
        <w:rPr>
          <w:color w:val="000000" w:themeColor="text1"/>
        </w:rPr>
        <w:t xml:space="preserve">5 g/L. During SCIG </w:t>
      </w:r>
      <w:r>
        <w:rPr>
          <w:color w:val="000000" w:themeColor="text1"/>
        </w:rPr>
        <w:t>WI/WO</w:t>
      </w:r>
      <w:r w:rsidRPr="00E005C8">
        <w:rPr>
          <w:color w:val="000000" w:themeColor="text1"/>
        </w:rPr>
        <w:t xml:space="preserve"> period </w:t>
      </w:r>
      <w:r>
        <w:rPr>
          <w:color w:val="000000" w:themeColor="text1"/>
        </w:rPr>
        <w:t>if IgG trough level &lt;5</w:t>
      </w:r>
      <w:r w:rsidRPr="00E005C8">
        <w:rPr>
          <w:color w:val="000000" w:themeColor="text1"/>
        </w:rPr>
        <w:t xml:space="preserve">g/L, </w:t>
      </w:r>
      <w:r>
        <w:rPr>
          <w:color w:val="000000" w:themeColor="text1"/>
        </w:rPr>
        <w:t xml:space="preserve">repeat a </w:t>
      </w:r>
      <w:r w:rsidR="0070299A">
        <w:rPr>
          <w:color w:val="000000" w:themeColor="text1"/>
        </w:rPr>
        <w:t>week</w:t>
      </w:r>
      <w:r>
        <w:rPr>
          <w:color w:val="000000" w:themeColor="text1"/>
        </w:rPr>
        <w:t xml:space="preserve"> later. </w:t>
      </w:r>
      <w:r w:rsidRPr="00E005C8">
        <w:rPr>
          <w:color w:val="000000" w:themeColor="text1"/>
        </w:rPr>
        <w:t>Dose adjustments based on the control measurement could then be performed if med</w:t>
      </w:r>
      <w:r>
        <w:rPr>
          <w:color w:val="000000" w:themeColor="text1"/>
        </w:rPr>
        <w:t xml:space="preserve">ically indicated in </w:t>
      </w:r>
      <w:r w:rsidRPr="00E005C8">
        <w:rPr>
          <w:color w:val="000000" w:themeColor="text1"/>
        </w:rPr>
        <w:t>amount</w:t>
      </w:r>
      <w:r>
        <w:rPr>
          <w:color w:val="000000" w:themeColor="text1"/>
        </w:rPr>
        <w:t>s</w:t>
      </w:r>
      <w:r w:rsidRPr="00E005C8">
        <w:rPr>
          <w:color w:val="000000" w:themeColor="text1"/>
        </w:rPr>
        <w:t xml:space="preserve"> according to the investigator’s discretion. If IVIG </w:t>
      </w:r>
      <w:r>
        <w:rPr>
          <w:color w:val="000000" w:themeColor="text1"/>
        </w:rPr>
        <w:t xml:space="preserve">dose </w:t>
      </w:r>
      <w:r w:rsidRPr="00E005C8">
        <w:rPr>
          <w:color w:val="000000" w:themeColor="text1"/>
        </w:rPr>
        <w:t xml:space="preserve">was adjusted, the average dose of IV 1, IV 2, and IV 3 was used. </w:t>
      </w:r>
      <w:r>
        <w:rPr>
          <w:color w:val="000000" w:themeColor="text1"/>
        </w:rPr>
        <w:t xml:space="preserve">No dose adjustments allowed once </w:t>
      </w:r>
      <w:r w:rsidRPr="00E005C8">
        <w:rPr>
          <w:color w:val="000000" w:themeColor="text1"/>
        </w:rPr>
        <w:t xml:space="preserve">SCIG </w:t>
      </w:r>
      <w:r>
        <w:rPr>
          <w:color w:val="000000" w:themeColor="text1"/>
        </w:rPr>
        <w:t xml:space="preserve">WI/WO period </w:t>
      </w:r>
      <w:r w:rsidRPr="00E005C8">
        <w:rPr>
          <w:color w:val="000000" w:themeColor="text1"/>
        </w:rPr>
        <w:t>completed unless medically indicated</w:t>
      </w:r>
      <w:r>
        <w:rPr>
          <w:color w:val="000000" w:themeColor="text1"/>
        </w:rPr>
        <w:t>.</w:t>
      </w:r>
    </w:p>
    <w:p w:rsidR="005F74D8" w:rsidRPr="007E7F95" w:rsidRDefault="005F74D8" w:rsidP="00BF6870">
      <w:pPr>
        <w:pStyle w:val="FigureTitle"/>
      </w:pPr>
      <w:r w:rsidRPr="007E7F95">
        <w:t>Figure 1: Injection site locations ZLB06_002C R</w:t>
      </w:r>
    </w:p>
    <w:p w:rsidR="005F74D8" w:rsidRDefault="00BF6870" w:rsidP="001B71ED">
      <w:r>
        <w:rPr>
          <w:noProof/>
          <w:lang w:eastAsia="en-AU"/>
        </w:rPr>
        <w:drawing>
          <wp:inline distT="0" distB="0" distL="0" distR="0" wp14:anchorId="20E16A89" wp14:editId="02C0C378">
            <wp:extent cx="2867025" cy="1605039"/>
            <wp:effectExtent l="0" t="0" r="0" b="0"/>
            <wp:docPr id="3" name="Picture 3" descr="Figure 1: Injection site locations ZLB06_002C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6274" cy="1604619"/>
                    </a:xfrm>
                    <a:prstGeom prst="rect">
                      <a:avLst/>
                    </a:prstGeom>
                  </pic:spPr>
                </pic:pic>
              </a:graphicData>
            </a:graphic>
          </wp:inline>
        </w:drawing>
      </w:r>
    </w:p>
    <w:p w:rsidR="005F74D8" w:rsidRPr="00E005C8" w:rsidRDefault="005F74D8" w:rsidP="0070299A">
      <w:pPr>
        <w:pStyle w:val="Heading5"/>
      </w:pPr>
      <w:r w:rsidRPr="00E005C8">
        <w:t>Efficacy variables and outcomes</w:t>
      </w:r>
    </w:p>
    <w:p w:rsidR="005F74D8" w:rsidRDefault="005F74D8" w:rsidP="0070299A">
      <w:r w:rsidRPr="00E005C8">
        <w:t xml:space="preserve">The </w:t>
      </w:r>
      <w:r w:rsidRPr="00E005C8">
        <w:rPr>
          <w:b/>
        </w:rPr>
        <w:t>main efficacy variable</w:t>
      </w:r>
      <w:r w:rsidRPr="00E005C8">
        <w:t xml:space="preserve"> was evaluation of sustained total serum IgG trough levels with IgPro20 compared to the preceding IVIG treatment period in the per-protocol set (PPS). Evaluation comprised a comparison of 3 trough levels measured at IV 1, IV 2, and IV 3 of the IVIG treatment period with 3 trough levels measured at steady-state of 3 SCIG infusions (at </w:t>
      </w:r>
      <w:r w:rsidR="0070299A">
        <w:t>Week</w:t>
      </w:r>
      <w:r w:rsidRPr="00E005C8">
        <w:t xml:space="preserve">s 16, 20, and 24). </w:t>
      </w:r>
      <w:r w:rsidRPr="00E005C8">
        <w:rPr>
          <w:b/>
        </w:rPr>
        <w:t>The primary efficacy outcome</w:t>
      </w:r>
      <w:r w:rsidRPr="00E005C8">
        <w:t xml:space="preserve"> was indicated by a GMR of SC v</w:t>
      </w:r>
      <w:r w:rsidR="0070299A">
        <w:t>ersu</w:t>
      </w:r>
      <w:r w:rsidRPr="00E005C8">
        <w:t xml:space="preserve">s IV trough levels close to 1 </w:t>
      </w:r>
      <w:r>
        <w:t xml:space="preserve">would indicating </w:t>
      </w:r>
      <w:r w:rsidRPr="00E005C8">
        <w:t xml:space="preserve">comparable trough levels achieved with </w:t>
      </w:r>
      <w:r w:rsidR="0070299A">
        <w:t>Week</w:t>
      </w:r>
      <w:r w:rsidRPr="00E005C8">
        <w:t>ly SC Hizentra</w:t>
      </w:r>
      <w:r w:rsidRPr="00E005C8">
        <w:sym w:font="Symbol" w:char="F0D2"/>
      </w:r>
      <w:r w:rsidR="0070299A">
        <w:t xml:space="preserve"> versus</w:t>
      </w:r>
      <w:r w:rsidRPr="00E005C8">
        <w:t xml:space="preserve"> historically recorded trough levels of serum I</w:t>
      </w:r>
      <w:r>
        <w:t>gG when the patient was on IVIG</w:t>
      </w:r>
      <w:r w:rsidRPr="00E005C8">
        <w:t>.</w:t>
      </w:r>
    </w:p>
    <w:p w:rsidR="005F74D8" w:rsidRPr="00E005C8" w:rsidRDefault="005F74D8" w:rsidP="0070299A">
      <w:pPr>
        <w:pStyle w:val="Heading6"/>
      </w:pPr>
      <w:r w:rsidRPr="00E005C8">
        <w:lastRenderedPageBreak/>
        <w:t>O</w:t>
      </w:r>
      <w:r w:rsidR="001B71ED">
        <w:t>ther efficacy outcomes included</w:t>
      </w:r>
    </w:p>
    <w:p w:rsidR="005F74D8" w:rsidRPr="00E005C8" w:rsidRDefault="005F74D8" w:rsidP="0070299A">
      <w:pPr>
        <w:pStyle w:val="Numberbullet0"/>
      </w:pPr>
      <w:r w:rsidRPr="00E005C8">
        <w:rPr>
          <w:b/>
        </w:rPr>
        <w:t xml:space="preserve">Protection against infections </w:t>
      </w:r>
      <w:r w:rsidR="00C2531A" w:rsidRPr="0070299A">
        <w:t>that is</w:t>
      </w:r>
      <w:r w:rsidR="0070299A">
        <w:t>,</w:t>
      </w:r>
      <w:r w:rsidRPr="00E005C8">
        <w:rPr>
          <w:b/>
        </w:rPr>
        <w:t xml:space="preserve"> </w:t>
      </w:r>
      <w:r w:rsidRPr="00E005C8">
        <w:t xml:space="preserve">how the serum IgG levels achieved with </w:t>
      </w:r>
      <w:r w:rsidR="0070299A">
        <w:t>week</w:t>
      </w:r>
      <w:r w:rsidRPr="00E005C8">
        <w:t>ly SC Hizentra</w:t>
      </w:r>
      <w:r w:rsidRPr="00E005C8">
        <w:sym w:font="Symbol" w:char="F0D2"/>
      </w:r>
      <w:r w:rsidRPr="00E005C8">
        <w:t xml:space="preserve"> translated into protection against infection(s) as measured by: </w:t>
      </w:r>
      <w:r>
        <w:t>N</w:t>
      </w:r>
      <w:r w:rsidR="0070299A">
        <w:t>umber</w:t>
      </w:r>
      <w:r w:rsidRPr="00E005C8">
        <w:t xml:space="preserve"> of infection episodes (serious and non-serious);</w:t>
      </w:r>
      <w:r>
        <w:t xml:space="preserve"> N</w:t>
      </w:r>
      <w:r w:rsidR="0070299A">
        <w:t>umber</w:t>
      </w:r>
      <w:r>
        <w:t xml:space="preserve"> </w:t>
      </w:r>
      <w:r w:rsidRPr="00E005C8">
        <w:t>of days out of work/school/kindergarten/day care or unable to perform normal daily activities due to infections, as assessed by the investigator from subject reporting in the diary;</w:t>
      </w:r>
      <w:r w:rsidR="0070299A">
        <w:t xml:space="preserve"> Number of days of hospitalis</w:t>
      </w:r>
      <w:r w:rsidRPr="00E005C8">
        <w:t>ation due to infections, as assessed by the investigator from subject reporting in the diary; duration of antibiotics for infe</w:t>
      </w:r>
      <w:r w:rsidR="001B71ED">
        <w:t>ction prophylaxis and treatment.</w:t>
      </w:r>
    </w:p>
    <w:p w:rsidR="005F74D8" w:rsidRPr="00E005C8" w:rsidRDefault="005F74D8" w:rsidP="0070299A">
      <w:pPr>
        <w:pStyle w:val="Numberbullet0"/>
        <w:rPr>
          <w:b/>
        </w:rPr>
      </w:pPr>
      <w:r w:rsidRPr="00E005C8">
        <w:rPr>
          <w:b/>
        </w:rPr>
        <w:t xml:space="preserve">Safety as assessed by </w:t>
      </w:r>
      <w:r w:rsidR="00192877">
        <w:t>n</w:t>
      </w:r>
      <w:r w:rsidR="0070299A">
        <w:t>umbers</w:t>
      </w:r>
      <w:r w:rsidRPr="00E005C8">
        <w:t>, rate, severity, and relatedness of any AEs per infusion and subject; Local tolerability of SC infusions; Vital sign changes before and after infusions at the study site; Changes in routine laboratory parameters (blood chemistry, haematology, urinalysis) as compared to baseline assessments (</w:t>
      </w:r>
      <w:r w:rsidR="00C2531A">
        <w:t>that is</w:t>
      </w:r>
      <w:r w:rsidRPr="00E005C8">
        <w:t>, at screening); C</w:t>
      </w:r>
      <w:r w:rsidR="001B71ED">
        <w:t>hanges in viral safety markers.</w:t>
      </w:r>
    </w:p>
    <w:p w:rsidR="005F74D8" w:rsidRPr="00E005C8" w:rsidRDefault="005F74D8" w:rsidP="0070299A">
      <w:pPr>
        <w:pStyle w:val="Numberbullet0"/>
      </w:pPr>
      <w:r w:rsidRPr="00E005C8">
        <w:rPr>
          <w:b/>
        </w:rPr>
        <w:t xml:space="preserve">Quality of </w:t>
      </w:r>
      <w:r w:rsidR="00192877">
        <w:rPr>
          <w:b/>
        </w:rPr>
        <w:t>l</w:t>
      </w:r>
      <w:r w:rsidRPr="00E005C8">
        <w:rPr>
          <w:b/>
        </w:rPr>
        <w:t>ife</w:t>
      </w:r>
      <w:r w:rsidRPr="00E005C8">
        <w:t xml:space="preserve"> as assessed by Health-related quality of life (HRQL) questionnaires </w:t>
      </w:r>
      <w:r w:rsidR="00C2531A">
        <w:t>that is,</w:t>
      </w:r>
      <w:r>
        <w:t xml:space="preserve"> </w:t>
      </w:r>
      <w:r w:rsidR="0070299A">
        <w:t>t</w:t>
      </w:r>
      <w:r w:rsidRPr="00E005C8">
        <w:t xml:space="preserve">o compare QoL </w:t>
      </w:r>
      <w:r>
        <w:t xml:space="preserve">when treated with </w:t>
      </w:r>
      <w:r w:rsidRPr="00E005C8">
        <w:t>SC Hizentra</w:t>
      </w:r>
      <w:r w:rsidRPr="00E005C8">
        <w:sym w:font="Symbol" w:char="F0D2"/>
      </w:r>
      <w:r w:rsidR="0070299A">
        <w:t xml:space="preserve"> versus</w:t>
      </w:r>
      <w:r w:rsidRPr="00E005C8">
        <w:t xml:space="preserve"> HRQL at baseline after IVIG treatment. Baseline and follow-up questionnaires (Life Quality Index, LQI) and “Satisfaction of the current IgG replacement therapy” </w:t>
      </w:r>
      <w:r>
        <w:t>examining HRQL of subjects - completed by the subject/parent.</w:t>
      </w:r>
    </w:p>
    <w:p w:rsidR="005F74D8" w:rsidRDefault="005F74D8" w:rsidP="0070299A">
      <w:pPr>
        <w:pStyle w:val="Numberbullet0"/>
        <w:rPr>
          <w:rFonts w:eastAsia="TimesNewRoman"/>
        </w:rPr>
      </w:pPr>
      <w:r w:rsidRPr="00E005C8">
        <w:rPr>
          <w:b/>
        </w:rPr>
        <w:t>Pharmacoeconomics (PhEc):</w:t>
      </w:r>
      <w:r w:rsidRPr="00E005C8">
        <w:t xml:space="preserve"> </w:t>
      </w:r>
      <w:r w:rsidRPr="00E005C8">
        <w:rPr>
          <w:rFonts w:eastAsia="TimesNewRoman"/>
        </w:rPr>
        <w:t xml:space="preserve">The PhEc assessments included Scale IV of the LQI, and the “Medical expenditures of IVIG and </w:t>
      </w:r>
      <w:r w:rsidR="008B610D">
        <w:rPr>
          <w:rFonts w:eastAsia="TimesNewRoman"/>
        </w:rPr>
        <w:t>SCIG treatments” questionnaire.</w:t>
      </w:r>
    </w:p>
    <w:p w:rsidR="005F74D8" w:rsidRPr="00E005C8" w:rsidRDefault="005F74D8" w:rsidP="0070299A">
      <w:pPr>
        <w:pStyle w:val="Heading5"/>
      </w:pPr>
      <w:r w:rsidRPr="00E005C8">
        <w:t>Randomisation and blinding methods</w:t>
      </w:r>
    </w:p>
    <w:p w:rsidR="005F74D8" w:rsidRDefault="005F74D8" w:rsidP="005F74D8">
      <w:pPr>
        <w:rPr>
          <w:color w:val="000000" w:themeColor="text1"/>
        </w:rPr>
      </w:pPr>
      <w:r w:rsidRPr="00E005C8">
        <w:rPr>
          <w:color w:val="000000" w:themeColor="text1"/>
        </w:rPr>
        <w:t>This was a single arm, open-label st</w:t>
      </w:r>
      <w:r w:rsidR="00CC5635">
        <w:rPr>
          <w:color w:val="000000" w:themeColor="text1"/>
        </w:rPr>
        <w:t>udy. No blinding was performed.</w:t>
      </w:r>
    </w:p>
    <w:p w:rsidR="005F74D8" w:rsidRPr="00E005C8" w:rsidRDefault="005F74D8" w:rsidP="0070299A">
      <w:pPr>
        <w:pStyle w:val="Heading5"/>
      </w:pPr>
      <w:r w:rsidRPr="00E005C8">
        <w:t>Analysis populations</w:t>
      </w:r>
    </w:p>
    <w:p w:rsidR="005F74D8" w:rsidRDefault="005F74D8" w:rsidP="0070299A">
      <w:r w:rsidRPr="00E005C8">
        <w:t>The full analysis set (</w:t>
      </w:r>
      <w:r w:rsidRPr="0070299A">
        <w:t>FAS) comprised all subjects treated with IgPro20 during the efficacy period; PPS comprised</w:t>
      </w:r>
      <w:r w:rsidRPr="00E005C8">
        <w:t xml:space="preserve"> all subjects under study: who underwent regular IVIG therapy at 3- or 4-</w:t>
      </w:r>
      <w:r w:rsidR="0070299A">
        <w:t>Week</w:t>
      </w:r>
      <w:r w:rsidR="000D6A22">
        <w:t xml:space="preserve"> </w:t>
      </w:r>
      <w:r w:rsidRPr="00E005C8">
        <w:t xml:space="preserve">intervals in the last 6 doses, prior to SCIG treatment (for the first 3 </w:t>
      </w:r>
      <w:r>
        <w:t xml:space="preserve">doses variations of ± 10% were </w:t>
      </w:r>
      <w:r w:rsidRPr="00E005C8">
        <w:t xml:space="preserve">allowed; for the 3 subsequent doses dose adjustments </w:t>
      </w:r>
      <w:r>
        <w:t>allowed as defined above</w:t>
      </w:r>
      <w:r w:rsidRPr="00E005C8">
        <w:t>) and with at least</w:t>
      </w:r>
      <w:r w:rsidR="000D6A22">
        <w:t xml:space="preserve"> </w:t>
      </w:r>
      <w:r w:rsidRPr="00E005C8">
        <w:t xml:space="preserve">one documented IgG trough level </w:t>
      </w:r>
      <w:r>
        <w:t>during</w:t>
      </w:r>
      <w:r w:rsidR="000D6A22">
        <w:t xml:space="preserve"> </w:t>
      </w:r>
      <w:r>
        <w:t>IVIG treatment</w:t>
      </w:r>
      <w:r w:rsidRPr="00E005C8">
        <w:t xml:space="preserve">; treated with IgPro20 during the </w:t>
      </w:r>
      <w:r>
        <w:t>WI/WO</w:t>
      </w:r>
      <w:r w:rsidRPr="00E005C8">
        <w:t xml:space="preserve"> period and for at least 4 </w:t>
      </w:r>
      <w:r w:rsidR="0070299A">
        <w:t>Week</w:t>
      </w:r>
      <w:r w:rsidRPr="00E005C8">
        <w:t>s in the efficacy period;</w:t>
      </w:r>
      <w:r w:rsidR="000D6A22">
        <w:t xml:space="preserve"> </w:t>
      </w:r>
      <w:r w:rsidRPr="00E005C8">
        <w:t>received uniformly repeated doses of IgPro20</w:t>
      </w:r>
      <w:r w:rsidR="000D6A22">
        <w:t xml:space="preserve"> </w:t>
      </w:r>
      <w:r w:rsidRPr="00E005C8">
        <w:t xml:space="preserve">at </w:t>
      </w:r>
      <w:r w:rsidR="0070299A">
        <w:t>week</w:t>
      </w:r>
      <w:r w:rsidRPr="00E005C8">
        <w:t xml:space="preserve">ly intervals during the efficacy period in case of </w:t>
      </w:r>
      <w:r w:rsidR="0070299A">
        <w:t>week</w:t>
      </w:r>
      <w:r w:rsidRPr="00E005C8">
        <w:t>ly doses below 20</w:t>
      </w:r>
      <w:r w:rsidR="0070299A">
        <w:t xml:space="preserve"> </w:t>
      </w:r>
      <w:r>
        <w:t>mL</w:t>
      </w:r>
      <w:r w:rsidRPr="00E005C8">
        <w:t>; with at least one</w:t>
      </w:r>
      <w:r w:rsidR="000D6A22">
        <w:t xml:space="preserve"> </w:t>
      </w:r>
      <w:r w:rsidRPr="00E005C8">
        <w:t>documented total serum IgG trough level in the efficacy period (</w:t>
      </w:r>
      <w:r w:rsidR="0070299A">
        <w:t>Week</w:t>
      </w:r>
      <w:r w:rsidRPr="00E005C8">
        <w:t xml:space="preserve"> 16 to </w:t>
      </w:r>
      <w:r w:rsidR="0070299A">
        <w:t>Week</w:t>
      </w:r>
      <w:r w:rsidRPr="00E005C8">
        <w:t xml:space="preserve"> 24; in case of dosing variations exceeding 10%, all trough levels prior to the dosing change could be used);</w:t>
      </w:r>
      <w:r w:rsidRPr="004F1039">
        <w:t xml:space="preserve"> </w:t>
      </w:r>
      <w:r w:rsidRPr="00E005C8">
        <w:t>The “al</w:t>
      </w:r>
      <w:r>
        <w:t>l</w:t>
      </w:r>
      <w:r w:rsidR="000D6A22">
        <w:t xml:space="preserve"> </w:t>
      </w:r>
      <w:r>
        <w:t>treated” (AT) safety data set=</w:t>
      </w:r>
      <w:r w:rsidRPr="00E005C8">
        <w:t>all subjects treated with at least 1 IVIG or IgPro20 injection during any study period</w:t>
      </w:r>
      <w:r>
        <w:t>.</w:t>
      </w:r>
    </w:p>
    <w:p w:rsidR="005F74D8" w:rsidRPr="00E005C8" w:rsidDel="0081373E" w:rsidRDefault="005F74D8" w:rsidP="0070299A">
      <w:pPr>
        <w:pStyle w:val="Heading5"/>
      </w:pPr>
      <w:r w:rsidRPr="00E005C8" w:rsidDel="0081373E">
        <w:t>Sample size</w:t>
      </w:r>
    </w:p>
    <w:p w:rsidR="005F74D8" w:rsidRDefault="005F74D8" w:rsidP="0070299A">
      <w:r w:rsidRPr="00E005C8">
        <w:t>Previous experience with IgPro20 showed that IgG trough levels increased by 17.7% with SC</w:t>
      </w:r>
      <w:r w:rsidR="0070299A">
        <w:t xml:space="preserve"> </w:t>
      </w:r>
      <w:r>
        <w:t xml:space="preserve">treatment, when SC doses </w:t>
      </w:r>
      <w:r w:rsidRPr="00E005C8">
        <w:t xml:space="preserve">administered at the same </w:t>
      </w:r>
      <w:r w:rsidR="0070299A">
        <w:t>Week</w:t>
      </w:r>
      <w:r w:rsidRPr="00E005C8">
        <w:t>ly equivalent amount as a</w:t>
      </w:r>
      <w:r>
        <w:t xml:space="preserve"> subject’s previous IVIG</w:t>
      </w:r>
      <w:r w:rsidRPr="00E005C8">
        <w:t xml:space="preserve">. Based on data from study </w:t>
      </w:r>
      <w:r w:rsidRPr="00FF6D6B">
        <w:rPr>
          <w:b/>
        </w:rPr>
        <w:t>ZLB04_009CR</w:t>
      </w:r>
      <w:r w:rsidRPr="00E005C8">
        <w:t xml:space="preserve"> (</w:t>
      </w:r>
      <w:r w:rsidR="0070299A">
        <w:rPr>
          <w:b/>
        </w:rPr>
        <w:t>see later in this s</w:t>
      </w:r>
      <w:r w:rsidRPr="00E005C8">
        <w:rPr>
          <w:b/>
        </w:rPr>
        <w:t>ection</w:t>
      </w:r>
      <w:r w:rsidRPr="00E005C8">
        <w:t>), the residual SD of the primary model has been estimated to be 8.4%. For a conservative estimate of the sample size, a r</w:t>
      </w:r>
      <w:r>
        <w:t>esidual SD of 10% was used. P</w:t>
      </w:r>
      <w:r w:rsidRPr="00E005C8">
        <w:t>rimary objective was to provide th</w:t>
      </w:r>
      <w:r>
        <w:t>e GMR of SC</w:t>
      </w:r>
      <w:r w:rsidR="0070299A">
        <w:t xml:space="preserve"> versus</w:t>
      </w:r>
      <w:r>
        <w:t xml:space="preserve"> IV trough</w:t>
      </w:r>
      <w:r w:rsidRPr="00E005C8">
        <w:t xml:space="preserve">, along with a 2-sided 90% CI derived from the </w:t>
      </w:r>
      <w:r>
        <w:t xml:space="preserve">model. Comparable troughs </w:t>
      </w:r>
      <w:r w:rsidRPr="00E005C8">
        <w:t>would be indicated by a GMR close to 1. Assuming a residual SD of 0.1 for the l</w:t>
      </w:r>
      <w:r>
        <w:t>og-transformed IgG troughs</w:t>
      </w:r>
      <w:r w:rsidRPr="00E005C8">
        <w:t>, this 90% CI was estimated to extend from 0.93 to 1.07 times the GMR if 15 subjects were evaluable for the primary analysis</w:t>
      </w:r>
      <w:r>
        <w:t>. In order to account for discontinuations/feasibility</w:t>
      </w:r>
      <w:r w:rsidRPr="00E005C8">
        <w:t xml:space="preserve">, </w:t>
      </w:r>
      <w:r w:rsidRPr="00E005C8">
        <w:rPr>
          <w:b/>
          <w:u w:val="single"/>
        </w:rPr>
        <w:t>25 subjects</w:t>
      </w:r>
      <w:r>
        <w:t xml:space="preserve"> </w:t>
      </w:r>
      <w:r w:rsidR="00CC5635">
        <w:t>planned.</w:t>
      </w:r>
    </w:p>
    <w:p w:rsidR="005F74D8" w:rsidRPr="00E005C8" w:rsidRDefault="005F74D8" w:rsidP="0070299A">
      <w:pPr>
        <w:pStyle w:val="Heading5"/>
      </w:pPr>
      <w:r w:rsidRPr="00E005C8">
        <w:t>Statistical methods</w:t>
      </w:r>
    </w:p>
    <w:p w:rsidR="005F74D8" w:rsidRPr="00E005C8" w:rsidRDefault="005F74D8" w:rsidP="0070299A">
      <w:r w:rsidRPr="00E005C8">
        <w:t>The SAS software package (SAS Institute, Cary, NC, USA), version 9.2 or higher was used. Descriptive statistics included the following: continuous variables were summarized with</w:t>
      </w:r>
      <w:r w:rsidR="0070299A">
        <w:t xml:space="preserve"> </w:t>
      </w:r>
      <w:r w:rsidR="0070299A">
        <w:lastRenderedPageBreak/>
        <w:t xml:space="preserve">Number </w:t>
      </w:r>
      <w:r w:rsidRPr="00E005C8">
        <w:t>of subjects, mean, SD, 0% (minimum), 25%, 50% (median), 75%, and 100% (maximum) quantiles; frequency distributions were given for categorical data. Non-compartmental AUC determinations at steady-state were performed with WinNonlin software, version 5.2 or higher.</w:t>
      </w:r>
    </w:p>
    <w:p w:rsidR="005F74D8" w:rsidRPr="00D93015" w:rsidRDefault="005F74D8" w:rsidP="005F74D8">
      <w:pPr>
        <w:pStyle w:val="Bullet2"/>
        <w:numPr>
          <w:ilvl w:val="0"/>
          <w:numId w:val="0"/>
        </w:numPr>
        <w:rPr>
          <w:rFonts w:eastAsia="TimesNewRoman"/>
          <w:kern w:val="0"/>
        </w:rPr>
      </w:pPr>
      <w:r w:rsidRPr="00E005C8">
        <w:rPr>
          <w:rFonts w:eastAsia="TimesNewRoman"/>
          <w:b/>
          <w:kern w:val="0"/>
        </w:rPr>
        <w:t>Demographic and background characteristics were summarised descriptively</w:t>
      </w:r>
      <w:r w:rsidRPr="00E005C8">
        <w:rPr>
          <w:rFonts w:eastAsia="TimesNewRoman"/>
          <w:kern w:val="0"/>
        </w:rPr>
        <w:t xml:space="preserve"> to describe the different analysis sets (</w:t>
      </w:r>
      <w:r w:rsidR="00C2531A">
        <w:rPr>
          <w:rFonts w:eastAsia="TimesNewRoman"/>
          <w:kern w:val="0"/>
        </w:rPr>
        <w:t>that is</w:t>
      </w:r>
      <w:r w:rsidR="00617D86">
        <w:rPr>
          <w:rFonts w:eastAsia="TimesNewRoman"/>
          <w:kern w:val="0"/>
        </w:rPr>
        <w:t>,</w:t>
      </w:r>
      <w:r w:rsidRPr="00E005C8">
        <w:rPr>
          <w:rFonts w:eastAsia="TimesNewRoman"/>
          <w:kern w:val="0"/>
        </w:rPr>
        <w:t xml:space="preserve"> FAS, PPS, PK, and AT). A separate listing was to be provided for the total set identifying screen failures;</w:t>
      </w:r>
      <w:r>
        <w:rPr>
          <w:rFonts w:eastAsia="TimesNewRoman"/>
          <w:kern w:val="0"/>
        </w:rPr>
        <w:t xml:space="preserve"> </w:t>
      </w:r>
      <w:r w:rsidRPr="00E005C8">
        <w:rPr>
          <w:rFonts w:eastAsia="TimesNewRoman"/>
          <w:color w:val="000000" w:themeColor="text1"/>
          <w:kern w:val="0"/>
        </w:rPr>
        <w:t>Th</w:t>
      </w:r>
      <w:r>
        <w:rPr>
          <w:rFonts w:eastAsia="TimesNewRoman"/>
          <w:color w:val="000000" w:themeColor="text1"/>
          <w:kern w:val="0"/>
        </w:rPr>
        <w:t xml:space="preserve">e primary efficacy analysis </w:t>
      </w:r>
      <w:r w:rsidRPr="00E005C8">
        <w:rPr>
          <w:rFonts w:eastAsia="TimesNewRoman"/>
          <w:color w:val="000000" w:themeColor="text1"/>
          <w:kern w:val="0"/>
        </w:rPr>
        <w:t>based on the PPS (SCIG efficacy period</w:t>
      </w:r>
      <w:r w:rsidR="0070299A">
        <w:rPr>
          <w:rFonts w:eastAsia="TimesNewRoman"/>
          <w:color w:val="000000" w:themeColor="text1"/>
          <w:kern w:val="0"/>
        </w:rPr>
        <w:t xml:space="preserve"> versus</w:t>
      </w:r>
      <w:r w:rsidRPr="00E005C8">
        <w:rPr>
          <w:rFonts w:eastAsia="TimesNewRoman"/>
          <w:color w:val="000000" w:themeColor="text1"/>
          <w:kern w:val="0"/>
        </w:rPr>
        <w:t xml:space="preserve"> IVIG treatment period). Serum trough levels following a dose variation of &gt;</w:t>
      </w:r>
      <w:r w:rsidR="0070299A">
        <w:rPr>
          <w:rFonts w:eastAsia="TimesNewRoman"/>
          <w:color w:val="000000" w:themeColor="text1"/>
          <w:kern w:val="0"/>
        </w:rPr>
        <w:t xml:space="preserve">± </w:t>
      </w:r>
      <w:r w:rsidRPr="00E005C8">
        <w:rPr>
          <w:rFonts w:eastAsia="TimesNewRoman"/>
          <w:color w:val="000000" w:themeColor="text1"/>
          <w:kern w:val="0"/>
        </w:rPr>
        <w:t>10% during the efficacy peri</w:t>
      </w:r>
      <w:r>
        <w:rPr>
          <w:rFonts w:eastAsia="TimesNewRoman"/>
          <w:color w:val="000000" w:themeColor="text1"/>
          <w:kern w:val="0"/>
        </w:rPr>
        <w:t xml:space="preserve">od were </w:t>
      </w:r>
      <w:r w:rsidRPr="00E005C8">
        <w:rPr>
          <w:rFonts w:eastAsia="TimesNewRoman"/>
          <w:color w:val="000000" w:themeColor="text1"/>
          <w:kern w:val="0"/>
        </w:rPr>
        <w:t>discarded in the respective treatment period (treated a</w:t>
      </w:r>
      <w:r>
        <w:rPr>
          <w:rFonts w:eastAsia="TimesNewRoman"/>
          <w:color w:val="000000" w:themeColor="text1"/>
          <w:kern w:val="0"/>
        </w:rPr>
        <w:t xml:space="preserve">s missing). Missing values </w:t>
      </w:r>
      <w:r w:rsidRPr="00E005C8">
        <w:rPr>
          <w:rFonts w:eastAsia="TimesNewRoman"/>
          <w:color w:val="000000" w:themeColor="text1"/>
          <w:kern w:val="0"/>
        </w:rPr>
        <w:t>not replaced.</w:t>
      </w:r>
      <w:r>
        <w:rPr>
          <w:rFonts w:eastAsia="TimesNewRoman"/>
          <w:color w:val="000000" w:themeColor="text1"/>
          <w:kern w:val="0"/>
        </w:rPr>
        <w:t xml:space="preserve"> Serum trough levels </w:t>
      </w:r>
      <w:r w:rsidRPr="00E005C8">
        <w:rPr>
          <w:rFonts w:eastAsia="TimesNewRoman"/>
          <w:color w:val="000000" w:themeColor="text1"/>
          <w:kern w:val="0"/>
        </w:rPr>
        <w:t>log-transformed, beforehan</w:t>
      </w:r>
      <w:r>
        <w:rPr>
          <w:rFonts w:eastAsia="TimesNewRoman"/>
          <w:color w:val="000000" w:themeColor="text1"/>
          <w:kern w:val="0"/>
        </w:rPr>
        <w:t xml:space="preserve">d and mean values by treatment </w:t>
      </w:r>
      <w:r w:rsidRPr="00E005C8">
        <w:rPr>
          <w:rFonts w:eastAsia="TimesNewRoman"/>
          <w:color w:val="000000" w:themeColor="text1"/>
          <w:kern w:val="0"/>
        </w:rPr>
        <w:t>calculated. An analysis of variance model was fitted to the mean log IgG values to assess the treatment effect (SCIG</w:t>
      </w:r>
      <w:r w:rsidR="0070299A">
        <w:rPr>
          <w:rFonts w:eastAsia="TimesNewRoman"/>
          <w:color w:val="000000" w:themeColor="text1"/>
          <w:kern w:val="0"/>
        </w:rPr>
        <w:t xml:space="preserve"> versus</w:t>
      </w:r>
      <w:r w:rsidRPr="00E005C8">
        <w:rPr>
          <w:rFonts w:eastAsia="TimesNewRoman"/>
          <w:color w:val="000000" w:themeColor="text1"/>
          <w:kern w:val="0"/>
        </w:rPr>
        <w:t xml:space="preserve"> IVIG), using subjects as fixed effect:</w:t>
      </w:r>
      <w:r>
        <w:rPr>
          <w:rFonts w:eastAsia="TimesNewRoman"/>
          <w:color w:val="000000" w:themeColor="text1"/>
          <w:kern w:val="0"/>
        </w:rPr>
        <w:t xml:space="preserve"> </w:t>
      </w:r>
      <w:r w:rsidRPr="005713B0">
        <w:rPr>
          <w:rFonts w:eastAsia="TimesNewRoman"/>
          <w:b/>
          <w:color w:val="000000" w:themeColor="text1"/>
          <w:kern w:val="0"/>
        </w:rPr>
        <w:t>Mean log IgG = Treat + Subject</w:t>
      </w:r>
      <w:r>
        <w:rPr>
          <w:rFonts w:eastAsia="TimesNewRoman"/>
          <w:color w:val="000000" w:themeColor="text1"/>
          <w:kern w:val="0"/>
        </w:rPr>
        <w:t xml:space="preserve">, </w:t>
      </w:r>
      <w:r w:rsidRPr="005713B0">
        <w:rPr>
          <w:rFonts w:eastAsia="TimesNewRoman"/>
          <w:color w:val="000000" w:themeColor="text1"/>
          <w:kern w:val="0"/>
        </w:rPr>
        <w:t>where mean log IgG values were estimated as arithmetic means of log IgG trough levels by subject and treatment. From this model, the treatment effect estimate, along with the 90% CI, was obtained. After back exponentiation, these values represent the GMR, along with its 90% CI.</w:t>
      </w:r>
      <w:r>
        <w:rPr>
          <w:rFonts w:eastAsia="TimesNewRoman"/>
          <w:color w:val="000000" w:themeColor="text1"/>
          <w:kern w:val="0"/>
        </w:rPr>
        <w:t xml:space="preserve"> Additionally</w:t>
      </w:r>
      <w:r w:rsidR="005159A3">
        <w:rPr>
          <w:rFonts w:eastAsia="TimesNewRoman"/>
          <w:color w:val="000000" w:themeColor="text1"/>
          <w:kern w:val="0"/>
        </w:rPr>
        <w:t>,</w:t>
      </w:r>
      <w:r>
        <w:rPr>
          <w:rFonts w:eastAsia="TimesNewRoman"/>
          <w:color w:val="000000" w:themeColor="text1"/>
          <w:kern w:val="0"/>
        </w:rPr>
        <w:t xml:space="preserve"> all trough IgG </w:t>
      </w:r>
      <w:r w:rsidRPr="00E005C8">
        <w:rPr>
          <w:rFonts w:eastAsia="TimesNewRoman"/>
          <w:color w:val="000000" w:themeColor="text1"/>
          <w:kern w:val="0"/>
        </w:rPr>
        <w:t xml:space="preserve">analysed descriptively by visit. Individual median IgG trough levels per study period were calculated and summarised descriptively: IVIG period (IV 1, IV 2, IV 3), </w:t>
      </w:r>
      <w:r>
        <w:rPr>
          <w:rFonts w:eastAsia="TimesNewRoman"/>
          <w:color w:val="000000" w:themeColor="text1"/>
          <w:kern w:val="0"/>
        </w:rPr>
        <w:t>WI/WO</w:t>
      </w:r>
      <w:r w:rsidRPr="00E005C8">
        <w:rPr>
          <w:rFonts w:eastAsia="TimesNewRoman"/>
          <w:color w:val="000000" w:themeColor="text1"/>
          <w:kern w:val="0"/>
        </w:rPr>
        <w:t xml:space="preserve"> period (</w:t>
      </w:r>
      <w:r w:rsidR="0070299A">
        <w:rPr>
          <w:rFonts w:eastAsia="TimesNewRoman"/>
          <w:color w:val="000000" w:themeColor="text1"/>
          <w:kern w:val="0"/>
        </w:rPr>
        <w:t>Week</w:t>
      </w:r>
      <w:r w:rsidRPr="00E005C8">
        <w:rPr>
          <w:rFonts w:eastAsia="TimesNewRoman"/>
          <w:color w:val="000000" w:themeColor="text1"/>
          <w:kern w:val="0"/>
        </w:rPr>
        <w:t xml:space="preserve"> 4, 8, and 12), and the SCIG efficacy period (</w:t>
      </w:r>
      <w:r w:rsidR="0070299A">
        <w:rPr>
          <w:rFonts w:eastAsia="TimesNewRoman"/>
          <w:color w:val="000000" w:themeColor="text1"/>
          <w:kern w:val="0"/>
        </w:rPr>
        <w:t>Week</w:t>
      </w:r>
      <w:r w:rsidRPr="00E005C8">
        <w:rPr>
          <w:rFonts w:eastAsia="TimesNewRoman"/>
          <w:color w:val="000000" w:themeColor="text1"/>
          <w:kern w:val="0"/>
        </w:rPr>
        <w:t xml:space="preserve"> 16, 20, and 24).</w:t>
      </w:r>
      <w:r w:rsidR="000D6A22">
        <w:rPr>
          <w:rFonts w:eastAsia="TimesNewRoman"/>
          <w:color w:val="000000" w:themeColor="text1"/>
          <w:kern w:val="0"/>
        </w:rPr>
        <w:t xml:space="preserve"> </w:t>
      </w:r>
      <w:r w:rsidRPr="00E005C8">
        <w:rPr>
          <w:rFonts w:eastAsia="TimesNewRoman"/>
          <w:color w:val="000000" w:themeColor="text1"/>
          <w:kern w:val="0"/>
        </w:rPr>
        <w:t xml:space="preserve">Analyses of </w:t>
      </w:r>
      <w:r w:rsidRPr="00E005C8">
        <w:rPr>
          <w:rFonts w:eastAsia="TimesNewRoman"/>
          <w:b/>
          <w:color w:val="000000" w:themeColor="text1"/>
          <w:kern w:val="0"/>
        </w:rPr>
        <w:t>secondary efficacy variables</w:t>
      </w:r>
      <w:r w:rsidRPr="00E005C8">
        <w:rPr>
          <w:rFonts w:eastAsia="TimesNewRoman"/>
          <w:color w:val="000000" w:themeColor="text1"/>
          <w:kern w:val="0"/>
        </w:rPr>
        <w:t xml:space="preserve"> were based on the PP</w:t>
      </w:r>
      <w:r>
        <w:rPr>
          <w:rFonts w:eastAsia="TimesNewRoman"/>
          <w:color w:val="000000" w:themeColor="text1"/>
          <w:kern w:val="0"/>
        </w:rPr>
        <w:t>S and the FAS data set and were</w:t>
      </w:r>
      <w:r w:rsidR="000D6A22">
        <w:rPr>
          <w:rFonts w:eastAsia="TimesNewRoman"/>
          <w:color w:val="000000" w:themeColor="text1"/>
          <w:kern w:val="0"/>
        </w:rPr>
        <w:t xml:space="preserve"> </w:t>
      </w:r>
      <w:r w:rsidRPr="00E005C8">
        <w:rPr>
          <w:rFonts w:eastAsia="TimesNewRoman"/>
          <w:color w:val="000000" w:themeColor="text1"/>
          <w:kern w:val="0"/>
        </w:rPr>
        <w:t xml:space="preserve">calculated for the IVIG run-in, SCIG </w:t>
      </w:r>
      <w:r>
        <w:rPr>
          <w:rFonts w:eastAsia="TimesNewRoman"/>
          <w:color w:val="000000" w:themeColor="text1"/>
          <w:kern w:val="0"/>
        </w:rPr>
        <w:t>WI/WO</w:t>
      </w:r>
      <w:r w:rsidRPr="00E005C8">
        <w:rPr>
          <w:rFonts w:eastAsia="TimesNewRoman"/>
          <w:color w:val="000000" w:themeColor="text1"/>
          <w:kern w:val="0"/>
        </w:rPr>
        <w:t xml:space="preserve">, and SCIG efficacy period. </w:t>
      </w:r>
      <w:r w:rsidRPr="00E005C8">
        <w:rPr>
          <w:rFonts w:eastAsia="TimesNewRoman"/>
          <w:b/>
          <w:color w:val="000000" w:themeColor="text1"/>
          <w:kern w:val="0"/>
        </w:rPr>
        <w:t>The</w:t>
      </w:r>
      <w:r w:rsidR="0070299A">
        <w:rPr>
          <w:rFonts w:eastAsia="TimesNewRoman"/>
          <w:b/>
          <w:color w:val="000000" w:themeColor="text1"/>
          <w:kern w:val="0"/>
        </w:rPr>
        <w:t xml:space="preserve"> Number </w:t>
      </w:r>
      <w:r w:rsidRPr="00E005C8">
        <w:rPr>
          <w:rFonts w:eastAsia="TimesNewRoman"/>
          <w:b/>
          <w:color w:val="000000" w:themeColor="text1"/>
          <w:kern w:val="0"/>
        </w:rPr>
        <w:t>and rate of</w:t>
      </w:r>
      <w:r w:rsidR="000D6A22">
        <w:rPr>
          <w:rFonts w:eastAsia="TimesNewRoman"/>
          <w:b/>
          <w:color w:val="000000" w:themeColor="text1"/>
          <w:kern w:val="0"/>
        </w:rPr>
        <w:t xml:space="preserve"> </w:t>
      </w:r>
      <w:r w:rsidRPr="00E005C8">
        <w:rPr>
          <w:rFonts w:eastAsia="TimesNewRoman"/>
          <w:b/>
          <w:color w:val="000000" w:themeColor="text1"/>
          <w:kern w:val="0"/>
        </w:rPr>
        <w:t xml:space="preserve">infections </w:t>
      </w:r>
      <w:r>
        <w:rPr>
          <w:rFonts w:eastAsia="TimesNewRoman"/>
          <w:color w:val="000000" w:themeColor="text1"/>
          <w:kern w:val="0"/>
        </w:rPr>
        <w:t xml:space="preserve">(serious/non-serious) </w:t>
      </w:r>
      <w:r w:rsidRPr="00E005C8">
        <w:rPr>
          <w:rFonts w:eastAsia="TimesNewRoman"/>
          <w:color w:val="000000" w:themeColor="text1"/>
          <w:kern w:val="0"/>
        </w:rPr>
        <w:t xml:space="preserve">calculated for the IVIG run-in, SCIG </w:t>
      </w:r>
      <w:r>
        <w:rPr>
          <w:rFonts w:eastAsia="TimesNewRoman"/>
          <w:color w:val="000000" w:themeColor="text1"/>
          <w:kern w:val="0"/>
        </w:rPr>
        <w:t>WI/WO</w:t>
      </w:r>
      <w:r w:rsidRPr="00E005C8">
        <w:rPr>
          <w:rFonts w:eastAsia="TimesNewRoman"/>
          <w:color w:val="000000" w:themeColor="text1"/>
          <w:kern w:val="0"/>
        </w:rPr>
        <w:t>, and SCIG efficacy period. Infection rates were standardized to a 1-year period in the following way:</w:t>
      </w:r>
      <w:r>
        <w:rPr>
          <w:rFonts w:eastAsia="TimesNewRoman"/>
          <w:color w:val="000000" w:themeColor="text1"/>
          <w:kern w:val="0"/>
        </w:rPr>
        <w:t xml:space="preserve"> </w:t>
      </w:r>
      <w:r>
        <w:rPr>
          <w:rFonts w:eastAsia="TimesNewRoman"/>
          <w:b/>
          <w:color w:val="000000" w:themeColor="text1"/>
          <w:kern w:val="0"/>
        </w:rPr>
        <w:t>Annualised</w:t>
      </w:r>
      <w:r w:rsidR="000D6A22">
        <w:rPr>
          <w:rFonts w:eastAsia="TimesNewRoman"/>
          <w:b/>
          <w:color w:val="000000" w:themeColor="text1"/>
          <w:kern w:val="0"/>
        </w:rPr>
        <w:t xml:space="preserve"> </w:t>
      </w:r>
      <w:r w:rsidRPr="00924832">
        <w:rPr>
          <w:rFonts w:eastAsia="TimesNewRoman"/>
          <w:b/>
          <w:color w:val="000000" w:themeColor="text1"/>
          <w:kern w:val="0"/>
        </w:rPr>
        <w:t>rate = 365 × observed episodes / total exposure days</w:t>
      </w:r>
      <w:r>
        <w:rPr>
          <w:rFonts w:eastAsia="TimesNewRoman"/>
          <w:color w:val="000000" w:themeColor="text1"/>
          <w:kern w:val="0"/>
        </w:rPr>
        <w:t xml:space="preserve">. </w:t>
      </w:r>
      <w:r w:rsidRPr="00924832">
        <w:rPr>
          <w:rFonts w:eastAsia="TimesNewRoman"/>
          <w:color w:val="000000" w:themeColor="text1"/>
          <w:kern w:val="0"/>
        </w:rPr>
        <w:t>No imputation</w:t>
      </w:r>
      <w:r>
        <w:rPr>
          <w:rFonts w:eastAsia="TimesNewRoman"/>
          <w:color w:val="000000" w:themeColor="text1"/>
          <w:kern w:val="0"/>
        </w:rPr>
        <w:t xml:space="preserve"> of values </w:t>
      </w:r>
      <w:r w:rsidRPr="00924832">
        <w:rPr>
          <w:rFonts w:eastAsia="TimesNewRoman"/>
          <w:color w:val="000000" w:themeColor="text1"/>
          <w:kern w:val="0"/>
        </w:rPr>
        <w:t xml:space="preserve">considered for subjects dropped before the regular study end. </w:t>
      </w:r>
      <w:r w:rsidRPr="00E005C8">
        <w:rPr>
          <w:rFonts w:eastAsia="TimesNewRoman"/>
          <w:color w:val="000000" w:themeColor="text1"/>
          <w:kern w:val="0"/>
        </w:rPr>
        <w:t xml:space="preserve">The </w:t>
      </w:r>
      <w:r>
        <w:rPr>
          <w:rFonts w:eastAsia="TimesNewRoman"/>
          <w:color w:val="000000" w:themeColor="text1"/>
          <w:kern w:val="0"/>
        </w:rPr>
        <w:t>annualised</w:t>
      </w:r>
      <w:r w:rsidRPr="00E005C8">
        <w:rPr>
          <w:rFonts w:eastAsia="TimesNewRoman"/>
          <w:color w:val="000000" w:themeColor="text1"/>
          <w:kern w:val="0"/>
        </w:rPr>
        <w:t xml:space="preserve"> rate (</w:t>
      </w:r>
      <w:r w:rsidR="00617D86">
        <w:rPr>
          <w:rFonts w:eastAsia="TimesNewRoman"/>
          <w:color w:val="000000" w:themeColor="text1"/>
          <w:kern w:val="0"/>
        </w:rPr>
        <w:t>λ</w:t>
      </w:r>
      <w:r w:rsidRPr="00E005C8">
        <w:rPr>
          <w:rFonts w:eastAsia="TimesNewRoman"/>
          <w:color w:val="000000" w:themeColor="text1"/>
          <w:kern w:val="0"/>
          <w:vertAlign w:val="subscript"/>
        </w:rPr>
        <w:t>I</w:t>
      </w:r>
      <w:r w:rsidRPr="00E005C8">
        <w:rPr>
          <w:rFonts w:eastAsia="TimesNewRoman"/>
          <w:color w:val="000000" w:themeColor="text1"/>
          <w:kern w:val="0"/>
        </w:rPr>
        <w:t>) of SBIs estimated along with its upper 1-sided 99% (</w:t>
      </w:r>
      <w:r w:rsidR="00617D86">
        <w:rPr>
          <w:rFonts w:eastAsia="TimesNewRoman"/>
          <w:color w:val="000000" w:themeColor="text1"/>
          <w:kern w:val="0"/>
        </w:rPr>
        <w:t>λ</w:t>
      </w:r>
      <w:r w:rsidRPr="00E005C8">
        <w:rPr>
          <w:rFonts w:eastAsia="TimesNewRoman"/>
          <w:color w:val="000000" w:themeColor="text1"/>
          <w:kern w:val="0"/>
          <w:vertAlign w:val="subscript"/>
        </w:rPr>
        <w:t>Iupper</w:t>
      </w:r>
      <w:r>
        <w:rPr>
          <w:rFonts w:eastAsia="TimesNewRoman"/>
          <w:color w:val="000000" w:themeColor="text1"/>
          <w:kern w:val="0"/>
        </w:rPr>
        <w:t>) CL</w:t>
      </w:r>
      <w:r w:rsidRPr="00E005C8">
        <w:rPr>
          <w:rFonts w:eastAsia="TimesNewRoman"/>
          <w:color w:val="000000" w:themeColor="text1"/>
          <w:kern w:val="0"/>
        </w:rPr>
        <w:t>:</w:t>
      </w:r>
    </w:p>
    <w:p w:rsidR="00617D86" w:rsidRDefault="00CC5635" w:rsidP="005F74D8">
      <w:pPr>
        <w:pStyle w:val="Bullet2"/>
        <w:numPr>
          <w:ilvl w:val="0"/>
          <w:numId w:val="0"/>
        </w:numPr>
        <w:rPr>
          <w:rFonts w:eastAsia="TimesNewRoman"/>
          <w:color w:val="000000" w:themeColor="text1"/>
          <w:kern w:val="0"/>
        </w:rPr>
      </w:pPr>
      <w:r w:rsidRPr="00E005C8">
        <w:rPr>
          <w:rFonts w:eastAsia="TimesNewRoman"/>
          <w:color w:val="000000" w:themeColor="text1"/>
          <w:kern w:val="0"/>
        </w:rPr>
        <w:object w:dxaOrig="3120" w:dyaOrig="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ormula for the annualised rate (λI) of SBIs estimated along with its upper 1-sided 99% (λIupper) CL." style="width:159.6pt;height:39.75pt" o:ole="">
            <v:imagedata r:id="rId18" o:title=""/>
          </v:shape>
          <o:OLEObject Type="Embed" ProgID="Acrobat.Document.11" ShapeID="_x0000_i1026" DrawAspect="Content" ObjectID="_1466499166" r:id="rId19"/>
        </w:object>
      </w:r>
    </w:p>
    <w:p w:rsidR="005F74D8" w:rsidRPr="00617D86" w:rsidRDefault="005F74D8" w:rsidP="00CC5635">
      <w:r w:rsidRPr="00617D86">
        <w:t xml:space="preserve">with </w:t>
      </w:r>
      <w:r w:rsidR="00617D86" w:rsidRPr="00617D86">
        <w:sym w:font="Symbol" w:char="F063"/>
      </w:r>
      <w:r w:rsidRPr="00617D86">
        <w:rPr>
          <w:vertAlign w:val="superscript"/>
        </w:rPr>
        <w:t>2</w:t>
      </w:r>
      <w:r w:rsidRPr="00617D86">
        <w:rPr>
          <w:vertAlign w:val="subscript"/>
        </w:rPr>
        <w:t>1-</w:t>
      </w:r>
      <w:r w:rsidR="00617D86" w:rsidRPr="00617D86">
        <w:rPr>
          <w:vertAlign w:val="subscript"/>
        </w:rPr>
        <w:sym w:font="Symbol" w:char="F061"/>
      </w:r>
      <w:r w:rsidRPr="00617D86">
        <w:rPr>
          <w:vertAlign w:val="subscript"/>
        </w:rPr>
        <w:t>,v</w:t>
      </w:r>
      <w:r w:rsidR="000D6A22" w:rsidRPr="00617D86">
        <w:rPr>
          <w:vertAlign w:val="subscript"/>
        </w:rPr>
        <w:t xml:space="preserve"> </w:t>
      </w:r>
      <w:r w:rsidRPr="00617D86">
        <w:t>representing the upper 1-</w:t>
      </w:r>
      <w:r w:rsidR="00617D86" w:rsidRPr="00617D86">
        <w:sym w:font="Symbol" w:char="F061"/>
      </w:r>
      <w:r w:rsidRPr="00617D86">
        <w:t xml:space="preserve"> percentile of the Chi-Square distribution with </w:t>
      </w:r>
      <w:r w:rsidRPr="00617D86">
        <w:sym w:font="Symbol" w:char="F06E"/>
      </w:r>
      <w:r w:rsidRPr="00617D86">
        <w:t xml:space="preserve"> degrees of freedom, y the total</w:t>
      </w:r>
      <w:r w:rsidR="0070299A" w:rsidRPr="00617D86">
        <w:t xml:space="preserve"> Number </w:t>
      </w:r>
      <w:r w:rsidRPr="00617D86">
        <w:t>of a SBIs within the respective period, and t the sum of all study days over all subj</w:t>
      </w:r>
      <w:r w:rsidR="00CC5635">
        <w:t>ects for the respective period.</w:t>
      </w:r>
    </w:p>
    <w:p w:rsidR="005F74D8" w:rsidRDefault="005F74D8" w:rsidP="00617D86">
      <w:r w:rsidRPr="00E005C8">
        <w:t xml:space="preserve">Days out </w:t>
      </w:r>
      <w:r>
        <w:t>of work/school/kindergarten/day</w:t>
      </w:r>
      <w:r w:rsidRPr="00E005C8">
        <w:t>care due to infections, Days of hospitalization due to infections -</w:t>
      </w:r>
      <w:r w:rsidR="0070299A">
        <w:t xml:space="preserve"> Number </w:t>
      </w:r>
      <w:r w:rsidRPr="00E005C8">
        <w:t xml:space="preserve">and proportion of subjects, descriptive statistics. </w:t>
      </w:r>
      <w:r w:rsidRPr="00E005C8">
        <w:rPr>
          <w:rFonts w:eastAsia="TimesNewRoman" w:cs="TimesNewRoman"/>
          <w:b/>
        </w:rPr>
        <w:t>Heal</w:t>
      </w:r>
      <w:r>
        <w:rPr>
          <w:rFonts w:eastAsia="TimesNewRoman" w:cs="TimesNewRoman"/>
          <w:b/>
        </w:rPr>
        <w:t>th-related quality of life and PhEc</w:t>
      </w:r>
      <w:r w:rsidRPr="00E005C8">
        <w:rPr>
          <w:rFonts w:eastAsia="TimesNewRoman" w:cs="TimesNewRoman"/>
          <w:b/>
        </w:rPr>
        <w:t xml:space="preserve"> analyses</w:t>
      </w:r>
      <w:r w:rsidRPr="00E005C8">
        <w:rPr>
          <w:rFonts w:eastAsia="TimesNewRoman" w:cs="TimesNewRoman"/>
        </w:rPr>
        <w:t xml:space="preserve">: </w:t>
      </w:r>
      <w:r>
        <w:rPr>
          <w:rFonts w:eastAsia="TimesNewRoman" w:cs="TimesNewRoman"/>
        </w:rPr>
        <w:t>utilising health questionnaires</w:t>
      </w:r>
      <w:r w:rsidRPr="00E005C8">
        <w:rPr>
          <w:rFonts w:eastAsia="TimesNewRoman" w:cs="TimesNewRoman"/>
        </w:rPr>
        <w:t xml:space="preserve"> </w:t>
      </w:r>
      <w:r>
        <w:rPr>
          <w:rFonts w:eastAsia="TimesNewRoman" w:cs="TimesNewRoman"/>
        </w:rPr>
        <w:t xml:space="preserve">and </w:t>
      </w:r>
      <w:r w:rsidRPr="00E005C8">
        <w:rPr>
          <w:rFonts w:eastAsia="TimesNewRoman" w:cs="TimesNewRoman"/>
        </w:rPr>
        <w:t>the LQI subscale IV and the PhEc questionnaire</w:t>
      </w:r>
      <w:r>
        <w:rPr>
          <w:rFonts w:eastAsia="TimesNewRoman" w:cs="TimesNewRoman"/>
        </w:rPr>
        <w:t>s respectively</w:t>
      </w:r>
      <w:r w:rsidRPr="00E005C8">
        <w:rPr>
          <w:rFonts w:eastAsia="TimesNewRoman" w:cs="TimesNewRoman"/>
        </w:rPr>
        <w:t xml:space="preserve"> were used. </w:t>
      </w:r>
      <w:r>
        <w:rPr>
          <w:rFonts w:eastAsia="TimesNewRoman" w:cs="TimesNewRoman"/>
        </w:rPr>
        <w:t xml:space="preserve">to </w:t>
      </w:r>
      <w:r w:rsidRPr="00E005C8">
        <w:rPr>
          <w:rFonts w:eastAsia="TimesNewRoman" w:cs="TimesNewRoman"/>
        </w:rPr>
        <w:t xml:space="preserve">compared </w:t>
      </w:r>
      <w:r>
        <w:rPr>
          <w:rFonts w:eastAsia="TimesNewRoman" w:cs="TimesNewRoman"/>
        </w:rPr>
        <w:t xml:space="preserve">and score </w:t>
      </w:r>
      <w:r w:rsidRPr="00E005C8">
        <w:rPr>
          <w:rFonts w:eastAsia="TimesNewRoman" w:cs="TimesNewRoman"/>
        </w:rPr>
        <w:t>change in HRQL from IVIG to SCIG treatment.</w:t>
      </w:r>
    </w:p>
    <w:p w:rsidR="005F74D8" w:rsidRDefault="005F74D8" w:rsidP="00617D86">
      <w:pPr>
        <w:rPr>
          <w:rFonts w:eastAsia="TimesNewRoman" w:cs="TimesNewRoman"/>
        </w:rPr>
      </w:pPr>
      <w:r w:rsidRPr="003A11D0">
        <w:rPr>
          <w:b/>
        </w:rPr>
        <w:t>Note</w:t>
      </w:r>
      <w:r>
        <w:t xml:space="preserve">: </w:t>
      </w:r>
      <w:r w:rsidRPr="00E005C8">
        <w:rPr>
          <w:rFonts w:eastAsia="TimesNewRoman" w:cs="TimesNewRoman"/>
        </w:rPr>
        <w:t>Treatment satisfaction data in answers to questions Q2, Q5 and Q6</w:t>
      </w:r>
      <w:r>
        <w:rPr>
          <w:rFonts w:eastAsia="TimesNewRoman" w:cs="TimesNewRoman"/>
        </w:rPr>
        <w:t xml:space="preserve"> was reanalysed d</w:t>
      </w:r>
      <w:r w:rsidRPr="00E005C8">
        <w:rPr>
          <w:rFonts w:eastAsia="TimesNewRoman" w:cs="TimesNewRoman"/>
        </w:rPr>
        <w:t>ue to a translation error of instructions from the English original into Japanese</w:t>
      </w:r>
      <w:r>
        <w:rPr>
          <w:rFonts w:eastAsia="TimesNewRoman" w:cs="TimesNewRoman"/>
        </w:rPr>
        <w:t>,</w:t>
      </w:r>
      <w:r w:rsidRPr="00E005C8">
        <w:rPr>
          <w:rFonts w:eastAsia="TimesNewRoman" w:cs="TimesNewRoman"/>
        </w:rPr>
        <w:t xml:space="preserve"> subjects scored these 3 specific questions under erroneous guidance. Instead of the original score range from 1 (extremely bad) to 7 (extremely good), the Japanese questionnaire requested answers on a reverse scale from 1 (extremely good) to 7 (extremely bad). To correct this error pos</w:t>
      </w:r>
      <w:r w:rsidR="00617D86">
        <w:rPr>
          <w:rFonts w:eastAsia="TimesNewRoman" w:cs="TimesNewRoman"/>
        </w:rPr>
        <w:t xml:space="preserve">t </w:t>
      </w:r>
      <w:r w:rsidRPr="00E005C8">
        <w:rPr>
          <w:rFonts w:eastAsia="TimesNewRoman" w:cs="TimesNewRoman"/>
        </w:rPr>
        <w:t>hoc, the original answers to the above 3 questions were transformed</w:t>
      </w:r>
      <w:r>
        <w:rPr>
          <w:rFonts w:eastAsia="TimesNewRoman" w:cs="TimesNewRoman"/>
        </w:rPr>
        <w:t xml:space="preserve">. </w:t>
      </w:r>
      <w:r w:rsidRPr="00E005C8">
        <w:rPr>
          <w:rFonts w:eastAsia="TimesNewRoman" w:cs="TimesNewRoman"/>
        </w:rPr>
        <w:t xml:space="preserve">The following additional </w:t>
      </w:r>
      <w:r w:rsidRPr="00E005C8">
        <w:rPr>
          <w:rFonts w:eastAsia="TimesNewRoman" w:cs="TimesNewRoman"/>
          <w:b/>
        </w:rPr>
        <w:t>post-hoc analyses</w:t>
      </w:r>
      <w:r w:rsidRPr="00E005C8">
        <w:rPr>
          <w:rFonts w:eastAsia="TimesNewRoman" w:cs="TimesNewRoman"/>
        </w:rPr>
        <w:t xml:space="preserve"> were performed for the primary endpoint “GMR of SC</w:t>
      </w:r>
      <w:r w:rsidR="0070299A">
        <w:rPr>
          <w:rFonts w:eastAsia="TimesNewRoman" w:cs="TimesNewRoman"/>
        </w:rPr>
        <w:t xml:space="preserve"> versus</w:t>
      </w:r>
      <w:r w:rsidRPr="00E005C8">
        <w:rPr>
          <w:rFonts w:eastAsia="TimesNewRoman" w:cs="TimesNewRoman"/>
        </w:rPr>
        <w:t xml:space="preserve"> IV trough levels” to support the results:</w:t>
      </w:r>
      <w:r w:rsidRPr="00E005C8">
        <w:t xml:space="preserve"> The primary endpoint (on the PPS) was additionally calculated for the FAS.</w:t>
      </w:r>
      <w:r>
        <w:t xml:space="preserve"> </w:t>
      </w:r>
      <w:r w:rsidRPr="00E005C8">
        <w:rPr>
          <w:rFonts w:eastAsia="TimesNewRoman" w:cs="TimesNewRoman"/>
          <w:b/>
        </w:rPr>
        <w:t>Safety analyses</w:t>
      </w:r>
      <w:r w:rsidRPr="00E005C8">
        <w:rPr>
          <w:rFonts w:eastAsia="TimesNewRoman" w:cs="TimesNewRoman"/>
        </w:rPr>
        <w:t>: AEs were coded using MedDRA version 14.1. Analyses performed by primary system organ class (SOC) and preferred term (PT).</w:t>
      </w:r>
      <w:r w:rsidRPr="00E005C8">
        <w:t xml:space="preserve"> </w:t>
      </w:r>
      <w:r w:rsidRPr="00E005C8">
        <w:rPr>
          <w:rFonts w:eastAsia="TimesNewRoman" w:cs="TimesNewRoman"/>
        </w:rPr>
        <w:t xml:space="preserve">Analyses of AEs were conducted in 2 ways: i) </w:t>
      </w:r>
      <w:r w:rsidRPr="00E005C8">
        <w:rPr>
          <w:rFonts w:eastAsia="TimesNewRoman" w:cs="TimesNewRoman"/>
          <w:b/>
        </w:rPr>
        <w:t>Subject level:</w:t>
      </w:r>
      <w:r w:rsidRPr="00E005C8">
        <w:rPr>
          <w:rFonts w:eastAsia="TimesNewRoman" w:cs="TimesNewRoman"/>
        </w:rPr>
        <w:t xml:space="preserve"> The</w:t>
      </w:r>
      <w:r w:rsidR="0070299A">
        <w:rPr>
          <w:rFonts w:eastAsia="TimesNewRoman" w:cs="TimesNewRoman"/>
        </w:rPr>
        <w:t xml:space="preserve"> Number </w:t>
      </w:r>
      <w:r w:rsidRPr="00E005C8">
        <w:rPr>
          <w:rFonts w:eastAsia="TimesNewRoman" w:cs="TimesNewRoman"/>
        </w:rPr>
        <w:t>of subjects with an AE was related to the total</w:t>
      </w:r>
      <w:r w:rsidR="0070299A">
        <w:rPr>
          <w:rFonts w:eastAsia="TimesNewRoman" w:cs="TimesNewRoman"/>
        </w:rPr>
        <w:t xml:space="preserve"> Number </w:t>
      </w:r>
      <w:r w:rsidRPr="00E005C8">
        <w:rPr>
          <w:rFonts w:eastAsia="TimesNewRoman" w:cs="TimesNewRoman"/>
        </w:rPr>
        <w:t>of subjects treated (</w:t>
      </w:r>
      <w:r w:rsidR="00C2531A">
        <w:rPr>
          <w:rFonts w:eastAsia="TimesNewRoman" w:cs="TimesNewRoman"/>
        </w:rPr>
        <w:t>that is</w:t>
      </w:r>
      <w:r w:rsidR="00617D86">
        <w:rPr>
          <w:rFonts w:eastAsia="TimesNewRoman" w:cs="TimesNewRoman"/>
        </w:rPr>
        <w:t>,</w:t>
      </w:r>
      <w:r w:rsidRPr="00E005C8">
        <w:rPr>
          <w:rFonts w:eastAsia="TimesNewRoman" w:cs="TimesNewRoman"/>
        </w:rPr>
        <w:t xml:space="preserve"> incidences). Incidences were given in percent: (no. of subjects with AE / total no. of subjects) x 100 ii) </w:t>
      </w:r>
      <w:r w:rsidRPr="00E005C8">
        <w:rPr>
          <w:rFonts w:eastAsia="TimesNewRoman" w:cs="TimesNewRoman"/>
          <w:b/>
        </w:rPr>
        <w:t>Infusion level:</w:t>
      </w:r>
      <w:r w:rsidRPr="00E005C8">
        <w:rPr>
          <w:rFonts w:eastAsia="TimesNewRoman" w:cs="TimesNewRoman"/>
        </w:rPr>
        <w:t xml:space="preserve"> The</w:t>
      </w:r>
      <w:r w:rsidR="0070299A">
        <w:rPr>
          <w:rFonts w:eastAsia="TimesNewRoman" w:cs="TimesNewRoman"/>
        </w:rPr>
        <w:t xml:space="preserve"> Number </w:t>
      </w:r>
      <w:r w:rsidRPr="00E005C8">
        <w:rPr>
          <w:rFonts w:eastAsia="TimesNewRoman" w:cs="TimesNewRoman"/>
        </w:rPr>
        <w:t>of AEs was related to the total</w:t>
      </w:r>
      <w:r w:rsidR="0070299A">
        <w:rPr>
          <w:rFonts w:eastAsia="TimesNewRoman" w:cs="TimesNewRoman"/>
        </w:rPr>
        <w:t xml:space="preserve"> Number </w:t>
      </w:r>
      <w:r w:rsidRPr="00E005C8">
        <w:rPr>
          <w:rFonts w:eastAsia="TimesNewRoman" w:cs="TimesNewRoman"/>
        </w:rPr>
        <w:t>of infusions (</w:t>
      </w:r>
      <w:r w:rsidR="00C2531A">
        <w:rPr>
          <w:rFonts w:eastAsia="TimesNewRoman" w:cs="TimesNewRoman"/>
        </w:rPr>
        <w:t>that is</w:t>
      </w:r>
      <w:r w:rsidR="00617D86">
        <w:rPr>
          <w:rFonts w:eastAsia="TimesNewRoman" w:cs="TimesNewRoman"/>
        </w:rPr>
        <w:t>,</w:t>
      </w:r>
      <w:r w:rsidRPr="00E005C8">
        <w:rPr>
          <w:rFonts w:eastAsia="TimesNewRoman" w:cs="TimesNewRoman"/>
        </w:rPr>
        <w:t xml:space="preserve"> rates). Rates were given as a ratio: n</w:t>
      </w:r>
      <w:r w:rsidR="00617D86">
        <w:rPr>
          <w:rFonts w:eastAsia="TimesNewRoman" w:cs="TimesNewRoman"/>
        </w:rPr>
        <w:t>umber</w:t>
      </w:r>
      <w:r w:rsidRPr="00E005C8">
        <w:rPr>
          <w:rFonts w:eastAsia="TimesNewRoman" w:cs="TimesNewRoman"/>
        </w:rPr>
        <w:t xml:space="preserve"> of events/</w:t>
      </w:r>
      <w:r w:rsidR="00617D86">
        <w:rPr>
          <w:rFonts w:eastAsia="TimesNewRoman" w:cs="TimesNewRoman"/>
        </w:rPr>
        <w:t>number</w:t>
      </w:r>
      <w:r w:rsidRPr="00E005C8">
        <w:rPr>
          <w:rFonts w:eastAsia="TimesNewRoman" w:cs="TimesNewRoman"/>
        </w:rPr>
        <w:t xml:space="preserve"> of infusions.</w:t>
      </w:r>
      <w:r>
        <w:rPr>
          <w:rFonts w:eastAsia="TimesNewRoman" w:cs="TimesNewRoman"/>
        </w:rPr>
        <w:t xml:space="preserve"> </w:t>
      </w:r>
      <w:r>
        <w:rPr>
          <w:rFonts w:eastAsia="TimesNewRoman" w:cs="TimesNewRoman"/>
        </w:rPr>
        <w:lastRenderedPageBreak/>
        <w:t xml:space="preserve">Summaries </w:t>
      </w:r>
      <w:r w:rsidRPr="00E005C8">
        <w:rPr>
          <w:rFonts w:eastAsia="TimesNewRoman" w:cs="TimesNewRoman"/>
        </w:rPr>
        <w:t xml:space="preserve">on </w:t>
      </w:r>
      <w:r>
        <w:rPr>
          <w:rFonts w:eastAsia="TimesNewRoman" w:cs="TimesNewRoman"/>
        </w:rPr>
        <w:t xml:space="preserve">Nos, rate, severity, </w:t>
      </w:r>
      <w:r w:rsidRPr="00E005C8">
        <w:rPr>
          <w:rFonts w:eastAsia="TimesNewRoman" w:cs="TimesNewRoman"/>
        </w:rPr>
        <w:t>relatedness of any AEs per infusion and subject, assessment of local tolerabil</w:t>
      </w:r>
      <w:r>
        <w:rPr>
          <w:rFonts w:eastAsia="TimesNewRoman" w:cs="TimesNewRoman"/>
        </w:rPr>
        <w:t xml:space="preserve">ity of SC infusions, vital sign, routine labs; </w:t>
      </w:r>
      <w:r w:rsidRPr="00E005C8">
        <w:rPr>
          <w:rFonts w:eastAsia="TimesNewRoman" w:cs="TimesNewRoman"/>
        </w:rPr>
        <w:t>viral safety markers</w:t>
      </w:r>
      <w:r w:rsidR="00CC5635">
        <w:rPr>
          <w:rFonts w:eastAsia="TimesNewRoman" w:cs="TimesNewRoman"/>
        </w:rPr>
        <w:t>.</w:t>
      </w:r>
    </w:p>
    <w:p w:rsidR="005F74D8" w:rsidRPr="00E005C8" w:rsidRDefault="005F74D8" w:rsidP="00CC5635">
      <w:pPr>
        <w:pStyle w:val="Heading5"/>
      </w:pPr>
      <w:r w:rsidRPr="00CC5635">
        <w:t>Participant</w:t>
      </w:r>
      <w:r w:rsidRPr="00E005C8">
        <w:t xml:space="preserve"> flow</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Screening period, IVIG treatment period with 3 planned infusions every 3 or 4 </w:t>
      </w:r>
      <w:r w:rsidR="0070299A">
        <w:rPr>
          <w:rFonts w:eastAsia="TimesNewRoman" w:cs="TimesNewRoman"/>
          <w:color w:val="000000" w:themeColor="text1"/>
        </w:rPr>
        <w:t>Week</w:t>
      </w:r>
      <w:r w:rsidRPr="00E005C8">
        <w:rPr>
          <w:rFonts w:eastAsia="TimesNewRoman" w:cs="TimesNewRoman"/>
          <w:color w:val="000000" w:themeColor="text1"/>
        </w:rPr>
        <w:t>s, a 12</w:t>
      </w:r>
      <w:r w:rsidR="00617D86">
        <w:rPr>
          <w:rFonts w:eastAsia="TimesNewRoman" w:cs="TimesNewRoman"/>
          <w:color w:val="000000" w:themeColor="text1"/>
        </w:rPr>
        <w:t xml:space="preserve"> </w:t>
      </w:r>
      <w:r w:rsidR="0070299A">
        <w:rPr>
          <w:rFonts w:eastAsia="TimesNewRoman" w:cs="TimesNewRoman"/>
          <w:color w:val="000000" w:themeColor="text1"/>
        </w:rPr>
        <w:t>Week</w:t>
      </w:r>
      <w:r w:rsidR="00617D86">
        <w:rPr>
          <w:rFonts w:eastAsia="TimesNewRoman" w:cs="TimesNewRoman"/>
          <w:color w:val="000000" w:themeColor="text1"/>
        </w:rPr>
        <w:t xml:space="preserve"> SCIG wash-in/</w:t>
      </w:r>
      <w:r w:rsidRPr="00E005C8">
        <w:rPr>
          <w:rFonts w:eastAsia="TimesNewRoman" w:cs="TimesNewRoman"/>
          <w:color w:val="000000" w:themeColor="text1"/>
        </w:rPr>
        <w:t>wash-out period, and a 12</w:t>
      </w:r>
      <w:r w:rsidR="00617D86">
        <w:rPr>
          <w:rFonts w:eastAsia="TimesNewRoman" w:cs="TimesNewRoman"/>
          <w:color w:val="000000" w:themeColor="text1"/>
        </w:rPr>
        <w:t xml:space="preserve"> </w:t>
      </w:r>
      <w:r w:rsidR="0070299A">
        <w:rPr>
          <w:rFonts w:eastAsia="TimesNewRoman" w:cs="TimesNewRoman"/>
          <w:color w:val="000000" w:themeColor="text1"/>
        </w:rPr>
        <w:t>Week</w:t>
      </w:r>
      <w:r w:rsidRPr="00E005C8">
        <w:rPr>
          <w:rFonts w:eastAsia="TimesNewRoman" w:cs="TimesNewRoman"/>
          <w:color w:val="000000" w:themeColor="text1"/>
        </w:rPr>
        <w:t xml:space="preserve"> SCIG efficacy period followed by </w:t>
      </w:r>
      <w:r>
        <w:rPr>
          <w:rFonts w:eastAsia="TimesNewRoman" w:cs="TimesNewRoman"/>
          <w:color w:val="000000" w:themeColor="text1"/>
        </w:rPr>
        <w:t>c</w:t>
      </w:r>
      <w:r w:rsidRPr="00E005C8">
        <w:rPr>
          <w:rFonts w:eastAsia="TimesNewRoman" w:cs="TimesNewRoman"/>
          <w:color w:val="000000" w:themeColor="text1"/>
        </w:rPr>
        <w:t xml:space="preserve">ompletion/Discontinuation visit. A viral safety follow-up visit was performed within 12 to 17 </w:t>
      </w:r>
      <w:r w:rsidR="0070299A">
        <w:rPr>
          <w:rFonts w:eastAsia="TimesNewRoman" w:cs="TimesNewRoman"/>
          <w:color w:val="000000" w:themeColor="text1"/>
        </w:rPr>
        <w:t>Week</w:t>
      </w:r>
      <w:r>
        <w:rPr>
          <w:rFonts w:eastAsia="TimesNewRoman" w:cs="TimesNewRoman"/>
          <w:color w:val="000000" w:themeColor="text1"/>
        </w:rPr>
        <w:t xml:space="preserve">s after </w:t>
      </w:r>
      <w:r w:rsidRPr="00E005C8">
        <w:rPr>
          <w:rFonts w:eastAsia="TimesNewRoman" w:cs="TimesNewRoman"/>
          <w:color w:val="000000" w:themeColor="text1"/>
        </w:rPr>
        <w:t>last IgPro20</w:t>
      </w:r>
      <w:r>
        <w:rPr>
          <w:rFonts w:eastAsia="TimesNewRoman" w:cs="TimesNewRoman"/>
          <w:color w:val="000000" w:themeColor="text1"/>
        </w:rPr>
        <w:t xml:space="preserve"> infusion. All SCIG infusions administered </w:t>
      </w:r>
      <w:r w:rsidR="0070299A">
        <w:rPr>
          <w:rFonts w:eastAsia="TimesNewRoman" w:cs="TimesNewRoman"/>
          <w:color w:val="000000" w:themeColor="text1"/>
        </w:rPr>
        <w:t>Week</w:t>
      </w:r>
      <w:r>
        <w:rPr>
          <w:rFonts w:eastAsia="TimesNewRoman" w:cs="TimesNewRoman"/>
          <w:color w:val="000000" w:themeColor="text1"/>
        </w:rPr>
        <w:t>ly</w:t>
      </w:r>
      <w:r w:rsidR="00CC5635">
        <w:rPr>
          <w:rFonts w:eastAsia="TimesNewRoman" w:cs="TimesNewRoman"/>
          <w:color w:val="000000" w:themeColor="text1"/>
        </w:rPr>
        <w:t>.</w:t>
      </w:r>
    </w:p>
    <w:p w:rsidR="005F74D8" w:rsidRPr="007E7F95" w:rsidRDefault="005F74D8" w:rsidP="00BF6870">
      <w:pPr>
        <w:pStyle w:val="FigureTitle"/>
        <w:rPr>
          <w:rFonts w:eastAsia="TimesNewRoman" w:cs="TimesNewRoman"/>
        </w:rPr>
      </w:pPr>
      <w:r w:rsidRPr="00BF6870">
        <w:t>Figure 2: Study Design ZLB06</w:t>
      </w:r>
      <w:r w:rsidRPr="007E7F95">
        <w:t>_002C R</w:t>
      </w:r>
    </w:p>
    <w:p w:rsidR="005F74D8" w:rsidRDefault="00BF6870" w:rsidP="005F74D8">
      <w:pPr>
        <w:rPr>
          <w:rFonts w:asciiTheme="majorHAnsi" w:hAnsiTheme="majorHAnsi"/>
          <w:color w:val="000000" w:themeColor="text1"/>
          <w:sz w:val="20"/>
          <w:szCs w:val="20"/>
        </w:rPr>
      </w:pPr>
      <w:r>
        <w:rPr>
          <w:rFonts w:asciiTheme="majorHAnsi" w:hAnsiTheme="majorHAnsi"/>
          <w:noProof/>
          <w:color w:val="000000" w:themeColor="text1"/>
          <w:sz w:val="20"/>
          <w:szCs w:val="20"/>
          <w:lang w:eastAsia="en-AU"/>
        </w:rPr>
        <w:drawing>
          <wp:inline distT="0" distB="0" distL="0" distR="0" wp14:anchorId="7BB912AE" wp14:editId="060EA37C">
            <wp:extent cx="3667125" cy="2341418"/>
            <wp:effectExtent l="0" t="0" r="0" b="0"/>
            <wp:docPr id="6" name="Picture 6" descr="Figure 2: Study Design ZLB06_002C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9035" cy="2342637"/>
                    </a:xfrm>
                    <a:prstGeom prst="rect">
                      <a:avLst/>
                    </a:prstGeom>
                  </pic:spPr>
                </pic:pic>
              </a:graphicData>
            </a:graphic>
          </wp:inline>
        </w:drawing>
      </w:r>
    </w:p>
    <w:p w:rsidR="005F74D8" w:rsidRPr="00E005C8" w:rsidRDefault="005F74D8" w:rsidP="00617D86">
      <w:pPr>
        <w:pStyle w:val="Heading5"/>
      </w:pPr>
      <w:r w:rsidRPr="00E005C8">
        <w:t>Major protocol violations</w:t>
      </w:r>
      <w:r w:rsidRPr="0068481C">
        <w:t>/</w:t>
      </w:r>
      <w:r w:rsidRPr="00617D86">
        <w:t>deviations</w:t>
      </w:r>
    </w:p>
    <w:p w:rsidR="005F74D8" w:rsidRPr="007E7F95" w:rsidRDefault="005F74D8" w:rsidP="0068481C">
      <w:pPr>
        <w:pStyle w:val="FigureTitle"/>
      </w:pPr>
      <w:r w:rsidRPr="007E7F95">
        <w:t xml:space="preserve">Figure 3: Disposition of patients in the Japan Pivotal study </w:t>
      </w:r>
      <w:r w:rsidRPr="0068481C">
        <w:t>ZLB06</w:t>
      </w:r>
      <w:r w:rsidRPr="007E7F95">
        <w:t>_002CR</w:t>
      </w:r>
    </w:p>
    <w:p w:rsidR="005F74D8" w:rsidRDefault="00BF6870" w:rsidP="0068481C">
      <w:r>
        <w:rPr>
          <w:noProof/>
          <w:lang w:eastAsia="en-AU"/>
        </w:rPr>
        <w:drawing>
          <wp:inline distT="0" distB="0" distL="0" distR="0" wp14:anchorId="4C6D086A" wp14:editId="0DE8A061">
            <wp:extent cx="3743270" cy="3067050"/>
            <wp:effectExtent l="0" t="0" r="0" b="0"/>
            <wp:docPr id="7" name="Picture 7" descr="Figure 3: Disposition of patients in the Japan Pivotal study ZLB06_0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rotWithShape="1">
                    <a:blip r:embed="rId21" cstate="print">
                      <a:extLst>
                        <a:ext uri="{28A0092B-C50C-407E-A947-70E740481C1C}">
                          <a14:useLocalDpi xmlns:a14="http://schemas.microsoft.com/office/drawing/2010/main" val="0"/>
                        </a:ext>
                      </a:extLst>
                    </a:blip>
                    <a:srcRect b="4167"/>
                    <a:stretch/>
                  </pic:blipFill>
                  <pic:spPr bwMode="auto">
                    <a:xfrm>
                      <a:off x="0" y="0"/>
                      <a:ext cx="3746723" cy="3069879"/>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68481C">
      <w:pPr>
        <w:pStyle w:val="Heading5"/>
      </w:pPr>
      <w:r w:rsidRPr="0068481C">
        <w:lastRenderedPageBreak/>
        <w:t>Baseline</w:t>
      </w:r>
      <w:r w:rsidRPr="00E005C8">
        <w:t xml:space="preserve"> data</w:t>
      </w:r>
    </w:p>
    <w:p w:rsidR="005F74D8" w:rsidRPr="00617D86" w:rsidRDefault="005F74D8" w:rsidP="0068481C">
      <w:pPr>
        <w:pStyle w:val="TableTitle"/>
      </w:pPr>
      <w:r w:rsidRPr="00617D86">
        <w:t>Table 3: basel</w:t>
      </w:r>
      <w:r w:rsidR="0068481C">
        <w:t>ine characteristics ZLB06_</w:t>
      </w:r>
      <w:r w:rsidR="0068481C" w:rsidRPr="0068481C">
        <w:t>002CR</w:t>
      </w:r>
    </w:p>
    <w:p w:rsidR="005F74D8" w:rsidRPr="00E005C8" w:rsidRDefault="00BF6870" w:rsidP="005F74D8">
      <w:pPr>
        <w:autoSpaceDE w:val="0"/>
        <w:autoSpaceDN w:val="0"/>
        <w:adjustRightInd w:val="0"/>
        <w:rPr>
          <w:color w:val="000000" w:themeColor="text1"/>
        </w:rPr>
      </w:pPr>
      <w:r>
        <w:rPr>
          <w:noProof/>
          <w:color w:val="000000" w:themeColor="text1"/>
          <w:lang w:eastAsia="en-AU"/>
        </w:rPr>
        <w:drawing>
          <wp:inline distT="0" distB="0" distL="0" distR="0" wp14:anchorId="20F47F19" wp14:editId="5EBC9D20">
            <wp:extent cx="4181475" cy="3586173"/>
            <wp:effectExtent l="0" t="0" r="0" b="0"/>
            <wp:docPr id="8" name="Picture 8" descr="Table 3: baseline characteristics ZLB06_0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2015" cy="3586636"/>
                    </a:xfrm>
                    <a:prstGeom prst="rect">
                      <a:avLst/>
                    </a:prstGeom>
                  </pic:spPr>
                </pic:pic>
              </a:graphicData>
            </a:graphic>
          </wp:inline>
        </w:drawing>
      </w:r>
    </w:p>
    <w:p w:rsidR="005F74D8" w:rsidRDefault="005F74D8" w:rsidP="0068481C">
      <w:r w:rsidRPr="00E005C8">
        <w:t>In the FAS, 8 subjects (33.3%</w:t>
      </w:r>
      <w:r>
        <w:t xml:space="preserve">) blood group A, 7 (29.2%) blood group O, 5 (20.8%) </w:t>
      </w:r>
      <w:r w:rsidRPr="00E005C8">
        <w:t>blood grou</w:t>
      </w:r>
      <w:r>
        <w:t xml:space="preserve">p B, and 4 subjects (16.7%) </w:t>
      </w:r>
      <w:r w:rsidRPr="00E005C8">
        <w:t xml:space="preserve">blood group AB; all subjects were rhesus positive . </w:t>
      </w:r>
      <w:r w:rsidRPr="00E005C8">
        <w:rPr>
          <w:b/>
        </w:rPr>
        <w:t>Study drug exposure:</w:t>
      </w:r>
      <w:r w:rsidRPr="00E005C8">
        <w:t xml:space="preserve"> All 25 subjects in the IVIG run-in period received the intended 3 infusions. All 24 subjects in the FAS and all 21 in the PPS received the intended 12 infusions during the SCIG </w:t>
      </w:r>
      <w:r>
        <w:t>WI/WO</w:t>
      </w:r>
      <w:r w:rsidRPr="00E005C8">
        <w:t xml:space="preserve"> period. The subject who discontinued the study during the </w:t>
      </w:r>
      <w:r>
        <w:t>WI/WO</w:t>
      </w:r>
      <w:r w:rsidRPr="00E005C8">
        <w:t xml:space="preserve"> period and was not included in FAS and PPS received 8 of 12 infusions in that period and none during the SCIG efficacy period. During the SCIG efficacy period, all 24 subjects of the FAS and all 21 in the PPS received the intended 12 infusions. In the SCIG efficacy period, the proportion of infusions performed at home increased to approximately 74% in the FAS and PPS analysis sets.</w:t>
      </w:r>
    </w:p>
    <w:p w:rsidR="005F74D8" w:rsidRPr="00E005C8" w:rsidRDefault="005F74D8" w:rsidP="0068481C">
      <w:pPr>
        <w:pStyle w:val="Heading5"/>
      </w:pPr>
      <w:r w:rsidRPr="00E005C8">
        <w:t xml:space="preserve">Results for the </w:t>
      </w:r>
      <w:r w:rsidRPr="0068481C">
        <w:t>primary</w:t>
      </w:r>
      <w:r w:rsidRPr="00E005C8">
        <w:t xml:space="preserve"> efficacy outcome</w:t>
      </w:r>
    </w:p>
    <w:p w:rsidR="005F74D8" w:rsidRPr="00617D86" w:rsidRDefault="005F74D8" w:rsidP="00617D86">
      <w:pPr>
        <w:pStyle w:val="TableTitle"/>
      </w:pPr>
      <w:r w:rsidRPr="00617D86">
        <w:t>Table 4: Primary analysis: GMR and 90% CI of IgG trough levels SCIG</w:t>
      </w:r>
      <w:r w:rsidR="0070299A" w:rsidRPr="00617D86">
        <w:t xml:space="preserve"> versus</w:t>
      </w:r>
      <w:r w:rsidRPr="00617D86">
        <w:t xml:space="preserve"> IVIG (PPS &amp; FAS) in</w:t>
      </w:r>
      <w:r w:rsidR="00617D86">
        <w:t xml:space="preserve"> </w:t>
      </w:r>
      <w:r w:rsidRPr="00617D86">
        <w:t>ZLB06_002CR</w:t>
      </w:r>
    </w:p>
    <w:p w:rsidR="005F74D8" w:rsidRPr="004F1039" w:rsidRDefault="00BF6870" w:rsidP="005F74D8">
      <w:pPr>
        <w:rPr>
          <w:b/>
          <w:color w:val="000000" w:themeColor="text1"/>
        </w:rPr>
      </w:pPr>
      <w:r>
        <w:rPr>
          <w:b/>
          <w:noProof/>
          <w:color w:val="000000" w:themeColor="text1"/>
          <w:lang w:eastAsia="en-AU"/>
        </w:rPr>
        <w:drawing>
          <wp:inline distT="0" distB="0" distL="0" distR="0" wp14:anchorId="04E4B390" wp14:editId="54C9541B">
            <wp:extent cx="4867275" cy="1190625"/>
            <wp:effectExtent l="0" t="0" r="0" b="0"/>
            <wp:docPr id="9" name="Picture 9" descr="Table 4: Primary analysis: GMR and 90% CI of IgG trough levels SCIG versus IVIG (PPS &amp; FAS) in ZLB06_0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jpg"/>
                    <pic:cNvPicPr/>
                  </pic:nvPicPr>
                  <pic:blipFill rotWithShape="1">
                    <a:blip r:embed="rId23" cstate="print">
                      <a:extLst>
                        <a:ext uri="{28A0092B-C50C-407E-A947-70E740481C1C}">
                          <a14:useLocalDpi xmlns:a14="http://schemas.microsoft.com/office/drawing/2010/main" val="0"/>
                        </a:ext>
                      </a:extLst>
                    </a:blip>
                    <a:srcRect b="25983"/>
                    <a:stretch/>
                  </pic:blipFill>
                  <pic:spPr bwMode="auto">
                    <a:xfrm>
                      <a:off x="0" y="0"/>
                      <a:ext cx="4865119" cy="1190098"/>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68481C">
      <w:r w:rsidRPr="00E005C8">
        <w:t>The primary efficacy analysis was the comparison of median individual IgG C</w:t>
      </w:r>
      <w:r w:rsidRPr="00E005C8">
        <w:rPr>
          <w:vertAlign w:val="subscript"/>
        </w:rPr>
        <w:t>trough</w:t>
      </w:r>
      <w:r w:rsidRPr="00E005C8">
        <w:t xml:space="preserve"> levels of the IgPro20 efficacy period with those of the IVIG period in the PPS by GMR. The IgG C</w:t>
      </w:r>
      <w:r w:rsidRPr="00E005C8">
        <w:rPr>
          <w:vertAlign w:val="subscript"/>
        </w:rPr>
        <w:t>trough</w:t>
      </w:r>
      <w:r w:rsidRPr="00E005C8">
        <w:t xml:space="preserve"> levels increased from 6.53 g/L in the IVIG period to 7.15 g/L in the SCIG efficacy period (</w:t>
      </w:r>
      <w:r w:rsidRPr="00E005C8">
        <w:rPr>
          <w:b/>
        </w:rPr>
        <w:t>Table 4</w:t>
      </w:r>
      <w:r w:rsidRPr="00E005C8">
        <w:t>). The GMR calculated was 1.09 (90% CI: 1.06 to 1.13), showing that the objective of achieving comparable IgG C</w:t>
      </w:r>
      <w:r w:rsidRPr="00E005C8">
        <w:rPr>
          <w:vertAlign w:val="subscript"/>
        </w:rPr>
        <w:t xml:space="preserve">trough </w:t>
      </w:r>
      <w:r w:rsidRPr="00E005C8">
        <w:t>levels was met (</w:t>
      </w:r>
      <w:r w:rsidRPr="00E005C8">
        <w:rPr>
          <w:b/>
        </w:rPr>
        <w:t>Table 5</w:t>
      </w:r>
      <w:r w:rsidR="0068481C">
        <w:t>).</w:t>
      </w:r>
    </w:p>
    <w:p w:rsidR="005F74D8" w:rsidRPr="00617D86" w:rsidRDefault="005F74D8" w:rsidP="0068481C">
      <w:pPr>
        <w:pStyle w:val="FigureTitle"/>
      </w:pPr>
      <w:r w:rsidRPr="00617D86">
        <w:lastRenderedPageBreak/>
        <w:t xml:space="preserve">Figure 4: Serum IgG trough levels (mean ± SEM) over the course of the study (PPS) in </w:t>
      </w:r>
      <w:r w:rsidRPr="0068481C">
        <w:t>ZLB06</w:t>
      </w:r>
      <w:r w:rsidRPr="00617D86">
        <w:t>_002CR</w:t>
      </w:r>
    </w:p>
    <w:p w:rsidR="005F74D8" w:rsidRPr="00E005C8" w:rsidRDefault="00BF6870" w:rsidP="005F74D8">
      <w:pPr>
        <w:rPr>
          <w:rFonts w:eastAsia="TimesNewRoman,Bold" w:cs="TimesNewRoman,Bold"/>
          <w:b/>
          <w:bCs/>
          <w:color w:val="000000" w:themeColor="text1"/>
          <w:sz w:val="23"/>
          <w:szCs w:val="23"/>
        </w:rPr>
      </w:pPr>
      <w:r>
        <w:rPr>
          <w:rFonts w:eastAsia="TimesNewRoman,Bold" w:cs="TimesNewRoman,Bold"/>
          <w:b/>
          <w:bCs/>
          <w:noProof/>
          <w:color w:val="000000" w:themeColor="text1"/>
          <w:sz w:val="23"/>
          <w:szCs w:val="23"/>
          <w:lang w:eastAsia="en-AU"/>
        </w:rPr>
        <w:drawing>
          <wp:inline distT="0" distB="0" distL="0" distR="0" wp14:anchorId="4AAC83DF" wp14:editId="574BE9B6">
            <wp:extent cx="3533775" cy="2537973"/>
            <wp:effectExtent l="0" t="0" r="0" b="0"/>
            <wp:docPr id="10" name="Picture 10" descr="Figure 4: Serum IgG trough levels (mean ± SEM) over the course of the study (PPS) in ZLB06_0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6470" cy="2539908"/>
                    </a:xfrm>
                    <a:prstGeom prst="rect">
                      <a:avLst/>
                    </a:prstGeom>
                  </pic:spPr>
                </pic:pic>
              </a:graphicData>
            </a:graphic>
          </wp:inline>
        </w:drawing>
      </w:r>
    </w:p>
    <w:p w:rsidR="005F74D8" w:rsidRPr="00617D86" w:rsidRDefault="005F74D8" w:rsidP="00617D86">
      <w:pPr>
        <w:pStyle w:val="TableTitle"/>
      </w:pPr>
      <w:r w:rsidRPr="00617D86">
        <w:t>Table 5: Primary analysis: GMR and 90% CI of IgG trough levels SCIG</w:t>
      </w:r>
      <w:r w:rsidR="0070299A" w:rsidRPr="00617D86">
        <w:t xml:space="preserve"> versus</w:t>
      </w:r>
      <w:r w:rsidRPr="00617D86">
        <w:t xml:space="preserve"> IVIG (PPS &amp; FAS) in ZLB06_002CR</w:t>
      </w:r>
    </w:p>
    <w:p w:rsidR="005F74D8" w:rsidRDefault="00BF6870" w:rsidP="005F74D8">
      <w:pPr>
        <w:rPr>
          <w:b/>
          <w:color w:val="000000" w:themeColor="text1"/>
        </w:rPr>
      </w:pPr>
      <w:r>
        <w:rPr>
          <w:b/>
          <w:noProof/>
          <w:color w:val="000000" w:themeColor="text1"/>
          <w:lang w:eastAsia="en-AU"/>
        </w:rPr>
        <w:drawing>
          <wp:inline distT="0" distB="0" distL="0" distR="0" wp14:anchorId="1651D3F2" wp14:editId="5C3CA2CF">
            <wp:extent cx="5199364" cy="1266825"/>
            <wp:effectExtent l="0" t="0" r="0" b="0"/>
            <wp:docPr id="11" name="Picture 11" descr="Table 5: Primary analysis: GMR and 90% CI of IgG trough levels SCIG versus IVIG (PPS &amp; FAS) in ZLB06_0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5.jpg"/>
                    <pic:cNvPicPr/>
                  </pic:nvPicPr>
                  <pic:blipFill rotWithShape="1">
                    <a:blip r:embed="rId25" cstate="print">
                      <a:extLst>
                        <a:ext uri="{28A0092B-C50C-407E-A947-70E740481C1C}">
                          <a14:useLocalDpi xmlns:a14="http://schemas.microsoft.com/office/drawing/2010/main" val="0"/>
                        </a:ext>
                      </a:extLst>
                    </a:blip>
                    <a:srcRect b="6338"/>
                    <a:stretch/>
                  </pic:blipFill>
                  <pic:spPr bwMode="auto">
                    <a:xfrm>
                      <a:off x="0" y="0"/>
                      <a:ext cx="5207867" cy="1268897"/>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617D86">
      <w:pPr>
        <w:pStyle w:val="Heading5"/>
      </w:pPr>
      <w:r w:rsidRPr="00E005C8">
        <w:t>Results for other efficacy outcomes</w:t>
      </w:r>
    </w:p>
    <w:p w:rsidR="005F74D8" w:rsidRPr="00617D86" w:rsidRDefault="005F74D8" w:rsidP="00617D86">
      <w:pPr>
        <w:pStyle w:val="TableTitle"/>
      </w:pPr>
      <w:r w:rsidRPr="00617D86">
        <w:t>Table 6: Summary of results for secondary efficacy endpoints (PPS) in ZLB06_002CR</w:t>
      </w:r>
    </w:p>
    <w:p w:rsidR="005F74D8" w:rsidRPr="00E005C8" w:rsidRDefault="00BF6870" w:rsidP="005F74D8">
      <w:pPr>
        <w:rPr>
          <w:color w:val="000000" w:themeColor="text1"/>
        </w:rPr>
      </w:pPr>
      <w:r>
        <w:rPr>
          <w:noProof/>
          <w:color w:val="000000" w:themeColor="text1"/>
          <w:lang w:eastAsia="en-AU"/>
        </w:rPr>
        <w:drawing>
          <wp:inline distT="0" distB="0" distL="0" distR="0" wp14:anchorId="1D3ECC5F" wp14:editId="0D3324F1">
            <wp:extent cx="5014785" cy="2409825"/>
            <wp:effectExtent l="0" t="0" r="0" b="0"/>
            <wp:docPr id="12" name="Picture 12" descr="Table 6: Summary of results for secondary efficacy endpoints (PPS) in ZLB06_0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6.jpg"/>
                    <pic:cNvPicPr/>
                  </pic:nvPicPr>
                  <pic:blipFill rotWithShape="1">
                    <a:blip r:embed="rId26" cstate="print">
                      <a:extLst>
                        <a:ext uri="{28A0092B-C50C-407E-A947-70E740481C1C}">
                          <a14:useLocalDpi xmlns:a14="http://schemas.microsoft.com/office/drawing/2010/main" val="0"/>
                        </a:ext>
                      </a:extLst>
                    </a:blip>
                    <a:srcRect b="9319"/>
                    <a:stretch/>
                  </pic:blipFill>
                  <pic:spPr bwMode="auto">
                    <a:xfrm>
                      <a:off x="0" y="0"/>
                      <a:ext cx="5023350" cy="2413941"/>
                    </a:xfrm>
                    <a:prstGeom prst="rect">
                      <a:avLst/>
                    </a:prstGeom>
                    <a:ln>
                      <a:noFill/>
                    </a:ln>
                    <a:extLst>
                      <a:ext uri="{53640926-AAD7-44D8-BBD7-CCE9431645EC}">
                        <a14:shadowObscured xmlns:a14="http://schemas.microsoft.com/office/drawing/2010/main"/>
                      </a:ext>
                    </a:extLst>
                  </pic:spPr>
                </pic:pic>
              </a:graphicData>
            </a:graphic>
          </wp:inline>
        </w:drawing>
      </w:r>
    </w:p>
    <w:p w:rsidR="005F74D8" w:rsidRDefault="005F74D8" w:rsidP="002C0994">
      <w:r w:rsidRPr="00E005C8">
        <w:t xml:space="preserve">A total of 11 subjects (52.4%) in the PPS had </w:t>
      </w:r>
      <w:r w:rsidR="00617D86">
        <w:t>≥</w:t>
      </w:r>
      <w:r w:rsidRPr="00E005C8">
        <w:t xml:space="preserve">1 infection in the SCIG efficacy period. Based on the 1840 subject-days collected in the SCIG efficacy period, the total </w:t>
      </w:r>
      <w:r>
        <w:t>annualised</w:t>
      </w:r>
      <w:r w:rsidRPr="00E005C8">
        <w:t xml:space="preserve"> rate of infections in the study</w:t>
      </w:r>
      <w:r>
        <w:t xml:space="preserve"> was 2.98 infections/subject/y</w:t>
      </w:r>
      <w:r w:rsidR="00617D86">
        <w:t>ea</w:t>
      </w:r>
      <w:r w:rsidRPr="00E005C8">
        <w:t>r (upper 99% CL: 5.305 infections/subject/</w:t>
      </w:r>
      <w:r>
        <w:t>y</w:t>
      </w:r>
      <w:r w:rsidR="00617D86">
        <w:t>ea</w:t>
      </w:r>
      <w:r w:rsidRPr="00E005C8">
        <w:t>r). Most commonly: nasopharyngitis, URTI, and gastroenteritis. All other types of infection affected only 1 subject each and had an incidence of 1 event during the SCIG efficacy period.</w:t>
      </w:r>
      <w:r>
        <w:t xml:space="preserve"> </w:t>
      </w:r>
      <w:r w:rsidRPr="00E005C8">
        <w:t xml:space="preserve">The “Satisfaction questionnaire” showed that during SCIG treatment &gt;95% of </w:t>
      </w:r>
      <w:r w:rsidRPr="00E005C8">
        <w:lastRenderedPageBreak/>
        <w:t xml:space="preserve">the subjects were performing their therapy mainly at home. At </w:t>
      </w:r>
      <w:r w:rsidR="0070299A">
        <w:t>Week</w:t>
      </w:r>
      <w:r w:rsidRPr="00E005C8">
        <w:t xml:space="preserve"> 24, 14 subjects (58.3%) were able to perform the SCIG home infusion by themselves. The mean LQI total score increased from 53.7 at </w:t>
      </w:r>
      <w:r w:rsidR="0070299A">
        <w:t>Week</w:t>
      </w:r>
      <w:r w:rsidRPr="00E005C8">
        <w:t xml:space="preserve"> 1 (IVIG) to 71.5 at </w:t>
      </w:r>
      <w:r w:rsidR="0070299A">
        <w:t>Week</w:t>
      </w:r>
      <w:r w:rsidRPr="00E005C8">
        <w:t xml:space="preserve"> 24 during SCIG treatment with IgPro20. Improvements were found in all LQI subscales but were most pronounced for “costs”, “therapy setting”, and “treatment interference”.</w:t>
      </w:r>
    </w:p>
    <w:p w:rsidR="005F74D8" w:rsidRPr="00E005C8" w:rsidRDefault="005F74D8" w:rsidP="002C0994">
      <w:pPr>
        <w:pStyle w:val="Heading3"/>
      </w:pPr>
      <w:bookmarkStart w:id="262" w:name="_Toc373748421"/>
      <w:bookmarkStart w:id="263" w:name="_Toc392757311"/>
      <w:r w:rsidRPr="00E005C8">
        <w:t>Pivotal efficacy study for use of Hizentra</w:t>
      </w:r>
      <w:r w:rsidRPr="00E005C8">
        <w:sym w:font="Symbol" w:char="F0D2"/>
      </w:r>
      <w:r w:rsidRPr="00E005C8">
        <w:t xml:space="preserve"> as </w:t>
      </w:r>
      <w:r w:rsidR="00904863">
        <w:t>Ig</w:t>
      </w:r>
      <w:r w:rsidRPr="00E005C8">
        <w:t xml:space="preserve"> replacement in P</w:t>
      </w:r>
      <w:r w:rsidR="00904863">
        <w:t>ID</w:t>
      </w:r>
      <w:bookmarkEnd w:id="262"/>
      <w:bookmarkEnd w:id="263"/>
    </w:p>
    <w:p w:rsidR="005F74D8" w:rsidRPr="00455B0E" w:rsidRDefault="005F74D8" w:rsidP="002C0994">
      <w:pPr>
        <w:pStyle w:val="Heading4"/>
      </w:pPr>
      <w:bookmarkStart w:id="264" w:name="_Toc373748422"/>
      <w:r w:rsidRPr="00E005C8">
        <w:t>Phase III, prospective, open-label, multicenter, single-arm study including a PK substudy</w:t>
      </w:r>
      <w:r>
        <w:t xml:space="preserve">: </w:t>
      </w:r>
      <w:r w:rsidRPr="00455B0E">
        <w:t>ZLB06_</w:t>
      </w:r>
      <w:r w:rsidRPr="002C0994">
        <w:t>001CR</w:t>
      </w:r>
      <w:r w:rsidRPr="00455B0E">
        <w:t xml:space="preserve"> (European pivotal study)</w:t>
      </w:r>
      <w:bookmarkEnd w:id="264"/>
    </w:p>
    <w:p w:rsidR="005F74D8" w:rsidRPr="00E005C8" w:rsidRDefault="005F74D8" w:rsidP="002C0994">
      <w:pPr>
        <w:pStyle w:val="Heading5"/>
      </w:pPr>
      <w:r w:rsidRPr="00E005C8">
        <w:t xml:space="preserve">Study </w:t>
      </w:r>
      <w:r w:rsidRPr="002C0994">
        <w:t>design</w:t>
      </w:r>
      <w:r w:rsidRPr="00E005C8">
        <w:t>, objectives, locations and dates</w:t>
      </w:r>
    </w:p>
    <w:p w:rsidR="005F74D8" w:rsidRDefault="005F74D8" w:rsidP="005F74D8">
      <w:pPr>
        <w:rPr>
          <w:color w:val="000000" w:themeColor="text1"/>
        </w:rPr>
      </w:pPr>
      <w:r w:rsidRPr="00E005C8">
        <w:rPr>
          <w:color w:val="000000" w:themeColor="text1"/>
        </w:rPr>
        <w:t>A Multicentre Study of the Efficacy, Tolerability, Safety, and Pharmacokinetics of Immune Globulin Subcutaneous (Human) IgPro20 in Subject</w:t>
      </w:r>
      <w:r>
        <w:rPr>
          <w:color w:val="000000" w:themeColor="text1"/>
        </w:rPr>
        <w:t xml:space="preserve">s with Primary Immunodeficiency. 15 </w:t>
      </w:r>
      <w:r w:rsidRPr="00E005C8">
        <w:rPr>
          <w:color w:val="000000" w:themeColor="text1"/>
        </w:rPr>
        <w:t xml:space="preserve">sites in the EU enrolled patients </w:t>
      </w:r>
      <w:r>
        <w:rPr>
          <w:color w:val="000000" w:themeColor="text1"/>
        </w:rPr>
        <w:t>between 28</w:t>
      </w:r>
      <w:r w:rsidR="005B5A04">
        <w:rPr>
          <w:color w:val="000000" w:themeColor="text1"/>
        </w:rPr>
        <w:t xml:space="preserve"> </w:t>
      </w:r>
      <w:r>
        <w:rPr>
          <w:color w:val="000000" w:themeColor="text1"/>
        </w:rPr>
        <w:t>Sep</w:t>
      </w:r>
      <w:r w:rsidR="005B5A04">
        <w:rPr>
          <w:color w:val="000000" w:themeColor="text1"/>
        </w:rPr>
        <w:t xml:space="preserve">tember </w:t>
      </w:r>
      <w:r>
        <w:rPr>
          <w:color w:val="000000" w:themeColor="text1"/>
        </w:rPr>
        <w:t>2007-31</w:t>
      </w:r>
      <w:r w:rsidR="005B5A04">
        <w:rPr>
          <w:color w:val="000000" w:themeColor="text1"/>
        </w:rPr>
        <w:t xml:space="preserve"> </w:t>
      </w:r>
      <w:r>
        <w:rPr>
          <w:color w:val="000000" w:themeColor="text1"/>
        </w:rPr>
        <w:t>Aug</w:t>
      </w:r>
      <w:r w:rsidR="005B5A04">
        <w:rPr>
          <w:color w:val="000000" w:themeColor="text1"/>
        </w:rPr>
        <w:t>ust 2</w:t>
      </w:r>
      <w:r>
        <w:rPr>
          <w:color w:val="000000" w:themeColor="text1"/>
        </w:rPr>
        <w:t>009. S</w:t>
      </w:r>
      <w:r w:rsidRPr="00E005C8">
        <w:rPr>
          <w:color w:val="000000" w:themeColor="text1"/>
        </w:rPr>
        <w:t>ites increased (Amendment 3)</w:t>
      </w:r>
      <w:r w:rsidR="002C0994">
        <w:rPr>
          <w:color w:val="000000" w:themeColor="text1"/>
        </w:rPr>
        <w:t xml:space="preserve"> to increase enrolment.</w:t>
      </w:r>
    </w:p>
    <w:p w:rsidR="005F74D8" w:rsidRPr="00E005C8" w:rsidRDefault="005F74D8" w:rsidP="00617D86">
      <w:pPr>
        <w:pStyle w:val="Heading5"/>
      </w:pPr>
      <w:r w:rsidRPr="00E005C8">
        <w:t>Inclusion and exclusion criteria</w:t>
      </w:r>
    </w:p>
    <w:p w:rsidR="005F74D8" w:rsidRDefault="005F74D8" w:rsidP="005F74D8">
      <w:r w:rsidRPr="00E005C8">
        <w:rPr>
          <w:color w:val="000000" w:themeColor="text1"/>
        </w:rPr>
        <w:t xml:space="preserve">Inclusions and Exclusions are aligned with those in Study ZLB06_002CR, with the following exceptions: </w:t>
      </w:r>
      <w:r w:rsidRPr="00E005C8">
        <w:rPr>
          <w:b/>
          <w:color w:val="000000" w:themeColor="text1"/>
        </w:rPr>
        <w:t>Inclusions:</w:t>
      </w:r>
      <w:r w:rsidRPr="00E005C8">
        <w:rPr>
          <w:color w:val="000000" w:themeColor="text1"/>
        </w:rPr>
        <w:t xml:space="preserve"> </w:t>
      </w:r>
      <w:r>
        <w:rPr>
          <w:color w:val="000000" w:themeColor="text1"/>
        </w:rPr>
        <w:t xml:space="preserve">1) </w:t>
      </w:r>
      <w:r w:rsidRPr="00E005C8">
        <w:t xml:space="preserve">Male or female </w:t>
      </w:r>
      <w:r>
        <w:t>subjects &gt;2 to ≤</w:t>
      </w:r>
      <w:r w:rsidRPr="00E005C8">
        <w:t xml:space="preserve">65 </w:t>
      </w:r>
      <w:r w:rsidR="003944A8">
        <w:t>years</w:t>
      </w:r>
      <w:r w:rsidRPr="00E005C8">
        <w:t xml:space="preserve"> of age (for sites in</w:t>
      </w:r>
      <w:r>
        <w:t xml:space="preserve"> the UK: 16 to 65 </w:t>
      </w:r>
      <w:r w:rsidR="003944A8">
        <w:t>years</w:t>
      </w:r>
      <w:r>
        <w:t xml:space="preserve"> of age);</w:t>
      </w:r>
      <w:r w:rsidR="000D6A22">
        <w:t xml:space="preserve"> </w:t>
      </w:r>
      <w:r>
        <w:t>2) Subjects who had received</w:t>
      </w:r>
      <w:r w:rsidR="000D6A22">
        <w:t xml:space="preserve"> </w:t>
      </w:r>
      <w:r w:rsidRPr="00E005C8">
        <w:t>IVIG therapy at regular 3- or 4-</w:t>
      </w:r>
      <w:r w:rsidR="0070299A">
        <w:t>Week</w:t>
      </w:r>
      <w:r w:rsidRPr="00E005C8">
        <w:t xml:space="preserve"> intervals, </w:t>
      </w:r>
      <w:r w:rsidRPr="00E005C8">
        <w:rPr>
          <w:b/>
          <w:u w:val="single"/>
        </w:rPr>
        <w:t xml:space="preserve">or </w:t>
      </w:r>
      <w:r>
        <w:rPr>
          <w:b/>
          <w:u w:val="single"/>
        </w:rPr>
        <w:t>SCIG</w:t>
      </w:r>
      <w:r w:rsidRPr="00E005C8">
        <w:rPr>
          <w:b/>
          <w:u w:val="single"/>
        </w:rPr>
        <w:t xml:space="preserve"> therapy</w:t>
      </w:r>
      <w:r w:rsidRPr="00E005C8">
        <w:t xml:space="preserve"> at regular </w:t>
      </w:r>
      <w:r w:rsidR="0070299A">
        <w:t>Week</w:t>
      </w:r>
      <w:r w:rsidRPr="00E005C8">
        <w:t xml:space="preserve">ly intervals at a stable dose (variations of </w:t>
      </w:r>
      <w:r w:rsidR="005B5A04">
        <w:t>±</w:t>
      </w:r>
      <w:r w:rsidRPr="00E005C8">
        <w:t xml:space="preserve"> 10% were allowed) for at least 6 months prior to receiving IgPro20 (maintenance dose to reach a cumulative monthly dose o</w:t>
      </w:r>
      <w:r>
        <w:t xml:space="preserve">f the order of 0.2 to 0.8 g/kg); 3) </w:t>
      </w:r>
      <w:r w:rsidRPr="00E005C8">
        <w:t>Subjects who had at least 3 documented IgG C</w:t>
      </w:r>
      <w:r w:rsidRPr="00E005C8">
        <w:rPr>
          <w:vertAlign w:val="subscript"/>
        </w:rPr>
        <w:t xml:space="preserve">trough </w:t>
      </w:r>
      <w:r w:rsidRPr="00E005C8">
        <w:t xml:space="preserve">values </w:t>
      </w:r>
      <w:r w:rsidR="005B5A04">
        <w:t xml:space="preserve">≥ </w:t>
      </w:r>
      <w:r w:rsidRPr="00E005C8">
        <w:t xml:space="preserve">5 g/L during 3 months on IVIG </w:t>
      </w:r>
      <w:r w:rsidRPr="00E005C8">
        <w:rPr>
          <w:b/>
        </w:rPr>
        <w:t xml:space="preserve">or </w:t>
      </w:r>
      <w:r>
        <w:rPr>
          <w:b/>
        </w:rPr>
        <w:t>SCIG</w:t>
      </w:r>
      <w:r w:rsidRPr="00E005C8">
        <w:t xml:space="preserve"> replacement therapy immediately prior to receiving IgPro20; 2 of the 3 IgG C</w:t>
      </w:r>
      <w:r w:rsidRPr="00E005C8">
        <w:rPr>
          <w:vertAlign w:val="subscript"/>
        </w:rPr>
        <w:t xml:space="preserve">trough </w:t>
      </w:r>
      <w:r w:rsidRPr="00E005C8">
        <w:t xml:space="preserve">values could go back up to 6 months prior to receiving IgPro20, </w:t>
      </w:r>
      <w:r>
        <w:t xml:space="preserve">in case of stable dosing for at </w:t>
      </w:r>
      <w:r w:rsidRPr="00E005C8">
        <w:t>least 3 months prior to this assessment.</w:t>
      </w:r>
    </w:p>
    <w:p w:rsidR="005F74D8" w:rsidRPr="00E005C8" w:rsidRDefault="005F74D8" w:rsidP="00185029">
      <w:pPr>
        <w:pStyle w:val="Heading5"/>
        <w:keepLines w:val="0"/>
        <w:numPr>
          <w:ilvl w:val="4"/>
          <w:numId w:val="12"/>
        </w:numPr>
        <w:spacing w:before="0" w:line="240" w:lineRule="auto"/>
        <w:rPr>
          <w:color w:val="000000" w:themeColor="text1"/>
        </w:rPr>
      </w:pPr>
      <w:r w:rsidRPr="00E005C8">
        <w:rPr>
          <w:color w:val="000000" w:themeColor="text1"/>
        </w:rPr>
        <w:t>Study treatments</w:t>
      </w:r>
    </w:p>
    <w:p w:rsidR="005F74D8" w:rsidRDefault="005F74D8" w:rsidP="005B5A04">
      <w:r>
        <w:t xml:space="preserve">IgPro20 </w:t>
      </w:r>
      <w:r w:rsidRPr="00E005C8">
        <w:t>administered SC using Cane Crono PCA-50 or Super-PID infusion pumps (Cane</w:t>
      </w:r>
      <w:r>
        <w:t xml:space="preserve"> </w:t>
      </w:r>
      <w:r w:rsidRPr="00E005C8">
        <w:t xml:space="preserve">S.R.L., Turin, Italy). After selection </w:t>
      </w:r>
      <w:r>
        <w:t xml:space="preserve">of appropriate injection sites (see </w:t>
      </w:r>
      <w:r w:rsidRPr="00A40020">
        <w:rPr>
          <w:b/>
        </w:rPr>
        <w:t>Figure 1</w:t>
      </w:r>
      <w:r>
        <w:t xml:space="preserve">) </w:t>
      </w:r>
      <w:r w:rsidR="005B5A04">
        <w:t>≥</w:t>
      </w:r>
      <w:r w:rsidRPr="00E005C8">
        <w:t>2 injection sit</w:t>
      </w:r>
      <w:r>
        <w:t xml:space="preserve">es could be used simultaneously; </w:t>
      </w:r>
      <w:r w:rsidRPr="00E005C8">
        <w:t xml:space="preserve">maximum initial volume per injection site was 15 mL </w:t>
      </w:r>
      <w:r>
        <w:t>increasing</w:t>
      </w:r>
      <w:r w:rsidRPr="00E005C8">
        <w:t xml:space="preserve"> </w:t>
      </w:r>
      <w:r>
        <w:t xml:space="preserve">to a maximum of 25 mL after </w:t>
      </w:r>
      <w:r w:rsidR="005B5A04">
        <w:t>fourth</w:t>
      </w:r>
      <w:r>
        <w:t xml:space="preserve"> infusion. For subjects already receiving SCIG</w:t>
      </w:r>
      <w:r w:rsidRPr="00E005C8">
        <w:t xml:space="preserve"> prior to this study, the infusion volume per injection site used in the previous treatment could be continued, but should not </w:t>
      </w:r>
      <w:r>
        <w:t>exceed a maximum of 25 mL. T</w:t>
      </w:r>
      <w:r w:rsidRPr="00E005C8">
        <w:t xml:space="preserve">otal infusion flow rate not to exceed 25 mL/h during the </w:t>
      </w:r>
      <w:r>
        <w:t>WI/WO</w:t>
      </w:r>
      <w:r w:rsidRPr="00E005C8">
        <w:t xml:space="preserve"> period (Infusions 1 to 12) and could </w:t>
      </w:r>
      <w:r>
        <w:t>then be increased up to 35 mL/h</w:t>
      </w:r>
      <w:r w:rsidRPr="00E005C8">
        <w:t xml:space="preserve">. When using bifurcated catheters, an infusion rate of 17.5 mL/h per injection site, </w:t>
      </w:r>
      <w:r w:rsidR="00C2531A">
        <w:t>that is</w:t>
      </w:r>
      <w:r w:rsidR="00617D86">
        <w:t>,</w:t>
      </w:r>
      <w:r w:rsidRPr="00E005C8">
        <w:t xml:space="preserve"> a pump setting of 35 mL/h, was allowed from </w:t>
      </w:r>
      <w:r>
        <w:t>outset</w:t>
      </w:r>
      <w:r w:rsidRPr="00E005C8">
        <w:t xml:space="preserve">. Treatment with IgPro20 was predominantly home-based. Infusions in </w:t>
      </w:r>
      <w:r w:rsidR="0070299A">
        <w:t>Week</w:t>
      </w:r>
      <w:r w:rsidRPr="00E005C8">
        <w:t xml:space="preserve">s 1, 2, 4, 8, 12, 16, and 28 </w:t>
      </w:r>
      <w:r>
        <w:t xml:space="preserve">performed at </w:t>
      </w:r>
      <w:r w:rsidRPr="00E005C8">
        <w:t xml:space="preserve">study site under medical supervision, thereafter at home. </w:t>
      </w:r>
      <w:r w:rsidRPr="00E005C8">
        <w:rPr>
          <w:b/>
        </w:rPr>
        <w:t xml:space="preserve">Selection of Doses for the study: </w:t>
      </w:r>
      <w:r w:rsidRPr="00E005C8">
        <w:t xml:space="preserve">I) </w:t>
      </w:r>
      <w:r w:rsidRPr="00E005C8">
        <w:rPr>
          <w:b/>
        </w:rPr>
        <w:t>Subjects previously treated with IVIG,</w:t>
      </w:r>
      <w:r w:rsidRPr="00E005C8">
        <w:t xml:space="preserve"> the initial </w:t>
      </w:r>
      <w:r w:rsidR="0070299A">
        <w:t>Week</w:t>
      </w:r>
      <w:r w:rsidRPr="00E005C8">
        <w:t>ly dose of IgPro20 during the wash in/wash-out period was one third (previous 3-</w:t>
      </w:r>
      <w:r w:rsidR="0070299A">
        <w:t>Week</w:t>
      </w:r>
      <w:r w:rsidRPr="00E005C8">
        <w:t>ly schedule) or one fourth (previous 4-</w:t>
      </w:r>
      <w:r w:rsidR="0070299A">
        <w:t>Week</w:t>
      </w:r>
      <w:r w:rsidRPr="00E005C8">
        <w:t>ly</w:t>
      </w:r>
      <w:r w:rsidRPr="00E005C8">
        <w:rPr>
          <w:b/>
        </w:rPr>
        <w:t xml:space="preserve"> </w:t>
      </w:r>
      <w:r>
        <w:t xml:space="preserve">schedule) of </w:t>
      </w:r>
      <w:r w:rsidRPr="00E005C8">
        <w:t xml:space="preserve">previous IVIG dose; 2) </w:t>
      </w:r>
      <w:r w:rsidRPr="00E005C8">
        <w:rPr>
          <w:b/>
        </w:rPr>
        <w:t xml:space="preserve">For subjects already on </w:t>
      </w:r>
      <w:r>
        <w:rPr>
          <w:b/>
        </w:rPr>
        <w:t>SCIG</w:t>
      </w:r>
      <w:r w:rsidRPr="00E005C8">
        <w:rPr>
          <w:b/>
        </w:rPr>
        <w:t xml:space="preserve"> therapy</w:t>
      </w:r>
      <w:r w:rsidRPr="00E005C8">
        <w:t xml:space="preserve">, the initial </w:t>
      </w:r>
      <w:r w:rsidR="0070299A">
        <w:t>Week</w:t>
      </w:r>
      <w:r w:rsidRPr="00E005C8">
        <w:t xml:space="preserve">ly dose of IgPro20 during the </w:t>
      </w:r>
      <w:r>
        <w:t>WI/WO</w:t>
      </w:r>
      <w:r w:rsidRPr="00E005C8">
        <w:t xml:space="preserve"> period was the same dose</w:t>
      </w:r>
      <w:r>
        <w:t xml:space="preserve"> as previously. Changes in w</w:t>
      </w:r>
      <w:r w:rsidRPr="00E005C8">
        <w:t xml:space="preserve">t of </w:t>
      </w:r>
      <w:r>
        <w:t xml:space="preserve">more than ± 5% required </w:t>
      </w:r>
      <w:r w:rsidRPr="00E005C8">
        <w:t xml:space="preserve">dose adjustment. If necessary, the </w:t>
      </w:r>
      <w:r w:rsidR="0070299A">
        <w:t>Week</w:t>
      </w:r>
      <w:r w:rsidRPr="00E005C8">
        <w:t xml:space="preserve">ly dose of IgPro20 was adjusted during the </w:t>
      </w:r>
      <w:r>
        <w:t>WI/WO</w:t>
      </w:r>
      <w:r w:rsidRPr="00E005C8">
        <w:t xml:space="preserve"> period to attain IgG C</w:t>
      </w:r>
      <w:r w:rsidRPr="00E005C8">
        <w:rPr>
          <w:vertAlign w:val="subscript"/>
        </w:rPr>
        <w:t>trough</w:t>
      </w:r>
      <w:r w:rsidRPr="00E005C8">
        <w:t xml:space="preserve"> values of</w:t>
      </w:r>
      <w:r w:rsidR="000D6A22">
        <w:t xml:space="preserve"> </w:t>
      </w:r>
      <w:r w:rsidRPr="00E005C8">
        <w:t>≥5 g/L. Dose adjustments performed if medically indicated</w:t>
      </w:r>
      <w:r>
        <w:t xml:space="preserve">. If an </w:t>
      </w:r>
      <w:r w:rsidRPr="00E005C8">
        <w:t>IgG C</w:t>
      </w:r>
      <w:r w:rsidRPr="00E005C8">
        <w:rPr>
          <w:vertAlign w:val="subscript"/>
        </w:rPr>
        <w:t>trough</w:t>
      </w:r>
      <w:r w:rsidRPr="00E005C8">
        <w:t xml:space="preserve"> value of &lt; 5 g/L was measured at the scheduled assessments prior to Infusions 4, 8, or 12, </w:t>
      </w:r>
      <w:r>
        <w:t>repeat</w:t>
      </w:r>
      <w:r w:rsidRPr="00E005C8">
        <w:t xml:space="preserve"> 1</w:t>
      </w:r>
      <w:r>
        <w:t xml:space="preserve"> </w:t>
      </w:r>
      <w:r w:rsidR="0070299A">
        <w:t>Week</w:t>
      </w:r>
      <w:r>
        <w:t xml:space="preserve"> later</w:t>
      </w:r>
      <w:r w:rsidRPr="00E005C8">
        <w:t>. If the IgG C</w:t>
      </w:r>
      <w:r w:rsidRPr="00E005C8">
        <w:rPr>
          <w:vertAlign w:val="subscript"/>
        </w:rPr>
        <w:t>trough</w:t>
      </w:r>
      <w:r w:rsidRPr="00E005C8">
        <w:t xml:space="preserve"> value </w:t>
      </w:r>
      <w:r>
        <w:t>on repeat was still too low, dose adjustment permitted. However, e</w:t>
      </w:r>
      <w:r w:rsidRPr="00E005C8">
        <w:t>xcept for adjustme</w:t>
      </w:r>
      <w:r>
        <w:t>nts due to changes in body wt, no further dose adjustments</w:t>
      </w:r>
      <w:r w:rsidRPr="00E005C8">
        <w:t xml:space="preserve"> during the efficacy period</w:t>
      </w:r>
      <w:r>
        <w:t xml:space="preserve"> unless medically indicated.</w:t>
      </w:r>
    </w:p>
    <w:p w:rsidR="005F74D8" w:rsidRPr="00E005C8" w:rsidRDefault="005F74D8" w:rsidP="005B5A04">
      <w:pPr>
        <w:pStyle w:val="Heading5"/>
      </w:pPr>
      <w:r w:rsidRPr="00E005C8">
        <w:lastRenderedPageBreak/>
        <w:t>Efficacy variables and outcomes</w:t>
      </w:r>
    </w:p>
    <w:p w:rsidR="005F74D8" w:rsidRPr="001D7097" w:rsidRDefault="005F74D8" w:rsidP="005F74D8">
      <w:pPr>
        <w:rPr>
          <w:color w:val="000000" w:themeColor="text1"/>
        </w:rPr>
      </w:pPr>
      <w:r w:rsidRPr="00E005C8">
        <w:rPr>
          <w:color w:val="000000" w:themeColor="text1"/>
        </w:rPr>
        <w:t>The main efficacy variable was to descriptively compare IgG C</w:t>
      </w:r>
      <w:r w:rsidRPr="00E005C8">
        <w:rPr>
          <w:color w:val="000000" w:themeColor="text1"/>
          <w:vertAlign w:val="subscript"/>
        </w:rPr>
        <w:t xml:space="preserve">trough </w:t>
      </w:r>
      <w:r w:rsidRPr="00E005C8">
        <w:rPr>
          <w:color w:val="000000" w:themeColor="text1"/>
        </w:rPr>
        <w:t xml:space="preserve">values at 6 consecutive </w:t>
      </w:r>
      <w:r w:rsidR="005B5A04">
        <w:rPr>
          <w:color w:val="000000" w:themeColor="text1"/>
        </w:rPr>
        <w:t>w</w:t>
      </w:r>
      <w:r w:rsidR="0070299A">
        <w:rPr>
          <w:color w:val="000000" w:themeColor="text1"/>
        </w:rPr>
        <w:t>eek</w:t>
      </w:r>
      <w:r w:rsidRPr="00E005C8">
        <w:rPr>
          <w:color w:val="000000" w:themeColor="text1"/>
        </w:rPr>
        <w:t xml:space="preserve">s at steady-state, </w:t>
      </w:r>
      <w:r w:rsidR="00C2531A">
        <w:rPr>
          <w:color w:val="000000" w:themeColor="text1"/>
        </w:rPr>
        <w:t>that is</w:t>
      </w:r>
      <w:r w:rsidR="00617D86">
        <w:rPr>
          <w:color w:val="000000" w:themeColor="text1"/>
        </w:rPr>
        <w:t>,</w:t>
      </w:r>
      <w:r w:rsidRPr="00E005C8">
        <w:rPr>
          <w:color w:val="000000" w:themeColor="text1"/>
        </w:rPr>
        <w:t xml:space="preserve"> IgG </w:t>
      </w:r>
      <w:r>
        <w:rPr>
          <w:color w:val="000000" w:themeColor="text1"/>
        </w:rPr>
        <w:t xml:space="preserve">levels </w:t>
      </w:r>
      <w:r w:rsidRPr="00E005C8">
        <w:rPr>
          <w:color w:val="000000" w:themeColor="text1"/>
        </w:rPr>
        <w:t>prior to Infusions 12 to 17, with 3 IgG C</w:t>
      </w:r>
      <w:r w:rsidRPr="00E005C8">
        <w:rPr>
          <w:color w:val="000000" w:themeColor="text1"/>
          <w:vertAlign w:val="subscript"/>
        </w:rPr>
        <w:t xml:space="preserve">trough </w:t>
      </w:r>
      <w:r w:rsidRPr="00E005C8">
        <w:rPr>
          <w:color w:val="000000" w:themeColor="text1"/>
        </w:rPr>
        <w:t xml:space="preserve">values obtained from the subject’s previous treatment during the last 3 to 6 months prior to the study. </w:t>
      </w:r>
      <w:r>
        <w:rPr>
          <w:color w:val="000000" w:themeColor="text1"/>
        </w:rPr>
        <w:t xml:space="preserve">Bloods were collected from </w:t>
      </w:r>
      <w:r w:rsidRPr="00E005C8">
        <w:rPr>
          <w:color w:val="000000" w:themeColor="text1"/>
        </w:rPr>
        <w:t xml:space="preserve">all subjects within 6 hours prior to the </w:t>
      </w:r>
      <w:r>
        <w:rPr>
          <w:color w:val="000000" w:themeColor="text1"/>
        </w:rPr>
        <w:t>next</w:t>
      </w:r>
      <w:r w:rsidRPr="00E005C8">
        <w:rPr>
          <w:color w:val="000000" w:themeColor="text1"/>
        </w:rPr>
        <w:t xml:space="preserve"> infusions with IgPro20 at the study site: Infusions 1, 4, and 8 in the </w:t>
      </w:r>
      <w:r>
        <w:rPr>
          <w:color w:val="000000" w:themeColor="text1"/>
        </w:rPr>
        <w:t>WI/WO</w:t>
      </w:r>
      <w:r w:rsidRPr="00E005C8">
        <w:rPr>
          <w:color w:val="000000" w:themeColor="text1"/>
        </w:rPr>
        <w:t xml:space="preserve"> period; Infusions 12 to 17; Infusion 20 and every </w:t>
      </w:r>
      <w:r>
        <w:rPr>
          <w:color w:val="000000" w:themeColor="text1"/>
        </w:rPr>
        <w:t>4</w:t>
      </w:r>
      <w:r w:rsidRPr="003A2011">
        <w:rPr>
          <w:color w:val="000000" w:themeColor="text1"/>
          <w:vertAlign w:val="superscript"/>
        </w:rPr>
        <w:t>th</w:t>
      </w:r>
      <w:r>
        <w:rPr>
          <w:color w:val="000000" w:themeColor="text1"/>
        </w:rPr>
        <w:t xml:space="preserve"> </w:t>
      </w:r>
      <w:r w:rsidRPr="00E005C8">
        <w:rPr>
          <w:color w:val="000000" w:themeColor="text1"/>
        </w:rPr>
        <w:t xml:space="preserve">infusion thereafter </w:t>
      </w:r>
      <w:r w:rsidRPr="001D7097">
        <w:rPr>
          <w:color w:val="000000" w:themeColor="text1"/>
        </w:rPr>
        <w:t>until Infusion 40. IgG m’ments performed by the central laboratory. Other efficacy outcomes:</w:t>
      </w:r>
    </w:p>
    <w:p w:rsidR="005F74D8" w:rsidRPr="001D7097" w:rsidRDefault="005F74D8" w:rsidP="005B5A04">
      <w:pPr>
        <w:pStyle w:val="ListBullet"/>
      </w:pPr>
      <w:r w:rsidRPr="001D7097">
        <w:t>Rates</w:t>
      </w:r>
      <w:r>
        <w:t xml:space="preserve"> of infections (including SBIs - </w:t>
      </w:r>
      <w:r w:rsidRPr="001D7097">
        <w:t>crit</w:t>
      </w:r>
      <w:r>
        <w:t xml:space="preserve">eria included in the protocol </w:t>
      </w:r>
      <w:r w:rsidRPr="001D7097">
        <w:t>: Bacterial pneumonia; Bacteraemia/septicaemia; Osteomyelitis/septic arthritis; Bacterial meningitis; Visceral abscess;</w:t>
      </w:r>
    </w:p>
    <w:p w:rsidR="005F74D8" w:rsidRPr="005B5A04" w:rsidRDefault="005F74D8" w:rsidP="005B5A04">
      <w:pPr>
        <w:pStyle w:val="ListBullet"/>
      </w:pPr>
      <w:r w:rsidRPr="005B5A04">
        <w:t>QoL using the Short Form-36 (SF-36) Health Survey (</w:t>
      </w:r>
      <w:r w:rsidRPr="005B5A04">
        <w:rPr>
          <w:highlight w:val="lightGray"/>
        </w:rPr>
        <w:t>Ware</w:t>
      </w:r>
      <w:r w:rsidRPr="005B5A04">
        <w:t>) and Child Health Questionnaire-Parent Form 50 (CHQ-PF50) (</w:t>
      </w:r>
      <w:r w:rsidRPr="005B5A04">
        <w:rPr>
          <w:highlight w:val="lightGray"/>
        </w:rPr>
        <w:t>Landgraf</w:t>
      </w:r>
      <w:r w:rsidRPr="005B5A04">
        <w:t xml:space="preserve">) for children &lt;14 </w:t>
      </w:r>
      <w:r w:rsidR="003944A8" w:rsidRPr="005B5A04">
        <w:t>years</w:t>
      </w:r>
      <w:r w:rsidRPr="005B5A04">
        <w:t xml:space="preserve"> (not available in Polish and Romanian); TSQM, version 1.4 (</w:t>
      </w:r>
      <w:r w:rsidRPr="005B5A04">
        <w:rPr>
          <w:highlight w:val="lightGray"/>
        </w:rPr>
        <w:t>Atkinson</w:t>
      </w:r>
      <w:r w:rsidRPr="005B5A04">
        <w:t>); Questionnaire on the IgG Therapy; LQI (</w:t>
      </w:r>
      <w:r w:rsidRPr="005B5A04">
        <w:rPr>
          <w:highlight w:val="lightGray"/>
        </w:rPr>
        <w:t>Daly</w:t>
      </w:r>
      <w:r w:rsidRPr="005B5A04">
        <w:t>) and</w:t>
      </w:r>
      <w:r w:rsidRPr="005B5A04">
        <w:rPr>
          <w:b/>
        </w:rPr>
        <w:t xml:space="preserve"> </w:t>
      </w:r>
      <w:r w:rsidRPr="005B5A04">
        <w:t>health status rating scale (</w:t>
      </w:r>
      <w:r w:rsidRPr="005B5A04">
        <w:rPr>
          <w:highlight w:val="lightGray"/>
        </w:rPr>
        <w:t>Gardulf 1993;Gardulf 1995</w:t>
      </w:r>
      <w:r w:rsidR="002C0994">
        <w:t>);</w:t>
      </w:r>
    </w:p>
    <w:p w:rsidR="005F74D8" w:rsidRDefault="002C0994" w:rsidP="005B5A04">
      <w:pPr>
        <w:pStyle w:val="ListBullet"/>
      </w:pPr>
      <w:r>
        <w:t>Safety.</w:t>
      </w:r>
    </w:p>
    <w:p w:rsidR="005F74D8" w:rsidRPr="00E005C8" w:rsidRDefault="005F74D8" w:rsidP="005B5A04">
      <w:pPr>
        <w:pStyle w:val="Heading5"/>
      </w:pPr>
      <w:r w:rsidRPr="00E005C8">
        <w:t>Randomisation and blinding methods</w:t>
      </w:r>
    </w:p>
    <w:p w:rsidR="005F74D8" w:rsidRDefault="005F74D8" w:rsidP="005F74D8">
      <w:pPr>
        <w:rPr>
          <w:color w:val="000000" w:themeColor="text1"/>
        </w:rPr>
      </w:pPr>
      <w:r w:rsidRPr="00E005C8">
        <w:rPr>
          <w:color w:val="000000" w:themeColor="text1"/>
        </w:rPr>
        <w:t>This was a single arm, open-label st</w:t>
      </w:r>
      <w:r w:rsidR="002C0994">
        <w:rPr>
          <w:color w:val="000000" w:themeColor="text1"/>
        </w:rPr>
        <w:t>udy. No blinding was performed.</w:t>
      </w:r>
    </w:p>
    <w:p w:rsidR="005F74D8" w:rsidRPr="00E005C8" w:rsidRDefault="005F74D8" w:rsidP="005B5A04">
      <w:pPr>
        <w:pStyle w:val="Heading5"/>
      </w:pPr>
      <w:r w:rsidRPr="00E005C8">
        <w:t>Analysis populations</w:t>
      </w:r>
    </w:p>
    <w:p w:rsidR="005F74D8" w:rsidRDefault="005F74D8" w:rsidP="005F74D8">
      <w:pPr>
        <w:autoSpaceDE w:val="0"/>
        <w:autoSpaceDN w:val="0"/>
        <w:adjustRightInd w:val="0"/>
        <w:rPr>
          <w:rFonts w:eastAsia="TimesNewRomanPSMT" w:cs="TimesNewRomanPSMT"/>
          <w:color w:val="000000" w:themeColor="text1"/>
        </w:rPr>
      </w:pPr>
      <w:r w:rsidRPr="00E005C8">
        <w:rPr>
          <w:rFonts w:eastAsia="TimesNewRomanPSMT" w:cs="TimesNewRomanPSMT"/>
          <w:color w:val="000000" w:themeColor="text1"/>
        </w:rPr>
        <w:t xml:space="preserve">Efficacy analyses were carried out on the </w:t>
      </w:r>
      <w:r w:rsidRPr="00E005C8">
        <w:rPr>
          <w:rFonts w:eastAsia="TimesNewRomanPSMT" w:cs="TimesNewRomanPS-BoldMT"/>
          <w:b/>
          <w:bCs/>
          <w:color w:val="000000" w:themeColor="text1"/>
        </w:rPr>
        <w:t xml:space="preserve">ITT </w:t>
      </w:r>
      <w:r>
        <w:rPr>
          <w:rFonts w:eastAsia="TimesNewRomanPSMT" w:cs="TimesNewRomanPS-BoldMT"/>
          <w:b/>
          <w:bCs/>
          <w:color w:val="000000" w:themeColor="text1"/>
        </w:rPr>
        <w:t>(</w:t>
      </w:r>
      <w:r w:rsidRPr="00E005C8">
        <w:rPr>
          <w:rFonts w:eastAsia="TimesNewRomanPSMT" w:cs="TimesNewRomanPSMT"/>
          <w:color w:val="000000" w:themeColor="text1"/>
        </w:rPr>
        <w:t>all subjects treated</w:t>
      </w:r>
      <w:r>
        <w:rPr>
          <w:rFonts w:eastAsia="TimesNewRomanPSMT" w:cs="TimesNewRomanPSMT"/>
          <w:color w:val="000000" w:themeColor="text1"/>
        </w:rPr>
        <w:t xml:space="preserve"> </w:t>
      </w:r>
      <w:r w:rsidRPr="00E005C8">
        <w:rPr>
          <w:rFonts w:eastAsia="TimesNewRomanPSMT" w:cs="TimesNewRomanPSMT"/>
          <w:color w:val="000000" w:themeColor="text1"/>
        </w:rPr>
        <w:t xml:space="preserve">with IgPro20 during the efficacy period (starting with </w:t>
      </w:r>
      <w:r w:rsidR="0070299A">
        <w:rPr>
          <w:rFonts w:eastAsia="TimesNewRomanPSMT" w:cs="TimesNewRomanPSMT"/>
          <w:color w:val="000000" w:themeColor="text1"/>
        </w:rPr>
        <w:t>Week</w:t>
      </w:r>
      <w:r w:rsidRPr="00E005C8">
        <w:rPr>
          <w:rFonts w:eastAsia="TimesNewRomanPSMT" w:cs="TimesNewRomanPSMT"/>
          <w:color w:val="000000" w:themeColor="text1"/>
        </w:rPr>
        <w:t xml:space="preserve"> 13)</w:t>
      </w:r>
      <w:r>
        <w:rPr>
          <w:rFonts w:eastAsia="TimesNewRomanPSMT" w:cs="TimesNewRomanPSMT"/>
          <w:color w:val="000000" w:themeColor="text1"/>
        </w:rPr>
        <w:t xml:space="preserve">) </w:t>
      </w:r>
      <w:r w:rsidRPr="009579E2">
        <w:rPr>
          <w:rFonts w:eastAsia="TimesNewRomanPSMT" w:cs="TimesNewRomanPS-BoldMT"/>
          <w:bCs/>
          <w:color w:val="000000" w:themeColor="text1"/>
        </w:rPr>
        <w:t>population</w:t>
      </w:r>
      <w:r w:rsidRPr="00E005C8">
        <w:rPr>
          <w:rFonts w:eastAsia="TimesNewRomanPSMT" w:cs="TimesNewRomanPS-BoldMT"/>
          <w:b/>
          <w:bCs/>
          <w:color w:val="000000" w:themeColor="text1"/>
        </w:rPr>
        <w:t xml:space="preserve">. </w:t>
      </w:r>
      <w:r w:rsidRPr="00E005C8">
        <w:rPr>
          <w:rFonts w:eastAsia="TimesNewRomanPSMT" w:cs="TimesNewRomanPSMT"/>
          <w:color w:val="000000" w:themeColor="text1"/>
        </w:rPr>
        <w:t>In addition, analyses of IgG C</w:t>
      </w:r>
      <w:r w:rsidRPr="00E005C8">
        <w:rPr>
          <w:rFonts w:eastAsia="TimesNewRomanPSMT" w:cs="TimesNewRomanPSMT"/>
          <w:color w:val="000000" w:themeColor="text1"/>
          <w:vertAlign w:val="subscript"/>
        </w:rPr>
        <w:t>trough</w:t>
      </w:r>
      <w:r>
        <w:rPr>
          <w:rFonts w:eastAsia="TimesNewRomanPSMT" w:cs="TimesNewRomanPSMT"/>
          <w:color w:val="000000" w:themeColor="text1"/>
        </w:rPr>
        <w:t xml:space="preserve"> </w:t>
      </w:r>
      <w:r w:rsidRPr="00E005C8">
        <w:rPr>
          <w:rFonts w:eastAsia="TimesNewRomanPSMT" w:cs="TimesNewRomanPSMT"/>
          <w:color w:val="000000" w:themeColor="text1"/>
        </w:rPr>
        <w:t xml:space="preserve">values and SBIs were also performed on the </w:t>
      </w:r>
      <w:r w:rsidRPr="00E005C8">
        <w:rPr>
          <w:rFonts w:eastAsia="TimesNewRomanPSMT" w:cs="TimesNewRomanPS-BoldMT"/>
          <w:b/>
          <w:bCs/>
          <w:color w:val="000000" w:themeColor="text1"/>
        </w:rPr>
        <w:t xml:space="preserve">per-protocol efficacy (PPE) </w:t>
      </w:r>
      <w:r>
        <w:rPr>
          <w:rFonts w:eastAsia="TimesNewRomanPSMT" w:cs="TimesNewRomanPS-BoldMT"/>
          <w:b/>
          <w:bCs/>
          <w:color w:val="000000" w:themeColor="text1"/>
        </w:rPr>
        <w:t>(</w:t>
      </w:r>
      <w:r w:rsidRPr="00E005C8">
        <w:rPr>
          <w:rFonts w:eastAsia="TimesNewRomanPSMT" w:cs="TimesNewRomanPSMT"/>
          <w:color w:val="000000" w:themeColor="text1"/>
        </w:rPr>
        <w:t>all subjects who completed the 28-</w:t>
      </w:r>
      <w:r w:rsidR="0070299A">
        <w:rPr>
          <w:rFonts w:eastAsia="TimesNewRomanPSMT" w:cs="TimesNewRomanPSMT"/>
          <w:color w:val="000000" w:themeColor="text1"/>
        </w:rPr>
        <w:t>Week</w:t>
      </w:r>
      <w:r w:rsidRPr="00E005C8">
        <w:rPr>
          <w:rFonts w:eastAsia="TimesNewRomanPSMT" w:cs="TimesNewRomanPSMT"/>
          <w:color w:val="000000" w:themeColor="text1"/>
        </w:rPr>
        <w:t xml:space="preserve"> efficacy period according to protocol</w:t>
      </w:r>
      <w:r>
        <w:rPr>
          <w:rFonts w:eastAsia="TimesNewRomanPSMT" w:cs="TimesNewRomanPSMT"/>
          <w:color w:val="000000" w:themeColor="text1"/>
        </w:rPr>
        <w:t>)</w:t>
      </w:r>
      <w:r w:rsidRPr="00E005C8">
        <w:rPr>
          <w:rFonts w:eastAsia="TimesNewRomanPSMT" w:cs="TimesNewRomanPSMT"/>
          <w:color w:val="000000" w:themeColor="text1"/>
        </w:rPr>
        <w:t xml:space="preserve"> </w:t>
      </w:r>
      <w:r>
        <w:rPr>
          <w:rFonts w:eastAsia="TimesNewRomanPSMT" w:cs="TimesNewRomanPSMT"/>
          <w:color w:val="000000" w:themeColor="text1"/>
        </w:rPr>
        <w:t>population</w:t>
      </w:r>
      <w:r w:rsidRPr="00E005C8">
        <w:rPr>
          <w:rFonts w:eastAsia="TimesNewRomanPSMT" w:cs="TimesNewRomanPSMT"/>
          <w:color w:val="000000" w:themeColor="text1"/>
        </w:rPr>
        <w:t>. HRQL analyses were carried out on the Full-Analys</w:t>
      </w:r>
      <w:r w:rsidR="002C0994">
        <w:rPr>
          <w:rFonts w:eastAsia="TimesNewRomanPSMT" w:cs="TimesNewRomanPSMT"/>
          <w:color w:val="000000" w:themeColor="text1"/>
        </w:rPr>
        <w:t>is HRQL (Full HRQL) population.</w:t>
      </w:r>
    </w:p>
    <w:p w:rsidR="005F74D8" w:rsidRPr="007E7F95" w:rsidRDefault="005F74D8" w:rsidP="005F74D8">
      <w:pPr>
        <w:autoSpaceDE w:val="0"/>
        <w:autoSpaceDN w:val="0"/>
        <w:adjustRightInd w:val="0"/>
        <w:rPr>
          <w:rFonts w:eastAsia="TimesNewRomanPSMT" w:cs="TimesNewRomanPSMT"/>
          <w:color w:val="000000" w:themeColor="text1"/>
        </w:rPr>
      </w:pPr>
      <w:r w:rsidRPr="00E005C8">
        <w:rPr>
          <w:rFonts w:eastAsia="TimesNewRomanPSMT" w:cs="TimesNewRomanPSMT"/>
          <w:color w:val="000000" w:themeColor="text1"/>
        </w:rPr>
        <w:t>The Ful</w:t>
      </w:r>
      <w:r>
        <w:rPr>
          <w:rFonts w:eastAsia="TimesNewRomanPSMT" w:cs="TimesNewRomanPSMT"/>
          <w:color w:val="000000" w:themeColor="text1"/>
        </w:rPr>
        <w:t xml:space="preserve">l HRQL population comprised all </w:t>
      </w:r>
      <w:r w:rsidRPr="00E005C8">
        <w:rPr>
          <w:rFonts w:eastAsia="TimesNewRomanPSMT" w:cs="TimesNewRomanPSMT"/>
          <w:color w:val="000000" w:themeColor="text1"/>
        </w:rPr>
        <w:t>enrolled subjects with a baseline and at least 1 follow-up HRQL assessment. Missing visits were not imputed, except that the “last observation carried forward” (LOCF) approach was used to analyse the end of study visit that</w:t>
      </w:r>
      <w:r w:rsidRPr="00E005C8">
        <w:rPr>
          <w:color w:val="000000" w:themeColor="text1"/>
        </w:rPr>
        <w:t xml:space="preserve"> </w:t>
      </w:r>
      <w:r w:rsidRPr="00E005C8">
        <w:rPr>
          <w:rFonts w:eastAsia="TimesNewRomanPSMT" w:cs="TimesNewRomanPSMT"/>
          <w:color w:val="000000" w:themeColor="text1"/>
        </w:rPr>
        <w:t>was defined as the last observed post-baseline value for each subject. All safety analyses were carried out on the “all treated” (AT) population (safety data set) that comprised all subjects who were treated with IgPro20 during any study period. PK analyses were carried out on the per-protocol PK (PPK) population</w:t>
      </w:r>
      <w:r w:rsidR="005B5A04">
        <w:rPr>
          <w:rFonts w:eastAsia="TimesNewRomanPSMT" w:cs="TimesNewRomanPSMT"/>
          <w:color w:val="000000" w:themeColor="text1"/>
        </w:rPr>
        <w:t>.</w:t>
      </w:r>
    </w:p>
    <w:p w:rsidR="005F74D8" w:rsidRPr="00E005C8" w:rsidDel="0081373E" w:rsidRDefault="005F74D8" w:rsidP="005B5A04">
      <w:pPr>
        <w:pStyle w:val="Heading5"/>
      </w:pPr>
      <w:r w:rsidRPr="00E005C8" w:rsidDel="0081373E">
        <w:t>Sample size</w:t>
      </w:r>
    </w:p>
    <w:p w:rsidR="005F74D8" w:rsidRDefault="005F74D8" w:rsidP="005F74D8">
      <w:pPr>
        <w:autoSpaceDE w:val="0"/>
        <w:autoSpaceDN w:val="0"/>
        <w:adjustRightInd w:val="0"/>
        <w:rPr>
          <w:rFonts w:eastAsia="TimesNewRomanPSMT" w:cs="TimesNewRomanPSMT"/>
          <w:color w:val="000000" w:themeColor="text1"/>
        </w:rPr>
      </w:pPr>
      <w:r w:rsidRPr="00E005C8">
        <w:rPr>
          <w:rFonts w:eastAsia="TimesNewRomanPSMT" w:cs="TimesNewRomanPSMT"/>
          <w:color w:val="000000" w:themeColor="text1"/>
        </w:rPr>
        <w:t xml:space="preserve">It was initially planned to enrol approximately 36 subjects (including </w:t>
      </w:r>
      <w:r w:rsidR="003944A8">
        <w:rPr>
          <w:rFonts w:eastAsia="TimesNewRomanPSMT" w:cs="TimesNewRomanPSMT"/>
          <w:color w:val="000000" w:themeColor="text1"/>
        </w:rPr>
        <w:t>approximately</w:t>
      </w:r>
      <w:r w:rsidRPr="00E005C8">
        <w:rPr>
          <w:rFonts w:eastAsia="TimesNewRomanPSMT" w:cs="TimesNewRomanPSMT"/>
          <w:color w:val="000000" w:themeColor="text1"/>
        </w:rPr>
        <w:t xml:space="preserve"> 12 children) in </w:t>
      </w:r>
      <w:r w:rsidR="003944A8">
        <w:rPr>
          <w:rFonts w:eastAsia="TimesNewRomanPSMT" w:cs="TimesNewRomanPSMT"/>
          <w:color w:val="000000" w:themeColor="text1"/>
        </w:rPr>
        <w:t>approximately</w:t>
      </w:r>
      <w:r w:rsidRPr="00E005C8">
        <w:rPr>
          <w:rFonts w:eastAsia="TimesNewRomanPSMT" w:cs="TimesNewRomanPSMT"/>
          <w:color w:val="000000" w:themeColor="text1"/>
        </w:rPr>
        <w:t>12 centres to achieve a total of 30 subjects (including at least 10 children) evaluable for efficacy, tolerability, and safety. Of these sub</w:t>
      </w:r>
      <w:r>
        <w:rPr>
          <w:rFonts w:eastAsia="TimesNewRomanPSMT" w:cs="TimesNewRomanPSMT"/>
          <w:color w:val="000000" w:themeColor="text1"/>
        </w:rPr>
        <w:t>jects, approximately 18</w:t>
      </w:r>
      <w:r w:rsidRPr="00E005C8">
        <w:rPr>
          <w:rFonts w:eastAsia="TimesNewRomanPSMT" w:cs="TimesNewRomanPSMT"/>
          <w:color w:val="000000" w:themeColor="text1"/>
        </w:rPr>
        <w:t xml:space="preserve"> </w:t>
      </w:r>
      <w:r w:rsidR="005B5A04">
        <w:rPr>
          <w:rFonts w:eastAsia="TimesNewRomanPSMT" w:cs="SymbolMT"/>
          <w:color w:val="000000" w:themeColor="text1"/>
        </w:rPr>
        <w:t>≥</w:t>
      </w:r>
      <w:r w:rsidRPr="00E005C8">
        <w:rPr>
          <w:rFonts w:eastAsia="TimesNewRomanPSMT" w:cs="TimesNewRomanPSMT"/>
          <w:color w:val="000000" w:themeColor="text1"/>
        </w:rPr>
        <w:t xml:space="preserve">6 </w:t>
      </w:r>
      <w:r w:rsidR="003944A8">
        <w:rPr>
          <w:rFonts w:eastAsia="TimesNewRomanPSMT" w:cs="TimesNewRomanPSMT"/>
          <w:color w:val="000000" w:themeColor="text1"/>
        </w:rPr>
        <w:t>years</w:t>
      </w:r>
      <w:r w:rsidRPr="00E005C8">
        <w:rPr>
          <w:rFonts w:eastAsia="TimesNewRomanPSMT" w:cs="TimesNewRomanPSMT"/>
          <w:color w:val="000000" w:themeColor="text1"/>
        </w:rPr>
        <w:t xml:space="preserve"> of age were to be enrolled in the PK substudy in order to gather PK data for at least 15 subjects. This sample size was consistent with recommendations of the CPMP guideline CPMP/BPWG/283/00, that PK data should be derived from </w:t>
      </w:r>
      <w:r w:rsidR="005B5A04">
        <w:rPr>
          <w:rFonts w:eastAsia="TimesNewRomanPSMT" w:cs="TimesNewRomanPSMT"/>
          <w:color w:val="000000" w:themeColor="text1"/>
        </w:rPr>
        <w:t>≥</w:t>
      </w:r>
      <w:r w:rsidRPr="00E005C8">
        <w:rPr>
          <w:rFonts w:eastAsia="TimesNewRomanPSMT" w:cs="TimesNewRomanPSMT"/>
          <w:color w:val="000000" w:themeColor="text1"/>
        </w:rPr>
        <w:t xml:space="preserve">15 subjects, including 10 subjects with PID. To ensure sufficient data in children, the planned enrolment was changed </w:t>
      </w:r>
      <w:r w:rsidRPr="00E005C8">
        <w:rPr>
          <w:rFonts w:eastAsia="TimesNewRomanPSMT" w:cs="TimesNewRomanPSMT"/>
          <w:b/>
          <w:color w:val="000000" w:themeColor="text1"/>
        </w:rPr>
        <w:t>to 51 subjects</w:t>
      </w:r>
      <w:r w:rsidRPr="00E005C8">
        <w:rPr>
          <w:rFonts w:eastAsia="TimesNewRomanPSMT" w:cs="TimesNewRomanPSMT"/>
          <w:color w:val="000000" w:themeColor="text1"/>
        </w:rPr>
        <w:t xml:space="preserve"> in Amendment 3. Due to slow recruitment, </w:t>
      </w:r>
      <w:r w:rsidR="005B5A04">
        <w:rPr>
          <w:rFonts w:eastAsia="TimesNewRomanPSMT" w:cs="TimesNewRomanPSMT"/>
          <w:color w:val="000000" w:themeColor="text1"/>
        </w:rPr>
        <w:t>number</w:t>
      </w:r>
      <w:r w:rsidRPr="00E005C8">
        <w:rPr>
          <w:rFonts w:eastAsia="TimesNewRomanPSMT" w:cs="TimesNewRomanPSMT"/>
          <w:color w:val="000000" w:themeColor="text1"/>
        </w:rPr>
        <w:t xml:space="preserve"> of study sites and recruitment period </w:t>
      </w:r>
      <w:r>
        <w:rPr>
          <w:rFonts w:eastAsia="TimesNewRomanPSMT" w:cs="TimesNewRomanPSMT"/>
          <w:color w:val="000000" w:themeColor="text1"/>
        </w:rPr>
        <w:t xml:space="preserve">were </w:t>
      </w:r>
      <w:r w:rsidRPr="00E005C8">
        <w:rPr>
          <w:rFonts w:eastAsia="TimesNewRomanPSMT" w:cs="TimesNewRomanPSMT"/>
          <w:color w:val="000000" w:themeColor="text1"/>
        </w:rPr>
        <w:t>expanded.</w:t>
      </w:r>
    </w:p>
    <w:p w:rsidR="005F74D8" w:rsidRPr="00E005C8" w:rsidRDefault="005F74D8" w:rsidP="005B5A04">
      <w:pPr>
        <w:pStyle w:val="Heading5"/>
      </w:pPr>
      <w:r w:rsidRPr="00E005C8">
        <w:t>Statistical methods</w:t>
      </w:r>
    </w:p>
    <w:p w:rsidR="005F74D8" w:rsidRDefault="005F74D8" w:rsidP="005F74D8">
      <w:pPr>
        <w:autoSpaceDE w:val="0"/>
        <w:autoSpaceDN w:val="0"/>
        <w:adjustRightInd w:val="0"/>
        <w:rPr>
          <w:color w:val="000000" w:themeColor="text1"/>
        </w:rPr>
      </w:pPr>
      <w:r w:rsidRPr="00E005C8">
        <w:rPr>
          <w:color w:val="000000" w:themeColor="text1"/>
        </w:rPr>
        <w:t xml:space="preserve">The study design took into consideration the European CPMP guideline “Note for guidance on the clinical investigation of human normal immunoglobulin for subcutaneous and intramuscular use”. The primary endpoint, </w:t>
      </w:r>
      <w:r w:rsidR="00C2531A">
        <w:rPr>
          <w:color w:val="000000" w:themeColor="text1"/>
        </w:rPr>
        <w:t>that is</w:t>
      </w:r>
      <w:r w:rsidR="00617D86">
        <w:rPr>
          <w:color w:val="000000" w:themeColor="text1"/>
        </w:rPr>
        <w:t>,</w:t>
      </w:r>
      <w:r w:rsidRPr="00E005C8">
        <w:rPr>
          <w:color w:val="000000" w:themeColor="text1"/>
        </w:rPr>
        <w:t xml:space="preserve"> IgG C</w:t>
      </w:r>
      <w:r w:rsidRPr="00E005C8">
        <w:rPr>
          <w:color w:val="000000" w:themeColor="text1"/>
          <w:vertAlign w:val="subscript"/>
        </w:rPr>
        <w:t>trough</w:t>
      </w:r>
      <w:r w:rsidRPr="00E005C8">
        <w:rPr>
          <w:color w:val="000000" w:themeColor="text1"/>
        </w:rPr>
        <w:t xml:space="preserve"> value, is an accepted and reliable standard parameter, measured in the central laboratory by a validated assay. </w:t>
      </w:r>
      <w:r w:rsidR="003944A8">
        <w:rPr>
          <w:color w:val="000000" w:themeColor="text1"/>
        </w:rPr>
        <w:t>Concentrations</w:t>
      </w:r>
      <w:r w:rsidRPr="00E005C8">
        <w:rPr>
          <w:color w:val="000000" w:themeColor="text1"/>
        </w:rPr>
        <w:t xml:space="preserve"> of IgG analysed by immunoturbimetry which is a standard method. Six consecutive steady-state </w:t>
      </w:r>
      <w:r w:rsidRPr="00E005C8">
        <w:rPr>
          <w:color w:val="000000" w:themeColor="text1"/>
        </w:rPr>
        <w:lastRenderedPageBreak/>
        <w:t>IgPro20 IgG C</w:t>
      </w:r>
      <w:r w:rsidRPr="00E005C8">
        <w:rPr>
          <w:color w:val="000000" w:themeColor="text1"/>
          <w:vertAlign w:val="subscript"/>
        </w:rPr>
        <w:t>trough</w:t>
      </w:r>
      <w:r w:rsidRPr="00E005C8">
        <w:rPr>
          <w:color w:val="000000" w:themeColor="text1"/>
        </w:rPr>
        <w:t xml:space="preserve"> values per subject, </w:t>
      </w:r>
      <w:r w:rsidR="00C2531A">
        <w:rPr>
          <w:color w:val="000000" w:themeColor="text1"/>
        </w:rPr>
        <w:t>that is</w:t>
      </w:r>
      <w:r w:rsidR="00617D86">
        <w:rPr>
          <w:color w:val="000000" w:themeColor="text1"/>
        </w:rPr>
        <w:t>,</w:t>
      </w:r>
      <w:r w:rsidRPr="00E005C8">
        <w:rPr>
          <w:color w:val="000000" w:themeColor="text1"/>
        </w:rPr>
        <w:t xml:space="preserve"> IgG </w:t>
      </w:r>
      <w:r w:rsidR="003944A8">
        <w:rPr>
          <w:color w:val="000000" w:themeColor="text1"/>
        </w:rPr>
        <w:t>concentrations</w:t>
      </w:r>
      <w:r>
        <w:rPr>
          <w:color w:val="000000" w:themeColor="text1"/>
        </w:rPr>
        <w:t xml:space="preserve"> </w:t>
      </w:r>
      <w:r w:rsidRPr="00E005C8">
        <w:rPr>
          <w:color w:val="000000" w:themeColor="text1"/>
        </w:rPr>
        <w:t>determined before Infusions 12 to 17, were compared descriptively with 3 C</w:t>
      </w:r>
      <w:r w:rsidRPr="00E005C8">
        <w:rPr>
          <w:color w:val="000000" w:themeColor="text1"/>
          <w:vertAlign w:val="subscript"/>
        </w:rPr>
        <w:t>trough</w:t>
      </w:r>
      <w:r w:rsidRPr="00E005C8">
        <w:rPr>
          <w:color w:val="000000" w:themeColor="text1"/>
        </w:rPr>
        <w:t xml:space="preserve"> values</w:t>
      </w:r>
      <w:r>
        <w:rPr>
          <w:color w:val="000000" w:themeColor="text1"/>
        </w:rPr>
        <w:t xml:space="preserve"> </w:t>
      </w:r>
      <w:r w:rsidRPr="00E005C8">
        <w:rPr>
          <w:color w:val="000000" w:themeColor="text1"/>
        </w:rPr>
        <w:t>obtained prior to the first IgPro20 infusion. For this purpose, the 6 consecutive steady-state IgPro20 C</w:t>
      </w:r>
      <w:r w:rsidRPr="00E005C8">
        <w:rPr>
          <w:color w:val="000000" w:themeColor="text1"/>
          <w:vertAlign w:val="subscript"/>
        </w:rPr>
        <w:t>trough</w:t>
      </w:r>
      <w:r w:rsidRPr="00E005C8">
        <w:rPr>
          <w:color w:val="000000" w:themeColor="text1"/>
        </w:rPr>
        <w:t xml:space="preserve"> values per</w:t>
      </w:r>
      <w:r>
        <w:rPr>
          <w:color w:val="000000" w:themeColor="text1"/>
        </w:rPr>
        <w:t xml:space="preserve"> </w:t>
      </w:r>
      <w:r w:rsidRPr="00E005C8">
        <w:rPr>
          <w:color w:val="000000" w:themeColor="text1"/>
        </w:rPr>
        <w:t>subject were aggregated to the subject’s median value and then median values across subjects</w:t>
      </w:r>
      <w:r>
        <w:rPr>
          <w:color w:val="000000" w:themeColor="text1"/>
        </w:rPr>
        <w:t xml:space="preserve"> </w:t>
      </w:r>
      <w:r w:rsidRPr="00E005C8">
        <w:rPr>
          <w:color w:val="000000" w:themeColor="text1"/>
        </w:rPr>
        <w:t>were summarised using descriptive stats. The same procedure was used for the 3 most</w:t>
      </w:r>
      <w:r>
        <w:rPr>
          <w:color w:val="000000" w:themeColor="text1"/>
        </w:rPr>
        <w:t xml:space="preserve"> </w:t>
      </w:r>
      <w:r w:rsidRPr="00E005C8">
        <w:rPr>
          <w:color w:val="000000" w:themeColor="text1"/>
        </w:rPr>
        <w:t>recent IgG C</w:t>
      </w:r>
      <w:r w:rsidRPr="00E005C8">
        <w:rPr>
          <w:color w:val="000000" w:themeColor="text1"/>
          <w:vertAlign w:val="subscript"/>
        </w:rPr>
        <w:t>trough</w:t>
      </w:r>
      <w:r w:rsidRPr="00E005C8">
        <w:rPr>
          <w:color w:val="000000" w:themeColor="text1"/>
        </w:rPr>
        <w:t xml:space="preserve"> values </w:t>
      </w:r>
      <w:r w:rsidR="005B5A04">
        <w:rPr>
          <w:color w:val="000000" w:themeColor="text1"/>
        </w:rPr>
        <w:t>≥</w:t>
      </w:r>
      <w:r>
        <w:rPr>
          <w:color w:val="000000" w:themeColor="text1"/>
        </w:rPr>
        <w:t xml:space="preserve">5 g/L obtained prior to </w:t>
      </w:r>
      <w:r w:rsidRPr="00E005C8">
        <w:rPr>
          <w:color w:val="000000" w:themeColor="text1"/>
        </w:rPr>
        <w:t xml:space="preserve">first IgPro20 infusion. If there were at least 5 subjects with at least 1 dose adjustment in the </w:t>
      </w:r>
      <w:r>
        <w:rPr>
          <w:color w:val="000000" w:themeColor="text1"/>
        </w:rPr>
        <w:t>WI/WO</w:t>
      </w:r>
      <w:r w:rsidRPr="00E005C8">
        <w:rPr>
          <w:color w:val="000000" w:themeColor="text1"/>
        </w:rPr>
        <w:t xml:space="preserve"> period, a robustness analysis was to be performed. The primary ana</w:t>
      </w:r>
      <w:r>
        <w:rPr>
          <w:color w:val="000000" w:themeColor="text1"/>
        </w:rPr>
        <w:t xml:space="preserve">lysis as described above </w:t>
      </w:r>
      <w:r w:rsidRPr="00E005C8">
        <w:rPr>
          <w:color w:val="000000" w:themeColor="text1"/>
        </w:rPr>
        <w:t>conducted using only data from subjects who did not have a dose adjustment.</w:t>
      </w:r>
      <w:r>
        <w:rPr>
          <w:color w:val="000000" w:themeColor="text1"/>
        </w:rPr>
        <w:t xml:space="preserve"> </w:t>
      </w:r>
      <w:r w:rsidRPr="00E005C8">
        <w:rPr>
          <w:color w:val="000000" w:themeColor="text1"/>
        </w:rPr>
        <w:t>In a second analysis, all steady-state IgPro20 C</w:t>
      </w:r>
      <w:r w:rsidRPr="00E005C8">
        <w:rPr>
          <w:color w:val="000000" w:themeColor="text1"/>
          <w:vertAlign w:val="subscript"/>
        </w:rPr>
        <w:t xml:space="preserve">trough </w:t>
      </w:r>
      <w:r w:rsidRPr="00E005C8">
        <w:rPr>
          <w:color w:val="000000" w:themeColor="text1"/>
        </w:rPr>
        <w:t>values obtained in the efficacy period (</w:t>
      </w:r>
      <w:r w:rsidR="00C2531A">
        <w:rPr>
          <w:color w:val="000000" w:themeColor="text1"/>
        </w:rPr>
        <w:t>that is</w:t>
      </w:r>
      <w:r w:rsidR="00617D86">
        <w:rPr>
          <w:color w:val="000000" w:themeColor="text1"/>
        </w:rPr>
        <w:t>,</w:t>
      </w:r>
      <w:r>
        <w:rPr>
          <w:color w:val="000000" w:themeColor="text1"/>
        </w:rPr>
        <w:t xml:space="preserve"> </w:t>
      </w:r>
      <w:r w:rsidRPr="00E005C8">
        <w:rPr>
          <w:color w:val="000000" w:themeColor="text1"/>
        </w:rPr>
        <w:t xml:space="preserve">IgG </w:t>
      </w:r>
      <w:r w:rsidR="003944A8">
        <w:rPr>
          <w:color w:val="000000" w:themeColor="text1"/>
        </w:rPr>
        <w:t>concentrations</w:t>
      </w:r>
      <w:r w:rsidRPr="00E005C8">
        <w:rPr>
          <w:color w:val="000000" w:themeColor="text1"/>
        </w:rPr>
        <w:t xml:space="preserve"> determined before Infusions 12 to 17, 20, 24, 28, 32, 36, and 40) were used</w:t>
      </w:r>
      <w:r>
        <w:rPr>
          <w:color w:val="000000" w:themeColor="text1"/>
        </w:rPr>
        <w:t xml:space="preserve"> </w:t>
      </w:r>
      <w:r w:rsidRPr="00E005C8">
        <w:rPr>
          <w:color w:val="000000" w:themeColor="text1"/>
        </w:rPr>
        <w:t>for calculation of the aggregated median values and the comparison with the IgG C</w:t>
      </w:r>
      <w:r w:rsidRPr="00E005C8">
        <w:rPr>
          <w:color w:val="000000" w:themeColor="text1"/>
          <w:vertAlign w:val="subscript"/>
        </w:rPr>
        <w:t xml:space="preserve">trough </w:t>
      </w:r>
      <w:r w:rsidRPr="00E005C8">
        <w:rPr>
          <w:color w:val="000000" w:themeColor="text1"/>
        </w:rPr>
        <w:t>values</w:t>
      </w:r>
      <w:r>
        <w:rPr>
          <w:color w:val="000000" w:themeColor="text1"/>
        </w:rPr>
        <w:t xml:space="preserve"> </w:t>
      </w:r>
      <w:r w:rsidRPr="00E005C8">
        <w:rPr>
          <w:color w:val="000000" w:themeColor="text1"/>
        </w:rPr>
        <w:t>obtained prior to the first IgPro20 infusion. The comparison of C</w:t>
      </w:r>
      <w:r w:rsidRPr="00E005C8">
        <w:rPr>
          <w:color w:val="000000" w:themeColor="text1"/>
          <w:vertAlign w:val="subscript"/>
        </w:rPr>
        <w:t xml:space="preserve">trough </w:t>
      </w:r>
      <w:r w:rsidRPr="00E005C8">
        <w:rPr>
          <w:color w:val="000000" w:themeColor="text1"/>
        </w:rPr>
        <w:t>values before and during the study was performed via boxplots. In addition, all IgPro20 C</w:t>
      </w:r>
      <w:r w:rsidRPr="00E005C8">
        <w:rPr>
          <w:color w:val="000000" w:themeColor="text1"/>
          <w:vertAlign w:val="subscript"/>
        </w:rPr>
        <w:t>trough</w:t>
      </w:r>
      <w:r w:rsidRPr="00E005C8">
        <w:rPr>
          <w:color w:val="000000" w:themeColor="text1"/>
        </w:rPr>
        <w:t xml:space="preserve"> values were analysed descriptively by visit. The course of IgG C</w:t>
      </w:r>
      <w:r w:rsidRPr="00E005C8">
        <w:rPr>
          <w:color w:val="000000" w:themeColor="text1"/>
          <w:vertAlign w:val="subscript"/>
        </w:rPr>
        <w:t>trough</w:t>
      </w:r>
      <w:r w:rsidRPr="00E005C8">
        <w:rPr>
          <w:color w:val="000000" w:themeColor="text1"/>
        </w:rPr>
        <w:t xml:space="preserve"> values was presented graphically.</w:t>
      </w:r>
      <w:r>
        <w:rPr>
          <w:color w:val="000000" w:themeColor="text1"/>
        </w:rPr>
        <w:t xml:space="preserve"> </w:t>
      </w:r>
      <w:r w:rsidRPr="00E005C8">
        <w:rPr>
          <w:color w:val="000000" w:themeColor="text1"/>
        </w:rPr>
        <w:t xml:space="preserve">The analyses described for the </w:t>
      </w:r>
      <w:r>
        <w:rPr>
          <w:color w:val="000000" w:themeColor="text1"/>
        </w:rPr>
        <w:t>annualised</w:t>
      </w:r>
      <w:r w:rsidRPr="00E005C8">
        <w:rPr>
          <w:color w:val="000000" w:themeColor="text1"/>
        </w:rPr>
        <w:t xml:space="preserve"> rate of SBIs were also performed for the total</w:t>
      </w:r>
      <w:r w:rsidR="0070299A">
        <w:rPr>
          <w:color w:val="000000" w:themeColor="text1"/>
        </w:rPr>
        <w:t xml:space="preserve"> Number </w:t>
      </w:r>
      <w:r w:rsidRPr="00E005C8">
        <w:rPr>
          <w:color w:val="000000" w:themeColor="text1"/>
        </w:rPr>
        <w:t>of infection episodes and by preferred term. However, 2</w:t>
      </w:r>
      <w:r w:rsidR="005B5A04">
        <w:rPr>
          <w:color w:val="000000" w:themeColor="text1"/>
        </w:rPr>
        <w:noBreakHyphen/>
      </w:r>
      <w:r w:rsidRPr="00E005C8">
        <w:rPr>
          <w:color w:val="000000" w:themeColor="text1"/>
        </w:rPr>
        <w:t>sided 95% confidence limits</w:t>
      </w:r>
      <w:r>
        <w:rPr>
          <w:color w:val="000000" w:themeColor="text1"/>
        </w:rPr>
        <w:t xml:space="preserve"> </w:t>
      </w:r>
      <w:r w:rsidRPr="00E005C8">
        <w:rPr>
          <w:color w:val="000000" w:themeColor="text1"/>
        </w:rPr>
        <w:t>were calculated instead of the 1-sided upper 99% CL used for SBIs. No imputation was made for subjects who discontinued the study. Annual rates of infection were also analysed by month.</w:t>
      </w:r>
      <w:r>
        <w:rPr>
          <w:color w:val="000000" w:themeColor="text1"/>
        </w:rPr>
        <w:t xml:space="preserve"> </w:t>
      </w:r>
      <w:r w:rsidRPr="00E005C8">
        <w:rPr>
          <w:color w:val="000000" w:themeColor="text1"/>
        </w:rPr>
        <w:t>In addition, incidences of infections (overall and by PT) were calculated as were nos. of infections treated with anti</w:t>
      </w:r>
      <w:r>
        <w:rPr>
          <w:color w:val="000000" w:themeColor="text1"/>
        </w:rPr>
        <w:t>biotics was analysed. Annualis</w:t>
      </w:r>
      <w:r w:rsidRPr="00E005C8">
        <w:rPr>
          <w:color w:val="000000" w:themeColor="text1"/>
        </w:rPr>
        <w:t>ed rates and incidences of infections were provided by route of antibiotic administration.</w:t>
      </w:r>
      <w:r>
        <w:rPr>
          <w:color w:val="000000" w:themeColor="text1"/>
        </w:rPr>
        <w:t xml:space="preserve"> </w:t>
      </w:r>
      <w:r w:rsidRPr="00E005C8">
        <w:rPr>
          <w:b/>
          <w:color w:val="000000" w:themeColor="text1"/>
        </w:rPr>
        <w:t xml:space="preserve">Quality of life scoring and analyses: </w:t>
      </w:r>
      <w:r w:rsidRPr="00E005C8">
        <w:rPr>
          <w:color w:val="000000" w:themeColor="text1"/>
        </w:rPr>
        <w:t xml:space="preserve">Each HRQL instrument scored according to the instructions provided by the authors. </w:t>
      </w:r>
      <w:r w:rsidRPr="00E005C8">
        <w:rPr>
          <w:b/>
          <w:color w:val="000000" w:themeColor="text1"/>
        </w:rPr>
        <w:t>Analyses of safety endpoints</w:t>
      </w:r>
      <w:r w:rsidRPr="00E005C8">
        <w:rPr>
          <w:color w:val="000000" w:themeColor="text1"/>
        </w:rPr>
        <w:t xml:space="preserve"> based on AT population and extended to full study period, Day 1-completion visit. </w:t>
      </w:r>
      <w:r>
        <w:rPr>
          <w:color w:val="000000" w:themeColor="text1"/>
        </w:rPr>
        <w:t>AEs coded using MedDRA</w:t>
      </w:r>
      <w:r w:rsidRPr="00E005C8">
        <w:rPr>
          <w:color w:val="000000" w:themeColor="text1"/>
        </w:rPr>
        <w:t>. Analyses by primary SOC and PT.</w:t>
      </w:r>
      <w:r w:rsidR="000D6A22">
        <w:rPr>
          <w:color w:val="000000" w:themeColor="text1"/>
        </w:rPr>
        <w:t xml:space="preserve"> </w:t>
      </w:r>
      <w:r>
        <w:rPr>
          <w:color w:val="000000" w:themeColor="text1"/>
        </w:rPr>
        <w:t>TEAEs included in the summaris</w:t>
      </w:r>
      <w:r w:rsidR="002C0994">
        <w:rPr>
          <w:color w:val="000000" w:themeColor="text1"/>
        </w:rPr>
        <w:t>ing analyses.</w:t>
      </w:r>
    </w:p>
    <w:p w:rsidR="005F74D8" w:rsidRDefault="005F74D8" w:rsidP="005F74D8">
      <w:pPr>
        <w:autoSpaceDE w:val="0"/>
        <w:autoSpaceDN w:val="0"/>
        <w:adjustRightInd w:val="0"/>
        <w:rPr>
          <w:color w:val="000000" w:themeColor="text1"/>
        </w:rPr>
      </w:pPr>
      <w:r w:rsidRPr="00E005C8">
        <w:rPr>
          <w:color w:val="000000" w:themeColor="text1"/>
        </w:rPr>
        <w:t>In addition, because this study allowed the inclusion of patients previously on SC</w:t>
      </w:r>
      <w:r>
        <w:rPr>
          <w:color w:val="000000" w:themeColor="text1"/>
        </w:rPr>
        <w:t>IG</w:t>
      </w:r>
      <w:r w:rsidRPr="00E005C8">
        <w:rPr>
          <w:color w:val="000000" w:themeColor="text1"/>
        </w:rPr>
        <w:t>, exp</w:t>
      </w:r>
      <w:r>
        <w:rPr>
          <w:color w:val="000000" w:themeColor="text1"/>
        </w:rPr>
        <w:t xml:space="preserve">loratory subgroup analyses </w:t>
      </w:r>
      <w:r w:rsidRPr="00E005C8">
        <w:rPr>
          <w:color w:val="000000" w:themeColor="text1"/>
        </w:rPr>
        <w:t>conducted according to the following criteria:</w:t>
      </w:r>
      <w:r>
        <w:rPr>
          <w:color w:val="000000" w:themeColor="text1"/>
        </w:rPr>
        <w:t xml:space="preserve"> </w:t>
      </w:r>
      <w:r w:rsidRPr="00E005C8">
        <w:rPr>
          <w:b/>
          <w:color w:val="000000" w:themeColor="text1"/>
        </w:rPr>
        <w:t>Age class</w:t>
      </w:r>
      <w:r>
        <w:rPr>
          <w:color w:val="000000" w:themeColor="text1"/>
        </w:rPr>
        <w:t xml:space="preserve"> (</w:t>
      </w:r>
      <w:r w:rsidR="005B5A04">
        <w:rPr>
          <w:color w:val="000000" w:themeColor="text1"/>
        </w:rPr>
        <w:t>≥</w:t>
      </w:r>
      <w:r w:rsidRPr="00E005C8">
        <w:rPr>
          <w:color w:val="000000" w:themeColor="text1"/>
        </w:rPr>
        <w:t xml:space="preserve">2 to &lt;12 </w:t>
      </w:r>
      <w:r w:rsidR="003944A8">
        <w:rPr>
          <w:color w:val="000000" w:themeColor="text1"/>
        </w:rPr>
        <w:t>years</w:t>
      </w:r>
      <w:r w:rsidRPr="00E005C8">
        <w:rPr>
          <w:color w:val="000000" w:themeColor="text1"/>
        </w:rPr>
        <w:t xml:space="preserve">, children; </w:t>
      </w:r>
      <w:r w:rsidR="005B5A04">
        <w:rPr>
          <w:color w:val="000000" w:themeColor="text1"/>
        </w:rPr>
        <w:t>≥</w:t>
      </w:r>
      <w:r w:rsidRPr="00E005C8">
        <w:rPr>
          <w:color w:val="000000" w:themeColor="text1"/>
        </w:rPr>
        <w:t xml:space="preserve">12 to &lt;16 </w:t>
      </w:r>
      <w:r w:rsidR="003944A8">
        <w:rPr>
          <w:color w:val="000000" w:themeColor="text1"/>
        </w:rPr>
        <w:t>years</w:t>
      </w:r>
      <w:r>
        <w:rPr>
          <w:color w:val="000000" w:themeColor="text1"/>
        </w:rPr>
        <w:t>, adolescents; ≥16 to &lt;</w:t>
      </w:r>
      <w:r w:rsidRPr="00E005C8">
        <w:rPr>
          <w:color w:val="000000" w:themeColor="text1"/>
        </w:rPr>
        <w:t xml:space="preserve">65 </w:t>
      </w:r>
      <w:r w:rsidR="003944A8">
        <w:rPr>
          <w:color w:val="000000" w:themeColor="text1"/>
        </w:rPr>
        <w:t>years</w:t>
      </w:r>
      <w:r w:rsidRPr="00E005C8">
        <w:rPr>
          <w:color w:val="000000" w:themeColor="text1"/>
        </w:rPr>
        <w:t>,</w:t>
      </w:r>
      <w:r>
        <w:rPr>
          <w:color w:val="000000" w:themeColor="text1"/>
        </w:rPr>
        <w:t xml:space="preserve"> </w:t>
      </w:r>
      <w:r w:rsidRPr="00E005C8">
        <w:rPr>
          <w:color w:val="000000" w:themeColor="text1"/>
        </w:rPr>
        <w:t xml:space="preserve">adults); </w:t>
      </w:r>
      <w:r w:rsidRPr="00E005C8">
        <w:rPr>
          <w:b/>
          <w:color w:val="000000" w:themeColor="text1"/>
        </w:rPr>
        <w:t>Disease type</w:t>
      </w:r>
      <w:r w:rsidR="002C0994">
        <w:rPr>
          <w:color w:val="000000" w:themeColor="text1"/>
        </w:rPr>
        <w:t xml:space="preserve"> (CVID, XLA, or ARAG).</w:t>
      </w:r>
    </w:p>
    <w:p w:rsidR="005F74D8" w:rsidRDefault="005F74D8" w:rsidP="005B5A04">
      <w:pPr>
        <w:pStyle w:val="Heading6"/>
      </w:pPr>
      <w:r w:rsidRPr="00E005C8">
        <w:t xml:space="preserve">Previous replacement therapy (IVIG or </w:t>
      </w:r>
      <w:r>
        <w:t>SCIG</w:t>
      </w:r>
      <w:r w:rsidR="002C0994">
        <w:t>)</w:t>
      </w:r>
    </w:p>
    <w:p w:rsidR="005F74D8" w:rsidRDefault="005F74D8" w:rsidP="005F74D8">
      <w:pPr>
        <w:autoSpaceDE w:val="0"/>
        <w:autoSpaceDN w:val="0"/>
        <w:adjustRightInd w:val="0"/>
        <w:rPr>
          <w:color w:val="000000" w:themeColor="text1"/>
        </w:rPr>
      </w:pPr>
      <w:r w:rsidRPr="00E005C8">
        <w:rPr>
          <w:color w:val="000000" w:themeColor="text1"/>
        </w:rPr>
        <w:t>Subgroup analyses performed for the primary</w:t>
      </w:r>
      <w:r>
        <w:rPr>
          <w:color w:val="000000" w:themeColor="text1"/>
        </w:rPr>
        <w:t xml:space="preserve"> efficacy endpoint based on </w:t>
      </w:r>
      <w:r w:rsidRPr="00E005C8">
        <w:rPr>
          <w:color w:val="000000" w:themeColor="text1"/>
        </w:rPr>
        <w:t>ITT</w:t>
      </w:r>
      <w:r>
        <w:rPr>
          <w:color w:val="000000" w:themeColor="text1"/>
        </w:rPr>
        <w:t xml:space="preserve"> </w:t>
      </w:r>
      <w:r w:rsidRPr="00E005C8">
        <w:rPr>
          <w:color w:val="000000" w:themeColor="text1"/>
        </w:rPr>
        <w:t>Pop</w:t>
      </w:r>
      <w:r w:rsidR="005B5A04">
        <w:rPr>
          <w:color w:val="000000" w:themeColor="text1"/>
        </w:rPr>
        <w:t>ulation</w:t>
      </w:r>
      <w:r w:rsidRPr="00E005C8">
        <w:rPr>
          <w:color w:val="000000" w:themeColor="text1"/>
        </w:rPr>
        <w:t xml:space="preserve">. Subgroup analyses for secondary efficacy endpoints </w:t>
      </w:r>
      <w:r>
        <w:rPr>
          <w:color w:val="000000" w:themeColor="text1"/>
        </w:rPr>
        <w:t xml:space="preserve">performed only for nos. of infections and </w:t>
      </w:r>
      <w:r w:rsidRPr="00E005C8">
        <w:rPr>
          <w:color w:val="000000" w:themeColor="text1"/>
        </w:rPr>
        <w:t xml:space="preserve">nos. of days out of work/school/kindergarten/day care or unable to perform normal activities due to infections </w:t>
      </w:r>
      <w:r>
        <w:rPr>
          <w:color w:val="000000" w:themeColor="text1"/>
        </w:rPr>
        <w:t>based on ITT pop</w:t>
      </w:r>
      <w:r w:rsidR="005B5A04">
        <w:rPr>
          <w:color w:val="000000" w:themeColor="text1"/>
        </w:rPr>
        <w:t>ulation</w:t>
      </w:r>
      <w:r>
        <w:rPr>
          <w:color w:val="000000" w:themeColor="text1"/>
        </w:rPr>
        <w:t>. If &lt;</w:t>
      </w:r>
      <w:r w:rsidRPr="00E005C8">
        <w:rPr>
          <w:color w:val="000000" w:themeColor="text1"/>
        </w:rPr>
        <w:t>5 even</w:t>
      </w:r>
      <w:r>
        <w:rPr>
          <w:color w:val="000000" w:themeColor="text1"/>
        </w:rPr>
        <w:t>ts in a respective category or &lt;</w:t>
      </w:r>
      <w:r w:rsidRPr="00E005C8">
        <w:rPr>
          <w:color w:val="000000" w:themeColor="text1"/>
        </w:rPr>
        <w:t>5 subjects in a subgroup, subgroup analysis could be o</w:t>
      </w:r>
      <w:r>
        <w:rPr>
          <w:color w:val="000000" w:themeColor="text1"/>
        </w:rPr>
        <w:t>mitted. In addition, incidences/rates of</w:t>
      </w:r>
      <w:r w:rsidRPr="00E005C8">
        <w:rPr>
          <w:color w:val="000000" w:themeColor="text1"/>
        </w:rPr>
        <w:t xml:space="preserve"> TEAEs analysed by </w:t>
      </w:r>
      <w:r>
        <w:rPr>
          <w:color w:val="000000" w:themeColor="text1"/>
        </w:rPr>
        <w:t>these subgroups</w:t>
      </w:r>
      <w:r w:rsidRPr="00E005C8">
        <w:rPr>
          <w:color w:val="000000" w:themeColor="text1"/>
        </w:rPr>
        <w:t xml:space="preserve">. </w:t>
      </w:r>
      <w:r>
        <w:rPr>
          <w:color w:val="000000" w:themeColor="text1"/>
        </w:rPr>
        <w:t>S</w:t>
      </w:r>
      <w:r w:rsidRPr="00E005C8">
        <w:rPr>
          <w:color w:val="000000" w:themeColor="text1"/>
        </w:rPr>
        <w:t xml:space="preserve">ubgroup analyses by age, </w:t>
      </w:r>
      <w:r w:rsidR="00C2531A">
        <w:rPr>
          <w:color w:val="000000" w:themeColor="text1"/>
        </w:rPr>
        <w:t>that is</w:t>
      </w:r>
      <w:r w:rsidR="00617D86">
        <w:rPr>
          <w:color w:val="000000" w:themeColor="text1"/>
        </w:rPr>
        <w:t>,</w:t>
      </w:r>
      <w:r w:rsidRPr="00E005C8">
        <w:rPr>
          <w:color w:val="000000" w:themeColor="text1"/>
        </w:rPr>
        <w:t xml:space="preserve"> &lt;</w:t>
      </w:r>
      <w:r>
        <w:rPr>
          <w:color w:val="000000" w:themeColor="text1"/>
        </w:rPr>
        <w:t xml:space="preserve">14 </w:t>
      </w:r>
      <w:r w:rsidR="003944A8">
        <w:rPr>
          <w:color w:val="000000" w:themeColor="text1"/>
        </w:rPr>
        <w:t>years</w:t>
      </w:r>
      <w:r w:rsidRPr="00E005C8">
        <w:rPr>
          <w:color w:val="000000" w:themeColor="text1"/>
        </w:rPr>
        <w:t xml:space="preserve"> of age</w:t>
      </w:r>
      <w:r w:rsidR="0070299A">
        <w:rPr>
          <w:color w:val="000000" w:themeColor="text1"/>
        </w:rPr>
        <w:t xml:space="preserve"> versus</w:t>
      </w:r>
      <w:r>
        <w:rPr>
          <w:color w:val="000000" w:themeColor="text1"/>
        </w:rPr>
        <w:t xml:space="preserve"> adolescents/adults </w:t>
      </w:r>
      <w:r w:rsidR="005B5A04">
        <w:rPr>
          <w:color w:val="000000" w:themeColor="text1"/>
        </w:rPr>
        <w:t>≥</w:t>
      </w:r>
      <w:r>
        <w:rPr>
          <w:color w:val="000000" w:themeColor="text1"/>
        </w:rPr>
        <w:t xml:space="preserve">14 </w:t>
      </w:r>
      <w:r w:rsidR="003944A8">
        <w:rPr>
          <w:color w:val="000000" w:themeColor="text1"/>
        </w:rPr>
        <w:t>years</w:t>
      </w:r>
      <w:r>
        <w:rPr>
          <w:color w:val="000000" w:themeColor="text1"/>
        </w:rPr>
        <w:t xml:space="preserve"> of age</w:t>
      </w:r>
      <w:r w:rsidR="002C0994">
        <w:rPr>
          <w:color w:val="000000" w:themeColor="text1"/>
        </w:rPr>
        <w:t>.</w:t>
      </w:r>
    </w:p>
    <w:p w:rsidR="005F74D8" w:rsidRPr="00E005C8" w:rsidRDefault="005F74D8" w:rsidP="005B5A04">
      <w:pPr>
        <w:pStyle w:val="Heading5"/>
      </w:pPr>
      <w:r w:rsidRPr="00E005C8">
        <w:lastRenderedPageBreak/>
        <w:t>Participant flow</w:t>
      </w:r>
    </w:p>
    <w:p w:rsidR="005F74D8" w:rsidRPr="007E7F95" w:rsidRDefault="005F74D8" w:rsidP="005B5A04">
      <w:pPr>
        <w:pStyle w:val="FigureTitle"/>
      </w:pPr>
      <w:r w:rsidRPr="007E7F95">
        <w:t>Figure 5. Study and PK substudy procedures in ZLB06_001CR</w:t>
      </w:r>
    </w:p>
    <w:p w:rsidR="005F74D8" w:rsidRDefault="00BF6870" w:rsidP="005F74D8">
      <w:pPr>
        <w:rPr>
          <w:rFonts w:asciiTheme="majorHAnsi" w:hAnsiTheme="majorHAnsi"/>
          <w:color w:val="000000" w:themeColor="text1"/>
          <w:sz w:val="20"/>
          <w:szCs w:val="20"/>
        </w:rPr>
      </w:pPr>
      <w:r>
        <w:rPr>
          <w:rFonts w:asciiTheme="majorHAnsi" w:hAnsiTheme="majorHAnsi"/>
          <w:noProof/>
          <w:color w:val="000000" w:themeColor="text1"/>
          <w:sz w:val="20"/>
          <w:szCs w:val="20"/>
          <w:lang w:eastAsia="en-AU"/>
        </w:rPr>
        <w:drawing>
          <wp:inline distT="0" distB="0" distL="0" distR="0" wp14:anchorId="7E1CEF83" wp14:editId="371D7D1C">
            <wp:extent cx="4425537" cy="3581400"/>
            <wp:effectExtent l="0" t="0" r="0" b="0"/>
            <wp:docPr id="13" name="Picture 13" descr="Figure 5. Study and PK substudy procedures i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28777" cy="3584022"/>
                    </a:xfrm>
                    <a:prstGeom prst="rect">
                      <a:avLst/>
                    </a:prstGeom>
                  </pic:spPr>
                </pic:pic>
              </a:graphicData>
            </a:graphic>
          </wp:inline>
        </w:drawing>
      </w:r>
    </w:p>
    <w:p w:rsidR="005F74D8" w:rsidRPr="00E005C8" w:rsidRDefault="005F74D8" w:rsidP="00C148C4">
      <w:pPr>
        <w:pStyle w:val="Heading5"/>
      </w:pPr>
      <w:r w:rsidRPr="00E005C8">
        <w:t xml:space="preserve">Major protocol </w:t>
      </w:r>
      <w:r w:rsidRPr="00C148C4">
        <w:t>violations</w:t>
      </w:r>
      <w:r w:rsidRPr="00E005C8">
        <w:t>/deviations</w:t>
      </w:r>
    </w:p>
    <w:p w:rsidR="005F74D8" w:rsidRPr="00F75602" w:rsidRDefault="005F74D8" w:rsidP="005F74D8">
      <w:pPr>
        <w:autoSpaceDE w:val="0"/>
        <w:autoSpaceDN w:val="0"/>
        <w:adjustRightInd w:val="0"/>
        <w:rPr>
          <w:rFonts w:eastAsia="TimesNewRomanPSMT" w:cs="TimesNewRomanPSMT"/>
          <w:color w:val="000000" w:themeColor="text1"/>
        </w:rPr>
      </w:pPr>
      <w:r w:rsidRPr="00E005C8">
        <w:rPr>
          <w:rFonts w:eastAsia="TimesNewRomanPSMT" w:cs="TimesNewRomanPSMT"/>
          <w:color w:val="000000" w:themeColor="text1"/>
        </w:rPr>
        <w:t>5 subjects (</w:t>
      </w:r>
      <w:r>
        <w:rPr>
          <w:rFonts w:eastAsia="TimesNewRomanPSMT" w:cs="TimesNewRomanPSMT"/>
          <w:color w:val="000000" w:themeColor="text1"/>
        </w:rPr>
        <w:t xml:space="preserve">9.8%) in the AT population excluded from the ITT </w:t>
      </w:r>
      <w:r w:rsidR="005B5A04">
        <w:rPr>
          <w:rFonts w:eastAsia="TimesNewRomanPSMT" w:cs="TimesNewRomanPSMT"/>
          <w:color w:val="000000" w:themeColor="text1"/>
        </w:rPr>
        <w:t>population</w:t>
      </w:r>
      <w:r w:rsidRPr="00E005C8">
        <w:rPr>
          <w:rFonts w:eastAsia="TimesNewRomanPSMT" w:cs="TimesNewRomanPSMT"/>
          <w:color w:val="000000" w:themeColor="text1"/>
        </w:rPr>
        <w:t xml:space="preserve"> because they were not treated during the efficacy period</w:t>
      </w:r>
      <w:r>
        <w:rPr>
          <w:rFonts w:eastAsia="TimesNewRomanPSMT" w:cs="TimesNewRomanPSMT"/>
          <w:color w:val="000000" w:themeColor="text1"/>
        </w:rPr>
        <w:t xml:space="preserve">; </w:t>
      </w:r>
      <w:r w:rsidRPr="00E005C8">
        <w:rPr>
          <w:rFonts w:eastAsia="TimesNewRomanPSMT" w:cs="TimesNewRomanPSMT"/>
          <w:color w:val="000000" w:themeColor="text1"/>
        </w:rPr>
        <w:t>12 subjects (</w:t>
      </w:r>
      <w:r w:rsidRPr="00E005C8">
        <w:rPr>
          <w:rFonts w:eastAsia="TimesNewRomanPSMT" w:cs="TimesNewRomanPSMT"/>
          <w:b/>
          <w:color w:val="000000" w:themeColor="text1"/>
        </w:rPr>
        <w:t>26.1%)</w:t>
      </w:r>
      <w:r w:rsidRPr="00E005C8">
        <w:rPr>
          <w:rFonts w:eastAsia="TimesNewRomanPSMT" w:cs="TimesNewRomanPSMT"/>
          <w:color w:val="000000" w:themeColor="text1"/>
        </w:rPr>
        <w:t xml:space="preserve"> in the ITT </w:t>
      </w:r>
      <w:r w:rsidR="005B5A04">
        <w:rPr>
          <w:rFonts w:eastAsia="TimesNewRomanPSMT" w:cs="TimesNewRomanPSMT"/>
          <w:color w:val="000000" w:themeColor="text1"/>
        </w:rPr>
        <w:t>population</w:t>
      </w:r>
      <w:r w:rsidRPr="00E005C8">
        <w:rPr>
          <w:rFonts w:eastAsia="TimesNewRomanPSMT" w:cs="TimesNewRomanPSMT"/>
          <w:color w:val="000000" w:themeColor="text1"/>
        </w:rPr>
        <w:t xml:space="preserve"> had major protocol deviations and were therefore excluded from the PPE population.</w:t>
      </w:r>
      <w:r w:rsidRPr="00F75602">
        <w:rPr>
          <w:rFonts w:eastAsia="TimesNewRomanPSMT" w:cs="TimesNewRomanPSMT"/>
          <w:b/>
          <w:color w:val="000000" w:themeColor="text1"/>
        </w:rPr>
        <w:t xml:space="preserve"> </w:t>
      </w:r>
      <w:r>
        <w:rPr>
          <w:rFonts w:eastAsia="TimesNewRomanPSMT" w:cs="TimesNewRomanPSMT"/>
          <w:b/>
          <w:color w:val="000000" w:themeColor="text1"/>
        </w:rPr>
        <w:t xml:space="preserve">See </w:t>
      </w:r>
      <w:r w:rsidRPr="00E005C8">
        <w:rPr>
          <w:rFonts w:eastAsia="TimesNewRomanPSMT" w:cs="TimesNewRomanPSMT"/>
          <w:b/>
          <w:color w:val="000000" w:themeColor="text1"/>
        </w:rPr>
        <w:t>Figure 6</w:t>
      </w:r>
      <w:r w:rsidRPr="00E005C8">
        <w:rPr>
          <w:rFonts w:eastAsia="TimesNewRomanPSMT" w:cs="TimesNewRomanPSMT"/>
          <w:color w:val="000000" w:themeColor="text1"/>
        </w:rPr>
        <w:t>.</w:t>
      </w:r>
      <w:r w:rsidRPr="00E005C8">
        <w:rPr>
          <w:color w:val="000000" w:themeColor="text1"/>
        </w:rPr>
        <w:t xml:space="preserve">In the ITT population, 28 subjects (60.9%) </w:t>
      </w:r>
      <w:r>
        <w:rPr>
          <w:color w:val="000000" w:themeColor="text1"/>
        </w:rPr>
        <w:t xml:space="preserve">and </w:t>
      </w:r>
      <w:r w:rsidRPr="00E005C8">
        <w:rPr>
          <w:color w:val="000000" w:themeColor="text1"/>
        </w:rPr>
        <w:t>17 subjects (37.0%)</w:t>
      </w:r>
      <w:r>
        <w:rPr>
          <w:color w:val="000000" w:themeColor="text1"/>
        </w:rPr>
        <w:t xml:space="preserve"> had CVID and XLA respectively</w:t>
      </w:r>
      <w:r w:rsidRPr="00E005C8">
        <w:rPr>
          <w:color w:val="000000" w:themeColor="text1"/>
        </w:rPr>
        <w:t>. In the AT population, 49.0% blood group A (19 subjects were Rh+), 25.5% blood group O (12 subjects were Rh+), 9.8% blood group B (all were Rh+), and 2.0%, Rh+ blood group AB</w:t>
      </w:r>
      <w:r>
        <w:rPr>
          <w:color w:val="000000" w:themeColor="text1"/>
        </w:rPr>
        <w:t>. B</w:t>
      </w:r>
      <w:r w:rsidRPr="00E005C8">
        <w:rPr>
          <w:color w:val="000000" w:themeColor="text1"/>
        </w:rPr>
        <w:t>lood group not determined for 13.7%.</w:t>
      </w:r>
    </w:p>
    <w:p w:rsidR="005F74D8" w:rsidRPr="007E7F95" w:rsidRDefault="005F74D8" w:rsidP="005B5A04">
      <w:pPr>
        <w:pStyle w:val="FigureTitle"/>
        <w:rPr>
          <w:rFonts w:eastAsia="TimesNewRomanPSMT" w:cs="TimesNewRomanPSMT"/>
        </w:rPr>
      </w:pPr>
      <w:r w:rsidRPr="007E7F95">
        <w:rPr>
          <w:rFonts w:eastAsia="TimesNewRomanPSMT" w:cs="TimesNewRomanPSMT"/>
        </w:rPr>
        <w:lastRenderedPageBreak/>
        <w:t xml:space="preserve">Figure 6: </w:t>
      </w:r>
      <w:r w:rsidRPr="007E7F95">
        <w:t>Disposition of patients in the EU Pivotal study ZLB06_001CR</w:t>
      </w:r>
    </w:p>
    <w:p w:rsidR="005F74D8" w:rsidRDefault="00BF6870" w:rsidP="00C148C4">
      <w:pPr>
        <w:rPr>
          <w:rFonts w:eastAsia="TimesNewRomanPSMT" w:cs="TimesNewRomanPSMT"/>
          <w:color w:val="000000" w:themeColor="text1"/>
        </w:rPr>
      </w:pPr>
      <w:r>
        <w:rPr>
          <w:noProof/>
          <w:lang w:eastAsia="en-AU"/>
        </w:rPr>
        <w:drawing>
          <wp:inline distT="0" distB="0" distL="0" distR="0" wp14:anchorId="6E7310D1" wp14:editId="4F590EB9">
            <wp:extent cx="3419475" cy="3088559"/>
            <wp:effectExtent l="0" t="0" r="0" b="0"/>
            <wp:docPr id="14" name="Picture 14" descr="Figure 6: Disposition of patients in the EU Pivotal study ZLB06_001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3378" cy="3092085"/>
                    </a:xfrm>
                    <a:prstGeom prst="rect">
                      <a:avLst/>
                    </a:prstGeom>
                  </pic:spPr>
                </pic:pic>
              </a:graphicData>
            </a:graphic>
          </wp:inline>
        </w:drawing>
      </w:r>
      <w:r>
        <w:rPr>
          <w:rFonts w:eastAsia="TimesNewRomanPSMT" w:cs="TimesNewRomanPSMT"/>
          <w:noProof/>
          <w:color w:val="000000" w:themeColor="text1"/>
          <w:lang w:eastAsia="en-AU"/>
        </w:rPr>
        <w:drawing>
          <wp:inline distT="0" distB="0" distL="0" distR="0" wp14:anchorId="7B649419" wp14:editId="5C9289BA">
            <wp:extent cx="3886200" cy="1206490"/>
            <wp:effectExtent l="0" t="0" r="0" b="0"/>
            <wp:docPr id="15" name="Picture 15" descr="Figure 6: Disposition of patients in the EU Pivotal study ZLB06_001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9467" cy="1207504"/>
                    </a:xfrm>
                    <a:prstGeom prst="rect">
                      <a:avLst/>
                    </a:prstGeom>
                  </pic:spPr>
                </pic:pic>
              </a:graphicData>
            </a:graphic>
          </wp:inline>
        </w:drawing>
      </w:r>
    </w:p>
    <w:p w:rsidR="005F74D8" w:rsidRPr="00E005C8" w:rsidRDefault="005F74D8" w:rsidP="005B5A04">
      <w:pPr>
        <w:pStyle w:val="Heading5"/>
      </w:pPr>
      <w:r w:rsidRPr="00E005C8">
        <w:t>Baseline data</w:t>
      </w:r>
    </w:p>
    <w:p w:rsidR="005F74D8" w:rsidRPr="007E7F95" w:rsidRDefault="005F74D8" w:rsidP="00AE49B7">
      <w:pPr>
        <w:pStyle w:val="TableTitle"/>
      </w:pPr>
      <w:r w:rsidRPr="007E7F95">
        <w:t xml:space="preserve">Table 7a: </w:t>
      </w:r>
      <w:r w:rsidRPr="00AE49B7">
        <w:t>Baseline</w:t>
      </w:r>
      <w:r w:rsidRPr="007E7F95">
        <w:t xml:space="preserve"> demographics in ZLB06_001CR</w:t>
      </w:r>
    </w:p>
    <w:p w:rsidR="005F74D8" w:rsidRPr="00E005C8" w:rsidRDefault="00BF6870" w:rsidP="005F74D8">
      <w:pPr>
        <w:autoSpaceDE w:val="0"/>
        <w:autoSpaceDN w:val="0"/>
        <w:adjustRightInd w:val="0"/>
        <w:rPr>
          <w:b/>
          <w:color w:val="000000" w:themeColor="text1"/>
        </w:rPr>
      </w:pPr>
      <w:r>
        <w:rPr>
          <w:b/>
          <w:noProof/>
          <w:color w:val="000000" w:themeColor="text1"/>
          <w:lang w:eastAsia="en-AU"/>
        </w:rPr>
        <w:drawing>
          <wp:inline distT="0" distB="0" distL="0" distR="0" wp14:anchorId="586EF7C4" wp14:editId="3423FA7D">
            <wp:extent cx="3235260" cy="3533775"/>
            <wp:effectExtent l="0" t="0" r="0" b="0"/>
            <wp:docPr id="16" name="Picture 16" descr="Table 7a: Baseline demographics i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7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3388" cy="3542653"/>
                    </a:xfrm>
                    <a:prstGeom prst="rect">
                      <a:avLst/>
                    </a:prstGeom>
                  </pic:spPr>
                </pic:pic>
              </a:graphicData>
            </a:graphic>
          </wp:inline>
        </w:drawing>
      </w:r>
    </w:p>
    <w:p w:rsidR="005F74D8" w:rsidRPr="00AE49B7" w:rsidRDefault="005F74D8" w:rsidP="00AE49B7">
      <w:pPr>
        <w:pStyle w:val="TableTitle"/>
      </w:pPr>
      <w:r w:rsidRPr="00AE49B7">
        <w:lastRenderedPageBreak/>
        <w:t>Table 7b: Baseline demographics in ZLB06_001CR</w:t>
      </w:r>
    </w:p>
    <w:p w:rsidR="005F74D8" w:rsidRDefault="00F01513" w:rsidP="005F74D8">
      <w:pPr>
        <w:autoSpaceDE w:val="0"/>
        <w:autoSpaceDN w:val="0"/>
        <w:adjustRightInd w:val="0"/>
        <w:rPr>
          <w:color w:val="000000" w:themeColor="text1"/>
        </w:rPr>
      </w:pPr>
      <w:r>
        <w:rPr>
          <w:noProof/>
          <w:color w:val="000000" w:themeColor="text1"/>
          <w:lang w:eastAsia="en-AU"/>
        </w:rPr>
        <w:drawing>
          <wp:inline distT="0" distB="0" distL="0" distR="0" wp14:anchorId="634D508B" wp14:editId="2817DB1C">
            <wp:extent cx="3893886" cy="1371600"/>
            <wp:effectExtent l="0" t="0" r="0" b="0"/>
            <wp:docPr id="17" name="Picture 17" descr="Table 7b: Baseline demographics i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7b.jpg"/>
                    <pic:cNvPicPr/>
                  </pic:nvPicPr>
                  <pic:blipFill rotWithShape="1">
                    <a:blip r:embed="rId31" cstate="print">
                      <a:extLst>
                        <a:ext uri="{28A0092B-C50C-407E-A947-70E740481C1C}">
                          <a14:useLocalDpi xmlns:a14="http://schemas.microsoft.com/office/drawing/2010/main" val="0"/>
                        </a:ext>
                      </a:extLst>
                    </a:blip>
                    <a:srcRect b="8280"/>
                    <a:stretch/>
                  </pic:blipFill>
                  <pic:spPr bwMode="auto">
                    <a:xfrm>
                      <a:off x="0" y="0"/>
                      <a:ext cx="3908574" cy="1376774"/>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7E7F95" w:rsidRDefault="005F74D8" w:rsidP="005B5A04">
      <w:pPr>
        <w:pStyle w:val="TableTitle"/>
      </w:pPr>
      <w:r w:rsidRPr="007E7F95">
        <w:t xml:space="preserve">Table 7c: Mean </w:t>
      </w:r>
      <w:r w:rsidR="0070299A">
        <w:t>Week</w:t>
      </w:r>
      <w:r w:rsidRPr="007E7F95">
        <w:t>ly (equivalent dose) at baseline in ZLB06_001CR</w:t>
      </w:r>
    </w:p>
    <w:p w:rsidR="005F74D8" w:rsidRDefault="00F01513" w:rsidP="005F74D8">
      <w:pPr>
        <w:autoSpaceDE w:val="0"/>
        <w:autoSpaceDN w:val="0"/>
        <w:adjustRightInd w:val="0"/>
        <w:rPr>
          <w:color w:val="000000" w:themeColor="text1"/>
        </w:rPr>
      </w:pPr>
      <w:r>
        <w:rPr>
          <w:noProof/>
          <w:color w:val="000000" w:themeColor="text1"/>
          <w:lang w:eastAsia="en-AU"/>
        </w:rPr>
        <w:drawing>
          <wp:inline distT="0" distB="0" distL="0" distR="0" wp14:anchorId="363D8941" wp14:editId="71C75269">
            <wp:extent cx="4216310" cy="1504950"/>
            <wp:effectExtent l="0" t="0" r="0" b="0"/>
            <wp:docPr id="18" name="Picture 18" descr="Table 7c: Mean Weekly (equivalent dose) at baseline i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7c.jpg"/>
                    <pic:cNvPicPr/>
                  </pic:nvPicPr>
                  <pic:blipFill rotWithShape="1">
                    <a:blip r:embed="rId31" cstate="print">
                      <a:extLst>
                        <a:ext uri="{28A0092B-C50C-407E-A947-70E740481C1C}">
                          <a14:useLocalDpi xmlns:a14="http://schemas.microsoft.com/office/drawing/2010/main" val="0"/>
                        </a:ext>
                      </a:extLst>
                    </a:blip>
                    <a:srcRect b="7058"/>
                    <a:stretch/>
                  </pic:blipFill>
                  <pic:spPr bwMode="auto">
                    <a:xfrm>
                      <a:off x="0" y="0"/>
                      <a:ext cx="4232699" cy="1510800"/>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FA0799">
      <w:pPr>
        <w:pStyle w:val="Heading5"/>
      </w:pPr>
      <w:r w:rsidRPr="00FA0799">
        <w:t>Results</w:t>
      </w:r>
      <w:r w:rsidRPr="00E005C8">
        <w:t xml:space="preserve"> for the primary efficacy outcome</w:t>
      </w:r>
    </w:p>
    <w:p w:rsidR="005F74D8" w:rsidRDefault="005F74D8" w:rsidP="00FA0799">
      <w:pPr>
        <w:rPr>
          <w:rFonts w:eastAsia="TimesNewRomanPSMT" w:cs="TimesNewRomanPSMT"/>
          <w:b/>
        </w:rPr>
      </w:pPr>
      <w:r w:rsidRPr="00E005C8">
        <w:t xml:space="preserve">The AT </w:t>
      </w:r>
      <w:r w:rsidR="005B5A04">
        <w:t>population</w:t>
      </w:r>
      <w:r w:rsidRPr="00E005C8">
        <w:t xml:space="preserve">=51 subjects, ITT </w:t>
      </w:r>
      <w:r w:rsidR="005B5A04">
        <w:t>population</w:t>
      </w:r>
      <w:r w:rsidRPr="00E005C8">
        <w:t xml:space="preserve"> =46 subjects, PPE </w:t>
      </w:r>
      <w:r w:rsidR="005B5A04">
        <w:t>population</w:t>
      </w:r>
      <w:r w:rsidRPr="00E005C8">
        <w:t xml:space="preserve"> =34 subjects. All efficacy endpoints were evaluated in ITT population, except for an additional analysis of the primary efficacy endpoint in the PPE population and the secondary efficacy endpoint of SBIs in ITT and PPE </w:t>
      </w:r>
      <w:r w:rsidR="005B5A04">
        <w:t>population</w:t>
      </w:r>
      <w:r w:rsidRPr="00E005C8">
        <w:t xml:space="preserve">s. Subgroup analyses of efficacy endpoints were based on the ITT </w:t>
      </w:r>
      <w:r w:rsidR="005B5A04">
        <w:t>population</w:t>
      </w:r>
      <w:r w:rsidRPr="00E005C8">
        <w:t>. The PPK population that was used for PK evaluations comprised 23 subjects</w:t>
      </w:r>
      <w:r w:rsidR="00C55C7A">
        <w:t>.</w:t>
      </w:r>
      <w:r w:rsidRPr="00E005C8">
        <w:t xml:space="preserve"> All 46 subjects (100%) in the ITT population received the intended 12 infusions during the </w:t>
      </w:r>
      <w:r>
        <w:t>WI/WO</w:t>
      </w:r>
      <w:r w:rsidRPr="00E005C8">
        <w:t xml:space="preserve"> period. During the efficacy period, 37 subjects (80.4%) received the intended 28 infusions, 1 subject (2.2%)</w:t>
      </w:r>
      <w:r>
        <w:t xml:space="preserve"> received 27 infusions, and </w:t>
      </w:r>
      <w:r w:rsidRPr="00E005C8">
        <w:t>3 subjects (6.5%) who discontinued during the efficacy period received 3, 7, and 24 infusions.</w:t>
      </w:r>
      <w:r>
        <w:t xml:space="preserve"> </w:t>
      </w:r>
      <w:r w:rsidRPr="00E005C8">
        <w:t>37 subjects (80.4%) received the planned 40 infusions. The median</w:t>
      </w:r>
      <w:r w:rsidR="0070299A">
        <w:t xml:space="preserve"> Number </w:t>
      </w:r>
      <w:r w:rsidRPr="00E005C8">
        <w:t>of injectio</w:t>
      </w:r>
      <w:r>
        <w:t>n sites per infusion during WI/WO</w:t>
      </w:r>
      <w:r w:rsidRPr="00E005C8">
        <w:t xml:space="preserve"> period and during the efficacy period was 2 (range: 1-4).</w:t>
      </w:r>
      <w:r>
        <w:t xml:space="preserve"> </w:t>
      </w:r>
      <w:r w:rsidRPr="00E005C8">
        <w:rPr>
          <w:rFonts w:eastAsia="TimesNewRomanPSMT" w:cs="TimesNewRomanPSMT"/>
        </w:rPr>
        <w:t>In the ITT population, mean IgG C</w:t>
      </w:r>
      <w:r w:rsidRPr="00E005C8">
        <w:rPr>
          <w:rFonts w:eastAsia="TimesNewRomanPSMT" w:cs="TimesNewRomanPSMT"/>
          <w:vertAlign w:val="subscript"/>
        </w:rPr>
        <w:t xml:space="preserve">trough </w:t>
      </w:r>
      <w:r w:rsidRPr="00E005C8">
        <w:rPr>
          <w:rFonts w:eastAsia="TimesNewRomanPSMT" w:cs="TimesNewRomanPSMT"/>
        </w:rPr>
        <w:t>values were generally stable during the efficacy period</w:t>
      </w:r>
      <w:r>
        <w:t xml:space="preserve"> </w:t>
      </w:r>
      <w:r w:rsidRPr="00E005C8">
        <w:rPr>
          <w:rFonts w:eastAsia="TimesNewRomanPSMT" w:cs="TimesNewRomanPSMT"/>
        </w:rPr>
        <w:t>(</w:t>
      </w:r>
      <w:r w:rsidRPr="00E005C8">
        <w:rPr>
          <w:rFonts w:eastAsia="TimesNewRomanPSMT" w:cs="TimesNewRomanPSMT"/>
          <w:b/>
        </w:rPr>
        <w:t>Figure 5</w:t>
      </w:r>
      <w:r w:rsidRPr="00E005C8">
        <w:rPr>
          <w:rFonts w:eastAsia="TimesNewRomanPSMT" w:cs="TimesNewRomanPSMT"/>
        </w:rPr>
        <w:t>) with values between 7.99 and 8.25g/L</w:t>
      </w:r>
      <w:r w:rsidRPr="00E005C8">
        <w:rPr>
          <w:rFonts w:eastAsia="TimesNewRomanPSMT" w:cs="TimesNewRomanPSMT"/>
          <w:b/>
        </w:rPr>
        <w:t>.</w:t>
      </w:r>
      <w:r w:rsidRPr="00E005C8">
        <w:rPr>
          <w:rFonts w:eastAsia="TimesNewRomanPSMT" w:cs="TimesNewRomanPSMT"/>
        </w:rPr>
        <w:t xml:space="preserve"> The mean of individual median IgG C</w:t>
      </w:r>
      <w:r w:rsidRPr="00E005C8">
        <w:rPr>
          <w:rFonts w:eastAsia="TimesNewRomanPSMT" w:cs="TimesNewRomanPSMT"/>
          <w:vertAlign w:val="subscript"/>
        </w:rPr>
        <w:t xml:space="preserve">trough </w:t>
      </w:r>
      <w:r w:rsidRPr="00E005C8">
        <w:rPr>
          <w:rFonts w:eastAsia="TimesNewRomanPSMT" w:cs="TimesNewRomanPSMT"/>
        </w:rPr>
        <w:t>values was 8.10 g/L at steady-state IgPro20 treatment (values were nearly equal when 6 consecutive IgG C</w:t>
      </w:r>
      <w:r w:rsidRPr="00E005C8">
        <w:rPr>
          <w:rFonts w:eastAsia="TimesNewRomanPSMT" w:cs="TimesNewRomanPSMT"/>
          <w:vertAlign w:val="subscript"/>
        </w:rPr>
        <w:t xml:space="preserve">trough </w:t>
      </w:r>
      <w:r w:rsidRPr="00E005C8">
        <w:rPr>
          <w:rFonts w:eastAsia="TimesNewRomanPSMT" w:cs="TimesNewRomanPSMT"/>
        </w:rPr>
        <w:t>values before Infusions 12 to 17 or all IgG C</w:t>
      </w:r>
      <w:r w:rsidRPr="00E005C8">
        <w:rPr>
          <w:rFonts w:eastAsia="TimesNewRomanPSMT" w:cs="TimesNewRomanPSMT"/>
          <w:vertAlign w:val="subscript"/>
        </w:rPr>
        <w:t>trough</w:t>
      </w:r>
      <w:r w:rsidRPr="00E005C8">
        <w:rPr>
          <w:rFonts w:eastAsia="TimesNewRomanPSMT" w:cs="TimesNewRomanPSMT"/>
        </w:rPr>
        <w:t xml:space="preserve"> values during the efficacy period were considered). Compared to IgG C</w:t>
      </w:r>
      <w:r w:rsidRPr="00E005C8">
        <w:rPr>
          <w:rFonts w:eastAsia="TimesNewRomanPSMT" w:cs="TimesNewRomanPSMT"/>
          <w:vertAlign w:val="subscript"/>
        </w:rPr>
        <w:t>trough</w:t>
      </w:r>
      <w:r w:rsidRPr="00E005C8">
        <w:rPr>
          <w:rFonts w:eastAsia="TimesNewRomanPSMT" w:cs="TimesNewRomanPSMT"/>
        </w:rPr>
        <w:t xml:space="preserve"> values for 3 infusions during the pre-study IVIG or </w:t>
      </w:r>
      <w:r>
        <w:rPr>
          <w:rFonts w:eastAsia="TimesNewRomanPSMT" w:cs="TimesNewRomanPSMT"/>
        </w:rPr>
        <w:t>SCIG</w:t>
      </w:r>
      <w:r w:rsidRPr="00E005C8">
        <w:rPr>
          <w:rFonts w:eastAsia="TimesNewRomanPSMT" w:cs="TimesNewRomanPSMT"/>
        </w:rPr>
        <w:t xml:space="preserve"> treatment, the mean of individual median IgG C</w:t>
      </w:r>
      <w:r w:rsidRPr="00E005C8">
        <w:rPr>
          <w:rFonts w:eastAsia="TimesNewRomanPSMT" w:cs="TimesNewRomanPSMT"/>
          <w:vertAlign w:val="subscript"/>
        </w:rPr>
        <w:t xml:space="preserve">trough </w:t>
      </w:r>
      <w:r w:rsidRPr="00E005C8">
        <w:rPr>
          <w:rFonts w:eastAsia="TimesNewRomanPSMT" w:cs="TimesNewRomanPSMT"/>
        </w:rPr>
        <w:t xml:space="preserve">values </w:t>
      </w:r>
      <w:r w:rsidRPr="00E005C8">
        <w:rPr>
          <w:rFonts w:eastAsia="TimesNewRomanPSMT" w:cs="TimesNewRomanPSMT"/>
          <w:b/>
        </w:rPr>
        <w:t>increased by 8.1%</w:t>
      </w:r>
      <w:r w:rsidRPr="00E005C8">
        <w:rPr>
          <w:rFonts w:eastAsia="TimesNewRomanPSMT" w:cs="TimesNewRomanPSMT"/>
        </w:rPr>
        <w:t xml:space="preserve"> (from 7.49 g/L with the prior IgG therapy to 8.10 g/L during Infusions 12 to 17). The same increase in IgG C</w:t>
      </w:r>
      <w:r w:rsidRPr="00E005C8">
        <w:rPr>
          <w:rFonts w:eastAsia="TimesNewRomanPSMT" w:cs="TimesNewRomanPSMT"/>
          <w:vertAlign w:val="subscript"/>
        </w:rPr>
        <w:t>trough</w:t>
      </w:r>
      <w:r>
        <w:rPr>
          <w:rFonts w:eastAsia="TimesNewRomanPSMT" w:cs="TimesNewRomanPSMT"/>
        </w:rPr>
        <w:t xml:space="preserve"> values </w:t>
      </w:r>
      <w:r w:rsidRPr="00E005C8">
        <w:rPr>
          <w:rFonts w:eastAsia="TimesNewRomanPSMT" w:cs="TimesNewRomanPSMT"/>
        </w:rPr>
        <w:t xml:space="preserve">observed when </w:t>
      </w:r>
      <w:r>
        <w:rPr>
          <w:rFonts w:eastAsia="TimesNewRomanPSMT" w:cs="TimesNewRomanPSMT"/>
        </w:rPr>
        <w:t xml:space="preserve">considering </w:t>
      </w:r>
      <w:r w:rsidRPr="00E005C8">
        <w:rPr>
          <w:rFonts w:eastAsia="TimesNewRomanPSMT" w:cs="TimesNewRomanPSMT"/>
        </w:rPr>
        <w:t>C</w:t>
      </w:r>
      <w:r w:rsidRPr="00E005C8">
        <w:rPr>
          <w:rFonts w:eastAsia="TimesNewRomanPSMT" w:cs="TimesNewRomanPSMT"/>
          <w:vertAlign w:val="subscript"/>
        </w:rPr>
        <w:t xml:space="preserve">trough </w:t>
      </w:r>
      <w:r>
        <w:rPr>
          <w:rFonts w:eastAsia="TimesNewRomanPSMT" w:cs="TimesNewRomanPSMT"/>
        </w:rPr>
        <w:t>pre-</w:t>
      </w:r>
      <w:r w:rsidRPr="00E005C8">
        <w:rPr>
          <w:rFonts w:eastAsia="TimesNewRomanPSMT" w:cs="TimesNewRomanPSMT"/>
        </w:rPr>
        <w:t xml:space="preserve">Infusions 12 to 41 </w:t>
      </w:r>
      <w:r w:rsidRPr="00F24B94">
        <w:rPr>
          <w:rFonts w:eastAsia="TimesNewRomanPSMT" w:cs="TimesNewRomanPSMT"/>
          <w:b/>
        </w:rPr>
        <w:t>(</w:t>
      </w:r>
      <w:r w:rsidR="003D7FF8">
        <w:rPr>
          <w:rFonts w:eastAsia="TimesNewRomanPSMT" w:cs="TimesNewRomanPSMT"/>
          <w:b/>
        </w:rPr>
        <w:t>Table 8).</w:t>
      </w:r>
    </w:p>
    <w:p w:rsidR="005F74D8" w:rsidRPr="007E7F95" w:rsidRDefault="005F74D8" w:rsidP="00C55C7A">
      <w:pPr>
        <w:pStyle w:val="TableTitle"/>
      </w:pPr>
      <w:r w:rsidRPr="007E7F95">
        <w:t>Table 8: Median IgG trough levels before &amp; during the study (ITT population) ZLB06_001CR</w:t>
      </w:r>
    </w:p>
    <w:p w:rsidR="005F74D8" w:rsidRPr="00E005C8" w:rsidRDefault="00F01513" w:rsidP="005F74D8">
      <w:pPr>
        <w:rPr>
          <w:rFonts w:eastAsia="TimesNewRoman,Bold" w:cs="TimesNewRoman,Bold"/>
          <w:b/>
          <w:bCs/>
          <w:color w:val="000000" w:themeColor="text1"/>
          <w:sz w:val="23"/>
          <w:szCs w:val="23"/>
          <w:highlight w:val="magenta"/>
        </w:rPr>
      </w:pPr>
      <w:r>
        <w:rPr>
          <w:rFonts w:eastAsia="TimesNewRoman,Bold" w:cs="TimesNewRoman,Bold"/>
          <w:b/>
          <w:bCs/>
          <w:noProof/>
          <w:color w:val="000000" w:themeColor="text1"/>
          <w:sz w:val="23"/>
          <w:szCs w:val="23"/>
          <w:lang w:eastAsia="en-AU"/>
        </w:rPr>
        <w:drawing>
          <wp:inline distT="0" distB="0" distL="0" distR="0" wp14:anchorId="06B17125" wp14:editId="604E5A9A">
            <wp:extent cx="3676650" cy="1070935"/>
            <wp:effectExtent l="0" t="0" r="0" b="0"/>
            <wp:docPr id="19" name="Picture 19" descr="Table 8: Median IgG trough levels before &amp; during the study (ITT populatio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9779" cy="1071846"/>
                    </a:xfrm>
                    <a:prstGeom prst="rect">
                      <a:avLst/>
                    </a:prstGeom>
                  </pic:spPr>
                </pic:pic>
              </a:graphicData>
            </a:graphic>
          </wp:inline>
        </w:drawing>
      </w:r>
    </w:p>
    <w:p w:rsidR="005F74D8" w:rsidRPr="00E005C8" w:rsidRDefault="005F74D8" w:rsidP="005F74D8">
      <w:pPr>
        <w:rPr>
          <w:rFonts w:eastAsia="TimesNewRoman,Bold" w:cs="TimesNewRoman,Bold"/>
          <w:bCs/>
          <w:color w:val="000000" w:themeColor="text1"/>
          <w:sz w:val="23"/>
          <w:szCs w:val="23"/>
        </w:rPr>
      </w:pPr>
      <w:r w:rsidRPr="00E005C8">
        <w:rPr>
          <w:rFonts w:eastAsia="TimesNewRoman,Bold" w:cs="TimesNewRoman,Bold"/>
          <w:bCs/>
          <w:color w:val="000000" w:themeColor="text1"/>
          <w:sz w:val="23"/>
          <w:szCs w:val="23"/>
        </w:rPr>
        <w:lastRenderedPageBreak/>
        <w:t>IgG C</w:t>
      </w:r>
      <w:r w:rsidRPr="00E005C8">
        <w:rPr>
          <w:rFonts w:eastAsia="TimesNewRoman,Bold" w:cs="TimesNewRoman,Bold"/>
          <w:bCs/>
          <w:color w:val="000000" w:themeColor="text1"/>
          <w:sz w:val="23"/>
          <w:szCs w:val="23"/>
          <w:vertAlign w:val="subscript"/>
        </w:rPr>
        <w:t>trough</w:t>
      </w:r>
      <w:r w:rsidRPr="00E005C8">
        <w:rPr>
          <w:rFonts w:eastAsia="TimesNewRoman,Bold" w:cs="TimesNewRoman,Bold"/>
          <w:bCs/>
          <w:color w:val="000000" w:themeColor="text1"/>
          <w:sz w:val="23"/>
          <w:szCs w:val="23"/>
        </w:rPr>
        <w:t xml:space="preserve"> values &lt;5 g/L were mea</w:t>
      </w:r>
      <w:r>
        <w:rPr>
          <w:rFonts w:eastAsia="TimesNewRoman,Bold" w:cs="TimesNewRoman,Bold"/>
          <w:bCs/>
          <w:color w:val="000000" w:themeColor="text1"/>
          <w:sz w:val="23"/>
          <w:szCs w:val="23"/>
        </w:rPr>
        <w:t xml:space="preserve">sured in 5 subjects; 3 with </w:t>
      </w:r>
      <w:r w:rsidRPr="00E005C8">
        <w:rPr>
          <w:rFonts w:eastAsia="TimesNewRoman,Bold" w:cs="TimesNewRoman,Bold"/>
          <w:bCs/>
          <w:color w:val="000000" w:themeColor="text1"/>
          <w:sz w:val="23"/>
          <w:szCs w:val="23"/>
        </w:rPr>
        <w:t xml:space="preserve">CVID and 2 </w:t>
      </w:r>
      <w:r>
        <w:rPr>
          <w:rFonts w:eastAsia="TimesNewRoman,Bold" w:cs="TimesNewRoman,Bold"/>
          <w:bCs/>
          <w:color w:val="000000" w:themeColor="text1"/>
          <w:sz w:val="23"/>
          <w:szCs w:val="23"/>
        </w:rPr>
        <w:t xml:space="preserve">with </w:t>
      </w:r>
      <w:r w:rsidRPr="00E005C8">
        <w:rPr>
          <w:rFonts w:eastAsia="TimesNewRoman,Bold" w:cs="TimesNewRoman,Bold"/>
          <w:bCs/>
          <w:color w:val="000000" w:themeColor="text1"/>
          <w:sz w:val="23"/>
          <w:szCs w:val="23"/>
        </w:rPr>
        <w:t>XLA. IgG C</w:t>
      </w:r>
      <w:r w:rsidRPr="00E005C8">
        <w:rPr>
          <w:rFonts w:eastAsia="TimesNewRoman,Bold" w:cs="TimesNewRoman,Bold"/>
          <w:bCs/>
          <w:color w:val="000000" w:themeColor="text1"/>
          <w:sz w:val="23"/>
          <w:szCs w:val="23"/>
          <w:vertAlign w:val="subscript"/>
        </w:rPr>
        <w:t xml:space="preserve">trough </w:t>
      </w:r>
      <w:r w:rsidRPr="00E005C8">
        <w:rPr>
          <w:rFonts w:eastAsia="TimesNewRoman,Bold" w:cs="TimesNewRoman,Bold"/>
          <w:bCs/>
          <w:color w:val="000000" w:themeColor="text1"/>
          <w:sz w:val="23"/>
          <w:szCs w:val="23"/>
        </w:rPr>
        <w:t>values &lt;5 g/L occurred only before</w:t>
      </w:r>
      <w:r>
        <w:rPr>
          <w:rFonts w:eastAsia="TimesNewRoman,Bold" w:cs="TimesNewRoman,Bold"/>
          <w:bCs/>
          <w:color w:val="000000" w:themeColor="text1"/>
          <w:sz w:val="23"/>
          <w:szCs w:val="23"/>
        </w:rPr>
        <w:t xml:space="preserve"> very few infusions, except </w:t>
      </w:r>
      <w:r w:rsidRPr="00E005C8">
        <w:rPr>
          <w:rFonts w:eastAsia="TimesNewRoman,Bold" w:cs="TimesNewRoman,Bold"/>
          <w:bCs/>
          <w:color w:val="000000" w:themeColor="text1"/>
          <w:sz w:val="23"/>
          <w:szCs w:val="23"/>
        </w:rPr>
        <w:t xml:space="preserve">subject 2103 </w:t>
      </w:r>
      <w:r>
        <w:rPr>
          <w:rFonts w:eastAsia="TimesNewRoman,Bold" w:cs="TimesNewRoman,Bold"/>
          <w:bCs/>
          <w:color w:val="000000" w:themeColor="text1"/>
          <w:sz w:val="23"/>
          <w:szCs w:val="23"/>
        </w:rPr>
        <w:t>with</w:t>
      </w:r>
      <w:r w:rsidRPr="00E005C8">
        <w:rPr>
          <w:rFonts w:eastAsia="TimesNewRoman,Bold" w:cs="TimesNewRoman,Bold"/>
          <w:bCs/>
          <w:color w:val="000000" w:themeColor="text1"/>
          <w:sz w:val="23"/>
          <w:szCs w:val="23"/>
        </w:rPr>
        <w:t xml:space="preserve"> repeated IgG C</w:t>
      </w:r>
      <w:r w:rsidRPr="00E005C8">
        <w:rPr>
          <w:rFonts w:eastAsia="TimesNewRoman,Bold" w:cs="TimesNewRoman,Bold"/>
          <w:bCs/>
          <w:color w:val="000000" w:themeColor="text1"/>
          <w:sz w:val="23"/>
          <w:szCs w:val="23"/>
          <w:vertAlign w:val="subscript"/>
        </w:rPr>
        <w:t xml:space="preserve">trough </w:t>
      </w:r>
      <w:r w:rsidRPr="00E005C8">
        <w:rPr>
          <w:rFonts w:eastAsia="TimesNewRoman,Bold" w:cs="TimesNewRoman,Bold"/>
          <w:bCs/>
          <w:color w:val="000000" w:themeColor="text1"/>
          <w:sz w:val="23"/>
          <w:szCs w:val="23"/>
        </w:rPr>
        <w:t>values &lt;5 g/L.</w:t>
      </w:r>
    </w:p>
    <w:p w:rsidR="005F74D8" w:rsidRPr="007E7F95" w:rsidRDefault="005F74D8" w:rsidP="005F74D8">
      <w:pPr>
        <w:rPr>
          <w:rFonts w:cs="TimesNewRomanPS-BoldMT"/>
          <w:b/>
          <w:bCs/>
          <w:color w:val="000000" w:themeColor="text1"/>
          <w:sz w:val="20"/>
          <w:szCs w:val="20"/>
        </w:rPr>
      </w:pPr>
      <w:r w:rsidRPr="007E7F95">
        <w:rPr>
          <w:rFonts w:eastAsia="TimesNewRoman,Bold" w:cs="TimesNewRoman,Bold"/>
          <w:b/>
          <w:bCs/>
          <w:color w:val="000000" w:themeColor="text1"/>
          <w:sz w:val="20"/>
          <w:szCs w:val="20"/>
        </w:rPr>
        <w:t xml:space="preserve">Figure 7: </w:t>
      </w:r>
      <w:r w:rsidRPr="007E7F95">
        <w:rPr>
          <w:rFonts w:cs="TimesNewRomanPS-BoldMT"/>
          <w:b/>
          <w:bCs/>
          <w:color w:val="000000" w:themeColor="text1"/>
          <w:sz w:val="20"/>
          <w:szCs w:val="20"/>
        </w:rPr>
        <w:t>Serum IgG trough levels by visit (ITT population)</w:t>
      </w:r>
      <w:r w:rsidRPr="007E7F95">
        <w:rPr>
          <w:color w:val="000000" w:themeColor="text1"/>
          <w:sz w:val="20"/>
          <w:szCs w:val="20"/>
        </w:rPr>
        <w:t xml:space="preserve"> </w:t>
      </w:r>
      <w:r w:rsidRPr="007E7F95">
        <w:rPr>
          <w:rFonts w:cs="TimesNewRomanPS-BoldMT"/>
          <w:b/>
          <w:bCs/>
          <w:color w:val="000000" w:themeColor="text1"/>
          <w:sz w:val="20"/>
          <w:szCs w:val="20"/>
        </w:rPr>
        <w:t>ZLB06_001CR</w:t>
      </w:r>
    </w:p>
    <w:p w:rsidR="005F74D8" w:rsidRPr="00E005C8" w:rsidRDefault="00F01513" w:rsidP="005F74D8">
      <w:pPr>
        <w:rPr>
          <w:rFonts w:ascii="TimesNewRomanPS-BoldMT" w:hAnsi="TimesNewRomanPS-BoldMT" w:cs="TimesNewRomanPS-BoldMT"/>
          <w:b/>
          <w:bCs/>
          <w:color w:val="000000" w:themeColor="text1"/>
          <w:sz w:val="23"/>
          <w:szCs w:val="23"/>
        </w:rPr>
      </w:pPr>
      <w:r>
        <w:rPr>
          <w:rFonts w:ascii="TimesNewRomanPS-BoldMT" w:hAnsi="TimesNewRomanPS-BoldMT" w:cs="TimesNewRomanPS-BoldMT"/>
          <w:b/>
          <w:bCs/>
          <w:noProof/>
          <w:color w:val="000000" w:themeColor="text1"/>
          <w:sz w:val="23"/>
          <w:szCs w:val="23"/>
          <w:lang w:eastAsia="en-AU"/>
        </w:rPr>
        <w:drawing>
          <wp:inline distT="0" distB="0" distL="0" distR="0" wp14:anchorId="38F6AEB2" wp14:editId="6A98B9F4">
            <wp:extent cx="3124200" cy="2261738"/>
            <wp:effectExtent l="0" t="0" r="0" b="0"/>
            <wp:docPr id="20" name="Picture 20" descr="Figure 7: Serum IgG trough levels by visit (ITT populatio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0435" cy="2266252"/>
                    </a:xfrm>
                    <a:prstGeom prst="rect">
                      <a:avLst/>
                    </a:prstGeom>
                  </pic:spPr>
                </pic:pic>
              </a:graphicData>
            </a:graphic>
          </wp:inline>
        </w:drawing>
      </w:r>
    </w:p>
    <w:p w:rsidR="005F74D8" w:rsidRPr="00E005C8" w:rsidRDefault="005F74D8" w:rsidP="00C55C7A">
      <w:pPr>
        <w:pStyle w:val="Heading5"/>
      </w:pPr>
      <w:r w:rsidRPr="00E005C8">
        <w:t>Results for other efficacy outcomes</w:t>
      </w:r>
    </w:p>
    <w:p w:rsidR="005F74D8" w:rsidRDefault="005F74D8" w:rsidP="005F74D8">
      <w:pPr>
        <w:autoSpaceDE w:val="0"/>
        <w:autoSpaceDN w:val="0"/>
        <w:adjustRightInd w:val="0"/>
        <w:rPr>
          <w:rFonts w:eastAsia="TimesNewRomanPSMT" w:cs="TimesNewRomanPSMT"/>
          <w:color w:val="000000" w:themeColor="text1"/>
        </w:rPr>
      </w:pPr>
      <w:r>
        <w:rPr>
          <w:rFonts w:eastAsia="TimesNewRomanPSMT" w:cs="TimesNewRomanPSMT"/>
          <w:color w:val="000000" w:themeColor="text1"/>
        </w:rPr>
        <w:t xml:space="preserve">No subjects in </w:t>
      </w:r>
      <w:r w:rsidRPr="00E005C8">
        <w:rPr>
          <w:rFonts w:eastAsia="TimesNewRomanPSMT" w:cs="TimesNewRomanPSMT"/>
          <w:color w:val="000000" w:themeColor="text1"/>
        </w:rPr>
        <w:t xml:space="preserve">ITT </w:t>
      </w:r>
      <w:r>
        <w:rPr>
          <w:rFonts w:eastAsia="TimesNewRomanPSMT" w:cs="TimesNewRomanPSMT"/>
          <w:color w:val="000000" w:themeColor="text1"/>
        </w:rPr>
        <w:t xml:space="preserve">or PPE </w:t>
      </w:r>
      <w:r w:rsidR="005B5A04">
        <w:rPr>
          <w:rFonts w:eastAsia="TimesNewRomanPSMT" w:cs="TimesNewRomanPSMT"/>
          <w:color w:val="000000" w:themeColor="text1"/>
        </w:rPr>
        <w:t>population</w:t>
      </w:r>
      <w:r>
        <w:rPr>
          <w:rFonts w:eastAsia="TimesNewRomanPSMT" w:cs="TimesNewRomanPSMT"/>
          <w:color w:val="000000" w:themeColor="text1"/>
        </w:rPr>
        <w:t xml:space="preserve">s </w:t>
      </w:r>
      <w:r w:rsidRPr="00E005C8">
        <w:rPr>
          <w:rFonts w:eastAsia="TimesNewRomanPSMT" w:cs="TimesNewRomanPSMT"/>
          <w:color w:val="000000" w:themeColor="text1"/>
        </w:rPr>
        <w:t xml:space="preserve">had an SBI </w:t>
      </w:r>
      <w:r>
        <w:rPr>
          <w:rFonts w:eastAsia="TimesNewRomanPSMT" w:cs="TimesNewRomanPSMT"/>
          <w:color w:val="000000" w:themeColor="text1"/>
        </w:rPr>
        <w:t>d</w:t>
      </w:r>
      <w:r w:rsidRPr="00E005C8">
        <w:rPr>
          <w:rFonts w:eastAsia="TimesNewRomanPSMT" w:cs="TimesNewRomanPSMT"/>
          <w:color w:val="000000" w:themeColor="text1"/>
        </w:rPr>
        <w:t xml:space="preserve">uring the efficacy period. The annual rate of SBIs per subject was therefore </w:t>
      </w:r>
      <w:r w:rsidRPr="00F56E94">
        <w:rPr>
          <w:rFonts w:eastAsia="TimesNewRomanPSMT" w:cs="TimesNewRomanPSMT"/>
          <w:b/>
          <w:color w:val="000000" w:themeColor="text1"/>
        </w:rPr>
        <w:t>0</w:t>
      </w:r>
      <w:r w:rsidRPr="00E005C8">
        <w:rPr>
          <w:rFonts w:eastAsia="TimesNewRomanPSMT" w:cs="TimesNewRomanPSMT"/>
          <w:color w:val="000000" w:themeColor="text1"/>
        </w:rPr>
        <w:t xml:space="preserve">, with upper 99% </w:t>
      </w:r>
      <w:r>
        <w:rPr>
          <w:rFonts w:eastAsia="TimesNewRomanPSMT" w:cs="TimesNewRomanPSMT"/>
          <w:color w:val="000000" w:themeColor="text1"/>
        </w:rPr>
        <w:t xml:space="preserve">CL of 0.192 for the ITT </w:t>
      </w:r>
      <w:r w:rsidRPr="00E005C8">
        <w:rPr>
          <w:rFonts w:eastAsia="TimesNewRomanPSMT" w:cs="TimesNewRomanPSMT"/>
          <w:color w:val="000000" w:themeColor="text1"/>
        </w:rPr>
        <w:t>and 0.250 for the PPE population. H</w:t>
      </w:r>
      <w:r>
        <w:rPr>
          <w:rFonts w:eastAsia="TimesNewRomanPSMT" w:cs="TimesNewRomanPSMT"/>
          <w:color w:val="000000" w:themeColor="text1"/>
        </w:rPr>
        <w:t>owever, 1 subject had an SBI (</w:t>
      </w:r>
      <w:r w:rsidRPr="00E005C8">
        <w:rPr>
          <w:rFonts w:eastAsia="TimesNewRomanPSMT" w:cs="TimesNewRomanPSMT"/>
          <w:color w:val="000000" w:themeColor="text1"/>
        </w:rPr>
        <w:t>pneumonia</w:t>
      </w:r>
      <w:r>
        <w:rPr>
          <w:rFonts w:eastAsia="TimesNewRomanPSMT" w:cs="TimesNewRomanPSMT"/>
          <w:color w:val="000000" w:themeColor="text1"/>
        </w:rPr>
        <w:t>)</w:t>
      </w:r>
      <w:r w:rsidRPr="00E005C8">
        <w:rPr>
          <w:rFonts w:eastAsia="TimesNewRomanPSMT" w:cs="TimesNewRomanPSMT"/>
          <w:color w:val="000000" w:themeColor="text1"/>
        </w:rPr>
        <w:t xml:space="preserve"> during the </w:t>
      </w:r>
      <w:r>
        <w:rPr>
          <w:rFonts w:eastAsia="TimesNewRomanPSMT" w:cs="TimesNewRomanPSMT"/>
          <w:color w:val="000000" w:themeColor="text1"/>
        </w:rPr>
        <w:t>WI/WO</w:t>
      </w:r>
      <w:r w:rsidRPr="00E005C8">
        <w:rPr>
          <w:rFonts w:eastAsia="TimesNewRomanPSMT" w:cs="TimesNewRomanPSMT"/>
          <w:color w:val="000000" w:themeColor="text1"/>
        </w:rPr>
        <w:t xml:space="preserve"> period, resulting in an annual rate for the full evaluation</w:t>
      </w:r>
      <w:r>
        <w:rPr>
          <w:rFonts w:eastAsia="TimesNewRomanPSMT" w:cs="TimesNewRomanPSMT"/>
          <w:color w:val="000000" w:themeColor="text1"/>
        </w:rPr>
        <w:t xml:space="preserve"> period of 0.03 SBIs/subject/y</w:t>
      </w:r>
      <w:r w:rsidR="00C55C7A">
        <w:rPr>
          <w:rFonts w:eastAsia="TimesNewRomanPSMT" w:cs="TimesNewRomanPSMT"/>
          <w:color w:val="000000" w:themeColor="text1"/>
        </w:rPr>
        <w:t>ea</w:t>
      </w:r>
      <w:r w:rsidRPr="00E005C8">
        <w:rPr>
          <w:rFonts w:eastAsia="TimesNewRomanPSMT" w:cs="TimesNewRomanPSMT"/>
          <w:color w:val="000000" w:themeColor="text1"/>
        </w:rPr>
        <w:t>r (upper 99%</w:t>
      </w:r>
      <w:r>
        <w:rPr>
          <w:rFonts w:eastAsia="TimesNewRomanPSMT" w:cs="TimesNewRomanPSMT"/>
          <w:color w:val="000000" w:themeColor="text1"/>
        </w:rPr>
        <w:t xml:space="preserve"> CL</w:t>
      </w:r>
      <w:r w:rsidRPr="00E005C8">
        <w:rPr>
          <w:rFonts w:eastAsia="TimesNewRomanPSMT" w:cs="TimesNewRomanPSMT"/>
          <w:color w:val="000000" w:themeColor="text1"/>
        </w:rPr>
        <w:t>: 0.192) for</w:t>
      </w:r>
      <w:r>
        <w:rPr>
          <w:rFonts w:eastAsia="TimesNewRomanPSMT" w:cs="TimesNewRomanPSMT"/>
          <w:color w:val="000000" w:themeColor="text1"/>
        </w:rPr>
        <w:t xml:space="preserve"> the ITT population and of 0.04 SBIs/subject/y</w:t>
      </w:r>
      <w:r w:rsidR="00C55C7A">
        <w:rPr>
          <w:rFonts w:eastAsia="TimesNewRomanPSMT" w:cs="TimesNewRomanPSMT"/>
          <w:color w:val="000000" w:themeColor="text1"/>
        </w:rPr>
        <w:t>ea</w:t>
      </w:r>
      <w:r w:rsidRPr="00E005C8">
        <w:rPr>
          <w:rFonts w:eastAsia="TimesNewRomanPSMT" w:cs="TimesNewRomanPSMT"/>
          <w:color w:val="000000" w:themeColor="text1"/>
        </w:rPr>
        <w:t>r (upper 99%</w:t>
      </w:r>
      <w:r>
        <w:rPr>
          <w:rFonts w:eastAsia="TimesNewRomanPSMT" w:cs="TimesNewRomanPSMT"/>
          <w:color w:val="000000" w:themeColor="text1"/>
        </w:rPr>
        <w:t xml:space="preserve"> CL</w:t>
      </w:r>
      <w:r w:rsidRPr="00E005C8">
        <w:rPr>
          <w:rFonts w:eastAsia="TimesNewRomanPSMT" w:cs="TimesNewRomanPSMT"/>
          <w:color w:val="000000" w:themeColor="text1"/>
        </w:rPr>
        <w:t>: 0.253) for the PPE population. This subject (1505) had an underlying disease of pn</w:t>
      </w:r>
      <w:r>
        <w:rPr>
          <w:rFonts w:eastAsia="TimesNewRomanPSMT" w:cs="TimesNewRomanPSMT"/>
          <w:color w:val="000000" w:themeColor="text1"/>
        </w:rPr>
        <w:t xml:space="preserve">eumonia and IgG </w:t>
      </w:r>
      <w:r w:rsidR="003944A8">
        <w:rPr>
          <w:rFonts w:eastAsia="TimesNewRomanPSMT" w:cs="TimesNewRomanPSMT"/>
          <w:color w:val="000000" w:themeColor="text1"/>
        </w:rPr>
        <w:t>concentrations</w:t>
      </w:r>
      <w:r w:rsidRPr="00E005C8">
        <w:rPr>
          <w:rFonts w:eastAsia="TimesNewRomanPSMT" w:cs="TimesNewRomanPSMT"/>
          <w:color w:val="000000" w:themeColor="text1"/>
        </w:rPr>
        <w:t xml:space="preserve"> 6.43 and 9.86 g/L during the </w:t>
      </w:r>
      <w:r>
        <w:rPr>
          <w:rFonts w:eastAsia="TimesNewRomanPSMT" w:cs="TimesNewRomanPSMT"/>
          <w:color w:val="000000" w:themeColor="text1"/>
        </w:rPr>
        <w:t>WI/WO</w:t>
      </w:r>
      <w:r w:rsidRPr="00E005C8">
        <w:rPr>
          <w:rFonts w:eastAsia="TimesNewRomanPSMT" w:cs="TimesNewRomanPSMT"/>
          <w:color w:val="000000" w:themeColor="text1"/>
        </w:rPr>
        <w:t xml:space="preserve"> period.</w:t>
      </w:r>
    </w:p>
    <w:p w:rsidR="005F74D8" w:rsidRPr="007E7F95" w:rsidRDefault="005F74D8" w:rsidP="007E6D3B">
      <w:pPr>
        <w:pStyle w:val="TableTitle"/>
      </w:pPr>
      <w:r w:rsidRPr="007E7F95">
        <w:t xml:space="preserve">Table 9: </w:t>
      </w:r>
      <w:r w:rsidRPr="007E6D3B">
        <w:t>Summary</w:t>
      </w:r>
      <w:r w:rsidRPr="007E7F95">
        <w:t xml:space="preserve"> of results for secondary efficacy endpoints (ITT and PPE population)</w:t>
      </w:r>
      <w:r w:rsidRPr="007E7F95">
        <w:rPr>
          <w:rFonts w:eastAsia="TimesNewRoman,Bold" w:cs="TimesNewRoman,Bold"/>
        </w:rPr>
        <w:t xml:space="preserve"> </w:t>
      </w:r>
      <w:r w:rsidRPr="007E7F95">
        <w:t>ZLB06_001CR</w:t>
      </w:r>
    </w:p>
    <w:p w:rsidR="005F74D8" w:rsidRPr="00E005C8" w:rsidRDefault="00F01513" w:rsidP="005F74D8">
      <w:pPr>
        <w:rPr>
          <w:b/>
          <w:color w:val="000000" w:themeColor="text1"/>
          <w:highlight w:val="magenta"/>
        </w:rPr>
      </w:pPr>
      <w:r>
        <w:rPr>
          <w:b/>
          <w:noProof/>
          <w:color w:val="000000" w:themeColor="text1"/>
          <w:lang w:eastAsia="en-AU"/>
        </w:rPr>
        <w:drawing>
          <wp:inline distT="0" distB="0" distL="0" distR="0" wp14:anchorId="0022B6F0" wp14:editId="4ED0BAE0">
            <wp:extent cx="3876675" cy="2332950"/>
            <wp:effectExtent l="0" t="0" r="0" b="0"/>
            <wp:docPr id="21" name="Picture 21" descr="Table 9: Summary of results for secondary efficacy endpoints (ITT and PPE populatio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79571" cy="2334693"/>
                    </a:xfrm>
                    <a:prstGeom prst="rect">
                      <a:avLst/>
                    </a:prstGeom>
                  </pic:spPr>
                </pic:pic>
              </a:graphicData>
            </a:graphic>
          </wp:inline>
        </w:drawing>
      </w:r>
    </w:p>
    <w:p w:rsidR="005F74D8" w:rsidRDefault="005F74D8" w:rsidP="007E6D3B">
      <w:r w:rsidRPr="00E005C8">
        <w:t xml:space="preserve">78.3% </w:t>
      </w:r>
      <w:r>
        <w:t xml:space="preserve">in the ITT </w:t>
      </w:r>
      <w:r w:rsidR="005B5A04">
        <w:t>population</w:t>
      </w:r>
      <w:r w:rsidRPr="00E005C8">
        <w:t xml:space="preserve"> had at least 1 infection in the efficacy </w:t>
      </w:r>
      <w:r>
        <w:t>period (</w:t>
      </w:r>
      <w:r w:rsidR="00C2531A">
        <w:t>that is,</w:t>
      </w:r>
      <w:r>
        <w:t xml:space="preserve"> </w:t>
      </w:r>
      <w:r w:rsidRPr="00E005C8">
        <w:t>during 8745 subject-days)</w:t>
      </w:r>
      <w:r>
        <w:t>. T</w:t>
      </w:r>
      <w:r w:rsidRPr="00E005C8">
        <w:t>ot</w:t>
      </w:r>
      <w:r>
        <w:t>al annual rate of infections =</w:t>
      </w:r>
      <w:r w:rsidRPr="00E005C8">
        <w:t>5.18 infections/sub</w:t>
      </w:r>
      <w:r>
        <w:t>ject/y</w:t>
      </w:r>
      <w:r w:rsidR="00C55C7A">
        <w:t>ea</w:t>
      </w:r>
      <w:r w:rsidRPr="00E005C8">
        <w:t xml:space="preserve">r (95% CL: 4.305; 6.171). The most </w:t>
      </w:r>
      <w:r>
        <w:t xml:space="preserve">frequent being </w:t>
      </w:r>
      <w:r w:rsidRPr="00E005C8">
        <w:t xml:space="preserve">cough (16 events; rate of 0.67 </w:t>
      </w:r>
      <w:r>
        <w:t>infections/subject/y</w:t>
      </w:r>
      <w:r w:rsidR="00C55C7A">
        <w:t>ea</w:t>
      </w:r>
      <w:r>
        <w:t>r)&gt;</w:t>
      </w:r>
      <w:r w:rsidRPr="00E005C8">
        <w:t xml:space="preserve">URTI and bronchitis (15 events each; rate of 0.63 </w:t>
      </w:r>
      <w:r>
        <w:t>infections/subject/y</w:t>
      </w:r>
      <w:r w:rsidR="00C55C7A">
        <w:t>ea</w:t>
      </w:r>
      <w:r>
        <w:t>r each) &gt;</w:t>
      </w:r>
      <w:r w:rsidRPr="00E005C8">
        <w:t xml:space="preserve">nasopharyngitis (13 events; rate of </w:t>
      </w:r>
      <w:r>
        <w:t>0.54 infections/subject/y</w:t>
      </w:r>
      <w:r w:rsidR="00C55C7A">
        <w:t>ea</w:t>
      </w:r>
      <w:r w:rsidRPr="00E005C8">
        <w:t xml:space="preserve">r), and sinusitis and productive cough (7 events; rate of </w:t>
      </w:r>
      <w:r>
        <w:t>0.29 infections/subject/y</w:t>
      </w:r>
      <w:r w:rsidR="00C55C7A">
        <w:t>ea</w:t>
      </w:r>
      <w:r w:rsidRPr="00E005C8">
        <w:t xml:space="preserve">r each). All other </w:t>
      </w:r>
      <w:r>
        <w:t>infections incidence ≤</w:t>
      </w:r>
      <w:r w:rsidRPr="00E005C8">
        <w:t>4 events.</w:t>
      </w:r>
    </w:p>
    <w:p w:rsidR="005F74D8" w:rsidRDefault="005F74D8" w:rsidP="005F74D8">
      <w:pPr>
        <w:autoSpaceDE w:val="0"/>
        <w:autoSpaceDN w:val="0"/>
        <w:adjustRightInd w:val="0"/>
        <w:rPr>
          <w:color w:val="000000" w:themeColor="text1"/>
        </w:rPr>
      </w:pPr>
      <w:r w:rsidRPr="00E005C8">
        <w:rPr>
          <w:color w:val="000000" w:themeColor="text1"/>
        </w:rPr>
        <w:t>The highest incidence of subjects with a</w:t>
      </w:r>
      <w:r>
        <w:rPr>
          <w:color w:val="000000" w:themeColor="text1"/>
        </w:rPr>
        <w:t xml:space="preserve"> specific infection type was</w:t>
      </w:r>
      <w:r w:rsidRPr="00E005C8">
        <w:rPr>
          <w:color w:val="000000" w:themeColor="text1"/>
        </w:rPr>
        <w:t xml:space="preserve"> URTI</w:t>
      </w:r>
      <w:r>
        <w:rPr>
          <w:color w:val="000000" w:themeColor="text1"/>
        </w:rPr>
        <w:t xml:space="preserve"> (11 subjects [23.9%])&gt;</w:t>
      </w:r>
      <w:r w:rsidRPr="00E005C8">
        <w:rPr>
          <w:color w:val="000000" w:themeColor="text1"/>
        </w:rPr>
        <w:t>b</w:t>
      </w:r>
      <w:r>
        <w:rPr>
          <w:color w:val="000000" w:themeColor="text1"/>
        </w:rPr>
        <w:t>ronchitis (10 subjects [21.7%])&gt;</w:t>
      </w:r>
      <w:r w:rsidRPr="00E005C8">
        <w:rPr>
          <w:color w:val="000000" w:themeColor="text1"/>
        </w:rPr>
        <w:t>nasopharyngitis (9 subjects [19.6%]).</w:t>
      </w:r>
      <w:r>
        <w:rPr>
          <w:color w:val="000000" w:themeColor="text1"/>
        </w:rPr>
        <w:t xml:space="preserve"> </w:t>
      </w:r>
      <w:r w:rsidRPr="00E005C8">
        <w:rPr>
          <w:b/>
          <w:color w:val="000000" w:themeColor="text1"/>
        </w:rPr>
        <w:t xml:space="preserve">Effect of age </w:t>
      </w:r>
      <w:r w:rsidRPr="00E005C8">
        <w:rPr>
          <w:b/>
          <w:color w:val="000000" w:themeColor="text1"/>
        </w:rPr>
        <w:lastRenderedPageBreak/>
        <w:t xml:space="preserve">on efficacy endpoints: </w:t>
      </w:r>
      <w:r>
        <w:rPr>
          <w:color w:val="000000" w:themeColor="text1"/>
        </w:rPr>
        <w:t xml:space="preserve">In the ITT </w:t>
      </w:r>
      <w:r w:rsidR="005B5A04">
        <w:rPr>
          <w:color w:val="000000" w:themeColor="text1"/>
        </w:rPr>
        <w:t>population</w:t>
      </w:r>
      <w:r w:rsidRPr="00E005C8">
        <w:rPr>
          <w:color w:val="000000" w:themeColor="text1"/>
        </w:rPr>
        <w:t>, 24 subjects (52.2%) were 16 to &lt;</w:t>
      </w:r>
      <w:r>
        <w:rPr>
          <w:color w:val="000000" w:themeColor="text1"/>
        </w:rPr>
        <w:t xml:space="preserve">65 </w:t>
      </w:r>
      <w:r w:rsidR="003944A8">
        <w:rPr>
          <w:color w:val="000000" w:themeColor="text1"/>
        </w:rPr>
        <w:t>years</w:t>
      </w:r>
      <w:r>
        <w:rPr>
          <w:color w:val="000000" w:themeColor="text1"/>
        </w:rPr>
        <w:t xml:space="preserve"> of age, 17 </w:t>
      </w:r>
      <w:r w:rsidRPr="00E005C8">
        <w:rPr>
          <w:color w:val="000000" w:themeColor="text1"/>
        </w:rPr>
        <w:t xml:space="preserve">(37.0%) were 2 to &lt;12 </w:t>
      </w:r>
      <w:r w:rsidR="003944A8">
        <w:rPr>
          <w:color w:val="000000" w:themeColor="text1"/>
        </w:rPr>
        <w:t>years</w:t>
      </w:r>
      <w:r w:rsidRPr="00E005C8">
        <w:rPr>
          <w:color w:val="000000" w:themeColor="text1"/>
        </w:rPr>
        <w:t xml:space="preserve"> of age, and </w:t>
      </w:r>
      <w:r>
        <w:rPr>
          <w:color w:val="000000" w:themeColor="text1"/>
        </w:rPr>
        <w:t xml:space="preserve">5 </w:t>
      </w:r>
      <w:r w:rsidRPr="00E005C8">
        <w:rPr>
          <w:color w:val="000000" w:themeColor="text1"/>
        </w:rPr>
        <w:t xml:space="preserve">(10.9%) were 12 to &lt;16 </w:t>
      </w:r>
      <w:r w:rsidR="003944A8">
        <w:rPr>
          <w:color w:val="000000" w:themeColor="text1"/>
        </w:rPr>
        <w:t>years</w:t>
      </w:r>
      <w:r w:rsidRPr="00E005C8">
        <w:rPr>
          <w:color w:val="000000" w:themeColor="text1"/>
        </w:rPr>
        <w:t xml:space="preserve"> of age. </w:t>
      </w:r>
      <w:r>
        <w:rPr>
          <w:color w:val="000000" w:themeColor="text1"/>
        </w:rPr>
        <w:t xml:space="preserve">For all age classes, </w:t>
      </w:r>
      <w:r w:rsidRPr="00E005C8">
        <w:rPr>
          <w:color w:val="000000" w:themeColor="text1"/>
        </w:rPr>
        <w:t>mean IgG C</w:t>
      </w:r>
      <w:r w:rsidRPr="00E005C8">
        <w:rPr>
          <w:color w:val="000000" w:themeColor="text1"/>
          <w:vertAlign w:val="subscript"/>
        </w:rPr>
        <w:t>trough</w:t>
      </w:r>
      <w:r w:rsidRPr="00E005C8">
        <w:rPr>
          <w:color w:val="000000" w:themeColor="text1"/>
        </w:rPr>
        <w:t xml:space="preserve"> values were generally stable </w:t>
      </w:r>
      <w:r>
        <w:rPr>
          <w:color w:val="000000" w:themeColor="text1"/>
        </w:rPr>
        <w:t xml:space="preserve">during the efficacy period; </w:t>
      </w:r>
      <w:r w:rsidRPr="00E005C8">
        <w:rPr>
          <w:color w:val="000000" w:themeColor="text1"/>
        </w:rPr>
        <w:t xml:space="preserve">mean values </w:t>
      </w:r>
      <w:r>
        <w:rPr>
          <w:color w:val="000000" w:themeColor="text1"/>
        </w:rPr>
        <w:t>7.55-</w:t>
      </w:r>
      <w:r w:rsidRPr="00E005C8">
        <w:rPr>
          <w:color w:val="000000" w:themeColor="text1"/>
        </w:rPr>
        <w:t xml:space="preserve">8.17g/L in subjects 2 to &lt;12 </w:t>
      </w:r>
      <w:r w:rsidR="003944A8">
        <w:rPr>
          <w:color w:val="000000" w:themeColor="text1"/>
        </w:rPr>
        <w:t>years</w:t>
      </w:r>
      <w:r w:rsidRPr="00E005C8">
        <w:rPr>
          <w:color w:val="000000" w:themeColor="text1"/>
        </w:rPr>
        <w:t xml:space="preserve"> of age, </w:t>
      </w:r>
      <w:r>
        <w:rPr>
          <w:color w:val="000000" w:themeColor="text1"/>
        </w:rPr>
        <w:t>7.33-</w:t>
      </w:r>
      <w:r w:rsidRPr="00E005C8">
        <w:rPr>
          <w:color w:val="000000" w:themeColor="text1"/>
        </w:rPr>
        <w:t>8.67 g/L in subjects 12 to &lt;</w:t>
      </w:r>
      <w:r>
        <w:rPr>
          <w:color w:val="000000" w:themeColor="text1"/>
        </w:rPr>
        <w:t xml:space="preserve">16 </w:t>
      </w:r>
      <w:r w:rsidR="003944A8">
        <w:rPr>
          <w:color w:val="000000" w:themeColor="text1"/>
        </w:rPr>
        <w:t>years</w:t>
      </w:r>
      <w:r w:rsidRPr="00E005C8">
        <w:rPr>
          <w:color w:val="000000" w:themeColor="text1"/>
        </w:rPr>
        <w:t xml:space="preserve"> of age, and </w:t>
      </w:r>
      <w:r>
        <w:rPr>
          <w:color w:val="000000" w:themeColor="text1"/>
        </w:rPr>
        <w:t>8.12-</w:t>
      </w:r>
      <w:r w:rsidRPr="00E005C8">
        <w:rPr>
          <w:color w:val="000000" w:themeColor="text1"/>
        </w:rPr>
        <w:t xml:space="preserve">8.45g/L in subjects 16 to &lt;65 </w:t>
      </w:r>
      <w:r w:rsidR="003944A8">
        <w:rPr>
          <w:color w:val="000000" w:themeColor="text1"/>
        </w:rPr>
        <w:t>years</w:t>
      </w:r>
      <w:r w:rsidRPr="00E005C8">
        <w:rPr>
          <w:color w:val="000000" w:themeColor="text1"/>
        </w:rPr>
        <w:t xml:space="preserve"> of age (</w:t>
      </w:r>
      <w:r w:rsidRPr="00E005C8">
        <w:rPr>
          <w:b/>
          <w:color w:val="000000" w:themeColor="text1"/>
        </w:rPr>
        <w:t>Table 10a</w:t>
      </w:r>
      <w:r w:rsidRPr="00E005C8">
        <w:rPr>
          <w:color w:val="000000" w:themeColor="text1"/>
        </w:rPr>
        <w:t>). Befo</w:t>
      </w:r>
      <w:r>
        <w:rPr>
          <w:color w:val="000000" w:themeColor="text1"/>
        </w:rPr>
        <w:t xml:space="preserve">re the study start, </w:t>
      </w:r>
      <w:r w:rsidRPr="00E005C8">
        <w:rPr>
          <w:color w:val="000000" w:themeColor="text1"/>
        </w:rPr>
        <w:t>mean of individual median IgG C</w:t>
      </w:r>
      <w:r w:rsidRPr="00E005C8">
        <w:rPr>
          <w:color w:val="000000" w:themeColor="text1"/>
          <w:vertAlign w:val="subscript"/>
        </w:rPr>
        <w:t>trough</w:t>
      </w:r>
      <w:r>
        <w:rPr>
          <w:color w:val="000000" w:themeColor="text1"/>
        </w:rPr>
        <w:t xml:space="preserve"> values </w:t>
      </w:r>
      <w:r w:rsidRPr="00E005C8">
        <w:rPr>
          <w:color w:val="000000" w:themeColor="text1"/>
        </w:rPr>
        <w:t>slightly</w:t>
      </w:r>
      <w:r w:rsidRPr="00E005C8">
        <w:rPr>
          <w:b/>
          <w:color w:val="000000" w:themeColor="text1"/>
        </w:rPr>
        <w:t xml:space="preserve"> </w:t>
      </w:r>
      <w:r w:rsidRPr="00E005C8">
        <w:rPr>
          <w:color w:val="000000" w:themeColor="text1"/>
        </w:rPr>
        <w:t>lower in subjects 2 to &lt;</w:t>
      </w:r>
      <w:r>
        <w:rPr>
          <w:color w:val="000000" w:themeColor="text1"/>
        </w:rPr>
        <w:t xml:space="preserve">12 </w:t>
      </w:r>
      <w:r w:rsidR="003944A8">
        <w:rPr>
          <w:color w:val="000000" w:themeColor="text1"/>
        </w:rPr>
        <w:t>years</w:t>
      </w:r>
      <w:r w:rsidRPr="00E005C8">
        <w:rPr>
          <w:color w:val="000000" w:themeColor="text1"/>
        </w:rPr>
        <w:t xml:space="preserve"> of age (6.94 g/L)</w:t>
      </w:r>
      <w:r w:rsidR="0070299A">
        <w:rPr>
          <w:color w:val="000000" w:themeColor="text1"/>
        </w:rPr>
        <w:t xml:space="preserve"> versus</w:t>
      </w:r>
      <w:r w:rsidRPr="00E005C8">
        <w:rPr>
          <w:color w:val="000000" w:themeColor="text1"/>
        </w:rPr>
        <w:t xml:space="preserve"> subjects 12 to &lt;</w:t>
      </w:r>
      <w:r>
        <w:rPr>
          <w:color w:val="000000" w:themeColor="text1"/>
        </w:rPr>
        <w:t xml:space="preserve">16 </w:t>
      </w:r>
      <w:r w:rsidR="003944A8">
        <w:rPr>
          <w:color w:val="000000" w:themeColor="text1"/>
        </w:rPr>
        <w:t>years</w:t>
      </w:r>
      <w:r w:rsidRPr="00E005C8">
        <w:rPr>
          <w:color w:val="000000" w:themeColor="text1"/>
        </w:rPr>
        <w:t xml:space="preserve"> of</w:t>
      </w:r>
      <w:r w:rsidRPr="00E005C8">
        <w:rPr>
          <w:b/>
          <w:color w:val="000000" w:themeColor="text1"/>
        </w:rPr>
        <w:t xml:space="preserve"> </w:t>
      </w:r>
      <w:r w:rsidRPr="00E005C8">
        <w:rPr>
          <w:color w:val="000000" w:themeColor="text1"/>
        </w:rPr>
        <w:t xml:space="preserve">age (7.99 g/L) and subjects 16 to &lt;65 </w:t>
      </w:r>
      <w:r w:rsidR="003944A8">
        <w:rPr>
          <w:color w:val="000000" w:themeColor="text1"/>
        </w:rPr>
        <w:t>years</w:t>
      </w:r>
      <w:r w:rsidRPr="00E005C8">
        <w:rPr>
          <w:color w:val="000000" w:themeColor="text1"/>
        </w:rPr>
        <w:t xml:space="preserve"> of age (7.81 g/L). </w:t>
      </w:r>
      <w:r>
        <w:rPr>
          <w:color w:val="000000" w:themeColor="text1"/>
        </w:rPr>
        <w:t>T</w:t>
      </w:r>
      <w:r w:rsidRPr="00E005C8">
        <w:rPr>
          <w:color w:val="000000" w:themeColor="text1"/>
        </w:rPr>
        <w:t>he mean of individual median IgG C</w:t>
      </w:r>
      <w:r w:rsidRPr="00E005C8">
        <w:rPr>
          <w:color w:val="000000" w:themeColor="text1"/>
          <w:vertAlign w:val="subscript"/>
        </w:rPr>
        <w:t xml:space="preserve">trough </w:t>
      </w:r>
      <w:r w:rsidRPr="00E005C8">
        <w:rPr>
          <w:color w:val="000000" w:themeColor="text1"/>
        </w:rPr>
        <w:t>values during IgPro20 treatment was</w:t>
      </w:r>
      <w:r w:rsidRPr="00E005C8">
        <w:rPr>
          <w:b/>
          <w:color w:val="000000" w:themeColor="text1"/>
        </w:rPr>
        <w:t xml:space="preserve"> </w:t>
      </w:r>
      <w:r w:rsidRPr="00E005C8">
        <w:rPr>
          <w:color w:val="000000" w:themeColor="text1"/>
        </w:rPr>
        <w:t>slightly lower in subjects 2 to &lt;</w:t>
      </w:r>
      <w:r>
        <w:rPr>
          <w:color w:val="000000" w:themeColor="text1"/>
        </w:rPr>
        <w:t xml:space="preserve">12 </w:t>
      </w:r>
      <w:r w:rsidR="003944A8">
        <w:rPr>
          <w:color w:val="000000" w:themeColor="text1"/>
        </w:rPr>
        <w:t>years</w:t>
      </w:r>
      <w:r w:rsidRPr="00E005C8">
        <w:rPr>
          <w:color w:val="000000" w:themeColor="text1"/>
        </w:rPr>
        <w:t xml:space="preserve"> of age. During Infusions 12 to 17, the mean IgG</w:t>
      </w:r>
      <w:r w:rsidRPr="00E005C8">
        <w:rPr>
          <w:b/>
          <w:color w:val="000000" w:themeColor="text1"/>
        </w:rPr>
        <w:t xml:space="preserve"> </w:t>
      </w:r>
      <w:r w:rsidRPr="00E005C8">
        <w:rPr>
          <w:color w:val="000000" w:themeColor="text1"/>
        </w:rPr>
        <w:t>C</w:t>
      </w:r>
      <w:r w:rsidRPr="00E005C8">
        <w:rPr>
          <w:color w:val="000000" w:themeColor="text1"/>
          <w:vertAlign w:val="subscript"/>
        </w:rPr>
        <w:t xml:space="preserve">trough </w:t>
      </w:r>
      <w:r w:rsidRPr="00E005C8">
        <w:rPr>
          <w:color w:val="000000" w:themeColor="text1"/>
        </w:rPr>
        <w:t>was 7.86 g/L in subjects 2 to &lt;</w:t>
      </w:r>
      <w:r>
        <w:rPr>
          <w:color w:val="000000" w:themeColor="text1"/>
        </w:rPr>
        <w:t xml:space="preserve">12 </w:t>
      </w:r>
      <w:r w:rsidR="003944A8">
        <w:rPr>
          <w:color w:val="000000" w:themeColor="text1"/>
        </w:rPr>
        <w:t>years</w:t>
      </w:r>
      <w:r w:rsidRPr="00E005C8">
        <w:rPr>
          <w:color w:val="000000" w:themeColor="text1"/>
        </w:rPr>
        <w:t xml:space="preserve"> of age, 7.91 g/L in subjects 12 to &lt;16 </w:t>
      </w:r>
      <w:r w:rsidR="003944A8">
        <w:rPr>
          <w:color w:val="000000" w:themeColor="text1"/>
        </w:rPr>
        <w:t>years</w:t>
      </w:r>
      <w:r w:rsidRPr="00E005C8">
        <w:rPr>
          <w:color w:val="000000" w:themeColor="text1"/>
        </w:rPr>
        <w:t xml:space="preserve"> of</w:t>
      </w:r>
      <w:r>
        <w:rPr>
          <w:b/>
          <w:color w:val="000000" w:themeColor="text1"/>
        </w:rPr>
        <w:t xml:space="preserve"> </w:t>
      </w:r>
      <w:r w:rsidRPr="00E005C8">
        <w:rPr>
          <w:color w:val="000000" w:themeColor="text1"/>
        </w:rPr>
        <w:t>age, and 8.31 g/L in subjects 16 to &lt;</w:t>
      </w:r>
      <w:r>
        <w:rPr>
          <w:color w:val="000000" w:themeColor="text1"/>
        </w:rPr>
        <w:t xml:space="preserve">65 </w:t>
      </w:r>
      <w:r w:rsidR="003944A8">
        <w:rPr>
          <w:color w:val="000000" w:themeColor="text1"/>
        </w:rPr>
        <w:t>years</w:t>
      </w:r>
      <w:r>
        <w:rPr>
          <w:color w:val="000000" w:themeColor="text1"/>
        </w:rPr>
        <w:t xml:space="preserve"> old</w:t>
      </w:r>
      <w:r w:rsidRPr="00E005C8">
        <w:rPr>
          <w:color w:val="000000" w:themeColor="text1"/>
        </w:rPr>
        <w:t>. The largest increase in IgG C</w:t>
      </w:r>
      <w:r w:rsidRPr="00E005C8">
        <w:rPr>
          <w:color w:val="000000" w:themeColor="text1"/>
          <w:vertAlign w:val="subscript"/>
        </w:rPr>
        <w:t>trough</w:t>
      </w:r>
      <w:r w:rsidRPr="00E005C8">
        <w:rPr>
          <w:color w:val="000000" w:themeColor="text1"/>
        </w:rPr>
        <w:t xml:space="preserve"> values with IgPro20 treatment (Infusions 12 to 17)</w:t>
      </w:r>
      <w:r w:rsidR="0070299A">
        <w:rPr>
          <w:color w:val="000000" w:themeColor="text1"/>
        </w:rPr>
        <w:t xml:space="preserve"> versus</w:t>
      </w:r>
      <w:r>
        <w:rPr>
          <w:color w:val="000000" w:themeColor="text1"/>
        </w:rPr>
        <w:t xml:space="preserve"> prior IgG therapy observed in subjects 2 to &lt;12 </w:t>
      </w:r>
      <w:r w:rsidR="003944A8">
        <w:rPr>
          <w:color w:val="000000" w:themeColor="text1"/>
        </w:rPr>
        <w:t>years</w:t>
      </w:r>
      <w:r w:rsidRPr="00E005C8">
        <w:rPr>
          <w:color w:val="000000" w:themeColor="text1"/>
        </w:rPr>
        <w:t xml:space="preserve"> of age (increase of 13.3% in the mean of individual median C</w:t>
      </w:r>
      <w:r w:rsidRPr="00E005C8">
        <w:rPr>
          <w:color w:val="000000" w:themeColor="text1"/>
          <w:vertAlign w:val="subscript"/>
        </w:rPr>
        <w:t xml:space="preserve">trough </w:t>
      </w:r>
      <w:r w:rsidRPr="00E005C8">
        <w:rPr>
          <w:color w:val="000000" w:themeColor="text1"/>
        </w:rPr>
        <w:t>values), who had had the lowest mean IgG C</w:t>
      </w:r>
      <w:r w:rsidRPr="00E005C8">
        <w:rPr>
          <w:color w:val="000000" w:themeColor="text1"/>
          <w:vertAlign w:val="subscript"/>
        </w:rPr>
        <w:t>trough</w:t>
      </w:r>
      <w:r w:rsidRPr="00E005C8">
        <w:rPr>
          <w:color w:val="000000" w:themeColor="text1"/>
        </w:rPr>
        <w:t xml:space="preserve"> value with their previous IgG therapy (</w:t>
      </w:r>
      <w:r w:rsidRPr="00E005C8">
        <w:rPr>
          <w:b/>
          <w:color w:val="000000" w:themeColor="text1"/>
        </w:rPr>
        <w:t>Table 10b</w:t>
      </w:r>
      <w:r w:rsidRPr="00E005C8">
        <w:rPr>
          <w:color w:val="000000" w:themeColor="text1"/>
        </w:rPr>
        <w:t>). In a robustness analysis of IgG C</w:t>
      </w:r>
      <w:r w:rsidRPr="00E005C8">
        <w:rPr>
          <w:color w:val="000000" w:themeColor="text1"/>
          <w:vertAlign w:val="subscript"/>
        </w:rPr>
        <w:t xml:space="preserve">trough </w:t>
      </w:r>
      <w:r w:rsidRPr="00E005C8">
        <w:rPr>
          <w:color w:val="000000" w:themeColor="text1"/>
        </w:rPr>
        <w:t xml:space="preserve">values by age class excluding all subjects who had dose adjustment during the </w:t>
      </w:r>
      <w:r>
        <w:rPr>
          <w:color w:val="000000" w:themeColor="text1"/>
        </w:rPr>
        <w:t>WI/WO</w:t>
      </w:r>
      <w:r w:rsidRPr="00E005C8">
        <w:rPr>
          <w:color w:val="000000" w:themeColor="text1"/>
        </w:rPr>
        <w:t xml:space="preserve"> period, </w:t>
      </w:r>
      <w:r w:rsidRPr="0007110D">
        <w:rPr>
          <w:b/>
          <w:color w:val="000000" w:themeColor="text1"/>
        </w:rPr>
        <w:t>no relevant difference was observed</w:t>
      </w:r>
      <w:r w:rsidR="0070299A">
        <w:rPr>
          <w:color w:val="000000" w:themeColor="text1"/>
        </w:rPr>
        <w:t xml:space="preserve"> versus</w:t>
      </w:r>
      <w:r w:rsidR="000D6A22">
        <w:rPr>
          <w:color w:val="000000" w:themeColor="text1"/>
        </w:rPr>
        <w:t xml:space="preserve"> </w:t>
      </w:r>
      <w:r w:rsidRPr="00E005C8">
        <w:rPr>
          <w:color w:val="000000" w:themeColor="text1"/>
        </w:rPr>
        <w:t>analysis for the ITT</w:t>
      </w:r>
      <w:r>
        <w:rPr>
          <w:color w:val="000000" w:themeColor="text1"/>
        </w:rPr>
        <w:t xml:space="preserve"> </w:t>
      </w:r>
      <w:r w:rsidR="005B5A04">
        <w:rPr>
          <w:color w:val="000000" w:themeColor="text1"/>
        </w:rPr>
        <w:t>population</w:t>
      </w:r>
      <w:r>
        <w:rPr>
          <w:color w:val="000000" w:themeColor="text1"/>
        </w:rPr>
        <w:t>.</w:t>
      </w:r>
    </w:p>
    <w:p w:rsidR="005F74D8" w:rsidRPr="007E7F95" w:rsidRDefault="005F74D8" w:rsidP="00C55C7A">
      <w:pPr>
        <w:pStyle w:val="TableTitle"/>
      </w:pPr>
      <w:r w:rsidRPr="007E7F95">
        <w:t>Table 10a: Median IgG trough levels before and during the study by age class</w:t>
      </w:r>
      <w:r>
        <w:t xml:space="preserve"> </w:t>
      </w:r>
      <w:r w:rsidRPr="007E7F95">
        <w:t>(ITT population) ZLB06_001CR</w:t>
      </w:r>
    </w:p>
    <w:p w:rsidR="005F74D8" w:rsidRDefault="00F01513" w:rsidP="005F74D8">
      <w:pPr>
        <w:autoSpaceDE w:val="0"/>
        <w:autoSpaceDN w:val="0"/>
        <w:adjustRightInd w:val="0"/>
        <w:rPr>
          <w:color w:val="000000" w:themeColor="text1"/>
        </w:rPr>
      </w:pPr>
      <w:r>
        <w:rPr>
          <w:noProof/>
          <w:color w:val="000000" w:themeColor="text1"/>
          <w:lang w:eastAsia="en-AU"/>
        </w:rPr>
        <w:drawing>
          <wp:inline distT="0" distB="0" distL="0" distR="0" wp14:anchorId="389E0B3A" wp14:editId="22218EDB">
            <wp:extent cx="4351030" cy="2219325"/>
            <wp:effectExtent l="0" t="0" r="0" b="0"/>
            <wp:docPr id="22" name="Picture 22" descr="Table 10a: Median IgG trough levels before and during the study by age class (ITT populatio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0a.jpg"/>
                    <pic:cNvPicPr/>
                  </pic:nvPicPr>
                  <pic:blipFill rotWithShape="1">
                    <a:blip r:embed="rId35" cstate="print">
                      <a:extLst>
                        <a:ext uri="{28A0092B-C50C-407E-A947-70E740481C1C}">
                          <a14:useLocalDpi xmlns:a14="http://schemas.microsoft.com/office/drawing/2010/main" val="0"/>
                        </a:ext>
                      </a:extLst>
                    </a:blip>
                    <a:srcRect b="5668"/>
                    <a:stretch/>
                  </pic:blipFill>
                  <pic:spPr bwMode="auto">
                    <a:xfrm>
                      <a:off x="0" y="0"/>
                      <a:ext cx="4354281" cy="2220983"/>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7E7F95" w:rsidRDefault="005F74D8" w:rsidP="005F74D8">
      <w:pPr>
        <w:autoSpaceDE w:val="0"/>
        <w:autoSpaceDN w:val="0"/>
        <w:adjustRightInd w:val="0"/>
        <w:rPr>
          <w:rFonts w:cs="TimesNewRomanPS-BoldMT"/>
          <w:b/>
          <w:bCs/>
          <w:color w:val="000000" w:themeColor="text1"/>
          <w:sz w:val="20"/>
          <w:szCs w:val="20"/>
        </w:rPr>
      </w:pPr>
      <w:r w:rsidRPr="007E7F95">
        <w:rPr>
          <w:rFonts w:cs="TimesNewRomanPS-BoldMT"/>
          <w:b/>
          <w:bCs/>
          <w:color w:val="000000" w:themeColor="text1"/>
          <w:sz w:val="20"/>
          <w:szCs w:val="20"/>
        </w:rPr>
        <w:t>Table 10b: Median IgG trough levels before and during the study by previous replacement therapy (ITT population) ZLB06_001CR</w:t>
      </w:r>
    </w:p>
    <w:p w:rsidR="005F74D8" w:rsidRPr="00E005C8" w:rsidRDefault="00F01513" w:rsidP="005F74D8">
      <w:pPr>
        <w:autoSpaceDE w:val="0"/>
        <w:autoSpaceDN w:val="0"/>
        <w:adjustRightInd w:val="0"/>
        <w:rPr>
          <w:b/>
          <w:color w:val="000000" w:themeColor="text1"/>
        </w:rPr>
      </w:pPr>
      <w:r>
        <w:rPr>
          <w:b/>
          <w:noProof/>
          <w:color w:val="000000" w:themeColor="text1"/>
          <w:lang w:eastAsia="en-AU"/>
        </w:rPr>
        <w:drawing>
          <wp:inline distT="0" distB="0" distL="0" distR="0" wp14:anchorId="7C7238C7" wp14:editId="44F92699">
            <wp:extent cx="4191000" cy="2000250"/>
            <wp:effectExtent l="0" t="0" r="0" b="0"/>
            <wp:docPr id="23" name="Picture 23" descr="Table 10b: Median IgG trough levels before and during the study by previous replacement therapy (ITT population)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0b.jpg"/>
                    <pic:cNvPicPr/>
                  </pic:nvPicPr>
                  <pic:blipFill rotWithShape="1">
                    <a:blip r:embed="rId36" cstate="print">
                      <a:extLst>
                        <a:ext uri="{28A0092B-C50C-407E-A947-70E740481C1C}">
                          <a14:useLocalDpi xmlns:a14="http://schemas.microsoft.com/office/drawing/2010/main" val="0"/>
                        </a:ext>
                      </a:extLst>
                    </a:blip>
                    <a:srcRect b="6488"/>
                    <a:stretch/>
                  </pic:blipFill>
                  <pic:spPr bwMode="auto">
                    <a:xfrm>
                      <a:off x="0" y="0"/>
                      <a:ext cx="4194196" cy="2001775"/>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5F74D8">
      <w:pPr>
        <w:autoSpaceDE w:val="0"/>
        <w:autoSpaceDN w:val="0"/>
        <w:adjustRightInd w:val="0"/>
        <w:rPr>
          <w:b/>
          <w:color w:val="000000" w:themeColor="text1"/>
        </w:rPr>
      </w:pPr>
      <w:r w:rsidRPr="00E005C8">
        <w:rPr>
          <w:b/>
          <w:color w:val="000000" w:themeColor="text1"/>
        </w:rPr>
        <w:t xml:space="preserve">Quality of Life: </w:t>
      </w:r>
      <w:r w:rsidRPr="00E005C8">
        <w:rPr>
          <w:color w:val="000000" w:themeColor="text1"/>
        </w:rPr>
        <w:t>Some aspects of HRQL and treatment satisfaction improved with SC</w:t>
      </w:r>
      <w:r>
        <w:rPr>
          <w:color w:val="000000" w:themeColor="text1"/>
        </w:rPr>
        <w:t xml:space="preserve"> IgPro20. </w:t>
      </w:r>
      <w:r w:rsidRPr="00E005C8">
        <w:rPr>
          <w:color w:val="000000" w:themeColor="text1"/>
        </w:rPr>
        <w:t xml:space="preserve">Statistically significant improvements </w:t>
      </w:r>
      <w:r>
        <w:rPr>
          <w:color w:val="000000" w:themeColor="text1"/>
        </w:rPr>
        <w:t xml:space="preserve">observed for </w:t>
      </w:r>
      <w:r w:rsidRPr="00E005C8">
        <w:rPr>
          <w:color w:val="000000" w:themeColor="text1"/>
        </w:rPr>
        <w:t>TSQM domain convenience and total LQI</w:t>
      </w:r>
      <w:r w:rsidR="007E6D3B">
        <w:rPr>
          <w:color w:val="000000" w:themeColor="text1"/>
        </w:rPr>
        <w:t>.</w:t>
      </w:r>
    </w:p>
    <w:p w:rsidR="005F74D8" w:rsidRPr="00E005C8" w:rsidRDefault="005F74D8" w:rsidP="00C55C7A">
      <w:pPr>
        <w:pStyle w:val="Heading3"/>
      </w:pPr>
      <w:bookmarkStart w:id="265" w:name="_Toc373748423"/>
      <w:bookmarkStart w:id="266" w:name="_Toc392757312"/>
      <w:r w:rsidRPr="00E005C8">
        <w:lastRenderedPageBreak/>
        <w:t>Pivotal efficacy study for use of Hizentra</w:t>
      </w:r>
      <w:r w:rsidRPr="00E005C8">
        <w:sym w:font="Symbol" w:char="F0D2"/>
      </w:r>
      <w:r w:rsidR="00904863">
        <w:t xml:space="preserve"> as Ig</w:t>
      </w:r>
      <w:r w:rsidRPr="00E005C8">
        <w:t xml:space="preserve"> replacement in P</w:t>
      </w:r>
      <w:r w:rsidR="00904863">
        <w:t>ID</w:t>
      </w:r>
      <w:bookmarkEnd w:id="265"/>
      <w:bookmarkEnd w:id="266"/>
    </w:p>
    <w:p w:rsidR="005F74D8" w:rsidRPr="000C211A" w:rsidRDefault="005F74D8" w:rsidP="00C55C7A">
      <w:pPr>
        <w:pStyle w:val="Heading4"/>
      </w:pPr>
      <w:bookmarkStart w:id="267" w:name="_Toc373748424"/>
      <w:r w:rsidRPr="00E005C8">
        <w:t>Pivotal efficacy studies) Phase III, prospective, open-label, multicenter, single-arm study including a PK substudy</w:t>
      </w:r>
      <w:r>
        <w:t xml:space="preserve">: </w:t>
      </w:r>
      <w:r w:rsidRPr="000C211A">
        <w:t>ZLB04_009C R (US pivotal study)</w:t>
      </w:r>
      <w:bookmarkEnd w:id="267"/>
    </w:p>
    <w:p w:rsidR="005F74D8" w:rsidRPr="00E005C8" w:rsidRDefault="005F74D8" w:rsidP="00C55C7A">
      <w:pPr>
        <w:pStyle w:val="Heading5"/>
      </w:pPr>
      <w:r w:rsidRPr="00E005C8">
        <w:t>Study design, objectives, locations and dates</w:t>
      </w:r>
    </w:p>
    <w:p w:rsidR="005F74D8" w:rsidRDefault="005F74D8" w:rsidP="005F74D8">
      <w:pPr>
        <w:rPr>
          <w:color w:val="000000" w:themeColor="text1"/>
        </w:rPr>
      </w:pPr>
      <w:r w:rsidRPr="00E005C8">
        <w:rPr>
          <w:color w:val="000000" w:themeColor="text1"/>
        </w:rPr>
        <w:t>A Phase III Open-label, Prospective, Multicentre Study of the Efficacy, Tolerability, Safety, and Pharmacokinetics of Immune Globulin Subcutaneous (Human), IgPro20 in Subjects with Primary Immunodeficiency.</w:t>
      </w:r>
      <w:r w:rsidR="000D6A22">
        <w:rPr>
          <w:color w:val="000000" w:themeColor="text1"/>
        </w:rPr>
        <w:t xml:space="preserve"> </w:t>
      </w:r>
      <w:r w:rsidRPr="00E005C8">
        <w:rPr>
          <w:color w:val="000000" w:themeColor="text1"/>
        </w:rPr>
        <w:t>Multicentre, 12 sites in the USA enrolled patients into this study between 2006 and 2008</w:t>
      </w:r>
      <w:r>
        <w:rPr>
          <w:color w:val="000000" w:themeColor="text1"/>
        </w:rPr>
        <w:t>. Date of first enrolment: 29Nov</w:t>
      </w:r>
      <w:r w:rsidR="00C55C7A">
        <w:rPr>
          <w:color w:val="000000" w:themeColor="text1"/>
        </w:rPr>
        <w:t xml:space="preserve">ember </w:t>
      </w:r>
      <w:r w:rsidRPr="00E005C8">
        <w:rPr>
          <w:color w:val="000000" w:themeColor="text1"/>
        </w:rPr>
        <w:t>20</w:t>
      </w:r>
      <w:r>
        <w:rPr>
          <w:color w:val="000000" w:themeColor="text1"/>
        </w:rPr>
        <w:t>06; Date of last completed: 27</w:t>
      </w:r>
      <w:r w:rsidR="00C55C7A">
        <w:rPr>
          <w:color w:val="000000" w:themeColor="text1"/>
        </w:rPr>
        <w:t xml:space="preserve"> </w:t>
      </w:r>
      <w:r>
        <w:rPr>
          <w:color w:val="000000" w:themeColor="text1"/>
        </w:rPr>
        <w:t>Oct</w:t>
      </w:r>
      <w:r w:rsidR="00C55C7A">
        <w:rPr>
          <w:color w:val="000000" w:themeColor="text1"/>
        </w:rPr>
        <w:t xml:space="preserve">ober </w:t>
      </w:r>
      <w:r w:rsidRPr="00E005C8">
        <w:rPr>
          <w:color w:val="000000" w:themeColor="text1"/>
        </w:rPr>
        <w:t>2008.</w:t>
      </w:r>
      <w:r w:rsidR="000D6A22">
        <w:rPr>
          <w:color w:val="000000" w:themeColor="text1"/>
        </w:rPr>
        <w:t xml:space="preserve"> </w:t>
      </w:r>
      <w:r w:rsidRPr="00E005C8">
        <w:rPr>
          <w:color w:val="000000" w:themeColor="text1"/>
        </w:rPr>
        <w:t xml:space="preserve">The study design took into consideration the criteria in the </w:t>
      </w:r>
      <w:r>
        <w:rPr>
          <w:color w:val="000000" w:themeColor="text1"/>
        </w:rPr>
        <w:t xml:space="preserve">FDA </w:t>
      </w:r>
      <w:r w:rsidRPr="00E005C8">
        <w:rPr>
          <w:color w:val="000000" w:themeColor="text1"/>
        </w:rPr>
        <w:t>Draft Guidance “Safety, efficacy, and PK studies to support marketing of IVIG (human)</w:t>
      </w:r>
      <w:r>
        <w:rPr>
          <w:color w:val="000000" w:themeColor="text1"/>
        </w:rPr>
        <w:t xml:space="preserve"> </w:t>
      </w:r>
      <w:r w:rsidRPr="00E005C8">
        <w:rPr>
          <w:color w:val="000000" w:themeColor="text1"/>
        </w:rPr>
        <w:t>as replacement therapy for primary humoral immunodeficiency” (November 2005) and the</w:t>
      </w:r>
      <w:r>
        <w:rPr>
          <w:color w:val="000000" w:themeColor="text1"/>
        </w:rPr>
        <w:t xml:space="preserve"> </w:t>
      </w:r>
      <w:r w:rsidRPr="00E005C8">
        <w:rPr>
          <w:color w:val="000000" w:themeColor="text1"/>
        </w:rPr>
        <w:t xml:space="preserve">EMEA </w:t>
      </w:r>
      <w:r>
        <w:rPr>
          <w:color w:val="000000" w:themeColor="text1"/>
        </w:rPr>
        <w:t xml:space="preserve">Guidance. </w:t>
      </w:r>
      <w:r w:rsidRPr="00E005C8">
        <w:rPr>
          <w:color w:val="000000" w:themeColor="text1"/>
        </w:rPr>
        <w:t>A</w:t>
      </w:r>
      <w:r>
        <w:rPr>
          <w:color w:val="000000" w:themeColor="text1"/>
        </w:rPr>
        <w:t xml:space="preserve">t the request of the FDA, a new variable, </w:t>
      </w:r>
      <w:r w:rsidRPr="00E005C8">
        <w:rPr>
          <w:color w:val="000000" w:themeColor="text1"/>
        </w:rPr>
        <w:t>trough level ratio (</w:t>
      </w:r>
      <w:r w:rsidRPr="00E005C8">
        <w:rPr>
          <w:b/>
          <w:color w:val="000000" w:themeColor="text1"/>
        </w:rPr>
        <w:t>TLR</w:t>
      </w:r>
      <w:r w:rsidRPr="00E005C8">
        <w:rPr>
          <w:color w:val="000000" w:themeColor="text1"/>
        </w:rPr>
        <w:t xml:space="preserve">) of serum IgG for </w:t>
      </w:r>
      <w:r>
        <w:rPr>
          <w:color w:val="000000" w:themeColor="text1"/>
        </w:rPr>
        <w:t>SCIG</w:t>
      </w:r>
      <w:r w:rsidR="0070299A">
        <w:rPr>
          <w:color w:val="000000" w:themeColor="text1"/>
        </w:rPr>
        <w:t xml:space="preserve"> versus</w:t>
      </w:r>
      <w:r w:rsidRPr="00E005C8">
        <w:rPr>
          <w:color w:val="000000" w:themeColor="text1"/>
        </w:rPr>
        <w:t xml:space="preserve"> IVIG (Privigen) at steady-state, was derived on the basis of PK data obtained in</w:t>
      </w:r>
      <w:r>
        <w:rPr>
          <w:color w:val="000000" w:themeColor="text1"/>
        </w:rPr>
        <w:t xml:space="preserve"> </w:t>
      </w:r>
      <w:r w:rsidRPr="00E005C8">
        <w:rPr>
          <w:color w:val="000000" w:themeColor="text1"/>
        </w:rPr>
        <w:t>the current PK substudy. The TLR relates steady-state AUC and serum C</w:t>
      </w:r>
      <w:r w:rsidRPr="00E005C8">
        <w:rPr>
          <w:color w:val="000000" w:themeColor="text1"/>
          <w:vertAlign w:val="subscript"/>
        </w:rPr>
        <w:t>trough</w:t>
      </w:r>
      <w:r w:rsidRPr="00E005C8">
        <w:rPr>
          <w:color w:val="000000" w:themeColor="text1"/>
        </w:rPr>
        <w:t xml:space="preserve"> during IVIG administration to steady-state AUC and C</w:t>
      </w:r>
      <w:r w:rsidRPr="00E005C8">
        <w:rPr>
          <w:color w:val="000000" w:themeColor="text1"/>
          <w:vertAlign w:val="subscript"/>
        </w:rPr>
        <w:t>trough</w:t>
      </w:r>
      <w:r w:rsidRPr="00E005C8">
        <w:rPr>
          <w:color w:val="000000" w:themeColor="text1"/>
        </w:rPr>
        <w:t xml:space="preserve"> during </w:t>
      </w:r>
      <w:r>
        <w:rPr>
          <w:color w:val="000000" w:themeColor="text1"/>
        </w:rPr>
        <w:t>SCIG</w:t>
      </w:r>
      <w:r w:rsidRPr="00E005C8">
        <w:rPr>
          <w:color w:val="000000" w:themeColor="text1"/>
        </w:rPr>
        <w:t xml:space="preserve"> administration. The purpose of this IgPro20-specific TLR was to provide a means by which serum C</w:t>
      </w:r>
      <w:r w:rsidRPr="00E005C8">
        <w:rPr>
          <w:color w:val="000000" w:themeColor="text1"/>
          <w:vertAlign w:val="subscript"/>
        </w:rPr>
        <w:t xml:space="preserve">trough </w:t>
      </w:r>
      <w:r w:rsidRPr="00E005C8">
        <w:rPr>
          <w:color w:val="000000" w:themeColor="text1"/>
        </w:rPr>
        <w:t>values in non-PK subjects could be used to assess whether these subjects had been adequately dosed with IgPro20 during the efficacy period.</w:t>
      </w:r>
      <w:r w:rsidR="000D6A22">
        <w:rPr>
          <w:color w:val="000000" w:themeColor="text1"/>
        </w:rPr>
        <w:t xml:space="preserve"> </w:t>
      </w:r>
      <w:r w:rsidRPr="00E005C8">
        <w:rPr>
          <w:color w:val="000000" w:themeColor="text1"/>
        </w:rPr>
        <w:t xml:space="preserve">The individual comparisons of serum IgG levels and AUCs between IgPro20 treatment in the current study and during Privigen treatment in the preceding studies were conducted </w:t>
      </w:r>
      <w:r>
        <w:rPr>
          <w:color w:val="000000" w:themeColor="text1"/>
        </w:rPr>
        <w:t xml:space="preserve">in the </w:t>
      </w:r>
      <w:r w:rsidRPr="00E005C8">
        <w:rPr>
          <w:color w:val="000000" w:themeColor="text1"/>
        </w:rPr>
        <w:t>PK sub</w:t>
      </w:r>
      <w:r>
        <w:rPr>
          <w:color w:val="000000" w:themeColor="text1"/>
        </w:rPr>
        <w:t>set</w:t>
      </w:r>
      <w:r w:rsidRPr="00E005C8">
        <w:rPr>
          <w:color w:val="000000" w:themeColor="text1"/>
        </w:rPr>
        <w:t>.</w:t>
      </w:r>
    </w:p>
    <w:p w:rsidR="005F74D8" w:rsidRPr="00E005C8" w:rsidRDefault="005F74D8" w:rsidP="00C55C7A">
      <w:pPr>
        <w:pStyle w:val="Heading5"/>
      </w:pPr>
      <w:r w:rsidRPr="00E005C8">
        <w:t>Inclusion and exclusion criteria</w:t>
      </w:r>
    </w:p>
    <w:p w:rsidR="005F74D8" w:rsidRDefault="005F74D8" w:rsidP="005F74D8">
      <w:pPr>
        <w:autoSpaceDE w:val="0"/>
        <w:autoSpaceDN w:val="0"/>
        <w:adjustRightInd w:val="0"/>
        <w:rPr>
          <w:rFonts w:eastAsia="TimesNewRomanPSMT" w:cs="TimesNewRomanPSMT"/>
          <w:b/>
          <w:color w:val="000000" w:themeColor="text1"/>
        </w:rPr>
      </w:pPr>
      <w:r w:rsidRPr="00E005C8">
        <w:rPr>
          <w:rFonts w:eastAsia="TimesNewRomanPSMT" w:cs="TimesNewRomanPSMT"/>
          <w:b/>
          <w:color w:val="000000" w:themeColor="text1"/>
        </w:rPr>
        <w:t xml:space="preserve">Key inclusions: </w:t>
      </w:r>
      <w:r>
        <w:rPr>
          <w:rFonts w:eastAsia="TimesNewRomanPSMT" w:cs="TimesNewRomanPSMT"/>
          <w:color w:val="000000" w:themeColor="text1"/>
        </w:rPr>
        <w:t xml:space="preserve">1) Male or female, 2-75 </w:t>
      </w:r>
      <w:r w:rsidR="003944A8">
        <w:rPr>
          <w:rFonts w:eastAsia="TimesNewRomanPSMT" w:cs="TimesNewRomanPSMT"/>
          <w:color w:val="000000" w:themeColor="text1"/>
        </w:rPr>
        <w:t>years</w:t>
      </w:r>
      <w:r w:rsidRPr="00E005C8">
        <w:rPr>
          <w:rFonts w:eastAsia="TimesNewRomanPSMT" w:cs="TimesNewRomanPSMT"/>
          <w:color w:val="000000" w:themeColor="text1"/>
        </w:rPr>
        <w:t xml:space="preserve"> of age with </w:t>
      </w:r>
      <w:r>
        <w:rPr>
          <w:rFonts w:eastAsia="TimesNewRomanPSMT" w:cs="TimesNewRomanPSMT"/>
          <w:color w:val="000000" w:themeColor="text1"/>
        </w:rPr>
        <w:t xml:space="preserve">PID </w:t>
      </w:r>
      <w:r w:rsidR="00C2531A">
        <w:rPr>
          <w:rFonts w:eastAsia="TimesNewRomanPSMT" w:cs="TimesNewRomanPSMT"/>
          <w:color w:val="000000" w:themeColor="text1"/>
        </w:rPr>
        <w:t>that is,</w:t>
      </w:r>
      <w:r w:rsidRPr="00E005C8">
        <w:rPr>
          <w:rFonts w:eastAsia="TimesNewRomanPSMT" w:cs="TimesNewRomanPSMT"/>
          <w:color w:val="000000" w:themeColor="text1"/>
        </w:rPr>
        <w:t xml:space="preserve"> CVID or XLA; 2) </w:t>
      </w:r>
      <w:r>
        <w:rPr>
          <w:rFonts w:eastAsia="TimesNewRomanPSMT" w:cs="TimesNewRomanPSMT"/>
          <w:color w:val="000000" w:themeColor="text1"/>
        </w:rPr>
        <w:t>P</w:t>
      </w:r>
      <w:r w:rsidRPr="00E005C8">
        <w:rPr>
          <w:rFonts w:eastAsia="TimesNewRomanPSMT" w:cs="TimesNewRomanPSMT"/>
          <w:color w:val="000000" w:themeColor="text1"/>
        </w:rPr>
        <w:t xml:space="preserve">reviously received IVIG therapy at 3- or 4 </w:t>
      </w:r>
      <w:r w:rsidR="0070299A">
        <w:rPr>
          <w:rFonts w:eastAsia="TimesNewRomanPSMT" w:cs="TimesNewRomanPSMT"/>
          <w:color w:val="000000" w:themeColor="text1"/>
        </w:rPr>
        <w:t>Week</w:t>
      </w:r>
      <w:r w:rsidRPr="00E005C8">
        <w:rPr>
          <w:rFonts w:eastAsia="TimesNewRomanPSMT" w:cs="TimesNewRomanPSMT"/>
          <w:color w:val="000000" w:themeColor="text1"/>
        </w:rPr>
        <w:t xml:space="preserve"> intervals for </w:t>
      </w:r>
      <w:r w:rsidR="00C55C7A">
        <w:rPr>
          <w:rFonts w:eastAsia="TimesNewRomanPSMT" w:cs="TimesNewRomanPSMT"/>
          <w:color w:val="000000" w:themeColor="text1"/>
        </w:rPr>
        <w:t>≥</w:t>
      </w:r>
      <w:r w:rsidRPr="00E005C8">
        <w:rPr>
          <w:rFonts w:eastAsia="TimesNewRomanPSMT" w:cs="TimesNewRomanPSMT"/>
          <w:color w:val="000000" w:themeColor="text1"/>
        </w:rPr>
        <w:t>3 months prior to receiving IgPro20. Subjects switching from Privigen had to have at least 3 documented serum IgG C</w:t>
      </w:r>
      <w:r w:rsidRPr="00E005C8">
        <w:rPr>
          <w:rFonts w:eastAsia="TimesNewRomanPSMT" w:cs="TimesNewRomanPSMT"/>
          <w:color w:val="000000" w:themeColor="text1"/>
          <w:vertAlign w:val="subscript"/>
        </w:rPr>
        <w:t>trough</w:t>
      </w:r>
      <w:r>
        <w:rPr>
          <w:rFonts w:eastAsia="TimesNewRomanPSMT" w:cs="TimesNewRomanPSMT"/>
          <w:color w:val="000000" w:themeColor="text1"/>
        </w:rPr>
        <w:t xml:space="preserve"> values of </w:t>
      </w:r>
      <w:r w:rsidR="00C55C7A">
        <w:rPr>
          <w:rFonts w:eastAsia="TimesNewRomanPSMT" w:cs="TimesNewRomanPSMT"/>
          <w:color w:val="000000" w:themeColor="text1"/>
        </w:rPr>
        <w:t>≥</w:t>
      </w:r>
      <w:r>
        <w:rPr>
          <w:rFonts w:eastAsia="TimesNewRomanPSMT" w:cs="TimesNewRomanPSMT"/>
          <w:color w:val="000000" w:themeColor="text1"/>
        </w:rPr>
        <w:t>5 g/L during the preceding 3 m</w:t>
      </w:r>
      <w:r w:rsidR="00C55C7A">
        <w:rPr>
          <w:rFonts w:eastAsia="TimesNewRomanPSMT" w:cs="TimesNewRomanPSMT"/>
          <w:color w:val="000000" w:themeColor="text1"/>
        </w:rPr>
        <w:t>on</w:t>
      </w:r>
      <w:r w:rsidRPr="00E005C8">
        <w:rPr>
          <w:rFonts w:eastAsia="TimesNewRomanPSMT" w:cs="TimesNewRomanPSMT"/>
          <w:color w:val="000000" w:themeColor="text1"/>
        </w:rPr>
        <w:t>ths of Privigen therapy. Subjects switching from another IVIG</w:t>
      </w:r>
      <w:r>
        <w:rPr>
          <w:rFonts w:eastAsia="TimesNewRomanPSMT" w:cs="TimesNewRomanPSMT"/>
          <w:color w:val="000000" w:themeColor="text1"/>
        </w:rPr>
        <w:t xml:space="preserve"> had to have ≥1 </w:t>
      </w:r>
      <w:r w:rsidRPr="00E005C8">
        <w:rPr>
          <w:rFonts w:eastAsia="TimesNewRomanPSMT" w:cs="TimesNewRomanPSMT"/>
          <w:color w:val="000000" w:themeColor="text1"/>
        </w:rPr>
        <w:t>documented IgG C</w:t>
      </w:r>
      <w:r w:rsidRPr="00E005C8">
        <w:rPr>
          <w:rFonts w:eastAsia="TimesNewRomanPSMT" w:cs="TimesNewRomanPSMT"/>
          <w:color w:val="000000" w:themeColor="text1"/>
          <w:vertAlign w:val="subscript"/>
        </w:rPr>
        <w:t>trough</w:t>
      </w:r>
      <w:r w:rsidRPr="00E005C8">
        <w:rPr>
          <w:rFonts w:eastAsia="TimesNewRomanPSMT" w:cs="TimesNewRomanPSMT"/>
          <w:color w:val="000000" w:themeColor="text1"/>
        </w:rPr>
        <w:t xml:space="preserve"> value of </w:t>
      </w:r>
      <w:r w:rsidR="00C55C7A">
        <w:rPr>
          <w:rFonts w:eastAsia="TimesNewRomanPSMT" w:cs="TimesNewRomanPSMT"/>
          <w:color w:val="000000" w:themeColor="text1"/>
        </w:rPr>
        <w:t>≥</w:t>
      </w:r>
      <w:r w:rsidRPr="00E005C8">
        <w:rPr>
          <w:rFonts w:eastAsia="TimesNewRomanPSMT" w:cs="TimesNewRomanPSMT"/>
          <w:color w:val="000000" w:themeColor="text1"/>
        </w:rPr>
        <w:t xml:space="preserve"> 5 g/L during the preceding 6 months of IVIG; 3) </w:t>
      </w:r>
      <w:r>
        <w:rPr>
          <w:rFonts w:eastAsia="TimesNewRomanPSMT" w:cs="TimesNewRomanPSMT"/>
          <w:color w:val="000000" w:themeColor="text1"/>
        </w:rPr>
        <w:t>non pregnant using contraception</w:t>
      </w:r>
      <w:r w:rsidRPr="00E005C8">
        <w:rPr>
          <w:rFonts w:eastAsia="TimesNewRomanPSMT" w:cs="TimesNewRomanPSMT"/>
          <w:color w:val="000000" w:themeColor="text1"/>
        </w:rPr>
        <w:t>.</w:t>
      </w:r>
      <w:r>
        <w:rPr>
          <w:rFonts w:eastAsia="TimesNewRomanPSMT" w:cs="TimesNewRomanPSMT"/>
          <w:b/>
          <w:color w:val="000000" w:themeColor="text1"/>
        </w:rPr>
        <w:t xml:space="preserve"> </w:t>
      </w:r>
      <w:r w:rsidRPr="00E005C8">
        <w:rPr>
          <w:rFonts w:eastAsia="TimesNewRomanPSMT" w:cs="TimesNewRomanPSMT"/>
          <w:b/>
          <w:color w:val="000000" w:themeColor="text1"/>
        </w:rPr>
        <w:t>Exclusion</w:t>
      </w:r>
      <w:r>
        <w:rPr>
          <w:rFonts w:eastAsia="TimesNewRomanPSMT" w:cs="TimesNewRomanPSMT"/>
          <w:b/>
          <w:color w:val="000000" w:themeColor="text1"/>
        </w:rPr>
        <w:t>s</w:t>
      </w:r>
      <w:r w:rsidRPr="00E005C8">
        <w:rPr>
          <w:rFonts w:eastAsia="TimesNewRomanPSMT" w:cs="TimesNewRomanPSMT"/>
          <w:b/>
          <w:color w:val="000000" w:themeColor="text1"/>
        </w:rPr>
        <w:t>:</w:t>
      </w:r>
      <w:r w:rsidR="000D6A22">
        <w:rPr>
          <w:rFonts w:eastAsia="TimesNewRomanPSMT" w:cs="TimesNewRomanPSMT"/>
          <w:b/>
          <w:color w:val="000000" w:themeColor="text1"/>
        </w:rPr>
        <w:t xml:space="preserve"> </w:t>
      </w:r>
      <w:r>
        <w:rPr>
          <w:rFonts w:eastAsia="TimesNewRomanPSMT" w:cs="TimesNewRomanPSMT"/>
          <w:b/>
          <w:color w:val="000000" w:themeColor="text1"/>
        </w:rPr>
        <w:t>see above under the Japan Pivotal study.</w:t>
      </w:r>
    </w:p>
    <w:p w:rsidR="005F74D8" w:rsidRPr="00E005C8" w:rsidRDefault="005F74D8" w:rsidP="00C55C7A">
      <w:pPr>
        <w:pStyle w:val="Heading5"/>
      </w:pPr>
      <w:r w:rsidRPr="00E005C8">
        <w:t>Study treatments</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IgPro20 was administered SC using Cane Crono PCA-50 infusion pumps (Cane S.R.L., Turin,</w:t>
      </w:r>
      <w:r w:rsidR="00C55C7A">
        <w:rPr>
          <w:rFonts w:eastAsia="TimesNewRoman" w:cs="TimesNewRoman"/>
          <w:color w:val="000000" w:themeColor="text1"/>
        </w:rPr>
        <w:t xml:space="preserve"> </w:t>
      </w:r>
      <w:r>
        <w:rPr>
          <w:rFonts w:eastAsia="TimesNewRoman" w:cs="TimesNewRoman"/>
          <w:color w:val="000000" w:themeColor="text1"/>
        </w:rPr>
        <w:t>Italy).</w:t>
      </w:r>
      <w:r w:rsidR="0070299A">
        <w:rPr>
          <w:rFonts w:eastAsia="TimesNewRoman" w:cs="TimesNewRoman"/>
          <w:color w:val="000000" w:themeColor="text1"/>
        </w:rPr>
        <w:t xml:space="preserve"> Number </w:t>
      </w:r>
      <w:r w:rsidRPr="00E005C8">
        <w:rPr>
          <w:rFonts w:eastAsia="TimesNewRoman" w:cs="TimesNewRoman"/>
          <w:color w:val="000000" w:themeColor="text1"/>
        </w:rPr>
        <w:t>of injection site</w:t>
      </w:r>
      <w:r>
        <w:rPr>
          <w:rFonts w:eastAsia="TimesNewRoman" w:cs="TimesNewRoman"/>
          <w:color w:val="000000" w:themeColor="text1"/>
        </w:rPr>
        <w:t xml:space="preserve">s depended on the volume of </w:t>
      </w:r>
      <w:r w:rsidRPr="00E005C8">
        <w:rPr>
          <w:rFonts w:eastAsia="TimesNewRoman" w:cs="TimesNewRoman"/>
          <w:color w:val="000000" w:themeColor="text1"/>
        </w:rPr>
        <w:t>total dose.</w:t>
      </w:r>
      <w:r w:rsidR="000D6A22">
        <w:rPr>
          <w:rFonts w:eastAsia="TimesNewRoman" w:cs="TimesNewRoman"/>
          <w:color w:val="000000" w:themeColor="text1"/>
        </w:rPr>
        <w:t xml:space="preserve"> </w:t>
      </w:r>
      <w:r w:rsidRPr="00E005C8">
        <w:rPr>
          <w:rFonts w:eastAsia="TimesNewRoman" w:cs="TimesNewRoman"/>
          <w:color w:val="000000" w:themeColor="text1"/>
        </w:rPr>
        <w:t>The ac</w:t>
      </w:r>
      <w:r>
        <w:rPr>
          <w:rFonts w:eastAsia="TimesNewRoman" w:cs="TimesNewRoman"/>
          <w:color w:val="000000" w:themeColor="text1"/>
        </w:rPr>
        <w:t xml:space="preserve">tual points of injection were </w:t>
      </w:r>
      <w:r w:rsidRPr="00E005C8">
        <w:rPr>
          <w:rFonts w:eastAsia="TimesNewRoman" w:cs="TimesNewRoman"/>
          <w:color w:val="000000" w:themeColor="text1"/>
        </w:rPr>
        <w:t xml:space="preserve">changed with each </w:t>
      </w:r>
      <w:r w:rsidR="0070299A">
        <w:rPr>
          <w:rFonts w:eastAsia="TimesNewRoman" w:cs="TimesNewRoman"/>
          <w:color w:val="000000" w:themeColor="text1"/>
        </w:rPr>
        <w:t>Week</w:t>
      </w:r>
      <w:r w:rsidRPr="00E005C8">
        <w:rPr>
          <w:rFonts w:eastAsia="TimesNewRoman" w:cs="TimesNewRoman"/>
          <w:color w:val="000000" w:themeColor="text1"/>
        </w:rPr>
        <w:t>ly administration.</w:t>
      </w:r>
      <w:r w:rsidRPr="00E005C8">
        <w:rPr>
          <w:color w:val="000000" w:themeColor="text1"/>
        </w:rPr>
        <w:t xml:space="preserve"> </w:t>
      </w:r>
      <w:r w:rsidRPr="00E005C8">
        <w:rPr>
          <w:rFonts w:eastAsia="TimesNewRoman" w:cs="TimesNewRoman"/>
          <w:color w:val="000000" w:themeColor="text1"/>
        </w:rPr>
        <w:t>Treatment with IgPro20 w</w:t>
      </w:r>
      <w:r>
        <w:rPr>
          <w:rFonts w:eastAsia="TimesNewRoman" w:cs="TimesNewRoman"/>
          <w:color w:val="000000" w:themeColor="text1"/>
        </w:rPr>
        <w:t>as predominantly home-based performed by subject/parent</w:t>
      </w:r>
      <w:r w:rsidRPr="00E005C8">
        <w:rPr>
          <w:rFonts w:eastAsia="TimesNewRoman" w:cs="TimesNewRoman"/>
          <w:color w:val="000000" w:themeColor="text1"/>
        </w:rPr>
        <w:t xml:space="preserve"> after a training period</w:t>
      </w:r>
      <w:r>
        <w:rPr>
          <w:rFonts w:eastAsia="TimesNewRoman" w:cs="TimesNewRoman"/>
          <w:color w:val="000000" w:themeColor="text1"/>
        </w:rPr>
        <w:t xml:space="preserve"> at study site – see above. </w:t>
      </w:r>
      <w:r w:rsidRPr="00E005C8">
        <w:rPr>
          <w:rFonts w:eastAsia="TimesNewRoman" w:cs="TimesNewRoman"/>
          <w:b/>
          <w:color w:val="000000" w:themeColor="text1"/>
        </w:rPr>
        <w:t xml:space="preserve">Selection of doses in the study: </w:t>
      </w:r>
      <w:r w:rsidRPr="00E005C8">
        <w:rPr>
          <w:rFonts w:eastAsia="TimesNewRoman" w:cs="TimesNewRoman"/>
          <w:color w:val="000000" w:themeColor="text1"/>
        </w:rPr>
        <w:t xml:space="preserve">Initial </w:t>
      </w:r>
      <w:r w:rsidR="0070299A">
        <w:rPr>
          <w:rFonts w:eastAsia="TimesNewRoman" w:cs="TimesNewRoman"/>
          <w:color w:val="000000" w:themeColor="text1"/>
        </w:rPr>
        <w:t>Week</w:t>
      </w:r>
      <w:r w:rsidRPr="00E005C8">
        <w:rPr>
          <w:rFonts w:eastAsia="TimesNewRoman" w:cs="TimesNewRoman"/>
          <w:color w:val="000000" w:themeColor="text1"/>
        </w:rPr>
        <w:t xml:space="preserve">ly dosing during the </w:t>
      </w:r>
      <w:r>
        <w:rPr>
          <w:rFonts w:eastAsia="TimesNewRoman" w:cs="TimesNewRoman"/>
          <w:color w:val="000000" w:themeColor="text1"/>
        </w:rPr>
        <w:t>WI/WO</w:t>
      </w:r>
      <w:r w:rsidRPr="00E005C8">
        <w:rPr>
          <w:rFonts w:eastAsia="TimesNewRoman" w:cs="TimesNewRoman"/>
          <w:color w:val="000000" w:themeColor="text1"/>
        </w:rPr>
        <w:t xml:space="preserve"> period was </w:t>
      </w:r>
      <w:r w:rsidRPr="00E005C8">
        <w:rPr>
          <w:rFonts w:eastAsia="TimesNewRoman" w:cs="TimesNewRoman"/>
          <w:b/>
          <w:color w:val="000000" w:themeColor="text1"/>
        </w:rPr>
        <w:t xml:space="preserve">one fourth </w:t>
      </w:r>
      <w:r w:rsidRPr="00E005C8">
        <w:rPr>
          <w:rFonts w:eastAsia="TimesNewRoman" w:cs="TimesNewRoman"/>
          <w:color w:val="000000" w:themeColor="text1"/>
        </w:rPr>
        <w:t>(previous 4-</w:t>
      </w:r>
      <w:r w:rsidR="0070299A">
        <w:rPr>
          <w:rFonts w:eastAsia="TimesNewRoman" w:cs="TimesNewRoman"/>
          <w:color w:val="000000" w:themeColor="text1"/>
        </w:rPr>
        <w:t>Week</w:t>
      </w:r>
      <w:r w:rsidRPr="00E005C8">
        <w:rPr>
          <w:rFonts w:eastAsia="TimesNewRoman" w:cs="TimesNewRoman"/>
          <w:color w:val="000000" w:themeColor="text1"/>
        </w:rPr>
        <w:t xml:space="preserve">ly schedule) or </w:t>
      </w:r>
      <w:r w:rsidRPr="00E005C8">
        <w:rPr>
          <w:rFonts w:eastAsia="TimesNewRoman" w:cs="TimesNewRoman"/>
          <w:b/>
          <w:color w:val="000000" w:themeColor="text1"/>
        </w:rPr>
        <w:t>one third</w:t>
      </w:r>
      <w:r w:rsidRPr="00E005C8">
        <w:rPr>
          <w:rFonts w:eastAsia="TimesNewRoman" w:cs="TimesNewRoman"/>
          <w:color w:val="000000" w:themeColor="text1"/>
        </w:rPr>
        <w:t xml:space="preserve"> (previous 3-</w:t>
      </w:r>
      <w:r w:rsidR="0070299A">
        <w:rPr>
          <w:rFonts w:eastAsia="TimesNewRoman" w:cs="TimesNewRoman"/>
          <w:color w:val="000000" w:themeColor="text1"/>
        </w:rPr>
        <w:t>Week</w:t>
      </w:r>
      <w:r w:rsidRPr="00E005C8">
        <w:rPr>
          <w:rFonts w:eastAsia="TimesNewRoman" w:cs="TimesNewRoman"/>
          <w:color w:val="000000" w:themeColor="text1"/>
        </w:rPr>
        <w:t>ly schedule) of the average dose of</w:t>
      </w:r>
      <w:r w:rsidRPr="00E005C8">
        <w:rPr>
          <w:rFonts w:eastAsia="TimesNewRoman" w:cs="TimesNewRoman"/>
          <w:b/>
          <w:color w:val="000000" w:themeColor="text1"/>
        </w:rPr>
        <w:t xml:space="preserve"> </w:t>
      </w:r>
      <w:r w:rsidRPr="00E005C8">
        <w:rPr>
          <w:rFonts w:eastAsia="TimesNewRoman" w:cs="TimesNewRoman"/>
          <w:color w:val="000000" w:themeColor="text1"/>
        </w:rPr>
        <w:t>the previous 3 IVIG</w:t>
      </w:r>
      <w:r>
        <w:rPr>
          <w:rFonts w:eastAsia="TimesNewRoman" w:cs="TimesNewRoman"/>
          <w:color w:val="000000" w:themeColor="text1"/>
        </w:rPr>
        <w:t xml:space="preserve"> infusions x</w:t>
      </w:r>
      <w:r w:rsidRPr="00E005C8">
        <w:rPr>
          <w:rFonts w:eastAsia="TimesNewRoman" w:cs="TimesNewRoman"/>
          <w:color w:val="000000" w:themeColor="text1"/>
        </w:rPr>
        <w:t xml:space="preserve"> 1.30 (130%); wei</w:t>
      </w:r>
      <w:r w:rsidR="0061405B">
        <w:rPr>
          <w:rFonts w:eastAsia="TimesNewRoman" w:cs="TimesNewRoman"/>
          <w:color w:val="000000" w:themeColor="text1"/>
        </w:rPr>
        <w:t>ght based changes as per above.</w:t>
      </w:r>
    </w:p>
    <w:p w:rsidR="005F74D8" w:rsidRPr="00E005C8" w:rsidRDefault="005F74D8" w:rsidP="00C55C7A">
      <w:pPr>
        <w:pStyle w:val="Heading5"/>
      </w:pPr>
      <w:r w:rsidRPr="00E005C8">
        <w:t>Efficacy variables and outcomes</w:t>
      </w:r>
    </w:p>
    <w:p w:rsidR="005F74D8" w:rsidRPr="00624BB2" w:rsidRDefault="005F74D8" w:rsidP="005F74D8">
      <w:pPr>
        <w:rPr>
          <w:color w:val="000000" w:themeColor="text1"/>
        </w:rPr>
      </w:pPr>
      <w:r w:rsidRPr="00E005C8">
        <w:rPr>
          <w:color w:val="000000" w:themeColor="text1"/>
        </w:rPr>
        <w:t>The main efficacy variables evaluated in this study was the annual rate of SBIs in patients receiving SC Hizentra</w:t>
      </w:r>
      <w:r w:rsidRPr="00E005C8">
        <w:rPr>
          <w:color w:val="000000" w:themeColor="text1"/>
        </w:rPr>
        <w:sym w:font="Symbol" w:char="F0D2"/>
      </w:r>
      <w:r w:rsidRPr="00E005C8">
        <w:rPr>
          <w:color w:val="000000" w:themeColor="text1"/>
        </w:rPr>
        <w:t xml:space="preserve"> defined as:</w:t>
      </w:r>
      <w:r>
        <w:rPr>
          <w:color w:val="000000" w:themeColor="text1"/>
        </w:rPr>
        <w:t xml:space="preserve"> </w:t>
      </w:r>
      <w:r w:rsidRPr="00E005C8">
        <w:rPr>
          <w:color w:val="000000" w:themeColor="text1"/>
        </w:rPr>
        <w:t>Bacterial pneumonia; Bacte</w:t>
      </w:r>
      <w:r>
        <w:rPr>
          <w:color w:val="000000" w:themeColor="text1"/>
        </w:rPr>
        <w:t>raemia/</w:t>
      </w:r>
      <w:r w:rsidRPr="00E005C8">
        <w:rPr>
          <w:color w:val="000000" w:themeColor="text1"/>
        </w:rPr>
        <w:t>septicaemia; Osteomyelitis / septic arthritis; Bacterial meningitis; Visceral abscess. Using FDA guidelines in regards to criteria used for definition of these SBIs (</w:t>
      </w:r>
      <w:r w:rsidRPr="005F74D8">
        <w:rPr>
          <w:color w:val="000000" w:themeColor="text1"/>
          <w:highlight w:val="lightGray"/>
        </w:rPr>
        <w:t>FDA</w:t>
      </w:r>
      <w:r w:rsidRPr="00E005C8">
        <w:rPr>
          <w:color w:val="000000" w:themeColor="text1"/>
        </w:rPr>
        <w:t>).</w:t>
      </w:r>
      <w:r>
        <w:rPr>
          <w:color w:val="000000" w:themeColor="text1"/>
        </w:rPr>
        <w:t xml:space="preserve"> </w:t>
      </w:r>
      <w:r w:rsidRPr="00E005C8">
        <w:rPr>
          <w:color w:val="000000" w:themeColor="text1"/>
        </w:rPr>
        <w:t xml:space="preserve">The primary efficacy outcome </w:t>
      </w:r>
      <w:r w:rsidRPr="00E005C8">
        <w:rPr>
          <w:rFonts w:eastAsia="TimesNewRomanPSMT" w:cs="TimesNewRomanPSMT"/>
          <w:color w:val="000000" w:themeColor="text1"/>
        </w:rPr>
        <w:t xml:space="preserve">to evaluate whether the annual rate of serious bacterial infections (SBIs) per subject was &lt;1. </w:t>
      </w:r>
      <w:r>
        <w:rPr>
          <w:b/>
          <w:color w:val="000000" w:themeColor="text1"/>
        </w:rPr>
        <w:t>Other efficacy outcomes</w:t>
      </w:r>
      <w:r w:rsidRPr="00E005C8">
        <w:rPr>
          <w:b/>
          <w:color w:val="000000" w:themeColor="text1"/>
        </w:rPr>
        <w:t>:</w:t>
      </w:r>
      <w:r>
        <w:rPr>
          <w:b/>
          <w:color w:val="000000" w:themeColor="text1"/>
        </w:rPr>
        <w:t xml:space="preserve"> </w:t>
      </w:r>
      <w:r w:rsidRPr="00E005C8">
        <w:rPr>
          <w:b/>
          <w:color w:val="000000" w:themeColor="text1"/>
        </w:rPr>
        <w:t>Infections</w:t>
      </w:r>
      <w:r>
        <w:rPr>
          <w:b/>
          <w:color w:val="000000" w:themeColor="text1"/>
        </w:rPr>
        <w:t xml:space="preserve"> </w:t>
      </w:r>
      <w:r w:rsidRPr="00E005C8">
        <w:rPr>
          <w:b/>
          <w:color w:val="000000" w:themeColor="text1"/>
        </w:rPr>
        <w:t xml:space="preserve">related: </w:t>
      </w:r>
      <w:r w:rsidRPr="00E005C8">
        <w:rPr>
          <w:color w:val="000000" w:themeColor="text1"/>
          <w:kern w:val="24"/>
        </w:rPr>
        <w:t xml:space="preserve">Rate of SBIs in the PPE and </w:t>
      </w:r>
      <w:r>
        <w:rPr>
          <w:color w:val="000000" w:themeColor="text1"/>
          <w:kern w:val="24"/>
        </w:rPr>
        <w:t xml:space="preserve">ITT </w:t>
      </w:r>
      <w:r w:rsidR="005B5A04">
        <w:rPr>
          <w:color w:val="000000" w:themeColor="text1"/>
          <w:kern w:val="24"/>
        </w:rPr>
        <w:t>population</w:t>
      </w:r>
      <w:r w:rsidRPr="00E005C8">
        <w:rPr>
          <w:color w:val="000000" w:themeColor="text1"/>
          <w:kern w:val="24"/>
        </w:rPr>
        <w:t>s;</w:t>
      </w:r>
      <w:r w:rsidR="0070299A">
        <w:rPr>
          <w:color w:val="000000" w:themeColor="text1"/>
          <w:kern w:val="24"/>
        </w:rPr>
        <w:t xml:space="preserve"> Number </w:t>
      </w:r>
      <w:r w:rsidRPr="00E005C8">
        <w:rPr>
          <w:color w:val="000000" w:themeColor="text1"/>
          <w:kern w:val="24"/>
        </w:rPr>
        <w:t xml:space="preserve">of </w:t>
      </w:r>
      <w:r>
        <w:rPr>
          <w:color w:val="000000" w:themeColor="text1"/>
          <w:kern w:val="24"/>
        </w:rPr>
        <w:t>infection episodes (serious /</w:t>
      </w:r>
      <w:r w:rsidRPr="00E005C8">
        <w:rPr>
          <w:color w:val="000000" w:themeColor="text1"/>
          <w:kern w:val="24"/>
        </w:rPr>
        <w:t>non-serious);</w:t>
      </w:r>
      <w:r w:rsidR="0070299A">
        <w:rPr>
          <w:color w:val="000000" w:themeColor="text1"/>
          <w:kern w:val="24"/>
        </w:rPr>
        <w:t xml:space="preserve"> Number </w:t>
      </w:r>
      <w:r>
        <w:rPr>
          <w:color w:val="000000" w:themeColor="text1"/>
          <w:kern w:val="24"/>
        </w:rPr>
        <w:t xml:space="preserve">of days out of </w:t>
      </w:r>
      <w:r w:rsidRPr="00E005C8">
        <w:rPr>
          <w:color w:val="000000" w:themeColor="text1"/>
          <w:kern w:val="24"/>
        </w:rPr>
        <w:t>work/school/kindergarten/day care or unable to perform normal daily activities due to infections;</w:t>
      </w:r>
      <w:r w:rsidR="0070299A">
        <w:rPr>
          <w:color w:val="000000" w:themeColor="text1"/>
          <w:kern w:val="24"/>
        </w:rPr>
        <w:t xml:space="preserve"> Number </w:t>
      </w:r>
      <w:r>
        <w:rPr>
          <w:color w:val="000000" w:themeColor="text1"/>
          <w:kern w:val="24"/>
        </w:rPr>
        <w:t>of hospitalis</w:t>
      </w:r>
      <w:r w:rsidRPr="00E005C8">
        <w:rPr>
          <w:color w:val="000000" w:themeColor="text1"/>
          <w:kern w:val="24"/>
        </w:rPr>
        <w:t xml:space="preserve">ation </w:t>
      </w:r>
      <w:r>
        <w:rPr>
          <w:color w:val="000000" w:themeColor="text1"/>
          <w:kern w:val="24"/>
        </w:rPr>
        <w:t xml:space="preserve">days </w:t>
      </w:r>
      <w:r w:rsidRPr="00E005C8">
        <w:rPr>
          <w:color w:val="000000" w:themeColor="text1"/>
          <w:kern w:val="24"/>
        </w:rPr>
        <w:t>due to infections; Use of antibiotics for infection prophylaxis and treatment.</w:t>
      </w:r>
      <w:r>
        <w:rPr>
          <w:b/>
          <w:color w:val="000000" w:themeColor="text1"/>
        </w:rPr>
        <w:t xml:space="preserve"> </w:t>
      </w:r>
      <w:r>
        <w:rPr>
          <w:b/>
          <w:color w:val="000000" w:themeColor="text1"/>
          <w:kern w:val="24"/>
        </w:rPr>
        <w:t>Ig</w:t>
      </w:r>
      <w:r w:rsidRPr="00E005C8">
        <w:rPr>
          <w:b/>
          <w:color w:val="000000" w:themeColor="text1"/>
          <w:kern w:val="24"/>
        </w:rPr>
        <w:t xml:space="preserve"> level related: </w:t>
      </w:r>
      <w:r w:rsidRPr="00E005C8">
        <w:rPr>
          <w:color w:val="000000" w:themeColor="text1"/>
          <w:kern w:val="24"/>
        </w:rPr>
        <w:t>Total serum IgG C</w:t>
      </w:r>
      <w:r w:rsidRPr="00E005C8">
        <w:rPr>
          <w:color w:val="000000" w:themeColor="text1"/>
          <w:kern w:val="24"/>
          <w:vertAlign w:val="subscript"/>
        </w:rPr>
        <w:t>trough</w:t>
      </w:r>
      <w:r w:rsidRPr="00E005C8">
        <w:rPr>
          <w:color w:val="000000" w:themeColor="text1"/>
          <w:kern w:val="24"/>
        </w:rPr>
        <w:t>.</w:t>
      </w:r>
      <w:r>
        <w:rPr>
          <w:b/>
          <w:color w:val="000000" w:themeColor="text1"/>
        </w:rPr>
        <w:t xml:space="preserve"> </w:t>
      </w:r>
      <w:r w:rsidRPr="00E005C8">
        <w:rPr>
          <w:b/>
          <w:color w:val="000000" w:themeColor="text1"/>
          <w:kern w:val="24"/>
        </w:rPr>
        <w:t xml:space="preserve">Safety-related: </w:t>
      </w:r>
      <w:r w:rsidRPr="00E005C8">
        <w:rPr>
          <w:color w:val="000000" w:themeColor="text1"/>
          <w:kern w:val="24"/>
        </w:rPr>
        <w:t>Rate, intensity, and relatedness of any AEs per subject and infusion;</w:t>
      </w:r>
      <w:r w:rsidRPr="00E005C8">
        <w:rPr>
          <w:b/>
          <w:color w:val="000000" w:themeColor="text1"/>
          <w:kern w:val="24"/>
        </w:rPr>
        <w:t xml:space="preserve"> </w:t>
      </w:r>
      <w:r w:rsidRPr="00E005C8">
        <w:rPr>
          <w:color w:val="000000" w:themeColor="text1"/>
          <w:kern w:val="24"/>
        </w:rPr>
        <w:t xml:space="preserve">Assessment of local tolerability in </w:t>
      </w:r>
      <w:r w:rsidRPr="00E005C8">
        <w:rPr>
          <w:color w:val="000000" w:themeColor="text1"/>
          <w:kern w:val="24"/>
        </w:rPr>
        <w:lastRenderedPageBreak/>
        <w:t>terms of</w:t>
      </w:r>
      <w:r>
        <w:rPr>
          <w:color w:val="000000" w:themeColor="text1"/>
          <w:kern w:val="24"/>
        </w:rPr>
        <w:t xml:space="preserve"> ISRs</w:t>
      </w:r>
      <w:r w:rsidRPr="00E005C8">
        <w:rPr>
          <w:color w:val="000000" w:themeColor="text1"/>
          <w:kern w:val="24"/>
        </w:rPr>
        <w:t xml:space="preserve">; </w:t>
      </w:r>
      <w:r>
        <w:rPr>
          <w:color w:val="000000" w:themeColor="text1"/>
          <w:kern w:val="24"/>
        </w:rPr>
        <w:t xml:space="preserve">Changes in clinical labs </w:t>
      </w:r>
      <w:r w:rsidRPr="00E005C8">
        <w:rPr>
          <w:color w:val="000000" w:themeColor="text1"/>
          <w:kern w:val="24"/>
        </w:rPr>
        <w:t>(chemistry, ha</w:t>
      </w:r>
      <w:r>
        <w:rPr>
          <w:color w:val="000000" w:themeColor="text1"/>
          <w:kern w:val="24"/>
        </w:rPr>
        <w:t xml:space="preserve">ematology, </w:t>
      </w:r>
      <w:r w:rsidRPr="00E005C8">
        <w:rPr>
          <w:color w:val="000000" w:themeColor="text1"/>
          <w:kern w:val="24"/>
        </w:rPr>
        <w:t>urinalysis);</w:t>
      </w:r>
      <w:r w:rsidRPr="00E005C8">
        <w:rPr>
          <w:b/>
          <w:color w:val="000000" w:themeColor="text1"/>
          <w:kern w:val="24"/>
        </w:rPr>
        <w:t xml:space="preserve"> </w:t>
      </w:r>
      <w:r>
        <w:rPr>
          <w:color w:val="000000" w:themeColor="text1"/>
          <w:kern w:val="24"/>
        </w:rPr>
        <w:t>physical exam</w:t>
      </w:r>
      <w:r w:rsidRPr="00E005C8">
        <w:rPr>
          <w:color w:val="000000" w:themeColor="text1"/>
          <w:kern w:val="24"/>
        </w:rPr>
        <w:t>;</w:t>
      </w:r>
      <w:r w:rsidRPr="00E005C8">
        <w:rPr>
          <w:b/>
          <w:color w:val="000000" w:themeColor="text1"/>
          <w:kern w:val="24"/>
        </w:rPr>
        <w:t xml:space="preserve"> </w:t>
      </w:r>
      <w:r>
        <w:rPr>
          <w:color w:val="000000" w:themeColor="text1"/>
          <w:kern w:val="24"/>
        </w:rPr>
        <w:t>v</w:t>
      </w:r>
      <w:r w:rsidRPr="00E005C8">
        <w:rPr>
          <w:color w:val="000000" w:themeColor="text1"/>
          <w:kern w:val="24"/>
        </w:rPr>
        <w:t>ital sign</w:t>
      </w:r>
      <w:r>
        <w:rPr>
          <w:color w:val="000000" w:themeColor="text1"/>
          <w:kern w:val="24"/>
        </w:rPr>
        <w:t xml:space="preserve">s; </w:t>
      </w:r>
      <w:r w:rsidRPr="00E005C8">
        <w:rPr>
          <w:color w:val="000000" w:themeColor="text1"/>
          <w:kern w:val="24"/>
        </w:rPr>
        <w:t>concomitant medications</w:t>
      </w:r>
      <w:r>
        <w:rPr>
          <w:color w:val="000000" w:themeColor="text1"/>
          <w:kern w:val="24"/>
        </w:rPr>
        <w:t>, viral safety markers.</w:t>
      </w:r>
    </w:p>
    <w:p w:rsidR="005F74D8" w:rsidRPr="00E005C8" w:rsidRDefault="005F74D8" w:rsidP="00C55C7A">
      <w:pPr>
        <w:pStyle w:val="Heading5"/>
      </w:pPr>
      <w:r w:rsidRPr="00E005C8">
        <w:t>Randomisation and blinding methods</w:t>
      </w:r>
    </w:p>
    <w:p w:rsidR="005F74D8" w:rsidRDefault="005F74D8" w:rsidP="005F74D8">
      <w:pPr>
        <w:rPr>
          <w:color w:val="000000" w:themeColor="text1"/>
        </w:rPr>
      </w:pPr>
      <w:r w:rsidRPr="00E005C8">
        <w:rPr>
          <w:color w:val="000000" w:themeColor="text1"/>
        </w:rPr>
        <w:t>This was a single arm, open-label st</w:t>
      </w:r>
      <w:r w:rsidR="0061405B">
        <w:rPr>
          <w:color w:val="000000" w:themeColor="text1"/>
        </w:rPr>
        <w:t>udy. No blinding was performed.</w:t>
      </w:r>
    </w:p>
    <w:p w:rsidR="005F74D8" w:rsidRPr="00E005C8" w:rsidRDefault="005F74D8" w:rsidP="00C55C7A">
      <w:pPr>
        <w:pStyle w:val="Heading5"/>
      </w:pPr>
      <w:r w:rsidRPr="00E005C8">
        <w:t>Analysis populations</w:t>
      </w:r>
    </w:p>
    <w:p w:rsidR="005F74D8" w:rsidRDefault="005F74D8" w:rsidP="005F74D8">
      <w:pPr>
        <w:autoSpaceDE w:val="0"/>
        <w:autoSpaceDN w:val="0"/>
        <w:adjustRightInd w:val="0"/>
        <w:rPr>
          <w:rFonts w:eastAsia="TimesNewRoman" w:cs="TimesNewRoman"/>
          <w:color w:val="000000" w:themeColor="text1"/>
        </w:rPr>
      </w:pPr>
      <w:r>
        <w:rPr>
          <w:rFonts w:eastAsia="TimesNewRoman" w:cs="TimesNewRoman"/>
          <w:color w:val="000000" w:themeColor="text1"/>
        </w:rPr>
        <w:t xml:space="preserve">Efficacy analyses </w:t>
      </w:r>
      <w:r w:rsidRPr="0047384F">
        <w:rPr>
          <w:rFonts w:eastAsia="TimesNewRoman" w:cs="TimesNewRoman"/>
          <w:color w:val="000000" w:themeColor="text1"/>
        </w:rPr>
        <w:t xml:space="preserve">carried out on </w:t>
      </w:r>
      <w:r w:rsidRPr="0047384F">
        <w:rPr>
          <w:rFonts w:eastAsia="TimesNewRoman,Bold" w:cs="TimesNewRoman,Bold"/>
          <w:b/>
          <w:bCs/>
          <w:color w:val="000000" w:themeColor="text1"/>
        </w:rPr>
        <w:t xml:space="preserve">MITT </w:t>
      </w:r>
      <w:r w:rsidRPr="0047384F">
        <w:rPr>
          <w:rFonts w:eastAsia="TimesNewRoman,Bold" w:cs="TimesNewRoman,Bold"/>
          <w:bCs/>
          <w:color w:val="000000" w:themeColor="text1"/>
        </w:rPr>
        <w:t>(</w:t>
      </w:r>
      <w:r w:rsidRPr="0047384F">
        <w:rPr>
          <w:rFonts w:eastAsia="TimesNewRoman" w:cs="TimesNewRoman"/>
          <w:color w:val="000000" w:themeColor="text1"/>
        </w:rPr>
        <w:t xml:space="preserve">all subjects treated with study drug during the efficacy period starting with </w:t>
      </w:r>
      <w:r w:rsidR="0070299A">
        <w:rPr>
          <w:rFonts w:eastAsia="TimesNewRoman" w:cs="TimesNewRoman"/>
          <w:color w:val="000000" w:themeColor="text1"/>
        </w:rPr>
        <w:t>Week</w:t>
      </w:r>
      <w:r w:rsidRPr="0047384F">
        <w:rPr>
          <w:rFonts w:eastAsia="TimesNewRoman" w:cs="TimesNewRoman"/>
          <w:color w:val="000000" w:themeColor="text1"/>
        </w:rPr>
        <w:t xml:space="preserve">13)) and </w:t>
      </w:r>
      <w:r w:rsidRPr="0047384F">
        <w:rPr>
          <w:rFonts w:eastAsia="TimesNewRoman,Bold" w:cs="TimesNewRoman,Bold"/>
          <w:b/>
          <w:bCs/>
          <w:color w:val="000000" w:themeColor="text1"/>
        </w:rPr>
        <w:t xml:space="preserve">PPE </w:t>
      </w:r>
      <w:r w:rsidRPr="0047384F">
        <w:rPr>
          <w:rFonts w:eastAsia="TimesNewRoman,Bold" w:cs="TimesNewRoman,Bold"/>
          <w:bCs/>
          <w:color w:val="000000" w:themeColor="text1"/>
        </w:rPr>
        <w:t>(</w:t>
      </w:r>
      <w:r w:rsidRPr="0047384F">
        <w:rPr>
          <w:rFonts w:eastAsia="TimesNewRoman" w:cs="TimesNewRoman"/>
          <w:color w:val="000000" w:themeColor="text1"/>
        </w:rPr>
        <w:t>all subjects completing</w:t>
      </w:r>
      <w:r>
        <w:rPr>
          <w:rFonts w:eastAsia="TimesNewRoman" w:cs="TimesNewRoman"/>
          <w:color w:val="000000" w:themeColor="text1"/>
        </w:rPr>
        <w:t xml:space="preserve"> </w:t>
      </w:r>
      <w:r w:rsidRPr="0047384F">
        <w:rPr>
          <w:rFonts w:eastAsia="TimesNewRoman" w:cs="TimesNewRoman"/>
          <w:color w:val="000000" w:themeColor="text1"/>
        </w:rPr>
        <w:t xml:space="preserve">12-mth efficacy period) </w:t>
      </w:r>
      <w:r w:rsidR="005B5A04">
        <w:rPr>
          <w:rFonts w:eastAsia="TimesNewRoman" w:cs="TimesNewRoman"/>
          <w:color w:val="000000" w:themeColor="text1"/>
        </w:rPr>
        <w:t>population</w:t>
      </w:r>
      <w:r w:rsidRPr="0047384F">
        <w:rPr>
          <w:rFonts w:eastAsia="TimesNewRoman" w:cs="TimesNewRoman"/>
          <w:color w:val="000000" w:themeColor="text1"/>
        </w:rPr>
        <w:t>s. All safety analyses carried out on the safety data set=ITT (all subjects treated with study drug during any study period) data set. Descriptive stats for continuous variables included</w:t>
      </w:r>
      <w:r w:rsidR="0070299A">
        <w:rPr>
          <w:rFonts w:eastAsia="TimesNewRoman" w:cs="TimesNewRoman"/>
          <w:color w:val="000000" w:themeColor="text1"/>
        </w:rPr>
        <w:t xml:space="preserve"> Number </w:t>
      </w:r>
      <w:r w:rsidRPr="0047384F">
        <w:rPr>
          <w:rFonts w:eastAsia="TimesNewRoman" w:cs="TimesNewRoman"/>
          <w:color w:val="000000" w:themeColor="text1"/>
        </w:rPr>
        <w:t>of subject</w:t>
      </w:r>
      <w:r>
        <w:rPr>
          <w:rFonts w:eastAsia="TimesNewRoman" w:cs="TimesNewRoman"/>
          <w:color w:val="000000" w:themeColor="text1"/>
        </w:rPr>
        <w:t>s, mean, SD, and the 0% (min</w:t>
      </w:r>
      <w:r w:rsidRPr="0047384F">
        <w:rPr>
          <w:rFonts w:eastAsia="TimesNewRoman" w:cs="TimesNewRoman"/>
          <w:color w:val="000000" w:themeColor="text1"/>
        </w:rPr>
        <w:t xml:space="preserve">), 25%, 50% </w:t>
      </w:r>
      <w:r>
        <w:rPr>
          <w:rFonts w:eastAsia="TimesNewRoman" w:cs="TimesNewRoman"/>
          <w:color w:val="000000" w:themeColor="text1"/>
        </w:rPr>
        <w:t>(median), 75%, and 100% (max</w:t>
      </w:r>
      <w:r w:rsidRPr="0047384F">
        <w:rPr>
          <w:rFonts w:eastAsia="TimesNewRoman" w:cs="TimesNewRoman"/>
          <w:color w:val="000000" w:themeColor="text1"/>
        </w:rPr>
        <w:t>) quantiles. Frequency distributions for categorical data. Subgroup analyses (gender/age/ethnicity/PID type/dose/PK</w:t>
      </w:r>
      <w:r w:rsidR="0070299A">
        <w:rPr>
          <w:rFonts w:eastAsia="TimesNewRoman" w:cs="TimesNewRoman"/>
          <w:color w:val="000000" w:themeColor="text1"/>
        </w:rPr>
        <w:t xml:space="preserve"> versus</w:t>
      </w:r>
      <w:r w:rsidRPr="0047384F">
        <w:rPr>
          <w:rFonts w:eastAsia="TimesNewRoman" w:cs="TimesNewRoman"/>
          <w:color w:val="000000" w:themeColor="text1"/>
        </w:rPr>
        <w:t xml:space="preserve"> </w:t>
      </w:r>
      <w:r>
        <w:rPr>
          <w:rFonts w:eastAsia="TimesNewRoman" w:cs="TimesNewRoman"/>
          <w:color w:val="000000" w:themeColor="text1"/>
        </w:rPr>
        <w:t>n</w:t>
      </w:r>
      <w:r w:rsidRPr="0047384F">
        <w:rPr>
          <w:rFonts w:eastAsia="TimesNewRoman" w:cs="TimesNewRoman"/>
          <w:color w:val="000000" w:themeColor="text1"/>
        </w:rPr>
        <w:t xml:space="preserve">on-PK subject) </w:t>
      </w:r>
      <w:r>
        <w:rPr>
          <w:rFonts w:eastAsia="TimesNewRoman" w:cs="TimesNewRoman"/>
          <w:color w:val="000000" w:themeColor="text1"/>
        </w:rPr>
        <w:t>performed for 1</w:t>
      </w:r>
      <w:r w:rsidRPr="000C211A">
        <w:rPr>
          <w:rFonts w:eastAsia="TimesNewRoman" w:cs="TimesNewRoman"/>
          <w:color w:val="000000" w:themeColor="text1"/>
          <w:vertAlign w:val="superscript"/>
        </w:rPr>
        <w:t>o</w:t>
      </w:r>
      <w:r w:rsidRPr="0047384F">
        <w:rPr>
          <w:rFonts w:eastAsia="TimesNewRoman" w:cs="TimesNewRoman"/>
          <w:color w:val="000000" w:themeColor="text1"/>
        </w:rPr>
        <w:t xml:space="preserve"> and </w:t>
      </w:r>
      <w:r>
        <w:rPr>
          <w:rFonts w:eastAsia="TimesNewRoman" w:cs="TimesNewRoman"/>
          <w:color w:val="000000" w:themeColor="text1"/>
        </w:rPr>
        <w:t>2</w:t>
      </w:r>
      <w:r w:rsidRPr="000C211A">
        <w:rPr>
          <w:rFonts w:eastAsia="TimesNewRoman" w:cs="TimesNewRoman"/>
          <w:color w:val="000000" w:themeColor="text1"/>
          <w:vertAlign w:val="superscript"/>
        </w:rPr>
        <w:t>o</w:t>
      </w:r>
      <w:r>
        <w:rPr>
          <w:rFonts w:eastAsia="TimesNewRoman" w:cs="TimesNewRoman"/>
          <w:color w:val="000000" w:themeColor="text1"/>
        </w:rPr>
        <w:t xml:space="preserve"> </w:t>
      </w:r>
      <w:r w:rsidRPr="0047384F">
        <w:rPr>
          <w:rFonts w:eastAsia="TimesNewRoman" w:cs="TimesNewRoman"/>
          <w:color w:val="000000" w:themeColor="text1"/>
        </w:rPr>
        <w:t xml:space="preserve">efficacy endpoints based on </w:t>
      </w:r>
      <w:r>
        <w:rPr>
          <w:rFonts w:eastAsia="TimesNewRoman" w:cs="TimesNewRoman"/>
          <w:color w:val="000000" w:themeColor="text1"/>
        </w:rPr>
        <w:t xml:space="preserve">PPE </w:t>
      </w:r>
      <w:r w:rsidR="005B5A04">
        <w:rPr>
          <w:rFonts w:eastAsia="TimesNewRoman" w:cs="TimesNewRoman"/>
          <w:color w:val="000000" w:themeColor="text1"/>
        </w:rPr>
        <w:t>population</w:t>
      </w:r>
      <w:r w:rsidR="0061405B">
        <w:rPr>
          <w:rFonts w:eastAsia="TimesNewRoman" w:cs="TimesNewRoman"/>
          <w:color w:val="000000" w:themeColor="text1"/>
        </w:rPr>
        <w:t>.</w:t>
      </w:r>
    </w:p>
    <w:p w:rsidR="005F74D8" w:rsidRPr="00E005C8" w:rsidDel="0081373E" w:rsidRDefault="005F74D8" w:rsidP="00C55C7A">
      <w:pPr>
        <w:pStyle w:val="Heading5"/>
      </w:pPr>
      <w:r w:rsidRPr="00E005C8" w:rsidDel="0081373E">
        <w:t>Sample size</w:t>
      </w:r>
    </w:p>
    <w:p w:rsidR="005F74D8" w:rsidRDefault="005F74D8" w:rsidP="005F74D8">
      <w:pPr>
        <w:autoSpaceDE w:val="0"/>
        <w:autoSpaceDN w:val="0"/>
        <w:adjustRightInd w:val="0"/>
        <w:rPr>
          <w:color w:val="000000" w:themeColor="text1"/>
        </w:rPr>
      </w:pPr>
      <w:r w:rsidRPr="00E005C8">
        <w:rPr>
          <w:color w:val="000000" w:themeColor="text1"/>
        </w:rPr>
        <w:t>The sample size for this study is based on the following hypotheses:</w:t>
      </w:r>
      <w:r>
        <w:rPr>
          <w:color w:val="000000" w:themeColor="text1"/>
        </w:rPr>
        <w:t xml:space="preserve"> </w:t>
      </w:r>
      <w:r w:rsidRPr="00E005C8">
        <w:rPr>
          <w:b/>
          <w:color w:val="000000" w:themeColor="text1"/>
        </w:rPr>
        <w:t xml:space="preserve">H0: </w:t>
      </w:r>
      <w:r w:rsidR="00C55C7A">
        <w:rPr>
          <w:rFonts w:cs="SymbolMT"/>
          <w:b/>
          <w:color w:val="000000" w:themeColor="text1"/>
        </w:rPr>
        <w:t>λ</w:t>
      </w:r>
      <w:r w:rsidR="00C55C7A">
        <w:rPr>
          <w:b/>
          <w:color w:val="000000" w:themeColor="text1"/>
        </w:rPr>
        <w:t>I</w:t>
      </w:r>
      <w:r w:rsidRPr="00E005C8">
        <w:rPr>
          <w:b/>
          <w:color w:val="000000" w:themeColor="text1"/>
        </w:rPr>
        <w:t xml:space="preserve"> </w:t>
      </w:r>
      <w:r w:rsidR="00C55C7A">
        <w:rPr>
          <w:rFonts w:cs="SymbolMT"/>
          <w:b/>
          <w:color w:val="000000" w:themeColor="text1"/>
        </w:rPr>
        <w:t>≥</w:t>
      </w:r>
      <w:r w:rsidRPr="00E005C8">
        <w:rPr>
          <w:rFonts w:cs="SymbolMT"/>
          <w:b/>
          <w:color w:val="000000" w:themeColor="text1"/>
        </w:rPr>
        <w:t xml:space="preserve"> </w:t>
      </w:r>
      <w:r w:rsidRPr="00E005C8">
        <w:rPr>
          <w:b/>
          <w:color w:val="000000" w:themeColor="text1"/>
        </w:rPr>
        <w:t xml:space="preserve">1.0 versus Ha: </w:t>
      </w:r>
      <w:r w:rsidR="00C55C7A">
        <w:rPr>
          <w:rFonts w:cs="SymbolMT"/>
          <w:b/>
          <w:color w:val="000000" w:themeColor="text1"/>
        </w:rPr>
        <w:t>λ</w:t>
      </w:r>
      <w:r w:rsidR="00C55C7A">
        <w:rPr>
          <w:b/>
          <w:color w:val="000000" w:themeColor="text1"/>
        </w:rPr>
        <w:t>I</w:t>
      </w:r>
      <w:r w:rsidRPr="00E005C8">
        <w:rPr>
          <w:b/>
          <w:color w:val="000000" w:themeColor="text1"/>
        </w:rPr>
        <w:t xml:space="preserve"> &lt; 1.0</w:t>
      </w:r>
      <w:r>
        <w:rPr>
          <w:color w:val="000000" w:themeColor="text1"/>
        </w:rPr>
        <w:t xml:space="preserve">. </w:t>
      </w:r>
      <w:r w:rsidRPr="00E005C8">
        <w:rPr>
          <w:color w:val="000000" w:themeColor="text1"/>
        </w:rPr>
        <w:t xml:space="preserve">where </w:t>
      </w:r>
      <w:r w:rsidR="00C55C7A">
        <w:rPr>
          <w:rFonts w:cs="SymbolMT"/>
          <w:color w:val="000000" w:themeColor="text1"/>
        </w:rPr>
        <w:t>λ</w:t>
      </w:r>
      <w:r w:rsidR="00C55C7A">
        <w:rPr>
          <w:color w:val="000000" w:themeColor="text1"/>
        </w:rPr>
        <w:t>I</w:t>
      </w:r>
      <w:r w:rsidRPr="00E005C8">
        <w:rPr>
          <w:color w:val="000000" w:themeColor="text1"/>
        </w:rPr>
        <w:t xml:space="preserve"> represents the parameter of a Poisson distribution, </w:t>
      </w:r>
      <w:r w:rsidR="00C2531A">
        <w:rPr>
          <w:color w:val="000000" w:themeColor="text1"/>
        </w:rPr>
        <w:t>that is</w:t>
      </w:r>
      <w:r w:rsidR="00617D86">
        <w:rPr>
          <w:color w:val="000000" w:themeColor="text1"/>
        </w:rPr>
        <w:t>,</w:t>
      </w:r>
      <w:r w:rsidRPr="00E005C8">
        <w:rPr>
          <w:color w:val="000000" w:themeColor="text1"/>
        </w:rPr>
        <w:t xml:space="preserve"> the</w:t>
      </w:r>
      <w:r w:rsidR="0070299A">
        <w:rPr>
          <w:color w:val="000000" w:themeColor="text1"/>
        </w:rPr>
        <w:t xml:space="preserve"> Number </w:t>
      </w:r>
      <w:r w:rsidRPr="00E005C8">
        <w:rPr>
          <w:color w:val="000000" w:themeColor="text1"/>
        </w:rPr>
        <w:t>of SBIs in the IgPro20 group per subject per year through the 12-month efficacy period. Under the assumption of a real rate of 0.5 SBIs per subject per year, 32 subj</w:t>
      </w:r>
      <w:r>
        <w:rPr>
          <w:color w:val="000000" w:themeColor="text1"/>
        </w:rPr>
        <w:t>ects have to complete the 12-m</w:t>
      </w:r>
      <w:r w:rsidRPr="00E005C8">
        <w:rPr>
          <w:color w:val="000000" w:themeColor="text1"/>
        </w:rPr>
        <w:t>th efficacy period (alpha = 0.01, one-sided, power = 80%). 50 subjects</w:t>
      </w:r>
      <w:r>
        <w:rPr>
          <w:color w:val="000000" w:themeColor="text1"/>
        </w:rPr>
        <w:t xml:space="preserve"> planned</w:t>
      </w:r>
      <w:r w:rsidRPr="00E005C8">
        <w:rPr>
          <w:color w:val="000000" w:themeColor="text1"/>
        </w:rPr>
        <w:t>. Steady-state AUC values from SC treatment</w:t>
      </w:r>
      <w:r w:rsidR="0070299A">
        <w:rPr>
          <w:color w:val="000000" w:themeColor="text1"/>
        </w:rPr>
        <w:t xml:space="preserve"> versus</w:t>
      </w:r>
      <w:r>
        <w:rPr>
          <w:color w:val="000000" w:themeColor="text1"/>
        </w:rPr>
        <w:t xml:space="preserve"> </w:t>
      </w:r>
      <w:r w:rsidRPr="00E005C8">
        <w:rPr>
          <w:color w:val="000000" w:themeColor="text1"/>
        </w:rPr>
        <w:t xml:space="preserve">those from previous </w:t>
      </w:r>
      <w:r w:rsidR="00C55C7A">
        <w:rPr>
          <w:color w:val="000000" w:themeColor="text1"/>
        </w:rPr>
        <w:t>w</w:t>
      </w:r>
      <w:r w:rsidR="0070299A">
        <w:rPr>
          <w:color w:val="000000" w:themeColor="text1"/>
        </w:rPr>
        <w:t>eek</w:t>
      </w:r>
      <w:r>
        <w:rPr>
          <w:color w:val="000000" w:themeColor="text1"/>
        </w:rPr>
        <w:t>ly-equivalent IVIG</w:t>
      </w:r>
      <w:r w:rsidRPr="00E005C8">
        <w:rPr>
          <w:color w:val="000000" w:themeColor="text1"/>
        </w:rPr>
        <w:t xml:space="preserve"> (PK substudy). PK noninferiority of the average adjusted SC doses will be claimed, if the lower (one-sided) 95% CL for the geometric mean AUC ratio is 0.8 (</w:t>
      </w:r>
      <w:r w:rsidR="00C2531A">
        <w:rPr>
          <w:color w:val="000000" w:themeColor="text1"/>
        </w:rPr>
        <w:t>that is</w:t>
      </w:r>
      <w:r w:rsidR="00617D86">
        <w:rPr>
          <w:color w:val="000000" w:themeColor="text1"/>
        </w:rPr>
        <w:t>,</w:t>
      </w:r>
      <w:r w:rsidRPr="00E005C8">
        <w:rPr>
          <w:color w:val="000000" w:themeColor="text1"/>
        </w:rPr>
        <w:t xml:space="preserve"> 80%) or more. For the purpose of this study, an intra-subject variability with CV=25% (s=0.</w:t>
      </w:r>
      <w:r>
        <w:rPr>
          <w:color w:val="000000" w:themeColor="text1"/>
        </w:rPr>
        <w:t xml:space="preserve">25 for log-transformed AUCs) </w:t>
      </w:r>
      <w:r w:rsidRPr="00E005C8">
        <w:rPr>
          <w:color w:val="000000" w:themeColor="text1"/>
        </w:rPr>
        <w:t>assumed. Further assuming that the expected geometri</w:t>
      </w:r>
      <w:r>
        <w:rPr>
          <w:color w:val="000000" w:themeColor="text1"/>
        </w:rPr>
        <w:t>c AUC-ratio of adjusted SC</w:t>
      </w:r>
      <w:r w:rsidR="0070299A">
        <w:rPr>
          <w:color w:val="000000" w:themeColor="text1"/>
        </w:rPr>
        <w:t xml:space="preserve"> versus</w:t>
      </w:r>
      <w:r w:rsidRPr="00E005C8">
        <w:rPr>
          <w:color w:val="000000" w:themeColor="text1"/>
        </w:rPr>
        <w:t xml:space="preserve"> IV doses equals or exceeds 1, the power for a one-sided 95% </w:t>
      </w:r>
      <w:r>
        <w:rPr>
          <w:color w:val="000000" w:themeColor="text1"/>
        </w:rPr>
        <w:t>CI</w:t>
      </w:r>
      <w:r w:rsidRPr="00E005C8">
        <w:rPr>
          <w:color w:val="000000" w:themeColor="text1"/>
        </w:rPr>
        <w:t xml:space="preserve"> of this ratio to exclude the non-infe</w:t>
      </w:r>
      <w:r>
        <w:rPr>
          <w:color w:val="000000" w:themeColor="text1"/>
        </w:rPr>
        <w:t>riority limit of 0.8 will be 85</w:t>
      </w:r>
      <w:r w:rsidRPr="00E005C8">
        <w:rPr>
          <w:color w:val="000000" w:themeColor="text1"/>
        </w:rPr>
        <w:t xml:space="preserve">%, if 18 evaluable subjects </w:t>
      </w:r>
      <w:r>
        <w:rPr>
          <w:color w:val="000000" w:themeColor="text1"/>
        </w:rPr>
        <w:t>complete the PK substudy. To account for drop-outs/</w:t>
      </w:r>
      <w:r w:rsidRPr="00E005C8">
        <w:rPr>
          <w:color w:val="000000" w:themeColor="text1"/>
        </w:rPr>
        <w:t>deviations, 20-25 subjects planned for the PK substudy.</w:t>
      </w:r>
    </w:p>
    <w:p w:rsidR="005F74D8" w:rsidRPr="00E005C8" w:rsidRDefault="005F74D8" w:rsidP="00C55C7A">
      <w:pPr>
        <w:pStyle w:val="Heading5"/>
      </w:pPr>
      <w:r w:rsidRPr="00E005C8">
        <w:t>Statistical methods</w:t>
      </w:r>
    </w:p>
    <w:p w:rsidR="005F74D8" w:rsidRDefault="005F74D8" w:rsidP="005F74D8">
      <w:pPr>
        <w:autoSpaceDE w:val="0"/>
        <w:autoSpaceDN w:val="0"/>
        <w:adjustRightInd w:val="0"/>
        <w:rPr>
          <w:rFonts w:eastAsia="TimesNewRoman" w:cs="TimesNewRoman"/>
          <w:color w:val="000000" w:themeColor="text1"/>
        </w:rPr>
      </w:pPr>
      <w:r>
        <w:rPr>
          <w:rFonts w:eastAsia="TimesNewRomanPSMT" w:cs="TimesNewRomanPSMT"/>
          <w:color w:val="000000" w:themeColor="text1"/>
        </w:rPr>
        <w:t xml:space="preserve">Primary efficacy endpoint defined as </w:t>
      </w:r>
      <w:r w:rsidRPr="00E005C8">
        <w:rPr>
          <w:rFonts w:eastAsia="TimesNewRomanPSMT" w:cs="TimesNewRomanPSMT"/>
          <w:color w:val="000000" w:themeColor="text1"/>
        </w:rPr>
        <w:t>annual rate of clinically documented SBIs in the</w:t>
      </w:r>
      <w:r>
        <w:rPr>
          <w:rFonts w:eastAsia="TimesNewRomanPSMT" w:cs="TimesNewRomanPSMT"/>
          <w:color w:val="000000" w:themeColor="text1"/>
        </w:rPr>
        <w:t xml:space="preserve"> </w:t>
      </w:r>
      <w:r w:rsidRPr="00E005C8">
        <w:rPr>
          <w:rFonts w:eastAsia="TimesNewRomanPSMT" w:cs="TimesNewRomanPSMT"/>
          <w:color w:val="000000" w:themeColor="text1"/>
        </w:rPr>
        <w:t>MITT population during the</w:t>
      </w:r>
      <w:r>
        <w:rPr>
          <w:rFonts w:eastAsia="TimesNewRomanPSMT" w:cs="TimesNewRomanPSMT"/>
          <w:color w:val="000000" w:themeColor="text1"/>
        </w:rPr>
        <w:t xml:space="preserve"> efficacy period (starting </w:t>
      </w:r>
      <w:r w:rsidR="0070299A">
        <w:rPr>
          <w:rFonts w:eastAsia="TimesNewRomanPSMT" w:cs="TimesNewRomanPSMT"/>
          <w:color w:val="000000" w:themeColor="text1"/>
        </w:rPr>
        <w:t>Week</w:t>
      </w:r>
      <w:r w:rsidRPr="00E005C8">
        <w:rPr>
          <w:rFonts w:eastAsia="TimesNewRomanPSMT" w:cs="TimesNewRomanPSMT"/>
          <w:color w:val="000000" w:themeColor="text1"/>
        </w:rPr>
        <w:t xml:space="preserve"> 13). The null hypothesis H0: </w:t>
      </w:r>
      <w:r w:rsidR="00C55C7A">
        <w:rPr>
          <w:rFonts w:cs="SymbolMT"/>
          <w:color w:val="000000" w:themeColor="text1"/>
        </w:rPr>
        <w:t>λ</w:t>
      </w:r>
      <w:r w:rsidR="00C55C7A">
        <w:rPr>
          <w:color w:val="000000" w:themeColor="text1"/>
        </w:rPr>
        <w:t>I</w:t>
      </w:r>
      <w:r w:rsidRPr="00E005C8">
        <w:rPr>
          <w:rFonts w:eastAsia="TimesNewRomanPSMT" w:cs="TimesNewRomanPSMT"/>
          <w:color w:val="000000" w:themeColor="text1"/>
        </w:rPr>
        <w:t xml:space="preserve"> </w:t>
      </w:r>
      <w:r w:rsidRPr="00E005C8">
        <w:rPr>
          <w:rFonts w:eastAsia="TimesNewRomanPSMT" w:cs="SymbolMT"/>
          <w:color w:val="000000" w:themeColor="text1"/>
        </w:rPr>
        <w:t xml:space="preserve">≥ </w:t>
      </w:r>
      <w:r w:rsidRPr="00E005C8">
        <w:rPr>
          <w:rFonts w:eastAsia="TimesNewRomanPSMT" w:cs="TimesNewRomanPSMT"/>
          <w:color w:val="000000" w:themeColor="text1"/>
        </w:rPr>
        <w:t xml:space="preserve">1.0 versus Ha: </w:t>
      </w:r>
      <w:r w:rsidR="00C55C7A">
        <w:rPr>
          <w:rFonts w:cs="SymbolMT"/>
          <w:color w:val="000000" w:themeColor="text1"/>
        </w:rPr>
        <w:t>λ</w:t>
      </w:r>
      <w:r w:rsidR="00C55C7A">
        <w:rPr>
          <w:color w:val="000000" w:themeColor="text1"/>
        </w:rPr>
        <w:t>I</w:t>
      </w:r>
      <w:r w:rsidRPr="00E005C8">
        <w:rPr>
          <w:rFonts w:eastAsia="TimesNewRomanPSMT" w:cs="TimesNewRomanPSMT"/>
          <w:color w:val="000000" w:themeColor="text1"/>
        </w:rPr>
        <w:t xml:space="preserve"> &lt; 1.0, where </w:t>
      </w:r>
      <w:r w:rsidR="00C55C7A">
        <w:rPr>
          <w:rFonts w:cs="SymbolMT"/>
          <w:color w:val="000000" w:themeColor="text1"/>
        </w:rPr>
        <w:t>λ</w:t>
      </w:r>
      <w:r w:rsidR="00C55C7A">
        <w:rPr>
          <w:color w:val="000000" w:themeColor="text1"/>
        </w:rPr>
        <w:t>I</w:t>
      </w:r>
      <w:r w:rsidRPr="00E005C8">
        <w:rPr>
          <w:rFonts w:eastAsia="TimesNewRomanPSMT" w:cs="TimesNewRomanPSMT"/>
          <w:color w:val="000000" w:themeColor="text1"/>
        </w:rPr>
        <w:t xml:space="preserve"> represents the parameter of a Poisson distribution, </w:t>
      </w:r>
      <w:r w:rsidR="00C2531A">
        <w:rPr>
          <w:rFonts w:eastAsia="TimesNewRomanPSMT" w:cs="TimesNewRomanPSMT"/>
          <w:color w:val="000000" w:themeColor="text1"/>
        </w:rPr>
        <w:t>that is</w:t>
      </w:r>
      <w:r w:rsidR="00617D86">
        <w:rPr>
          <w:rFonts w:eastAsia="TimesNewRomanPSMT" w:cs="TimesNewRomanPSMT"/>
          <w:color w:val="000000" w:themeColor="text1"/>
        </w:rPr>
        <w:t>,</w:t>
      </w:r>
      <w:r w:rsidRPr="00E005C8">
        <w:rPr>
          <w:rFonts w:eastAsia="TimesNewRomanPSMT" w:cs="TimesNewRomanPSMT"/>
          <w:color w:val="000000" w:themeColor="text1"/>
        </w:rPr>
        <w:t xml:space="preserve"> the</w:t>
      </w:r>
      <w:r w:rsidR="0070299A">
        <w:rPr>
          <w:rFonts w:eastAsia="TimesNewRomanPSMT" w:cs="TimesNewRomanPSMT"/>
          <w:color w:val="000000" w:themeColor="text1"/>
        </w:rPr>
        <w:t xml:space="preserve"> Number </w:t>
      </w:r>
      <w:r w:rsidRPr="00E005C8">
        <w:rPr>
          <w:rFonts w:eastAsia="TimesNewRomanPSMT" w:cs="TimesNewRomanPSMT"/>
          <w:color w:val="000000" w:themeColor="text1"/>
        </w:rPr>
        <w:t>of SBIs in the I</w:t>
      </w:r>
      <w:r>
        <w:rPr>
          <w:rFonts w:eastAsia="TimesNewRomanPSMT" w:cs="TimesNewRomanPSMT"/>
          <w:color w:val="000000" w:themeColor="text1"/>
        </w:rPr>
        <w:t>gPro20 group per subject per y</w:t>
      </w:r>
      <w:r w:rsidR="005159A3">
        <w:rPr>
          <w:rFonts w:eastAsia="TimesNewRomanPSMT" w:cs="TimesNewRomanPSMT"/>
          <w:color w:val="000000" w:themeColor="text1"/>
        </w:rPr>
        <w:t>ea</w:t>
      </w:r>
      <w:r w:rsidRPr="00E005C8">
        <w:rPr>
          <w:rFonts w:eastAsia="TimesNewRomanPSMT" w:cs="TimesNewRomanPSMT"/>
          <w:color w:val="000000" w:themeColor="text1"/>
        </w:rPr>
        <w:t>r through the 12-month efficacy period, was tested by providing the upper 1-sided 99% confidence limit. Secondary efficacy endp</w:t>
      </w:r>
      <w:r>
        <w:rPr>
          <w:rFonts w:eastAsia="TimesNewRomanPSMT" w:cs="TimesNewRomanPSMT"/>
          <w:color w:val="000000" w:themeColor="text1"/>
        </w:rPr>
        <w:t xml:space="preserve">oints and safety variables </w:t>
      </w:r>
      <w:r w:rsidRPr="00E005C8">
        <w:rPr>
          <w:rFonts w:eastAsia="TimesNewRomanPSMT" w:cs="TimesNewRomanPSMT"/>
          <w:color w:val="000000" w:themeColor="text1"/>
        </w:rPr>
        <w:t>analysed descriptively.</w:t>
      </w:r>
      <w:r>
        <w:rPr>
          <w:rFonts w:eastAsia="TimesNewRomanPSMT" w:cs="TimesNewRomanPSMT"/>
          <w:color w:val="000000" w:themeColor="text1"/>
        </w:rPr>
        <w:t xml:space="preserve"> AEs analys</w:t>
      </w:r>
      <w:r w:rsidRPr="00E005C8">
        <w:rPr>
          <w:rFonts w:eastAsia="TimesNewRomanPSMT" w:cs="TimesNewRomanPSMT"/>
          <w:color w:val="000000" w:themeColor="text1"/>
        </w:rPr>
        <w:t>ed based on the safety data set. AEs coded using MedDRA</w:t>
      </w:r>
      <w:r>
        <w:rPr>
          <w:rFonts w:eastAsia="TimesNewRomanPSMT" w:cs="TimesNewRomanPSMT"/>
          <w:color w:val="000000" w:themeColor="text1"/>
        </w:rPr>
        <w:t xml:space="preserve">. Analyses </w:t>
      </w:r>
      <w:r w:rsidRPr="00E005C8">
        <w:rPr>
          <w:rFonts w:eastAsia="TimesNewRomanPSMT" w:cs="TimesNewRomanPSMT"/>
          <w:color w:val="000000" w:themeColor="text1"/>
        </w:rPr>
        <w:t xml:space="preserve">performed by primary SOC and PT. </w:t>
      </w:r>
      <w:r>
        <w:rPr>
          <w:rFonts w:eastAsia="TimesNewRoman" w:cs="TimesNewRoman"/>
          <w:color w:val="000000" w:themeColor="text1"/>
        </w:rPr>
        <w:t>Analyses of TE</w:t>
      </w:r>
      <w:r w:rsidRPr="00E005C8">
        <w:rPr>
          <w:rFonts w:eastAsia="TimesNewRoman" w:cs="TimesNewRoman"/>
          <w:color w:val="000000" w:themeColor="text1"/>
        </w:rPr>
        <w:t xml:space="preserve">AEs </w:t>
      </w:r>
      <w:r w:rsidR="00C55C7A">
        <w:rPr>
          <w:rFonts w:eastAsia="TimesNewRoman" w:cs="TimesNewRoman"/>
          <w:color w:val="000000" w:themeColor="text1"/>
        </w:rPr>
        <w:t>conducted at subject and</w:t>
      </w:r>
      <w:r w:rsidRPr="00E005C8">
        <w:rPr>
          <w:rFonts w:eastAsia="TimesNewRoman" w:cs="TimesNewRoman"/>
          <w:color w:val="000000" w:themeColor="text1"/>
        </w:rPr>
        <w:t xml:space="preserve"> infusion level</w:t>
      </w:r>
      <w:r>
        <w:rPr>
          <w:rFonts w:eastAsia="TimesNewRoman" w:cs="TimesNewRoman"/>
          <w:color w:val="000000" w:themeColor="text1"/>
        </w:rPr>
        <w:t xml:space="preserve"> – considered </w:t>
      </w:r>
      <w:r w:rsidRPr="00E005C8">
        <w:rPr>
          <w:rFonts w:eastAsia="TimesNewRoman" w:cs="TimesNewRoman"/>
          <w:color w:val="000000" w:themeColor="text1"/>
        </w:rPr>
        <w:t xml:space="preserve">temporally </w:t>
      </w:r>
      <w:r>
        <w:rPr>
          <w:rFonts w:eastAsia="TimesNewRoman" w:cs="TimesNewRoman"/>
          <w:color w:val="000000" w:themeColor="text1"/>
        </w:rPr>
        <w:t>associated if occurring</w:t>
      </w:r>
      <w:r w:rsidRPr="00E005C8">
        <w:rPr>
          <w:rFonts w:eastAsia="TimesNewRoman" w:cs="TimesNewRoman"/>
          <w:color w:val="000000" w:themeColor="text1"/>
        </w:rPr>
        <w:t xml:space="preserve"> </w:t>
      </w:r>
      <w:r>
        <w:rPr>
          <w:rFonts w:eastAsia="TimesNewRoman" w:cs="TimesNewRoman"/>
          <w:color w:val="000000" w:themeColor="text1"/>
        </w:rPr>
        <w:t xml:space="preserve">from infusion start until 72 h after ending. Analyses </w:t>
      </w:r>
      <w:r w:rsidRPr="00E005C8">
        <w:rPr>
          <w:rFonts w:eastAsia="TimesNewRoman" w:cs="TimesNewRoman"/>
          <w:color w:val="000000" w:themeColor="text1"/>
        </w:rPr>
        <w:t xml:space="preserve">split </w:t>
      </w:r>
      <w:r>
        <w:rPr>
          <w:rFonts w:eastAsia="TimesNewRoman" w:cs="TimesNewRoman"/>
          <w:color w:val="000000" w:themeColor="text1"/>
        </w:rPr>
        <w:t xml:space="preserve">by occurrence 24, 48, </w:t>
      </w:r>
      <w:r w:rsidRPr="00E005C8">
        <w:rPr>
          <w:rFonts w:eastAsia="TimesNewRoman" w:cs="TimesNewRoman"/>
          <w:color w:val="000000" w:themeColor="text1"/>
        </w:rPr>
        <w:t>72 h after infusion</w:t>
      </w:r>
      <w:r>
        <w:rPr>
          <w:rFonts w:eastAsia="TimesNewRoman" w:cs="TimesNewRoman"/>
          <w:color w:val="000000" w:themeColor="text1"/>
        </w:rPr>
        <w:t xml:space="preserve"> end and infusion rate.</w:t>
      </w:r>
    </w:p>
    <w:p w:rsidR="005F74D8" w:rsidRPr="00E005C8" w:rsidRDefault="005F74D8" w:rsidP="00C55C7A">
      <w:pPr>
        <w:pStyle w:val="Heading5"/>
      </w:pPr>
      <w:r w:rsidRPr="00E005C8">
        <w:t>Participant flow</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The study consisted of a 12-</w:t>
      </w:r>
      <w:r w:rsidR="0070299A">
        <w:rPr>
          <w:rFonts w:eastAsia="TimesNewRoman" w:cs="TimesNewRoman"/>
          <w:color w:val="000000" w:themeColor="text1"/>
        </w:rPr>
        <w:t>Week</w:t>
      </w:r>
      <w:r w:rsidRPr="00E005C8">
        <w:rPr>
          <w:rFonts w:eastAsia="TimesNewRoman" w:cs="TimesNewRoman"/>
          <w:color w:val="000000" w:themeColor="text1"/>
        </w:rPr>
        <w:t xml:space="preserve"> </w:t>
      </w:r>
      <w:r>
        <w:rPr>
          <w:rFonts w:eastAsia="TimesNewRoman" w:cs="TimesNewRoman"/>
          <w:color w:val="000000" w:themeColor="text1"/>
        </w:rPr>
        <w:t>WI/WO</w:t>
      </w:r>
      <w:r w:rsidRPr="00E005C8">
        <w:rPr>
          <w:rFonts w:eastAsia="TimesNewRoman" w:cs="TimesNewRoman"/>
          <w:color w:val="000000" w:themeColor="text1"/>
        </w:rPr>
        <w:t xml:space="preserve"> period followed by a 12-month efficacy period, during </w:t>
      </w:r>
      <w:r>
        <w:rPr>
          <w:rFonts w:eastAsia="TimesNewRoman" w:cs="TimesNewRoman"/>
          <w:color w:val="000000" w:themeColor="text1"/>
        </w:rPr>
        <w:t xml:space="preserve">which the efficacy, safety, </w:t>
      </w:r>
      <w:r w:rsidRPr="00E005C8">
        <w:rPr>
          <w:rFonts w:eastAsia="TimesNewRoman" w:cs="TimesNewRoman"/>
          <w:color w:val="000000" w:themeColor="text1"/>
        </w:rPr>
        <w:t>tolerability of IgPro20 were evaluated.</w:t>
      </w:r>
      <w:r w:rsidRPr="00E005C8">
        <w:rPr>
          <w:color w:val="000000" w:themeColor="text1"/>
        </w:rPr>
        <w:t xml:space="preserve"> </w:t>
      </w:r>
      <w:r w:rsidRPr="00E005C8">
        <w:rPr>
          <w:rFonts w:eastAsia="TimesNewRoman" w:cs="TimesNewRoman"/>
          <w:color w:val="000000" w:themeColor="text1"/>
        </w:rPr>
        <w:t xml:space="preserve">Within this, a 2-part PK substudy was conducted. Part I determined an appropriate dose adjustment for </w:t>
      </w:r>
      <w:r>
        <w:rPr>
          <w:rFonts w:eastAsia="TimesNewRoman" w:cs="TimesNewRoman"/>
          <w:color w:val="000000" w:themeColor="text1"/>
        </w:rPr>
        <w:t>SCIG</w:t>
      </w:r>
      <w:r w:rsidRPr="00E005C8">
        <w:rPr>
          <w:rFonts w:eastAsia="TimesNewRoman" w:cs="TimesNewRoman"/>
          <w:color w:val="000000" w:themeColor="text1"/>
        </w:rPr>
        <w:t xml:space="preserve"> treatment with IgPro20 (</w:t>
      </w:r>
      <w:r>
        <w:rPr>
          <w:rFonts w:eastAsia="TimesNewRoman" w:cs="TimesNewRoman"/>
          <w:color w:val="000000" w:themeColor="text1"/>
        </w:rPr>
        <w:t>vs. prior</w:t>
      </w:r>
      <w:r w:rsidRPr="00E005C8">
        <w:rPr>
          <w:rFonts w:eastAsia="TimesNewRoman" w:cs="TimesNewRoman"/>
          <w:color w:val="000000" w:themeColor="text1"/>
        </w:rPr>
        <w:t xml:space="preserve"> IVIG</w:t>
      </w:r>
      <w:r>
        <w:rPr>
          <w:rFonts w:eastAsia="TimesNewRoman" w:cs="TimesNewRoman"/>
          <w:color w:val="000000" w:themeColor="text1"/>
        </w:rPr>
        <w:t xml:space="preserve"> dose</w:t>
      </w:r>
      <w:r w:rsidRPr="00E005C8">
        <w:rPr>
          <w:rFonts w:eastAsia="TimesNewRoman" w:cs="TimesNewRoman"/>
          <w:color w:val="000000" w:themeColor="text1"/>
        </w:rPr>
        <w:t>) to be used to attain individual target IgG trough levels d</w:t>
      </w:r>
      <w:r>
        <w:rPr>
          <w:rFonts w:eastAsia="TimesNewRoman" w:cs="TimesNewRoman"/>
          <w:color w:val="000000" w:themeColor="text1"/>
        </w:rPr>
        <w:t>uring the efficacy period. D</w:t>
      </w:r>
      <w:r w:rsidRPr="00E005C8">
        <w:rPr>
          <w:rFonts w:eastAsia="TimesNewRoman" w:cs="TimesNewRoman"/>
          <w:color w:val="000000" w:themeColor="text1"/>
        </w:rPr>
        <w:t>ose adjustment was based on IgG C</w:t>
      </w:r>
      <w:r w:rsidRPr="00E005C8">
        <w:rPr>
          <w:rFonts w:eastAsia="TimesNewRoman" w:cs="TimesNewRoman"/>
          <w:color w:val="000000" w:themeColor="text1"/>
          <w:vertAlign w:val="subscript"/>
        </w:rPr>
        <w:t>trough</w:t>
      </w:r>
      <w:r w:rsidRPr="00E005C8">
        <w:rPr>
          <w:rFonts w:eastAsia="TimesNewRoman" w:cs="TimesNewRoman"/>
          <w:color w:val="000000" w:themeColor="text1"/>
        </w:rPr>
        <w:t xml:space="preserve"> values obtained during IgPro20 treatment at the end of the </w:t>
      </w:r>
      <w:r>
        <w:rPr>
          <w:rFonts w:eastAsia="TimesNewRoman" w:cs="TimesNewRoman"/>
          <w:color w:val="000000" w:themeColor="text1"/>
        </w:rPr>
        <w:t>WI/WO</w:t>
      </w:r>
      <w:r w:rsidRPr="00E005C8">
        <w:rPr>
          <w:rFonts w:eastAsia="TimesNewRoman" w:cs="TimesNewRoman"/>
          <w:color w:val="000000" w:themeColor="text1"/>
        </w:rPr>
        <w:t xml:space="preserve"> period (</w:t>
      </w:r>
      <w:r w:rsidR="0070299A">
        <w:rPr>
          <w:rFonts w:eastAsia="TimesNewRoman" w:cs="TimesNewRoman"/>
          <w:color w:val="000000" w:themeColor="text1"/>
        </w:rPr>
        <w:t>Week</w:t>
      </w:r>
      <w:r w:rsidRPr="00E005C8">
        <w:rPr>
          <w:rFonts w:eastAsia="TimesNewRoman" w:cs="TimesNewRoman"/>
          <w:color w:val="000000" w:themeColor="text1"/>
        </w:rPr>
        <w:t xml:space="preserve">s 9 to 12) (the mean </w:t>
      </w:r>
      <w:r>
        <w:rPr>
          <w:rFonts w:eastAsia="TimesNewRoman" w:cs="TimesNewRoman"/>
          <w:color w:val="000000" w:themeColor="text1"/>
        </w:rPr>
        <w:t>DAC</w:t>
      </w:r>
      <w:r w:rsidRPr="00E005C8">
        <w:rPr>
          <w:rFonts w:eastAsia="TimesNewRoman" w:cs="TimesNewRoman"/>
          <w:color w:val="000000" w:themeColor="text1"/>
        </w:rPr>
        <w:t>was 1.53). Part II evaluated whether the adjusted dose of IgPro20 used during the efficacy period provided a non-inferior AUC for serum IgG</w:t>
      </w:r>
      <w:r w:rsidR="0070299A">
        <w:rPr>
          <w:rFonts w:eastAsia="TimesNewRoman" w:cs="TimesNewRoman"/>
          <w:color w:val="000000" w:themeColor="text1"/>
        </w:rPr>
        <w:t xml:space="preserve"> versus</w:t>
      </w:r>
      <w:r>
        <w:rPr>
          <w:rFonts w:eastAsia="TimesNewRoman" w:cs="TimesNewRoman"/>
          <w:color w:val="000000" w:themeColor="text1"/>
        </w:rPr>
        <w:t xml:space="preserve"> the</w:t>
      </w:r>
      <w:r w:rsidRPr="00E005C8">
        <w:rPr>
          <w:rFonts w:eastAsia="TimesNewRoman" w:cs="TimesNewRoman"/>
          <w:color w:val="000000" w:themeColor="text1"/>
        </w:rPr>
        <w:t xml:space="preserve"> AUC measured in a preceding study durin</w:t>
      </w:r>
      <w:r w:rsidR="0061405B">
        <w:rPr>
          <w:rFonts w:eastAsia="TimesNewRoman" w:cs="TimesNewRoman"/>
          <w:color w:val="000000" w:themeColor="text1"/>
        </w:rPr>
        <w:t>g IVIG treatment with Privigen.</w:t>
      </w:r>
    </w:p>
    <w:p w:rsidR="005F74D8" w:rsidRDefault="005F74D8" w:rsidP="00C55C7A">
      <w:pPr>
        <w:pStyle w:val="FigureTitle"/>
        <w:rPr>
          <w:rFonts w:asciiTheme="majorHAnsi" w:hAnsiTheme="majorHAnsi"/>
        </w:rPr>
      </w:pPr>
      <w:r w:rsidRPr="007E7F95">
        <w:lastRenderedPageBreak/>
        <w:t>Figure 8.Schematic Overview of the ZLB04_009CR study and the embedded PK substudy</w:t>
      </w:r>
    </w:p>
    <w:p w:rsidR="00F01513" w:rsidRDefault="00F01513" w:rsidP="00F01513">
      <w:r>
        <w:rPr>
          <w:noProof/>
          <w:lang w:eastAsia="en-AU"/>
        </w:rPr>
        <w:drawing>
          <wp:inline distT="0" distB="0" distL="0" distR="0" wp14:anchorId="254AA29C" wp14:editId="3B4D0B25">
            <wp:extent cx="4135095" cy="3181350"/>
            <wp:effectExtent l="0" t="0" r="0" b="0"/>
            <wp:docPr id="24" name="Picture 24" descr="Figure 8.Schematic Overview of the ZLB04_009CR study and the embedded PK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8122" cy="3183679"/>
                    </a:xfrm>
                    <a:prstGeom prst="rect">
                      <a:avLst/>
                    </a:prstGeom>
                  </pic:spPr>
                </pic:pic>
              </a:graphicData>
            </a:graphic>
          </wp:inline>
        </w:drawing>
      </w:r>
    </w:p>
    <w:p w:rsidR="005F74D8" w:rsidRPr="00E005C8" w:rsidRDefault="005F74D8" w:rsidP="00C55C7A">
      <w:pPr>
        <w:pStyle w:val="Heading5"/>
      </w:pPr>
      <w:r w:rsidRPr="00E005C8">
        <w:t>Major protocol violations/deviations</w:t>
      </w:r>
    </w:p>
    <w:p w:rsidR="005F74D8" w:rsidRDefault="005F74D8" w:rsidP="005F74D8">
      <w:pPr>
        <w:autoSpaceDE w:val="0"/>
        <w:autoSpaceDN w:val="0"/>
        <w:adjustRightInd w:val="0"/>
        <w:rPr>
          <w:rFonts w:eastAsia="TimesNewRoman" w:cs="TimesNewRoman"/>
          <w:color w:val="000000" w:themeColor="text1"/>
        </w:rPr>
      </w:pPr>
      <w:r w:rsidRPr="0047384F">
        <w:rPr>
          <w:rFonts w:eastAsia="TimesNewRoman" w:cs="TimesNewRoman"/>
          <w:color w:val="000000" w:themeColor="text1"/>
        </w:rPr>
        <w:t>Patie</w:t>
      </w:r>
      <w:r>
        <w:rPr>
          <w:rFonts w:eastAsia="TimesNewRoman" w:cs="TimesNewRoman"/>
          <w:color w:val="000000" w:themeColor="text1"/>
        </w:rPr>
        <w:t xml:space="preserve">nt disposition </w:t>
      </w:r>
      <w:r w:rsidRPr="0047384F">
        <w:rPr>
          <w:rFonts w:eastAsia="TimesNewRoman" w:cs="TimesNewRoman"/>
          <w:color w:val="000000" w:themeColor="text1"/>
        </w:rPr>
        <w:t>summarised in</w:t>
      </w:r>
      <w:r w:rsidRPr="0047384F">
        <w:rPr>
          <w:rFonts w:eastAsia="TimesNewRoman" w:cs="TimesNewRoman"/>
          <w:b/>
          <w:color w:val="000000" w:themeColor="text1"/>
        </w:rPr>
        <w:t xml:space="preserve"> Figure 9</w:t>
      </w:r>
      <w:r w:rsidRPr="0047384F">
        <w:rPr>
          <w:rFonts w:eastAsia="TimesNewRoman" w:cs="TimesNewRoman"/>
          <w:color w:val="000000" w:themeColor="text1"/>
        </w:rPr>
        <w:t xml:space="preserve">. 22.4% in the ITT </w:t>
      </w:r>
      <w:r w:rsidR="005B5A04">
        <w:rPr>
          <w:rFonts w:eastAsia="TimesNewRoman" w:cs="TimesNewRoman"/>
          <w:color w:val="000000" w:themeColor="text1"/>
        </w:rPr>
        <w:t>population</w:t>
      </w:r>
      <w:r w:rsidRPr="0047384F">
        <w:rPr>
          <w:rFonts w:eastAsia="TimesNewRoman" w:cs="TimesNewRoman"/>
          <w:color w:val="000000" w:themeColor="text1"/>
        </w:rPr>
        <w:t xml:space="preserve"> excluded from the MITT </w:t>
      </w:r>
      <w:r w:rsidR="005B5A04">
        <w:rPr>
          <w:rFonts w:eastAsia="TimesNewRoman" w:cs="TimesNewRoman"/>
          <w:color w:val="000000" w:themeColor="text1"/>
        </w:rPr>
        <w:t>population</w:t>
      </w:r>
      <w:r w:rsidRPr="0047384F">
        <w:rPr>
          <w:rFonts w:eastAsia="TimesNewRoman" w:cs="TimesNewRoman"/>
          <w:color w:val="000000" w:themeColor="text1"/>
        </w:rPr>
        <w:t xml:space="preserve"> because they were not treated during the efficacy period. </w:t>
      </w:r>
      <w:r w:rsidRPr="0047384F">
        <w:rPr>
          <w:rFonts w:eastAsia="TimesNewRoman" w:cs="TimesNewRoman"/>
          <w:b/>
          <w:color w:val="000000" w:themeColor="text1"/>
        </w:rPr>
        <w:t xml:space="preserve">34.2% </w:t>
      </w:r>
      <w:r w:rsidRPr="0047384F">
        <w:rPr>
          <w:rFonts w:eastAsia="TimesNewRoman" w:cs="TimesNewRoman"/>
          <w:color w:val="000000" w:themeColor="text1"/>
        </w:rPr>
        <w:t xml:space="preserve">in the MITT </w:t>
      </w:r>
      <w:r w:rsidR="005B5A04">
        <w:rPr>
          <w:rFonts w:eastAsia="TimesNewRoman" w:cs="TimesNewRoman"/>
          <w:color w:val="000000" w:themeColor="text1"/>
        </w:rPr>
        <w:t>population</w:t>
      </w:r>
      <w:r w:rsidRPr="0047384F">
        <w:rPr>
          <w:rFonts w:eastAsia="TimesNewRoman" w:cs="TimesNewRoman"/>
          <w:color w:val="000000" w:themeColor="text1"/>
        </w:rPr>
        <w:t xml:space="preserve"> had major protocol deviations and </w:t>
      </w:r>
      <w:r>
        <w:rPr>
          <w:rFonts w:eastAsia="TimesNewRoman" w:cs="TimesNewRoman"/>
          <w:color w:val="000000" w:themeColor="text1"/>
        </w:rPr>
        <w:t>were excluded from the PPE. D</w:t>
      </w:r>
      <w:r w:rsidRPr="0047384F">
        <w:rPr>
          <w:rFonts w:eastAsia="TimesNewRoman" w:cs="TimesNewRoman"/>
          <w:color w:val="000000" w:themeColor="text1"/>
        </w:rPr>
        <w:t>ev</w:t>
      </w:r>
      <w:r>
        <w:rPr>
          <w:rFonts w:eastAsia="TimesNewRoman" w:cs="TimesNewRoman"/>
          <w:color w:val="000000" w:themeColor="text1"/>
        </w:rPr>
        <w:t xml:space="preserve">iations: </w:t>
      </w:r>
      <w:r w:rsidRPr="0047384F">
        <w:rPr>
          <w:rFonts w:eastAsia="TimesNewRoman" w:cs="TimesNewRoman"/>
          <w:color w:val="000000" w:themeColor="text1"/>
        </w:rPr>
        <w:t>“deviation of &gt;10% overall from the planned</w:t>
      </w:r>
      <w:r w:rsidR="0070299A">
        <w:rPr>
          <w:rFonts w:eastAsia="TimesNewRoman" w:cs="TimesNewRoman"/>
          <w:color w:val="000000" w:themeColor="text1"/>
        </w:rPr>
        <w:t xml:space="preserve"> Number </w:t>
      </w:r>
      <w:r w:rsidRPr="0047384F">
        <w:rPr>
          <w:rFonts w:eastAsia="TimesNewRoman" w:cs="TimesNewRoman"/>
          <w:color w:val="000000" w:themeColor="text1"/>
        </w:rPr>
        <w:t>of infusions during efficacy period” (</w:t>
      </w:r>
      <w:r>
        <w:rPr>
          <w:rFonts w:eastAsia="TimesNewRoman" w:cs="TimesNewRoman"/>
          <w:color w:val="000000" w:themeColor="text1"/>
        </w:rPr>
        <w:t>n=9</w:t>
      </w:r>
      <w:r w:rsidRPr="0047384F">
        <w:rPr>
          <w:rFonts w:eastAsia="TimesNewRoman" w:cs="TimesNewRoman"/>
          <w:color w:val="000000" w:themeColor="text1"/>
        </w:rPr>
        <w:t>), “deviation of &gt;10% overall from planned adjusted dose during efficacy period” (</w:t>
      </w:r>
      <w:r>
        <w:rPr>
          <w:rFonts w:eastAsia="TimesNewRoman" w:cs="TimesNewRoman"/>
          <w:color w:val="000000" w:themeColor="text1"/>
        </w:rPr>
        <w:t>n=2</w:t>
      </w:r>
      <w:r w:rsidRPr="0047384F">
        <w:rPr>
          <w:rFonts w:eastAsia="TimesNewRoman" w:cs="TimesNewRoman"/>
          <w:color w:val="000000" w:themeColor="text1"/>
        </w:rPr>
        <w:t xml:space="preserve">), and “subject did not obtain IgPro20 infusions on 3 consecutive </w:t>
      </w:r>
      <w:r w:rsidR="0070299A">
        <w:rPr>
          <w:rFonts w:eastAsia="TimesNewRoman" w:cs="TimesNewRoman"/>
          <w:color w:val="000000" w:themeColor="text1"/>
        </w:rPr>
        <w:t>Week</w:t>
      </w:r>
      <w:r w:rsidRPr="0047384F">
        <w:rPr>
          <w:rFonts w:eastAsia="TimesNewRoman" w:cs="TimesNewRoman"/>
          <w:color w:val="000000" w:themeColor="text1"/>
        </w:rPr>
        <w:t>s during efficacy period” (</w:t>
      </w:r>
      <w:r>
        <w:rPr>
          <w:rFonts w:eastAsia="TimesNewRoman" w:cs="TimesNewRoman"/>
          <w:color w:val="000000" w:themeColor="text1"/>
        </w:rPr>
        <w:t>n=2</w:t>
      </w:r>
      <w:r w:rsidRPr="0047384F">
        <w:rPr>
          <w:rFonts w:eastAsia="TimesNewRoman" w:cs="TimesNewRoman"/>
          <w:color w:val="000000" w:themeColor="text1"/>
        </w:rPr>
        <w:t>).</w:t>
      </w:r>
      <w:r w:rsidRPr="0047384F">
        <w:rPr>
          <w:color w:val="000000" w:themeColor="text1"/>
        </w:rPr>
        <w:t xml:space="preserve"> </w:t>
      </w:r>
      <w:r w:rsidRPr="0047384F">
        <w:rPr>
          <w:rFonts w:eastAsia="TimesNewRoman" w:cs="TimesNewRoman"/>
          <w:b/>
          <w:color w:val="000000" w:themeColor="text1"/>
        </w:rPr>
        <w:t>26.3%</w:t>
      </w:r>
      <w:r>
        <w:rPr>
          <w:rFonts w:eastAsia="TimesNewRoman" w:cs="TimesNewRoman"/>
          <w:b/>
          <w:color w:val="000000" w:themeColor="text1"/>
        </w:rPr>
        <w:t xml:space="preserve"> </w:t>
      </w:r>
      <w:r w:rsidRPr="0047384F">
        <w:rPr>
          <w:rFonts w:eastAsia="TimesNewRoman" w:cs="TimesNewRoman"/>
          <w:color w:val="000000" w:themeColor="text1"/>
        </w:rPr>
        <w:t>excluded from the PPE population because of non-completion</w:t>
      </w:r>
      <w:r w:rsidR="0061405B">
        <w:rPr>
          <w:rFonts w:eastAsia="TimesNewRoman" w:cs="TimesNewRoman"/>
          <w:color w:val="000000" w:themeColor="text1"/>
        </w:rPr>
        <w:t xml:space="preserve"> of the 12-mth efficacy period.</w:t>
      </w:r>
    </w:p>
    <w:p w:rsidR="005F74D8" w:rsidRPr="007E7F95" w:rsidRDefault="005F74D8" w:rsidP="00C55C7A">
      <w:pPr>
        <w:pStyle w:val="FigureTitle"/>
        <w:rPr>
          <w:rFonts w:eastAsia="TimesNewRoman" w:cs="TimesNewRoman"/>
        </w:rPr>
      </w:pPr>
      <w:r w:rsidRPr="007E7F95">
        <w:rPr>
          <w:rFonts w:eastAsia="TimesNewRoman" w:cs="TimesNewRoman"/>
        </w:rPr>
        <w:t xml:space="preserve">Figure 9: </w:t>
      </w:r>
      <w:r w:rsidRPr="007E7F95">
        <w:t>Disposition of patients in th</w:t>
      </w:r>
      <w:r w:rsidR="0061405B">
        <w:t>e USA Pivotal study ZLB04_009CR</w:t>
      </w:r>
    </w:p>
    <w:p w:rsidR="005F74D8" w:rsidRPr="00E005C8" w:rsidRDefault="00F01513" w:rsidP="005F74D8">
      <w:pPr>
        <w:autoSpaceDE w:val="0"/>
        <w:autoSpaceDN w:val="0"/>
        <w:adjustRightInd w:val="0"/>
        <w:rPr>
          <w:rFonts w:eastAsia="TimesNewRoman" w:cs="TimesNewRoman"/>
          <w:color w:val="000000" w:themeColor="text1"/>
          <w:sz w:val="23"/>
          <w:szCs w:val="23"/>
        </w:rPr>
      </w:pPr>
      <w:r>
        <w:rPr>
          <w:rFonts w:eastAsia="TimesNewRoman" w:cs="TimesNewRoman"/>
          <w:noProof/>
          <w:color w:val="000000" w:themeColor="text1"/>
          <w:sz w:val="23"/>
          <w:szCs w:val="23"/>
          <w:lang w:eastAsia="en-AU"/>
        </w:rPr>
        <w:drawing>
          <wp:inline distT="0" distB="0" distL="0" distR="0" wp14:anchorId="15B1676E" wp14:editId="51D9AA65">
            <wp:extent cx="3267075" cy="2924175"/>
            <wp:effectExtent l="0" t="0" r="0" b="0"/>
            <wp:docPr id="25" name="Picture 25" descr="Figure 9: Disposition of patients in the USA Pivotal study ZLB04_00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rotWithShape="1">
                    <a:blip r:embed="rId38" cstate="print">
                      <a:extLst>
                        <a:ext uri="{28A0092B-C50C-407E-A947-70E740481C1C}">
                          <a14:useLocalDpi xmlns:a14="http://schemas.microsoft.com/office/drawing/2010/main" val="0"/>
                        </a:ext>
                      </a:extLst>
                    </a:blip>
                    <a:srcRect b="5112"/>
                    <a:stretch/>
                  </pic:blipFill>
                  <pic:spPr bwMode="auto">
                    <a:xfrm>
                      <a:off x="0" y="0"/>
                      <a:ext cx="3274390" cy="2930722"/>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223A0C">
      <w:pPr>
        <w:pStyle w:val="Heading5"/>
      </w:pPr>
      <w:r w:rsidRPr="00E005C8">
        <w:lastRenderedPageBreak/>
        <w:t>Baseline data</w:t>
      </w:r>
    </w:p>
    <w:p w:rsidR="005F74D8" w:rsidRDefault="005F74D8" w:rsidP="00223A0C">
      <w:r w:rsidRPr="00E005C8">
        <w:t xml:space="preserve">See </w:t>
      </w:r>
      <w:r w:rsidRPr="00E005C8">
        <w:rPr>
          <w:b/>
        </w:rPr>
        <w:t>Table 11</w:t>
      </w:r>
      <w:r>
        <w:t xml:space="preserve">. In the ITT </w:t>
      </w:r>
      <w:r w:rsidR="005B5A04">
        <w:t>population</w:t>
      </w:r>
      <w:r w:rsidRPr="00E005C8">
        <w:t xml:space="preserve">, 28 </w:t>
      </w:r>
      <w:r>
        <w:t xml:space="preserve">were blood gpO (26 </w:t>
      </w:r>
      <w:r w:rsidRPr="00E005C8">
        <w:t xml:space="preserve">Rh+), 14 </w:t>
      </w:r>
      <w:r>
        <w:t>blood gp</w:t>
      </w:r>
      <w:r w:rsidRPr="00E005C8">
        <w:t>A (10 Rh+), 4 subjects blood g</w:t>
      </w:r>
      <w:r>
        <w:t>p</w:t>
      </w:r>
      <w:r w:rsidRPr="00E005C8">
        <w:t>B (all Rh+)</w:t>
      </w:r>
      <w:r>
        <w:t>. B</w:t>
      </w:r>
      <w:r w:rsidRPr="00E005C8">
        <w:t>lood g</w:t>
      </w:r>
      <w:r>
        <w:t>p not determined for 3</w:t>
      </w:r>
      <w:r w:rsidRPr="00E005C8">
        <w:t>.</w:t>
      </w:r>
      <w:r w:rsidR="000D6A22">
        <w:t xml:space="preserve"> </w:t>
      </w:r>
      <w:r w:rsidRPr="00E005C8">
        <w:t>CVID was the PID</w:t>
      </w:r>
      <w:r>
        <w:t xml:space="preserve"> in 36/</w:t>
      </w:r>
      <w:r w:rsidRPr="00E005C8">
        <w:t>38</w:t>
      </w:r>
      <w:r>
        <w:t xml:space="preserve">. All </w:t>
      </w:r>
      <w:r w:rsidRPr="00E005C8">
        <w:t xml:space="preserve">HIV-1&amp;-2, HBV &amp; </w:t>
      </w:r>
      <w:r>
        <w:t>HCV neg</w:t>
      </w:r>
      <w:r w:rsidRPr="00E005C8">
        <w:t>. Al</w:t>
      </w:r>
      <w:r>
        <w:t xml:space="preserve">l subjects in </w:t>
      </w:r>
      <w:r w:rsidRPr="00E005C8">
        <w:t xml:space="preserve">MITT </w:t>
      </w:r>
      <w:r w:rsidR="005B5A04">
        <w:t>population</w:t>
      </w:r>
      <w:r>
        <w:t xml:space="preserve"> </w:t>
      </w:r>
      <w:r w:rsidRPr="00E005C8">
        <w:t xml:space="preserve">treated with IVIG </w:t>
      </w:r>
      <w:r>
        <w:t>during the last 3 m</w:t>
      </w:r>
      <w:r w:rsidR="00223A0C">
        <w:t>on</w:t>
      </w:r>
      <w:r>
        <w:t>ths before enrolling</w:t>
      </w:r>
      <w:r w:rsidRPr="00E005C8">
        <w:t xml:space="preserve"> </w:t>
      </w:r>
      <w:r>
        <w:t xml:space="preserve">with the majority (28 </w:t>
      </w:r>
      <w:r w:rsidRPr="00E005C8">
        <w:t xml:space="preserve">[73.7%]) treated with Privigen. During this time period, the mean of the </w:t>
      </w:r>
      <w:r w:rsidR="0070299A">
        <w:t>Week</w:t>
      </w:r>
      <w:r w:rsidRPr="00E005C8">
        <w:t xml:space="preserve">ly </w:t>
      </w:r>
      <w:r>
        <w:t xml:space="preserve">equivalent median doses (with </w:t>
      </w:r>
      <w:r w:rsidRPr="00E005C8">
        <w:t>3- or 4-</w:t>
      </w:r>
      <w:r w:rsidR="0070299A">
        <w:t>Week</w:t>
      </w:r>
      <w:r>
        <w:t xml:space="preserve"> dosing</w:t>
      </w:r>
      <w:r w:rsidR="0061405B">
        <w:t>) of IVIG was 144.4 mg/kg bw.</w:t>
      </w:r>
    </w:p>
    <w:p w:rsidR="005F74D8" w:rsidRPr="007E7F95" w:rsidRDefault="005F74D8" w:rsidP="00223A0C">
      <w:pPr>
        <w:pStyle w:val="TableTitle"/>
      </w:pPr>
      <w:r w:rsidRPr="007E7F95">
        <w:t>Table 11: baseline demographics in ZLB04_009CR</w:t>
      </w:r>
    </w:p>
    <w:p w:rsidR="005F74D8" w:rsidRDefault="00F01513" w:rsidP="005F74D8">
      <w:pPr>
        <w:autoSpaceDE w:val="0"/>
        <w:autoSpaceDN w:val="0"/>
        <w:adjustRightInd w:val="0"/>
        <w:rPr>
          <w:b/>
          <w:color w:val="000000" w:themeColor="text1"/>
        </w:rPr>
      </w:pPr>
      <w:r>
        <w:rPr>
          <w:b/>
          <w:noProof/>
          <w:color w:val="000000" w:themeColor="text1"/>
          <w:lang w:eastAsia="en-AU"/>
        </w:rPr>
        <w:drawing>
          <wp:inline distT="0" distB="0" distL="0" distR="0" wp14:anchorId="266AD0D1" wp14:editId="6AD99985">
            <wp:extent cx="3438525" cy="3543300"/>
            <wp:effectExtent l="0" t="0" r="0" b="0"/>
            <wp:docPr id="26" name="Picture 26" descr="Table 11: baseline demographics in ZLB04_00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1.jpg"/>
                    <pic:cNvPicPr/>
                  </pic:nvPicPr>
                  <pic:blipFill rotWithShape="1">
                    <a:blip r:embed="rId39" cstate="print">
                      <a:extLst>
                        <a:ext uri="{28A0092B-C50C-407E-A947-70E740481C1C}">
                          <a14:useLocalDpi xmlns:a14="http://schemas.microsoft.com/office/drawing/2010/main" val="0"/>
                        </a:ext>
                      </a:extLst>
                    </a:blip>
                    <a:srcRect b="3003"/>
                    <a:stretch/>
                  </pic:blipFill>
                  <pic:spPr bwMode="auto">
                    <a:xfrm>
                      <a:off x="0" y="0"/>
                      <a:ext cx="3446091" cy="3551097"/>
                    </a:xfrm>
                    <a:prstGeom prst="rect">
                      <a:avLst/>
                    </a:prstGeom>
                    <a:ln>
                      <a:noFill/>
                    </a:ln>
                    <a:extLst>
                      <a:ext uri="{53640926-AAD7-44D8-BBD7-CCE9431645EC}">
                        <a14:shadowObscured xmlns:a14="http://schemas.microsoft.com/office/drawing/2010/main"/>
                      </a:ext>
                    </a:extLst>
                  </pic:spPr>
                </pic:pic>
              </a:graphicData>
            </a:graphic>
          </wp:inline>
        </w:drawing>
      </w:r>
    </w:p>
    <w:p w:rsidR="005F74D8" w:rsidRDefault="005F74D8" w:rsidP="005F74D8">
      <w:pPr>
        <w:autoSpaceDE w:val="0"/>
        <w:autoSpaceDN w:val="0"/>
        <w:adjustRightInd w:val="0"/>
        <w:rPr>
          <w:color w:val="000000" w:themeColor="text1"/>
        </w:rPr>
      </w:pPr>
      <w:r>
        <w:rPr>
          <w:color w:val="000000" w:themeColor="text1"/>
        </w:rPr>
        <w:t>M</w:t>
      </w:r>
      <w:r w:rsidRPr="00E005C8">
        <w:rPr>
          <w:color w:val="000000" w:themeColor="text1"/>
        </w:rPr>
        <w:t>ean of the individual median serum IgG C</w:t>
      </w:r>
      <w:r w:rsidRPr="00E005C8">
        <w:rPr>
          <w:color w:val="000000" w:themeColor="text1"/>
          <w:vertAlign w:val="subscript"/>
        </w:rPr>
        <w:t xml:space="preserve">trough </w:t>
      </w:r>
      <w:r w:rsidRPr="00E005C8">
        <w:rPr>
          <w:color w:val="000000" w:themeColor="text1"/>
        </w:rPr>
        <w:t>values during the last 3 m</w:t>
      </w:r>
      <w:r w:rsidR="00223A0C">
        <w:rPr>
          <w:color w:val="000000" w:themeColor="text1"/>
        </w:rPr>
        <w:t>on</w:t>
      </w:r>
      <w:r w:rsidRPr="00E005C8">
        <w:rPr>
          <w:color w:val="000000" w:themeColor="text1"/>
        </w:rPr>
        <w:t xml:space="preserve">ths of </w:t>
      </w:r>
      <w:r>
        <w:rPr>
          <w:color w:val="000000" w:themeColor="text1"/>
        </w:rPr>
        <w:t>IVIG treatment</w:t>
      </w:r>
      <w:r w:rsidRPr="00E005C8">
        <w:rPr>
          <w:color w:val="000000" w:themeColor="text1"/>
        </w:rPr>
        <w:t xml:space="preserve">, before participating in the current study, was 10.09g/L in the MITT </w:t>
      </w:r>
      <w:r w:rsidR="005B5A04">
        <w:rPr>
          <w:color w:val="000000" w:themeColor="text1"/>
        </w:rPr>
        <w:t>population</w:t>
      </w:r>
      <w:r w:rsidRPr="00E005C8">
        <w:rPr>
          <w:color w:val="000000" w:themeColor="text1"/>
        </w:rPr>
        <w:t>. The mean serum IgG C</w:t>
      </w:r>
      <w:r w:rsidRPr="00E005C8">
        <w:rPr>
          <w:color w:val="000000" w:themeColor="text1"/>
          <w:vertAlign w:val="subscript"/>
        </w:rPr>
        <w:t>trough</w:t>
      </w:r>
      <w:r w:rsidRPr="00E005C8">
        <w:rPr>
          <w:color w:val="000000" w:themeColor="text1"/>
        </w:rPr>
        <w:t xml:space="preserve"> with IVIG treatment immediately before start of IgPro20 in the current study was 16.1 g/L in subjects with a 3-</w:t>
      </w:r>
      <w:r w:rsidR="0070299A">
        <w:rPr>
          <w:color w:val="000000" w:themeColor="text1"/>
        </w:rPr>
        <w:t>Week</w:t>
      </w:r>
      <w:r w:rsidRPr="00E005C8">
        <w:rPr>
          <w:color w:val="000000" w:themeColor="text1"/>
        </w:rPr>
        <w:t>ly dosing schedule and 13.6 g/L in subjects with a 4-</w:t>
      </w:r>
      <w:r w:rsidR="0070299A">
        <w:rPr>
          <w:color w:val="000000" w:themeColor="text1"/>
        </w:rPr>
        <w:t>Week</w:t>
      </w:r>
      <w:r w:rsidRPr="00E005C8">
        <w:rPr>
          <w:color w:val="000000" w:themeColor="text1"/>
        </w:rPr>
        <w:t>ly dosing schedule. Note high values as measured close to a recent dose of IVIG dose.</w:t>
      </w:r>
      <w:r w:rsidR="000D6A22">
        <w:rPr>
          <w:color w:val="000000" w:themeColor="text1"/>
        </w:rPr>
        <w:t xml:space="preserve"> </w:t>
      </w:r>
      <w:r w:rsidRPr="00E005C8">
        <w:rPr>
          <w:b/>
          <w:color w:val="000000" w:themeColor="text1"/>
        </w:rPr>
        <w:t xml:space="preserve">Study drug exposure: </w:t>
      </w:r>
      <w:r w:rsidRPr="00E005C8">
        <w:rPr>
          <w:color w:val="000000" w:themeColor="text1"/>
        </w:rPr>
        <w:t xml:space="preserve">2264 </w:t>
      </w:r>
      <w:r w:rsidR="0070299A">
        <w:rPr>
          <w:color w:val="000000" w:themeColor="text1"/>
        </w:rPr>
        <w:t>Week</w:t>
      </w:r>
      <w:r w:rsidRPr="00E005C8">
        <w:rPr>
          <w:color w:val="000000" w:themeColor="text1"/>
        </w:rPr>
        <w:t xml:space="preserve">ly infusions of IgPro20 administered to 49 subjects; 77.6% received the maximum of 12 infusions during the </w:t>
      </w:r>
      <w:r>
        <w:rPr>
          <w:color w:val="000000" w:themeColor="text1"/>
        </w:rPr>
        <w:t>WI/WO</w:t>
      </w:r>
      <w:r w:rsidRPr="00E005C8">
        <w:rPr>
          <w:color w:val="000000" w:themeColor="text1"/>
        </w:rPr>
        <w:t xml:space="preserve"> period, 46.9% received the maximum of 54 infusions during the efficacy period. The median treatment interval was 7 days</w:t>
      </w:r>
      <w:r>
        <w:rPr>
          <w:color w:val="000000" w:themeColor="text1"/>
        </w:rPr>
        <w:t xml:space="preserve"> </w:t>
      </w:r>
      <w:r w:rsidRPr="00E005C8">
        <w:rPr>
          <w:color w:val="000000" w:themeColor="text1"/>
        </w:rPr>
        <w:t xml:space="preserve">throughout the study. The mean of individual </w:t>
      </w:r>
      <w:r w:rsidR="0070299A">
        <w:rPr>
          <w:color w:val="000000" w:themeColor="text1"/>
        </w:rPr>
        <w:t>Week</w:t>
      </w:r>
      <w:r w:rsidRPr="00E005C8">
        <w:rPr>
          <w:color w:val="000000" w:themeColor="text1"/>
        </w:rPr>
        <w:t xml:space="preserve">ly doses was 181.5 mg/kg bw during the </w:t>
      </w:r>
      <w:r>
        <w:rPr>
          <w:color w:val="000000" w:themeColor="text1"/>
        </w:rPr>
        <w:t>WI/WO</w:t>
      </w:r>
      <w:r w:rsidRPr="00E005C8">
        <w:rPr>
          <w:color w:val="000000" w:themeColor="text1"/>
        </w:rPr>
        <w:t xml:space="preserve"> period (range of median doses: 66 to 331 mg/kg bw) and 213.2 mg/kg bw during the efficacy period (range of median doses: 72 to 379 mg/kg bw). In the MITT population, a mean of 1.27x the previous IVIG dose</w:t>
      </w:r>
      <w:r w:rsidRPr="00E005C8">
        <w:rPr>
          <w:b/>
          <w:color w:val="000000" w:themeColor="text1"/>
        </w:rPr>
        <w:t xml:space="preserve"> </w:t>
      </w:r>
      <w:r w:rsidRPr="00E005C8">
        <w:rPr>
          <w:color w:val="000000" w:themeColor="text1"/>
        </w:rPr>
        <w:t xml:space="preserve">was administered during the </w:t>
      </w:r>
      <w:r>
        <w:rPr>
          <w:color w:val="000000" w:themeColor="text1"/>
        </w:rPr>
        <w:t>WI/WO</w:t>
      </w:r>
      <w:r w:rsidRPr="00E005C8">
        <w:rPr>
          <w:color w:val="000000" w:themeColor="text1"/>
        </w:rPr>
        <w:t xml:space="preserve"> period </w:t>
      </w:r>
      <w:r w:rsidR="00C2531A">
        <w:rPr>
          <w:color w:val="000000" w:themeColor="text1"/>
        </w:rPr>
        <w:t>that is,</w:t>
      </w:r>
      <w:r w:rsidRPr="00E005C8">
        <w:rPr>
          <w:color w:val="000000" w:themeColor="text1"/>
        </w:rPr>
        <w:t xml:space="preserve"> close to the intended dose of</w:t>
      </w:r>
      <w:r w:rsidRPr="00E005C8">
        <w:rPr>
          <w:b/>
          <w:color w:val="000000" w:themeColor="text1"/>
        </w:rPr>
        <w:t xml:space="preserve"> </w:t>
      </w:r>
      <w:r w:rsidRPr="00E005C8">
        <w:rPr>
          <w:color w:val="000000" w:themeColor="text1"/>
        </w:rPr>
        <w:t>1.30x previous IVIG dose. On average a median dose of 1.49 times the previous IVIG</w:t>
      </w:r>
      <w:r w:rsidRPr="00E005C8">
        <w:rPr>
          <w:b/>
          <w:color w:val="000000" w:themeColor="text1"/>
        </w:rPr>
        <w:t xml:space="preserve"> </w:t>
      </w:r>
      <w:r w:rsidRPr="00E005C8">
        <w:rPr>
          <w:color w:val="000000" w:themeColor="text1"/>
        </w:rPr>
        <w:t>dose was administered during the efficacy period, which was close to the intended adjusted</w:t>
      </w:r>
      <w:r w:rsidRPr="00E005C8">
        <w:rPr>
          <w:b/>
          <w:color w:val="000000" w:themeColor="text1"/>
        </w:rPr>
        <w:t xml:space="preserve"> </w:t>
      </w:r>
      <w:r w:rsidRPr="00E005C8">
        <w:rPr>
          <w:color w:val="000000" w:themeColor="text1"/>
        </w:rPr>
        <w:t xml:space="preserve">IgPro20 dose of 1.53 times the previous IVIG dose, considering that </w:t>
      </w:r>
      <w:r w:rsidR="003944A8">
        <w:rPr>
          <w:color w:val="000000" w:themeColor="text1"/>
        </w:rPr>
        <w:t>approximately</w:t>
      </w:r>
      <w:r w:rsidRPr="00E005C8">
        <w:rPr>
          <w:color w:val="000000" w:themeColor="text1"/>
        </w:rPr>
        <w:t>25% of</w:t>
      </w:r>
      <w:r w:rsidRPr="00E005C8">
        <w:rPr>
          <w:b/>
          <w:color w:val="000000" w:themeColor="text1"/>
        </w:rPr>
        <w:t xml:space="preserve"> </w:t>
      </w:r>
      <w:r w:rsidRPr="00E005C8">
        <w:rPr>
          <w:color w:val="000000" w:themeColor="text1"/>
        </w:rPr>
        <w:t xml:space="preserve">subjects had dose adjustment only at </w:t>
      </w:r>
      <w:r w:rsidR="0070299A">
        <w:rPr>
          <w:color w:val="000000" w:themeColor="text1"/>
        </w:rPr>
        <w:t>Week</w:t>
      </w:r>
      <w:r w:rsidR="0061405B">
        <w:rPr>
          <w:color w:val="000000" w:themeColor="text1"/>
        </w:rPr>
        <w:t xml:space="preserve"> 24 or later.</w:t>
      </w:r>
    </w:p>
    <w:p w:rsidR="005F74D8" w:rsidRPr="00E005C8" w:rsidRDefault="005F74D8" w:rsidP="00223A0C">
      <w:pPr>
        <w:pStyle w:val="Heading5"/>
      </w:pPr>
      <w:r w:rsidRPr="00E005C8">
        <w:t>Results for the primary efficacy outcome</w:t>
      </w:r>
    </w:p>
    <w:p w:rsidR="005F74D8" w:rsidRDefault="005F74D8" w:rsidP="005F74D8">
      <w:pPr>
        <w:autoSpaceDE w:val="0"/>
        <w:autoSpaceDN w:val="0"/>
        <w:adjustRightInd w:val="0"/>
        <w:rPr>
          <w:rFonts w:eastAsia="TimesNewRoman" w:cs="TimesNewRoman"/>
          <w:color w:val="000000" w:themeColor="text1"/>
        </w:rPr>
      </w:pPr>
      <w:r w:rsidRPr="003640D8">
        <w:rPr>
          <w:rFonts w:eastAsia="TimesNewRoman" w:cs="TimesNewRoman"/>
          <w:color w:val="000000" w:themeColor="text1"/>
        </w:rPr>
        <w:t xml:space="preserve">No subjects experienced an SBI in the MITT population. Therefore, the annual rate of SBIs per subject was zero (upper 99% confidence limit: 0.132) and the primary objective of the study was achieved because this rate was &lt;1. All AEs with the potential to be an SBI were adjudicated on by the review committee, consisting of the Project Manager, the Medical Monitor and the </w:t>
      </w:r>
      <w:r w:rsidRPr="003640D8">
        <w:rPr>
          <w:rFonts w:eastAsia="TimesNewRoman" w:cs="TimesNewRoman"/>
          <w:color w:val="000000" w:themeColor="text1"/>
        </w:rPr>
        <w:lastRenderedPageBreak/>
        <w:t xml:space="preserve">Principal Investigator, this includes 5 AEs in 3 subjects which were suspected to be SBIs: 1) In </w:t>
      </w:r>
      <w:r w:rsidR="00223A0C">
        <w:rPr>
          <w:rFonts w:eastAsia="TimesNewRoman" w:cs="TimesNewRoman"/>
          <w:color w:val="000000" w:themeColor="text1"/>
        </w:rPr>
        <w:t>[information redacted]</w:t>
      </w:r>
      <w:r w:rsidRPr="003640D8">
        <w:rPr>
          <w:rFonts w:eastAsia="TimesNewRoman" w:cs="TimesNewRoman"/>
          <w:color w:val="000000" w:themeColor="text1"/>
        </w:rPr>
        <w:t xml:space="preserve">, </w:t>
      </w:r>
      <w:r w:rsidRPr="003640D8">
        <w:rPr>
          <w:rFonts w:eastAsia="TimesNewRoman" w:cs="TimesNewRoman"/>
          <w:b/>
          <w:color w:val="000000" w:themeColor="text1"/>
        </w:rPr>
        <w:t>pneumonia</w:t>
      </w:r>
      <w:r w:rsidRPr="003640D8">
        <w:rPr>
          <w:rFonts w:eastAsia="TimesNewRoman" w:cs="TimesNewRoman"/>
          <w:color w:val="000000" w:themeColor="text1"/>
        </w:rPr>
        <w:t xml:space="preserve"> was </w:t>
      </w:r>
      <w:r w:rsidRPr="003640D8">
        <w:rPr>
          <w:rFonts w:eastAsia="TimesNewRoman" w:cs="TimesNewRoman"/>
          <w:b/>
          <w:color w:val="000000" w:themeColor="text1"/>
        </w:rPr>
        <w:t>suspected twice</w:t>
      </w:r>
      <w:r w:rsidR="00223A0C">
        <w:rPr>
          <w:rFonts w:eastAsia="TimesNewRoman" w:cs="TimesNewRoman"/>
          <w:color w:val="000000" w:themeColor="text1"/>
        </w:rPr>
        <w:t xml:space="preserve"> during hospitalis</w:t>
      </w:r>
      <w:r w:rsidRPr="003640D8">
        <w:rPr>
          <w:rFonts w:eastAsia="TimesNewRoman" w:cs="TimesNewRoman"/>
          <w:color w:val="000000" w:themeColor="text1"/>
        </w:rPr>
        <w:t xml:space="preserve">ation for cellulitis and urinary tract infection and an AE of </w:t>
      </w:r>
      <w:r w:rsidRPr="003640D8">
        <w:rPr>
          <w:rFonts w:eastAsia="TimesNewRoman" w:cs="TimesNewRoman"/>
          <w:b/>
          <w:color w:val="000000" w:themeColor="text1"/>
        </w:rPr>
        <w:t>bacteraemia</w:t>
      </w:r>
      <w:r w:rsidR="00223A0C">
        <w:rPr>
          <w:rFonts w:eastAsia="TimesNewRoman" w:cs="TimesNewRoman"/>
          <w:color w:val="000000" w:themeColor="text1"/>
        </w:rPr>
        <w:t xml:space="preserve"> during hospitalis</w:t>
      </w:r>
      <w:r w:rsidRPr="003640D8">
        <w:rPr>
          <w:rFonts w:eastAsia="TimesNewRoman" w:cs="TimesNewRoman"/>
          <w:color w:val="000000" w:themeColor="text1"/>
        </w:rPr>
        <w:t>ation for cellulitis was evaluated for consistency with the SBI criteria but was rejected, the patient was extensively investigated and even underwent bronchoscopy;2)</w:t>
      </w:r>
      <w:r w:rsidR="000D6A22">
        <w:rPr>
          <w:rFonts w:eastAsia="TimesNewRoman" w:cs="TimesNewRoman"/>
          <w:color w:val="000000" w:themeColor="text1"/>
        </w:rPr>
        <w:t xml:space="preserve"> </w:t>
      </w:r>
      <w:r w:rsidRPr="003640D8">
        <w:rPr>
          <w:rFonts w:eastAsia="TimesNewRoman" w:cs="TimesNewRoman"/>
          <w:color w:val="000000" w:themeColor="text1"/>
        </w:rPr>
        <w:t xml:space="preserve">In </w:t>
      </w:r>
      <w:r w:rsidR="00223A0C">
        <w:rPr>
          <w:rFonts w:eastAsia="TimesNewRoman" w:cs="TimesNewRoman"/>
          <w:color w:val="000000" w:themeColor="text1"/>
        </w:rPr>
        <w:t>[information redacted]</w:t>
      </w:r>
      <w:r w:rsidRPr="003640D8">
        <w:rPr>
          <w:rFonts w:eastAsia="TimesNewRoman" w:cs="TimesNewRoman"/>
          <w:color w:val="000000" w:themeColor="text1"/>
        </w:rPr>
        <w:t xml:space="preserve">, a staphylococcal infection during hospitalization for gastroenteritis was a suspected SBI of bacteraemia, but rejected after review as not </w:t>
      </w:r>
      <w:r w:rsidR="0061405B">
        <w:rPr>
          <w:rFonts w:eastAsia="TimesNewRoman" w:cs="TimesNewRoman"/>
          <w:color w:val="000000" w:themeColor="text1"/>
        </w:rPr>
        <w:t>meet the end-point criteria; 3).</w:t>
      </w:r>
    </w:p>
    <w:p w:rsidR="005F74D8" w:rsidRDefault="005F74D8" w:rsidP="0061405B">
      <w:r w:rsidRPr="003640D8">
        <w:t xml:space="preserve">In </w:t>
      </w:r>
      <w:r w:rsidR="00223A0C">
        <w:t>[information redacted]</w:t>
      </w:r>
      <w:r w:rsidRPr="003640D8">
        <w:t>, an AE of pneumonia was evaluated for consistency with the SBI criteria</w:t>
      </w:r>
      <w:r>
        <w:t xml:space="preserve"> but did not meet </w:t>
      </w:r>
      <w:r w:rsidRPr="003640D8">
        <w:t>end-point criteria</w:t>
      </w:r>
      <w:r w:rsidR="0061405B">
        <w:t>.</w:t>
      </w:r>
    </w:p>
    <w:p w:rsidR="005F74D8" w:rsidRPr="00E005C8" w:rsidRDefault="005F74D8" w:rsidP="00223A0C">
      <w:pPr>
        <w:pStyle w:val="Heading5"/>
      </w:pPr>
      <w:r w:rsidRPr="00E005C8">
        <w:t>Results for other efficacy outcomes</w:t>
      </w:r>
    </w:p>
    <w:p w:rsidR="005F74D8" w:rsidRPr="007E7F95" w:rsidRDefault="005F74D8" w:rsidP="00223A0C">
      <w:pPr>
        <w:pStyle w:val="TableTitle"/>
      </w:pPr>
      <w:r w:rsidRPr="007E7F95">
        <w:t>Table 12: Summary of results for other secondary efficacy endpoints (MITT population) ZLB04_009CR</w:t>
      </w:r>
    </w:p>
    <w:p w:rsidR="005F74D8" w:rsidRDefault="00F01513" w:rsidP="005F74D8">
      <w:pPr>
        <w:rPr>
          <w:b/>
          <w:color w:val="000000" w:themeColor="text1"/>
        </w:rPr>
      </w:pPr>
      <w:r>
        <w:rPr>
          <w:b/>
          <w:noProof/>
          <w:color w:val="000000" w:themeColor="text1"/>
          <w:lang w:eastAsia="en-AU"/>
        </w:rPr>
        <w:drawing>
          <wp:inline distT="0" distB="0" distL="0" distR="0" wp14:anchorId="38E37AFA" wp14:editId="09F1A5CF">
            <wp:extent cx="4238625" cy="2076450"/>
            <wp:effectExtent l="0" t="0" r="0" b="0"/>
            <wp:docPr id="27" name="Picture 27" descr="Table 12: Summary of results for other secondary efficacy endpoints (MITT population) ZLB04_00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2.jpg"/>
                    <pic:cNvPicPr/>
                  </pic:nvPicPr>
                  <pic:blipFill rotWithShape="1">
                    <a:blip r:embed="rId40" cstate="print">
                      <a:extLst>
                        <a:ext uri="{28A0092B-C50C-407E-A947-70E740481C1C}">
                          <a14:useLocalDpi xmlns:a14="http://schemas.microsoft.com/office/drawing/2010/main" val="0"/>
                        </a:ext>
                      </a:extLst>
                    </a:blip>
                    <a:srcRect b="5856"/>
                    <a:stretch/>
                  </pic:blipFill>
                  <pic:spPr bwMode="auto">
                    <a:xfrm>
                      <a:off x="0" y="0"/>
                      <a:ext cx="4241791" cy="2078001"/>
                    </a:xfrm>
                    <a:prstGeom prst="rect">
                      <a:avLst/>
                    </a:prstGeom>
                    <a:ln>
                      <a:noFill/>
                    </a:ln>
                    <a:extLst>
                      <a:ext uri="{53640926-AAD7-44D8-BBD7-CCE9431645EC}">
                        <a14:shadowObscured xmlns:a14="http://schemas.microsoft.com/office/drawing/2010/main"/>
                      </a:ext>
                    </a:extLst>
                  </pic:spPr>
                </pic:pic>
              </a:graphicData>
            </a:graphic>
          </wp:inline>
        </w:drawing>
      </w:r>
    </w:p>
    <w:p w:rsidR="005F74D8" w:rsidRDefault="005F74D8" w:rsidP="005F74D8">
      <w:pPr>
        <w:rPr>
          <w:color w:val="000000" w:themeColor="text1"/>
        </w:rPr>
      </w:pPr>
      <w:r w:rsidRPr="00E005C8">
        <w:rPr>
          <w:color w:val="000000" w:themeColor="text1"/>
        </w:rPr>
        <w:t>81.6% in the MITT population had a non-serious infection in the efficacy period (12697 subject days) equ</w:t>
      </w:r>
      <w:r>
        <w:rPr>
          <w:color w:val="000000" w:themeColor="text1"/>
        </w:rPr>
        <w:t xml:space="preserve">ates to 2.76 infections/subject </w:t>
      </w:r>
      <w:r w:rsidRPr="00E005C8">
        <w:rPr>
          <w:color w:val="000000" w:themeColor="text1"/>
        </w:rPr>
        <w:t>y</w:t>
      </w:r>
      <w:r w:rsidR="00223A0C">
        <w:rPr>
          <w:color w:val="000000" w:themeColor="text1"/>
        </w:rPr>
        <w:t>ea</w:t>
      </w:r>
      <w:r w:rsidRPr="00E005C8">
        <w:rPr>
          <w:color w:val="000000" w:themeColor="text1"/>
        </w:rPr>
        <w:t>r (95% CL: 2.235; 3.370). The most frequent infection was sinusitis (39.5%), followed by nasopharyngitis (15.8%), bronchitis, viral infection, and URTI (10.5% each), UTI</w:t>
      </w:r>
      <w:r>
        <w:rPr>
          <w:color w:val="000000" w:themeColor="text1"/>
        </w:rPr>
        <w:t xml:space="preserve"> &amp; </w:t>
      </w:r>
      <w:r w:rsidRPr="00E005C8">
        <w:rPr>
          <w:color w:val="000000" w:themeColor="text1"/>
        </w:rPr>
        <w:t xml:space="preserve">otitis media (7.9% </w:t>
      </w:r>
      <w:r>
        <w:rPr>
          <w:color w:val="000000" w:themeColor="text1"/>
        </w:rPr>
        <w:t xml:space="preserve">each); </w:t>
      </w:r>
      <w:r w:rsidRPr="00E005C8">
        <w:rPr>
          <w:color w:val="000000" w:themeColor="text1"/>
        </w:rPr>
        <w:t>cystitis, otitis externa, conjunctivitis,</w:t>
      </w:r>
      <w:r>
        <w:rPr>
          <w:color w:val="000000" w:themeColor="text1"/>
        </w:rPr>
        <w:t xml:space="preserve"> gastroenteritis, influenza, </w:t>
      </w:r>
      <w:r w:rsidRPr="00E005C8">
        <w:rPr>
          <w:color w:val="000000" w:themeColor="text1"/>
        </w:rPr>
        <w:t>staphylococcal infection (5.3% each). All other infections were each rec</w:t>
      </w:r>
      <w:r>
        <w:rPr>
          <w:color w:val="000000" w:themeColor="text1"/>
        </w:rPr>
        <w:t>orded in only 1 subject. A</w:t>
      </w:r>
      <w:r w:rsidRPr="00E005C8">
        <w:rPr>
          <w:color w:val="000000" w:themeColor="text1"/>
        </w:rPr>
        <w:t xml:space="preserve">nnual rates of specific infections ranged </w:t>
      </w:r>
      <w:r>
        <w:rPr>
          <w:color w:val="000000" w:themeColor="text1"/>
        </w:rPr>
        <w:t>0.03-0.40 infections/subject y</w:t>
      </w:r>
      <w:r w:rsidRPr="00E005C8">
        <w:rPr>
          <w:color w:val="000000" w:themeColor="text1"/>
        </w:rPr>
        <w:t>r.</w:t>
      </w:r>
    </w:p>
    <w:p w:rsidR="005F74D8" w:rsidRDefault="005F74D8" w:rsidP="005F74D8">
      <w:pPr>
        <w:rPr>
          <w:color w:val="000000" w:themeColor="text1"/>
        </w:rPr>
      </w:pPr>
      <w:r w:rsidRPr="00E005C8">
        <w:rPr>
          <w:b/>
          <w:color w:val="000000" w:themeColor="text1"/>
        </w:rPr>
        <w:t xml:space="preserve">Serum IgG levels: </w:t>
      </w:r>
      <w:r w:rsidRPr="00E005C8">
        <w:rPr>
          <w:b/>
          <w:i/>
          <w:color w:val="000000" w:themeColor="text1"/>
        </w:rPr>
        <w:t>S</w:t>
      </w:r>
      <w:r w:rsidR="00223A0C">
        <w:rPr>
          <w:b/>
          <w:i/>
          <w:color w:val="000000" w:themeColor="text1"/>
        </w:rPr>
        <w:t>ee also the PK substudy results</w:t>
      </w:r>
      <w:r w:rsidRPr="00E005C8">
        <w:rPr>
          <w:b/>
          <w:i/>
          <w:color w:val="000000" w:themeColor="text1"/>
        </w:rPr>
        <w:t xml:space="preserve">. </w:t>
      </w:r>
      <w:r w:rsidRPr="00E005C8">
        <w:rPr>
          <w:color w:val="000000" w:themeColor="text1"/>
        </w:rPr>
        <w:t>Mean IgG C</w:t>
      </w:r>
      <w:r w:rsidRPr="00E005C8">
        <w:rPr>
          <w:color w:val="000000" w:themeColor="text1"/>
          <w:vertAlign w:val="subscript"/>
        </w:rPr>
        <w:t>trough</w:t>
      </w:r>
      <w:r w:rsidRPr="00E005C8">
        <w:rPr>
          <w:color w:val="000000" w:themeColor="text1"/>
        </w:rPr>
        <w:t xml:space="preserve"> values were generally stable at </w:t>
      </w:r>
      <w:r w:rsidR="0070299A">
        <w:rPr>
          <w:color w:val="000000" w:themeColor="text1"/>
        </w:rPr>
        <w:t>Week</w:t>
      </w:r>
      <w:r w:rsidRPr="00E005C8">
        <w:rPr>
          <w:color w:val="000000" w:themeColor="text1"/>
        </w:rPr>
        <w:t xml:space="preserve">s 9 to 12 of the </w:t>
      </w:r>
      <w:r>
        <w:rPr>
          <w:color w:val="000000" w:themeColor="text1"/>
        </w:rPr>
        <w:t>WI/WO</w:t>
      </w:r>
      <w:r w:rsidRPr="00E005C8">
        <w:rPr>
          <w:color w:val="000000" w:themeColor="text1"/>
        </w:rPr>
        <w:t xml:space="preserve"> period,</w:t>
      </w:r>
      <w:r w:rsidRPr="00E005C8">
        <w:rPr>
          <w:b/>
          <w:i/>
          <w:color w:val="000000" w:themeColor="text1"/>
        </w:rPr>
        <w:t xml:space="preserve"> </w:t>
      </w:r>
      <w:r w:rsidRPr="00E005C8">
        <w:rPr>
          <w:color w:val="000000" w:themeColor="text1"/>
        </w:rPr>
        <w:t>and after dose adjustment during the efficacy period (Figure 6). For the MITT population, the</w:t>
      </w:r>
      <w:r w:rsidRPr="00E005C8">
        <w:rPr>
          <w:b/>
          <w:i/>
          <w:color w:val="000000" w:themeColor="text1"/>
        </w:rPr>
        <w:t xml:space="preserve"> </w:t>
      </w:r>
      <w:r w:rsidRPr="00E005C8">
        <w:rPr>
          <w:color w:val="000000" w:themeColor="text1"/>
        </w:rPr>
        <w:t>mean of the individual median IgG C</w:t>
      </w:r>
      <w:r w:rsidRPr="00E005C8">
        <w:rPr>
          <w:color w:val="000000" w:themeColor="text1"/>
          <w:vertAlign w:val="subscript"/>
        </w:rPr>
        <w:t xml:space="preserve">trough </w:t>
      </w:r>
      <w:r w:rsidRPr="00E005C8">
        <w:rPr>
          <w:color w:val="000000" w:themeColor="text1"/>
        </w:rPr>
        <w:t xml:space="preserve">values was 12.56 g/L (SD: 2.92 g/L) during the </w:t>
      </w:r>
      <w:r>
        <w:rPr>
          <w:color w:val="000000" w:themeColor="text1"/>
        </w:rPr>
        <w:t>WI/WO</w:t>
      </w:r>
      <w:r w:rsidRPr="00E005C8">
        <w:rPr>
          <w:color w:val="000000" w:themeColor="text1"/>
        </w:rPr>
        <w:t xml:space="preserve"> period and 12.53 g/L (SD: 3.21 g/L) during the efficacy period.</w:t>
      </w:r>
      <w:r w:rsidR="000D6A22">
        <w:rPr>
          <w:color w:val="000000" w:themeColor="text1"/>
        </w:rPr>
        <w:t xml:space="preserve"> </w:t>
      </w:r>
      <w:r w:rsidRPr="00E005C8">
        <w:rPr>
          <w:color w:val="000000" w:themeColor="text1"/>
        </w:rPr>
        <w:t>Compared to the last 3 months of IVIG treatment before the start of IgPro20 treatment in the current study the mean IgG C</w:t>
      </w:r>
      <w:r w:rsidRPr="00E005C8">
        <w:rPr>
          <w:color w:val="000000" w:themeColor="text1"/>
          <w:vertAlign w:val="subscript"/>
        </w:rPr>
        <w:t>trough</w:t>
      </w:r>
      <w:r w:rsidRPr="00E005C8">
        <w:rPr>
          <w:color w:val="000000" w:themeColor="text1"/>
        </w:rPr>
        <w:t xml:space="preserve"> increased by 2.44 g/L (24.2%) with IgPro20 </w:t>
      </w:r>
      <w:r w:rsidRPr="00E005C8">
        <w:rPr>
          <w:rFonts w:eastAsia="TimesNewRoman" w:cs="TimesNewRoman"/>
          <w:color w:val="000000" w:themeColor="text1"/>
        </w:rPr>
        <w:t>treatment during the efficacy period. None of the subjects had an IgG C</w:t>
      </w:r>
      <w:r w:rsidRPr="006E0025">
        <w:rPr>
          <w:rFonts w:eastAsia="TimesNewRoman" w:cs="TimesNewRoman"/>
          <w:color w:val="000000" w:themeColor="text1"/>
          <w:vertAlign w:val="subscript"/>
        </w:rPr>
        <w:t>trough</w:t>
      </w:r>
      <w:r>
        <w:rPr>
          <w:rFonts w:eastAsia="TimesNewRoman" w:cs="TimesNewRoman"/>
          <w:color w:val="000000" w:themeColor="text1"/>
        </w:rPr>
        <w:t xml:space="preserve"> value &lt;</w:t>
      </w:r>
      <w:r w:rsidRPr="00E005C8">
        <w:rPr>
          <w:rFonts w:eastAsia="TimesNewRoman" w:cs="TimesNewRoman"/>
          <w:color w:val="000000" w:themeColor="text1"/>
        </w:rPr>
        <w:t xml:space="preserve">5 g/L during IgPro20 treatment in this study. </w:t>
      </w:r>
      <w:r w:rsidRPr="00E005C8">
        <w:rPr>
          <w:color w:val="000000" w:themeColor="text1"/>
        </w:rPr>
        <w:t>Ex</w:t>
      </w:r>
      <w:r>
        <w:rPr>
          <w:color w:val="000000" w:themeColor="text1"/>
        </w:rPr>
        <w:t xml:space="preserve">cept for 3 subjects with </w:t>
      </w:r>
      <w:r w:rsidRPr="00E005C8">
        <w:rPr>
          <w:color w:val="000000" w:themeColor="text1"/>
        </w:rPr>
        <w:t>impla</w:t>
      </w:r>
      <w:r>
        <w:rPr>
          <w:color w:val="000000" w:themeColor="text1"/>
        </w:rPr>
        <w:t>usible negative IgG conc</w:t>
      </w:r>
      <w:r w:rsidR="00223A0C">
        <w:rPr>
          <w:color w:val="000000" w:themeColor="text1"/>
        </w:rPr>
        <w:t>entratio</w:t>
      </w:r>
      <w:r>
        <w:rPr>
          <w:color w:val="000000" w:themeColor="text1"/>
        </w:rPr>
        <w:t xml:space="preserve">n, response to </w:t>
      </w:r>
      <w:r w:rsidRPr="00E005C8">
        <w:rPr>
          <w:color w:val="000000" w:themeColor="text1"/>
        </w:rPr>
        <w:t>dose</w:t>
      </w:r>
      <w:r w:rsidRPr="00E005C8">
        <w:rPr>
          <w:b/>
          <w:color w:val="000000" w:themeColor="text1"/>
        </w:rPr>
        <w:t xml:space="preserve"> </w:t>
      </w:r>
      <w:r w:rsidRPr="00E005C8">
        <w:rPr>
          <w:color w:val="000000" w:themeColor="text1"/>
        </w:rPr>
        <w:t>increase after dose adjustment, the remaining subjects showed a tendency towards increases in IgG responses with increases in IgPro20 dose</w:t>
      </w:r>
      <w:r w:rsidR="0061405B">
        <w:rPr>
          <w:color w:val="000000" w:themeColor="text1"/>
        </w:rPr>
        <w:t>.</w:t>
      </w:r>
    </w:p>
    <w:p w:rsidR="005F74D8" w:rsidRPr="00E005C8" w:rsidRDefault="005F74D8" w:rsidP="00223A0C">
      <w:pPr>
        <w:pStyle w:val="Heading3"/>
      </w:pPr>
      <w:bookmarkStart w:id="268" w:name="_Ref271037188"/>
      <w:bookmarkStart w:id="269" w:name="_Ref271037210"/>
      <w:bookmarkStart w:id="270" w:name="_Toc272414655"/>
      <w:bookmarkStart w:id="271" w:name="_Toc290846277"/>
      <w:bookmarkStart w:id="272" w:name="_Toc373748425"/>
      <w:bookmarkStart w:id="273" w:name="_Toc241374311"/>
      <w:bookmarkStart w:id="274" w:name="_Ref243294291"/>
      <w:bookmarkStart w:id="275" w:name="_Toc392757313"/>
      <w:r w:rsidRPr="00E005C8">
        <w:t>Other efficacy studies</w:t>
      </w:r>
      <w:bookmarkEnd w:id="268"/>
      <w:bookmarkEnd w:id="269"/>
      <w:bookmarkEnd w:id="270"/>
      <w:bookmarkEnd w:id="271"/>
      <w:bookmarkEnd w:id="272"/>
      <w:bookmarkEnd w:id="275"/>
    </w:p>
    <w:p w:rsidR="005F74D8" w:rsidRPr="00E005C8" w:rsidRDefault="005F74D8" w:rsidP="00223A0C">
      <w:pPr>
        <w:pStyle w:val="Heading4"/>
      </w:pPr>
      <w:bookmarkStart w:id="276" w:name="_Toc373748426"/>
      <w:bookmarkEnd w:id="273"/>
      <w:bookmarkEnd w:id="274"/>
      <w:r w:rsidRPr="00E005C8">
        <w:t>Japan follow-up study ZLB07_001CR</w:t>
      </w:r>
      <w:bookmarkEnd w:id="276"/>
    </w:p>
    <w:p w:rsidR="005F74D8" w:rsidRPr="00E005C8" w:rsidRDefault="005F74D8" w:rsidP="005F74D8">
      <w:pPr>
        <w:rPr>
          <w:color w:val="000000" w:themeColor="text1"/>
        </w:rPr>
      </w:pPr>
      <w:r w:rsidRPr="00E005C8">
        <w:rPr>
          <w:color w:val="000000" w:themeColor="text1"/>
        </w:rPr>
        <w:t>A Multicenter Follow-Up Study of Long-Term Safety, Tolerability, and Efficacy of Immune Globulin Subcutaneous (Human) IgPro20 in Subjects with Primary Immunodeficiency (IgPro20 Japanese Follow-Up Study).</w:t>
      </w:r>
      <w:r>
        <w:rPr>
          <w:color w:val="000000" w:themeColor="text1"/>
        </w:rPr>
        <w:t xml:space="preserve"> </w:t>
      </w:r>
      <w:r w:rsidRPr="00E005C8">
        <w:rPr>
          <w:color w:val="000000" w:themeColor="text1"/>
        </w:rPr>
        <w:t>Conduct</w:t>
      </w:r>
      <w:r>
        <w:rPr>
          <w:color w:val="000000" w:themeColor="text1"/>
        </w:rPr>
        <w:t>ed at 9 sites in Japan, 25Apr11-</w:t>
      </w:r>
      <w:r w:rsidRPr="00E005C8">
        <w:rPr>
          <w:color w:val="000000" w:themeColor="text1"/>
        </w:rPr>
        <w:t xml:space="preserve">09Feb12. </w:t>
      </w:r>
      <w:r w:rsidRPr="003D06BD">
        <w:rPr>
          <w:b/>
          <w:color w:val="000000" w:themeColor="text1"/>
        </w:rPr>
        <w:t>Aim</w:t>
      </w:r>
      <w:r w:rsidRPr="00E005C8">
        <w:rPr>
          <w:color w:val="000000" w:themeColor="text1"/>
        </w:rPr>
        <w:t>:</w:t>
      </w:r>
      <w:r>
        <w:rPr>
          <w:color w:val="000000" w:themeColor="text1"/>
        </w:rPr>
        <w:t xml:space="preserve"> to assess long-term safety, tolerability </w:t>
      </w:r>
      <w:r w:rsidRPr="00E005C8">
        <w:rPr>
          <w:color w:val="000000" w:themeColor="text1"/>
        </w:rPr>
        <w:t xml:space="preserve">and efficacy of IgPro20, as well as HRQL and PhEc aspects, in </w:t>
      </w:r>
      <w:r w:rsidRPr="00E005C8">
        <w:rPr>
          <w:color w:val="000000" w:themeColor="text1"/>
        </w:rPr>
        <w:lastRenderedPageBreak/>
        <w:t xml:space="preserve">subjects with PID electing to continue with IgPro20previously in the Japan pivotal study </w:t>
      </w:r>
      <w:r w:rsidRPr="003D06BD">
        <w:rPr>
          <w:b/>
          <w:color w:val="000000" w:themeColor="text1"/>
        </w:rPr>
        <w:t>ZLB06_002CR</w:t>
      </w:r>
      <w:r w:rsidRPr="00E005C8">
        <w:rPr>
          <w:color w:val="000000" w:themeColor="text1"/>
        </w:rPr>
        <w:t xml:space="preserve">. Duration=24 </w:t>
      </w:r>
      <w:r w:rsidR="0070299A">
        <w:rPr>
          <w:color w:val="000000" w:themeColor="text1"/>
        </w:rPr>
        <w:t>Week</w:t>
      </w:r>
      <w:r w:rsidRPr="00E005C8">
        <w:rPr>
          <w:color w:val="000000" w:themeColor="text1"/>
        </w:rPr>
        <w:t>s.</w:t>
      </w:r>
    </w:p>
    <w:p w:rsidR="005F74D8" w:rsidRPr="00E005C8" w:rsidRDefault="005F74D8" w:rsidP="005F74D8">
      <w:pPr>
        <w:rPr>
          <w:color w:val="000000" w:themeColor="text1"/>
        </w:rPr>
      </w:pPr>
      <w:r w:rsidRPr="00E005C8">
        <w:rPr>
          <w:b/>
          <w:color w:val="000000" w:themeColor="text1"/>
        </w:rPr>
        <w:t>Primary safety objective:</w:t>
      </w:r>
      <w:r w:rsidRPr="00E005C8">
        <w:rPr>
          <w:color w:val="000000" w:themeColor="text1"/>
        </w:rPr>
        <w:t xml:space="preserve"> rate, severity, and relatedness of newly developing or worsening AEs per infusion during the treatment period of the follow-up study.</w:t>
      </w:r>
      <w:r>
        <w:rPr>
          <w:color w:val="000000" w:themeColor="text1"/>
        </w:rPr>
        <w:t xml:space="preserve"> </w:t>
      </w:r>
      <w:r w:rsidRPr="00E005C8">
        <w:rPr>
          <w:b/>
          <w:color w:val="000000" w:themeColor="text1"/>
        </w:rPr>
        <w:t>Secondary objectives</w:t>
      </w:r>
      <w:r w:rsidRPr="00E005C8">
        <w:rPr>
          <w:color w:val="000000" w:themeColor="text1"/>
        </w:rPr>
        <w:t>: maintenance of consistent IgG serum levels; assessment of the rate of clinically documented SBIs, nos. of infection episodes, the</w:t>
      </w:r>
      <w:r w:rsidR="0070299A">
        <w:rPr>
          <w:color w:val="000000" w:themeColor="text1"/>
        </w:rPr>
        <w:t xml:space="preserve"> Number </w:t>
      </w:r>
      <w:r w:rsidRPr="00E005C8">
        <w:rPr>
          <w:color w:val="000000" w:themeColor="text1"/>
        </w:rPr>
        <w:t>of days out of work/school/kindergarten/day care or unable to perform normal daily activiti</w:t>
      </w:r>
      <w:r>
        <w:rPr>
          <w:color w:val="000000" w:themeColor="text1"/>
        </w:rPr>
        <w:t xml:space="preserve">es due to infections, </w:t>
      </w:r>
      <w:r w:rsidRPr="00E005C8">
        <w:rPr>
          <w:color w:val="000000" w:themeColor="text1"/>
        </w:rPr>
        <w:t>nos. of days hospitalized due to infections, use of antibiotics for prophylaxis and treatment.</w:t>
      </w:r>
    </w:p>
    <w:p w:rsidR="005F74D8" w:rsidRDefault="005F74D8" w:rsidP="005F74D8">
      <w:pPr>
        <w:rPr>
          <w:color w:val="000000" w:themeColor="text1"/>
        </w:rPr>
      </w:pPr>
      <w:r w:rsidRPr="00E005C8">
        <w:rPr>
          <w:b/>
          <w:color w:val="000000" w:themeColor="text1"/>
        </w:rPr>
        <w:t>Results:</w:t>
      </w:r>
      <w:r>
        <w:rPr>
          <w:b/>
          <w:color w:val="000000" w:themeColor="text1"/>
        </w:rPr>
        <w:t xml:space="preserve"> </w:t>
      </w:r>
      <w:r w:rsidRPr="00E005C8">
        <w:rPr>
          <w:b/>
          <w:color w:val="000000" w:themeColor="text1"/>
        </w:rPr>
        <w:t>Patient population</w:t>
      </w:r>
      <w:r>
        <w:rPr>
          <w:b/>
          <w:color w:val="000000" w:themeColor="text1"/>
        </w:rPr>
        <w:t xml:space="preserve">: </w:t>
      </w:r>
      <w:r w:rsidRPr="00E005C8">
        <w:rPr>
          <w:color w:val="000000" w:themeColor="text1"/>
        </w:rPr>
        <w:t>23 subjects enrolled and were treated with IgPro20 in</w:t>
      </w:r>
      <w:r>
        <w:rPr>
          <w:color w:val="000000" w:themeColor="text1"/>
        </w:rPr>
        <w:t xml:space="preserve"> this follow-up study</w:t>
      </w:r>
      <w:r w:rsidRPr="00E005C8">
        <w:rPr>
          <w:color w:val="000000" w:themeColor="text1"/>
        </w:rPr>
        <w:t>. One subject was screened for the follow-up study and received treatment at baseline but was discontinued afterwards (</w:t>
      </w:r>
      <w:r w:rsidR="003139E7">
        <w:rPr>
          <w:color w:val="000000" w:themeColor="text1"/>
        </w:rPr>
        <w:t>[information redacted]</w:t>
      </w:r>
      <w:r w:rsidRPr="00E005C8">
        <w:rPr>
          <w:color w:val="000000" w:themeColor="text1"/>
        </w:rPr>
        <w:t xml:space="preserve"> did not continue the follow-up study due to IgG trough levels &lt;5 g/L at </w:t>
      </w:r>
      <w:r w:rsidR="0070299A">
        <w:rPr>
          <w:color w:val="000000" w:themeColor="text1"/>
        </w:rPr>
        <w:t>Week</w:t>
      </w:r>
      <w:r w:rsidRPr="00E005C8">
        <w:rPr>
          <w:color w:val="000000" w:themeColor="text1"/>
        </w:rPr>
        <w:t xml:space="preserve"> 20 and </w:t>
      </w:r>
      <w:r w:rsidR="0070299A">
        <w:rPr>
          <w:color w:val="000000" w:themeColor="text1"/>
        </w:rPr>
        <w:t>Week</w:t>
      </w:r>
      <w:r w:rsidRPr="00E005C8">
        <w:rPr>
          <w:color w:val="000000" w:themeColor="text1"/>
        </w:rPr>
        <w:t xml:space="preserve"> 24 [completion visit] of the pivotal study, which constituted an exclusion criterion in the pivotal study).</w:t>
      </w:r>
    </w:p>
    <w:p w:rsidR="005F74D8" w:rsidRPr="007E7F95" w:rsidRDefault="005F74D8" w:rsidP="005F74D8">
      <w:pPr>
        <w:rPr>
          <w:color w:val="000000" w:themeColor="text1"/>
        </w:rPr>
      </w:pPr>
      <w:r w:rsidRPr="00E005C8">
        <w:rPr>
          <w:color w:val="000000" w:themeColor="text1"/>
        </w:rPr>
        <w:t>The AT analysis set and FAS were identical consisting of 23 subjects; a total of 4 FAS subjects were excluded from the PPS (3 subjects because of increase of &gt;10% from the planned dose; 1 subject because of use of prohibited medication/undocumented total serum IgG values).</w:t>
      </w:r>
    </w:p>
    <w:p w:rsidR="005F74D8" w:rsidRDefault="005F74D8" w:rsidP="005F74D8">
      <w:pPr>
        <w:rPr>
          <w:b/>
          <w:color w:val="000000" w:themeColor="text1"/>
        </w:rPr>
      </w:pPr>
      <w:r w:rsidRPr="00E005C8">
        <w:rPr>
          <w:b/>
          <w:color w:val="000000" w:themeColor="text1"/>
        </w:rPr>
        <w:t>Investigational medicinal product administration</w:t>
      </w:r>
      <w:r w:rsidRPr="00E005C8">
        <w:rPr>
          <w:color w:val="000000" w:themeColor="text1"/>
        </w:rPr>
        <w:t>: The mean SD of the individual IgPro20 doses/</w:t>
      </w:r>
      <w:r w:rsidR="0070299A">
        <w:rPr>
          <w:color w:val="000000" w:themeColor="text1"/>
        </w:rPr>
        <w:t>Week</w:t>
      </w:r>
      <w:r w:rsidRPr="00E005C8">
        <w:rPr>
          <w:color w:val="000000" w:themeColor="text1"/>
        </w:rPr>
        <w:t xml:space="preserve"> was 92.76 (35.69) mg/kg bw for the FAS and 97.56 (35.81) mg/kg bw for the PPS, range</w:t>
      </w:r>
      <w:r w:rsidR="000D6A22">
        <w:rPr>
          <w:color w:val="000000" w:themeColor="text1"/>
        </w:rPr>
        <w:t xml:space="preserve"> </w:t>
      </w:r>
      <w:r w:rsidRPr="00E005C8">
        <w:rPr>
          <w:color w:val="000000" w:themeColor="text1"/>
        </w:rPr>
        <w:t>26.7 to 177.8 mg/kg bw for both data sets. Doses were relatively stable, reflecting the steady state period. The difference between the mean doses at baseline to the end of study was within 5%.</w:t>
      </w:r>
    </w:p>
    <w:p w:rsidR="005F74D8" w:rsidRDefault="005F74D8" w:rsidP="005F74D8">
      <w:pPr>
        <w:rPr>
          <w:color w:val="000000" w:themeColor="text1"/>
        </w:rPr>
      </w:pPr>
      <w:r w:rsidRPr="00E005C8">
        <w:rPr>
          <w:b/>
          <w:color w:val="000000" w:themeColor="text1"/>
        </w:rPr>
        <w:t>Primary analysis</w:t>
      </w:r>
      <w:r w:rsidRPr="00E005C8">
        <w:rPr>
          <w:color w:val="000000" w:themeColor="text1"/>
        </w:rPr>
        <w:t xml:space="preserve">: The assessment of the individual subjects’ rate of newly developed or worsened AEs on infusion level, is summarized in </w:t>
      </w:r>
      <w:r w:rsidRPr="00E005C8">
        <w:rPr>
          <w:b/>
          <w:color w:val="000000" w:themeColor="text1"/>
        </w:rPr>
        <w:t>Table 13.</w:t>
      </w:r>
      <w:r w:rsidRPr="00E005C8">
        <w:rPr>
          <w:color w:val="000000" w:themeColor="text1"/>
        </w:rPr>
        <w:t xml:space="preserve"> In the AT </w:t>
      </w:r>
      <w:r>
        <w:rPr>
          <w:color w:val="000000" w:themeColor="text1"/>
        </w:rPr>
        <w:t xml:space="preserve">analysis set, the median of the </w:t>
      </w:r>
      <w:r w:rsidRPr="00E005C8">
        <w:rPr>
          <w:color w:val="000000" w:themeColor="text1"/>
        </w:rPr>
        <w:t>individual subjects’ rate of AEs per infusion was 0.17. The median rate of AEs assessed as mild was 0.13. One subject reported a moderate AE; 1 subject reported a severe AE. The median rate of AEs assessed by the investigator as possibly related was 0. Median rate of AEs assessed by the investigator as not related was 0.13, range of 0 to 0.75.</w:t>
      </w:r>
      <w:r>
        <w:rPr>
          <w:color w:val="000000" w:themeColor="text1"/>
        </w:rPr>
        <w:t xml:space="preserve"> </w:t>
      </w:r>
      <w:r w:rsidRPr="00E005C8">
        <w:rPr>
          <w:color w:val="000000" w:themeColor="text1"/>
        </w:rPr>
        <w:t xml:space="preserve">See also the Safety </w:t>
      </w:r>
      <w:r w:rsidR="00223A0C">
        <w:rPr>
          <w:color w:val="000000" w:themeColor="text1"/>
        </w:rPr>
        <w:t>below</w:t>
      </w:r>
      <w:r w:rsidRPr="00E005C8">
        <w:rPr>
          <w:b/>
          <w:color w:val="000000" w:themeColor="text1"/>
        </w:rPr>
        <w:t>.</w:t>
      </w:r>
    </w:p>
    <w:p w:rsidR="005F74D8" w:rsidRPr="007E7F95" w:rsidRDefault="005F74D8" w:rsidP="00223A0C">
      <w:pPr>
        <w:pStyle w:val="TableTitle"/>
      </w:pPr>
      <w:r w:rsidRPr="007E7F95">
        <w:t>Table 13: AEs in ZLB07_001CR follow-up study</w:t>
      </w:r>
    </w:p>
    <w:p w:rsidR="005F74D8" w:rsidRDefault="00F01513" w:rsidP="005F74D8">
      <w:pPr>
        <w:rPr>
          <w:color w:val="000000" w:themeColor="text1"/>
        </w:rPr>
      </w:pPr>
      <w:r>
        <w:rPr>
          <w:noProof/>
          <w:color w:val="000000" w:themeColor="text1"/>
          <w:lang w:eastAsia="en-AU"/>
        </w:rPr>
        <w:drawing>
          <wp:inline distT="0" distB="0" distL="0" distR="0" wp14:anchorId="1672B9A3" wp14:editId="4A4867F9">
            <wp:extent cx="4495800" cy="1758273"/>
            <wp:effectExtent l="0" t="0" r="0" b="0"/>
            <wp:docPr id="28" name="Picture 28" descr="Table 13: AEs in ZLB07_001CR follow-up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2177" cy="1760767"/>
                    </a:xfrm>
                    <a:prstGeom prst="rect">
                      <a:avLst/>
                    </a:prstGeom>
                  </pic:spPr>
                </pic:pic>
              </a:graphicData>
            </a:graphic>
          </wp:inline>
        </w:drawing>
      </w:r>
    </w:p>
    <w:p w:rsidR="005F74D8" w:rsidRDefault="005F74D8" w:rsidP="005F74D8">
      <w:pPr>
        <w:rPr>
          <w:color w:val="000000" w:themeColor="text1"/>
        </w:rPr>
      </w:pPr>
      <w:r w:rsidRPr="00E005C8">
        <w:rPr>
          <w:b/>
          <w:color w:val="000000" w:themeColor="text1"/>
        </w:rPr>
        <w:t>Secondary Analysis</w:t>
      </w:r>
      <w:r>
        <w:rPr>
          <w:b/>
          <w:color w:val="000000" w:themeColor="text1"/>
        </w:rPr>
        <w:t xml:space="preserve">: </w:t>
      </w:r>
      <w:r w:rsidRPr="00E005C8">
        <w:rPr>
          <w:b/>
          <w:color w:val="000000" w:themeColor="text1"/>
        </w:rPr>
        <w:t xml:space="preserve">Serum IgG levels: </w:t>
      </w:r>
      <w:r w:rsidRPr="00E005C8">
        <w:rPr>
          <w:color w:val="000000" w:themeColor="text1"/>
        </w:rPr>
        <w:t xml:space="preserve">Based on the PPS* and FAS*. See </w:t>
      </w:r>
      <w:r w:rsidRPr="00E005C8">
        <w:rPr>
          <w:b/>
          <w:color w:val="000000" w:themeColor="text1"/>
        </w:rPr>
        <w:t>Figure 1</w:t>
      </w:r>
      <w:r w:rsidR="0049599C">
        <w:rPr>
          <w:b/>
          <w:color w:val="000000" w:themeColor="text1"/>
        </w:rPr>
        <w:t>0</w:t>
      </w:r>
      <w:r w:rsidRPr="00E005C8">
        <w:rPr>
          <w:color w:val="000000" w:themeColor="text1"/>
        </w:rPr>
        <w:t xml:space="preserve">. </w:t>
      </w:r>
      <w:r>
        <w:rPr>
          <w:color w:val="000000" w:themeColor="text1"/>
        </w:rPr>
        <w:t xml:space="preserve">The median IgG </w:t>
      </w:r>
      <w:r w:rsidRPr="00E005C8">
        <w:rPr>
          <w:color w:val="000000" w:themeColor="text1"/>
        </w:rPr>
        <w:t>troughs were comparable in the pivotal study with the follow-up study in the PPS*.</w:t>
      </w:r>
    </w:p>
    <w:p w:rsidR="005F74D8" w:rsidRPr="007E7F95" w:rsidRDefault="005F74D8" w:rsidP="00F01513">
      <w:pPr>
        <w:pStyle w:val="FigureTitle"/>
      </w:pPr>
      <w:r w:rsidRPr="007E7F95">
        <w:lastRenderedPageBreak/>
        <w:t>Figure 1</w:t>
      </w:r>
      <w:r w:rsidR="0049599C">
        <w:t>0</w:t>
      </w:r>
      <w:r w:rsidRPr="007E7F95">
        <w:t>: Serum IgG trough levels (median) across 2 consecutive studies, from IV</w:t>
      </w:r>
      <w:r>
        <w:t xml:space="preserve"> </w:t>
      </w:r>
      <w:r w:rsidRPr="007E7F95">
        <w:t>period of pivotal study ZLB06_002CR to completion visit of ZLB07_001CR (PPS*)</w:t>
      </w:r>
    </w:p>
    <w:p w:rsidR="005F74D8" w:rsidRPr="00E005C8" w:rsidRDefault="00F01513" w:rsidP="00F01513">
      <w:pPr>
        <w:keepNext/>
        <w:rPr>
          <w:rFonts w:eastAsia="TimesNewRoman,Bold" w:cs="TimesNewRoman,Bold"/>
          <w:b/>
          <w:bCs/>
          <w:color w:val="000000" w:themeColor="text1"/>
        </w:rPr>
      </w:pPr>
      <w:r>
        <w:rPr>
          <w:rFonts w:eastAsia="TimesNewRoman,Bold" w:cs="TimesNewRoman,Bold"/>
          <w:b/>
          <w:bCs/>
          <w:noProof/>
          <w:color w:val="000000" w:themeColor="text1"/>
          <w:lang w:eastAsia="en-AU"/>
        </w:rPr>
        <w:drawing>
          <wp:inline distT="0" distB="0" distL="0" distR="0" wp14:anchorId="56C9996B" wp14:editId="0F0F6F2C">
            <wp:extent cx="3981078" cy="2943225"/>
            <wp:effectExtent l="0" t="0" r="0" b="0"/>
            <wp:docPr id="29" name="Picture 29" descr="Figure 10: Serum IgG trough levels (median) across 2 consecutive studies, from IV period of pivotal study ZLB06_002CR to completion visit of ZLB07_001C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2139" cy="2944009"/>
                    </a:xfrm>
                    <a:prstGeom prst="rect">
                      <a:avLst/>
                    </a:prstGeom>
                  </pic:spPr>
                </pic:pic>
              </a:graphicData>
            </a:graphic>
          </wp:inline>
        </w:drawing>
      </w:r>
    </w:p>
    <w:p w:rsidR="005F74D8" w:rsidRPr="007E7F95" w:rsidRDefault="005F74D8" w:rsidP="00223A0C">
      <w:pPr>
        <w:pStyle w:val="TableTitle"/>
      </w:pPr>
      <w:r w:rsidRPr="007E7F95">
        <w:t>Table 14: Summary of results for secondary efficacy endpoints (FAS) follow-up study ZLB07_001CR</w:t>
      </w:r>
    </w:p>
    <w:p w:rsidR="005F74D8" w:rsidRPr="00140446" w:rsidRDefault="00F01513" w:rsidP="005F74D8">
      <w:pPr>
        <w:rPr>
          <w:color w:val="000000" w:themeColor="text1"/>
        </w:rPr>
      </w:pPr>
      <w:r>
        <w:rPr>
          <w:noProof/>
          <w:color w:val="000000" w:themeColor="text1"/>
          <w:lang w:eastAsia="en-AU"/>
        </w:rPr>
        <w:drawing>
          <wp:inline distT="0" distB="0" distL="0" distR="0" wp14:anchorId="5E28A188" wp14:editId="57C9C13C">
            <wp:extent cx="4171950" cy="1565521"/>
            <wp:effectExtent l="0" t="0" r="0" b="0"/>
            <wp:docPr id="30" name="Picture 30" descr="Table 14: Summary of results for secondary efficacy endpoints (FAS) follow-up study ZLB07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70102" cy="1564828"/>
                    </a:xfrm>
                    <a:prstGeom prst="rect">
                      <a:avLst/>
                    </a:prstGeom>
                  </pic:spPr>
                </pic:pic>
              </a:graphicData>
            </a:graphic>
          </wp:inline>
        </w:drawing>
      </w:r>
    </w:p>
    <w:p w:rsidR="005F74D8" w:rsidRDefault="005F74D8" w:rsidP="005F74D8">
      <w:pPr>
        <w:rPr>
          <w:color w:val="000000" w:themeColor="text1"/>
        </w:rPr>
      </w:pPr>
      <w:r>
        <w:rPr>
          <w:color w:val="000000" w:themeColor="text1"/>
        </w:rPr>
        <w:t xml:space="preserve">Infection-related secondary endpoints </w:t>
      </w:r>
      <w:r w:rsidRPr="00140446">
        <w:rPr>
          <w:color w:val="000000" w:themeColor="text1"/>
        </w:rPr>
        <w:t xml:space="preserve">shown in </w:t>
      </w:r>
      <w:r w:rsidRPr="00140446">
        <w:rPr>
          <w:b/>
          <w:color w:val="000000" w:themeColor="text1"/>
        </w:rPr>
        <w:t>Table 14.</w:t>
      </w:r>
      <w:r w:rsidRPr="00140446">
        <w:rPr>
          <w:color w:val="000000" w:themeColor="text1"/>
        </w:rPr>
        <w:t xml:space="preserve"> The mean (SD) scores of all LQI parameters were high and stable for all parameters at all assessment timepoints (</w:t>
      </w:r>
      <w:r w:rsidR="0070299A">
        <w:rPr>
          <w:color w:val="000000" w:themeColor="text1"/>
        </w:rPr>
        <w:t>Week</w:t>
      </w:r>
      <w:r>
        <w:rPr>
          <w:color w:val="000000" w:themeColor="text1"/>
        </w:rPr>
        <w:t>s 1, 12, and 24)</w:t>
      </w:r>
      <w:r w:rsidRPr="00140446">
        <w:rPr>
          <w:color w:val="000000" w:themeColor="text1"/>
        </w:rPr>
        <w:t xml:space="preserve">. Stability of HRQL in LQI is further confirmed by small effect size changes in all 4 LQI scales as well as in the total score between </w:t>
      </w:r>
      <w:r w:rsidR="0070299A">
        <w:rPr>
          <w:color w:val="000000" w:themeColor="text1"/>
        </w:rPr>
        <w:t>Week</w:t>
      </w:r>
      <w:r w:rsidRPr="00140446">
        <w:rPr>
          <w:color w:val="000000" w:themeColor="text1"/>
        </w:rPr>
        <w:t xml:space="preserve"> 1 and </w:t>
      </w:r>
      <w:r w:rsidR="0070299A">
        <w:rPr>
          <w:color w:val="000000" w:themeColor="text1"/>
        </w:rPr>
        <w:t>Week</w:t>
      </w:r>
      <w:r w:rsidRPr="00140446">
        <w:rPr>
          <w:color w:val="000000" w:themeColor="text1"/>
        </w:rPr>
        <w:t xml:space="preserve"> 24. </w:t>
      </w:r>
      <w:r w:rsidRPr="00140446">
        <w:rPr>
          <w:b/>
          <w:color w:val="000000" w:themeColor="text1"/>
        </w:rPr>
        <w:t>Overall conclusion,</w:t>
      </w:r>
      <w:r w:rsidRPr="00140446">
        <w:rPr>
          <w:color w:val="000000" w:themeColor="text1"/>
        </w:rPr>
        <w:t xml:space="preserve"> safety, efficacy and HRQL res</w:t>
      </w:r>
      <w:r>
        <w:rPr>
          <w:color w:val="000000" w:themeColor="text1"/>
        </w:rPr>
        <w:t xml:space="preserve">ults from this follow-up study </w:t>
      </w:r>
      <w:r w:rsidRPr="00140446">
        <w:rPr>
          <w:color w:val="000000" w:themeColor="text1"/>
        </w:rPr>
        <w:t xml:space="preserve">consistent with </w:t>
      </w:r>
      <w:r>
        <w:rPr>
          <w:color w:val="000000" w:themeColor="text1"/>
        </w:rPr>
        <w:t xml:space="preserve">findings in </w:t>
      </w:r>
      <w:r w:rsidRPr="00140446">
        <w:rPr>
          <w:b/>
          <w:color w:val="000000" w:themeColor="text1"/>
        </w:rPr>
        <w:t>ZLB06_002</w:t>
      </w:r>
      <w:r>
        <w:rPr>
          <w:b/>
          <w:color w:val="000000" w:themeColor="text1"/>
        </w:rPr>
        <w:t xml:space="preserve">; </w:t>
      </w:r>
      <w:r>
        <w:rPr>
          <w:color w:val="000000" w:themeColor="text1"/>
        </w:rPr>
        <w:t>s</w:t>
      </w:r>
      <w:r w:rsidRPr="00140446">
        <w:rPr>
          <w:color w:val="000000" w:themeColor="text1"/>
        </w:rPr>
        <w:t>tudy drug</w:t>
      </w:r>
      <w:r>
        <w:rPr>
          <w:b/>
          <w:color w:val="000000" w:themeColor="text1"/>
        </w:rPr>
        <w:t xml:space="preserve"> </w:t>
      </w:r>
      <w:r w:rsidRPr="00140446">
        <w:rPr>
          <w:color w:val="000000" w:themeColor="text1"/>
        </w:rPr>
        <w:t>safe, efficacious and well tolerated when given for a longer period.</w:t>
      </w:r>
    </w:p>
    <w:p w:rsidR="005F74D8" w:rsidRPr="00E005C8" w:rsidRDefault="005F74D8" w:rsidP="00223A0C">
      <w:pPr>
        <w:pStyle w:val="Heading4"/>
      </w:pPr>
      <w:bookmarkStart w:id="277" w:name="_Toc373748427"/>
      <w:r w:rsidRPr="00E005C8">
        <w:t>European extension study ZLB07_002CR</w:t>
      </w:r>
      <w:bookmarkEnd w:id="277"/>
    </w:p>
    <w:p w:rsidR="005F74D8" w:rsidRPr="00E005C8" w:rsidRDefault="005F74D8" w:rsidP="005F74D8">
      <w:pPr>
        <w:rPr>
          <w:color w:val="000000" w:themeColor="text1"/>
        </w:rPr>
      </w:pPr>
      <w:r w:rsidRPr="00E005C8">
        <w:rPr>
          <w:color w:val="000000" w:themeColor="text1"/>
        </w:rPr>
        <w:t>A Multicenter Extension Study of the Efficacy, Tolerability</w:t>
      </w:r>
      <w:r>
        <w:rPr>
          <w:color w:val="000000" w:themeColor="text1"/>
        </w:rPr>
        <w:t xml:space="preserve">, and Safety of Immune Globulin </w:t>
      </w:r>
      <w:r w:rsidRPr="00E005C8">
        <w:rPr>
          <w:color w:val="000000" w:themeColor="text1"/>
        </w:rPr>
        <w:t>Subcutaneous (Human) IgPro20 in Subjects with Primary Immunodeficiency (IgPro20 EU Extension Study). Conducted at the 13 sites in the EU that between 13</w:t>
      </w:r>
      <w:r w:rsidR="0003121B">
        <w:rPr>
          <w:color w:val="000000" w:themeColor="text1"/>
        </w:rPr>
        <w:t xml:space="preserve"> </w:t>
      </w:r>
      <w:r w:rsidRPr="00E005C8">
        <w:rPr>
          <w:color w:val="000000" w:themeColor="text1"/>
        </w:rPr>
        <w:t>Aug</w:t>
      </w:r>
      <w:r w:rsidR="0003121B">
        <w:rPr>
          <w:color w:val="000000" w:themeColor="text1"/>
        </w:rPr>
        <w:t>ust 20</w:t>
      </w:r>
      <w:r w:rsidRPr="00E005C8">
        <w:rPr>
          <w:color w:val="000000" w:themeColor="text1"/>
        </w:rPr>
        <w:t>08 and 21</w:t>
      </w:r>
      <w:r w:rsidR="0003121B">
        <w:rPr>
          <w:color w:val="000000" w:themeColor="text1"/>
        </w:rPr>
        <w:t xml:space="preserve"> </w:t>
      </w:r>
      <w:r w:rsidRPr="00E005C8">
        <w:rPr>
          <w:color w:val="000000" w:themeColor="text1"/>
        </w:rPr>
        <w:t>Dec</w:t>
      </w:r>
      <w:r w:rsidR="0003121B">
        <w:rPr>
          <w:color w:val="000000" w:themeColor="text1"/>
        </w:rPr>
        <w:t>ember 20</w:t>
      </w:r>
      <w:r w:rsidR="0061405B">
        <w:rPr>
          <w:color w:val="000000" w:themeColor="text1"/>
        </w:rPr>
        <w:t>11.</w:t>
      </w:r>
    </w:p>
    <w:p w:rsidR="005F74D8" w:rsidRPr="00E005C8" w:rsidRDefault="005F74D8" w:rsidP="005F74D8">
      <w:pPr>
        <w:rPr>
          <w:color w:val="000000" w:themeColor="text1"/>
        </w:rPr>
      </w:pPr>
      <w:r w:rsidRPr="00E005C8">
        <w:rPr>
          <w:color w:val="000000" w:themeColor="text1"/>
        </w:rPr>
        <w:t>The overall objective was to continue assessing the efficacy, tolerability, and safety of IgPro20 in subjects with PID</w:t>
      </w:r>
      <w:r w:rsidR="000D6A22">
        <w:rPr>
          <w:color w:val="000000" w:themeColor="text1"/>
        </w:rPr>
        <w:t xml:space="preserve"> </w:t>
      </w:r>
      <w:r w:rsidRPr="00E005C8">
        <w:rPr>
          <w:color w:val="000000" w:themeColor="text1"/>
        </w:rPr>
        <w:t>who elected to continue the treatment they received previously under Protocol</w:t>
      </w:r>
      <w:r w:rsidR="0061405B">
        <w:rPr>
          <w:color w:val="000000" w:themeColor="text1"/>
        </w:rPr>
        <w:t>.</w:t>
      </w:r>
    </w:p>
    <w:p w:rsidR="005F74D8" w:rsidRPr="00EB6D2E" w:rsidRDefault="005F74D8" w:rsidP="005F74D8">
      <w:pPr>
        <w:rPr>
          <w:color w:val="000000" w:themeColor="text1"/>
        </w:rPr>
      </w:pPr>
      <w:r w:rsidRPr="00E005C8">
        <w:rPr>
          <w:color w:val="000000" w:themeColor="text1"/>
        </w:rPr>
        <w:t>ZLB06_001CR. Additionally, long-term health-related quality of life (HRQL) was assessed. The efficacy objectives included maintenance of total serum IgG trough levels (C</w:t>
      </w:r>
      <w:r w:rsidRPr="00E005C8">
        <w:rPr>
          <w:color w:val="000000" w:themeColor="text1"/>
          <w:vertAlign w:val="subscript"/>
        </w:rPr>
        <w:t>trough</w:t>
      </w:r>
      <w:r w:rsidRPr="00E005C8">
        <w:rPr>
          <w:color w:val="000000" w:themeColor="text1"/>
        </w:rPr>
        <w:t>) consistent</w:t>
      </w:r>
      <w:r>
        <w:rPr>
          <w:color w:val="000000" w:themeColor="text1"/>
        </w:rPr>
        <w:t xml:space="preserve"> </w:t>
      </w:r>
      <w:r w:rsidRPr="00E005C8">
        <w:rPr>
          <w:color w:val="000000" w:themeColor="text1"/>
        </w:rPr>
        <w:t xml:space="preserve">with the main study </w:t>
      </w:r>
      <w:r w:rsidRPr="00E005C8">
        <w:rPr>
          <w:b/>
          <w:color w:val="000000" w:themeColor="text1"/>
        </w:rPr>
        <w:t>ZLB06_001CR</w:t>
      </w:r>
      <w:r w:rsidRPr="00E005C8">
        <w:rPr>
          <w:color w:val="000000" w:themeColor="text1"/>
        </w:rPr>
        <w:t xml:space="preserve"> over </w:t>
      </w:r>
      <w:r w:rsidRPr="00E005C8">
        <w:rPr>
          <w:rFonts w:eastAsia="TimesNewRoman" w:cs="TimesNewRoman"/>
          <w:color w:val="000000" w:themeColor="text1"/>
        </w:rPr>
        <w:t>36 months (UK sites only) or &lt;42 months (all other sites).</w:t>
      </w:r>
    </w:p>
    <w:p w:rsidR="005F74D8" w:rsidRPr="00E005C8" w:rsidRDefault="005F74D8" w:rsidP="005F74D8">
      <w:pPr>
        <w:autoSpaceDE w:val="0"/>
        <w:autoSpaceDN w:val="0"/>
        <w:adjustRightInd w:val="0"/>
        <w:rPr>
          <w:color w:val="000000" w:themeColor="text1"/>
        </w:rPr>
      </w:pPr>
      <w:r w:rsidRPr="00E005C8">
        <w:rPr>
          <w:color w:val="000000" w:themeColor="text1"/>
        </w:rPr>
        <w:lastRenderedPageBreak/>
        <w:t>Other efficacy endpoints included: the rate of clinically documented serious SBIs; nos. of infection</w:t>
      </w:r>
      <w:r>
        <w:rPr>
          <w:color w:val="000000" w:themeColor="text1"/>
        </w:rPr>
        <w:t xml:space="preserve"> </w:t>
      </w:r>
      <w:r w:rsidRPr="00E005C8">
        <w:rPr>
          <w:color w:val="000000" w:themeColor="text1"/>
        </w:rPr>
        <w:t>episodes, the</w:t>
      </w:r>
      <w:r w:rsidR="0070299A">
        <w:rPr>
          <w:color w:val="000000" w:themeColor="text1"/>
        </w:rPr>
        <w:t xml:space="preserve"> Number </w:t>
      </w:r>
      <w:r w:rsidRPr="00E005C8">
        <w:rPr>
          <w:color w:val="000000" w:themeColor="text1"/>
        </w:rPr>
        <w:t>of days out of work/school/kindergarten/day care or unable to perform</w:t>
      </w:r>
      <w:r>
        <w:rPr>
          <w:color w:val="000000" w:themeColor="text1"/>
        </w:rPr>
        <w:t xml:space="preserve"> </w:t>
      </w:r>
      <w:r w:rsidRPr="00E005C8">
        <w:rPr>
          <w:color w:val="000000" w:themeColor="text1"/>
        </w:rPr>
        <w:t>normal daily activities due to infections, the</w:t>
      </w:r>
      <w:r w:rsidR="0070299A">
        <w:rPr>
          <w:color w:val="000000" w:themeColor="text1"/>
        </w:rPr>
        <w:t xml:space="preserve"> Number </w:t>
      </w:r>
      <w:r w:rsidRPr="00E005C8">
        <w:rPr>
          <w:color w:val="000000" w:themeColor="text1"/>
        </w:rPr>
        <w:t>of days of hospitalisation due to infections,</w:t>
      </w:r>
      <w:r>
        <w:rPr>
          <w:color w:val="000000" w:themeColor="text1"/>
        </w:rPr>
        <w:t xml:space="preserve"> </w:t>
      </w:r>
      <w:r w:rsidRPr="00E005C8">
        <w:rPr>
          <w:color w:val="000000" w:themeColor="text1"/>
        </w:rPr>
        <w:t>and the use of antibiotics for infection prophylaxis and treatment.</w:t>
      </w:r>
    </w:p>
    <w:p w:rsidR="005F74D8" w:rsidRDefault="005F74D8" w:rsidP="005F74D8">
      <w:pPr>
        <w:rPr>
          <w:b/>
          <w:color w:val="000000" w:themeColor="text1"/>
        </w:rPr>
      </w:pPr>
      <w:r w:rsidRPr="00E005C8">
        <w:rPr>
          <w:b/>
          <w:color w:val="000000" w:themeColor="text1"/>
        </w:rPr>
        <w:t xml:space="preserve">Methodology: </w:t>
      </w:r>
      <w:r w:rsidRPr="00E005C8">
        <w:rPr>
          <w:color w:val="000000" w:themeColor="text1"/>
        </w:rPr>
        <w:t xml:space="preserve">Phase III extension study of </w:t>
      </w:r>
      <w:r w:rsidRPr="00E005C8">
        <w:rPr>
          <w:b/>
          <w:color w:val="000000" w:themeColor="text1"/>
        </w:rPr>
        <w:t>ZLB06_001CR</w:t>
      </w:r>
      <w:r w:rsidRPr="00E005C8">
        <w:rPr>
          <w:color w:val="000000" w:themeColor="text1"/>
        </w:rPr>
        <w:t xml:space="preserve">. </w:t>
      </w:r>
      <w:r>
        <w:rPr>
          <w:color w:val="000000" w:themeColor="text1"/>
        </w:rPr>
        <w:t>P</w:t>
      </w:r>
      <w:r w:rsidRPr="00E005C8">
        <w:rPr>
          <w:color w:val="000000" w:themeColor="text1"/>
        </w:rPr>
        <w:t xml:space="preserve">lanned </w:t>
      </w:r>
      <w:r w:rsidR="0070299A">
        <w:rPr>
          <w:color w:val="000000" w:themeColor="text1"/>
        </w:rPr>
        <w:t>Week</w:t>
      </w:r>
      <w:r w:rsidRPr="00E005C8">
        <w:rPr>
          <w:color w:val="000000" w:themeColor="text1"/>
        </w:rPr>
        <w:t>ly dose of IgPro20 in this study was the same as the subject’s last dose prior to roll-over. Subjects visited the study site for assessments every 6 months.</w:t>
      </w:r>
    </w:p>
    <w:p w:rsidR="005F74D8" w:rsidRDefault="005F74D8" w:rsidP="005F74D8">
      <w:pPr>
        <w:rPr>
          <w:color w:val="000000" w:themeColor="text1"/>
        </w:rPr>
      </w:pPr>
      <w:r w:rsidRPr="00E005C8">
        <w:rPr>
          <w:b/>
          <w:color w:val="000000" w:themeColor="text1"/>
        </w:rPr>
        <w:t>Efficacy variables</w:t>
      </w:r>
      <w:r w:rsidRPr="00E005C8">
        <w:rPr>
          <w:color w:val="000000" w:themeColor="text1"/>
        </w:rPr>
        <w:t>: Descriptive comparison of serum IgG levels at Visits 1, 3, 5, 7, 9, 11, 13, and 15;</w:t>
      </w:r>
      <w:r>
        <w:rPr>
          <w:b/>
          <w:color w:val="000000" w:themeColor="text1"/>
        </w:rPr>
        <w:t xml:space="preserve"> </w:t>
      </w:r>
      <w:r w:rsidRPr="00E005C8">
        <w:rPr>
          <w:b/>
          <w:color w:val="000000" w:themeColor="text1"/>
        </w:rPr>
        <w:t>Rate of clinically documented SBIs,</w:t>
      </w:r>
      <w:r w:rsidR="0070299A">
        <w:rPr>
          <w:b/>
          <w:color w:val="000000" w:themeColor="text1"/>
        </w:rPr>
        <w:t xml:space="preserve"> Number </w:t>
      </w:r>
      <w:r w:rsidRPr="00E005C8">
        <w:rPr>
          <w:color w:val="000000" w:themeColor="text1"/>
        </w:rPr>
        <w:t>of infection episodes,</w:t>
      </w:r>
      <w:r w:rsidR="0070299A">
        <w:rPr>
          <w:color w:val="000000" w:themeColor="text1"/>
        </w:rPr>
        <w:t xml:space="preserve"> Number </w:t>
      </w:r>
      <w:r w:rsidRPr="00E005C8">
        <w:rPr>
          <w:color w:val="000000" w:themeColor="text1"/>
        </w:rPr>
        <w:t>of days out of work/school/kindergarten/day care or unable to perform normal activities due to infections,</w:t>
      </w:r>
      <w:r w:rsidR="0070299A">
        <w:rPr>
          <w:color w:val="000000" w:themeColor="text1"/>
        </w:rPr>
        <w:t xml:space="preserve"> Number </w:t>
      </w:r>
      <w:r w:rsidRPr="00E005C8">
        <w:rPr>
          <w:color w:val="000000" w:themeColor="text1"/>
        </w:rPr>
        <w:t>of days of hospitalization due to infections, and use of antibiotics for infection prophylaxis and t</w:t>
      </w:r>
      <w:r w:rsidR="0061405B">
        <w:rPr>
          <w:color w:val="000000" w:themeColor="text1"/>
        </w:rPr>
        <w:t>reatment;.</w:t>
      </w:r>
    </w:p>
    <w:p w:rsidR="005F74D8" w:rsidRDefault="005F74D8" w:rsidP="005F74D8">
      <w:pPr>
        <w:rPr>
          <w:color w:val="000000" w:themeColor="text1"/>
        </w:rPr>
      </w:pPr>
      <w:r w:rsidRPr="00E005C8">
        <w:rPr>
          <w:b/>
          <w:color w:val="000000" w:themeColor="text1"/>
        </w:rPr>
        <w:t>HRQL</w:t>
      </w:r>
      <w:r w:rsidRPr="00E005C8">
        <w:rPr>
          <w:color w:val="000000" w:themeColor="text1"/>
        </w:rPr>
        <w:t>: The influence of long-term SCIG treatment on HRQL in subjects with PID who switched from the pivotal study ZLB06_001CR to the extension study ZLB07_002CR was assessed using validated HRQL questionnaires. Questionnaires were completed at Visits 3, 5, 7, 9, 11, 13 and 15 and examined both generic and tre</w:t>
      </w:r>
      <w:r w:rsidR="0061405B">
        <w:rPr>
          <w:color w:val="000000" w:themeColor="text1"/>
        </w:rPr>
        <w:t>atment-specific subject status.</w:t>
      </w:r>
    </w:p>
    <w:p w:rsidR="005F74D8" w:rsidRPr="00140446" w:rsidRDefault="005F74D8" w:rsidP="005F74D8">
      <w:pPr>
        <w:rPr>
          <w:b/>
          <w:color w:val="000000" w:themeColor="text1"/>
        </w:rPr>
      </w:pPr>
      <w:r w:rsidRPr="00E005C8">
        <w:rPr>
          <w:b/>
          <w:color w:val="000000" w:themeColor="text1"/>
        </w:rPr>
        <w:t>Safety and tolerability</w:t>
      </w:r>
      <w:r w:rsidRPr="00E005C8">
        <w:rPr>
          <w:color w:val="000000" w:themeColor="text1"/>
        </w:rPr>
        <w:t>: Rate, severity, and relatedness to study drug of any AEs per infusion and per subject; changes in vital signs, routine laboratory parameters</w:t>
      </w:r>
      <w:r w:rsidR="0070299A">
        <w:rPr>
          <w:color w:val="000000" w:themeColor="text1"/>
        </w:rPr>
        <w:t xml:space="preserve"> versus</w:t>
      </w:r>
      <w:r w:rsidRPr="00E005C8">
        <w:rPr>
          <w:color w:val="000000" w:themeColor="text1"/>
        </w:rPr>
        <w:t xml:space="preserve"> baseline.</w:t>
      </w:r>
    </w:p>
    <w:p w:rsidR="005F74D8" w:rsidRDefault="005F74D8" w:rsidP="005F74D8">
      <w:pPr>
        <w:rPr>
          <w:color w:val="000000" w:themeColor="text1"/>
        </w:rPr>
      </w:pPr>
      <w:r w:rsidRPr="00E005C8">
        <w:rPr>
          <w:b/>
          <w:color w:val="000000" w:themeColor="text1"/>
        </w:rPr>
        <w:t>Results: Planned enrolment:</w:t>
      </w:r>
      <w:r w:rsidRPr="00E005C8">
        <w:rPr>
          <w:color w:val="000000" w:themeColor="text1"/>
        </w:rPr>
        <w:t xml:space="preserve"> </w:t>
      </w:r>
      <w:r w:rsidR="003944A8">
        <w:rPr>
          <w:color w:val="000000" w:themeColor="text1"/>
        </w:rPr>
        <w:t>approximately</w:t>
      </w:r>
      <w:r w:rsidRPr="00E005C8">
        <w:rPr>
          <w:color w:val="000000" w:themeColor="text1"/>
        </w:rPr>
        <w:t>46 subjects: Actual enrolment/AT population: 40 subjects ITT population: 40 subjects (12 F: 28 M); Fu</w:t>
      </w:r>
      <w:r w:rsidR="0061405B">
        <w:rPr>
          <w:color w:val="000000" w:themeColor="text1"/>
        </w:rPr>
        <w:t>ll HRQL population 37 subjects.</w:t>
      </w:r>
    </w:p>
    <w:p w:rsidR="005F74D8" w:rsidRDefault="005F74D8" w:rsidP="005F74D8">
      <w:pPr>
        <w:rPr>
          <w:rFonts w:eastAsia="TimesNewRoman" w:cs="TimesNewRoman"/>
          <w:color w:val="000000" w:themeColor="text1"/>
        </w:rPr>
      </w:pPr>
      <w:r w:rsidRPr="00E005C8">
        <w:rPr>
          <w:b/>
          <w:color w:val="000000" w:themeColor="text1"/>
        </w:rPr>
        <w:t>Demographics:</w:t>
      </w:r>
      <w:r w:rsidRPr="00E005C8">
        <w:rPr>
          <w:color w:val="000000" w:themeColor="text1"/>
        </w:rPr>
        <w:t xml:space="preserve"> Mean age </w:t>
      </w:r>
      <w:r w:rsidRPr="00E005C8">
        <w:rPr>
          <w:rFonts w:eastAsia="TimesNewRoman" w:cs="TimesNewRoman"/>
          <w:color w:val="000000" w:themeColor="text1"/>
        </w:rPr>
        <w:t xml:space="preserve">21.6 </w:t>
      </w:r>
      <w:r w:rsidR="003944A8">
        <w:rPr>
          <w:rFonts w:eastAsia="TimesNewRoman" w:cs="TimesNewRoman"/>
          <w:color w:val="000000" w:themeColor="text1"/>
        </w:rPr>
        <w:t>years</w:t>
      </w:r>
      <w:r w:rsidRPr="00E005C8">
        <w:rPr>
          <w:rFonts w:eastAsia="TimesNewRoman" w:cs="TimesNewRoman"/>
          <w:color w:val="000000" w:themeColor="text1"/>
        </w:rPr>
        <w:t xml:space="preserve"> (4 to 52 </w:t>
      </w:r>
      <w:r w:rsidR="003944A8">
        <w:rPr>
          <w:rFonts w:eastAsia="TimesNewRoman" w:cs="TimesNewRoman"/>
          <w:color w:val="000000" w:themeColor="text1"/>
        </w:rPr>
        <w:t>years</w:t>
      </w:r>
      <w:r w:rsidRPr="00E005C8">
        <w:rPr>
          <w:rFonts w:eastAsia="TimesNewRoman" w:cs="TimesNewRoman"/>
          <w:color w:val="000000" w:themeColor="text1"/>
        </w:rPr>
        <w:t xml:space="preserve">). 15 subjects (37.5%) aged 2 to &lt;12 </w:t>
      </w:r>
      <w:r w:rsidR="003944A8">
        <w:rPr>
          <w:rFonts w:eastAsia="TimesNewRoman" w:cs="TimesNewRoman"/>
          <w:color w:val="000000" w:themeColor="text1"/>
        </w:rPr>
        <w:t>years</w:t>
      </w:r>
      <w:r w:rsidRPr="00E005C8">
        <w:rPr>
          <w:rFonts w:eastAsia="TimesNewRoman" w:cs="TimesNewRoman"/>
          <w:color w:val="000000" w:themeColor="text1"/>
        </w:rPr>
        <w:t xml:space="preserve">, 19 subjects (47.5%) were &lt;16 </w:t>
      </w:r>
      <w:r w:rsidR="003944A8">
        <w:rPr>
          <w:rFonts w:eastAsia="TimesNewRoman" w:cs="TimesNewRoman"/>
          <w:color w:val="000000" w:themeColor="text1"/>
        </w:rPr>
        <w:t>years</w:t>
      </w:r>
      <w:r w:rsidR="0061405B">
        <w:rPr>
          <w:rFonts w:eastAsia="TimesNewRoman" w:cs="TimesNewRoman"/>
          <w:color w:val="000000" w:themeColor="text1"/>
        </w:rPr>
        <w:t xml:space="preserve"> of age.</w:t>
      </w:r>
    </w:p>
    <w:p w:rsidR="005F74D8" w:rsidRDefault="005F74D8" w:rsidP="005F74D8">
      <w:pPr>
        <w:rPr>
          <w:b/>
          <w:color w:val="000000" w:themeColor="text1"/>
        </w:rPr>
      </w:pPr>
      <w:r w:rsidRPr="00E005C8">
        <w:rPr>
          <w:b/>
          <w:color w:val="000000" w:themeColor="text1"/>
        </w:rPr>
        <w:t>Investigational medicinal product administration</w:t>
      </w:r>
      <w:r w:rsidRPr="00E005C8">
        <w:rPr>
          <w:color w:val="000000" w:themeColor="text1"/>
        </w:rPr>
        <w:t xml:space="preserve">: In the AT population, mean of the individual median </w:t>
      </w:r>
      <w:r w:rsidR="0070299A">
        <w:rPr>
          <w:color w:val="000000" w:themeColor="text1"/>
        </w:rPr>
        <w:t>Week</w:t>
      </w:r>
      <w:r w:rsidRPr="00E005C8">
        <w:rPr>
          <w:color w:val="000000" w:themeColor="text1"/>
        </w:rPr>
        <w:t xml:space="preserve">ly IgPro20 doses administered during the study (117.9 mg/kg bw was comparable to the mean of the individual median </w:t>
      </w:r>
      <w:r w:rsidR="0070299A">
        <w:rPr>
          <w:color w:val="000000" w:themeColor="text1"/>
        </w:rPr>
        <w:t>Week</w:t>
      </w:r>
      <w:r w:rsidRPr="00E005C8">
        <w:rPr>
          <w:color w:val="000000" w:themeColor="text1"/>
        </w:rPr>
        <w:t xml:space="preserve">ly equivalent IVIG or SCIG doses administered in </w:t>
      </w:r>
      <w:r w:rsidRPr="00E005C8">
        <w:rPr>
          <w:b/>
          <w:color w:val="000000" w:themeColor="text1"/>
        </w:rPr>
        <w:t>ZLB06_001CR</w:t>
      </w:r>
      <w:r w:rsidRPr="00E005C8">
        <w:rPr>
          <w:color w:val="000000" w:themeColor="text1"/>
        </w:rPr>
        <w:t xml:space="preserve"> (120 mg/kg bw).</w:t>
      </w:r>
    </w:p>
    <w:p w:rsidR="005F74D8" w:rsidRDefault="005F74D8" w:rsidP="005F74D8">
      <w:pPr>
        <w:rPr>
          <w:color w:val="000000" w:themeColor="text1"/>
        </w:rPr>
      </w:pPr>
      <w:r w:rsidRPr="00E005C8">
        <w:rPr>
          <w:rFonts w:eastAsia="TimesNewRoman" w:cs="TimesNewRoman"/>
          <w:b/>
          <w:color w:val="000000" w:themeColor="text1"/>
        </w:rPr>
        <w:t>Efficacy results (ITT population):</w:t>
      </w:r>
      <w:r>
        <w:rPr>
          <w:rFonts w:eastAsia="TimesNewRoman" w:cs="TimesNewRoman"/>
          <w:b/>
          <w:color w:val="000000" w:themeColor="text1"/>
        </w:rPr>
        <w:t xml:space="preserve"> </w:t>
      </w:r>
      <w:r w:rsidRPr="00E005C8">
        <w:rPr>
          <w:b/>
          <w:color w:val="000000" w:themeColor="text1"/>
        </w:rPr>
        <w:t>Serum IgG levels:</w:t>
      </w:r>
      <w:r w:rsidRPr="00E005C8">
        <w:rPr>
          <w:color w:val="000000" w:themeColor="text1"/>
        </w:rPr>
        <w:t xml:space="preserve"> In the AT population, mean IgG trough values were measured every 6 months for 36 months and</w:t>
      </w:r>
      <w:r w:rsidR="006A49A5">
        <w:rPr>
          <w:color w:val="000000" w:themeColor="text1"/>
        </w:rPr>
        <w:t xml:space="preserve"> in 4 subjects up to 42 months.</w:t>
      </w:r>
    </w:p>
    <w:p w:rsidR="005F74D8" w:rsidRPr="00EB6D2E" w:rsidRDefault="005F74D8" w:rsidP="005F74D8">
      <w:pPr>
        <w:rPr>
          <w:color w:val="000000" w:themeColor="text1"/>
        </w:rPr>
      </w:pPr>
      <w:r w:rsidRPr="00E005C8">
        <w:rPr>
          <w:color w:val="000000" w:themeColor="text1"/>
        </w:rPr>
        <w:t>Trough levels stable within a range of 7</w:t>
      </w:r>
      <w:r>
        <w:rPr>
          <w:color w:val="000000" w:themeColor="text1"/>
        </w:rPr>
        <w:t xml:space="preserve">.5 to 8.5 g/L, with a mean (SD) </w:t>
      </w:r>
      <w:r w:rsidRPr="00E005C8">
        <w:rPr>
          <w:color w:val="000000" w:themeColor="text1"/>
        </w:rPr>
        <w:t>median value of 7.97 (1.17) g/L, and a median of 8.12 g/L ranging from</w:t>
      </w:r>
      <w:r>
        <w:rPr>
          <w:rFonts w:eastAsia="TimesNewRoman" w:cs="TimesNewRoman"/>
          <w:b/>
          <w:color w:val="000000" w:themeColor="text1"/>
        </w:rPr>
        <w:t xml:space="preserve"> </w:t>
      </w:r>
      <w:r w:rsidRPr="00E005C8">
        <w:rPr>
          <w:color w:val="000000" w:themeColor="text1"/>
        </w:rPr>
        <w:t xml:space="preserve">5.8 g/L to 11.1 g/L </w:t>
      </w:r>
      <w:r w:rsidRPr="00E005C8">
        <w:rPr>
          <w:b/>
          <w:color w:val="000000" w:themeColor="text1"/>
        </w:rPr>
        <w:t>(Table 15).</w:t>
      </w:r>
      <w:r w:rsidR="000D6A22">
        <w:rPr>
          <w:color w:val="000000" w:themeColor="text1"/>
        </w:rPr>
        <w:t xml:space="preserve"> </w:t>
      </w:r>
      <w:r w:rsidRPr="00E005C8">
        <w:rPr>
          <w:color w:val="000000" w:themeColor="text1"/>
        </w:rPr>
        <w:t xml:space="preserve">Minor fluctuations in median IgG trough levels were observed over the 36-month period completed by most subjects. </w:t>
      </w:r>
      <w:r w:rsidRPr="00E005C8">
        <w:rPr>
          <w:rFonts w:eastAsia="TimesNewRoman" w:cs="TimesNewRoman"/>
          <w:color w:val="000000" w:themeColor="text1"/>
        </w:rPr>
        <w:t xml:space="preserve">Stable median IgG trough levels were maintained within a narrow range throughout the treatment periods of the pivotal study </w:t>
      </w:r>
      <w:r w:rsidRPr="00E005C8">
        <w:rPr>
          <w:rFonts w:eastAsia="TimesNewRoman" w:cs="TimesNewRoman"/>
          <w:b/>
          <w:color w:val="000000" w:themeColor="text1"/>
        </w:rPr>
        <w:t>ZLB06_001CR</w:t>
      </w:r>
      <w:r w:rsidRPr="00E005C8">
        <w:rPr>
          <w:rFonts w:eastAsia="TimesNewRoman" w:cs="TimesNewRoman"/>
          <w:color w:val="000000" w:themeColor="text1"/>
        </w:rPr>
        <w:t xml:space="preserve"> and the extension study, constituting a combined observation period for the majority of ITT subjects of 3 </w:t>
      </w:r>
      <w:r w:rsidR="003944A8">
        <w:rPr>
          <w:rFonts w:eastAsia="TimesNewRoman" w:cs="TimesNewRoman"/>
          <w:color w:val="000000" w:themeColor="text1"/>
        </w:rPr>
        <w:t>years</w:t>
      </w:r>
      <w:r w:rsidRPr="00E005C8">
        <w:rPr>
          <w:rFonts w:eastAsia="TimesNewRoman" w:cs="TimesNewRoman"/>
          <w:color w:val="000000" w:themeColor="text1"/>
        </w:rPr>
        <w:t>.</w:t>
      </w:r>
    </w:p>
    <w:p w:rsidR="005F74D8" w:rsidRPr="007E7F95" w:rsidRDefault="005F74D8" w:rsidP="0003121B">
      <w:pPr>
        <w:pStyle w:val="TableTitle"/>
      </w:pPr>
      <w:r w:rsidRPr="007E7F95">
        <w:t>Table 15: Median IgG trough levels before and during the study (AT population) ZLB07_002CR extension</w:t>
      </w:r>
    </w:p>
    <w:p w:rsidR="005F74D8" w:rsidRPr="00E005C8" w:rsidRDefault="00F01513" w:rsidP="005F74D8">
      <w:pPr>
        <w:autoSpaceDE w:val="0"/>
        <w:autoSpaceDN w:val="0"/>
        <w:adjustRightInd w:val="0"/>
        <w:rPr>
          <w:rFonts w:eastAsia="TimesNewRoman" w:cs="TimesNewRoman"/>
          <w:b/>
          <w:color w:val="000000" w:themeColor="text1"/>
        </w:rPr>
      </w:pPr>
      <w:r>
        <w:rPr>
          <w:rFonts w:eastAsia="TimesNewRoman" w:cs="TimesNewRoman"/>
          <w:b/>
          <w:noProof/>
          <w:color w:val="000000" w:themeColor="text1"/>
          <w:lang w:eastAsia="en-AU"/>
        </w:rPr>
        <w:drawing>
          <wp:inline distT="0" distB="0" distL="0" distR="0" wp14:anchorId="72070B09" wp14:editId="133F5C39">
            <wp:extent cx="4322829" cy="1990725"/>
            <wp:effectExtent l="0" t="0" r="0" b="0"/>
            <wp:docPr id="31" name="Picture 31" descr="Table 15: Median IgG trough levels before and during the study (AT population) ZLB07_002CR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5.jpg"/>
                    <pic:cNvPicPr/>
                  </pic:nvPicPr>
                  <pic:blipFill rotWithShape="1">
                    <a:blip r:embed="rId44" cstate="print">
                      <a:extLst>
                        <a:ext uri="{28A0092B-C50C-407E-A947-70E740481C1C}">
                          <a14:useLocalDpi xmlns:a14="http://schemas.microsoft.com/office/drawing/2010/main" val="0"/>
                        </a:ext>
                      </a:extLst>
                    </a:blip>
                    <a:srcRect b="5856"/>
                    <a:stretch/>
                  </pic:blipFill>
                  <pic:spPr bwMode="auto">
                    <a:xfrm>
                      <a:off x="0" y="0"/>
                      <a:ext cx="4327791" cy="1993010"/>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5F74D8">
      <w:pPr>
        <w:autoSpaceDE w:val="0"/>
        <w:autoSpaceDN w:val="0"/>
        <w:adjustRightInd w:val="0"/>
        <w:rPr>
          <w:rFonts w:eastAsia="TimesNewRoman" w:cs="TimesNewRoman"/>
          <w:b/>
          <w:color w:val="000000" w:themeColor="text1"/>
        </w:rPr>
      </w:pPr>
      <w:r w:rsidRPr="00E005C8">
        <w:rPr>
          <w:rFonts w:eastAsia="TimesNewRoman" w:cs="TimesNewRoman"/>
          <w:b/>
          <w:color w:val="000000" w:themeColor="text1"/>
        </w:rPr>
        <w:lastRenderedPageBreak/>
        <w:t xml:space="preserve">Infections: </w:t>
      </w:r>
      <w:r w:rsidRPr="00E005C8">
        <w:rPr>
          <w:rFonts w:eastAsia="TimesNewRoman" w:cs="TimesNewRoman"/>
          <w:color w:val="000000" w:themeColor="text1"/>
        </w:rPr>
        <w:t>Five SBIs (all bacterial pneumonia) in 5 subjects</w:t>
      </w:r>
      <w:r>
        <w:rPr>
          <w:rFonts w:eastAsia="TimesNewRoman" w:cs="TimesNewRoman"/>
          <w:color w:val="000000" w:themeColor="text1"/>
        </w:rPr>
        <w:t xml:space="preserve"> </w:t>
      </w:r>
      <w:r w:rsidRPr="00E005C8">
        <w:rPr>
          <w:rFonts w:eastAsia="TimesNewRoman" w:cs="TimesNewRoman"/>
          <w:color w:val="000000" w:themeColor="text1"/>
        </w:rPr>
        <w:t>reported during the extension study (</w:t>
      </w:r>
      <w:r>
        <w:rPr>
          <w:rFonts w:eastAsia="TimesNewRoman" w:cs="TimesNewRoman"/>
          <w:color w:val="000000" w:themeColor="text1"/>
        </w:rPr>
        <w:t>annualised</w:t>
      </w:r>
      <w:r w:rsidRPr="00E005C8">
        <w:rPr>
          <w:rFonts w:eastAsia="TimesNewRoman" w:cs="TimesNewRoman"/>
          <w:color w:val="000000" w:themeColor="text1"/>
        </w:rPr>
        <w:t xml:space="preserve"> rate: 0.0478 SBIs/subject/y</w:t>
      </w:r>
      <w:r w:rsidR="0003121B">
        <w:rPr>
          <w:rFonts w:eastAsia="TimesNewRoman" w:cs="TimesNewRoman"/>
          <w:color w:val="000000" w:themeColor="text1"/>
        </w:rPr>
        <w:t>ea</w:t>
      </w:r>
      <w:r w:rsidRPr="00E005C8">
        <w:rPr>
          <w:rFonts w:eastAsia="TimesNewRoman" w:cs="TimesNewRoman"/>
          <w:color w:val="000000" w:themeColor="text1"/>
        </w:rPr>
        <w:t>r; upper 1-sided 99% CL: 0.1252). 95% had at least 1 infection during the study period (38208 subject days) (rate: 3.334 infections/subject/y</w:t>
      </w:r>
      <w:r w:rsidR="0003121B">
        <w:rPr>
          <w:rFonts w:eastAsia="TimesNewRoman" w:cs="TimesNewRoman"/>
          <w:color w:val="000000" w:themeColor="text1"/>
        </w:rPr>
        <w:t>ea</w:t>
      </w:r>
      <w:r w:rsidRPr="00E005C8">
        <w:rPr>
          <w:rFonts w:eastAsia="TimesNewRoman" w:cs="TimesNewRoman"/>
          <w:color w:val="000000" w:themeColor="text1"/>
        </w:rPr>
        <w:t xml:space="preserve">r; 95% CL: 2.993; 3.703). The most common infections were bronchitis (51 events; rate: </w:t>
      </w:r>
      <w:r>
        <w:rPr>
          <w:rFonts w:eastAsia="TimesNewRoman" w:cs="TimesNewRoman"/>
          <w:color w:val="000000" w:themeColor="text1"/>
        </w:rPr>
        <w:t>0.487 infections/subject/y</w:t>
      </w:r>
      <w:r w:rsidR="0003121B">
        <w:rPr>
          <w:rFonts w:eastAsia="TimesNewRoman" w:cs="TimesNewRoman"/>
          <w:color w:val="000000" w:themeColor="text1"/>
        </w:rPr>
        <w:t>ea</w:t>
      </w:r>
      <w:r w:rsidRPr="00E005C8">
        <w:rPr>
          <w:rFonts w:eastAsia="TimesNewRoman" w:cs="TimesNewRoman"/>
          <w:color w:val="000000" w:themeColor="text1"/>
        </w:rPr>
        <w:t>r), URTI (49 events; rate: 0.468 infections/subject/y</w:t>
      </w:r>
      <w:r w:rsidR="0003121B">
        <w:rPr>
          <w:rFonts w:eastAsia="TimesNewRoman" w:cs="TimesNewRoman"/>
          <w:color w:val="000000" w:themeColor="text1"/>
        </w:rPr>
        <w:t>ea</w:t>
      </w:r>
      <w:r w:rsidRPr="00E005C8">
        <w:rPr>
          <w:rFonts w:eastAsia="TimesNewRoman" w:cs="TimesNewRoman"/>
          <w:color w:val="000000" w:themeColor="text1"/>
        </w:rPr>
        <w:t>r), sinusitis (31 events; rate: 0.296 infections/subject/y</w:t>
      </w:r>
      <w:r w:rsidR="0003121B">
        <w:rPr>
          <w:rFonts w:eastAsia="TimesNewRoman" w:cs="TimesNewRoman"/>
          <w:color w:val="000000" w:themeColor="text1"/>
        </w:rPr>
        <w:t>ea</w:t>
      </w:r>
      <w:r w:rsidRPr="00E005C8">
        <w:rPr>
          <w:rFonts w:eastAsia="TimesNewRoman" w:cs="TimesNewRoman"/>
          <w:color w:val="000000" w:themeColor="text1"/>
        </w:rPr>
        <w:t xml:space="preserve">r), cough (26 events; 0.248 </w:t>
      </w:r>
      <w:r>
        <w:rPr>
          <w:rFonts w:eastAsia="TimesNewRoman" w:cs="TimesNewRoman"/>
          <w:color w:val="000000" w:themeColor="text1"/>
        </w:rPr>
        <w:t>infections/subject/y</w:t>
      </w:r>
      <w:r w:rsidR="0003121B">
        <w:rPr>
          <w:rFonts w:eastAsia="TimesNewRoman" w:cs="TimesNewRoman"/>
          <w:color w:val="000000" w:themeColor="text1"/>
        </w:rPr>
        <w:t>ea</w:t>
      </w:r>
      <w:r>
        <w:rPr>
          <w:rFonts w:eastAsia="TimesNewRoman" w:cs="TimesNewRoman"/>
          <w:color w:val="000000" w:themeColor="text1"/>
        </w:rPr>
        <w:t xml:space="preserve">r), and </w:t>
      </w:r>
      <w:r w:rsidRPr="00E005C8">
        <w:rPr>
          <w:rFonts w:eastAsia="TimesNewRoman" w:cs="TimesNewRoman"/>
          <w:color w:val="000000" w:themeColor="text1"/>
        </w:rPr>
        <w:t>nasopharyngitis (19 events; 0.182 infections/subject/y</w:t>
      </w:r>
      <w:r w:rsidR="0003121B">
        <w:rPr>
          <w:rFonts w:eastAsia="TimesNewRoman" w:cs="TimesNewRoman"/>
          <w:color w:val="000000" w:themeColor="text1"/>
        </w:rPr>
        <w:t>ea</w:t>
      </w:r>
      <w:r w:rsidRPr="00E005C8">
        <w:rPr>
          <w:rFonts w:eastAsia="TimesNewRoman" w:cs="TimesNewRoman"/>
          <w:color w:val="000000" w:themeColor="text1"/>
        </w:rPr>
        <w:t>r).</w:t>
      </w:r>
    </w:p>
    <w:p w:rsidR="005F74D8" w:rsidRPr="007E7F95" w:rsidRDefault="005F74D8" w:rsidP="0003121B">
      <w:pPr>
        <w:pStyle w:val="TableTitle"/>
      </w:pPr>
      <w:r w:rsidRPr="007E7F95">
        <w:t>Table 16: Summary of results for other efficacy endpoints (AT population) ZLB07_002CR extension</w:t>
      </w:r>
    </w:p>
    <w:p w:rsidR="005F74D8" w:rsidRPr="00E005C8" w:rsidRDefault="00F01513" w:rsidP="005F74D8">
      <w:pPr>
        <w:autoSpaceDE w:val="0"/>
        <w:autoSpaceDN w:val="0"/>
        <w:adjustRightInd w:val="0"/>
        <w:rPr>
          <w:rFonts w:eastAsia="TimesNewRoman" w:cs="TimesNewRoman"/>
          <w:color w:val="000000" w:themeColor="text1"/>
        </w:rPr>
      </w:pPr>
      <w:r>
        <w:rPr>
          <w:rFonts w:eastAsia="TimesNewRoman" w:cs="TimesNewRoman"/>
          <w:noProof/>
          <w:color w:val="000000" w:themeColor="text1"/>
          <w:lang w:eastAsia="en-AU"/>
        </w:rPr>
        <w:drawing>
          <wp:inline distT="0" distB="0" distL="0" distR="0" wp14:anchorId="00C1A53E" wp14:editId="1FECE749">
            <wp:extent cx="4323438" cy="2276475"/>
            <wp:effectExtent l="0" t="0" r="0" b="0"/>
            <wp:docPr id="32" name="Picture 32" descr="Table 16: Summary of results for other efficacy endpoints (AT population) ZLB07_002CR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6.jpg"/>
                    <pic:cNvPicPr/>
                  </pic:nvPicPr>
                  <pic:blipFill rotWithShape="1">
                    <a:blip r:embed="rId45" cstate="print">
                      <a:extLst>
                        <a:ext uri="{28A0092B-C50C-407E-A947-70E740481C1C}">
                          <a14:useLocalDpi xmlns:a14="http://schemas.microsoft.com/office/drawing/2010/main" val="0"/>
                        </a:ext>
                      </a:extLst>
                    </a:blip>
                    <a:srcRect b="2049"/>
                    <a:stretch/>
                  </pic:blipFill>
                  <pic:spPr bwMode="auto">
                    <a:xfrm>
                      <a:off x="0" y="0"/>
                      <a:ext cx="4330598" cy="2280245"/>
                    </a:xfrm>
                    <a:prstGeom prst="rect">
                      <a:avLst/>
                    </a:prstGeom>
                    <a:ln>
                      <a:noFill/>
                    </a:ln>
                    <a:extLst>
                      <a:ext uri="{53640926-AAD7-44D8-BBD7-CCE9431645EC}">
                        <a14:shadowObscured xmlns:a14="http://schemas.microsoft.com/office/drawing/2010/main"/>
                      </a:ext>
                    </a:extLst>
                  </pic:spPr>
                </pic:pic>
              </a:graphicData>
            </a:graphic>
          </wp:inline>
        </w:drawing>
      </w:r>
    </w:p>
    <w:p w:rsidR="005F74D8" w:rsidRPr="00E005C8" w:rsidRDefault="005F74D8" w:rsidP="005F74D8">
      <w:pPr>
        <w:autoSpaceDE w:val="0"/>
        <w:autoSpaceDN w:val="0"/>
        <w:adjustRightInd w:val="0"/>
        <w:rPr>
          <w:rFonts w:eastAsia="TimesNewRoman" w:cs="TimesNewRoman"/>
          <w:b/>
          <w:color w:val="000000" w:themeColor="text1"/>
        </w:rPr>
      </w:pPr>
      <w:r w:rsidRPr="00E005C8">
        <w:rPr>
          <w:rFonts w:eastAsia="TimesNewRoman" w:cs="TimesNewRoman"/>
          <w:b/>
          <w:color w:val="000000" w:themeColor="text1"/>
        </w:rPr>
        <w:t>HRQL results (Full HRQL population):</w:t>
      </w:r>
      <w:r w:rsidRPr="00E005C8">
        <w:rPr>
          <w:rFonts w:eastAsia="TimesNewRoman" w:cs="TimesNewRoman"/>
          <w:color w:val="000000" w:themeColor="text1"/>
        </w:rPr>
        <w:t xml:space="preserve"> HRQL scores from each instrument stable through M</w:t>
      </w:r>
      <w:r w:rsidR="0003121B">
        <w:rPr>
          <w:rFonts w:eastAsia="TimesNewRoman" w:cs="TimesNewRoman"/>
          <w:color w:val="000000" w:themeColor="text1"/>
        </w:rPr>
        <w:t>on</w:t>
      </w:r>
      <w:r w:rsidRPr="00E005C8">
        <w:rPr>
          <w:rFonts w:eastAsia="TimesNewRoman" w:cs="TimesNewRoman"/>
          <w:color w:val="000000" w:themeColor="text1"/>
        </w:rPr>
        <w:t>th 36.</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b/>
          <w:color w:val="000000" w:themeColor="text1"/>
        </w:rPr>
        <w:t xml:space="preserve">Safety results: </w:t>
      </w:r>
      <w:r w:rsidRPr="00E005C8">
        <w:rPr>
          <w:rFonts w:eastAsia="TimesNewRoman" w:cs="TimesNewRoman"/>
          <w:color w:val="000000" w:themeColor="text1"/>
        </w:rPr>
        <w:t xml:space="preserve">Evaluated in all 40 subjects. 5405 </w:t>
      </w:r>
      <w:r w:rsidR="0070299A">
        <w:rPr>
          <w:rFonts w:eastAsia="TimesNewRoman" w:cs="TimesNewRoman"/>
          <w:color w:val="000000" w:themeColor="text1"/>
        </w:rPr>
        <w:t>Week</w:t>
      </w:r>
      <w:r>
        <w:rPr>
          <w:rFonts w:eastAsia="TimesNewRoman" w:cs="TimesNewRoman"/>
          <w:color w:val="000000" w:themeColor="text1"/>
        </w:rPr>
        <w:t xml:space="preserve">ly infusions of IgPro20 </w:t>
      </w:r>
      <w:r w:rsidRPr="00E005C8">
        <w:rPr>
          <w:rFonts w:eastAsia="TimesNewRoman" w:cs="TimesNewRoman"/>
          <w:color w:val="000000" w:themeColor="text1"/>
        </w:rPr>
        <w:t xml:space="preserve">administered. 97.5% had at least 1 AE, and 20.0% </w:t>
      </w:r>
      <w:r>
        <w:rPr>
          <w:rFonts w:eastAsia="TimesNewRoman" w:cs="TimesNewRoman"/>
          <w:color w:val="000000" w:themeColor="text1"/>
        </w:rPr>
        <w:t xml:space="preserve">had </w:t>
      </w:r>
      <w:r w:rsidR="0003121B">
        <w:rPr>
          <w:rFonts w:eastAsia="TimesNewRoman" w:cs="TimesNewRoman"/>
          <w:color w:val="000000" w:themeColor="text1"/>
        </w:rPr>
        <w:t>≥</w:t>
      </w:r>
      <w:r w:rsidRPr="00E005C8">
        <w:rPr>
          <w:rFonts w:eastAsia="TimesNewRoman" w:cs="TimesNewRoman"/>
          <w:color w:val="000000" w:themeColor="text1"/>
        </w:rPr>
        <w:t>1 AE considered by the investigator to be at least possibly related to study drug. No causally related AE preferred term was reported for more than 1 subject during the study. 506 AEs (rate: 0.0936 AE/infusion) of which 14 AEs were considered at least possibly related to study d</w:t>
      </w:r>
      <w:r w:rsidR="00F47CC2">
        <w:rPr>
          <w:rFonts w:eastAsia="TimesNewRoman" w:cs="TimesNewRoman"/>
          <w:color w:val="000000" w:themeColor="text1"/>
        </w:rPr>
        <w:t>rug (rate: 0.0026 AE/infusion).</w:t>
      </w:r>
    </w:p>
    <w:p w:rsidR="005F74D8" w:rsidRDefault="005F74D8" w:rsidP="005F74D8">
      <w:pPr>
        <w:autoSpaceDE w:val="0"/>
        <w:autoSpaceDN w:val="0"/>
        <w:adjustRightInd w:val="0"/>
        <w:rPr>
          <w:rFonts w:eastAsia="TimesNewRoman" w:cs="TimesNewRoman"/>
          <w:b/>
          <w:color w:val="000000" w:themeColor="text1"/>
        </w:rPr>
      </w:pPr>
      <w:r w:rsidRPr="00E005C8">
        <w:rPr>
          <w:rFonts w:eastAsia="TimesNewRoman" w:cs="TimesNewRoman"/>
          <w:color w:val="000000" w:themeColor="text1"/>
        </w:rPr>
        <w:t xml:space="preserve">SAEs were reported by 35.0% subjects; none were considered related to the study drug. </w:t>
      </w:r>
      <w:r w:rsidRPr="00E005C8">
        <w:rPr>
          <w:rFonts w:eastAsia="TimesNewRoman" w:cs="TimesNewRoman"/>
          <w:b/>
          <w:color w:val="000000" w:themeColor="text1"/>
        </w:rPr>
        <w:t>One subject with CVID died from an</w:t>
      </w:r>
      <w:r w:rsidR="0003121B">
        <w:rPr>
          <w:rFonts w:eastAsia="TimesNewRoman" w:cs="TimesNewRoman"/>
          <w:b/>
          <w:color w:val="000000" w:themeColor="text1"/>
        </w:rPr>
        <w:t xml:space="preserve"> AE of pneumonia [information redacted]</w:t>
      </w:r>
      <w:r w:rsidRPr="00E005C8">
        <w:rPr>
          <w:rFonts w:eastAsia="TimesNewRoman" w:cs="TimesNewRoman"/>
          <w:b/>
          <w:color w:val="000000" w:themeColor="text1"/>
        </w:rPr>
        <w:t>.</w:t>
      </w:r>
    </w:p>
    <w:p w:rsidR="005F74D8" w:rsidRDefault="005F74D8" w:rsidP="005F74D8">
      <w:pPr>
        <w:autoSpaceDE w:val="0"/>
        <w:autoSpaceDN w:val="0"/>
        <w:adjustRightInd w:val="0"/>
        <w:rPr>
          <w:color w:val="000000" w:themeColor="text1"/>
        </w:rPr>
      </w:pPr>
      <w:r w:rsidRPr="00E005C8">
        <w:rPr>
          <w:b/>
          <w:color w:val="000000" w:themeColor="text1"/>
        </w:rPr>
        <w:t xml:space="preserve">Overall conclusion: </w:t>
      </w:r>
      <w:r w:rsidRPr="00E005C8">
        <w:rPr>
          <w:color w:val="000000" w:themeColor="text1"/>
        </w:rPr>
        <w:t xml:space="preserve">Long-term therapy with </w:t>
      </w:r>
      <w:r w:rsidR="0070299A">
        <w:rPr>
          <w:color w:val="000000" w:themeColor="text1"/>
        </w:rPr>
        <w:t>Week</w:t>
      </w:r>
      <w:r w:rsidRPr="00E005C8">
        <w:rPr>
          <w:color w:val="000000" w:themeColor="text1"/>
        </w:rPr>
        <w:t>ly IgPro20 is efficacious and safe long term.</w:t>
      </w:r>
    </w:p>
    <w:p w:rsidR="005F74D8" w:rsidRPr="00E005C8" w:rsidRDefault="005F74D8" w:rsidP="00F47CC2">
      <w:pPr>
        <w:pStyle w:val="Heading4"/>
      </w:pPr>
      <w:bookmarkStart w:id="278" w:name="_Toc373748428"/>
      <w:r w:rsidRPr="00E005C8">
        <w:t xml:space="preserve">US </w:t>
      </w:r>
      <w:r w:rsidRPr="00F47CC2">
        <w:t>extension</w:t>
      </w:r>
      <w:r w:rsidRPr="00E005C8">
        <w:t xml:space="preserve"> study IgPro20_3001</w:t>
      </w:r>
      <w:bookmarkEnd w:id="278"/>
    </w:p>
    <w:p w:rsidR="005F74D8" w:rsidRPr="00C60720" w:rsidRDefault="005F74D8" w:rsidP="005F74D8">
      <w:pPr>
        <w:autoSpaceDE w:val="0"/>
        <w:autoSpaceDN w:val="0"/>
        <w:adjustRightInd w:val="0"/>
        <w:rPr>
          <w:rFonts w:cs="Arial"/>
          <w:color w:val="000000" w:themeColor="text1"/>
        </w:rPr>
      </w:pPr>
      <w:r w:rsidRPr="00C60720">
        <w:rPr>
          <w:rFonts w:cs="Arial"/>
          <w:color w:val="000000" w:themeColor="text1"/>
        </w:rPr>
        <w:t>A Multicenter Extension Study of the Efficacy, Tolerability, and Safety of Immune Globulin Subcutaneous (Human) IgPro20 in Subjects with</w:t>
      </w:r>
      <w:r>
        <w:rPr>
          <w:rFonts w:cs="Arial"/>
          <w:color w:val="000000" w:themeColor="text1"/>
        </w:rPr>
        <w:t xml:space="preserve"> Primary Immunodeficiency </w:t>
      </w:r>
      <w:r w:rsidRPr="00C60720">
        <w:rPr>
          <w:rFonts w:cs="Arial"/>
          <w:color w:val="000000" w:themeColor="text1"/>
        </w:rPr>
        <w:t>(IgPro20 US Extension Study - IgPro20_3001)</w:t>
      </w:r>
      <w:r>
        <w:rPr>
          <w:rFonts w:cs="Arial"/>
          <w:color w:val="000000" w:themeColor="text1"/>
        </w:rPr>
        <w:t xml:space="preserve">. </w:t>
      </w:r>
      <w:r w:rsidRPr="00E005C8">
        <w:rPr>
          <w:color w:val="000000" w:themeColor="text1"/>
        </w:rPr>
        <w:t>Conducted at 4 sites in the US that between 04</w:t>
      </w:r>
      <w:r w:rsidR="0003121B">
        <w:rPr>
          <w:color w:val="000000" w:themeColor="text1"/>
        </w:rPr>
        <w:t xml:space="preserve"> </w:t>
      </w:r>
      <w:r w:rsidRPr="00E005C8">
        <w:rPr>
          <w:color w:val="000000" w:themeColor="text1"/>
        </w:rPr>
        <w:t>Jun</w:t>
      </w:r>
      <w:r w:rsidR="0003121B">
        <w:rPr>
          <w:color w:val="000000" w:themeColor="text1"/>
        </w:rPr>
        <w:t>e 20</w:t>
      </w:r>
      <w:r>
        <w:rPr>
          <w:color w:val="000000" w:themeColor="text1"/>
        </w:rPr>
        <w:t>08-</w:t>
      </w:r>
      <w:r w:rsidRPr="00E005C8">
        <w:rPr>
          <w:color w:val="000000" w:themeColor="text1"/>
        </w:rPr>
        <w:t>16</w:t>
      </w:r>
      <w:r w:rsidR="0003121B">
        <w:rPr>
          <w:color w:val="000000" w:themeColor="text1"/>
        </w:rPr>
        <w:t xml:space="preserve"> </w:t>
      </w:r>
      <w:r w:rsidRPr="00E005C8">
        <w:rPr>
          <w:color w:val="000000" w:themeColor="text1"/>
        </w:rPr>
        <w:t>Jun</w:t>
      </w:r>
      <w:r w:rsidR="0003121B">
        <w:rPr>
          <w:color w:val="000000" w:themeColor="text1"/>
        </w:rPr>
        <w:t>e 20</w:t>
      </w:r>
      <w:r w:rsidRPr="00E005C8">
        <w:rPr>
          <w:color w:val="000000" w:themeColor="text1"/>
        </w:rPr>
        <w:t>10. This study was designed to prov</w:t>
      </w:r>
      <w:r>
        <w:rPr>
          <w:color w:val="000000" w:themeColor="text1"/>
        </w:rPr>
        <w:t xml:space="preserve">ide long-term data on </w:t>
      </w:r>
      <w:r w:rsidRPr="00E005C8">
        <w:rPr>
          <w:color w:val="000000" w:themeColor="text1"/>
        </w:rPr>
        <w:t xml:space="preserve">efficacy, tolerability, and safety of IgPro20 through an </w:t>
      </w:r>
      <w:r w:rsidR="0003121B">
        <w:rPr>
          <w:color w:val="000000" w:themeColor="text1"/>
        </w:rPr>
        <w:t>≤</w:t>
      </w:r>
      <w:r w:rsidRPr="00E005C8">
        <w:rPr>
          <w:color w:val="000000" w:themeColor="text1"/>
        </w:rPr>
        <w:t>120-</w:t>
      </w:r>
      <w:r w:rsidR="0070299A">
        <w:rPr>
          <w:color w:val="000000" w:themeColor="text1"/>
        </w:rPr>
        <w:t>Week</w:t>
      </w:r>
      <w:r w:rsidRPr="00E005C8">
        <w:rPr>
          <w:color w:val="000000" w:themeColor="text1"/>
        </w:rPr>
        <w:t xml:space="preserve"> treatment and observation period in </w:t>
      </w:r>
      <w:r w:rsidRPr="00C60720">
        <w:rPr>
          <w:b/>
          <w:color w:val="000000" w:themeColor="text1"/>
        </w:rPr>
        <w:t>ZLB04_009CR</w:t>
      </w:r>
      <w:r w:rsidRPr="00E005C8">
        <w:rPr>
          <w:color w:val="000000" w:themeColor="text1"/>
        </w:rPr>
        <w:t xml:space="preserve"> </w:t>
      </w:r>
      <w:r>
        <w:rPr>
          <w:color w:val="000000" w:themeColor="text1"/>
        </w:rPr>
        <w:t>subjects</w:t>
      </w:r>
      <w:r w:rsidRPr="00E005C8">
        <w:rPr>
          <w:color w:val="000000" w:themeColor="text1"/>
        </w:rPr>
        <w:t>. In addition, longitudinal data on HRQL, treatment satisfaction, and utility over the study period was collected to assess maintenance and sustainability of long-term therapy effects.</w:t>
      </w:r>
      <w:r>
        <w:rPr>
          <w:color w:val="000000" w:themeColor="text1"/>
        </w:rPr>
        <w:t xml:space="preserve"> </w:t>
      </w:r>
      <w:r w:rsidRPr="00E005C8">
        <w:rPr>
          <w:color w:val="000000" w:themeColor="text1"/>
        </w:rPr>
        <w:t>The efficacy objectives included the annual rate of serious SBIs in the ITT</w:t>
      </w:r>
      <w:r w:rsidR="0003121B">
        <w:rPr>
          <w:color w:val="000000" w:themeColor="text1"/>
        </w:rPr>
        <w:t xml:space="preserve"> </w:t>
      </w:r>
      <w:r>
        <w:rPr>
          <w:color w:val="000000" w:themeColor="text1"/>
        </w:rPr>
        <w:t>and PPE</w:t>
      </w:r>
      <w:r w:rsidR="000D6A22">
        <w:rPr>
          <w:color w:val="000000" w:themeColor="text1"/>
        </w:rPr>
        <w:t xml:space="preserve"> </w:t>
      </w:r>
      <w:r w:rsidR="005B5A04">
        <w:rPr>
          <w:color w:val="000000" w:themeColor="text1"/>
        </w:rPr>
        <w:t>population</w:t>
      </w:r>
      <w:r>
        <w:rPr>
          <w:color w:val="000000" w:themeColor="text1"/>
        </w:rPr>
        <w:t>s</w:t>
      </w:r>
      <w:r w:rsidRPr="00E005C8">
        <w:rPr>
          <w:color w:val="000000" w:themeColor="text1"/>
        </w:rPr>
        <w:t xml:space="preserve">, nos. of infection </w:t>
      </w:r>
      <w:r>
        <w:rPr>
          <w:color w:val="000000" w:themeColor="text1"/>
        </w:rPr>
        <w:t xml:space="preserve">episodes, </w:t>
      </w:r>
      <w:r w:rsidRPr="00E005C8">
        <w:rPr>
          <w:color w:val="000000" w:themeColor="text1"/>
        </w:rPr>
        <w:t xml:space="preserve">nos. of days out of work/school/kindergarten/day care or unable to perform normal daily activities due to </w:t>
      </w:r>
      <w:r>
        <w:rPr>
          <w:color w:val="000000" w:themeColor="text1"/>
        </w:rPr>
        <w:t xml:space="preserve">infections, </w:t>
      </w:r>
      <w:r w:rsidRPr="00E005C8">
        <w:rPr>
          <w:color w:val="000000" w:themeColor="text1"/>
        </w:rPr>
        <w:t xml:space="preserve">nos. of days of hospitalisation due to infections, use of antibiotics for </w:t>
      </w:r>
      <w:r>
        <w:rPr>
          <w:color w:val="000000" w:themeColor="text1"/>
        </w:rPr>
        <w:t>prophylaxis/</w:t>
      </w:r>
      <w:r w:rsidRPr="00E005C8">
        <w:rPr>
          <w:color w:val="000000" w:themeColor="text1"/>
        </w:rPr>
        <w:t xml:space="preserve"> treatment; total serum IgG C</w:t>
      </w:r>
      <w:r w:rsidRPr="00E005C8">
        <w:rPr>
          <w:color w:val="000000" w:themeColor="text1"/>
          <w:vertAlign w:val="subscript"/>
        </w:rPr>
        <w:t>trough</w:t>
      </w:r>
      <w:r w:rsidRPr="00E005C8">
        <w:rPr>
          <w:color w:val="000000" w:themeColor="text1"/>
        </w:rPr>
        <w:t xml:space="preserve">. </w:t>
      </w:r>
      <w:r>
        <w:rPr>
          <w:color w:val="000000" w:themeColor="text1"/>
        </w:rPr>
        <w:t xml:space="preserve">Safety included </w:t>
      </w:r>
      <w:r w:rsidRPr="00E005C8">
        <w:rPr>
          <w:color w:val="000000" w:themeColor="text1"/>
        </w:rPr>
        <w:t>assessment of lo</w:t>
      </w:r>
      <w:r w:rsidR="00F47CC2">
        <w:rPr>
          <w:color w:val="000000" w:themeColor="text1"/>
        </w:rPr>
        <w:t>cal tolerability and AEs.</w:t>
      </w:r>
    </w:p>
    <w:p w:rsidR="005F74D8" w:rsidRDefault="005F74D8" w:rsidP="005F74D8">
      <w:pPr>
        <w:rPr>
          <w:color w:val="000000" w:themeColor="text1"/>
        </w:rPr>
      </w:pPr>
      <w:r w:rsidRPr="00E005C8">
        <w:rPr>
          <w:b/>
          <w:color w:val="000000" w:themeColor="text1"/>
        </w:rPr>
        <w:t>Methodology:</w:t>
      </w:r>
      <w:r w:rsidR="000D6A22">
        <w:rPr>
          <w:b/>
          <w:color w:val="000000" w:themeColor="text1"/>
        </w:rPr>
        <w:t xml:space="preserve"> </w:t>
      </w:r>
      <w:r w:rsidRPr="00E005C8">
        <w:rPr>
          <w:color w:val="000000" w:themeColor="text1"/>
        </w:rPr>
        <w:t>This was a prospective, multicenter, open-label, single-arm, Phase III extension study to provide</w:t>
      </w:r>
      <w:r w:rsidRPr="00E005C8">
        <w:rPr>
          <w:b/>
          <w:color w:val="000000" w:themeColor="text1"/>
        </w:rPr>
        <w:t xml:space="preserve"> </w:t>
      </w:r>
      <w:r w:rsidRPr="00E005C8">
        <w:rPr>
          <w:color w:val="000000" w:themeColor="text1"/>
        </w:rPr>
        <w:t xml:space="preserve">additional long-term data for IgPro20 for subjects in ZLB04_009CR. Adequate </w:t>
      </w:r>
      <w:r w:rsidRPr="00E005C8">
        <w:rPr>
          <w:color w:val="000000" w:themeColor="text1"/>
        </w:rPr>
        <w:lastRenderedPageBreak/>
        <w:t>dosing during the study was monitored based on the TLR, steady-state trough level [C</w:t>
      </w:r>
      <w:r w:rsidRPr="00E005C8">
        <w:rPr>
          <w:color w:val="000000" w:themeColor="text1"/>
          <w:vertAlign w:val="subscript"/>
        </w:rPr>
        <w:t>trough</w:t>
      </w:r>
      <w:r w:rsidRPr="00E005C8">
        <w:rPr>
          <w:color w:val="000000" w:themeColor="text1"/>
        </w:rPr>
        <w:t>] value SC replacement therapy divided by the last C</w:t>
      </w:r>
      <w:r w:rsidRPr="00E005C8">
        <w:rPr>
          <w:color w:val="000000" w:themeColor="text1"/>
          <w:vertAlign w:val="subscript"/>
        </w:rPr>
        <w:t>trough</w:t>
      </w:r>
      <w:r w:rsidRPr="00E005C8">
        <w:rPr>
          <w:color w:val="000000" w:themeColor="text1"/>
        </w:rPr>
        <w:t xml:space="preserve"> value during stable intravenous replacement therapy. Study visits every 12-</w:t>
      </w:r>
      <w:r w:rsidR="0070299A">
        <w:rPr>
          <w:color w:val="000000" w:themeColor="text1"/>
        </w:rPr>
        <w:t>Week</w:t>
      </w:r>
      <w:r w:rsidRPr="00E005C8">
        <w:rPr>
          <w:color w:val="000000" w:themeColor="text1"/>
        </w:rPr>
        <w:t xml:space="preserve"> intervals for efficacy and safety evaluations. </w:t>
      </w:r>
      <w:r w:rsidRPr="00E005C8">
        <w:rPr>
          <w:b/>
          <w:color w:val="000000" w:themeColor="text1"/>
        </w:rPr>
        <w:t xml:space="preserve">Descriptive statistics </w:t>
      </w:r>
      <w:r w:rsidRPr="00E005C8">
        <w:rPr>
          <w:color w:val="000000" w:themeColor="text1"/>
        </w:rPr>
        <w:t>for continuous variables generally included</w:t>
      </w:r>
      <w:r w:rsidR="0070299A">
        <w:rPr>
          <w:color w:val="000000" w:themeColor="text1"/>
        </w:rPr>
        <w:t xml:space="preserve"> Number </w:t>
      </w:r>
      <w:r w:rsidRPr="00E005C8">
        <w:rPr>
          <w:color w:val="000000" w:themeColor="text1"/>
        </w:rPr>
        <w:t>of subjects, mean, standard deviation (SD), and the 0% (minimum), 25%, 50% (median), 75%, and 100% (maximum) quantiles. Frequency distributi</w:t>
      </w:r>
      <w:r w:rsidR="00F47CC2">
        <w:rPr>
          <w:color w:val="000000" w:themeColor="text1"/>
        </w:rPr>
        <w:t>ons given for categorical data.</w:t>
      </w:r>
    </w:p>
    <w:p w:rsidR="005F74D8" w:rsidRDefault="005F74D8" w:rsidP="005F74D8">
      <w:pPr>
        <w:rPr>
          <w:b/>
          <w:color w:val="000000" w:themeColor="text1"/>
        </w:rPr>
      </w:pPr>
      <w:r w:rsidRPr="00EB6D2E">
        <w:rPr>
          <w:b/>
          <w:bCs/>
          <w:iCs/>
          <w:color w:val="000000" w:themeColor="text1"/>
        </w:rPr>
        <w:t>Analysis population:</w:t>
      </w:r>
      <w:r w:rsidRPr="00E005C8">
        <w:rPr>
          <w:b/>
          <w:bCs/>
          <w:i/>
          <w:iCs/>
          <w:color w:val="000000" w:themeColor="text1"/>
        </w:rPr>
        <w:t xml:space="preserve"> </w:t>
      </w:r>
      <w:r w:rsidRPr="00E005C8">
        <w:rPr>
          <w:color w:val="000000" w:themeColor="text1"/>
        </w:rPr>
        <w:t xml:space="preserve">Efficacy analyses were carried out on the </w:t>
      </w:r>
      <w:r w:rsidRPr="00E005C8">
        <w:rPr>
          <w:b/>
          <w:bCs/>
          <w:color w:val="000000" w:themeColor="text1"/>
        </w:rPr>
        <w:t xml:space="preserve">ITT </w:t>
      </w:r>
      <w:r w:rsidRPr="00C60720">
        <w:rPr>
          <w:bCs/>
          <w:color w:val="000000" w:themeColor="text1"/>
        </w:rPr>
        <w:t>(</w:t>
      </w:r>
      <w:r w:rsidRPr="00E005C8">
        <w:rPr>
          <w:color w:val="000000" w:themeColor="text1"/>
        </w:rPr>
        <w:t>all subjects with the disease under study, treated with study</w:t>
      </w:r>
      <w:r>
        <w:rPr>
          <w:b/>
          <w:color w:val="000000" w:themeColor="text1"/>
        </w:rPr>
        <w:t xml:space="preserve"> </w:t>
      </w:r>
      <w:r w:rsidRPr="00E005C8">
        <w:rPr>
          <w:color w:val="000000" w:themeColor="text1"/>
        </w:rPr>
        <w:t xml:space="preserve">medication during any study period) and </w:t>
      </w:r>
      <w:r w:rsidRPr="00E005C8">
        <w:rPr>
          <w:b/>
          <w:bCs/>
          <w:color w:val="000000" w:themeColor="text1"/>
        </w:rPr>
        <w:t>PPE (</w:t>
      </w:r>
      <w:r w:rsidRPr="00E005C8">
        <w:rPr>
          <w:color w:val="000000" w:themeColor="text1"/>
        </w:rPr>
        <w:t xml:space="preserve">all subjects who completed at least 48 </w:t>
      </w:r>
      <w:r w:rsidR="0070299A">
        <w:rPr>
          <w:color w:val="000000" w:themeColor="text1"/>
        </w:rPr>
        <w:t>Week</w:t>
      </w:r>
      <w:r w:rsidRPr="00E005C8">
        <w:rPr>
          <w:color w:val="000000" w:themeColor="text1"/>
        </w:rPr>
        <w:t>s of the efficacy period that started with the first IgPro20 dose in this study populations).</w:t>
      </w:r>
      <w:r w:rsidRPr="00E005C8">
        <w:rPr>
          <w:b/>
          <w:bCs/>
          <w:i/>
          <w:iCs/>
          <w:color w:val="000000" w:themeColor="text1"/>
        </w:rPr>
        <w:t xml:space="preserve"> </w:t>
      </w:r>
      <w:r w:rsidRPr="00E005C8">
        <w:rPr>
          <w:bCs/>
          <w:iCs/>
          <w:color w:val="000000" w:themeColor="text1"/>
        </w:rPr>
        <w:t>The 12-month rate of SBIs was estimated along with the 1-sided 99% upper confidence limit in the ITT</w:t>
      </w:r>
      <w:r>
        <w:rPr>
          <w:b/>
          <w:color w:val="000000" w:themeColor="text1"/>
        </w:rPr>
        <w:t xml:space="preserve"> </w:t>
      </w:r>
      <w:r w:rsidRPr="00E005C8">
        <w:rPr>
          <w:bCs/>
          <w:iCs/>
          <w:color w:val="000000" w:themeColor="text1"/>
        </w:rPr>
        <w:t>and PPE populations. Analyses of all other efficacy endpoints based on ITT population.</w:t>
      </w:r>
    </w:p>
    <w:p w:rsidR="005F74D8" w:rsidRDefault="005F74D8" w:rsidP="005F74D8">
      <w:pPr>
        <w:rPr>
          <w:color w:val="000000" w:themeColor="text1"/>
        </w:rPr>
      </w:pPr>
      <w:r w:rsidRPr="00E005C8">
        <w:rPr>
          <w:b/>
          <w:color w:val="000000" w:themeColor="text1"/>
        </w:rPr>
        <w:t>Study drug:</w:t>
      </w:r>
      <w:r w:rsidRPr="00E005C8">
        <w:rPr>
          <w:color w:val="000000" w:themeColor="text1"/>
        </w:rPr>
        <w:t xml:space="preserve"> IgPro20 SC infusion </w:t>
      </w:r>
      <w:r w:rsidR="0070299A">
        <w:rPr>
          <w:color w:val="000000" w:themeColor="text1"/>
        </w:rPr>
        <w:t>Week</w:t>
      </w:r>
      <w:r w:rsidRPr="00E005C8">
        <w:rPr>
          <w:color w:val="000000" w:themeColor="text1"/>
        </w:rPr>
        <w:t xml:space="preserve">ly </w:t>
      </w:r>
      <w:r w:rsidRPr="00E005C8">
        <w:rPr>
          <w:b/>
          <w:color w:val="000000" w:themeColor="text1"/>
        </w:rPr>
        <w:t xml:space="preserve">or twice </w:t>
      </w:r>
      <w:r w:rsidR="0070299A">
        <w:rPr>
          <w:b/>
          <w:color w:val="000000" w:themeColor="text1"/>
        </w:rPr>
        <w:t>Week</w:t>
      </w:r>
      <w:r w:rsidRPr="00E005C8">
        <w:rPr>
          <w:b/>
          <w:color w:val="000000" w:themeColor="text1"/>
        </w:rPr>
        <w:t>ly</w:t>
      </w:r>
      <w:r w:rsidRPr="00E005C8">
        <w:rPr>
          <w:color w:val="000000" w:themeColor="text1"/>
        </w:rPr>
        <w:t xml:space="preserve">, depending on the investigator’s medical judgment and subject’s preference. Initial </w:t>
      </w:r>
      <w:r w:rsidR="0070299A">
        <w:rPr>
          <w:color w:val="000000" w:themeColor="text1"/>
        </w:rPr>
        <w:t>Week</w:t>
      </w:r>
      <w:r w:rsidRPr="00E005C8">
        <w:rPr>
          <w:color w:val="000000" w:themeColor="text1"/>
        </w:rPr>
        <w:t xml:space="preserve">ly dose was the same as last dose during </w:t>
      </w:r>
      <w:r w:rsidRPr="00E005C8">
        <w:rPr>
          <w:b/>
          <w:color w:val="000000" w:themeColor="text1"/>
        </w:rPr>
        <w:t>ZLB04_009CR</w:t>
      </w:r>
      <w:r w:rsidRPr="00E005C8">
        <w:rPr>
          <w:color w:val="000000" w:themeColor="text1"/>
        </w:rPr>
        <w:t xml:space="preserve">. Dose adjustments if TLR for IgG differed from the threshold value of 1.29 (calculated from results of </w:t>
      </w:r>
      <w:r w:rsidRPr="00E005C8">
        <w:rPr>
          <w:b/>
          <w:color w:val="000000" w:themeColor="text1"/>
        </w:rPr>
        <w:t>ZLB04_009CR</w:t>
      </w:r>
      <w:r w:rsidRPr="00E005C8">
        <w:rPr>
          <w:color w:val="000000" w:themeColor="text1"/>
        </w:rPr>
        <w:t xml:space="preserve"> PK by &gt;15% (</w:t>
      </w:r>
      <w:r w:rsidR="00C2531A">
        <w:rPr>
          <w:color w:val="000000" w:themeColor="text1"/>
        </w:rPr>
        <w:t>that is</w:t>
      </w:r>
      <w:r w:rsidR="00617D86">
        <w:rPr>
          <w:color w:val="000000" w:themeColor="text1"/>
        </w:rPr>
        <w:t>,</w:t>
      </w:r>
      <w:r w:rsidRPr="00E005C8">
        <w:rPr>
          <w:color w:val="000000" w:themeColor="text1"/>
        </w:rPr>
        <w:t xml:space="preserve"> was below 1.10 or above 1.50).</w:t>
      </w:r>
      <w:r>
        <w:rPr>
          <w:b/>
          <w:color w:val="000000" w:themeColor="text1"/>
        </w:rPr>
        <w:t xml:space="preserve"> </w:t>
      </w:r>
      <w:r w:rsidRPr="00E005C8">
        <w:rPr>
          <w:b/>
          <w:color w:val="000000" w:themeColor="text1"/>
        </w:rPr>
        <w:t>Results: Planned enrolment:</w:t>
      </w:r>
      <w:r w:rsidRPr="00E005C8">
        <w:rPr>
          <w:color w:val="000000" w:themeColor="text1"/>
        </w:rPr>
        <w:t xml:space="preserve"> </w:t>
      </w:r>
      <w:r w:rsidR="003944A8">
        <w:rPr>
          <w:color w:val="000000" w:themeColor="text1"/>
        </w:rPr>
        <w:t>approximately</w:t>
      </w:r>
      <w:r w:rsidRPr="00E005C8">
        <w:rPr>
          <w:color w:val="000000" w:themeColor="text1"/>
        </w:rPr>
        <w:t>20; Actual enrolment: 21; ITT population: 21; PPE population: 18</w:t>
      </w:r>
      <w:r>
        <w:rPr>
          <w:b/>
          <w:color w:val="000000" w:themeColor="text1"/>
        </w:rPr>
        <w:t xml:space="preserve"> </w:t>
      </w:r>
      <w:r w:rsidR="00F47CC2">
        <w:rPr>
          <w:color w:val="000000" w:themeColor="text1"/>
        </w:rPr>
        <w:t>Discontinued: 5.</w:t>
      </w:r>
    </w:p>
    <w:p w:rsidR="005F74D8" w:rsidRDefault="005F74D8" w:rsidP="005F74D8">
      <w:pPr>
        <w:rPr>
          <w:bCs/>
          <w:color w:val="000000" w:themeColor="text1"/>
        </w:rPr>
      </w:pPr>
      <w:r w:rsidRPr="00E005C8">
        <w:rPr>
          <w:b/>
          <w:color w:val="000000" w:themeColor="text1"/>
        </w:rPr>
        <w:t>Demographics:</w:t>
      </w:r>
      <w:r w:rsidRPr="00E005C8">
        <w:rPr>
          <w:color w:val="000000" w:themeColor="text1"/>
        </w:rPr>
        <w:t xml:space="preserve"> Mean age </w:t>
      </w:r>
      <w:r w:rsidRPr="00E005C8">
        <w:rPr>
          <w:rFonts w:eastAsia="TimesNewRoman" w:cs="TimesNewRoman"/>
          <w:color w:val="000000" w:themeColor="text1"/>
        </w:rPr>
        <w:t xml:space="preserve">42.4 </w:t>
      </w:r>
      <w:r w:rsidR="003944A8">
        <w:rPr>
          <w:rFonts w:eastAsia="TimesNewRoman" w:cs="TimesNewRoman"/>
          <w:color w:val="000000" w:themeColor="text1"/>
        </w:rPr>
        <w:t>years</w:t>
      </w:r>
      <w:r w:rsidRPr="00E005C8">
        <w:rPr>
          <w:rFonts w:eastAsia="TimesNewRoman" w:cs="TimesNewRoman"/>
          <w:color w:val="000000" w:themeColor="text1"/>
        </w:rPr>
        <w:t>; 15 F:</w:t>
      </w:r>
      <w:r w:rsidR="0003121B">
        <w:rPr>
          <w:rFonts w:eastAsia="TimesNewRoman" w:cs="TimesNewRoman"/>
          <w:color w:val="000000" w:themeColor="text1"/>
        </w:rPr>
        <w:t xml:space="preserve"> </w:t>
      </w:r>
      <w:r w:rsidRPr="00E005C8">
        <w:rPr>
          <w:rFonts w:eastAsia="TimesNewRoman" w:cs="TimesNewRoman"/>
          <w:color w:val="000000" w:themeColor="text1"/>
        </w:rPr>
        <w:t xml:space="preserve">6 M. 9.5% (n=2) were &lt;16 </w:t>
      </w:r>
      <w:r w:rsidR="003944A8">
        <w:rPr>
          <w:rFonts w:eastAsia="TimesNewRoman" w:cs="TimesNewRoman"/>
          <w:color w:val="000000" w:themeColor="text1"/>
        </w:rPr>
        <w:t>years</w:t>
      </w:r>
      <w:r w:rsidRPr="00E005C8">
        <w:rPr>
          <w:rFonts w:eastAsia="TimesNewRoman" w:cs="TimesNewRoman"/>
          <w:color w:val="000000" w:themeColor="text1"/>
        </w:rPr>
        <w:t xml:space="preserve"> old.</w:t>
      </w:r>
      <w:r w:rsidR="000D6A22">
        <w:rPr>
          <w:rFonts w:eastAsia="TimesNewRoman" w:cs="TimesNewRoman"/>
          <w:color w:val="000000" w:themeColor="text1"/>
        </w:rPr>
        <w:t xml:space="preserve"> </w:t>
      </w:r>
      <w:r w:rsidRPr="00E005C8">
        <w:rPr>
          <w:b/>
          <w:color w:val="000000" w:themeColor="text1"/>
        </w:rPr>
        <w:t>Investigational medicinal product administration</w:t>
      </w:r>
      <w:r w:rsidRPr="00E005C8">
        <w:rPr>
          <w:color w:val="000000" w:themeColor="text1"/>
        </w:rPr>
        <w:t xml:space="preserve">: </w:t>
      </w:r>
      <w:r w:rsidRPr="00E005C8">
        <w:rPr>
          <w:bCs/>
          <w:color w:val="000000" w:themeColor="text1"/>
        </w:rPr>
        <w:t xml:space="preserve">Median duration 87 </w:t>
      </w:r>
      <w:r w:rsidR="0070299A">
        <w:rPr>
          <w:bCs/>
          <w:color w:val="000000" w:themeColor="text1"/>
        </w:rPr>
        <w:t>Week</w:t>
      </w:r>
      <w:r w:rsidRPr="00E005C8">
        <w:rPr>
          <w:bCs/>
          <w:color w:val="000000" w:themeColor="text1"/>
        </w:rPr>
        <w:t xml:space="preserve">s (11-104 </w:t>
      </w:r>
      <w:r w:rsidR="0070299A">
        <w:rPr>
          <w:bCs/>
          <w:color w:val="000000" w:themeColor="text1"/>
        </w:rPr>
        <w:t>Week</w:t>
      </w:r>
      <w:r w:rsidRPr="00E005C8">
        <w:rPr>
          <w:bCs/>
          <w:color w:val="000000" w:themeColor="text1"/>
        </w:rPr>
        <w:t xml:space="preserve">s). All subjects except for 1 on </w:t>
      </w:r>
      <w:r w:rsidR="0070299A">
        <w:rPr>
          <w:bCs/>
          <w:color w:val="000000" w:themeColor="text1"/>
        </w:rPr>
        <w:t>Week</w:t>
      </w:r>
      <w:r w:rsidRPr="00E005C8">
        <w:rPr>
          <w:bCs/>
          <w:color w:val="000000" w:themeColor="text1"/>
        </w:rPr>
        <w:t>ly infusions. Median</w:t>
      </w:r>
      <w:r w:rsidR="0070299A">
        <w:rPr>
          <w:bCs/>
          <w:color w:val="000000" w:themeColor="text1"/>
        </w:rPr>
        <w:t xml:space="preserve"> Number </w:t>
      </w:r>
      <w:r w:rsidRPr="00E005C8">
        <w:rPr>
          <w:bCs/>
          <w:color w:val="000000" w:themeColor="text1"/>
        </w:rPr>
        <w:t>of</w:t>
      </w:r>
      <w:r w:rsidR="000D6A22">
        <w:rPr>
          <w:bCs/>
          <w:color w:val="000000" w:themeColor="text1"/>
        </w:rPr>
        <w:t xml:space="preserve"> </w:t>
      </w:r>
      <w:r w:rsidRPr="00E005C8">
        <w:rPr>
          <w:bCs/>
          <w:color w:val="000000" w:themeColor="text1"/>
        </w:rPr>
        <w:t>infusions= 87.</w:t>
      </w:r>
    </w:p>
    <w:p w:rsidR="005F74D8" w:rsidRDefault="005F74D8" w:rsidP="005F74D8">
      <w:pPr>
        <w:rPr>
          <w:bCs/>
          <w:color w:val="000000" w:themeColor="text1"/>
        </w:rPr>
      </w:pPr>
      <w:r w:rsidRPr="00E005C8">
        <w:rPr>
          <w:b/>
          <w:bCs/>
          <w:color w:val="000000" w:themeColor="text1"/>
        </w:rPr>
        <w:t>Efficacy results (ITT population): SBIs:</w:t>
      </w:r>
      <w:r w:rsidRPr="00E005C8">
        <w:rPr>
          <w:bCs/>
          <w:color w:val="000000" w:themeColor="text1"/>
        </w:rPr>
        <w:t xml:space="preserve"> Two subjects had bacterial pneumonia, </w:t>
      </w:r>
      <w:r>
        <w:rPr>
          <w:bCs/>
          <w:color w:val="000000" w:themeColor="text1"/>
        </w:rPr>
        <w:t xml:space="preserve">equates to </w:t>
      </w:r>
      <w:r w:rsidRPr="00E005C8">
        <w:rPr>
          <w:bCs/>
          <w:color w:val="000000" w:themeColor="text1"/>
        </w:rPr>
        <w:t>annual rate of SBIs per subject year of 0.06 (upper 99% CL: 0.257). The total rate of infection was 2.38 per subject year (95% CI: 1.883; 2.973). The most frequent infections (rate of ≥0.15 per subject year) were</w:t>
      </w:r>
      <w:r w:rsidRPr="00E005C8">
        <w:rPr>
          <w:rFonts w:ascii="Times New Roman" w:hAnsi="Times New Roman"/>
          <w:bCs/>
          <w:color w:val="000000" w:themeColor="text1"/>
          <w:sz w:val="23"/>
          <w:szCs w:val="23"/>
        </w:rPr>
        <w:t xml:space="preserve"> </w:t>
      </w:r>
      <w:r w:rsidRPr="00E005C8">
        <w:rPr>
          <w:bCs/>
          <w:color w:val="000000" w:themeColor="text1"/>
        </w:rPr>
        <w:t xml:space="preserve">sinusitis, bronchitis, URTI, and nasopharyngitis. See </w:t>
      </w:r>
      <w:r w:rsidRPr="00C60720">
        <w:rPr>
          <w:b/>
          <w:bCs/>
          <w:color w:val="000000" w:themeColor="text1"/>
        </w:rPr>
        <w:t>Table 17</w:t>
      </w:r>
      <w:r w:rsidRPr="00E005C8">
        <w:rPr>
          <w:bCs/>
          <w:color w:val="000000" w:themeColor="text1"/>
        </w:rPr>
        <w:t xml:space="preserve"> for other efficacy endpoints.</w:t>
      </w:r>
    </w:p>
    <w:p w:rsidR="005F74D8" w:rsidRPr="007E7F95" w:rsidRDefault="005F74D8" w:rsidP="0003121B">
      <w:pPr>
        <w:pStyle w:val="TableTitle"/>
      </w:pPr>
      <w:r w:rsidRPr="007E7F95">
        <w:t>Table 17: Summary of other efficacy endpoints in IgPro20_3001</w:t>
      </w:r>
    </w:p>
    <w:p w:rsidR="005F74D8" w:rsidRPr="00E005C8" w:rsidRDefault="00F01513" w:rsidP="005F74D8">
      <w:pPr>
        <w:autoSpaceDE w:val="0"/>
        <w:autoSpaceDN w:val="0"/>
        <w:adjustRightInd w:val="0"/>
        <w:rPr>
          <w:bCs/>
          <w:color w:val="000000" w:themeColor="text1"/>
        </w:rPr>
      </w:pPr>
      <w:r>
        <w:rPr>
          <w:bCs/>
          <w:noProof/>
          <w:color w:val="000000" w:themeColor="text1"/>
          <w:lang w:eastAsia="en-AU"/>
        </w:rPr>
        <w:drawing>
          <wp:inline distT="0" distB="0" distL="0" distR="0" wp14:anchorId="5E7191FE" wp14:editId="45FAA4A3">
            <wp:extent cx="4437821" cy="1381125"/>
            <wp:effectExtent l="0" t="0" r="0" b="0"/>
            <wp:docPr id="33" name="Picture 33" descr="Table 17: Summary of other efficacy endpoints in IgPro20_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7.jpg"/>
                    <pic:cNvPicPr/>
                  </pic:nvPicPr>
                  <pic:blipFill rotWithShape="1">
                    <a:blip r:embed="rId46" cstate="print">
                      <a:extLst>
                        <a:ext uri="{28A0092B-C50C-407E-A947-70E740481C1C}">
                          <a14:useLocalDpi xmlns:a14="http://schemas.microsoft.com/office/drawing/2010/main" val="0"/>
                        </a:ext>
                      </a:extLst>
                    </a:blip>
                    <a:srcRect b="15205"/>
                    <a:stretch/>
                  </pic:blipFill>
                  <pic:spPr bwMode="auto">
                    <a:xfrm>
                      <a:off x="0" y="0"/>
                      <a:ext cx="4442260" cy="1382506"/>
                    </a:xfrm>
                    <a:prstGeom prst="rect">
                      <a:avLst/>
                    </a:prstGeom>
                    <a:ln>
                      <a:noFill/>
                    </a:ln>
                    <a:extLst>
                      <a:ext uri="{53640926-AAD7-44D8-BBD7-CCE9431645EC}">
                        <a14:shadowObscured xmlns:a14="http://schemas.microsoft.com/office/drawing/2010/main"/>
                      </a:ext>
                    </a:extLst>
                  </pic:spPr>
                </pic:pic>
              </a:graphicData>
            </a:graphic>
          </wp:inline>
        </w:drawing>
      </w:r>
    </w:p>
    <w:p w:rsidR="005F74D8" w:rsidRDefault="005F74D8" w:rsidP="005F74D8">
      <w:pPr>
        <w:autoSpaceDE w:val="0"/>
        <w:autoSpaceDN w:val="0"/>
        <w:adjustRightInd w:val="0"/>
        <w:rPr>
          <w:bCs/>
          <w:color w:val="000000" w:themeColor="text1"/>
        </w:rPr>
      </w:pPr>
      <w:r w:rsidRPr="00E005C8">
        <w:rPr>
          <w:b/>
          <w:bCs/>
          <w:color w:val="000000" w:themeColor="text1"/>
        </w:rPr>
        <w:t>Serum IgG:</w:t>
      </w:r>
      <w:r w:rsidRPr="00E005C8">
        <w:rPr>
          <w:bCs/>
          <w:color w:val="000000" w:themeColor="text1"/>
        </w:rPr>
        <w:t xml:space="preserve"> Mean IgG C</w:t>
      </w:r>
      <w:r w:rsidRPr="00E005C8">
        <w:rPr>
          <w:bCs/>
          <w:color w:val="000000" w:themeColor="text1"/>
          <w:vertAlign w:val="subscript"/>
        </w:rPr>
        <w:t>trough</w:t>
      </w:r>
      <w:r w:rsidRPr="00E005C8">
        <w:rPr>
          <w:bCs/>
          <w:color w:val="000000" w:themeColor="text1"/>
        </w:rPr>
        <w:t xml:space="preserve"> values were generally stable throughout the study (11.71-12.76 g/L); the mean of individual median IgG C</w:t>
      </w:r>
      <w:r w:rsidRPr="00E005C8">
        <w:rPr>
          <w:bCs/>
          <w:color w:val="000000" w:themeColor="text1"/>
          <w:vertAlign w:val="subscript"/>
        </w:rPr>
        <w:t xml:space="preserve">trough </w:t>
      </w:r>
      <w:r w:rsidRPr="00E005C8">
        <w:rPr>
          <w:bCs/>
          <w:color w:val="000000" w:themeColor="text1"/>
        </w:rPr>
        <w:t>values was 11.98 g/L and hence comparable to the mean of individual median IgG C</w:t>
      </w:r>
      <w:r w:rsidRPr="00E005C8">
        <w:rPr>
          <w:bCs/>
          <w:color w:val="000000" w:themeColor="text1"/>
          <w:vertAlign w:val="subscript"/>
        </w:rPr>
        <w:t>trough</w:t>
      </w:r>
      <w:r w:rsidRPr="00E005C8">
        <w:rPr>
          <w:bCs/>
          <w:color w:val="000000" w:themeColor="text1"/>
        </w:rPr>
        <w:t xml:space="preserve"> values during t</w:t>
      </w:r>
      <w:r>
        <w:rPr>
          <w:bCs/>
          <w:color w:val="000000" w:themeColor="text1"/>
        </w:rPr>
        <w:t>he last 3 m</w:t>
      </w:r>
      <w:r w:rsidR="0003121B">
        <w:rPr>
          <w:bCs/>
          <w:color w:val="000000" w:themeColor="text1"/>
        </w:rPr>
        <w:t>on</w:t>
      </w:r>
      <w:r w:rsidRPr="00E005C8">
        <w:rPr>
          <w:bCs/>
          <w:color w:val="000000" w:themeColor="text1"/>
        </w:rPr>
        <w:t>ths in the preceding study</w:t>
      </w:r>
      <w:r>
        <w:rPr>
          <w:bCs/>
          <w:color w:val="000000" w:themeColor="text1"/>
        </w:rPr>
        <w:t xml:space="preserve"> </w:t>
      </w:r>
      <w:r w:rsidRPr="00E005C8">
        <w:rPr>
          <w:b/>
          <w:bCs/>
          <w:color w:val="000000" w:themeColor="text1"/>
        </w:rPr>
        <w:t>ZLB04_009CR</w:t>
      </w:r>
      <w:r w:rsidRPr="00E005C8">
        <w:rPr>
          <w:bCs/>
          <w:color w:val="000000" w:themeColor="text1"/>
        </w:rPr>
        <w:t xml:space="preserve"> before the Screening Visit for </w:t>
      </w:r>
      <w:r>
        <w:rPr>
          <w:bCs/>
          <w:color w:val="000000" w:themeColor="text1"/>
        </w:rPr>
        <w:t>rollover</w:t>
      </w:r>
      <w:r w:rsidRPr="00E005C8">
        <w:rPr>
          <w:bCs/>
          <w:color w:val="000000" w:themeColor="text1"/>
        </w:rPr>
        <w:t xml:space="preserve"> (12.20 g/L; none of the subjects had an IgG C</w:t>
      </w:r>
      <w:r w:rsidRPr="00E005C8">
        <w:rPr>
          <w:bCs/>
          <w:color w:val="000000" w:themeColor="text1"/>
          <w:vertAlign w:val="subscript"/>
        </w:rPr>
        <w:t>trough</w:t>
      </w:r>
      <w:r w:rsidRPr="00E005C8">
        <w:rPr>
          <w:bCs/>
          <w:color w:val="000000" w:themeColor="text1"/>
        </w:rPr>
        <w:t xml:space="preserve"> value &lt;5 g/L during I</w:t>
      </w:r>
      <w:r w:rsidR="00F47CC2">
        <w:rPr>
          <w:bCs/>
          <w:color w:val="000000" w:themeColor="text1"/>
        </w:rPr>
        <w:t>gPro20 treatment in this study.</w:t>
      </w:r>
    </w:p>
    <w:p w:rsidR="005F74D8" w:rsidRDefault="005F74D8" w:rsidP="005F74D8">
      <w:pPr>
        <w:autoSpaceDE w:val="0"/>
        <w:autoSpaceDN w:val="0"/>
        <w:adjustRightInd w:val="0"/>
        <w:rPr>
          <w:bCs/>
          <w:color w:val="000000" w:themeColor="text1"/>
        </w:rPr>
      </w:pPr>
      <w:r w:rsidRPr="00E005C8">
        <w:rPr>
          <w:b/>
          <w:bCs/>
          <w:color w:val="000000" w:themeColor="text1"/>
        </w:rPr>
        <w:t>Quality of Life:</w:t>
      </w:r>
      <w:r w:rsidRPr="00E005C8">
        <w:rPr>
          <w:bCs/>
          <w:color w:val="000000" w:themeColor="text1"/>
        </w:rPr>
        <w:t xml:space="preserve"> The evaluation of HRQL, treatment satisfaction, and utility showed a trend towards maintenance of</w:t>
      </w:r>
      <w:r w:rsidRPr="00E005C8">
        <w:rPr>
          <w:color w:val="000000" w:themeColor="text1"/>
        </w:rPr>
        <w:t xml:space="preserve"> </w:t>
      </w:r>
      <w:r w:rsidRPr="00E005C8">
        <w:rPr>
          <w:bCs/>
          <w:color w:val="000000" w:themeColor="text1"/>
        </w:rPr>
        <w:t xml:space="preserve">HRQL and high treatment satisfaction throughout the study. </w:t>
      </w:r>
      <w:r w:rsidRPr="00E005C8">
        <w:rPr>
          <w:b/>
          <w:bCs/>
          <w:color w:val="000000" w:themeColor="text1"/>
        </w:rPr>
        <w:t>Safety:</w:t>
      </w:r>
      <w:r w:rsidRPr="00E005C8">
        <w:rPr>
          <w:bCs/>
          <w:color w:val="000000" w:themeColor="text1"/>
        </w:rPr>
        <w:t xml:space="preserve"> See </w:t>
      </w:r>
      <w:r w:rsidR="0003121B" w:rsidRPr="0003121B">
        <w:rPr>
          <w:bCs/>
          <w:color w:val="000000" w:themeColor="text1"/>
        </w:rPr>
        <w:t>below</w:t>
      </w:r>
      <w:r w:rsidRPr="00E005C8">
        <w:rPr>
          <w:bCs/>
          <w:color w:val="000000" w:themeColor="text1"/>
        </w:rPr>
        <w:t xml:space="preserve">. All subjects had </w:t>
      </w:r>
      <w:r w:rsidR="0003121B">
        <w:rPr>
          <w:bCs/>
          <w:color w:val="000000" w:themeColor="text1"/>
        </w:rPr>
        <w:t>≥</w:t>
      </w:r>
      <w:r>
        <w:rPr>
          <w:bCs/>
          <w:color w:val="000000" w:themeColor="text1"/>
        </w:rPr>
        <w:t xml:space="preserve">1 AE. Local reactions were the </w:t>
      </w:r>
      <w:r w:rsidRPr="00E005C8">
        <w:rPr>
          <w:bCs/>
          <w:color w:val="000000" w:themeColor="text1"/>
        </w:rPr>
        <w:t>most frequent AEs experienced by all; rate of local reactions per infusion was 0.500. Excluding local reactions, overall AE rate per infusion was 0.161. The next most frequent AEs after local reaction were sinusitis and nasopharyngitis (66.7% and 33.3% of subjects, respectively). Most AEs (98.5%) were mil</w:t>
      </w:r>
      <w:r>
        <w:rPr>
          <w:bCs/>
          <w:color w:val="000000" w:themeColor="text1"/>
        </w:rPr>
        <w:t>d or moderate</w:t>
      </w:r>
      <w:r w:rsidRPr="00E005C8">
        <w:rPr>
          <w:bCs/>
          <w:color w:val="000000" w:themeColor="text1"/>
        </w:rPr>
        <w:t xml:space="preserve">. Subgroup analyses of AEs revealed no clinically relevant or consistent trends according to gender or total body infusion rate. No deaths. Five unrelated SAE in 4 subjects. According to the subjects’ assessments of local tolerability (within 24 hours after infusion), </w:t>
      </w:r>
      <w:r w:rsidR="003944A8">
        <w:rPr>
          <w:bCs/>
          <w:color w:val="000000" w:themeColor="text1"/>
        </w:rPr>
        <w:lastRenderedPageBreak/>
        <w:t>approximately</w:t>
      </w:r>
      <w:r w:rsidRPr="00E005C8">
        <w:rPr>
          <w:bCs/>
          <w:color w:val="000000" w:themeColor="text1"/>
        </w:rPr>
        <w:t xml:space="preserve">45% of subjects experienced </w:t>
      </w:r>
      <w:r>
        <w:rPr>
          <w:bCs/>
          <w:color w:val="000000" w:themeColor="text1"/>
        </w:rPr>
        <w:t>ISRs</w:t>
      </w:r>
      <w:r w:rsidRPr="00E005C8">
        <w:rPr>
          <w:bCs/>
          <w:color w:val="000000" w:themeColor="text1"/>
        </w:rPr>
        <w:t xml:space="preserve"> after each infusion. </w:t>
      </w:r>
      <w:r>
        <w:rPr>
          <w:bCs/>
          <w:color w:val="000000" w:themeColor="text1"/>
        </w:rPr>
        <w:t xml:space="preserve">Almost all ISRs </w:t>
      </w:r>
      <w:r w:rsidRPr="00E005C8">
        <w:rPr>
          <w:bCs/>
          <w:color w:val="000000" w:themeColor="text1"/>
        </w:rPr>
        <w:t xml:space="preserve">(99.3%) assessed as “very slight” or “slight” in intensity. </w:t>
      </w:r>
      <w:r>
        <w:rPr>
          <w:bCs/>
          <w:color w:val="000000" w:themeColor="text1"/>
        </w:rPr>
        <w:t>N</w:t>
      </w:r>
      <w:r w:rsidRPr="00E005C8">
        <w:rPr>
          <w:bCs/>
          <w:color w:val="000000" w:themeColor="text1"/>
        </w:rPr>
        <w:t>o safety concerns reg</w:t>
      </w:r>
      <w:r w:rsidR="00F47CC2">
        <w:rPr>
          <w:bCs/>
          <w:color w:val="000000" w:themeColor="text1"/>
        </w:rPr>
        <w:t>arding clinical lab parameters.</w:t>
      </w:r>
    </w:p>
    <w:p w:rsidR="005F74D8" w:rsidRDefault="005F74D8" w:rsidP="005F74D8">
      <w:pPr>
        <w:autoSpaceDE w:val="0"/>
        <w:autoSpaceDN w:val="0"/>
        <w:adjustRightInd w:val="0"/>
        <w:rPr>
          <w:bCs/>
          <w:color w:val="000000" w:themeColor="text1"/>
        </w:rPr>
      </w:pPr>
      <w:r w:rsidRPr="00E005C8">
        <w:rPr>
          <w:b/>
          <w:bCs/>
          <w:color w:val="000000" w:themeColor="text1"/>
        </w:rPr>
        <w:t>Conclusion</w:t>
      </w:r>
      <w:r w:rsidRPr="00E005C8">
        <w:rPr>
          <w:bCs/>
          <w:color w:val="000000" w:themeColor="text1"/>
        </w:rPr>
        <w:t>: Confirms effica</w:t>
      </w:r>
      <w:r w:rsidR="00F47CC2">
        <w:rPr>
          <w:bCs/>
          <w:color w:val="000000" w:themeColor="text1"/>
        </w:rPr>
        <w:t>cy and safety during long-term.</w:t>
      </w:r>
    </w:p>
    <w:p w:rsidR="005F74D8" w:rsidRPr="00E005C8" w:rsidRDefault="005F74D8" w:rsidP="00F47CC2">
      <w:pPr>
        <w:pStyle w:val="Heading3"/>
      </w:pPr>
      <w:bookmarkStart w:id="279" w:name="_Toc241374312"/>
      <w:bookmarkStart w:id="280" w:name="_Toc272414656"/>
      <w:bookmarkStart w:id="281" w:name="_Toc290846281"/>
      <w:bookmarkStart w:id="282" w:name="_Toc373748429"/>
      <w:bookmarkStart w:id="283" w:name="_Toc392757314"/>
      <w:r w:rsidRPr="00E005C8">
        <w:t xml:space="preserve">Analyses performed across </w:t>
      </w:r>
      <w:r w:rsidRPr="00F47CC2">
        <w:t>trials</w:t>
      </w:r>
      <w:r w:rsidRPr="00E005C8">
        <w:t xml:space="preserve"> (pooled analyses and meta-analyses)</w:t>
      </w:r>
      <w:bookmarkEnd w:id="279"/>
      <w:bookmarkEnd w:id="280"/>
      <w:bookmarkEnd w:id="281"/>
      <w:bookmarkEnd w:id="282"/>
      <w:bookmarkEnd w:id="283"/>
    </w:p>
    <w:p w:rsidR="005F74D8" w:rsidRDefault="00F47CC2" w:rsidP="005F74D8">
      <w:pPr>
        <w:autoSpaceDE w:val="0"/>
        <w:autoSpaceDN w:val="0"/>
        <w:adjustRightInd w:val="0"/>
        <w:rPr>
          <w:color w:val="000000" w:themeColor="text1"/>
        </w:rPr>
      </w:pPr>
      <w:r>
        <w:rPr>
          <w:color w:val="000000" w:themeColor="text1"/>
        </w:rPr>
        <w:t>Not done.</w:t>
      </w:r>
    </w:p>
    <w:p w:rsidR="005F74D8" w:rsidRPr="00E005C8" w:rsidRDefault="005F74D8" w:rsidP="00F47CC2">
      <w:pPr>
        <w:pStyle w:val="Heading3"/>
      </w:pPr>
      <w:bookmarkStart w:id="284" w:name="_Ref271126605"/>
      <w:bookmarkStart w:id="285" w:name="_Toc272414657"/>
      <w:bookmarkStart w:id="286" w:name="_Toc290846282"/>
      <w:bookmarkStart w:id="287" w:name="_Toc373748430"/>
      <w:bookmarkStart w:id="288" w:name="_Toc392757315"/>
      <w:r w:rsidRPr="00E005C8">
        <w:t xml:space="preserve">Evaluator’s conclusions on clinical efficacy for </w:t>
      </w:r>
      <w:bookmarkEnd w:id="284"/>
      <w:bookmarkEnd w:id="285"/>
      <w:bookmarkEnd w:id="286"/>
      <w:r w:rsidRPr="00E005C8">
        <w:t>SC Hizentra</w:t>
      </w:r>
      <w:r w:rsidRPr="00E005C8">
        <w:sym w:font="Symbol" w:char="F0D2"/>
      </w:r>
      <w:r w:rsidRPr="00E005C8">
        <w:t xml:space="preserve"> for immunoglobulin </w:t>
      </w:r>
      <w:r w:rsidRPr="00F47CC2">
        <w:t>replacement</w:t>
      </w:r>
      <w:bookmarkEnd w:id="287"/>
      <w:bookmarkEnd w:id="288"/>
    </w:p>
    <w:p w:rsidR="005F74D8" w:rsidRPr="00EE6438" w:rsidRDefault="005F74D8" w:rsidP="005F74D8">
      <w:pPr>
        <w:rPr>
          <w:color w:val="000000" w:themeColor="text1"/>
        </w:rPr>
      </w:pPr>
      <w:r w:rsidRPr="00EE6438">
        <w:rPr>
          <w:color w:val="000000" w:themeColor="text1"/>
        </w:rPr>
        <w:t>The Applicant has submitted a comprehensive suite of data in support of their drug SC Hizentra</w:t>
      </w:r>
      <w:r w:rsidRPr="00EE6438">
        <w:rPr>
          <w:color w:val="000000" w:themeColor="text1"/>
        </w:rPr>
        <w:sym w:font="Symbol" w:char="F0D2"/>
      </w:r>
      <w:r w:rsidR="00F47CC2">
        <w:rPr>
          <w:color w:val="000000" w:themeColor="text1"/>
        </w:rPr>
        <w:t>.</w:t>
      </w:r>
    </w:p>
    <w:p w:rsidR="005F74D8" w:rsidRDefault="005F74D8" w:rsidP="005F74D8">
      <w:pPr>
        <w:rPr>
          <w:color w:val="000000" w:themeColor="text1"/>
        </w:rPr>
      </w:pPr>
      <w:r w:rsidRPr="00EE6438">
        <w:rPr>
          <w:color w:val="000000" w:themeColor="text1"/>
        </w:rPr>
        <w:t xml:space="preserve">All the registration studies </w:t>
      </w:r>
      <w:r>
        <w:rPr>
          <w:color w:val="000000" w:themeColor="text1"/>
        </w:rPr>
        <w:t xml:space="preserve">were performed in children </w:t>
      </w:r>
      <w:r w:rsidRPr="00EE6438">
        <w:rPr>
          <w:color w:val="000000" w:themeColor="text1"/>
        </w:rPr>
        <w:t>and adults with primary immunodeficiency</w:t>
      </w:r>
      <w:r>
        <w:rPr>
          <w:rFonts w:eastAsia="TimesNewRoman" w:cs="TimesNewRoman"/>
          <w:color w:val="000000" w:themeColor="text1"/>
        </w:rPr>
        <w:t xml:space="preserve">, using </w:t>
      </w:r>
      <w:r w:rsidRPr="00EE6438">
        <w:rPr>
          <w:rFonts w:eastAsia="TimesNewRoman" w:cs="TimesNewRoman"/>
          <w:color w:val="000000" w:themeColor="text1"/>
        </w:rPr>
        <w:t>diagnostic criteria defined by the Pan-Ameri</w:t>
      </w:r>
      <w:r>
        <w:rPr>
          <w:rFonts w:eastAsia="TimesNewRoman" w:cs="TimesNewRoman"/>
          <w:color w:val="000000" w:themeColor="text1"/>
        </w:rPr>
        <w:t xml:space="preserve">can Group for Immunodeficiency </w:t>
      </w:r>
      <w:r w:rsidRPr="00EE6438">
        <w:rPr>
          <w:rFonts w:eastAsia="TimesNewRoman" w:cs="TimesNewRoman"/>
          <w:color w:val="000000" w:themeColor="text1"/>
        </w:rPr>
        <w:t>and the European Socie</w:t>
      </w:r>
      <w:r>
        <w:rPr>
          <w:rFonts w:eastAsia="TimesNewRoman" w:cs="TimesNewRoman"/>
          <w:color w:val="000000" w:themeColor="text1"/>
        </w:rPr>
        <w:t>ty for Immunodeficiencies</w:t>
      </w:r>
      <w:r w:rsidRPr="00EE6438">
        <w:rPr>
          <w:rFonts w:eastAsia="TimesNewRoman" w:cs="TimesNewRoman"/>
          <w:color w:val="000000" w:themeColor="text1"/>
        </w:rPr>
        <w:t>.</w:t>
      </w:r>
      <w:r w:rsidRPr="00EE6438">
        <w:rPr>
          <w:color w:val="000000" w:themeColor="text1"/>
        </w:rPr>
        <w:t xml:space="preserve"> </w:t>
      </w:r>
      <w:r w:rsidRPr="00EE6438">
        <w:rPr>
          <w:rFonts w:eastAsia="TimesNewRoman" w:cs="TimesNewRoman"/>
          <w:color w:val="000000" w:themeColor="text1"/>
        </w:rPr>
        <w:t xml:space="preserve">The study populations recruited in the European, Japan, and US Phase III studies reflect many of the typical demographic characteristics of subjects receiving IgG substitution therapy for </w:t>
      </w:r>
      <w:r>
        <w:rPr>
          <w:rFonts w:eastAsia="TimesNewRoman" w:cs="TimesNewRoman"/>
          <w:color w:val="000000" w:themeColor="text1"/>
        </w:rPr>
        <w:t xml:space="preserve">PID </w:t>
      </w:r>
      <w:r w:rsidRPr="00EE6438">
        <w:rPr>
          <w:rFonts w:eastAsia="TimesNewRoman" w:cs="TimesNewRoman"/>
          <w:color w:val="000000" w:themeColor="text1"/>
        </w:rPr>
        <w:t>via the IV route</w:t>
      </w:r>
      <w:r>
        <w:rPr>
          <w:rFonts w:eastAsia="TimesNewRoman" w:cs="TimesNewRoman"/>
          <w:color w:val="000000" w:themeColor="text1"/>
        </w:rPr>
        <w:t xml:space="preserve">, with one caveat, no very young children (2 </w:t>
      </w:r>
      <w:r w:rsidR="003944A8">
        <w:rPr>
          <w:rFonts w:eastAsia="TimesNewRoman" w:cs="TimesNewRoman"/>
          <w:color w:val="000000" w:themeColor="text1"/>
        </w:rPr>
        <w:t>years</w:t>
      </w:r>
      <w:r>
        <w:rPr>
          <w:rFonts w:eastAsia="TimesNewRoman" w:cs="TimesNewRoman"/>
          <w:color w:val="000000" w:themeColor="text1"/>
        </w:rPr>
        <w:t xml:space="preserve"> or less) were enrolled. </w:t>
      </w:r>
      <w:r>
        <w:rPr>
          <w:color w:val="000000" w:themeColor="text1"/>
        </w:rPr>
        <w:t>Moreover, none of the studies included patients with secondary immunoglobulin deficiency syndromes.</w:t>
      </w:r>
      <w:r w:rsidR="000D6A22">
        <w:rPr>
          <w:color w:val="000000" w:themeColor="text1"/>
        </w:rPr>
        <w:t xml:space="preserve"> </w:t>
      </w:r>
      <w:r>
        <w:rPr>
          <w:color w:val="000000" w:themeColor="text1"/>
        </w:rPr>
        <w:t xml:space="preserve">All the studies included a single arm switch to </w:t>
      </w:r>
      <w:r w:rsidR="0070299A">
        <w:rPr>
          <w:color w:val="000000" w:themeColor="text1"/>
        </w:rPr>
        <w:t>Week</w:t>
      </w:r>
      <w:r>
        <w:rPr>
          <w:color w:val="000000" w:themeColor="text1"/>
        </w:rPr>
        <w:t xml:space="preserve">ly SC </w:t>
      </w:r>
      <w:r w:rsidRPr="00C479DD">
        <w:rPr>
          <w:color w:val="000000" w:themeColor="text1"/>
        </w:rPr>
        <w:t>Hizentra</w:t>
      </w:r>
      <w:r w:rsidRPr="00C479DD">
        <w:rPr>
          <w:color w:val="000000" w:themeColor="text1"/>
        </w:rPr>
        <w:sym w:font="Symbol" w:char="F0D2"/>
      </w:r>
      <w:r>
        <w:rPr>
          <w:color w:val="000000" w:themeColor="text1"/>
        </w:rPr>
        <w:t xml:space="preserve"> as Ig replacement in </w:t>
      </w:r>
      <w:r w:rsidRPr="00C479DD">
        <w:rPr>
          <w:color w:val="000000" w:themeColor="text1"/>
        </w:rPr>
        <w:t>patients alr</w:t>
      </w:r>
      <w:r>
        <w:rPr>
          <w:color w:val="000000" w:themeColor="text1"/>
        </w:rPr>
        <w:t>eady stable on IVIG (</w:t>
      </w:r>
      <w:r w:rsidRPr="00C479DD">
        <w:rPr>
          <w:color w:val="000000" w:themeColor="text1"/>
        </w:rPr>
        <w:t>US and Japan piv</w:t>
      </w:r>
      <w:r w:rsidR="0003121B">
        <w:rPr>
          <w:color w:val="000000" w:themeColor="text1"/>
        </w:rPr>
        <w:t>otal S</w:t>
      </w:r>
      <w:r w:rsidRPr="00C479DD">
        <w:rPr>
          <w:color w:val="000000" w:themeColor="text1"/>
        </w:rPr>
        <w:t xml:space="preserve">tudies, </w:t>
      </w:r>
      <w:r w:rsidRPr="0003121B">
        <w:rPr>
          <w:color w:val="000000" w:themeColor="text1"/>
        </w:rPr>
        <w:t>ZLB04_009CR and ZLB-06_002CR respectively) or IVIG or SCIG (EU pivotal ZLB06_001CR) .</w:t>
      </w:r>
      <w:r>
        <w:rPr>
          <w:color w:val="000000" w:themeColor="text1"/>
        </w:rPr>
        <w:t xml:space="preserve"> The study design meant patients functioned as their own controls in regards to the IgG trough levels prior to switching to SC Hizentra</w:t>
      </w:r>
      <w:r>
        <w:rPr>
          <w:color w:val="000000" w:themeColor="text1"/>
        </w:rPr>
        <w:sym w:font="Symbol" w:char="F0D2"/>
      </w:r>
      <w:r>
        <w:rPr>
          <w:color w:val="000000" w:themeColor="text1"/>
        </w:rPr>
        <w:t xml:space="preserve">. </w:t>
      </w:r>
      <w:r>
        <w:rPr>
          <w:rFonts w:eastAsia="TimesNewRoman" w:cs="TimesNewRoman"/>
          <w:color w:val="000000" w:themeColor="text1"/>
        </w:rPr>
        <w:t xml:space="preserve">The </w:t>
      </w:r>
      <w:r w:rsidRPr="00F86E11">
        <w:rPr>
          <w:rFonts w:eastAsia="TimesNewRoman" w:cs="TimesNewRoman"/>
          <w:color w:val="000000" w:themeColor="text1"/>
        </w:rPr>
        <w:t>E</w:t>
      </w:r>
      <w:r>
        <w:rPr>
          <w:rFonts w:eastAsia="TimesNewRoman" w:cs="TimesNewRoman"/>
          <w:color w:val="000000" w:themeColor="text1"/>
        </w:rPr>
        <w:t>U</w:t>
      </w:r>
      <w:r w:rsidRPr="00F86E11">
        <w:rPr>
          <w:rFonts w:eastAsia="TimesNewRoman" w:cs="TimesNewRoman"/>
          <w:color w:val="000000" w:themeColor="text1"/>
        </w:rPr>
        <w:t xml:space="preserve"> pivotal and extension studies </w:t>
      </w:r>
      <w:r>
        <w:rPr>
          <w:rFonts w:eastAsia="TimesNewRoman" w:cs="TimesNewRoman"/>
          <w:color w:val="000000" w:themeColor="text1"/>
        </w:rPr>
        <w:t xml:space="preserve">(data for &gt;3 </w:t>
      </w:r>
      <w:r w:rsidR="003944A8">
        <w:rPr>
          <w:rFonts w:eastAsia="TimesNewRoman" w:cs="TimesNewRoman"/>
          <w:color w:val="000000" w:themeColor="text1"/>
        </w:rPr>
        <w:t>years</w:t>
      </w:r>
      <w:r>
        <w:rPr>
          <w:rFonts w:eastAsia="TimesNewRoman" w:cs="TimesNewRoman"/>
          <w:color w:val="000000" w:themeColor="text1"/>
        </w:rPr>
        <w:t xml:space="preserve">) and </w:t>
      </w:r>
      <w:r w:rsidRPr="00F86E11">
        <w:rPr>
          <w:rFonts w:eastAsia="TimesNewRoman" w:cs="TimesNewRoman"/>
          <w:color w:val="000000" w:themeColor="text1"/>
        </w:rPr>
        <w:t>combined Japan studies, assessed the sustained IgG C</w:t>
      </w:r>
      <w:r w:rsidRPr="00EE6438">
        <w:rPr>
          <w:rFonts w:eastAsia="TimesNewRoman" w:cs="TimesNewRoman"/>
          <w:color w:val="000000" w:themeColor="text1"/>
          <w:vertAlign w:val="subscript"/>
        </w:rPr>
        <w:t>trough</w:t>
      </w:r>
      <w:r w:rsidRPr="00F86E11">
        <w:rPr>
          <w:rFonts w:eastAsia="TimesNewRoman" w:cs="TimesNewRoman"/>
          <w:color w:val="000000" w:themeColor="text1"/>
        </w:rPr>
        <w:t xml:space="preserve"> values as the primary efficacy endpoint, and the protective effect against infections as a secondary endpoint. </w:t>
      </w:r>
      <w:r>
        <w:rPr>
          <w:rFonts w:eastAsia="TimesNewRoman" w:cs="TimesNewRoman"/>
          <w:color w:val="000000" w:themeColor="text1"/>
        </w:rPr>
        <w:t xml:space="preserve">IgG trough in this setting is really a surrogate marker of efficacy, in so much as achieving the IgG target level known to be protective against SBIs. </w:t>
      </w:r>
      <w:r w:rsidRPr="00F86E11">
        <w:rPr>
          <w:rFonts w:eastAsia="TimesNewRoman" w:cs="TimesNewRoman"/>
          <w:color w:val="000000" w:themeColor="text1"/>
        </w:rPr>
        <w:t xml:space="preserve">In </w:t>
      </w:r>
      <w:r>
        <w:rPr>
          <w:rFonts w:eastAsia="TimesNewRoman" w:cs="TimesNewRoman"/>
          <w:color w:val="000000" w:themeColor="text1"/>
        </w:rPr>
        <w:t xml:space="preserve">contrast, </w:t>
      </w:r>
      <w:r w:rsidRPr="00F86E11">
        <w:rPr>
          <w:rFonts w:eastAsia="TimesNewRoman" w:cs="TimesNewRoman"/>
          <w:color w:val="000000" w:themeColor="text1"/>
        </w:rPr>
        <w:t xml:space="preserve">the US pivotal and extension studies, </w:t>
      </w:r>
      <w:r>
        <w:rPr>
          <w:rFonts w:eastAsia="TimesNewRoman" w:cs="TimesNewRoman"/>
          <w:color w:val="000000" w:themeColor="text1"/>
        </w:rPr>
        <w:t xml:space="preserve">in which patients received </w:t>
      </w:r>
      <w:r w:rsidRPr="00F86E11">
        <w:rPr>
          <w:rFonts w:eastAsia="TimesNewRoman" w:cs="TimesNewRoman"/>
          <w:color w:val="000000" w:themeColor="text1"/>
        </w:rPr>
        <w:t>substantially higher doses</w:t>
      </w:r>
      <w:r>
        <w:rPr>
          <w:rFonts w:eastAsia="TimesNewRoman" w:cs="TimesNewRoman"/>
          <w:color w:val="000000" w:themeColor="text1"/>
        </w:rPr>
        <w:t xml:space="preserve"> of SC Hizentra</w:t>
      </w:r>
      <w:r>
        <w:rPr>
          <w:rFonts w:eastAsia="TimesNewRoman" w:cs="TimesNewRoman"/>
          <w:color w:val="000000" w:themeColor="text1"/>
        </w:rPr>
        <w:sym w:font="Symbol" w:char="F0D2"/>
      </w:r>
      <w:r>
        <w:rPr>
          <w:rFonts w:eastAsia="TimesNewRoman" w:cs="TimesNewRoman"/>
          <w:color w:val="000000" w:themeColor="text1"/>
        </w:rPr>
        <w:t xml:space="preserve">, </w:t>
      </w:r>
      <w:r w:rsidRPr="00F86E11">
        <w:rPr>
          <w:rFonts w:eastAsia="TimesNewRoman" w:cs="TimesNewRoman"/>
          <w:color w:val="000000" w:themeColor="text1"/>
        </w:rPr>
        <w:t xml:space="preserve">the hierarchy of endpoints </w:t>
      </w:r>
      <w:r>
        <w:rPr>
          <w:rFonts w:eastAsia="TimesNewRoman" w:cs="TimesNewRoman"/>
          <w:color w:val="000000" w:themeColor="text1"/>
        </w:rPr>
        <w:t xml:space="preserve">differed with the </w:t>
      </w:r>
      <w:r w:rsidRPr="00C479DD">
        <w:rPr>
          <w:color w:val="000000" w:themeColor="text1"/>
        </w:rPr>
        <w:t xml:space="preserve">primary efficacy endpoint </w:t>
      </w:r>
      <w:r>
        <w:rPr>
          <w:color w:val="000000" w:themeColor="text1"/>
        </w:rPr>
        <w:t xml:space="preserve">a </w:t>
      </w:r>
      <w:r w:rsidRPr="00C479DD">
        <w:rPr>
          <w:color w:val="000000" w:themeColor="text1"/>
        </w:rPr>
        <w:t xml:space="preserve">clinical one </w:t>
      </w:r>
      <w:r w:rsidR="00C2531A">
        <w:rPr>
          <w:color w:val="000000" w:themeColor="text1"/>
        </w:rPr>
        <w:t>that is,</w:t>
      </w:r>
      <w:r w:rsidRPr="00C479DD">
        <w:rPr>
          <w:color w:val="000000" w:themeColor="text1"/>
        </w:rPr>
        <w:t xml:space="preserve"> </w:t>
      </w:r>
      <w:r>
        <w:rPr>
          <w:color w:val="000000" w:themeColor="text1"/>
        </w:rPr>
        <w:t>annual rate of SBI</w:t>
      </w:r>
      <w:r w:rsidRPr="00C479DD">
        <w:rPr>
          <w:color w:val="000000" w:themeColor="text1"/>
        </w:rPr>
        <w:t xml:space="preserve"> </w:t>
      </w:r>
      <w:r w:rsidR="00C2531A">
        <w:rPr>
          <w:color w:val="000000" w:themeColor="text1"/>
        </w:rPr>
        <w:t>that is,</w:t>
      </w:r>
      <w:r w:rsidRPr="00C479DD">
        <w:rPr>
          <w:color w:val="000000" w:themeColor="text1"/>
        </w:rPr>
        <w:t xml:space="preserve"> </w:t>
      </w:r>
      <w:r>
        <w:rPr>
          <w:color w:val="000000" w:themeColor="text1"/>
        </w:rPr>
        <w:t>b</w:t>
      </w:r>
      <w:r w:rsidRPr="00C479DD">
        <w:rPr>
          <w:color w:val="000000" w:themeColor="text1"/>
        </w:rPr>
        <w:t>acterial pneumonia;</w:t>
      </w:r>
      <w:r>
        <w:rPr>
          <w:color w:val="000000" w:themeColor="text1"/>
        </w:rPr>
        <w:t xml:space="preserve"> </w:t>
      </w:r>
      <w:r w:rsidRPr="00C479DD">
        <w:rPr>
          <w:color w:val="000000" w:themeColor="text1"/>
        </w:rPr>
        <w:t>bacte</w:t>
      </w:r>
      <w:r>
        <w:rPr>
          <w:color w:val="000000" w:themeColor="text1"/>
        </w:rPr>
        <w:t>raemia/septicaemia; osteomyelitis/</w:t>
      </w:r>
      <w:r w:rsidRPr="00C479DD">
        <w:rPr>
          <w:color w:val="000000" w:themeColor="text1"/>
        </w:rPr>
        <w:t>septic arthriti</w:t>
      </w:r>
      <w:r>
        <w:rPr>
          <w:color w:val="000000" w:themeColor="text1"/>
        </w:rPr>
        <w:t>s; bacterial meningitis; v</w:t>
      </w:r>
      <w:r w:rsidRPr="00C479DD">
        <w:rPr>
          <w:color w:val="000000" w:themeColor="text1"/>
        </w:rPr>
        <w:t xml:space="preserve">isceral abscess. FDA guidelines </w:t>
      </w:r>
      <w:r>
        <w:rPr>
          <w:color w:val="000000" w:themeColor="text1"/>
        </w:rPr>
        <w:t>were used to define the criteria for confirmed SBIs. The</w:t>
      </w:r>
      <w:r>
        <w:rPr>
          <w:rFonts w:eastAsia="TimesNewRoman" w:cs="TimesNewRoman"/>
          <w:color w:val="000000" w:themeColor="text1"/>
        </w:rPr>
        <w:t xml:space="preserve"> EU </w:t>
      </w:r>
      <w:r w:rsidRPr="00F86E11">
        <w:rPr>
          <w:rFonts w:eastAsia="TimesNewRoman" w:cs="TimesNewRoman"/>
          <w:color w:val="000000" w:themeColor="text1"/>
        </w:rPr>
        <w:t>and Japan stu</w:t>
      </w:r>
      <w:r>
        <w:rPr>
          <w:rFonts w:eastAsia="TimesNewRoman" w:cs="TimesNewRoman"/>
          <w:color w:val="000000" w:themeColor="text1"/>
        </w:rPr>
        <w:t xml:space="preserve">dies also explored the effects </w:t>
      </w:r>
      <w:r w:rsidRPr="00F86E11">
        <w:rPr>
          <w:rFonts w:eastAsia="TimesNewRoman" w:cs="TimesNewRoman"/>
          <w:color w:val="000000" w:themeColor="text1"/>
        </w:rPr>
        <w:t xml:space="preserve">of </w:t>
      </w:r>
      <w:r>
        <w:rPr>
          <w:rFonts w:eastAsia="TimesNewRoman" w:cs="TimesNewRoman"/>
          <w:color w:val="000000" w:themeColor="text1"/>
        </w:rPr>
        <w:t>IgPro20 treatment on quality of life and in Japan, pharmacoeconomics.</w:t>
      </w:r>
    </w:p>
    <w:p w:rsidR="005F74D8" w:rsidRDefault="005F74D8" w:rsidP="005F74D8">
      <w:pPr>
        <w:rPr>
          <w:color w:val="000000" w:themeColor="text1"/>
        </w:rPr>
      </w:pPr>
      <w:r>
        <w:rPr>
          <w:color w:val="000000" w:themeColor="text1"/>
        </w:rPr>
        <w:t xml:space="preserve">There were a number of design differences across the 3 pivotal studies </w:t>
      </w:r>
      <w:r w:rsidR="00C2531A">
        <w:rPr>
          <w:color w:val="000000" w:themeColor="text1"/>
        </w:rPr>
        <w:t>that is,</w:t>
      </w:r>
      <w:r>
        <w:rPr>
          <w:color w:val="000000" w:themeColor="text1"/>
        </w:rPr>
        <w:t xml:space="preserve"> </w:t>
      </w:r>
      <w:r w:rsidRPr="00F86E11">
        <w:rPr>
          <w:rFonts w:eastAsia="TimesNewRoman" w:cs="TimesNewRoman"/>
          <w:color w:val="000000" w:themeColor="text1"/>
        </w:rPr>
        <w:t>In the Japan pivotal study, the primary analysis was made using the PPS by descriptive</w:t>
      </w:r>
      <w:r>
        <w:rPr>
          <w:color w:val="000000" w:themeColor="text1"/>
        </w:rPr>
        <w:t xml:space="preserve"> </w:t>
      </w:r>
      <w:r w:rsidRPr="00F86E11">
        <w:rPr>
          <w:rFonts w:eastAsia="TimesNewRoman" w:cs="TimesNewRoman"/>
          <w:color w:val="000000" w:themeColor="text1"/>
        </w:rPr>
        <w:t>comparison using 3 IgG C</w:t>
      </w:r>
      <w:r w:rsidRPr="00564705">
        <w:rPr>
          <w:rFonts w:eastAsia="TimesNewRoman" w:cs="TimesNewRoman"/>
          <w:color w:val="000000" w:themeColor="text1"/>
          <w:vertAlign w:val="subscript"/>
        </w:rPr>
        <w:t xml:space="preserve">trough </w:t>
      </w:r>
      <w:r w:rsidRPr="00F86E11">
        <w:rPr>
          <w:rFonts w:eastAsia="TimesNewRoman" w:cs="TimesNewRoman"/>
          <w:color w:val="000000" w:themeColor="text1"/>
        </w:rPr>
        <w:t>values from the 3 IVIG infusions (baseline) with</w:t>
      </w:r>
      <w:r>
        <w:rPr>
          <w:color w:val="000000" w:themeColor="text1"/>
        </w:rPr>
        <w:t xml:space="preserve"> </w:t>
      </w:r>
      <w:r w:rsidRPr="00F86E11">
        <w:rPr>
          <w:rFonts w:eastAsia="TimesNewRoman" w:cs="TimesNewRoman"/>
          <w:color w:val="000000" w:themeColor="text1"/>
        </w:rPr>
        <w:t>3 consecutive C</w:t>
      </w:r>
      <w:r w:rsidRPr="00564705">
        <w:rPr>
          <w:rFonts w:eastAsia="TimesNewRoman" w:cs="TimesNewRoman"/>
          <w:color w:val="000000" w:themeColor="text1"/>
          <w:vertAlign w:val="subscript"/>
        </w:rPr>
        <w:t>trough</w:t>
      </w:r>
      <w:r w:rsidRPr="00F86E11">
        <w:rPr>
          <w:rFonts w:eastAsia="TimesNewRoman" w:cs="TimesNewRoman"/>
          <w:color w:val="000000" w:themeColor="text1"/>
        </w:rPr>
        <w:t xml:space="preserve"> values during steady-state IgPro20 treatment (</w:t>
      </w:r>
      <w:r w:rsidR="00C2531A">
        <w:rPr>
          <w:rFonts w:eastAsia="TimesNewRoman" w:cs="TimesNewRoman"/>
          <w:color w:val="000000" w:themeColor="text1"/>
        </w:rPr>
        <w:t>that is</w:t>
      </w:r>
      <w:r w:rsidR="00617D86">
        <w:rPr>
          <w:rFonts w:eastAsia="TimesNewRoman" w:cs="TimesNewRoman"/>
          <w:color w:val="000000" w:themeColor="text1"/>
        </w:rPr>
        <w:t>,</w:t>
      </w:r>
      <w:r w:rsidRPr="00F86E11">
        <w:rPr>
          <w:rFonts w:eastAsia="TimesNewRoman" w:cs="TimesNewRoman"/>
          <w:color w:val="000000" w:themeColor="text1"/>
        </w:rPr>
        <w:t xml:space="preserve"> </w:t>
      </w:r>
      <w:r w:rsidR="0070299A">
        <w:rPr>
          <w:rFonts w:eastAsia="TimesNewRoman" w:cs="TimesNewRoman"/>
          <w:color w:val="000000" w:themeColor="text1"/>
        </w:rPr>
        <w:t>Week</w:t>
      </w:r>
      <w:r w:rsidRPr="00F86E11">
        <w:rPr>
          <w:rFonts w:eastAsia="TimesNewRoman" w:cs="TimesNewRoman"/>
          <w:color w:val="000000" w:themeColor="text1"/>
        </w:rPr>
        <w:t xml:space="preserve"> 16, 20, and 24)</w:t>
      </w:r>
      <w:r>
        <w:rPr>
          <w:color w:val="000000" w:themeColor="text1"/>
        </w:rPr>
        <w:t xml:space="preserve"> </w:t>
      </w:r>
      <w:r w:rsidRPr="00F86E11">
        <w:rPr>
          <w:rFonts w:eastAsia="TimesNewRoman" w:cs="TimesNewRoman"/>
          <w:color w:val="000000" w:themeColor="text1"/>
        </w:rPr>
        <w:t>expressed as a GMR of SC:IV. In the European pivotal study, the ITT population was used</w:t>
      </w:r>
      <w:r>
        <w:rPr>
          <w:color w:val="000000" w:themeColor="text1"/>
        </w:rPr>
        <w:t xml:space="preserve"> </w:t>
      </w:r>
      <w:r w:rsidRPr="00F86E11">
        <w:rPr>
          <w:rFonts w:eastAsia="TimesNewRoman" w:cs="TimesNewRoman"/>
          <w:color w:val="000000" w:themeColor="text1"/>
        </w:rPr>
        <w:t>for a descriptive comparison of 3 C</w:t>
      </w:r>
      <w:r w:rsidRPr="00564705">
        <w:rPr>
          <w:rFonts w:eastAsia="TimesNewRoman" w:cs="TimesNewRoman"/>
          <w:color w:val="000000" w:themeColor="text1"/>
          <w:vertAlign w:val="subscript"/>
        </w:rPr>
        <w:t>trough</w:t>
      </w:r>
      <w:r w:rsidRPr="00F86E11">
        <w:rPr>
          <w:rFonts w:eastAsia="TimesNewRoman" w:cs="TimesNewRoman"/>
          <w:color w:val="000000" w:themeColor="text1"/>
        </w:rPr>
        <w:t xml:space="preserve"> values obtained </w:t>
      </w:r>
      <w:r w:rsidRPr="00B77723">
        <w:rPr>
          <w:rFonts w:eastAsia="TimesNewRoman" w:cs="TimesNewRoman"/>
          <w:color w:val="000000" w:themeColor="text1"/>
        </w:rPr>
        <w:t>during the subjects’ previous</w:t>
      </w:r>
      <w:r w:rsidRPr="00B77723">
        <w:rPr>
          <w:color w:val="000000" w:themeColor="text1"/>
        </w:rPr>
        <w:t xml:space="preserve"> </w:t>
      </w:r>
      <w:r w:rsidRPr="00B77723">
        <w:rPr>
          <w:rFonts w:eastAsia="TimesNewRoman" w:cs="TimesNewRoman"/>
          <w:color w:val="000000" w:themeColor="text1"/>
        </w:rPr>
        <w:t>Ig treatment in the 3 to 6 months prior to the study (baseline) to 6 consecutive</w:t>
      </w:r>
      <w:r w:rsidRPr="00B77723">
        <w:rPr>
          <w:color w:val="000000" w:themeColor="text1"/>
        </w:rPr>
        <w:t xml:space="preserve"> </w:t>
      </w:r>
      <w:r w:rsidRPr="00B77723">
        <w:rPr>
          <w:rFonts w:eastAsia="TimesNewRoman" w:cs="TimesNewRoman"/>
          <w:color w:val="000000" w:themeColor="text1"/>
        </w:rPr>
        <w:t>C</w:t>
      </w:r>
      <w:r w:rsidRPr="00B77723">
        <w:rPr>
          <w:rFonts w:eastAsia="TimesNewRoman" w:cs="TimesNewRoman"/>
          <w:color w:val="000000" w:themeColor="text1"/>
          <w:vertAlign w:val="subscript"/>
        </w:rPr>
        <w:t>trough</w:t>
      </w:r>
      <w:r w:rsidRPr="00B77723">
        <w:rPr>
          <w:rFonts w:eastAsia="TimesNewRoman" w:cs="TimesNewRoman"/>
          <w:color w:val="000000" w:themeColor="text1"/>
        </w:rPr>
        <w:t xml:space="preserve"> values measured during steady-state IgPro20 treatment (</w:t>
      </w:r>
      <w:r w:rsidR="00C2531A">
        <w:rPr>
          <w:rFonts w:eastAsia="TimesNewRoman" w:cs="TimesNewRoman"/>
          <w:color w:val="000000" w:themeColor="text1"/>
        </w:rPr>
        <w:t>that is</w:t>
      </w:r>
      <w:r w:rsidR="00617D86">
        <w:rPr>
          <w:rFonts w:eastAsia="TimesNewRoman" w:cs="TimesNewRoman"/>
          <w:color w:val="000000" w:themeColor="text1"/>
        </w:rPr>
        <w:t>,</w:t>
      </w:r>
      <w:r w:rsidRPr="00B77723">
        <w:rPr>
          <w:rFonts w:eastAsia="TimesNewRoman" w:cs="TimesNewRoman"/>
          <w:color w:val="000000" w:themeColor="text1"/>
        </w:rPr>
        <w:t xml:space="preserve"> before Infusions 12 to 17).</w:t>
      </w:r>
    </w:p>
    <w:p w:rsidR="005F74D8" w:rsidRDefault="005F74D8" w:rsidP="0003121B">
      <w:pPr>
        <w:rPr>
          <w:color w:val="000000" w:themeColor="text1"/>
        </w:rPr>
      </w:pPr>
      <w:r w:rsidRPr="00B77723">
        <w:rPr>
          <w:rFonts w:eastAsia="TimesNewRoman" w:cs="TimesNewRoman"/>
          <w:color w:val="000000" w:themeColor="text1"/>
        </w:rPr>
        <w:t>In the US pivotal study, the MITT population was used for a descriptive comparison of the</w:t>
      </w:r>
      <w:r w:rsidR="0003121B">
        <w:rPr>
          <w:rFonts w:eastAsia="TimesNewRoman" w:cs="TimesNewRoman"/>
          <w:color w:val="000000" w:themeColor="text1"/>
        </w:rPr>
        <w:t xml:space="preserve"> </w:t>
      </w:r>
      <w:r w:rsidRPr="00B77723">
        <w:rPr>
          <w:rFonts w:eastAsia="TimesNewRoman" w:cs="TimesNewRoman"/>
          <w:color w:val="000000" w:themeColor="text1"/>
        </w:rPr>
        <w:t xml:space="preserve">individual median IgG trough level values. </w:t>
      </w:r>
      <w:r w:rsidRPr="0003121B">
        <w:rPr>
          <w:rFonts w:eastAsia="TimesNewRoman" w:cs="TimesNewRoman"/>
          <w:color w:val="000000" w:themeColor="text1"/>
        </w:rPr>
        <w:t>See Table 18.</w:t>
      </w:r>
      <w:r w:rsidRPr="00B77723">
        <w:rPr>
          <w:rFonts w:eastAsia="TimesNewRoman" w:cs="TimesNewRoman"/>
          <w:color w:val="000000" w:themeColor="text1"/>
        </w:rPr>
        <w:t xml:space="preserve"> Importantly, the primary objective of these studies to sustain (&gt;3 </w:t>
      </w:r>
      <w:r w:rsidR="003944A8">
        <w:rPr>
          <w:rFonts w:eastAsia="TimesNewRoman" w:cs="TimesNewRoman"/>
          <w:color w:val="000000" w:themeColor="text1"/>
        </w:rPr>
        <w:t>years</w:t>
      </w:r>
      <w:r>
        <w:rPr>
          <w:rFonts w:eastAsia="TimesNewRoman" w:cs="TimesNewRoman"/>
          <w:color w:val="000000" w:themeColor="text1"/>
        </w:rPr>
        <w:t xml:space="preserve"> in the EU extension</w:t>
      </w:r>
      <w:r w:rsidRPr="00B77723">
        <w:rPr>
          <w:rFonts w:eastAsia="TimesNewRoman" w:cs="TimesNewRoman"/>
          <w:color w:val="000000" w:themeColor="text1"/>
        </w:rPr>
        <w:t xml:space="preserve">) serum total IgG trough levels at least at the level prior to IgPro20 use was achieved and at levels considered clinically </w:t>
      </w:r>
      <w:r w:rsidRPr="00B77723">
        <w:rPr>
          <w:color w:val="000000" w:themeColor="text1"/>
        </w:rPr>
        <w:t xml:space="preserve">effective </w:t>
      </w:r>
      <w:r w:rsidR="00C2531A">
        <w:rPr>
          <w:color w:val="000000" w:themeColor="text1"/>
        </w:rPr>
        <w:t>that is,</w:t>
      </w:r>
      <w:r w:rsidRPr="00B77723">
        <w:rPr>
          <w:color w:val="000000" w:themeColor="text1"/>
        </w:rPr>
        <w:t xml:space="preserve"> protective </w:t>
      </w:r>
      <w:r w:rsidRPr="001119F4">
        <w:rPr>
          <w:color w:val="000000" w:themeColor="text1"/>
        </w:rPr>
        <w:t>against SBI; these data further inform on the efficacy of this form of passive immunity</w:t>
      </w:r>
      <w:r>
        <w:rPr>
          <w:color w:val="000000" w:themeColor="text1"/>
        </w:rPr>
        <w:t>.</w:t>
      </w:r>
    </w:p>
    <w:p w:rsidR="005F74D8" w:rsidRDefault="005F74D8" w:rsidP="005F74D8">
      <w:pPr>
        <w:autoSpaceDE w:val="0"/>
        <w:autoSpaceDN w:val="0"/>
        <w:adjustRightInd w:val="0"/>
        <w:rPr>
          <w:color w:val="000000" w:themeColor="text1"/>
        </w:rPr>
      </w:pPr>
      <w:r w:rsidRPr="00B77723">
        <w:rPr>
          <w:color w:val="000000" w:themeColor="text1"/>
        </w:rPr>
        <w:lastRenderedPageBreak/>
        <w:t xml:space="preserve">The US pivotal </w:t>
      </w:r>
      <w:r w:rsidR="0003121B" w:rsidRPr="0003121B">
        <w:rPr>
          <w:color w:val="000000" w:themeColor="text1"/>
        </w:rPr>
        <w:t>S</w:t>
      </w:r>
      <w:r w:rsidRPr="0003121B">
        <w:rPr>
          <w:color w:val="000000" w:themeColor="text1"/>
        </w:rPr>
        <w:t>tudy ZLB04_009CR demonstrated an annual rate of SBIs</w:t>
      </w:r>
      <w:r w:rsidRPr="00B77723">
        <w:rPr>
          <w:color w:val="000000" w:themeColor="text1"/>
        </w:rPr>
        <w:t xml:space="preserve"> of 0 (and corresponding upper bound of 1-s</w:t>
      </w:r>
      <w:r>
        <w:rPr>
          <w:color w:val="000000" w:themeColor="text1"/>
        </w:rPr>
        <w:t>ided 99% CI &lt;</w:t>
      </w:r>
      <w:r w:rsidRPr="00B77723">
        <w:rPr>
          <w:color w:val="000000" w:themeColor="text1"/>
        </w:rPr>
        <w:t>1) following &gt;1year of IgPro20 treatment. SBIs were secondary endpoints in the EU and Japan pivota</w:t>
      </w:r>
      <w:r>
        <w:rPr>
          <w:color w:val="000000" w:themeColor="text1"/>
        </w:rPr>
        <w:t>l &amp;</w:t>
      </w:r>
      <w:r w:rsidRPr="00B77723">
        <w:rPr>
          <w:color w:val="000000" w:themeColor="text1"/>
        </w:rPr>
        <w:t xml:space="preserve"> rollover studies, there were low rates of SBIs in both studies</w:t>
      </w:r>
      <w:r w:rsidR="007916E3">
        <w:rPr>
          <w:color w:val="000000" w:themeColor="text1"/>
        </w:rPr>
        <w:t>.</w:t>
      </w:r>
    </w:p>
    <w:p w:rsidR="005F74D8" w:rsidRDefault="005F74D8" w:rsidP="005F74D8">
      <w:pPr>
        <w:autoSpaceDE w:val="0"/>
        <w:autoSpaceDN w:val="0"/>
        <w:adjustRightInd w:val="0"/>
        <w:rPr>
          <w:color w:val="000000" w:themeColor="text1"/>
        </w:rPr>
      </w:pPr>
      <w:r w:rsidRPr="00B77723">
        <w:rPr>
          <w:rFonts w:eastAsia="TimesNewRoman" w:cs="TimesNewRoman"/>
          <w:color w:val="000000" w:themeColor="text1"/>
        </w:rPr>
        <w:t xml:space="preserve">Only 1 subject had an SBI during the </w:t>
      </w:r>
      <w:r>
        <w:rPr>
          <w:rFonts w:eastAsia="TimesNewRoman" w:cs="TimesNewRoman"/>
          <w:color w:val="000000" w:themeColor="text1"/>
        </w:rPr>
        <w:t>WI/WO</w:t>
      </w:r>
      <w:r w:rsidRPr="00B77723">
        <w:rPr>
          <w:rFonts w:eastAsia="TimesNewRoman" w:cs="TimesNewRoman"/>
          <w:color w:val="000000" w:themeColor="text1"/>
        </w:rPr>
        <w:t xml:space="preserve"> period in the European pivotal study,</w:t>
      </w:r>
      <w:r>
        <w:rPr>
          <w:rFonts w:eastAsia="TimesNewRoman" w:cs="TimesNewRoman"/>
          <w:color w:val="000000" w:themeColor="text1"/>
        </w:rPr>
        <w:t xml:space="preserve"> </w:t>
      </w:r>
      <w:r w:rsidRPr="00B77723">
        <w:rPr>
          <w:rFonts w:eastAsia="TimesNewRoman" w:cs="TimesNewRoman"/>
          <w:color w:val="000000" w:themeColor="text1"/>
        </w:rPr>
        <w:t xml:space="preserve">resulting in an annual rate of 0.03 SBIs/subject/year (upper 1-sided 99% CL: </w:t>
      </w:r>
      <w:r>
        <w:rPr>
          <w:rFonts w:eastAsia="TimesNewRoman" w:cs="TimesNewRoman"/>
          <w:color w:val="000000" w:themeColor="text1"/>
        </w:rPr>
        <w:t xml:space="preserve">0.192). </w:t>
      </w:r>
      <w:r w:rsidRPr="00B77723">
        <w:rPr>
          <w:rFonts w:eastAsia="TimesNewRoman" w:cs="TimesNewRoman"/>
          <w:color w:val="000000" w:themeColor="text1"/>
        </w:rPr>
        <w:t xml:space="preserve">In the European </w:t>
      </w:r>
      <w:r w:rsidRPr="0003121B">
        <w:rPr>
          <w:rFonts w:eastAsia="TimesNewRoman" w:cs="TimesNewRoman"/>
          <w:color w:val="000000" w:themeColor="text1"/>
        </w:rPr>
        <w:t xml:space="preserve">extension </w:t>
      </w:r>
      <w:r w:rsidR="0003121B" w:rsidRPr="0003121B">
        <w:rPr>
          <w:rFonts w:eastAsia="TimesNewRoman" w:cs="TimesNewRoman"/>
          <w:color w:val="000000" w:themeColor="text1"/>
        </w:rPr>
        <w:t>S</w:t>
      </w:r>
      <w:r w:rsidRPr="0003121B">
        <w:rPr>
          <w:rFonts w:eastAsia="TimesNewRoman" w:cs="TimesNewRoman"/>
          <w:color w:val="000000" w:themeColor="text1"/>
        </w:rPr>
        <w:t>tudy ZLB07_002CR, a total of 5 SBIs all bacterial pneumonia in 5 subjects were reported. The annualised rate of SBIs</w:t>
      </w:r>
      <w:r w:rsidRPr="00B77723">
        <w:rPr>
          <w:rFonts w:eastAsia="TimesNewRoman" w:cs="TimesNewRoman"/>
          <w:color w:val="000000" w:themeColor="text1"/>
        </w:rPr>
        <w:t xml:space="preserve"> was 0.0478, with an upper 1-sided 99% </w:t>
      </w:r>
      <w:r>
        <w:rPr>
          <w:rFonts w:eastAsia="TimesNewRoman" w:cs="TimesNewRoman"/>
          <w:color w:val="000000" w:themeColor="text1"/>
        </w:rPr>
        <w:t>CL</w:t>
      </w:r>
      <w:r w:rsidRPr="00B77723">
        <w:rPr>
          <w:rFonts w:eastAsia="TimesNewRoman" w:cs="TimesNewRoman"/>
          <w:color w:val="000000" w:themeColor="text1"/>
        </w:rPr>
        <w:t xml:space="preserve"> of 0.1252. Additional evidence from the US extension study IgPro20_3001 confirmed sustained efficacy (2 SBIs, upper 1-sided 99% CL for the SBI rate: 0.257 SBIs per subject per year for the ITT population) over a median treatment period of 87 </w:t>
      </w:r>
      <w:r w:rsidR="0070299A" w:rsidRPr="0003121B">
        <w:rPr>
          <w:rFonts w:eastAsia="TimesNewRoman" w:cs="TimesNewRoman"/>
          <w:color w:val="000000" w:themeColor="text1"/>
        </w:rPr>
        <w:t>Week</w:t>
      </w:r>
      <w:r w:rsidRPr="0003121B">
        <w:rPr>
          <w:rFonts w:eastAsia="TimesNewRoman" w:cs="TimesNewRoman"/>
          <w:color w:val="000000" w:themeColor="text1"/>
        </w:rPr>
        <w:t>s.</w:t>
      </w:r>
      <w:r w:rsidRPr="0003121B">
        <w:rPr>
          <w:rFonts w:eastAsia="TimesNewRoman,Bold" w:cs="TimesNewRoman,Bold"/>
          <w:bCs/>
          <w:color w:val="000000" w:themeColor="text1"/>
        </w:rPr>
        <w:t xml:space="preserve"> Table 19.</w:t>
      </w:r>
      <w:r w:rsidR="000D6A22" w:rsidRPr="0003121B">
        <w:rPr>
          <w:rFonts w:eastAsia="TimesNewRoman,Bold" w:cs="TimesNewRoman,Bold"/>
          <w:bCs/>
          <w:color w:val="000000" w:themeColor="text1"/>
        </w:rPr>
        <w:t xml:space="preserve"> </w:t>
      </w:r>
      <w:r w:rsidRPr="0003121B">
        <w:rPr>
          <w:rFonts w:eastAsia="TimesNewRoman,Bold" w:cs="TimesNewRoman,Bold"/>
          <w:bCs/>
          <w:color w:val="000000" w:themeColor="text1"/>
        </w:rPr>
        <w:t xml:space="preserve">Infections – any – were high in all 3 studies </w:t>
      </w:r>
      <w:r w:rsidR="00C2531A" w:rsidRPr="0003121B">
        <w:rPr>
          <w:rFonts w:eastAsia="TimesNewRoman,Bold" w:cs="TimesNewRoman,Bold"/>
          <w:bCs/>
          <w:color w:val="000000" w:themeColor="text1"/>
        </w:rPr>
        <w:t>that is,</w:t>
      </w:r>
      <w:r w:rsidRPr="0003121B">
        <w:rPr>
          <w:rFonts w:eastAsia="TimesNewRoman,Bold" w:cs="TimesNewRoman,Bold"/>
          <w:bCs/>
          <w:color w:val="000000" w:themeColor="text1"/>
        </w:rPr>
        <w:t xml:space="preserve"> </w:t>
      </w:r>
      <w:r w:rsidRPr="0003121B">
        <w:rPr>
          <w:color w:val="000000" w:themeColor="text1"/>
        </w:rPr>
        <w:t xml:space="preserve">In the combined Japan </w:t>
      </w:r>
      <w:r w:rsidR="0003121B" w:rsidRPr="0003121B">
        <w:rPr>
          <w:color w:val="000000" w:themeColor="text1"/>
        </w:rPr>
        <w:t>S</w:t>
      </w:r>
      <w:r w:rsidRPr="0003121B">
        <w:rPr>
          <w:color w:val="000000" w:themeColor="text1"/>
        </w:rPr>
        <w:t>tudies ZLB06_002CR and ZLB07_001CR, reported in 83.3% (annualised rate: 3.83 infections per subject/y</w:t>
      </w:r>
      <w:r w:rsidR="0003121B" w:rsidRPr="0003121B">
        <w:rPr>
          <w:color w:val="000000" w:themeColor="text1"/>
        </w:rPr>
        <w:t>ea</w:t>
      </w:r>
      <w:r w:rsidRPr="0003121B">
        <w:rPr>
          <w:color w:val="000000" w:themeColor="text1"/>
        </w:rPr>
        <w:t xml:space="preserve">r), 78% of subjects in the </w:t>
      </w:r>
      <w:r w:rsidR="0003121B" w:rsidRPr="0003121B">
        <w:rPr>
          <w:color w:val="000000" w:themeColor="text1"/>
        </w:rPr>
        <w:t>European pivotal S</w:t>
      </w:r>
      <w:r w:rsidRPr="0003121B">
        <w:rPr>
          <w:color w:val="000000" w:themeColor="text1"/>
        </w:rPr>
        <w:t>tudy ZLB06_001CR (annualised rate: 5.18 infections/subject/y</w:t>
      </w:r>
      <w:r w:rsidR="0003121B" w:rsidRPr="0003121B">
        <w:rPr>
          <w:color w:val="000000" w:themeColor="text1"/>
        </w:rPr>
        <w:t>ea</w:t>
      </w:r>
      <w:r w:rsidRPr="0003121B">
        <w:rPr>
          <w:color w:val="000000" w:themeColor="text1"/>
        </w:rPr>
        <w:t xml:space="preserve">r) and 95% during the EU extension </w:t>
      </w:r>
      <w:r w:rsidR="0003121B" w:rsidRPr="0003121B">
        <w:rPr>
          <w:color w:val="000000" w:themeColor="text1"/>
        </w:rPr>
        <w:t>S</w:t>
      </w:r>
      <w:r w:rsidRPr="0003121B">
        <w:rPr>
          <w:color w:val="000000" w:themeColor="text1"/>
        </w:rPr>
        <w:t xml:space="preserve">tudy ZLB07_002CR (annualised rate: 3.33 infections/subject/ year). In the US pivotal </w:t>
      </w:r>
      <w:r w:rsidR="0003121B" w:rsidRPr="0003121B">
        <w:rPr>
          <w:color w:val="000000" w:themeColor="text1"/>
        </w:rPr>
        <w:t>S</w:t>
      </w:r>
      <w:r w:rsidRPr="0003121B">
        <w:rPr>
          <w:color w:val="000000" w:themeColor="text1"/>
        </w:rPr>
        <w:t>tudy ZLB04_009CR, 81.6% of subjects had any infection (annualised rate: 2.76 infections/subject/y</w:t>
      </w:r>
      <w:r w:rsidR="0003121B" w:rsidRPr="0003121B">
        <w:rPr>
          <w:color w:val="000000" w:themeColor="text1"/>
        </w:rPr>
        <w:t>ea</w:t>
      </w:r>
      <w:r w:rsidRPr="0003121B">
        <w:rPr>
          <w:color w:val="000000" w:themeColor="text1"/>
        </w:rPr>
        <w:t>r) and in the US extension IgPro20_3001, 95.2% had any infection (annualised rate: 2.38 infections/subject/y</w:t>
      </w:r>
      <w:r w:rsidR="0003121B" w:rsidRPr="0003121B">
        <w:rPr>
          <w:color w:val="000000" w:themeColor="text1"/>
        </w:rPr>
        <w:t>ea</w:t>
      </w:r>
      <w:r w:rsidRPr="0003121B">
        <w:rPr>
          <w:color w:val="000000" w:themeColor="text1"/>
        </w:rPr>
        <w:t>r). Commonest were respiratory</w:t>
      </w:r>
      <w:r w:rsidRPr="00E005C8">
        <w:rPr>
          <w:color w:val="000000" w:themeColor="text1"/>
        </w:rPr>
        <w:t xml:space="preserve"> </w:t>
      </w:r>
      <w:r w:rsidR="00C2531A">
        <w:rPr>
          <w:color w:val="000000" w:themeColor="text1"/>
        </w:rPr>
        <w:t>that is,</w:t>
      </w:r>
      <w:r>
        <w:rPr>
          <w:color w:val="000000" w:themeColor="text1"/>
        </w:rPr>
        <w:t xml:space="preserve"> URTI, </w:t>
      </w:r>
      <w:r w:rsidRPr="00E005C8">
        <w:rPr>
          <w:color w:val="000000" w:themeColor="text1"/>
        </w:rPr>
        <w:t>nasopharyngitis, sinusitis, bronchitis and cough</w:t>
      </w:r>
      <w:r>
        <w:rPr>
          <w:color w:val="000000" w:themeColor="text1"/>
        </w:rPr>
        <w:t>.</w:t>
      </w:r>
      <w:r w:rsidR="000D6A22">
        <w:rPr>
          <w:color w:val="000000" w:themeColor="text1"/>
        </w:rPr>
        <w:t xml:space="preserve"> </w:t>
      </w:r>
      <w:r>
        <w:rPr>
          <w:rFonts w:eastAsia="TimesNewRoman" w:cs="TimesNewRoman"/>
          <w:color w:val="000000" w:themeColor="text1"/>
        </w:rPr>
        <w:t xml:space="preserve">Last, </w:t>
      </w:r>
      <w:r w:rsidRPr="00B77723">
        <w:rPr>
          <w:color w:val="000000" w:themeColor="text1"/>
        </w:rPr>
        <w:t>no clinically relevant differences in efficacy of SC Hizentra</w:t>
      </w:r>
      <w:r w:rsidRPr="00B77723">
        <w:rPr>
          <w:color w:val="000000" w:themeColor="text1"/>
        </w:rPr>
        <w:sym w:font="Symbol" w:char="F0D2"/>
      </w:r>
      <w:r w:rsidRPr="00B77723">
        <w:rPr>
          <w:color w:val="000000" w:themeColor="text1"/>
        </w:rPr>
        <w:t xml:space="preserve"> in paediatric subjects</w:t>
      </w:r>
      <w:r>
        <w:rPr>
          <w:color w:val="000000" w:themeColor="text1"/>
        </w:rPr>
        <w:t xml:space="preserve"> found; </w:t>
      </w:r>
      <w:r w:rsidRPr="00B77723">
        <w:rPr>
          <w:color w:val="000000" w:themeColor="text1"/>
        </w:rPr>
        <w:t>no paediatric</w:t>
      </w:r>
      <w:r>
        <w:rPr>
          <w:color w:val="000000" w:themeColor="text1"/>
        </w:rPr>
        <w:t xml:space="preserve"> </w:t>
      </w:r>
      <w:r w:rsidRPr="00B77723">
        <w:rPr>
          <w:color w:val="000000" w:themeColor="text1"/>
        </w:rPr>
        <w:t xml:space="preserve">specific dosing </w:t>
      </w:r>
      <w:r>
        <w:rPr>
          <w:color w:val="000000" w:themeColor="text1"/>
        </w:rPr>
        <w:t>to achieve target</w:t>
      </w:r>
      <w:r w:rsidRPr="00B77723">
        <w:rPr>
          <w:color w:val="000000" w:themeColor="text1"/>
        </w:rPr>
        <w:t xml:space="preserve"> serum IgG </w:t>
      </w:r>
      <w:r w:rsidR="003944A8">
        <w:rPr>
          <w:color w:val="000000" w:themeColor="text1"/>
        </w:rPr>
        <w:t>concentrations</w:t>
      </w:r>
      <w:r>
        <w:rPr>
          <w:color w:val="000000" w:themeColor="text1"/>
        </w:rPr>
        <w:t xml:space="preserve"> aside from standard weight</w:t>
      </w:r>
      <w:r w:rsidR="0003121B">
        <w:rPr>
          <w:color w:val="000000" w:themeColor="text1"/>
        </w:rPr>
        <w:t xml:space="preserve"> </w:t>
      </w:r>
      <w:r>
        <w:rPr>
          <w:color w:val="000000" w:themeColor="text1"/>
        </w:rPr>
        <w:t>based dosing.</w:t>
      </w:r>
    </w:p>
    <w:p w:rsidR="005F74D8" w:rsidRPr="007E7F95" w:rsidRDefault="005F74D8" w:rsidP="0003121B">
      <w:pPr>
        <w:pStyle w:val="TableTitle"/>
      </w:pPr>
      <w:r w:rsidRPr="007E7F95">
        <w:t>Table 18: Summary of IgG Doses and Serum IgG Trough Levels Before and During IgPro20 SCIG Treatment, Primary Analysis Populations (Studies ZLB06_002CR, ZLB06_001CR and ZLB04_009CR)</w:t>
      </w:r>
    </w:p>
    <w:p w:rsidR="005F74D8" w:rsidRPr="00EB670C" w:rsidRDefault="00F01513" w:rsidP="005F74D8">
      <w:pPr>
        <w:rPr>
          <w:color w:val="000000" w:themeColor="text1"/>
        </w:rPr>
      </w:pPr>
      <w:r>
        <w:rPr>
          <w:noProof/>
          <w:color w:val="000000" w:themeColor="text1"/>
          <w:lang w:eastAsia="en-AU"/>
        </w:rPr>
        <w:drawing>
          <wp:inline distT="0" distB="0" distL="0" distR="0" wp14:anchorId="3B8ADDE7" wp14:editId="596FB4D8">
            <wp:extent cx="4619625" cy="2691625"/>
            <wp:effectExtent l="0" t="0" r="0" b="0"/>
            <wp:docPr id="34" name="Picture 34" descr="Table 18: Summary of IgG Doses and Serum IgG Trough Levels Before and During IgPro20 SCIG Treatment, Primary Analysis Populations (Studies ZLB06_002CR, ZLB06_001CR and ZLB04_00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17579" cy="2690433"/>
                    </a:xfrm>
                    <a:prstGeom prst="rect">
                      <a:avLst/>
                    </a:prstGeom>
                  </pic:spPr>
                </pic:pic>
              </a:graphicData>
            </a:graphic>
          </wp:inline>
        </w:drawing>
      </w:r>
    </w:p>
    <w:p w:rsidR="005F74D8" w:rsidRPr="007E7F95" w:rsidRDefault="005F74D8" w:rsidP="0003121B">
      <w:pPr>
        <w:pStyle w:val="TableTitle"/>
      </w:pPr>
      <w:r w:rsidRPr="007E7F95">
        <w:lastRenderedPageBreak/>
        <w:t>Table 19: Summary of Secondary Efficacy Results, ITT Population (Studies ZLB06_002CR, ZLB07_001CR and ZLB06_001CR)</w:t>
      </w:r>
    </w:p>
    <w:p w:rsidR="005F74D8" w:rsidRPr="00E005C8" w:rsidRDefault="00F01513" w:rsidP="005F74D8">
      <w:pPr>
        <w:rPr>
          <w:color w:val="000000" w:themeColor="text1"/>
        </w:rPr>
      </w:pPr>
      <w:r>
        <w:rPr>
          <w:noProof/>
          <w:color w:val="000000" w:themeColor="text1"/>
          <w:lang w:eastAsia="en-AU"/>
        </w:rPr>
        <w:drawing>
          <wp:inline distT="0" distB="0" distL="0" distR="0" wp14:anchorId="2D7998B6" wp14:editId="2CE45A95">
            <wp:extent cx="4667300" cy="3581400"/>
            <wp:effectExtent l="0" t="0" r="0" b="0"/>
            <wp:docPr id="35" name="Picture 35" descr="Table 19: Summary of Secondary Efficacy Results, ITT Population (Studies ZLB06_002CR, ZLB07_001CR and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5233" cy="3579814"/>
                    </a:xfrm>
                    <a:prstGeom prst="rect">
                      <a:avLst/>
                    </a:prstGeom>
                  </pic:spPr>
                </pic:pic>
              </a:graphicData>
            </a:graphic>
          </wp:inline>
        </w:drawing>
      </w:r>
    </w:p>
    <w:p w:rsidR="00C22678" w:rsidRPr="00586F98" w:rsidRDefault="005F74D8" w:rsidP="005F74D8">
      <w:pPr>
        <w:rPr>
          <w:lang w:eastAsia="ja-JP"/>
        </w:rPr>
      </w:pPr>
      <w:r w:rsidRPr="001119F4">
        <w:rPr>
          <w:rFonts w:eastAsia="TimesNewRoman" w:cs="TimesNewRoman"/>
          <w:color w:val="000000" w:themeColor="text1"/>
        </w:rPr>
        <w:t>In keeping with common medical practice, these results suggest that IgPro20 could be an effective treatment in other immunodeficiencies of a secondary aetiology.</w:t>
      </w:r>
    </w:p>
    <w:p w:rsidR="00C22678" w:rsidRDefault="00C22678" w:rsidP="00247A95">
      <w:pPr>
        <w:pStyle w:val="Heading2"/>
      </w:pPr>
      <w:bookmarkStart w:id="289" w:name="_Toc392757316"/>
      <w:r>
        <w:t>Clinical safety</w:t>
      </w:r>
      <w:bookmarkEnd w:id="289"/>
    </w:p>
    <w:p w:rsidR="005F74D8" w:rsidRPr="00E005C8" w:rsidRDefault="005F74D8" w:rsidP="00247A95">
      <w:pPr>
        <w:pStyle w:val="Heading3"/>
      </w:pPr>
      <w:bookmarkStart w:id="290" w:name="_Toc272414659"/>
      <w:bookmarkStart w:id="291" w:name="_Toc290846284"/>
      <w:bookmarkStart w:id="292" w:name="_Toc373748432"/>
      <w:bookmarkStart w:id="293" w:name="_Toc392757317"/>
      <w:r w:rsidRPr="00E005C8">
        <w:t>Studies providing evaluable safety data</w:t>
      </w:r>
      <w:bookmarkEnd w:id="290"/>
      <w:bookmarkEnd w:id="291"/>
      <w:bookmarkEnd w:id="292"/>
      <w:bookmarkEnd w:id="293"/>
    </w:p>
    <w:p w:rsidR="005F74D8" w:rsidRPr="00E005C8" w:rsidRDefault="005F74D8" w:rsidP="005F74D8">
      <w:pPr>
        <w:rPr>
          <w:color w:val="000000" w:themeColor="text1"/>
        </w:rPr>
      </w:pPr>
      <w:bookmarkStart w:id="294" w:name="_Ref268776745"/>
      <w:r w:rsidRPr="00E005C8">
        <w:rPr>
          <w:color w:val="000000" w:themeColor="text1"/>
        </w:rPr>
        <w:t>The following studies provided evaluable safety data: 6 Phase III studies in PID (</w:t>
      </w:r>
      <w:r w:rsidR="00C2531A">
        <w:rPr>
          <w:color w:val="000000" w:themeColor="text1"/>
        </w:rPr>
        <w:t>that is</w:t>
      </w:r>
      <w:r w:rsidR="00617D86">
        <w:rPr>
          <w:color w:val="000000" w:themeColor="text1"/>
        </w:rPr>
        <w:t>,</w:t>
      </w:r>
      <w:r w:rsidRPr="00E005C8">
        <w:rPr>
          <w:color w:val="000000" w:themeColor="text1"/>
        </w:rPr>
        <w:t xml:space="preserve"> 3 pivotal</w:t>
      </w:r>
      <w:r w:rsidR="008834D0">
        <w:rPr>
          <w:color w:val="000000" w:themeColor="text1"/>
        </w:rPr>
        <w:t xml:space="preserve"> </w:t>
      </w:r>
      <w:r>
        <w:rPr>
          <w:color w:val="000000" w:themeColor="text1"/>
        </w:rPr>
        <w:t xml:space="preserve">studies in Japan, Europe, </w:t>
      </w:r>
      <w:r w:rsidRPr="00E005C8">
        <w:rPr>
          <w:color w:val="000000" w:themeColor="text1"/>
        </w:rPr>
        <w:t>US a</w:t>
      </w:r>
      <w:r>
        <w:rPr>
          <w:color w:val="000000" w:themeColor="text1"/>
        </w:rPr>
        <w:t>nd their respective extension studies). S</w:t>
      </w:r>
      <w:r w:rsidRPr="00E005C8">
        <w:rPr>
          <w:color w:val="000000" w:themeColor="text1"/>
        </w:rPr>
        <w:t xml:space="preserve">afety data from </w:t>
      </w:r>
      <w:r w:rsidRPr="008834D0">
        <w:rPr>
          <w:color w:val="000000" w:themeColor="text1"/>
        </w:rPr>
        <w:t>ZLB04_008CR</w:t>
      </w:r>
      <w:r w:rsidRPr="00E005C8">
        <w:rPr>
          <w:color w:val="000000" w:themeColor="text1"/>
        </w:rPr>
        <w:t xml:space="preserve"> in healthy male volunteers and SAE reporting from the ongoing Phase III study IgPro20_3006 provide further support of the overall safety of IgPro20. In addition, safety data</w:t>
      </w:r>
      <w:r>
        <w:rPr>
          <w:color w:val="000000" w:themeColor="text1"/>
        </w:rPr>
        <w:t xml:space="preserve"> derived from </w:t>
      </w:r>
      <w:r w:rsidRPr="00E005C8">
        <w:rPr>
          <w:color w:val="000000" w:themeColor="text1"/>
        </w:rPr>
        <w:t xml:space="preserve">postmarketing data </w:t>
      </w:r>
      <w:r>
        <w:rPr>
          <w:color w:val="000000" w:themeColor="text1"/>
        </w:rPr>
        <w:t>via</w:t>
      </w:r>
      <w:r w:rsidR="007916E3">
        <w:rPr>
          <w:color w:val="000000" w:themeColor="text1"/>
        </w:rPr>
        <w:t xml:space="preserve"> spontaneous AE reports.</w:t>
      </w:r>
    </w:p>
    <w:p w:rsidR="005F74D8" w:rsidRPr="00E005C8" w:rsidRDefault="005F74D8" w:rsidP="00247A95">
      <w:pPr>
        <w:pStyle w:val="Heading4"/>
      </w:pPr>
      <w:r w:rsidRPr="00E005C8">
        <w:t>Pivotal efficacy studies</w:t>
      </w:r>
      <w:bookmarkEnd w:id="294"/>
    </w:p>
    <w:p w:rsidR="005F74D8" w:rsidRDefault="005F74D8" w:rsidP="005F74D8">
      <w:pPr>
        <w:rPr>
          <w:color w:val="000000" w:themeColor="text1"/>
        </w:rPr>
      </w:pPr>
      <w:r w:rsidRPr="00EA261A">
        <w:rPr>
          <w:color w:val="000000" w:themeColor="text1"/>
        </w:rPr>
        <w:t>In the pivotal efficacy studies, the following safety data were collected:</w:t>
      </w:r>
      <w:r>
        <w:rPr>
          <w:color w:val="000000" w:themeColor="text1"/>
        </w:rPr>
        <w:t xml:space="preserve"> </w:t>
      </w:r>
      <w:r w:rsidRPr="000C211A">
        <w:rPr>
          <w:b/>
          <w:color w:val="000000" w:themeColor="text1"/>
        </w:rPr>
        <w:t>General AEs</w:t>
      </w:r>
      <w:r w:rsidRPr="00EA261A">
        <w:rPr>
          <w:color w:val="000000" w:themeColor="text1"/>
        </w:rPr>
        <w:t xml:space="preserve"> assessed at each visit (observed by investigator and/or reported by patient) with a focus on the relatedness between infusion rate and intensity of AEs (local ISR and systemic); </w:t>
      </w:r>
      <w:r w:rsidRPr="000C211A">
        <w:rPr>
          <w:b/>
          <w:color w:val="000000" w:themeColor="text1"/>
        </w:rPr>
        <w:t>AEs of particular interest</w:t>
      </w:r>
      <w:r w:rsidRPr="00EA261A">
        <w:rPr>
          <w:color w:val="000000" w:themeColor="text1"/>
        </w:rPr>
        <w:t>, including</w:t>
      </w:r>
      <w:r w:rsidRPr="00EA261A">
        <w:rPr>
          <w:b/>
          <w:color w:val="000000" w:themeColor="text1"/>
        </w:rPr>
        <w:t xml:space="preserve"> ISRs</w:t>
      </w:r>
      <w:r w:rsidRPr="00EA261A">
        <w:rPr>
          <w:color w:val="000000" w:themeColor="text1"/>
        </w:rPr>
        <w:t>, were assessed by Investigator directed questioning and examination, patient diary cards (also captured nos. of days out of work/school/ kindergarten/day care or unable to perform normal activities due to infections,</w:t>
      </w:r>
      <w:r w:rsidR="0070299A">
        <w:rPr>
          <w:color w:val="000000" w:themeColor="text1"/>
        </w:rPr>
        <w:t xml:space="preserve"> Number </w:t>
      </w:r>
      <w:r w:rsidRPr="00EA261A">
        <w:rPr>
          <w:color w:val="000000" w:themeColor="text1"/>
        </w:rPr>
        <w:t xml:space="preserve">of days of hospitalization due to </w:t>
      </w:r>
      <w:r w:rsidRPr="00EA261A">
        <w:rPr>
          <w:b/>
          <w:color w:val="000000" w:themeColor="text1"/>
        </w:rPr>
        <w:t>infections</w:t>
      </w:r>
      <w:r w:rsidRPr="00EA261A">
        <w:rPr>
          <w:color w:val="000000" w:themeColor="text1"/>
        </w:rPr>
        <w:t xml:space="preserve">, patient report of specific symptoms and signs and quality of life). </w:t>
      </w:r>
      <w:r>
        <w:rPr>
          <w:color w:val="000000" w:themeColor="text1"/>
        </w:rPr>
        <w:t xml:space="preserve">ISRs </w:t>
      </w:r>
      <w:r w:rsidRPr="00EA261A">
        <w:rPr>
          <w:color w:val="000000" w:themeColor="text1"/>
        </w:rPr>
        <w:t>reported either as individual AEs of local reaction at any time or via specific assessments of local tolerability according to</w:t>
      </w:r>
      <w:r>
        <w:rPr>
          <w:color w:val="000000" w:themeColor="text1"/>
        </w:rPr>
        <w:t xml:space="preserve"> predefined schedules</w:t>
      </w:r>
      <w:r w:rsidRPr="00EA261A">
        <w:rPr>
          <w:color w:val="000000" w:themeColor="text1"/>
        </w:rPr>
        <w:t xml:space="preserve">. As local reaction is </w:t>
      </w:r>
      <w:r>
        <w:rPr>
          <w:color w:val="000000" w:themeColor="text1"/>
        </w:rPr>
        <w:t xml:space="preserve">not a MedDRA preferred term, </w:t>
      </w:r>
      <w:r w:rsidRPr="00EA261A">
        <w:rPr>
          <w:color w:val="000000" w:themeColor="text1"/>
        </w:rPr>
        <w:t>any AE that belonged to 1 of 34 preferred terms related to the site of injection was grouped into a separate term called “</w:t>
      </w:r>
      <w:r w:rsidRPr="00EA261A">
        <w:rPr>
          <w:b/>
          <w:color w:val="000000" w:themeColor="text1"/>
        </w:rPr>
        <w:t>local reaction</w:t>
      </w:r>
      <w:r w:rsidRPr="00EA261A">
        <w:rPr>
          <w:color w:val="000000" w:themeColor="text1"/>
        </w:rPr>
        <w:t>” and the incidence of</w:t>
      </w:r>
      <w:r>
        <w:rPr>
          <w:color w:val="000000" w:themeColor="text1"/>
        </w:rPr>
        <w:t xml:space="preserve"> this was evaluated. </w:t>
      </w:r>
      <w:r w:rsidRPr="000C211A">
        <w:rPr>
          <w:b/>
          <w:color w:val="000000" w:themeColor="text1"/>
        </w:rPr>
        <w:t>Laboratory tests,</w:t>
      </w:r>
      <w:r w:rsidRPr="00EA261A">
        <w:rPr>
          <w:color w:val="000000" w:themeColor="text1"/>
        </w:rPr>
        <w:t xml:space="preserve"> including: blood </w:t>
      </w:r>
      <w:r w:rsidRPr="00EA261A">
        <w:rPr>
          <w:b/>
          <w:color w:val="000000" w:themeColor="text1"/>
        </w:rPr>
        <w:t>chemistry</w:t>
      </w:r>
      <w:r w:rsidRPr="00EA261A">
        <w:rPr>
          <w:color w:val="000000" w:themeColor="text1"/>
        </w:rPr>
        <w:t xml:space="preserve"> tests (liver function, renal function, amylase), </w:t>
      </w:r>
      <w:r w:rsidRPr="00EA261A">
        <w:rPr>
          <w:b/>
          <w:color w:val="000000" w:themeColor="text1"/>
        </w:rPr>
        <w:t>haematology</w:t>
      </w:r>
      <w:r w:rsidRPr="00EA261A">
        <w:rPr>
          <w:color w:val="000000" w:themeColor="text1"/>
        </w:rPr>
        <w:t xml:space="preserve"> (FBC and differential, Direct Coombs test, markers of haemolysis</w:t>
      </w:r>
      <w:r>
        <w:rPr>
          <w:color w:val="000000" w:themeColor="text1"/>
        </w:rPr>
        <w:t>; coagulation</w:t>
      </w:r>
      <w:r w:rsidRPr="00EA261A">
        <w:rPr>
          <w:color w:val="000000" w:themeColor="text1"/>
        </w:rPr>
        <w:t xml:space="preserve">), </w:t>
      </w:r>
      <w:r w:rsidRPr="00EA261A">
        <w:rPr>
          <w:b/>
          <w:color w:val="000000" w:themeColor="text1"/>
        </w:rPr>
        <w:t>viral markers</w:t>
      </w:r>
      <w:r w:rsidR="00247A95">
        <w:rPr>
          <w:color w:val="000000" w:themeColor="text1"/>
        </w:rPr>
        <w:t xml:space="preserve"> </w:t>
      </w:r>
      <w:r w:rsidR="00247A95">
        <w:rPr>
          <w:color w:val="000000" w:themeColor="text1"/>
        </w:rPr>
        <w:lastRenderedPageBreak/>
        <w:t xml:space="preserve">(HIV-1 and </w:t>
      </w:r>
      <w:r w:rsidRPr="00EA261A">
        <w:rPr>
          <w:color w:val="000000" w:themeColor="text1"/>
        </w:rPr>
        <w:t>2, HAV, HBV, HCV</w:t>
      </w:r>
      <w:r>
        <w:rPr>
          <w:color w:val="000000" w:themeColor="text1"/>
        </w:rPr>
        <w:t>, Parvovirus B19 – antibody/</w:t>
      </w:r>
      <w:r w:rsidRPr="00EA261A">
        <w:rPr>
          <w:color w:val="000000" w:themeColor="text1"/>
        </w:rPr>
        <w:t xml:space="preserve">PCR tests) performed at regular time points </w:t>
      </w:r>
      <w:r>
        <w:rPr>
          <w:color w:val="000000" w:themeColor="text1"/>
        </w:rPr>
        <w:t xml:space="preserve">except not in the </w:t>
      </w:r>
      <w:r w:rsidRPr="00EA261A">
        <w:rPr>
          <w:color w:val="000000" w:themeColor="text1"/>
        </w:rPr>
        <w:t>EU pivotal and extension (</w:t>
      </w:r>
      <w:r w:rsidRPr="00EA261A">
        <w:rPr>
          <w:b/>
          <w:color w:val="000000" w:themeColor="text1"/>
        </w:rPr>
        <w:t>ZLB06_001CR and ZLB07_002CR</w:t>
      </w:r>
      <w:r w:rsidRPr="00EA261A">
        <w:rPr>
          <w:color w:val="000000" w:themeColor="text1"/>
        </w:rPr>
        <w:t>), urinalysis.</w:t>
      </w:r>
    </w:p>
    <w:p w:rsidR="005F74D8" w:rsidRPr="00E005C8" w:rsidRDefault="005F74D8" w:rsidP="00247A95">
      <w:pPr>
        <w:pStyle w:val="Heading4"/>
      </w:pPr>
      <w:r w:rsidRPr="00E005C8">
        <w:t>Pivotal studies that assessed safety as a primary outcome</w:t>
      </w:r>
    </w:p>
    <w:p w:rsidR="005F74D8" w:rsidRDefault="005F74D8" w:rsidP="005F74D8">
      <w:pPr>
        <w:rPr>
          <w:color w:val="000000" w:themeColor="text1"/>
        </w:rPr>
      </w:pPr>
      <w:r>
        <w:rPr>
          <w:color w:val="000000" w:themeColor="text1"/>
        </w:rPr>
        <w:t>N</w:t>
      </w:r>
      <w:r w:rsidRPr="00E005C8">
        <w:rPr>
          <w:color w:val="000000" w:themeColor="text1"/>
        </w:rPr>
        <w:t>o pivotal studies that assessed safety as a primary outcome.</w:t>
      </w:r>
    </w:p>
    <w:p w:rsidR="005F74D8" w:rsidRPr="00E005C8" w:rsidRDefault="005F74D8" w:rsidP="00247A95">
      <w:pPr>
        <w:pStyle w:val="Heading4"/>
      </w:pPr>
      <w:r w:rsidRPr="00E005C8">
        <w:t>Dose-response and non-pivotal efficacy studies</w:t>
      </w:r>
    </w:p>
    <w:p w:rsidR="005F74D8" w:rsidRDefault="005F74D8" w:rsidP="005F74D8">
      <w:pPr>
        <w:rPr>
          <w:color w:val="000000" w:themeColor="text1"/>
        </w:rPr>
      </w:pPr>
      <w:r w:rsidRPr="00E005C8">
        <w:rPr>
          <w:color w:val="000000" w:themeColor="text1"/>
        </w:rPr>
        <w:t>As the dose of SC Hizentra</w:t>
      </w:r>
      <w:r w:rsidRPr="00E005C8">
        <w:rPr>
          <w:color w:val="000000" w:themeColor="text1"/>
        </w:rPr>
        <w:sym w:font="Symbol" w:char="F0D2"/>
      </w:r>
      <w:r w:rsidRPr="00E005C8">
        <w:rPr>
          <w:color w:val="000000" w:themeColor="text1"/>
        </w:rPr>
        <w:t xml:space="preserve"> is titrated according to IgG response no classic “dose-respons</w:t>
      </w:r>
      <w:r>
        <w:rPr>
          <w:color w:val="000000" w:themeColor="text1"/>
        </w:rPr>
        <w:t>e” studies were conducted</w:t>
      </w:r>
      <w:r w:rsidRPr="00E005C8">
        <w:rPr>
          <w:color w:val="000000" w:themeColor="text1"/>
        </w:rPr>
        <w:t xml:space="preserve">. Suffice to say that the maximum individual </w:t>
      </w:r>
      <w:r w:rsidR="0070299A">
        <w:rPr>
          <w:color w:val="000000" w:themeColor="text1"/>
        </w:rPr>
        <w:t>Week</w:t>
      </w:r>
      <w:r w:rsidRPr="00E005C8">
        <w:rPr>
          <w:color w:val="000000" w:themeColor="text1"/>
        </w:rPr>
        <w:t>ly do</w:t>
      </w:r>
      <w:r>
        <w:rPr>
          <w:color w:val="000000" w:themeColor="text1"/>
        </w:rPr>
        <w:t>ses administered in the EU</w:t>
      </w:r>
      <w:r w:rsidRPr="00E005C8">
        <w:rPr>
          <w:color w:val="000000" w:themeColor="text1"/>
        </w:rPr>
        <w:t xml:space="preserve"> and US studies were higher than in the Japan pivotal </w:t>
      </w:r>
      <w:r w:rsidRPr="00AD556D">
        <w:rPr>
          <w:b/>
          <w:color w:val="000000" w:themeColor="text1"/>
        </w:rPr>
        <w:t>ZLB06_002CR</w:t>
      </w:r>
      <w:r w:rsidR="007916E3">
        <w:rPr>
          <w:color w:val="000000" w:themeColor="text1"/>
        </w:rPr>
        <w:t>.</w:t>
      </w:r>
    </w:p>
    <w:p w:rsidR="005F74D8" w:rsidRDefault="005F74D8" w:rsidP="005F74D8">
      <w:pPr>
        <w:rPr>
          <w:color w:val="000000" w:themeColor="text1"/>
        </w:rPr>
      </w:pPr>
      <w:r w:rsidRPr="00E005C8">
        <w:rPr>
          <w:color w:val="000000" w:themeColor="text1"/>
        </w:rPr>
        <w:t xml:space="preserve">The maximum individual </w:t>
      </w:r>
      <w:r w:rsidR="0070299A">
        <w:rPr>
          <w:color w:val="000000" w:themeColor="text1"/>
        </w:rPr>
        <w:t>Week</w:t>
      </w:r>
      <w:r w:rsidRPr="00E005C8">
        <w:rPr>
          <w:color w:val="000000" w:themeColor="text1"/>
        </w:rPr>
        <w:t xml:space="preserve">ly dose administered in any of the Phase III studies was 406 mg/kg bw (administered on 2 separate </w:t>
      </w:r>
      <w:r w:rsidR="0070299A">
        <w:rPr>
          <w:color w:val="000000" w:themeColor="text1"/>
        </w:rPr>
        <w:t>Week</w:t>
      </w:r>
      <w:r w:rsidRPr="00E005C8">
        <w:rPr>
          <w:color w:val="000000" w:themeColor="text1"/>
        </w:rPr>
        <w:t>s in the</w:t>
      </w:r>
      <w:r>
        <w:rPr>
          <w:color w:val="000000" w:themeColor="text1"/>
        </w:rPr>
        <w:t xml:space="preserve"> EU</w:t>
      </w:r>
      <w:r w:rsidRPr="00E005C8">
        <w:rPr>
          <w:color w:val="000000" w:themeColor="text1"/>
        </w:rPr>
        <w:t xml:space="preserve"> extension </w:t>
      </w:r>
      <w:r w:rsidRPr="00AD556D">
        <w:rPr>
          <w:b/>
          <w:color w:val="000000" w:themeColor="text1"/>
        </w:rPr>
        <w:t>ZLB07_002CR</w:t>
      </w:r>
      <w:r w:rsidRPr="00E005C8">
        <w:rPr>
          <w:color w:val="000000" w:themeColor="text1"/>
        </w:rPr>
        <w:t xml:space="preserve">). No safety concerns were identified with these maximum IgPro20 doses administered. The EU extension </w:t>
      </w:r>
      <w:r w:rsidRPr="00E005C8">
        <w:rPr>
          <w:b/>
          <w:color w:val="000000" w:themeColor="text1"/>
        </w:rPr>
        <w:t>ZLB07_002CR</w:t>
      </w:r>
      <w:r w:rsidRPr="00E005C8">
        <w:rPr>
          <w:color w:val="000000" w:themeColor="text1"/>
        </w:rPr>
        <w:t xml:space="preserve"> and the US extension </w:t>
      </w:r>
      <w:r w:rsidRPr="00E005C8">
        <w:rPr>
          <w:b/>
          <w:color w:val="000000" w:themeColor="text1"/>
        </w:rPr>
        <w:t>IgPro20_3001</w:t>
      </w:r>
      <w:r w:rsidRPr="00E005C8">
        <w:rPr>
          <w:color w:val="000000" w:themeColor="text1"/>
        </w:rPr>
        <w:t xml:space="preserve"> provided long</w:t>
      </w:r>
      <w:r>
        <w:rPr>
          <w:color w:val="000000" w:themeColor="text1"/>
        </w:rPr>
        <w:t xml:space="preserve">-term exposure; </w:t>
      </w:r>
      <w:r w:rsidRPr="00E005C8">
        <w:rPr>
          <w:color w:val="000000" w:themeColor="text1"/>
        </w:rPr>
        <w:t xml:space="preserve">no safety concerns identified with the </w:t>
      </w:r>
      <w:r>
        <w:rPr>
          <w:color w:val="000000" w:themeColor="text1"/>
        </w:rPr>
        <w:t xml:space="preserve">long-term use of IgPro20 for </w:t>
      </w:r>
      <w:r w:rsidRPr="00E005C8">
        <w:rPr>
          <w:color w:val="000000" w:themeColor="text1"/>
        </w:rPr>
        <w:t xml:space="preserve">treatment duration of up to 3.2 </w:t>
      </w:r>
      <w:r w:rsidR="003944A8">
        <w:rPr>
          <w:color w:val="000000" w:themeColor="text1"/>
        </w:rPr>
        <w:t>years</w:t>
      </w:r>
      <w:r w:rsidR="007916E3">
        <w:rPr>
          <w:color w:val="000000" w:themeColor="text1"/>
        </w:rPr>
        <w:t>.</w:t>
      </w:r>
    </w:p>
    <w:p w:rsidR="005F74D8" w:rsidRPr="00E005C8" w:rsidRDefault="005F74D8" w:rsidP="00247A95">
      <w:pPr>
        <w:pStyle w:val="Heading4"/>
      </w:pPr>
      <w:r w:rsidRPr="00E005C8">
        <w:t>Other studies evaluable for safety only</w:t>
      </w:r>
    </w:p>
    <w:p w:rsidR="005F74D8" w:rsidRDefault="005F74D8" w:rsidP="005F74D8">
      <w:pPr>
        <w:rPr>
          <w:color w:val="000000" w:themeColor="text1"/>
        </w:rPr>
      </w:pPr>
      <w:r w:rsidRPr="00E005C8">
        <w:rPr>
          <w:color w:val="000000" w:themeColor="text1"/>
        </w:rPr>
        <w:t>Not applicable.</w:t>
      </w:r>
    </w:p>
    <w:p w:rsidR="005F74D8" w:rsidRPr="00E005C8" w:rsidRDefault="005F74D8" w:rsidP="00247A95">
      <w:pPr>
        <w:pStyle w:val="Heading3"/>
      </w:pPr>
      <w:bookmarkStart w:id="295" w:name="_Ref269204367"/>
      <w:bookmarkStart w:id="296" w:name="_Ref271195835"/>
      <w:bookmarkStart w:id="297" w:name="_Ref271195841"/>
      <w:bookmarkStart w:id="298" w:name="_Toc272414660"/>
      <w:bookmarkStart w:id="299" w:name="_Toc290846285"/>
      <w:bookmarkStart w:id="300" w:name="_Toc373748433"/>
      <w:bookmarkStart w:id="301" w:name="_Toc392757318"/>
      <w:r w:rsidRPr="00E005C8">
        <w:t>Pivotal studies that assessed safety as a primary outcome</w:t>
      </w:r>
      <w:bookmarkEnd w:id="295"/>
      <w:bookmarkEnd w:id="296"/>
      <w:bookmarkEnd w:id="297"/>
      <w:bookmarkEnd w:id="298"/>
      <w:bookmarkEnd w:id="299"/>
      <w:bookmarkEnd w:id="300"/>
      <w:bookmarkEnd w:id="301"/>
    </w:p>
    <w:p w:rsidR="005F74D8" w:rsidRDefault="005F74D8" w:rsidP="005F74D8">
      <w:pPr>
        <w:autoSpaceDE w:val="0"/>
        <w:autoSpaceDN w:val="0"/>
        <w:adjustRightInd w:val="0"/>
        <w:rPr>
          <w:color w:val="000000" w:themeColor="text1"/>
        </w:rPr>
      </w:pPr>
      <w:r w:rsidRPr="00E005C8">
        <w:rPr>
          <w:color w:val="000000" w:themeColor="text1"/>
        </w:rPr>
        <w:t xml:space="preserve">ZLB04_008CR was a Phase </w:t>
      </w:r>
      <w:r w:rsidR="00247A95">
        <w:rPr>
          <w:color w:val="000000" w:themeColor="text1"/>
        </w:rPr>
        <w:t>I</w:t>
      </w:r>
      <w:r w:rsidRPr="00E005C8">
        <w:rPr>
          <w:color w:val="000000" w:themeColor="text1"/>
        </w:rPr>
        <w:t xml:space="preserve"> Safety and tolerability study in health volunteers</w:t>
      </w:r>
      <w:r w:rsidR="00247A95">
        <w:rPr>
          <w:color w:val="000000" w:themeColor="text1"/>
        </w:rPr>
        <w:t>.</w:t>
      </w:r>
    </w:p>
    <w:p w:rsidR="005F74D8" w:rsidRPr="00E005C8" w:rsidRDefault="005F74D8" w:rsidP="00247A95">
      <w:pPr>
        <w:pStyle w:val="Heading3"/>
      </w:pPr>
      <w:bookmarkStart w:id="302" w:name="_Toc241374318"/>
      <w:bookmarkStart w:id="303" w:name="_Ref271196630"/>
      <w:bookmarkStart w:id="304" w:name="_Toc272414662"/>
      <w:bookmarkStart w:id="305" w:name="_Toc290846300"/>
      <w:bookmarkStart w:id="306" w:name="_Toc373748434"/>
      <w:bookmarkStart w:id="307" w:name="_Toc392757319"/>
      <w:r w:rsidRPr="00E005C8">
        <w:t>Patient exposure</w:t>
      </w:r>
      <w:bookmarkEnd w:id="302"/>
      <w:bookmarkEnd w:id="303"/>
      <w:bookmarkEnd w:id="304"/>
      <w:bookmarkEnd w:id="305"/>
      <w:bookmarkEnd w:id="306"/>
      <w:bookmarkEnd w:id="307"/>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In these 7 studies, IgPro20 was administered to </w:t>
      </w:r>
      <w:r w:rsidRPr="0004332A">
        <w:rPr>
          <w:rFonts w:eastAsia="TimesNewRoman" w:cs="TimesNewRoman"/>
          <w:b/>
          <w:color w:val="000000" w:themeColor="text1"/>
        </w:rPr>
        <w:t>153 subjects</w:t>
      </w:r>
      <w:r w:rsidRPr="00E005C8">
        <w:rPr>
          <w:rFonts w:eastAsia="TimesNewRoman" w:cs="TimesNewRoman"/>
          <w:color w:val="000000" w:themeColor="text1"/>
        </w:rPr>
        <w:t xml:space="preserve">, including </w:t>
      </w:r>
      <w:r w:rsidRPr="0004332A">
        <w:rPr>
          <w:rFonts w:eastAsia="TimesNewRoman" w:cs="TimesNewRoman"/>
          <w:b/>
          <w:color w:val="000000" w:themeColor="text1"/>
        </w:rPr>
        <w:t>125</w:t>
      </w:r>
      <w:r w:rsidRPr="00E005C8">
        <w:rPr>
          <w:rFonts w:eastAsia="TimesNewRoman" w:cs="TimesNewRoman"/>
          <w:color w:val="000000" w:themeColor="text1"/>
        </w:rPr>
        <w:t xml:space="preserve"> </w:t>
      </w:r>
      <w:r w:rsidRPr="0004332A">
        <w:rPr>
          <w:rFonts w:eastAsia="TimesNewRoman" w:cs="TimesNewRoman"/>
          <w:b/>
          <w:color w:val="000000" w:themeColor="text1"/>
        </w:rPr>
        <w:t>PID</w:t>
      </w:r>
      <w:r>
        <w:rPr>
          <w:rFonts w:eastAsia="TimesNewRoman" w:cs="TimesNewRoman"/>
          <w:color w:val="000000" w:themeColor="text1"/>
        </w:rPr>
        <w:t xml:space="preserve"> </w:t>
      </w:r>
      <w:r w:rsidRPr="0004332A">
        <w:rPr>
          <w:rFonts w:eastAsia="TimesNewRoman" w:cs="TimesNewRoman"/>
          <w:b/>
          <w:color w:val="000000" w:themeColor="text1"/>
        </w:rPr>
        <w:t>subjects</w:t>
      </w:r>
      <w:r w:rsidRPr="00E005C8">
        <w:rPr>
          <w:rFonts w:eastAsia="TimesNewRoman" w:cs="TimesNewRoman"/>
          <w:color w:val="000000" w:themeColor="text1"/>
        </w:rPr>
        <w:t xml:space="preserve"> in the 6 Phase III studies (of whom 23 participated in </w:t>
      </w:r>
      <w:r w:rsidRPr="00EA261A">
        <w:rPr>
          <w:rFonts w:eastAsia="TimesNewRoman" w:cs="TimesNewRoman"/>
          <w:b/>
          <w:color w:val="000000" w:themeColor="text1"/>
        </w:rPr>
        <w:t>both</w:t>
      </w:r>
      <w:r w:rsidRPr="00E005C8">
        <w:rPr>
          <w:rFonts w:eastAsia="TimesNewRoman" w:cs="TimesNewRoman"/>
          <w:color w:val="000000" w:themeColor="text1"/>
        </w:rPr>
        <w:t xml:space="preserve"> Japan s</w:t>
      </w:r>
      <w:r>
        <w:rPr>
          <w:rFonts w:eastAsia="TimesNewRoman" w:cs="TimesNewRoman"/>
          <w:color w:val="000000" w:themeColor="text1"/>
        </w:rPr>
        <w:t>tudies [including 11 subjects ≤</w:t>
      </w:r>
      <w:r w:rsidRPr="00E005C8">
        <w:rPr>
          <w:rFonts w:eastAsia="TimesNewRoman" w:cs="TimesNewRoman"/>
          <w:color w:val="000000" w:themeColor="text1"/>
        </w:rPr>
        <w:t xml:space="preserve">16 </w:t>
      </w:r>
      <w:r w:rsidR="003944A8">
        <w:rPr>
          <w:rFonts w:eastAsia="TimesNewRoman" w:cs="TimesNewRoman"/>
          <w:color w:val="000000" w:themeColor="text1"/>
        </w:rPr>
        <w:t>years</w:t>
      </w:r>
      <w:r w:rsidRPr="00E005C8">
        <w:rPr>
          <w:rFonts w:eastAsia="TimesNewRoman" w:cs="TimesNewRoman"/>
          <w:color w:val="000000" w:themeColor="text1"/>
        </w:rPr>
        <w:t xml:space="preserve"> old], 40 participated in </w:t>
      </w:r>
      <w:r w:rsidRPr="00EA261A">
        <w:rPr>
          <w:rFonts w:eastAsia="TimesNewRoman" w:cs="TimesNewRoman"/>
          <w:b/>
          <w:color w:val="000000" w:themeColor="text1"/>
        </w:rPr>
        <w:t>both</w:t>
      </w:r>
      <w:r w:rsidRPr="00E005C8">
        <w:rPr>
          <w:rFonts w:eastAsia="TimesNewRoman" w:cs="TimesNewRoman"/>
          <w:color w:val="000000" w:themeColor="text1"/>
        </w:rPr>
        <w:t xml:space="preserve"> European s</w:t>
      </w:r>
      <w:r>
        <w:rPr>
          <w:rFonts w:eastAsia="TimesNewRoman" w:cs="TimesNewRoman"/>
          <w:color w:val="000000" w:themeColor="text1"/>
        </w:rPr>
        <w:t xml:space="preserve">tudies [including 19 subjects </w:t>
      </w:r>
      <w:r w:rsidR="00247A95">
        <w:rPr>
          <w:rFonts w:eastAsia="TimesNewRoman" w:cs="TimesNewRoman"/>
          <w:color w:val="000000" w:themeColor="text1"/>
        </w:rPr>
        <w:t>≤</w:t>
      </w:r>
      <w:r w:rsidRPr="00E005C8">
        <w:rPr>
          <w:rFonts w:eastAsia="TimesNewRoman" w:cs="TimesNewRoman"/>
          <w:color w:val="000000" w:themeColor="text1"/>
        </w:rPr>
        <w:t xml:space="preserve">16 </w:t>
      </w:r>
      <w:r w:rsidR="003944A8">
        <w:rPr>
          <w:rFonts w:eastAsia="TimesNewRoman" w:cs="TimesNewRoman"/>
          <w:color w:val="000000" w:themeColor="text1"/>
        </w:rPr>
        <w:t>years</w:t>
      </w:r>
      <w:r w:rsidRPr="00E005C8">
        <w:rPr>
          <w:rFonts w:eastAsia="TimesNewRoman" w:cs="TimesNewRoman"/>
          <w:color w:val="000000" w:themeColor="text1"/>
        </w:rPr>
        <w:t xml:space="preserve"> old], and 21 participated in </w:t>
      </w:r>
      <w:r w:rsidRPr="00EA261A">
        <w:rPr>
          <w:rFonts w:eastAsia="TimesNewRoman" w:cs="TimesNewRoman"/>
          <w:b/>
          <w:color w:val="000000" w:themeColor="text1"/>
        </w:rPr>
        <w:t>both</w:t>
      </w:r>
      <w:r w:rsidRPr="00E005C8">
        <w:rPr>
          <w:rFonts w:eastAsia="TimesNewRoman" w:cs="TimesNewRoman"/>
          <w:color w:val="000000" w:themeColor="text1"/>
        </w:rPr>
        <w:t xml:space="preserve"> US </w:t>
      </w:r>
      <w:r>
        <w:rPr>
          <w:rFonts w:eastAsia="TimesNewRoman" w:cs="TimesNewRoman"/>
          <w:color w:val="000000" w:themeColor="text1"/>
        </w:rPr>
        <w:t>studies [including 2 subjects &lt;</w:t>
      </w:r>
      <w:r w:rsidRPr="00E005C8">
        <w:rPr>
          <w:rFonts w:eastAsia="TimesNewRoman" w:cs="TimesNewRoman"/>
          <w:color w:val="000000" w:themeColor="text1"/>
        </w:rPr>
        <w:t xml:space="preserve">16 </w:t>
      </w:r>
      <w:r w:rsidR="003944A8">
        <w:rPr>
          <w:rFonts w:eastAsia="TimesNewRoman" w:cs="TimesNewRoman"/>
          <w:color w:val="000000" w:themeColor="text1"/>
        </w:rPr>
        <w:t>years</w:t>
      </w:r>
      <w:r w:rsidRPr="00E005C8">
        <w:rPr>
          <w:rFonts w:eastAsia="TimesNewRoman" w:cs="TimesNewRoman"/>
          <w:color w:val="000000" w:themeColor="text1"/>
        </w:rPr>
        <w:t xml:space="preserve"> old]) with a total of 12348 infusions. There were no comparators in the pivota</w:t>
      </w:r>
      <w:r w:rsidR="007916E3">
        <w:rPr>
          <w:rFonts w:eastAsia="TimesNewRoman" w:cs="TimesNewRoman"/>
          <w:color w:val="000000" w:themeColor="text1"/>
        </w:rPr>
        <w:t>l studies, all were single arm.</w:t>
      </w:r>
    </w:p>
    <w:p w:rsidR="005F74D8" w:rsidRPr="007E7F95" w:rsidRDefault="005F74D8" w:rsidP="00247A95">
      <w:pPr>
        <w:pStyle w:val="TableTitle"/>
      </w:pPr>
      <w:r w:rsidRPr="007E7F95">
        <w:t>Table 20: Summary of Exposure to IgPro20 in Completed Clinical Studies (Safety Population)</w:t>
      </w:r>
    </w:p>
    <w:p w:rsidR="00247A95" w:rsidRDefault="00F01513" w:rsidP="00247A95">
      <w:pPr>
        <w:autoSpaceDE w:val="0"/>
        <w:autoSpaceDN w:val="0"/>
        <w:adjustRightInd w:val="0"/>
        <w:rPr>
          <w:color w:val="000000" w:themeColor="text1"/>
        </w:rPr>
      </w:pPr>
      <w:r>
        <w:rPr>
          <w:noProof/>
          <w:color w:val="000000" w:themeColor="text1"/>
          <w:lang w:eastAsia="en-AU"/>
        </w:rPr>
        <w:drawing>
          <wp:inline distT="0" distB="0" distL="0" distR="0" wp14:anchorId="4F73BF26" wp14:editId="2678F76A">
            <wp:extent cx="3656524" cy="3143250"/>
            <wp:effectExtent l="0" t="0" r="0" b="0"/>
            <wp:docPr id="36" name="Picture 36" descr="Table 20: Summary of Exposure to IgPro20 in Completed Clinical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9808" cy="3146073"/>
                    </a:xfrm>
                    <a:prstGeom prst="rect">
                      <a:avLst/>
                    </a:prstGeom>
                  </pic:spPr>
                </pic:pic>
              </a:graphicData>
            </a:graphic>
          </wp:inline>
        </w:drawing>
      </w:r>
    </w:p>
    <w:p w:rsidR="005F74D8" w:rsidRPr="00E005C8" w:rsidRDefault="005F74D8" w:rsidP="00247A95">
      <w:pPr>
        <w:pStyle w:val="Heading3"/>
      </w:pPr>
      <w:bookmarkStart w:id="308" w:name="_Toc241374319"/>
      <w:bookmarkStart w:id="309" w:name="_Ref271044764"/>
      <w:bookmarkStart w:id="310" w:name="_Toc272414663"/>
      <w:bookmarkStart w:id="311" w:name="_Toc290846301"/>
      <w:bookmarkStart w:id="312" w:name="_Toc373748435"/>
      <w:bookmarkStart w:id="313" w:name="_Toc392757320"/>
      <w:r w:rsidRPr="00E005C8">
        <w:lastRenderedPageBreak/>
        <w:t>Adverse events</w:t>
      </w:r>
      <w:bookmarkEnd w:id="308"/>
      <w:bookmarkEnd w:id="309"/>
      <w:bookmarkEnd w:id="310"/>
      <w:bookmarkEnd w:id="311"/>
      <w:bookmarkEnd w:id="312"/>
      <w:bookmarkEnd w:id="313"/>
    </w:p>
    <w:p w:rsidR="005F74D8" w:rsidRPr="00E005C8" w:rsidRDefault="005F74D8" w:rsidP="00247A95">
      <w:pPr>
        <w:pStyle w:val="Heading4"/>
      </w:pPr>
      <w:bookmarkStart w:id="314" w:name="_Ref272317284"/>
      <w:bookmarkStart w:id="315" w:name="_Ref272333565"/>
      <w:bookmarkStart w:id="316" w:name="_Toc272414664"/>
      <w:bookmarkStart w:id="317" w:name="_Toc290846302"/>
      <w:bookmarkStart w:id="318" w:name="_Toc373748436"/>
      <w:r w:rsidRPr="00E005C8">
        <w:t>All adverse events (irrespective of relationship to study treatment)</w:t>
      </w:r>
      <w:bookmarkEnd w:id="314"/>
      <w:bookmarkEnd w:id="315"/>
      <w:bookmarkEnd w:id="316"/>
      <w:bookmarkEnd w:id="317"/>
      <w:bookmarkEnd w:id="318"/>
    </w:p>
    <w:p w:rsidR="005F74D8" w:rsidRPr="00E005C8" w:rsidRDefault="005F74D8" w:rsidP="00247A95">
      <w:pPr>
        <w:pStyle w:val="Heading5"/>
      </w:pPr>
      <w:r w:rsidRPr="00E005C8">
        <w:t>Pivotal studies</w:t>
      </w:r>
    </w:p>
    <w:p w:rsidR="005F74D8" w:rsidRDefault="005F74D8" w:rsidP="005F74D8">
      <w:pPr>
        <w:rPr>
          <w:color w:val="000000" w:themeColor="text1"/>
        </w:rPr>
      </w:pPr>
      <w:r>
        <w:rPr>
          <w:color w:val="000000" w:themeColor="text1"/>
        </w:rPr>
        <w:t>These are s</w:t>
      </w:r>
      <w:r w:rsidRPr="0004332A">
        <w:rPr>
          <w:color w:val="000000" w:themeColor="text1"/>
        </w:rPr>
        <w:t>ummarised below</w:t>
      </w:r>
      <w:r>
        <w:rPr>
          <w:color w:val="000000" w:themeColor="text1"/>
        </w:rPr>
        <w:t>.</w:t>
      </w:r>
    </w:p>
    <w:p w:rsidR="005F74D8" w:rsidRDefault="005F74D8" w:rsidP="005F74D8">
      <w:pPr>
        <w:rPr>
          <w:color w:val="000000" w:themeColor="text1"/>
        </w:rPr>
      </w:pPr>
      <w:r w:rsidRPr="007E7F95">
        <w:rPr>
          <w:b/>
          <w:color w:val="000000" w:themeColor="text1"/>
          <w:sz w:val="20"/>
          <w:szCs w:val="20"/>
        </w:rPr>
        <w:t>Table 21: Summary of AEs in the AT Population (Studies ZLB06_002CR/ZLB07_001CR, ZLB06_001CR, and ZLB04_009CR)</w:t>
      </w:r>
      <w:r w:rsidRPr="007E7F95">
        <w:rPr>
          <w:rFonts w:cs="TimesNewRomanPS-ItalicMT"/>
          <w:b/>
          <w:i/>
          <w:iCs/>
          <w:color w:val="000000" w:themeColor="text1"/>
          <w:sz w:val="20"/>
          <w:szCs w:val="20"/>
        </w:rPr>
        <w:t xml:space="preserve"> Source 2.7.4</w:t>
      </w:r>
    </w:p>
    <w:p w:rsidR="00F01513" w:rsidRDefault="00F01513" w:rsidP="005F74D8">
      <w:pPr>
        <w:rPr>
          <w:b/>
          <w:color w:val="000000" w:themeColor="text1"/>
        </w:rPr>
      </w:pPr>
      <w:r>
        <w:rPr>
          <w:b/>
          <w:noProof/>
          <w:color w:val="000000" w:themeColor="text1"/>
          <w:lang w:eastAsia="en-AU"/>
        </w:rPr>
        <w:drawing>
          <wp:inline distT="0" distB="0" distL="0" distR="0" wp14:anchorId="09B8527C" wp14:editId="7F4122A1">
            <wp:extent cx="4658250" cy="2247900"/>
            <wp:effectExtent l="0" t="0" r="0" b="0"/>
            <wp:docPr id="37" name="Picture 37" descr="Table 21: Summary of AEs in the AT Population (Studies ZLB06_002CR/ZLB07_001CR, ZLB06_001CR, and ZLB04_009CR) Source 2.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1.jpg"/>
                    <pic:cNvPicPr/>
                  </pic:nvPicPr>
                  <pic:blipFill rotWithShape="1">
                    <a:blip r:embed="rId50" cstate="print">
                      <a:extLst>
                        <a:ext uri="{28A0092B-C50C-407E-A947-70E740481C1C}">
                          <a14:useLocalDpi xmlns:a14="http://schemas.microsoft.com/office/drawing/2010/main" val="0"/>
                        </a:ext>
                      </a:extLst>
                    </a:blip>
                    <a:srcRect b="5600"/>
                    <a:stretch/>
                  </pic:blipFill>
                  <pic:spPr bwMode="auto">
                    <a:xfrm>
                      <a:off x="0" y="0"/>
                      <a:ext cx="4665183" cy="2251246"/>
                    </a:xfrm>
                    <a:prstGeom prst="rect">
                      <a:avLst/>
                    </a:prstGeom>
                    <a:ln>
                      <a:noFill/>
                    </a:ln>
                    <a:extLst>
                      <a:ext uri="{53640926-AAD7-44D8-BBD7-CCE9431645EC}">
                        <a14:shadowObscured xmlns:a14="http://schemas.microsoft.com/office/drawing/2010/main"/>
                      </a:ext>
                    </a:extLst>
                  </pic:spPr>
                </pic:pic>
              </a:graphicData>
            </a:graphic>
          </wp:inline>
        </w:drawing>
      </w:r>
    </w:p>
    <w:p w:rsidR="005F74D8" w:rsidRDefault="005F74D8" w:rsidP="005F74D8">
      <w:pPr>
        <w:rPr>
          <w:color w:val="000000" w:themeColor="text1"/>
        </w:rPr>
      </w:pPr>
      <w:r w:rsidRPr="00A4446F">
        <w:rPr>
          <w:b/>
          <w:color w:val="000000" w:themeColor="text1"/>
        </w:rPr>
        <w:t>In the combined Japan studies</w:t>
      </w:r>
      <w:r w:rsidRPr="00E005C8">
        <w:rPr>
          <w:color w:val="000000" w:themeColor="text1"/>
        </w:rPr>
        <w:t>, local reactions were the most common AE during the SCIG</w:t>
      </w:r>
      <w:r w:rsidR="00247A95">
        <w:rPr>
          <w:color w:val="000000" w:themeColor="text1"/>
        </w:rPr>
        <w:t xml:space="preserve"> </w:t>
      </w:r>
      <w:r w:rsidRPr="00E005C8">
        <w:rPr>
          <w:color w:val="000000" w:themeColor="text1"/>
        </w:rPr>
        <w:t>periods (21 subjects [84.0%], causally related for all subjects). All other AEs each occurred in</w:t>
      </w:r>
      <w:r w:rsidR="00247A95">
        <w:rPr>
          <w:color w:val="000000" w:themeColor="text1"/>
        </w:rPr>
        <w:t xml:space="preserve"> ≤</w:t>
      </w:r>
      <w:r>
        <w:rPr>
          <w:color w:val="000000" w:themeColor="text1"/>
        </w:rPr>
        <w:t>7 subjects (</w:t>
      </w:r>
      <w:r w:rsidR="00247A95">
        <w:rPr>
          <w:color w:val="000000" w:themeColor="text1"/>
        </w:rPr>
        <w:t>≤</w:t>
      </w:r>
      <w:r w:rsidRPr="00E005C8">
        <w:rPr>
          <w:color w:val="000000" w:themeColor="text1"/>
        </w:rPr>
        <w:t>28%). The only causally related AEs experienced by more than 1 subject were local reactions. The rate per infusion of the most common AE, local reaction, was 0.207 overall and 0.205 for causally related AEs. After local reaction and excluding infections, the AE with the next highest rate was arthropod bite (rate of 0.018 overall and 0 for causally related AEs). The rat</w:t>
      </w:r>
      <w:r>
        <w:rPr>
          <w:color w:val="000000" w:themeColor="text1"/>
        </w:rPr>
        <w:t xml:space="preserve">es of all other AEs were each </w:t>
      </w:r>
      <w:r w:rsidR="00247A95">
        <w:rPr>
          <w:color w:val="000000" w:themeColor="text1"/>
        </w:rPr>
        <w:t>≤</w:t>
      </w:r>
      <w:r w:rsidRPr="00E005C8">
        <w:rPr>
          <w:color w:val="000000" w:themeColor="text1"/>
        </w:rPr>
        <w:t xml:space="preserve">0.008. Excluding the local reactions, the rate of AEs per infusion was 0.183 in the SCIG period of the Japan pivotal </w:t>
      </w:r>
      <w:r w:rsidR="00247A95">
        <w:rPr>
          <w:color w:val="000000" w:themeColor="text1"/>
        </w:rPr>
        <w:t>S</w:t>
      </w:r>
      <w:r w:rsidRPr="00E005C8">
        <w:rPr>
          <w:color w:val="000000" w:themeColor="text1"/>
        </w:rPr>
        <w:t xml:space="preserve">tudy </w:t>
      </w:r>
      <w:r w:rsidRPr="00E005C8">
        <w:rPr>
          <w:b/>
          <w:color w:val="000000" w:themeColor="text1"/>
        </w:rPr>
        <w:t>ZLB06_002CR</w:t>
      </w:r>
      <w:r w:rsidRPr="00E005C8">
        <w:rPr>
          <w:color w:val="000000" w:themeColor="text1"/>
        </w:rPr>
        <w:t>. Except for 1 severe AE (</w:t>
      </w:r>
      <w:r w:rsidRPr="00A4446F">
        <w:rPr>
          <w:b/>
          <w:color w:val="000000" w:themeColor="text1"/>
        </w:rPr>
        <w:t>SAE of encephalitis</w:t>
      </w:r>
      <w:r w:rsidRPr="00E005C8">
        <w:rPr>
          <w:color w:val="000000" w:themeColor="text1"/>
        </w:rPr>
        <w:t>), all other AEs in the combined Japan studies were mild or moderate in intensity. Only 4 subjects (16%) experienced 6 AEs (rate per infusion of 0.005) of moderate intensity (influenza, bacterial infection, proteinuria, haematuria, and alopecia during the Japan pivotal study and encephalitis during the Japan follow-up study, which was a possibly related, SAE.</w:t>
      </w:r>
      <w:r>
        <w:rPr>
          <w:color w:val="000000" w:themeColor="text1"/>
        </w:rPr>
        <w:t xml:space="preserve"> </w:t>
      </w:r>
      <w:r w:rsidRPr="00E005C8">
        <w:rPr>
          <w:color w:val="000000" w:themeColor="text1"/>
        </w:rPr>
        <w:t xml:space="preserve">In the European pivotal </w:t>
      </w:r>
      <w:r w:rsidR="00247A95">
        <w:rPr>
          <w:color w:val="000000" w:themeColor="text1"/>
        </w:rPr>
        <w:t>S</w:t>
      </w:r>
      <w:r w:rsidRPr="00E005C8">
        <w:rPr>
          <w:color w:val="000000" w:themeColor="text1"/>
        </w:rPr>
        <w:t xml:space="preserve">tudy </w:t>
      </w:r>
      <w:r w:rsidRPr="00A4446F">
        <w:rPr>
          <w:b/>
          <w:color w:val="000000" w:themeColor="text1"/>
        </w:rPr>
        <w:t>ZLB06_001CR</w:t>
      </w:r>
      <w:r w:rsidRPr="00E005C8">
        <w:rPr>
          <w:color w:val="000000" w:themeColor="text1"/>
        </w:rPr>
        <w:t>, the incidence of subjects with AEs was highest in the SOC of infections and infestations (42 subjects [82.4%]), followed by the SOC of general disorders and administration site co</w:t>
      </w:r>
      <w:r w:rsidR="007916E3">
        <w:rPr>
          <w:color w:val="000000" w:themeColor="text1"/>
        </w:rPr>
        <w:t>nditions (34 subjects [66.7%]).</w:t>
      </w:r>
    </w:p>
    <w:p w:rsidR="005F74D8" w:rsidRDefault="005F74D8" w:rsidP="005F74D8">
      <w:pPr>
        <w:rPr>
          <w:color w:val="000000" w:themeColor="text1"/>
        </w:rPr>
      </w:pPr>
      <w:r w:rsidRPr="00E005C8">
        <w:rPr>
          <w:color w:val="000000" w:themeColor="text1"/>
        </w:rPr>
        <w:t xml:space="preserve">In the European extension </w:t>
      </w:r>
      <w:r w:rsidRPr="00E005C8">
        <w:rPr>
          <w:b/>
          <w:color w:val="000000" w:themeColor="text1"/>
        </w:rPr>
        <w:t>ZLB07_002</w:t>
      </w:r>
      <w:r w:rsidRPr="00E005C8">
        <w:rPr>
          <w:color w:val="000000" w:themeColor="text1"/>
        </w:rPr>
        <w:t xml:space="preserve">, the incidence of subjects with AEs was highest in the SOC infections and infestations (38 [95.0%]) subjects. Further SOCs affected in at least 30% of subjects were respiratory, thoracic and mediastinal disorders (18 subjects, 45.0%), gastrointestinal disorders (15 subjects, 37.5%), and general disorders and administration site conditions (12 subjects, 30.0%). In the US pivotal </w:t>
      </w:r>
      <w:r w:rsidRPr="00A4446F">
        <w:rPr>
          <w:b/>
          <w:color w:val="000000" w:themeColor="text1"/>
        </w:rPr>
        <w:t>ZLB04_009CR</w:t>
      </w:r>
      <w:r w:rsidRPr="00E005C8">
        <w:rPr>
          <w:color w:val="000000" w:themeColor="text1"/>
        </w:rPr>
        <w:t>, the incidence of subjects with AEs was highest in the SOC of general disorders and administration site conditions (49 subjects [100%]), followed by the SOC of infections and infestations (35 subjects [71.4%]).</w:t>
      </w:r>
      <w:r w:rsidR="000D6A22">
        <w:rPr>
          <w:color w:val="000000" w:themeColor="text1"/>
        </w:rPr>
        <w:t xml:space="preserve"> </w:t>
      </w:r>
      <w:r>
        <w:rPr>
          <w:color w:val="000000" w:themeColor="text1"/>
        </w:rPr>
        <w:t xml:space="preserve">In the US extension </w:t>
      </w:r>
      <w:r w:rsidRPr="00EA7081">
        <w:rPr>
          <w:b/>
          <w:color w:val="000000" w:themeColor="text1"/>
        </w:rPr>
        <w:t>IgPro20_3001</w:t>
      </w:r>
      <w:r w:rsidRPr="00E005C8">
        <w:rPr>
          <w:color w:val="000000" w:themeColor="text1"/>
        </w:rPr>
        <w:t xml:space="preserve"> the incidence of subjects with AEs was highest in SOCs of infections and infestations (21 subjects [100%]), followed by the SOC of general disorders and administration site conditions (19 subjects [90.5%]). AEs of local reaction were experienced at least once by 25 subjects (49.0%) in the European</w:t>
      </w:r>
      <w:r>
        <w:rPr>
          <w:color w:val="000000" w:themeColor="text1"/>
        </w:rPr>
        <w:t xml:space="preserve"> </w:t>
      </w:r>
      <w:r w:rsidRPr="00E005C8">
        <w:rPr>
          <w:color w:val="000000" w:themeColor="text1"/>
        </w:rPr>
        <w:t xml:space="preserve">pivotal study </w:t>
      </w:r>
      <w:r w:rsidRPr="00E005C8">
        <w:rPr>
          <w:b/>
          <w:color w:val="000000" w:themeColor="text1"/>
        </w:rPr>
        <w:t>ZLB06_001CR</w:t>
      </w:r>
      <w:r w:rsidRPr="00E005C8">
        <w:rPr>
          <w:color w:val="000000" w:themeColor="text1"/>
        </w:rPr>
        <w:t xml:space="preserve"> and by all 49 subjects (100%) in the US pivotal study </w:t>
      </w:r>
      <w:r w:rsidRPr="00E005C8">
        <w:rPr>
          <w:b/>
          <w:color w:val="000000" w:themeColor="text1"/>
        </w:rPr>
        <w:t>ZLB04_009CR.</w:t>
      </w:r>
      <w:r>
        <w:rPr>
          <w:color w:val="000000" w:themeColor="text1"/>
        </w:rPr>
        <w:t xml:space="preserve"> </w:t>
      </w:r>
      <w:r w:rsidRPr="00E005C8">
        <w:rPr>
          <w:color w:val="000000" w:themeColor="text1"/>
        </w:rPr>
        <w:t>Local reactions that</w:t>
      </w:r>
      <w:r>
        <w:rPr>
          <w:color w:val="000000" w:themeColor="text1"/>
        </w:rPr>
        <w:t xml:space="preserve"> </w:t>
      </w:r>
      <w:r w:rsidRPr="00E005C8">
        <w:rPr>
          <w:color w:val="000000" w:themeColor="text1"/>
        </w:rPr>
        <w:t>were at least possibly related</w:t>
      </w:r>
      <w:r>
        <w:rPr>
          <w:color w:val="000000" w:themeColor="text1"/>
        </w:rPr>
        <w:t xml:space="preserve"> to study drug were experienced </w:t>
      </w:r>
      <w:r w:rsidRPr="00E005C8">
        <w:rPr>
          <w:color w:val="000000" w:themeColor="text1"/>
        </w:rPr>
        <w:t>at least once in all of these subjects.</w:t>
      </w:r>
    </w:p>
    <w:p w:rsidR="005F74D8" w:rsidRPr="00E005C8" w:rsidRDefault="005F74D8" w:rsidP="005F74D8">
      <w:pPr>
        <w:rPr>
          <w:color w:val="000000" w:themeColor="text1"/>
        </w:rPr>
      </w:pPr>
      <w:r w:rsidRPr="00E005C8">
        <w:rPr>
          <w:color w:val="000000" w:themeColor="text1"/>
        </w:rPr>
        <w:lastRenderedPageBreak/>
        <w:t xml:space="preserve">Specific AEs summarised in </w:t>
      </w:r>
      <w:r w:rsidRPr="00E005C8">
        <w:rPr>
          <w:b/>
          <w:color w:val="000000" w:themeColor="text1"/>
        </w:rPr>
        <w:t>Table 22.</w:t>
      </w:r>
      <w:r w:rsidRPr="00E005C8">
        <w:rPr>
          <w:color w:val="000000" w:themeColor="text1"/>
        </w:rPr>
        <w:t xml:space="preserve"> As local reaction is not a MedDRA preferred term, any AE that belonged to 1 of 34 PTs related to the site of injection was grouped into a sep</w:t>
      </w:r>
      <w:r w:rsidR="007916E3">
        <w:rPr>
          <w:color w:val="000000" w:themeColor="text1"/>
        </w:rPr>
        <w:t>arate term of “local reaction”.</w:t>
      </w:r>
    </w:p>
    <w:p w:rsidR="005F74D8" w:rsidRDefault="005F74D8" w:rsidP="00F01513">
      <w:pPr>
        <w:pStyle w:val="TableTitle"/>
        <w:rPr>
          <w:rFonts w:cs="TimesNewRomanPS-ItalicMT"/>
          <w:i/>
          <w:iCs/>
        </w:rPr>
      </w:pPr>
      <w:r w:rsidRPr="007E7F95">
        <w:t>Table 22: Subjects with AEs Excluding Infections (Experienced by ≥4 Subjects in Any Study) by Decreasing Frequency in the European Pivota</w:t>
      </w:r>
      <w:r>
        <w:t xml:space="preserve">l Study, AT Population (Studies </w:t>
      </w:r>
      <w:r w:rsidRPr="007E7F95">
        <w:t>ZLB06_002CR/ZLB07_001CR, ZLB06_001CR, and ZLB04_009CR)</w:t>
      </w:r>
      <w:r w:rsidR="007916E3">
        <w:rPr>
          <w:rFonts w:cs="TimesNewRomanPS-ItalicMT"/>
          <w:i/>
          <w:iCs/>
        </w:rPr>
        <w:t xml:space="preserve"> Source 2.7.4</w:t>
      </w:r>
    </w:p>
    <w:p w:rsidR="00A926B5" w:rsidRDefault="00F01513" w:rsidP="007916E3">
      <w:pPr>
        <w:rPr>
          <w:color w:val="000000" w:themeColor="text1"/>
        </w:rPr>
      </w:pPr>
      <w:r>
        <w:rPr>
          <w:noProof/>
          <w:lang w:eastAsia="en-AU"/>
        </w:rPr>
        <w:drawing>
          <wp:inline distT="0" distB="0" distL="0" distR="0" wp14:anchorId="55C700C2" wp14:editId="4E750797">
            <wp:extent cx="4238625" cy="2567313"/>
            <wp:effectExtent l="0" t="0" r="0" b="0"/>
            <wp:docPr id="38" name="Picture 38" descr="Table 22: Subjects with AEs Excluding Infections (Experienced by ≥4 Subjects in Any Study) by Decreasing Frequency in the European Pivotal Study, AT Population (Studies ZLB06_002CR/ZLB07_001CR, ZLB06_001CR, and ZLB04_009CR) Sourc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44059" cy="2570604"/>
                    </a:xfrm>
                    <a:prstGeom prst="rect">
                      <a:avLst/>
                    </a:prstGeom>
                  </pic:spPr>
                </pic:pic>
              </a:graphicData>
            </a:graphic>
          </wp:inline>
        </w:drawing>
      </w:r>
      <w:r>
        <w:rPr>
          <w:noProof/>
          <w:color w:val="000000" w:themeColor="text1"/>
          <w:lang w:eastAsia="en-AU"/>
        </w:rPr>
        <w:drawing>
          <wp:inline distT="0" distB="0" distL="0" distR="0" wp14:anchorId="73A775AC" wp14:editId="7A5A2B10">
            <wp:extent cx="4543425" cy="1381125"/>
            <wp:effectExtent l="0" t="0" r="0" b="0"/>
            <wp:docPr id="39" name="Picture 39" descr="Table 22: Subjects with AEs Excluding Infections (Experienced by ≥4 Subjects in Any Study) by Decreasing Frequency in the European Pivotal Study, AT Population (Studies ZLB06_002CR/ZLB07_001CR, ZLB06_001CR, and ZLB04_009CR) Sourc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2b.jpg"/>
                    <pic:cNvPicPr/>
                  </pic:nvPicPr>
                  <pic:blipFill rotWithShape="1">
                    <a:blip r:embed="rId52" cstate="print">
                      <a:extLst>
                        <a:ext uri="{28A0092B-C50C-407E-A947-70E740481C1C}">
                          <a14:useLocalDpi xmlns:a14="http://schemas.microsoft.com/office/drawing/2010/main" val="0"/>
                        </a:ext>
                      </a:extLst>
                    </a:blip>
                    <a:srcRect b="7431"/>
                    <a:stretch/>
                  </pic:blipFill>
                  <pic:spPr bwMode="auto">
                    <a:xfrm>
                      <a:off x="0" y="0"/>
                      <a:ext cx="4541412" cy="1380513"/>
                    </a:xfrm>
                    <a:prstGeom prst="rect">
                      <a:avLst/>
                    </a:prstGeom>
                    <a:ln>
                      <a:noFill/>
                    </a:ln>
                    <a:extLst>
                      <a:ext uri="{53640926-AAD7-44D8-BBD7-CCE9431645EC}">
                        <a14:shadowObscured xmlns:a14="http://schemas.microsoft.com/office/drawing/2010/main"/>
                      </a:ext>
                    </a:extLst>
                  </pic:spPr>
                </pic:pic>
              </a:graphicData>
            </a:graphic>
          </wp:inline>
        </w:drawing>
      </w:r>
    </w:p>
    <w:p w:rsidR="005F74D8" w:rsidRDefault="005F74D8" w:rsidP="005F74D8">
      <w:pPr>
        <w:rPr>
          <w:color w:val="000000" w:themeColor="text1"/>
        </w:rPr>
      </w:pPr>
      <w:r w:rsidRPr="00E005C8">
        <w:rPr>
          <w:color w:val="000000" w:themeColor="text1"/>
        </w:rPr>
        <w:t xml:space="preserve">In the European extension </w:t>
      </w:r>
      <w:r w:rsidRPr="00A4446F">
        <w:rPr>
          <w:b/>
          <w:color w:val="000000" w:themeColor="text1"/>
        </w:rPr>
        <w:t>ZLB07_002</w:t>
      </w:r>
      <w:r w:rsidRPr="00E005C8">
        <w:rPr>
          <w:color w:val="000000" w:themeColor="text1"/>
        </w:rPr>
        <w:t>, local reactions were experienced by 6 subjects [15%]) In the US extension study IgPro20_3001, local reactions were experienced by 19 subjects (90.5%), all of whom experienced at least 1 event considered at least possibl</w:t>
      </w:r>
      <w:r w:rsidR="007916E3">
        <w:rPr>
          <w:color w:val="000000" w:themeColor="text1"/>
        </w:rPr>
        <w:t>y related to study drug.</w:t>
      </w:r>
    </w:p>
    <w:p w:rsidR="005F74D8" w:rsidRDefault="005F74D8" w:rsidP="005F74D8">
      <w:pPr>
        <w:rPr>
          <w:color w:val="000000" w:themeColor="text1"/>
        </w:rPr>
      </w:pPr>
      <w:r w:rsidRPr="00E005C8">
        <w:rPr>
          <w:color w:val="000000" w:themeColor="text1"/>
        </w:rPr>
        <w:t xml:space="preserve">The rate per infusion of local reaction, the most common AE in both the European and US pivotal studies </w:t>
      </w:r>
      <w:r w:rsidRPr="00A4446F">
        <w:rPr>
          <w:b/>
          <w:color w:val="000000" w:themeColor="text1"/>
        </w:rPr>
        <w:t>(ZLB06_001CR and ZLB04_009CR),</w:t>
      </w:r>
      <w:r w:rsidRPr="00E005C8">
        <w:rPr>
          <w:color w:val="000000" w:themeColor="text1"/>
        </w:rPr>
        <w:t xml:space="preserve"> was 0.060 overall and 0.058 for causally related AEs in the European pivotal study </w:t>
      </w:r>
      <w:r w:rsidRPr="00A4446F">
        <w:rPr>
          <w:b/>
          <w:color w:val="000000" w:themeColor="text1"/>
        </w:rPr>
        <w:t>ZLB06_001CR</w:t>
      </w:r>
      <w:r w:rsidRPr="00E005C8">
        <w:rPr>
          <w:color w:val="000000" w:themeColor="text1"/>
        </w:rPr>
        <w:t xml:space="preserve">, and 0.592 overall and 0.591 for causally related AEs in the US pivotal study </w:t>
      </w:r>
      <w:r w:rsidRPr="00A4446F">
        <w:rPr>
          <w:b/>
          <w:color w:val="000000" w:themeColor="text1"/>
        </w:rPr>
        <w:t>ZLB04_009CR</w:t>
      </w:r>
      <w:r w:rsidRPr="00E005C8">
        <w:rPr>
          <w:color w:val="000000" w:themeColor="text1"/>
        </w:rPr>
        <w:t>.</w:t>
      </w:r>
      <w:r>
        <w:rPr>
          <w:color w:val="000000" w:themeColor="text1"/>
        </w:rPr>
        <w:t xml:space="preserve"> </w:t>
      </w:r>
      <w:r w:rsidRPr="00E005C8">
        <w:rPr>
          <w:color w:val="000000" w:themeColor="text1"/>
        </w:rPr>
        <w:t xml:space="preserve">In the European extension study, local reactions were experienced with a rate of 0.001 overall and were all causally related). In the US extension study, local reaction had the highest event rate (0.500 for both overall and causally related). Excluding the local reactions, the rate of AEs per infusion was 0.228 in the European pivotal study </w:t>
      </w:r>
      <w:r w:rsidRPr="00A4446F">
        <w:rPr>
          <w:b/>
          <w:color w:val="000000" w:themeColor="text1"/>
        </w:rPr>
        <w:t>ZLB06_001CR</w:t>
      </w:r>
      <w:r w:rsidRPr="00E005C8">
        <w:rPr>
          <w:color w:val="000000" w:themeColor="text1"/>
        </w:rPr>
        <w:t xml:space="preserve">, 0.181 in the US pivotal study </w:t>
      </w:r>
      <w:r w:rsidRPr="00A4446F">
        <w:rPr>
          <w:b/>
          <w:color w:val="000000" w:themeColor="text1"/>
        </w:rPr>
        <w:t>ZLB04_009CR</w:t>
      </w:r>
      <w:r w:rsidRPr="00E005C8">
        <w:rPr>
          <w:color w:val="000000" w:themeColor="text1"/>
        </w:rPr>
        <w:t>, and 0.161 in the US extension study IgPro20_3001</w:t>
      </w:r>
      <w:r>
        <w:rPr>
          <w:color w:val="000000" w:themeColor="text1"/>
        </w:rPr>
        <w:t>.</w:t>
      </w:r>
    </w:p>
    <w:p w:rsidR="005F74D8" w:rsidRDefault="005F74D8" w:rsidP="005F74D8">
      <w:pPr>
        <w:tabs>
          <w:tab w:val="left" w:pos="0"/>
        </w:tabs>
        <w:rPr>
          <w:color w:val="000000" w:themeColor="text1"/>
        </w:rPr>
      </w:pPr>
      <w:r w:rsidRPr="00E005C8">
        <w:rPr>
          <w:color w:val="000000" w:themeColor="text1"/>
        </w:rPr>
        <w:t>The</w:t>
      </w:r>
      <w:r>
        <w:rPr>
          <w:color w:val="000000" w:themeColor="text1"/>
        </w:rPr>
        <w:t xml:space="preserve"> </w:t>
      </w:r>
      <w:r w:rsidRPr="00E005C8">
        <w:rPr>
          <w:color w:val="000000" w:themeColor="text1"/>
        </w:rPr>
        <w:t>next most common AE excluding infections in both the European and US pivotal studies (</w:t>
      </w:r>
      <w:r w:rsidRPr="00A4446F">
        <w:rPr>
          <w:b/>
          <w:color w:val="000000" w:themeColor="text1"/>
        </w:rPr>
        <w:t>ZLB06_001CR and ZLB04_009CR</w:t>
      </w:r>
      <w:r w:rsidRPr="00E005C8">
        <w:rPr>
          <w:color w:val="000000" w:themeColor="text1"/>
        </w:rPr>
        <w:t>) was headache (</w:t>
      </w:r>
      <w:r w:rsidRPr="00A4446F">
        <w:rPr>
          <w:b/>
          <w:color w:val="000000" w:themeColor="text1"/>
        </w:rPr>
        <w:t>ZLB06_001CR</w:t>
      </w:r>
      <w:r w:rsidRPr="00E005C8">
        <w:rPr>
          <w:color w:val="000000" w:themeColor="text1"/>
        </w:rPr>
        <w:t xml:space="preserve">: 13 subjects [25.5%], causally related in 6 subjects [11.8%]; </w:t>
      </w:r>
      <w:r w:rsidRPr="00A4446F">
        <w:rPr>
          <w:b/>
          <w:color w:val="000000" w:themeColor="text1"/>
        </w:rPr>
        <w:t>ZLB04_009CR</w:t>
      </w:r>
      <w:r w:rsidRPr="00E005C8">
        <w:rPr>
          <w:color w:val="000000" w:themeColor="text1"/>
        </w:rPr>
        <w:t xml:space="preserve">: 13 subjects [26.5%], causally related in 12 subjects [24.5%]). In the European pivotal study </w:t>
      </w:r>
      <w:r w:rsidRPr="00C42250">
        <w:rPr>
          <w:b/>
          <w:color w:val="000000" w:themeColor="text1"/>
        </w:rPr>
        <w:t>ZLB06_001CR</w:t>
      </w:r>
      <w:r w:rsidRPr="00E005C8">
        <w:rPr>
          <w:color w:val="000000" w:themeColor="text1"/>
        </w:rPr>
        <w:t xml:space="preserve">, local reaction and headache were followed by pyrexia (9 subjects [17.6%], causally related in 1 subject [2.0%]) and cough, </w:t>
      </w:r>
      <w:r>
        <w:rPr>
          <w:color w:val="000000" w:themeColor="text1"/>
        </w:rPr>
        <w:t>diarrhoea</w:t>
      </w:r>
      <w:r w:rsidRPr="00E005C8">
        <w:rPr>
          <w:color w:val="000000" w:themeColor="text1"/>
        </w:rPr>
        <w:t xml:space="preserve"> and rash (5 subjects [9.8%] each, causally related in 2 subjects [3.9%] for rash).</w:t>
      </w:r>
      <w:r w:rsidR="000D6A22">
        <w:rPr>
          <w:color w:val="000000" w:themeColor="text1"/>
        </w:rPr>
        <w:t xml:space="preserve"> </w:t>
      </w:r>
      <w:r w:rsidRPr="00E005C8">
        <w:rPr>
          <w:color w:val="000000" w:themeColor="text1"/>
        </w:rPr>
        <w:t xml:space="preserve">In the US pivotal </w:t>
      </w:r>
      <w:r w:rsidRPr="00A4446F">
        <w:rPr>
          <w:b/>
          <w:color w:val="000000" w:themeColor="text1"/>
        </w:rPr>
        <w:t>ZLB04_009CR</w:t>
      </w:r>
      <w:r w:rsidRPr="00E005C8">
        <w:rPr>
          <w:color w:val="000000" w:themeColor="text1"/>
        </w:rPr>
        <w:t xml:space="preserve">, local reaction and headache were followed by diarrhoea (7 subjects [14.3%], causally related in 2 subjects [4.1%]) and fatigue and nasopharyngitis (6 subjects </w:t>
      </w:r>
      <w:r w:rsidRPr="00E005C8">
        <w:rPr>
          <w:color w:val="000000" w:themeColor="text1"/>
        </w:rPr>
        <w:lastRenderedPageBreak/>
        <w:t>[12.2%] each, causally related in 3 subjects [6.1%] for fatigue and 1 subject [2.0%] for nasopharyngitis)</w:t>
      </w:r>
      <w:r w:rsidR="007916E3">
        <w:rPr>
          <w:color w:val="000000" w:themeColor="text1"/>
        </w:rPr>
        <w:t>.</w:t>
      </w:r>
    </w:p>
    <w:p w:rsidR="005F74D8" w:rsidRPr="00E005C8" w:rsidRDefault="005F74D8" w:rsidP="005F74D8">
      <w:pPr>
        <w:tabs>
          <w:tab w:val="left" w:pos="0"/>
        </w:tabs>
        <w:rPr>
          <w:color w:val="000000" w:themeColor="text1"/>
        </w:rPr>
      </w:pPr>
      <w:r w:rsidRPr="00E005C8">
        <w:rPr>
          <w:color w:val="000000" w:themeColor="text1"/>
        </w:rPr>
        <w:t>A</w:t>
      </w:r>
      <w:r>
        <w:rPr>
          <w:color w:val="000000" w:themeColor="text1"/>
        </w:rPr>
        <w:t>ll other AEs each occurred in ≤</w:t>
      </w:r>
      <w:r w:rsidRPr="00E005C8">
        <w:rPr>
          <w:color w:val="000000" w:themeColor="text1"/>
        </w:rPr>
        <w:t>4 subjects (</w:t>
      </w:r>
      <w:r w:rsidR="00556579">
        <w:rPr>
          <w:color w:val="000000" w:themeColor="text1"/>
        </w:rPr>
        <w:t>≤</w:t>
      </w:r>
      <w:r w:rsidRPr="00E005C8">
        <w:rPr>
          <w:color w:val="000000" w:themeColor="text1"/>
        </w:rPr>
        <w:t xml:space="preserve"> 7.8%) in the European pivotal </w:t>
      </w:r>
      <w:r w:rsidRPr="00A4446F">
        <w:rPr>
          <w:b/>
          <w:color w:val="000000" w:themeColor="text1"/>
        </w:rPr>
        <w:t>ZLB06_001CR</w:t>
      </w:r>
      <w:r>
        <w:rPr>
          <w:color w:val="000000" w:themeColor="text1"/>
        </w:rPr>
        <w:t xml:space="preserve"> and in ≤</w:t>
      </w:r>
      <w:r w:rsidRPr="00E005C8">
        <w:rPr>
          <w:color w:val="000000" w:themeColor="text1"/>
        </w:rPr>
        <w:t>5 subjects (</w:t>
      </w:r>
      <w:r w:rsidR="00556579">
        <w:rPr>
          <w:color w:val="000000" w:themeColor="text1"/>
        </w:rPr>
        <w:t>≤</w:t>
      </w:r>
      <w:r w:rsidRPr="00E005C8">
        <w:rPr>
          <w:color w:val="000000" w:themeColor="text1"/>
        </w:rPr>
        <w:t xml:space="preserve"> 10.2%) in the US pivotal </w:t>
      </w:r>
      <w:r w:rsidRPr="00A4446F">
        <w:rPr>
          <w:b/>
          <w:color w:val="000000" w:themeColor="text1"/>
        </w:rPr>
        <w:t>ZLB04_009CR</w:t>
      </w:r>
      <w:r w:rsidRPr="00E005C8">
        <w:rPr>
          <w:color w:val="000000" w:themeColor="text1"/>
        </w:rPr>
        <w:t xml:space="preserve">. In the European extension </w:t>
      </w:r>
      <w:r w:rsidRPr="00A4446F">
        <w:rPr>
          <w:b/>
          <w:color w:val="000000" w:themeColor="text1"/>
        </w:rPr>
        <w:t>ZLB07_002CR</w:t>
      </w:r>
      <w:r w:rsidRPr="00E005C8">
        <w:rPr>
          <w:color w:val="000000" w:themeColor="text1"/>
        </w:rPr>
        <w:t>, apart from local reactions and excluding infections, the next most common AE was cough (27.5% of subjects, none causally related); a</w:t>
      </w:r>
      <w:r>
        <w:rPr>
          <w:color w:val="000000" w:themeColor="text1"/>
        </w:rPr>
        <w:t xml:space="preserve">ll other AEs were reported by </w:t>
      </w:r>
      <w:r w:rsidR="00556579">
        <w:rPr>
          <w:color w:val="000000" w:themeColor="text1"/>
        </w:rPr>
        <w:t>≤</w:t>
      </w:r>
      <w:r w:rsidRPr="00E005C8">
        <w:rPr>
          <w:color w:val="000000" w:themeColor="text1"/>
        </w:rPr>
        <w:t>4 subjects (10%).</w:t>
      </w:r>
      <w:r w:rsidR="000D6A22">
        <w:rPr>
          <w:color w:val="000000" w:themeColor="text1"/>
        </w:rPr>
        <w:t xml:space="preserve"> </w:t>
      </w:r>
      <w:r w:rsidRPr="00E005C8">
        <w:rPr>
          <w:color w:val="000000" w:themeColor="text1"/>
        </w:rPr>
        <w:t xml:space="preserve">In the US extension </w:t>
      </w:r>
      <w:r w:rsidRPr="00C42250">
        <w:rPr>
          <w:b/>
          <w:color w:val="000000" w:themeColor="text1"/>
        </w:rPr>
        <w:t>IgPro20_3001</w:t>
      </w:r>
      <w:r w:rsidRPr="00E005C8">
        <w:rPr>
          <w:color w:val="000000" w:themeColor="text1"/>
        </w:rPr>
        <w:t xml:space="preserve">, the next most common AEs after local reaction and excluding infections were fatigue (5 subjects [23.8%], causally related in 2 subjects [9.5%]), oropharyngeal pain (5 subjects [23.8%], causally related in 1 subject [4.8%]), and arthralgia (5 subjects [23.8%], causally related in 1 subject [4.8%]); all other </w:t>
      </w:r>
      <w:r>
        <w:rPr>
          <w:color w:val="000000" w:themeColor="text1"/>
        </w:rPr>
        <w:t xml:space="preserve">AEs occurred in </w:t>
      </w:r>
      <w:r w:rsidR="00556579">
        <w:rPr>
          <w:color w:val="000000" w:themeColor="text1"/>
        </w:rPr>
        <w:t>≤</w:t>
      </w:r>
      <w:r w:rsidRPr="00E005C8">
        <w:rPr>
          <w:color w:val="000000" w:themeColor="text1"/>
        </w:rPr>
        <w:t>4 subjects (</w:t>
      </w:r>
      <w:r w:rsidR="00556579">
        <w:rPr>
          <w:color w:val="000000" w:themeColor="text1"/>
        </w:rPr>
        <w:t>≤</w:t>
      </w:r>
      <w:r w:rsidRPr="00E005C8">
        <w:rPr>
          <w:color w:val="000000" w:themeColor="text1"/>
        </w:rPr>
        <w:t xml:space="preserve"> 19.0%). </w:t>
      </w:r>
      <w:r>
        <w:rPr>
          <w:color w:val="000000" w:themeColor="text1"/>
        </w:rPr>
        <w:t>Most AEs were mild or moderate.</w:t>
      </w:r>
      <w:r w:rsidRPr="00E005C8">
        <w:rPr>
          <w:color w:val="000000" w:themeColor="text1"/>
        </w:rPr>
        <w:t xml:space="preserve"> The only AEs of </w:t>
      </w:r>
      <w:r w:rsidRPr="00C42250">
        <w:rPr>
          <w:b/>
          <w:color w:val="000000" w:themeColor="text1"/>
        </w:rPr>
        <w:t>severe intensity</w:t>
      </w:r>
      <w:r w:rsidRPr="00E005C8">
        <w:rPr>
          <w:color w:val="000000" w:themeColor="text1"/>
        </w:rPr>
        <w:t xml:space="preserve"> were:</w:t>
      </w:r>
    </w:p>
    <w:p w:rsidR="005F74D8" w:rsidRPr="00E005C8" w:rsidRDefault="005F74D8" w:rsidP="00556579">
      <w:pPr>
        <w:pStyle w:val="ListBullet"/>
      </w:pPr>
      <w:r w:rsidRPr="00E005C8">
        <w:t xml:space="preserve">European pivotal </w:t>
      </w:r>
      <w:r w:rsidRPr="00C42250">
        <w:rPr>
          <w:b/>
        </w:rPr>
        <w:t>ZLB06_001CR</w:t>
      </w:r>
      <w:r w:rsidRPr="00E005C8">
        <w:t>: chest pain, injection site pruritus, appendicitis, bronchitis, pneumonia, C-reactive protein increased, and cough (1 subject [2.0%] each).</w:t>
      </w:r>
    </w:p>
    <w:p w:rsidR="005F74D8" w:rsidRPr="00E005C8" w:rsidRDefault="005F74D8" w:rsidP="00556579">
      <w:pPr>
        <w:pStyle w:val="ListBullet"/>
      </w:pPr>
      <w:r w:rsidRPr="00E005C8">
        <w:t xml:space="preserve">In the European extension </w:t>
      </w:r>
      <w:r w:rsidRPr="00C42250">
        <w:rPr>
          <w:b/>
        </w:rPr>
        <w:t>ZLB07_002</w:t>
      </w:r>
      <w:r w:rsidRPr="00E005C8">
        <w:t>, only 7 (17.5%) subjects had AEs of severe intensity and the only severe AE reported more than once was pneumonia bacterial (3 subjects [7.5%])</w:t>
      </w:r>
      <w:r w:rsidR="007916E3">
        <w:t>.</w:t>
      </w:r>
    </w:p>
    <w:p w:rsidR="005F74D8" w:rsidRPr="00E005C8" w:rsidRDefault="005F74D8" w:rsidP="00556579">
      <w:pPr>
        <w:pStyle w:val="ListBullet"/>
      </w:pPr>
      <w:r>
        <w:t xml:space="preserve">In the US pivotal </w:t>
      </w:r>
      <w:r w:rsidRPr="00C42250">
        <w:rPr>
          <w:b/>
        </w:rPr>
        <w:t>ZLB04_009CR</w:t>
      </w:r>
      <w:r w:rsidRPr="00E005C8">
        <w:t xml:space="preserve">, the only AEs of severe intensity were headache (4 subjects [8.2%]), </w:t>
      </w:r>
      <w:r>
        <w:t>ISR</w:t>
      </w:r>
      <w:r w:rsidRPr="00E005C8">
        <w:t xml:space="preserve"> (3 subjects [6.1%]), chest pain (2 subjects [4.1%]) and small intestinal obstruction, toothache, chronic hepatitis, gastroenteritis, post procedural infection, musculoskeletal stiffness, papillary thyroid cancer, migraine, and asthma (1 subject [2.0%] each).</w:t>
      </w:r>
    </w:p>
    <w:p w:rsidR="005F74D8" w:rsidRDefault="005F74D8" w:rsidP="00556579">
      <w:pPr>
        <w:pStyle w:val="ListBullet"/>
      </w:pPr>
      <w:r w:rsidRPr="00E005C8">
        <w:t xml:space="preserve"> In the US extension </w:t>
      </w:r>
      <w:r w:rsidRPr="00C42250">
        <w:rPr>
          <w:b/>
        </w:rPr>
        <w:t>IgPro20_3001</w:t>
      </w:r>
      <w:r w:rsidRPr="00E005C8">
        <w:t>, the only AEs of severe intensity were headache, abdominal pain upper, h</w:t>
      </w:r>
      <w:r>
        <w:t>a</w:t>
      </w:r>
      <w:r w:rsidRPr="00E005C8">
        <w:t xml:space="preserve">ematochezia, fatigue, thyroid cancer, abdominal pain, </w:t>
      </w:r>
      <w:r>
        <w:t>diarrhoea</w:t>
      </w:r>
      <w:r w:rsidRPr="00E005C8">
        <w:t>, orchitis, arthralgia, pain in extremity, and depression (1 subject [4.8%] each).</w:t>
      </w:r>
    </w:p>
    <w:p w:rsidR="005F74D8" w:rsidRPr="00E005C8" w:rsidRDefault="005F74D8" w:rsidP="00556579">
      <w:pPr>
        <w:pStyle w:val="Heading5"/>
      </w:pPr>
      <w:r w:rsidRPr="00E005C8">
        <w:t>Other studies</w:t>
      </w:r>
    </w:p>
    <w:p w:rsidR="005F74D8" w:rsidRDefault="005F74D8" w:rsidP="005F74D8">
      <w:pPr>
        <w:autoSpaceDE w:val="0"/>
        <w:autoSpaceDN w:val="0"/>
        <w:adjustRightInd w:val="0"/>
        <w:rPr>
          <w:rFonts w:eastAsia="TimesNewRoman" w:cs="TimesNewRoman"/>
          <w:color w:val="000000" w:themeColor="text1"/>
        </w:rPr>
      </w:pPr>
      <w:r w:rsidRPr="00C42250">
        <w:rPr>
          <w:rFonts w:eastAsia="TimesNewRoman" w:cs="TimesNewRoman"/>
          <w:b/>
          <w:color w:val="000000" w:themeColor="text1"/>
        </w:rPr>
        <w:t>ZLB04_008CR</w:t>
      </w:r>
      <w:r w:rsidRPr="00E005C8">
        <w:rPr>
          <w:rFonts w:eastAsia="TimesNewRoman" w:cs="TimesNewRoman"/>
          <w:color w:val="000000" w:themeColor="text1"/>
        </w:rPr>
        <w:t xml:space="preserve"> (Healthy subjects</w:t>
      </w:r>
      <w:r w:rsidR="00556579">
        <w:rPr>
          <w:rFonts w:eastAsia="TimesNewRoman" w:cs="TimesNewRoman"/>
          <w:color w:val="000000" w:themeColor="text1"/>
        </w:rPr>
        <w:t>).</w:t>
      </w:r>
    </w:p>
    <w:p w:rsidR="005F74D8" w:rsidRPr="00E005C8" w:rsidRDefault="005F74D8" w:rsidP="001B1E9D">
      <w:pPr>
        <w:pStyle w:val="Heading4"/>
      </w:pPr>
      <w:bookmarkStart w:id="319" w:name="_Ref272333567"/>
      <w:bookmarkStart w:id="320" w:name="_Toc272414665"/>
      <w:bookmarkStart w:id="321" w:name="_Toc290846303"/>
      <w:bookmarkStart w:id="322" w:name="_Toc373748437"/>
      <w:r w:rsidRPr="00E005C8">
        <w:t>Treatment-related adverse events (adverse drug reactions)</w:t>
      </w:r>
      <w:bookmarkEnd w:id="319"/>
      <w:bookmarkEnd w:id="320"/>
      <w:bookmarkEnd w:id="321"/>
      <w:bookmarkEnd w:id="322"/>
    </w:p>
    <w:p w:rsidR="005F74D8" w:rsidRPr="00E005C8" w:rsidRDefault="005F74D8" w:rsidP="001B1E9D">
      <w:pPr>
        <w:pStyle w:val="Heading5"/>
      </w:pPr>
      <w:r w:rsidRPr="00E005C8">
        <w:t>Pivotal studies</w:t>
      </w:r>
    </w:p>
    <w:p w:rsidR="005F74D8" w:rsidRDefault="005F74D8" w:rsidP="005F74D8">
      <w:pPr>
        <w:autoSpaceDE w:val="0"/>
        <w:autoSpaceDN w:val="0"/>
        <w:adjustRightInd w:val="0"/>
        <w:rPr>
          <w:rFonts w:eastAsia="TimesNewRoman,Bold" w:cs="TimesNewRoman,Bold"/>
          <w:bCs/>
          <w:color w:val="000000" w:themeColor="text1"/>
        </w:rPr>
      </w:pPr>
      <w:r>
        <w:rPr>
          <w:rFonts w:eastAsia="TimesNewRoman,Bold" w:cs="TimesNewRoman,Bold"/>
          <w:bCs/>
          <w:color w:val="000000" w:themeColor="text1"/>
        </w:rPr>
        <w:t>These are summarised in t</w:t>
      </w:r>
      <w:r w:rsidRPr="00E005C8">
        <w:rPr>
          <w:rFonts w:eastAsia="TimesNewRoman,Bold" w:cs="TimesNewRoman,Bold"/>
          <w:bCs/>
          <w:color w:val="000000" w:themeColor="text1"/>
        </w:rPr>
        <w:t>abular form.</w:t>
      </w:r>
    </w:p>
    <w:p w:rsidR="00F01513" w:rsidRDefault="005F74D8" w:rsidP="005F74D8">
      <w:pPr>
        <w:autoSpaceDE w:val="0"/>
        <w:autoSpaceDN w:val="0"/>
        <w:adjustRightInd w:val="0"/>
        <w:rPr>
          <w:rFonts w:eastAsia="TimesNewRoman,Bold" w:cs="TimesNewRoman,Bold"/>
          <w:b/>
          <w:bCs/>
          <w:color w:val="000000" w:themeColor="text1"/>
        </w:rPr>
      </w:pPr>
      <w:r w:rsidRPr="007E7F95">
        <w:rPr>
          <w:rFonts w:eastAsia="TimesNewRoman,Bold" w:cs="TimesNewRoman,Bold"/>
          <w:b/>
          <w:bCs/>
          <w:color w:val="000000" w:themeColor="text1"/>
          <w:sz w:val="20"/>
          <w:szCs w:val="20"/>
        </w:rPr>
        <w:t>Table 23: Subjects with Causally Related Adverse Events Excluding Infections (Experienced by ≥ 4 Subjects in Any Study) by Decreasing Frequency, AT Population (Studies ZLB06_002CR/ZLB07_001CR, ZLB06_001CR, and ZLB04_009CR)</w:t>
      </w:r>
      <w:r w:rsidRPr="007E7F95">
        <w:rPr>
          <w:rFonts w:cs="TimesNewRomanPS-ItalicMT"/>
          <w:b/>
          <w:i/>
          <w:iCs/>
          <w:color w:val="000000" w:themeColor="text1"/>
          <w:sz w:val="20"/>
          <w:szCs w:val="20"/>
        </w:rPr>
        <w:t xml:space="preserve"> Source 2.7.4</w:t>
      </w:r>
    </w:p>
    <w:p w:rsidR="00F01513" w:rsidRDefault="00F01513" w:rsidP="005F74D8">
      <w:pPr>
        <w:autoSpaceDE w:val="0"/>
        <w:autoSpaceDN w:val="0"/>
        <w:adjustRightInd w:val="0"/>
        <w:rPr>
          <w:rFonts w:eastAsia="TimesNewRoman,Bold" w:cs="TimesNewRoman,Bold"/>
          <w:b/>
          <w:bCs/>
          <w:color w:val="000000" w:themeColor="text1"/>
        </w:rPr>
      </w:pPr>
      <w:r>
        <w:rPr>
          <w:rFonts w:eastAsia="TimesNewRoman,Bold" w:cs="TimesNewRoman,Bold"/>
          <w:b/>
          <w:bCs/>
          <w:noProof/>
          <w:color w:val="000000" w:themeColor="text1"/>
          <w:lang w:eastAsia="en-AU"/>
        </w:rPr>
        <w:drawing>
          <wp:inline distT="0" distB="0" distL="0" distR="0" wp14:anchorId="662ED05C" wp14:editId="2CFC392F">
            <wp:extent cx="5086350" cy="2057419"/>
            <wp:effectExtent l="0" t="0" r="0" b="0"/>
            <wp:docPr id="40" name="Picture 40" descr="Table 23: Subjects with Causally Related Adverse Events Excluding Infections (Experienced by ≥ 4 Subjects in Any Study) by Decreasing Frequency, AT Population (Studies ZLB06_002CR/ZLB07_001CR, ZLB06_001CR, and ZLB04_009CR) Sourc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94723" cy="2060806"/>
                    </a:xfrm>
                    <a:prstGeom prst="rect">
                      <a:avLst/>
                    </a:prstGeom>
                  </pic:spPr>
                </pic:pic>
              </a:graphicData>
            </a:graphic>
          </wp:inline>
        </w:drawing>
      </w:r>
    </w:p>
    <w:p w:rsidR="005F74D8" w:rsidRPr="00E005C8" w:rsidRDefault="005F74D8" w:rsidP="005F74D8">
      <w:pPr>
        <w:autoSpaceDE w:val="0"/>
        <w:autoSpaceDN w:val="0"/>
        <w:adjustRightInd w:val="0"/>
        <w:rPr>
          <w:rFonts w:eastAsia="TimesNewRoman,Bold" w:cs="TimesNewRoman,Bold"/>
          <w:b/>
          <w:bCs/>
          <w:color w:val="000000" w:themeColor="text1"/>
        </w:rPr>
      </w:pPr>
      <w:r w:rsidRPr="00E005C8">
        <w:rPr>
          <w:rFonts w:eastAsia="TimesNewRoman,Bold" w:cs="TimesNewRoman,Bold"/>
          <w:bCs/>
          <w:color w:val="000000" w:themeColor="text1"/>
        </w:rPr>
        <w:t>As expected, in terms of temporal relationship to Hizentra</w:t>
      </w:r>
      <w:r w:rsidRPr="00E005C8">
        <w:rPr>
          <w:rFonts w:eastAsia="TimesNewRoman,Bold" w:cs="TimesNewRoman,Bold"/>
          <w:bCs/>
          <w:color w:val="000000" w:themeColor="text1"/>
        </w:rPr>
        <w:sym w:font="Symbol" w:char="F0D2"/>
      </w:r>
      <w:r w:rsidRPr="00E005C8">
        <w:rPr>
          <w:rFonts w:eastAsia="TimesNewRoman,Bold" w:cs="TimesNewRoman,Bold"/>
          <w:bCs/>
          <w:color w:val="000000" w:themeColor="text1"/>
        </w:rPr>
        <w:t xml:space="preserve"> receipt, local site reactions were most commonly r</w:t>
      </w:r>
      <w:r w:rsidR="007916E3">
        <w:rPr>
          <w:rFonts w:eastAsia="TimesNewRoman,Bold" w:cs="TimesNewRoman,Bold"/>
          <w:bCs/>
          <w:color w:val="000000" w:themeColor="text1"/>
        </w:rPr>
        <w:t>eported in the pivotal studies.</w:t>
      </w:r>
    </w:p>
    <w:p w:rsidR="005F74D8" w:rsidRPr="00E005C8" w:rsidRDefault="007916E3" w:rsidP="001B1E9D">
      <w:pPr>
        <w:pStyle w:val="Heading4"/>
      </w:pPr>
      <w:r>
        <w:lastRenderedPageBreak/>
        <w:t>AEs of special interest</w:t>
      </w:r>
    </w:p>
    <w:p w:rsidR="005F74D8" w:rsidRPr="00E005C8" w:rsidRDefault="005F74D8" w:rsidP="007916E3">
      <w:pPr>
        <w:pStyle w:val="Numberbullet0"/>
        <w:numPr>
          <w:ilvl w:val="0"/>
          <w:numId w:val="27"/>
        </w:numPr>
      </w:pPr>
      <w:r w:rsidRPr="007916E3">
        <w:rPr>
          <w:b/>
          <w:i/>
        </w:rPr>
        <w:t>Anaphylaxis:</w:t>
      </w:r>
      <w:r w:rsidRPr="00E005C8">
        <w:t xml:space="preserve"> no episodes reported in any of the studies included in this Application;</w:t>
      </w:r>
    </w:p>
    <w:p w:rsidR="005F74D8" w:rsidRPr="00E005C8" w:rsidRDefault="005F74D8" w:rsidP="007916E3">
      <w:pPr>
        <w:pStyle w:val="Numberbullet0"/>
        <w:numPr>
          <w:ilvl w:val="0"/>
          <w:numId w:val="27"/>
        </w:numPr>
      </w:pPr>
      <w:r w:rsidRPr="007916E3">
        <w:rPr>
          <w:b/>
          <w:i/>
        </w:rPr>
        <w:t xml:space="preserve">Aseptic Meningitis syndrome (AMS): </w:t>
      </w:r>
      <w:r w:rsidRPr="00C42250">
        <w:t>In the ongoing Japan extension, as of the cut</w:t>
      </w:r>
      <w:r w:rsidR="001B1E9D">
        <w:t>-</w:t>
      </w:r>
      <w:r w:rsidRPr="00C42250">
        <w:t xml:space="preserve">off date of the 31 January 2013, 1 SAE has been reported: aseptic meningitis experienced by a </w:t>
      </w:r>
      <w:r w:rsidR="001B1E9D">
        <w:t>[information redacted] female who was hospitalis</w:t>
      </w:r>
      <w:r w:rsidRPr="00C42250">
        <w:t xml:space="preserve">ed because of pyrexia, vomiting and nuchal rigidity developed on the day of IgPro20 infusion. Treatment with IgPro20 was not discontinued and the subject recovered. The causal relationship between the event and study product was reported as unknown. The investigator considered the relationship to be highly </w:t>
      </w:r>
      <w:r w:rsidRPr="007916E3">
        <w:rPr>
          <w:b/>
        </w:rPr>
        <w:t>unlikely</w:t>
      </w:r>
      <w:r w:rsidRPr="00C42250">
        <w:t xml:space="preserve"> considering the clinical course of the event; the symptoms were matched to viral meningitis. </w:t>
      </w:r>
      <w:r w:rsidR="001B1E9D">
        <w:t>[information redacted]</w:t>
      </w:r>
      <w:r w:rsidRPr="00C42250">
        <w:t xml:space="preserve"> was immediately administered high dose IVIG. The subject was discontinued from the study due to the SAE. The subject recovered after 253 days. The investigator considered the causal relationship with IgPro20 could not be excluded, because aseptic meningitis has been reported with </w:t>
      </w:r>
      <w:r>
        <w:t>Ig</w:t>
      </w:r>
      <w:r w:rsidRPr="00C42250">
        <w:t xml:space="preserve"> use. However, viral infection could provide a plausible alternative explanation.</w:t>
      </w:r>
      <w:r>
        <w:t xml:space="preserve"> </w:t>
      </w:r>
      <w:r w:rsidRPr="00E005C8">
        <w:t>In th</w:t>
      </w:r>
      <w:r>
        <w:t>e ongoing Japan extension study</w:t>
      </w:r>
      <w:r w:rsidRPr="00E005C8">
        <w:t xml:space="preserve">, an SAE of aseptic meningitis was experienced by a </w:t>
      </w:r>
      <w:r w:rsidR="001B1E9D">
        <w:t>[information redacted]</w:t>
      </w:r>
      <w:r w:rsidR="007916E3">
        <w:t xml:space="preserve"> female.</w:t>
      </w:r>
    </w:p>
    <w:p w:rsidR="005F74D8" w:rsidRDefault="001B1E9D" w:rsidP="007916E3">
      <w:pPr>
        <w:pStyle w:val="Numberbullet0"/>
        <w:numPr>
          <w:ilvl w:val="0"/>
          <w:numId w:val="27"/>
        </w:numPr>
      </w:pPr>
      <w:r w:rsidRPr="007916E3">
        <w:rPr>
          <w:b/>
          <w:i/>
        </w:rPr>
        <w:t>E</w:t>
      </w:r>
      <w:r w:rsidR="005F74D8" w:rsidRPr="007916E3">
        <w:rPr>
          <w:b/>
          <w:i/>
        </w:rPr>
        <w:t>mbolic and thrombotic events:</w:t>
      </w:r>
      <w:r w:rsidR="005F74D8" w:rsidRPr="00E005C8">
        <w:t xml:space="preserve"> reported in the setting of Ig replacement therapy. No episodes reported in the pivotal studies of Hizentra</w:t>
      </w:r>
      <w:r w:rsidR="005F74D8" w:rsidRPr="00E005C8">
        <w:sym w:font="Symbol" w:char="F0D2"/>
      </w:r>
      <w:r w:rsidR="007916E3">
        <w:t>.</w:t>
      </w:r>
    </w:p>
    <w:p w:rsidR="005F74D8" w:rsidRPr="00E005C8" w:rsidRDefault="005F74D8" w:rsidP="001B1E9D">
      <w:pPr>
        <w:pStyle w:val="Heading4"/>
      </w:pPr>
      <w:bookmarkStart w:id="323" w:name="_Toc241374320"/>
      <w:bookmarkStart w:id="324" w:name="_Ref272333507"/>
      <w:bookmarkStart w:id="325" w:name="_Toc272414666"/>
      <w:bookmarkStart w:id="326" w:name="_Toc290846304"/>
      <w:bookmarkStart w:id="327" w:name="_Toc373748438"/>
      <w:r w:rsidRPr="00E005C8">
        <w:t>Deaths and other serious adverse events</w:t>
      </w:r>
      <w:bookmarkEnd w:id="323"/>
      <w:bookmarkEnd w:id="324"/>
      <w:bookmarkEnd w:id="325"/>
      <w:bookmarkEnd w:id="326"/>
      <w:bookmarkEnd w:id="327"/>
    </w:p>
    <w:p w:rsidR="005F74D8" w:rsidRPr="00E005C8" w:rsidRDefault="005F74D8" w:rsidP="001B1E9D">
      <w:pPr>
        <w:pStyle w:val="Heading5"/>
      </w:pPr>
      <w:r w:rsidRPr="00E005C8">
        <w:t>Pivotal studies</w:t>
      </w:r>
    </w:p>
    <w:p w:rsidR="005F74D8" w:rsidRPr="00E005C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There was </w:t>
      </w:r>
      <w:r w:rsidRPr="00E005C8">
        <w:rPr>
          <w:rFonts w:eastAsia="TimesNewRoman" w:cs="TimesNewRoman"/>
          <w:b/>
          <w:color w:val="000000" w:themeColor="text1"/>
        </w:rPr>
        <w:t xml:space="preserve">1 death </w:t>
      </w:r>
      <w:r w:rsidRPr="00E005C8">
        <w:rPr>
          <w:rFonts w:eastAsia="TimesNewRoman" w:cs="TimesNewRoman"/>
          <w:color w:val="000000" w:themeColor="text1"/>
        </w:rPr>
        <w:t>in the IgPro20</w:t>
      </w:r>
      <w:r>
        <w:rPr>
          <w:rFonts w:eastAsia="TimesNewRoman" w:cs="TimesNewRoman"/>
          <w:color w:val="000000" w:themeColor="text1"/>
        </w:rPr>
        <w:t xml:space="preserve">clinical studies </w:t>
      </w:r>
      <w:r w:rsidRPr="00E005C8">
        <w:rPr>
          <w:rFonts w:eastAsia="TimesNewRoman" w:cs="TimesNewRoman"/>
          <w:color w:val="000000" w:themeColor="text1"/>
        </w:rPr>
        <w:t>reported in the European extension</w:t>
      </w:r>
      <w:r w:rsidR="007916E3">
        <w:rPr>
          <w:rFonts w:eastAsia="TimesNewRoman" w:cs="TimesNewRoman"/>
          <w:color w:val="000000" w:themeColor="text1"/>
        </w:rPr>
        <w:t>.</w:t>
      </w:r>
    </w:p>
    <w:p w:rsidR="005F74D8" w:rsidRPr="00E005C8" w:rsidRDefault="005F74D8" w:rsidP="005F74D8">
      <w:pPr>
        <w:autoSpaceDE w:val="0"/>
        <w:autoSpaceDN w:val="0"/>
        <w:adjustRightInd w:val="0"/>
        <w:rPr>
          <w:rFonts w:eastAsia="TimesNewRoman" w:cs="TimesNewRoman"/>
          <w:color w:val="000000" w:themeColor="text1"/>
        </w:rPr>
      </w:pPr>
      <w:r w:rsidRPr="00C42250">
        <w:rPr>
          <w:rFonts w:eastAsia="TimesNewRoman" w:cs="TimesNewRoman"/>
          <w:b/>
          <w:color w:val="000000" w:themeColor="text1"/>
        </w:rPr>
        <w:t>ZLB07_002CR</w:t>
      </w:r>
      <w:r w:rsidRPr="00E005C8">
        <w:rPr>
          <w:rFonts w:eastAsia="TimesNewRoman" w:cs="TimesNewRoman"/>
          <w:color w:val="000000" w:themeColor="text1"/>
        </w:rPr>
        <w:t xml:space="preserve">: </w:t>
      </w:r>
      <w:r w:rsidRPr="00C42250">
        <w:rPr>
          <w:rFonts w:eastAsia="TimesNewRoman" w:cs="TimesNewRoman"/>
          <w:b/>
          <w:color w:val="000000" w:themeColor="text1"/>
        </w:rPr>
        <w:t xml:space="preserve">Subject </w:t>
      </w:r>
      <w:r w:rsidR="002A3D55" w:rsidRPr="002A3D55">
        <w:rPr>
          <w:rFonts w:eastAsia="TimesNewRoman" w:cs="TimesNewRoman"/>
          <w:color w:val="000000" w:themeColor="text1"/>
        </w:rPr>
        <w:t>[information redacted</w:t>
      </w:r>
      <w:r w:rsidR="001B1E9D" w:rsidRPr="002A3D55">
        <w:rPr>
          <w:rFonts w:eastAsia="TimesNewRoman" w:cs="TimesNewRoman"/>
          <w:color w:val="000000" w:themeColor="text1"/>
        </w:rPr>
        <w:t>]</w:t>
      </w:r>
      <w:r w:rsidRPr="002A3D55">
        <w:rPr>
          <w:rFonts w:eastAsia="TimesNewRoman" w:cs="TimesNewRoman"/>
          <w:color w:val="000000" w:themeColor="text1"/>
        </w:rPr>
        <w:t xml:space="preserve"> fe</w:t>
      </w:r>
      <w:r>
        <w:rPr>
          <w:rFonts w:eastAsia="TimesNewRoman" w:cs="TimesNewRoman"/>
          <w:color w:val="000000" w:themeColor="text1"/>
        </w:rPr>
        <w:t>male</w:t>
      </w:r>
      <w:r w:rsidR="000D6A22">
        <w:rPr>
          <w:rFonts w:eastAsia="TimesNewRoman" w:cs="TimesNewRoman"/>
          <w:color w:val="000000" w:themeColor="text1"/>
        </w:rPr>
        <w:t xml:space="preserve"> </w:t>
      </w:r>
      <w:r>
        <w:rPr>
          <w:rFonts w:eastAsia="TimesNewRoman" w:cs="TimesNewRoman"/>
          <w:color w:val="000000" w:themeColor="text1"/>
        </w:rPr>
        <w:t xml:space="preserve">with </w:t>
      </w:r>
      <w:r w:rsidRPr="00E005C8">
        <w:rPr>
          <w:rFonts w:eastAsia="TimesNewRoman" w:cs="TimesNewRoman"/>
          <w:color w:val="000000" w:themeColor="text1"/>
        </w:rPr>
        <w:t>CVID</w:t>
      </w:r>
      <w:r>
        <w:rPr>
          <w:rFonts w:eastAsia="TimesNewRoman" w:cs="TimesNewRoman"/>
          <w:color w:val="000000" w:themeColor="text1"/>
        </w:rPr>
        <w:t>)</w:t>
      </w:r>
      <w:r w:rsidRPr="00E005C8">
        <w:rPr>
          <w:rFonts w:eastAsia="TimesNewRoman" w:cs="TimesNewRoman"/>
          <w:color w:val="000000" w:themeColor="text1"/>
        </w:rPr>
        <w:t xml:space="preserve"> died due to pneumonia, not c</w:t>
      </w:r>
      <w:r>
        <w:rPr>
          <w:rFonts w:eastAsia="TimesNewRoman" w:cs="TimesNewRoman"/>
          <w:color w:val="000000" w:themeColor="text1"/>
        </w:rPr>
        <w:t xml:space="preserve">onsidered related to study drug. </w:t>
      </w:r>
      <w:r w:rsidRPr="00E005C8">
        <w:rPr>
          <w:rFonts w:eastAsia="TimesNewRoman" w:cs="TimesNewRoman"/>
          <w:color w:val="000000" w:themeColor="text1"/>
        </w:rPr>
        <w:t>The subject had a medical history of recurrent severe pneumonia</w:t>
      </w:r>
      <w:r>
        <w:rPr>
          <w:rFonts w:eastAsia="TimesNewRoman" w:cs="TimesNewRoman"/>
          <w:color w:val="000000" w:themeColor="text1"/>
        </w:rPr>
        <w:t xml:space="preserve"> prior to study and on</w:t>
      </w:r>
      <w:r w:rsidR="000D6A22">
        <w:rPr>
          <w:rFonts w:eastAsia="TimesNewRoman" w:cs="TimesNewRoman"/>
          <w:color w:val="000000" w:themeColor="text1"/>
        </w:rPr>
        <w:t xml:space="preserve"> </w:t>
      </w:r>
      <w:r>
        <w:rPr>
          <w:rFonts w:eastAsia="TimesNewRoman" w:cs="TimesNewRoman"/>
          <w:color w:val="000000" w:themeColor="text1"/>
        </w:rPr>
        <w:t>the</w:t>
      </w:r>
      <w:r w:rsidRPr="00E005C8">
        <w:rPr>
          <w:rFonts w:eastAsia="TimesNewRoman" w:cs="TimesNewRoman"/>
          <w:color w:val="000000" w:themeColor="text1"/>
        </w:rPr>
        <w:t xml:space="preserve"> pivotal study and its extension study. The subject completed the pivotal study </w:t>
      </w:r>
      <w:r w:rsidRPr="00C42250">
        <w:rPr>
          <w:rFonts w:eastAsia="TimesNewRoman" w:cs="TimesNewRoman"/>
          <w:b/>
          <w:color w:val="000000" w:themeColor="text1"/>
        </w:rPr>
        <w:t>ZLB06_002CR</w:t>
      </w:r>
      <w:r w:rsidRPr="00E005C8">
        <w:rPr>
          <w:rFonts w:eastAsia="TimesNewRoman" w:cs="TimesNewRoman"/>
          <w:color w:val="000000" w:themeColor="text1"/>
        </w:rPr>
        <w:t xml:space="preserve">. However, 10 days after Infusion 5 in the extension </w:t>
      </w:r>
      <w:r>
        <w:rPr>
          <w:rFonts w:eastAsia="TimesNewRoman" w:cs="TimesNewRoman"/>
          <w:color w:val="000000" w:themeColor="text1"/>
        </w:rPr>
        <w:t>phase</w:t>
      </w:r>
      <w:r w:rsidRPr="00E005C8">
        <w:rPr>
          <w:rFonts w:eastAsia="TimesNewRoman" w:cs="TimesNewRoman"/>
          <w:color w:val="000000" w:themeColor="text1"/>
        </w:rPr>
        <w:t xml:space="preserve">, the subject was again hospitalized due to an acute exacerbation of chronic pneumonia. </w:t>
      </w:r>
      <w:r w:rsidR="001B1E9D">
        <w:rPr>
          <w:rFonts w:eastAsia="TimesNewRoman" w:cs="TimesNewRoman"/>
          <w:color w:val="000000" w:themeColor="text1"/>
        </w:rPr>
        <w:t>[information redacted]</w:t>
      </w:r>
      <w:r>
        <w:rPr>
          <w:rFonts w:eastAsia="TimesNewRoman" w:cs="TimesNewRoman"/>
          <w:color w:val="000000" w:themeColor="text1"/>
        </w:rPr>
        <w:t xml:space="preserve"> </w:t>
      </w:r>
      <w:r w:rsidRPr="00E005C8">
        <w:rPr>
          <w:rFonts w:eastAsia="TimesNewRoman" w:cs="TimesNewRoman"/>
          <w:color w:val="000000" w:themeColor="text1"/>
        </w:rPr>
        <w:t>condition deteriorated despite major medical intervent</w:t>
      </w:r>
      <w:r>
        <w:rPr>
          <w:rFonts w:eastAsia="TimesNewRoman" w:cs="TimesNewRoman"/>
          <w:color w:val="000000" w:themeColor="text1"/>
        </w:rPr>
        <w:t>ion and continuous Ig</w:t>
      </w:r>
      <w:r w:rsidRPr="00E005C8">
        <w:rPr>
          <w:rFonts w:eastAsia="TimesNewRoman" w:cs="TimesNewRoman"/>
          <w:color w:val="000000" w:themeColor="text1"/>
        </w:rPr>
        <w:t xml:space="preserve">, and </w:t>
      </w:r>
      <w:r w:rsidR="001B1E9D">
        <w:rPr>
          <w:rFonts w:eastAsia="TimesNewRoman" w:cs="TimesNewRoman"/>
          <w:color w:val="000000" w:themeColor="text1"/>
        </w:rPr>
        <w:t>[information redacted]</w:t>
      </w:r>
      <w:r w:rsidR="007916E3">
        <w:rPr>
          <w:rFonts w:eastAsia="TimesNewRoman" w:cs="TimesNewRoman"/>
          <w:color w:val="000000" w:themeColor="text1"/>
        </w:rPr>
        <w:t xml:space="preserve"> died from respiratory failure.</w:t>
      </w:r>
    </w:p>
    <w:p w:rsidR="005F74D8" w:rsidRPr="00E005C8" w:rsidRDefault="005F74D8" w:rsidP="005F74D8">
      <w:pPr>
        <w:autoSpaceDE w:val="0"/>
        <w:autoSpaceDN w:val="0"/>
        <w:adjustRightInd w:val="0"/>
        <w:rPr>
          <w:rFonts w:eastAsia="TimesNewRoman" w:cs="TimesNewRoman"/>
          <w:color w:val="000000" w:themeColor="text1"/>
        </w:rPr>
      </w:pPr>
      <w:r w:rsidRPr="00E005C8">
        <w:rPr>
          <w:rFonts w:eastAsia="TimesNewRoman" w:cs="TimesNewRoman"/>
          <w:b/>
          <w:color w:val="000000" w:themeColor="text1"/>
        </w:rPr>
        <w:t>SAE:</w:t>
      </w:r>
      <w:r w:rsidRPr="00E005C8">
        <w:rPr>
          <w:rFonts w:eastAsia="TimesNewRoman" w:cs="TimesNewRoman"/>
          <w:color w:val="000000" w:themeColor="text1"/>
        </w:rPr>
        <w:t xml:space="preserve"> A total of 45 SAEs occurred in 26 subjects (subjects experiencing AEs in the pivotal as</w:t>
      </w:r>
      <w:r w:rsidR="001B1E9D">
        <w:rPr>
          <w:rFonts w:eastAsia="TimesNewRoman" w:cs="TimesNewRoman"/>
          <w:color w:val="000000" w:themeColor="text1"/>
        </w:rPr>
        <w:t xml:space="preserve"> </w:t>
      </w:r>
      <w:r w:rsidRPr="00E005C8">
        <w:rPr>
          <w:rFonts w:eastAsia="TimesNewRoman" w:cs="TimesNewRoman"/>
          <w:color w:val="000000" w:themeColor="text1"/>
        </w:rPr>
        <w:t>well as in the respective follow-up/extension study were counted only once. 42 of these events occurred during the SCIG treatment (</w:t>
      </w:r>
      <w:r w:rsidR="00C2531A">
        <w:rPr>
          <w:rFonts w:eastAsia="TimesNewRoman" w:cs="TimesNewRoman"/>
          <w:color w:val="000000" w:themeColor="text1"/>
        </w:rPr>
        <w:t>that is</w:t>
      </w:r>
      <w:r w:rsidR="00617D86">
        <w:rPr>
          <w:rFonts w:eastAsia="TimesNewRoman" w:cs="TimesNewRoman"/>
          <w:color w:val="000000" w:themeColor="text1"/>
        </w:rPr>
        <w:t>,</w:t>
      </w:r>
      <w:r w:rsidRPr="00E005C8">
        <w:rPr>
          <w:rFonts w:eastAsia="TimesNewRoman" w:cs="TimesNewRoman"/>
          <w:color w:val="000000" w:themeColor="text1"/>
        </w:rPr>
        <w:t xml:space="preserve"> were treatment emergent), while 3 occurred prior to treatment (</w:t>
      </w:r>
      <w:r w:rsidR="00C2531A">
        <w:rPr>
          <w:rFonts w:eastAsia="TimesNewRoman" w:cs="TimesNewRoman"/>
          <w:color w:val="000000" w:themeColor="text1"/>
        </w:rPr>
        <w:t>that is</w:t>
      </w:r>
      <w:r w:rsidR="00617D86">
        <w:rPr>
          <w:rFonts w:eastAsia="TimesNewRoman" w:cs="TimesNewRoman"/>
          <w:color w:val="000000" w:themeColor="text1"/>
        </w:rPr>
        <w:t>,</w:t>
      </w:r>
      <w:r w:rsidRPr="00E005C8">
        <w:rPr>
          <w:rFonts w:eastAsia="TimesNewRoman" w:cs="TimesNewRoman"/>
          <w:color w:val="000000" w:themeColor="text1"/>
        </w:rPr>
        <w:t xml:space="preserve"> were non-treatment-emergent).</w:t>
      </w:r>
    </w:p>
    <w:p w:rsidR="005F74D8" w:rsidRPr="00E005C8" w:rsidRDefault="005F74D8" w:rsidP="001B1E9D">
      <w:pPr>
        <w:pStyle w:val="ListBullet"/>
      </w:pPr>
      <w:r w:rsidRPr="00E005C8">
        <w:t>All but 1 of the SAEs (encephalitis in the Japan follow-up study ZLB07_001CR) were considered by the investigators to be unrelated to study drug;</w:t>
      </w:r>
    </w:p>
    <w:p w:rsidR="005F74D8" w:rsidRPr="00E005C8" w:rsidRDefault="005F74D8" w:rsidP="001B1E9D">
      <w:pPr>
        <w:pStyle w:val="ListBullet"/>
      </w:pPr>
      <w:r w:rsidRPr="00E005C8">
        <w:t>20 SAEs were severe in intensity, 20 were moderate and 5 were mild;</w:t>
      </w:r>
    </w:p>
    <w:p w:rsidR="005F74D8" w:rsidRPr="00E005C8" w:rsidRDefault="005F74D8" w:rsidP="001B1E9D">
      <w:pPr>
        <w:pStyle w:val="ListBullet"/>
      </w:pPr>
      <w:r w:rsidRPr="00E005C8">
        <w:t xml:space="preserve">No action with respect to study drug was taken, except for 3 SAEs that led to discontinuation: 1 subject with thyroid cancer from the US extension study </w:t>
      </w:r>
      <w:r w:rsidRPr="00E005C8">
        <w:rPr>
          <w:b/>
        </w:rPr>
        <w:t>IgPro20_3001</w:t>
      </w:r>
      <w:r w:rsidRPr="00E005C8">
        <w:t xml:space="preserve"> to enable the subject focus on a specific cancer therapy, 1 subject due to death by bacterial pneumonia in </w:t>
      </w:r>
      <w:r w:rsidRPr="00E005C8">
        <w:rPr>
          <w:b/>
        </w:rPr>
        <w:t>ZLB07_002CR</w:t>
      </w:r>
      <w:r w:rsidRPr="00E005C8">
        <w:t xml:space="preserve">, and 1 subject because of a possibly related encephalitis in the Japan follow-up study </w:t>
      </w:r>
      <w:r w:rsidRPr="00E005C8">
        <w:rPr>
          <w:b/>
        </w:rPr>
        <w:t>ZLB07_001CR</w:t>
      </w:r>
      <w:r>
        <w:t>;</w:t>
      </w:r>
    </w:p>
    <w:p w:rsidR="005F74D8" w:rsidRDefault="005F74D8" w:rsidP="001B1E9D">
      <w:pPr>
        <w:pStyle w:val="ListBullet"/>
      </w:pPr>
      <w:r w:rsidRPr="00E005C8">
        <w:t>All SAEs resolved without sequelae, except for the 1 death, 4 events where the s</w:t>
      </w:r>
      <w:r>
        <w:t xml:space="preserve">ubject recovered with sequelae </w:t>
      </w:r>
      <w:r w:rsidRPr="00E005C8">
        <w:t>and 7 events that were ongoing at the final assessment.</w:t>
      </w:r>
    </w:p>
    <w:p w:rsidR="005F74D8" w:rsidRPr="00E005C8" w:rsidRDefault="005F74D8" w:rsidP="001B1E9D">
      <w:pPr>
        <w:pStyle w:val="Heading5"/>
      </w:pPr>
      <w:r w:rsidRPr="00E005C8">
        <w:t>Other studies</w:t>
      </w:r>
    </w:p>
    <w:p w:rsidR="005F74D8" w:rsidRDefault="005F74D8" w:rsidP="005F74D8">
      <w:pPr>
        <w:autoSpaceDE w:val="0"/>
        <w:autoSpaceDN w:val="0"/>
        <w:adjustRightInd w:val="0"/>
        <w:rPr>
          <w:color w:val="000000" w:themeColor="text1"/>
        </w:rPr>
      </w:pPr>
      <w:r w:rsidRPr="00E005C8">
        <w:rPr>
          <w:color w:val="000000" w:themeColor="text1"/>
        </w:rPr>
        <w:t>Not applicable</w:t>
      </w:r>
      <w:r>
        <w:rPr>
          <w:color w:val="000000" w:themeColor="text1"/>
        </w:rPr>
        <w:t>.</w:t>
      </w:r>
    </w:p>
    <w:p w:rsidR="005F74D8" w:rsidRPr="00E005C8" w:rsidRDefault="005F74D8" w:rsidP="001B1E9D">
      <w:pPr>
        <w:pStyle w:val="Heading4"/>
      </w:pPr>
      <w:bookmarkStart w:id="328" w:name="_Toc241374325"/>
      <w:bookmarkStart w:id="329" w:name="_Ref272333477"/>
      <w:bookmarkStart w:id="330" w:name="_Toc272414667"/>
      <w:bookmarkStart w:id="331" w:name="_Toc290846305"/>
      <w:bookmarkStart w:id="332" w:name="_Toc373748439"/>
      <w:r w:rsidRPr="00E005C8">
        <w:lastRenderedPageBreak/>
        <w:t>Discontinuation due to adverse events</w:t>
      </w:r>
      <w:bookmarkEnd w:id="328"/>
      <w:bookmarkEnd w:id="329"/>
      <w:bookmarkEnd w:id="330"/>
      <w:bookmarkEnd w:id="331"/>
      <w:bookmarkEnd w:id="332"/>
    </w:p>
    <w:p w:rsidR="005F74D8" w:rsidRPr="00E005C8" w:rsidRDefault="005F74D8" w:rsidP="001B1E9D">
      <w:pPr>
        <w:pStyle w:val="Heading5"/>
      </w:pPr>
      <w:r w:rsidRPr="00E005C8">
        <w:t>Pivotal studies</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In the combined Japan studies </w:t>
      </w:r>
      <w:r w:rsidRPr="00C42250">
        <w:rPr>
          <w:rFonts w:eastAsia="TimesNewRoman" w:cs="TimesNewRoman"/>
          <w:b/>
          <w:color w:val="000000" w:themeColor="text1"/>
        </w:rPr>
        <w:t>ZLB06_002CR and ZLB07_001CR</w:t>
      </w:r>
      <w:r w:rsidRPr="00E005C8">
        <w:rPr>
          <w:rFonts w:eastAsia="TimesNewRoman" w:cs="TimesNewRoman"/>
          <w:color w:val="000000" w:themeColor="text1"/>
        </w:rPr>
        <w:t>, 1 subject discontinued</w:t>
      </w:r>
      <w:r w:rsidR="001B1E9D">
        <w:rPr>
          <w:rFonts w:eastAsia="TimesNewRoman" w:cs="TimesNewRoman"/>
          <w:color w:val="000000" w:themeColor="text1"/>
        </w:rPr>
        <w:t xml:space="preserve"> </w:t>
      </w:r>
      <w:r w:rsidRPr="00E005C8">
        <w:rPr>
          <w:rFonts w:eastAsia="TimesNewRoman" w:cs="TimesNewRoman"/>
          <w:color w:val="000000" w:themeColor="text1"/>
        </w:rPr>
        <w:t xml:space="preserve">from the study due to an AE during the follow-up study. </w:t>
      </w:r>
      <w:r w:rsidR="001B1E9D">
        <w:rPr>
          <w:rFonts w:eastAsia="TimesNewRoman" w:cs="TimesNewRoman"/>
          <w:color w:val="000000" w:themeColor="text1"/>
        </w:rPr>
        <w:t>[information redacted]</w:t>
      </w:r>
      <w:r w:rsidRPr="00E005C8">
        <w:rPr>
          <w:rFonts w:eastAsia="TimesNewRoman" w:cs="TimesNewRoman"/>
          <w:color w:val="000000" w:themeColor="text1"/>
        </w:rPr>
        <w:t xml:space="preserve"> had a possibly related SAE of encephalitis during the follow-up study. Six subjects had 14 AEs that led to discontinuation from the European pivotal </w:t>
      </w:r>
      <w:r w:rsidRPr="006352B8">
        <w:rPr>
          <w:rFonts w:eastAsia="TimesNewRoman" w:cs="TimesNewRoman"/>
          <w:b/>
          <w:color w:val="000000" w:themeColor="text1"/>
        </w:rPr>
        <w:t>ZLB06_001CR</w:t>
      </w:r>
      <w:r w:rsidRPr="00E005C8">
        <w:rPr>
          <w:rFonts w:eastAsia="TimesNewRoman" w:cs="TimesNewRoman"/>
          <w:color w:val="000000" w:themeColor="text1"/>
        </w:rPr>
        <w:t xml:space="preserve"> (myalgia, pyrexia, nausea, chest pain, increased C-reactive protein, injection site pain, injection site pruritus, pulmonary tuberculosis, </w:t>
      </w:r>
      <w:r>
        <w:rPr>
          <w:rFonts w:eastAsia="TimesNewRoman" w:cs="TimesNewRoman"/>
          <w:color w:val="000000" w:themeColor="text1"/>
        </w:rPr>
        <w:t>ISR</w:t>
      </w:r>
      <w:r w:rsidRPr="00E005C8">
        <w:rPr>
          <w:rFonts w:eastAsia="TimesNewRoman" w:cs="TimesNewRoman"/>
          <w:color w:val="000000" w:themeColor="text1"/>
        </w:rPr>
        <w:t xml:space="preserve"> [2 events], fatigue, feeling cold, </w:t>
      </w:r>
      <w:r w:rsidR="007916E3">
        <w:rPr>
          <w:rFonts w:eastAsia="TimesNewRoman" w:cs="TimesNewRoman"/>
          <w:color w:val="000000" w:themeColor="text1"/>
        </w:rPr>
        <w:t>hypersensitivity, and anaemia).</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The AEs of injection site pain, injection site pruritus, </w:t>
      </w:r>
      <w:r>
        <w:rPr>
          <w:rFonts w:eastAsia="TimesNewRoman" w:cs="TimesNewRoman"/>
          <w:color w:val="000000" w:themeColor="text1"/>
        </w:rPr>
        <w:t>ISR</w:t>
      </w:r>
      <w:r w:rsidRPr="00E005C8">
        <w:rPr>
          <w:rFonts w:eastAsia="TimesNewRoman" w:cs="TimesNewRoman"/>
          <w:color w:val="000000" w:themeColor="text1"/>
        </w:rPr>
        <w:t xml:space="preserve"> [2 events], fatigue, feeling cold, and hypersensitivity were considered at least possibly related to the study drug. Except for the AEs of pulmonary tuberculosis and an</w:t>
      </w:r>
      <w:r>
        <w:rPr>
          <w:rFonts w:eastAsia="TimesNewRoman" w:cs="TimesNewRoman"/>
          <w:color w:val="000000" w:themeColor="text1"/>
        </w:rPr>
        <w:t>a</w:t>
      </w:r>
      <w:r w:rsidRPr="00E005C8">
        <w:rPr>
          <w:rFonts w:eastAsia="TimesNewRoman" w:cs="TimesNewRoman"/>
          <w:color w:val="000000" w:themeColor="text1"/>
        </w:rPr>
        <w:t xml:space="preserve">emia that were ongoing at final assessment, all AEs leading to discontinuation resolved without sequelae within 1 to 22 days. In the European extension </w:t>
      </w:r>
      <w:r w:rsidRPr="00316377">
        <w:rPr>
          <w:rFonts w:eastAsia="TimesNewRoman" w:cs="TimesNewRoman"/>
          <w:b/>
          <w:color w:val="000000" w:themeColor="text1"/>
        </w:rPr>
        <w:t>ZLB07_002CR</w:t>
      </w:r>
      <w:r w:rsidRPr="00E005C8">
        <w:rPr>
          <w:rFonts w:eastAsia="TimesNewRoman" w:cs="TimesNewRoman"/>
          <w:color w:val="000000" w:themeColor="text1"/>
        </w:rPr>
        <w:t xml:space="preserve">, apart from the SAE resulting in death in </w:t>
      </w:r>
      <w:r w:rsidR="001B1E9D">
        <w:rPr>
          <w:rFonts w:eastAsia="TimesNewRoman" w:cs="TimesNewRoman"/>
          <w:color w:val="000000" w:themeColor="text1"/>
        </w:rPr>
        <w:t>[information redacted]</w:t>
      </w:r>
      <w:r w:rsidRPr="00E005C8">
        <w:rPr>
          <w:rFonts w:eastAsia="TimesNewRoman" w:cs="TimesNewRoman"/>
          <w:color w:val="000000" w:themeColor="text1"/>
        </w:rPr>
        <w:t>, there were no other AEs leading to study discontinuation.</w:t>
      </w:r>
      <w:r w:rsidRPr="00E005C8">
        <w:rPr>
          <w:color w:val="000000" w:themeColor="text1"/>
        </w:rPr>
        <w:t xml:space="preserve"> </w:t>
      </w:r>
      <w:r w:rsidRPr="00E005C8">
        <w:rPr>
          <w:rFonts w:eastAsia="TimesNewRoman" w:cs="TimesNewRoman"/>
          <w:color w:val="000000" w:themeColor="text1"/>
        </w:rPr>
        <w:t>Two subjects had AEs that led to discontinuation f</w:t>
      </w:r>
      <w:r>
        <w:rPr>
          <w:rFonts w:eastAsia="TimesNewRoman" w:cs="TimesNewRoman"/>
          <w:color w:val="000000" w:themeColor="text1"/>
        </w:rPr>
        <w:t xml:space="preserve">rom the US pivotal </w:t>
      </w:r>
      <w:r w:rsidRPr="006352B8">
        <w:rPr>
          <w:rFonts w:eastAsia="TimesNewRoman" w:cs="TimesNewRoman"/>
          <w:b/>
          <w:color w:val="000000" w:themeColor="text1"/>
        </w:rPr>
        <w:t>ZLB04_009CR</w:t>
      </w:r>
      <w:r w:rsidRPr="00E005C8">
        <w:rPr>
          <w:rFonts w:eastAsia="TimesNewRoman" w:cs="TimesNewRoman"/>
          <w:color w:val="000000" w:themeColor="text1"/>
        </w:rPr>
        <w:t xml:space="preserve"> (</w:t>
      </w:r>
      <w:r>
        <w:rPr>
          <w:rFonts w:eastAsia="TimesNewRoman" w:cs="TimesNewRoman"/>
          <w:color w:val="000000" w:themeColor="text1"/>
        </w:rPr>
        <w:t>ISR</w:t>
      </w:r>
      <w:r w:rsidRPr="00E005C8">
        <w:rPr>
          <w:rFonts w:eastAsia="TimesNewRoman" w:cs="TimesNewRoman"/>
          <w:color w:val="000000" w:themeColor="text1"/>
        </w:rPr>
        <w:t xml:space="preserve"> and myositis [post-treatment AE]). In addition, 1 subject with liver cirrhosis had an AE of chronic hepatitis classified as leading to discontinuation, although the reason for this </w:t>
      </w:r>
      <w:r>
        <w:rPr>
          <w:rFonts w:eastAsia="TimesNewRoman" w:cs="TimesNewRoman"/>
          <w:color w:val="000000" w:themeColor="text1"/>
        </w:rPr>
        <w:t xml:space="preserve">subject’s discontinuation was </w:t>
      </w:r>
      <w:r w:rsidRPr="00E005C8">
        <w:rPr>
          <w:rFonts w:eastAsia="TimesNewRoman" w:cs="TimesNewRoman"/>
          <w:color w:val="000000" w:themeColor="text1"/>
        </w:rPr>
        <w:t>violation of exclusion criterion “AST and ALT &gt;2.5 times the ULN” at screening. Including the post-treatment AE of myositis, 2 of the 3 AEs classified as leading to discontinuation were considered at least possibly related to the study drug (</w:t>
      </w:r>
      <w:r>
        <w:rPr>
          <w:rFonts w:eastAsia="TimesNewRoman" w:cs="TimesNewRoman"/>
          <w:color w:val="000000" w:themeColor="text1"/>
        </w:rPr>
        <w:t>ISR</w:t>
      </w:r>
      <w:r w:rsidRPr="00E005C8">
        <w:rPr>
          <w:rFonts w:eastAsia="TimesNewRoman" w:cs="TimesNewRoman"/>
          <w:color w:val="000000" w:themeColor="text1"/>
        </w:rPr>
        <w:t xml:space="preserve"> and myositis). Two of the AEs were ongoing at final assessment (myositis and chronic hepatitis). One subject was discontinued from the US extension </w:t>
      </w:r>
      <w:r w:rsidRPr="00316377">
        <w:rPr>
          <w:rFonts w:eastAsia="TimesNewRoman" w:cs="TimesNewRoman"/>
          <w:b/>
          <w:color w:val="000000" w:themeColor="text1"/>
        </w:rPr>
        <w:t>IgPro20_3001</w:t>
      </w:r>
      <w:r w:rsidRPr="00E005C8">
        <w:rPr>
          <w:rFonts w:eastAsia="TimesNewRoman" w:cs="TimesNewRoman"/>
          <w:color w:val="000000" w:themeColor="text1"/>
        </w:rPr>
        <w:t xml:space="preserve"> due to an unrelated ongoing SAE of thyroid cancer.</w:t>
      </w:r>
    </w:p>
    <w:p w:rsidR="005F74D8" w:rsidRPr="00E005C8" w:rsidRDefault="005F74D8" w:rsidP="001B1E9D">
      <w:pPr>
        <w:pStyle w:val="Heading5"/>
      </w:pPr>
      <w:r w:rsidRPr="00E005C8">
        <w:t>Other studies</w:t>
      </w:r>
    </w:p>
    <w:p w:rsidR="005F74D8" w:rsidRDefault="005F74D8" w:rsidP="005F74D8">
      <w:pPr>
        <w:autoSpaceDE w:val="0"/>
        <w:autoSpaceDN w:val="0"/>
        <w:adjustRightInd w:val="0"/>
        <w:rPr>
          <w:color w:val="000000" w:themeColor="text1"/>
        </w:rPr>
      </w:pPr>
      <w:r w:rsidRPr="00E005C8">
        <w:rPr>
          <w:color w:val="000000" w:themeColor="text1"/>
        </w:rPr>
        <w:t>There were no AEs leading to discontinuation from the Phase I study ZLB04_008CR.</w:t>
      </w:r>
    </w:p>
    <w:p w:rsidR="005F74D8" w:rsidRPr="00E005C8" w:rsidRDefault="005F74D8" w:rsidP="001B1E9D">
      <w:pPr>
        <w:pStyle w:val="Heading3"/>
      </w:pPr>
      <w:bookmarkStart w:id="333" w:name="_Toc241374321"/>
      <w:bookmarkStart w:id="334" w:name="_Ref271044780"/>
      <w:bookmarkStart w:id="335" w:name="_Ref271196640"/>
      <w:bookmarkStart w:id="336" w:name="_Ref272333085"/>
      <w:bookmarkStart w:id="337" w:name="_Toc272414668"/>
      <w:bookmarkStart w:id="338" w:name="_Toc290846306"/>
      <w:bookmarkStart w:id="339" w:name="_Toc373748440"/>
      <w:bookmarkStart w:id="340" w:name="_Toc392757321"/>
      <w:r w:rsidRPr="00E005C8">
        <w:t>Laboratory tests</w:t>
      </w:r>
      <w:bookmarkEnd w:id="333"/>
      <w:bookmarkEnd w:id="334"/>
      <w:bookmarkEnd w:id="335"/>
      <w:bookmarkEnd w:id="336"/>
      <w:bookmarkEnd w:id="337"/>
      <w:bookmarkEnd w:id="338"/>
      <w:bookmarkEnd w:id="339"/>
      <w:bookmarkEnd w:id="340"/>
    </w:p>
    <w:p w:rsidR="005F74D8" w:rsidRPr="00E005C8" w:rsidRDefault="005F74D8" w:rsidP="001B1E9D">
      <w:pPr>
        <w:pStyle w:val="Heading4"/>
      </w:pPr>
      <w:bookmarkStart w:id="341" w:name="_Toc272414669"/>
      <w:bookmarkStart w:id="342" w:name="_Toc290846307"/>
      <w:bookmarkStart w:id="343" w:name="_Toc373748441"/>
      <w:r w:rsidRPr="00E005C8">
        <w:t>Liver function</w:t>
      </w:r>
      <w:bookmarkEnd w:id="341"/>
      <w:bookmarkEnd w:id="342"/>
      <w:bookmarkEnd w:id="343"/>
    </w:p>
    <w:p w:rsidR="005F74D8" w:rsidRPr="00E005C8" w:rsidRDefault="005F74D8" w:rsidP="001B1E9D">
      <w:pPr>
        <w:pStyle w:val="Heading5"/>
      </w:pPr>
      <w:r w:rsidRPr="00E005C8">
        <w:t>Pivotal studies</w:t>
      </w:r>
    </w:p>
    <w:p w:rsidR="005F74D8" w:rsidRDefault="005F74D8" w:rsidP="005F74D8">
      <w:pPr>
        <w:rPr>
          <w:color w:val="000000" w:themeColor="text1"/>
        </w:rPr>
      </w:pPr>
      <w:r w:rsidRPr="00E005C8">
        <w:rPr>
          <w:color w:val="000000" w:themeColor="text1"/>
        </w:rPr>
        <w:t xml:space="preserve">ALT, AST, albumin and ALP measured at regular time points and </w:t>
      </w:r>
      <w:r>
        <w:rPr>
          <w:color w:val="000000" w:themeColor="text1"/>
        </w:rPr>
        <w:t xml:space="preserve">in </w:t>
      </w:r>
      <w:r w:rsidRPr="00E005C8">
        <w:rPr>
          <w:color w:val="000000" w:themeColor="text1"/>
        </w:rPr>
        <w:t xml:space="preserve">extension phases. Mean and median values and ranges for serum chemistry parameters did not show any clinically relevant changes in any of the 6 Phase III studies or the Phase 1 study </w:t>
      </w:r>
      <w:r w:rsidRPr="006352B8">
        <w:rPr>
          <w:b/>
          <w:color w:val="000000" w:themeColor="text1"/>
        </w:rPr>
        <w:t>ZLB04_008CR</w:t>
      </w:r>
      <w:r w:rsidR="007916E3">
        <w:rPr>
          <w:color w:val="000000" w:themeColor="text1"/>
        </w:rPr>
        <w:t xml:space="preserve"> in healthy volunteers.</w:t>
      </w:r>
    </w:p>
    <w:p w:rsidR="005F74D8" w:rsidRPr="00E005C8" w:rsidRDefault="005F74D8" w:rsidP="001B1E9D">
      <w:pPr>
        <w:pStyle w:val="Heading4"/>
      </w:pPr>
      <w:bookmarkStart w:id="344" w:name="_Toc272414670"/>
      <w:bookmarkStart w:id="345" w:name="_Toc290846308"/>
      <w:bookmarkStart w:id="346" w:name="_Toc373748442"/>
      <w:r w:rsidRPr="00E005C8">
        <w:t>Kidney function</w:t>
      </w:r>
      <w:bookmarkEnd w:id="344"/>
      <w:bookmarkEnd w:id="345"/>
      <w:bookmarkEnd w:id="346"/>
    </w:p>
    <w:p w:rsidR="005F74D8" w:rsidRPr="00E005C8" w:rsidRDefault="005F74D8" w:rsidP="001B1E9D">
      <w:pPr>
        <w:pStyle w:val="Heading5"/>
      </w:pPr>
      <w:r w:rsidRPr="00E005C8">
        <w:t>Pivotal studies</w:t>
      </w:r>
    </w:p>
    <w:p w:rsidR="005F74D8" w:rsidRDefault="005F74D8" w:rsidP="005F74D8">
      <w:pPr>
        <w:rPr>
          <w:color w:val="000000" w:themeColor="text1"/>
        </w:rPr>
      </w:pPr>
      <w:r w:rsidRPr="00E005C8">
        <w:rPr>
          <w:color w:val="000000" w:themeColor="text1"/>
        </w:rPr>
        <w:t>Urea, creatinine measured at regular time points and</w:t>
      </w:r>
      <w:r>
        <w:rPr>
          <w:color w:val="000000" w:themeColor="text1"/>
        </w:rPr>
        <w:t xml:space="preserve"> in </w:t>
      </w:r>
      <w:r w:rsidRPr="00E005C8">
        <w:rPr>
          <w:color w:val="000000" w:themeColor="text1"/>
        </w:rPr>
        <w:t>extension phases. Mean and median values and ranges for serum chemistry parameters did not show any clinically relevant changes in any of the 6 Phase III studies or the Phase 1 study ZLB04_008CR in healthy volunteers.</w:t>
      </w:r>
    </w:p>
    <w:p w:rsidR="005F74D8" w:rsidRPr="00E005C8" w:rsidRDefault="005F74D8" w:rsidP="001B1E9D">
      <w:pPr>
        <w:pStyle w:val="Heading4"/>
      </w:pPr>
      <w:bookmarkStart w:id="347" w:name="_Toc272414671"/>
      <w:bookmarkStart w:id="348" w:name="_Toc290846309"/>
      <w:bookmarkStart w:id="349" w:name="_Toc373748443"/>
      <w:r w:rsidRPr="00E005C8">
        <w:t>Other clinical chemistry</w:t>
      </w:r>
      <w:bookmarkEnd w:id="347"/>
      <w:bookmarkEnd w:id="348"/>
      <w:bookmarkEnd w:id="349"/>
    </w:p>
    <w:p w:rsidR="005F74D8" w:rsidRPr="00E005C8" w:rsidRDefault="005F74D8" w:rsidP="001B1E9D">
      <w:pPr>
        <w:pStyle w:val="Heading5"/>
      </w:pPr>
      <w:r w:rsidRPr="00E005C8">
        <w:t>Pivotal studies</w:t>
      </w:r>
    </w:p>
    <w:p w:rsidR="005F74D8" w:rsidRDefault="005F74D8" w:rsidP="005F74D8">
      <w:pPr>
        <w:rPr>
          <w:color w:val="000000" w:themeColor="text1"/>
        </w:rPr>
      </w:pPr>
      <w:r w:rsidRPr="00316377">
        <w:rPr>
          <w:color w:val="000000" w:themeColor="text1"/>
        </w:rPr>
        <w:t>Amylase measured in the US and EU pivotal studies. No changes of concern.</w:t>
      </w:r>
      <w:r>
        <w:rPr>
          <w:color w:val="000000" w:themeColor="text1"/>
        </w:rPr>
        <w:t xml:space="preserve"> Creatine Phosphokinase mild</w:t>
      </w:r>
      <w:r w:rsidR="001B1E9D">
        <w:rPr>
          <w:color w:val="000000" w:themeColor="text1"/>
        </w:rPr>
        <w:t>l</w:t>
      </w:r>
      <w:r>
        <w:rPr>
          <w:color w:val="000000" w:themeColor="text1"/>
        </w:rPr>
        <w:t>y elevated in the US pivota</w:t>
      </w:r>
      <w:r w:rsidR="007916E3">
        <w:rPr>
          <w:color w:val="000000" w:themeColor="text1"/>
        </w:rPr>
        <w:t>l study. No changes of concern.</w:t>
      </w:r>
    </w:p>
    <w:p w:rsidR="005F74D8" w:rsidRPr="00E005C8" w:rsidRDefault="005F74D8" w:rsidP="001B1E9D">
      <w:pPr>
        <w:pStyle w:val="Heading4"/>
      </w:pPr>
      <w:bookmarkStart w:id="350" w:name="_Toc272414672"/>
      <w:bookmarkStart w:id="351" w:name="_Toc290846310"/>
      <w:bookmarkStart w:id="352" w:name="_Toc373748444"/>
      <w:r w:rsidRPr="00E005C8">
        <w:lastRenderedPageBreak/>
        <w:t>Haematology</w:t>
      </w:r>
      <w:bookmarkEnd w:id="350"/>
      <w:bookmarkEnd w:id="351"/>
      <w:bookmarkEnd w:id="352"/>
    </w:p>
    <w:p w:rsidR="005F74D8" w:rsidRPr="00E005C8" w:rsidRDefault="005F74D8" w:rsidP="001B1E9D">
      <w:pPr>
        <w:pStyle w:val="Heading5"/>
      </w:pPr>
      <w:r w:rsidRPr="00E005C8">
        <w:t>Pivotal studies</w:t>
      </w:r>
    </w:p>
    <w:p w:rsidR="005F74D8" w:rsidRDefault="005F74D8" w:rsidP="005F74D8">
      <w:pPr>
        <w:rPr>
          <w:color w:val="000000" w:themeColor="text1"/>
        </w:rPr>
      </w:pPr>
      <w:r w:rsidRPr="00E005C8">
        <w:rPr>
          <w:color w:val="000000" w:themeColor="text1"/>
        </w:rPr>
        <w:t>Full blood count and differential measured at regular time points and i</w:t>
      </w:r>
      <w:r>
        <w:rPr>
          <w:color w:val="000000" w:themeColor="text1"/>
        </w:rPr>
        <w:t xml:space="preserve">n </w:t>
      </w:r>
      <w:r w:rsidRPr="00E005C8">
        <w:rPr>
          <w:color w:val="000000" w:themeColor="text1"/>
        </w:rPr>
        <w:t>extension phases. Mean and median values and ranges for haematology parameters did not show any clinically relevant changes over time in any of the 6 Phase III studies.</w:t>
      </w:r>
    </w:p>
    <w:p w:rsidR="005F74D8" w:rsidRPr="00E005C8" w:rsidRDefault="005F74D8" w:rsidP="001B1E9D">
      <w:pPr>
        <w:pStyle w:val="Heading4"/>
      </w:pPr>
      <w:r w:rsidRPr="00E005C8">
        <w:t>Direct Coombs Test, Blood type including Rhesus status; haemolysis</w:t>
      </w:r>
    </w:p>
    <w:p w:rsidR="005F74D8" w:rsidRPr="00E005C8" w:rsidRDefault="005F74D8" w:rsidP="001B1E9D">
      <w:pPr>
        <w:pStyle w:val="Heading5"/>
      </w:pPr>
      <w:r w:rsidRPr="00E005C8">
        <w:t>Pivotal studies</w:t>
      </w:r>
    </w:p>
    <w:p w:rsidR="001B1E9D"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A potential concern with IgG products is that they can contain blood group antibodies that</w:t>
      </w:r>
      <w:r>
        <w:rPr>
          <w:rFonts w:eastAsia="TimesNewRoman" w:cs="TimesNewRoman"/>
          <w:color w:val="000000" w:themeColor="text1"/>
        </w:rPr>
        <w:t xml:space="preserve"> </w:t>
      </w:r>
      <w:r w:rsidRPr="00E005C8">
        <w:rPr>
          <w:rFonts w:eastAsia="TimesNewRoman" w:cs="TimesNewRoman"/>
          <w:color w:val="000000" w:themeColor="text1"/>
        </w:rPr>
        <w:t>may act as haemolysins and induce in vivo coating of red blood cells with IgG, which causes a</w:t>
      </w:r>
      <w:r>
        <w:rPr>
          <w:rFonts w:eastAsia="TimesNewRoman" w:cs="TimesNewRoman"/>
          <w:color w:val="000000" w:themeColor="text1"/>
        </w:rPr>
        <w:t xml:space="preserve"> </w:t>
      </w:r>
      <w:r w:rsidRPr="00E005C8">
        <w:rPr>
          <w:rFonts w:eastAsia="TimesNewRoman" w:cs="TimesNewRoman"/>
          <w:color w:val="000000" w:themeColor="text1"/>
        </w:rPr>
        <w:t>positive direct antiglobulin reaction and, rarely, haemolysis (</w:t>
      </w:r>
      <w:r w:rsidRPr="005F74D8">
        <w:rPr>
          <w:rFonts w:eastAsia="TimesNewRoman" w:cs="TimesNewRoman"/>
          <w:color w:val="000000" w:themeColor="text1"/>
          <w:highlight w:val="lightGray"/>
        </w:rPr>
        <w:t>Copelan; Daw; Thomas; Wilson</w:t>
      </w:r>
      <w:r w:rsidR="007916E3">
        <w:rPr>
          <w:rFonts w:eastAsia="TimesNewRoman" w:cs="TimesNewRoman"/>
          <w:color w:val="000000" w:themeColor="text1"/>
        </w:rPr>
        <w:t>).</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However, haemolysis is not known to be associated with the administration of SCIG products in general. </w:t>
      </w:r>
      <w:r w:rsidRPr="00E005C8">
        <w:rPr>
          <w:color w:val="000000" w:themeColor="text1"/>
        </w:rPr>
        <w:t xml:space="preserve">Direct Coombs test and markers of haemolysis (LDH and reticulocytes; haptoglobin only measured in Extension study </w:t>
      </w:r>
      <w:r w:rsidRPr="00840863">
        <w:rPr>
          <w:b/>
          <w:color w:val="000000" w:themeColor="text1"/>
        </w:rPr>
        <w:t>ZLB07_002CR</w:t>
      </w:r>
      <w:r w:rsidRPr="00E005C8">
        <w:rPr>
          <w:color w:val="000000" w:themeColor="text1"/>
        </w:rPr>
        <w:t>) measured at regular time points and their extension phases</w:t>
      </w:r>
      <w:r w:rsidRPr="00E005C8">
        <w:rPr>
          <w:rFonts w:eastAsia="TimesNewRoman" w:cs="TimesNewRoman"/>
          <w:color w:val="000000" w:themeColor="text1"/>
        </w:rPr>
        <w:t xml:space="preserve">. No thromboembolic events </w:t>
      </w:r>
      <w:r>
        <w:rPr>
          <w:rFonts w:eastAsia="TimesNewRoman" w:cs="TimesNewRoman"/>
          <w:color w:val="000000" w:themeColor="text1"/>
        </w:rPr>
        <w:t xml:space="preserve">(TEE) </w:t>
      </w:r>
      <w:r w:rsidRPr="00E005C8">
        <w:rPr>
          <w:rFonts w:eastAsia="TimesNewRoman" w:cs="TimesNewRoman"/>
          <w:color w:val="000000" w:themeColor="text1"/>
        </w:rPr>
        <w:t xml:space="preserve">or cases of haemolysis were reported in the combined Japan studies. </w:t>
      </w:r>
      <w:r>
        <w:rPr>
          <w:rFonts w:eastAsia="TimesNewRoman" w:cs="TimesNewRoman"/>
          <w:color w:val="000000" w:themeColor="text1"/>
        </w:rPr>
        <w:t xml:space="preserve">No </w:t>
      </w:r>
      <w:r w:rsidRPr="00E005C8">
        <w:rPr>
          <w:rFonts w:eastAsia="TimesNewRoman" w:cs="TimesNewRoman"/>
          <w:color w:val="000000" w:themeColor="text1"/>
        </w:rPr>
        <w:t>AEs of haemolysis in the European pivotal, the US pivotal or the US extension studies. In the European extension study, there was 1 possible event of haemolysis in a subject who had a positive direc</w:t>
      </w:r>
      <w:r>
        <w:rPr>
          <w:rFonts w:eastAsia="TimesNewRoman" w:cs="TimesNewRoman"/>
          <w:color w:val="000000" w:themeColor="text1"/>
        </w:rPr>
        <w:t xml:space="preserve">t Coombs’ test at screening, </w:t>
      </w:r>
      <w:r w:rsidRPr="00E005C8">
        <w:rPr>
          <w:rFonts w:eastAsia="TimesNewRoman" w:cs="TimesNewRoman"/>
          <w:color w:val="000000" w:themeColor="text1"/>
        </w:rPr>
        <w:t xml:space="preserve">throughout the study and </w:t>
      </w:r>
      <w:r>
        <w:rPr>
          <w:rFonts w:eastAsia="TimesNewRoman" w:cs="TimesNewRoman"/>
          <w:color w:val="000000" w:themeColor="text1"/>
        </w:rPr>
        <w:t>with a</w:t>
      </w:r>
      <w:r w:rsidRPr="00E005C8">
        <w:rPr>
          <w:rFonts w:eastAsia="TimesNewRoman" w:cs="TimesNewRoman"/>
          <w:color w:val="000000" w:themeColor="text1"/>
        </w:rPr>
        <w:t xml:space="preserve"> history of haemolytic anaemia reported as ongoing at study entry. Haemoglobin values remained stable during the study (145 to 157 g/</w:t>
      </w:r>
      <w:r>
        <w:rPr>
          <w:rFonts w:eastAsia="TimesNewRoman" w:cs="TimesNewRoman"/>
          <w:color w:val="000000" w:themeColor="text1"/>
        </w:rPr>
        <w:t xml:space="preserve">L), except for Visit 11, where Hb </w:t>
      </w:r>
      <w:r w:rsidRPr="00E005C8">
        <w:rPr>
          <w:rFonts w:eastAsia="TimesNewRoman" w:cs="TimesNewRoman"/>
          <w:color w:val="000000" w:themeColor="text1"/>
        </w:rPr>
        <w:t xml:space="preserve">dropped to 137 g/L, </w:t>
      </w:r>
      <w:r>
        <w:rPr>
          <w:rFonts w:eastAsia="TimesNewRoman" w:cs="TimesNewRoman"/>
          <w:color w:val="000000" w:themeColor="text1"/>
        </w:rPr>
        <w:t xml:space="preserve">haptoglobin </w:t>
      </w:r>
      <w:r w:rsidRPr="00E005C8">
        <w:rPr>
          <w:rFonts w:eastAsia="TimesNewRoman" w:cs="TimesNewRoman"/>
          <w:color w:val="000000" w:themeColor="text1"/>
        </w:rPr>
        <w:t xml:space="preserve">decreased to 0.25 </w:t>
      </w:r>
      <w:r>
        <w:rPr>
          <w:rFonts w:eastAsia="TimesNewRoman" w:cs="TimesNewRoman"/>
          <w:color w:val="000000" w:themeColor="text1"/>
        </w:rPr>
        <w:t xml:space="preserve">g/L, and LDH </w:t>
      </w:r>
      <w:r w:rsidRPr="00E005C8">
        <w:rPr>
          <w:rFonts w:eastAsia="TimesNewRoman" w:cs="TimesNewRoman"/>
          <w:color w:val="000000" w:themeColor="text1"/>
        </w:rPr>
        <w:t>increased to 487 U/L. In addi</w:t>
      </w:r>
      <w:r>
        <w:rPr>
          <w:rFonts w:eastAsia="TimesNewRoman" w:cs="TimesNewRoman"/>
          <w:color w:val="000000" w:themeColor="text1"/>
        </w:rPr>
        <w:t xml:space="preserve">tion, 3 subjects had a positive </w:t>
      </w:r>
      <w:r w:rsidRPr="00E005C8">
        <w:rPr>
          <w:rFonts w:eastAsia="TimesNewRoman" w:cs="TimesNewRoman"/>
          <w:color w:val="000000" w:themeColor="text1"/>
        </w:rPr>
        <w:t>Coombs’ test at selected visits, but were negative at completion visit.</w:t>
      </w:r>
      <w:r>
        <w:rPr>
          <w:rFonts w:eastAsia="TimesNewRoman" w:cs="TimesNewRoman"/>
          <w:color w:val="000000" w:themeColor="text1"/>
        </w:rPr>
        <w:t xml:space="preserve"> </w:t>
      </w:r>
      <w:r w:rsidRPr="00E005C8">
        <w:rPr>
          <w:rFonts w:eastAsia="TimesNewRoman" w:cs="TimesNewRoman"/>
          <w:color w:val="000000" w:themeColor="text1"/>
        </w:rPr>
        <w:t>Three subjects had positive Direct Coombs’ test results at baseline that were assessed as not</w:t>
      </w:r>
      <w:r>
        <w:rPr>
          <w:rFonts w:eastAsia="TimesNewRoman" w:cs="TimesNewRoman"/>
          <w:color w:val="000000" w:themeColor="text1"/>
        </w:rPr>
        <w:t xml:space="preserve"> </w:t>
      </w:r>
      <w:r w:rsidRPr="00E005C8">
        <w:rPr>
          <w:rFonts w:eastAsia="TimesNewRoman" w:cs="TimesNewRoman"/>
          <w:color w:val="000000" w:themeColor="text1"/>
        </w:rPr>
        <w:t>clinically significant. Of the 45 subjects who had negative Direct Coombs’ test results at</w:t>
      </w:r>
      <w:r>
        <w:rPr>
          <w:rFonts w:eastAsia="TimesNewRoman" w:cs="TimesNewRoman"/>
          <w:color w:val="000000" w:themeColor="text1"/>
        </w:rPr>
        <w:t xml:space="preserve"> </w:t>
      </w:r>
      <w:r w:rsidRPr="00E005C8">
        <w:rPr>
          <w:rFonts w:eastAsia="TimesNewRoman" w:cs="TimesNewRoman"/>
          <w:color w:val="000000" w:themeColor="text1"/>
        </w:rPr>
        <w:t xml:space="preserve">baseline in the US pivotal </w:t>
      </w:r>
      <w:r w:rsidRPr="00840863">
        <w:rPr>
          <w:rFonts w:eastAsia="TimesNewRoman" w:cs="TimesNewRoman"/>
          <w:b/>
          <w:color w:val="000000" w:themeColor="text1"/>
        </w:rPr>
        <w:t>ZLB04_009CR</w:t>
      </w:r>
      <w:r w:rsidRPr="00E005C8">
        <w:rPr>
          <w:rFonts w:eastAsia="TimesNewRoman" w:cs="TimesNewRoman"/>
          <w:color w:val="000000" w:themeColor="text1"/>
        </w:rPr>
        <w:t>, 7 subjects converted to positive at some</w:t>
      </w:r>
      <w:r>
        <w:rPr>
          <w:rFonts w:eastAsia="TimesNewRoman" w:cs="TimesNewRoman"/>
          <w:color w:val="000000" w:themeColor="text1"/>
        </w:rPr>
        <w:t xml:space="preserve"> </w:t>
      </w:r>
      <w:r w:rsidRPr="00E005C8">
        <w:rPr>
          <w:rFonts w:eastAsia="TimesNewRoman" w:cs="TimesNewRoman"/>
          <w:color w:val="000000" w:themeColor="text1"/>
        </w:rPr>
        <w:t>time during the study. During the en</w:t>
      </w:r>
      <w:r>
        <w:rPr>
          <w:rFonts w:eastAsia="TimesNewRoman" w:cs="TimesNewRoman"/>
          <w:color w:val="000000" w:themeColor="text1"/>
        </w:rPr>
        <w:t xml:space="preserve">d of study haemolysis testing, </w:t>
      </w:r>
      <w:r w:rsidRPr="00E005C8">
        <w:rPr>
          <w:rFonts w:eastAsia="TimesNewRoman" w:cs="TimesNewRoman"/>
          <w:color w:val="000000" w:themeColor="text1"/>
        </w:rPr>
        <w:t>Direct</w:t>
      </w:r>
      <w:r>
        <w:rPr>
          <w:rFonts w:eastAsia="TimesNewRoman" w:cs="TimesNewRoman"/>
          <w:color w:val="000000" w:themeColor="text1"/>
        </w:rPr>
        <w:t xml:space="preserve"> </w:t>
      </w:r>
      <w:r w:rsidRPr="00E005C8">
        <w:rPr>
          <w:rFonts w:eastAsia="TimesNewRoman" w:cs="TimesNewRoman"/>
          <w:color w:val="000000" w:themeColor="text1"/>
        </w:rPr>
        <w:t>Coombs’ tests were positive in 2 subjects who had negative Direct Coombs’ tests at baseline.</w:t>
      </w:r>
      <w:r>
        <w:rPr>
          <w:rFonts w:eastAsia="TimesNewRoman" w:cs="TimesNewRoman"/>
          <w:color w:val="000000" w:themeColor="text1"/>
        </w:rPr>
        <w:t xml:space="preserve"> </w:t>
      </w:r>
      <w:r w:rsidRPr="00E005C8">
        <w:rPr>
          <w:rFonts w:eastAsia="TimesNewRoman" w:cs="TimesNewRoman"/>
          <w:color w:val="000000" w:themeColor="text1"/>
        </w:rPr>
        <w:t xml:space="preserve">However, they were </w:t>
      </w:r>
      <w:r>
        <w:rPr>
          <w:rFonts w:eastAsia="TimesNewRoman" w:cs="TimesNewRoman"/>
          <w:color w:val="000000" w:themeColor="text1"/>
        </w:rPr>
        <w:t xml:space="preserve">not accompanied by a decrease </w:t>
      </w:r>
      <w:r w:rsidR="001B1E9D">
        <w:rPr>
          <w:rFonts w:eastAsia="TimesNewRoman" w:cs="TimesNewRoman"/>
          <w:color w:val="000000" w:themeColor="text1"/>
        </w:rPr>
        <w:t>≥</w:t>
      </w:r>
      <w:r w:rsidRPr="00E005C8">
        <w:rPr>
          <w:rFonts w:eastAsia="TimesNewRoman" w:cs="TimesNewRoman"/>
          <w:color w:val="000000" w:themeColor="text1"/>
        </w:rPr>
        <w:t>2 g/dL in</w:t>
      </w:r>
      <w:r>
        <w:rPr>
          <w:rFonts w:eastAsia="TimesNewRoman" w:cs="TimesNewRoman"/>
          <w:color w:val="000000" w:themeColor="text1"/>
        </w:rPr>
        <w:t xml:space="preserve"> Hb</w:t>
      </w:r>
      <w:r w:rsidRPr="00E005C8">
        <w:rPr>
          <w:rFonts w:eastAsia="TimesNewRoman" w:cs="TimesNewRoman"/>
          <w:color w:val="000000" w:themeColor="text1"/>
        </w:rPr>
        <w:t>.</w:t>
      </w:r>
      <w:r w:rsidRPr="00E005C8">
        <w:rPr>
          <w:color w:val="000000" w:themeColor="text1"/>
        </w:rPr>
        <w:t xml:space="preserve"> </w:t>
      </w:r>
      <w:r w:rsidRPr="00E005C8">
        <w:rPr>
          <w:rFonts w:eastAsia="TimesNewRoman" w:cs="TimesNewRoman"/>
          <w:color w:val="000000" w:themeColor="text1"/>
        </w:rPr>
        <w:t xml:space="preserve">In addition, 5 subjects in the US pivotal </w:t>
      </w:r>
      <w:r w:rsidRPr="00840863">
        <w:rPr>
          <w:rFonts w:eastAsia="TimesNewRoman" w:cs="TimesNewRoman"/>
          <w:b/>
          <w:color w:val="000000" w:themeColor="text1"/>
        </w:rPr>
        <w:t>ZLB04_009CR</w:t>
      </w:r>
      <w:r w:rsidRPr="00E005C8">
        <w:rPr>
          <w:rFonts w:eastAsia="TimesNewRoman" w:cs="TimesNewRoman"/>
          <w:color w:val="000000" w:themeColor="text1"/>
        </w:rPr>
        <w:t xml:space="preserve"> converted to positive Direct Coombs’ tests at other time points during the study. In all cases the changes were assessed by the investigator as not clinically significant. None of these 5 subje</w:t>
      </w:r>
      <w:r>
        <w:rPr>
          <w:rFonts w:eastAsia="TimesNewRoman" w:cs="TimesNewRoman"/>
          <w:color w:val="000000" w:themeColor="text1"/>
        </w:rPr>
        <w:t xml:space="preserve">cts had decreases in Hb </w:t>
      </w:r>
      <w:r w:rsidR="001B1E9D">
        <w:rPr>
          <w:rFonts w:eastAsia="TimesNewRoman" w:cs="TimesNewRoman"/>
          <w:color w:val="000000" w:themeColor="text1"/>
        </w:rPr>
        <w:t>≥</w:t>
      </w:r>
      <w:r>
        <w:rPr>
          <w:rFonts w:eastAsia="TimesNewRoman" w:cs="TimesNewRoman"/>
          <w:color w:val="000000" w:themeColor="text1"/>
        </w:rPr>
        <w:t>2 g/dL</w:t>
      </w:r>
      <w:r w:rsidRPr="00E005C8">
        <w:rPr>
          <w:rFonts w:eastAsia="TimesNewRoman" w:cs="TimesNewRoman"/>
          <w:color w:val="000000" w:themeColor="text1"/>
        </w:rPr>
        <w:t xml:space="preserve">. In the US extension </w:t>
      </w:r>
      <w:r w:rsidRPr="00840863">
        <w:rPr>
          <w:rFonts w:eastAsia="TimesNewRoman" w:cs="TimesNewRoman"/>
          <w:b/>
          <w:color w:val="000000" w:themeColor="text1"/>
        </w:rPr>
        <w:t>IgPro20_3001</w:t>
      </w:r>
      <w:r>
        <w:rPr>
          <w:rFonts w:eastAsia="TimesNewRoman" w:cs="TimesNewRoman"/>
          <w:color w:val="000000" w:themeColor="text1"/>
        </w:rPr>
        <w:t>, n</w:t>
      </w:r>
      <w:r w:rsidRPr="00E005C8">
        <w:rPr>
          <w:rFonts w:eastAsia="TimesNewRoman" w:cs="TimesNewRoman"/>
          <w:color w:val="000000" w:themeColor="text1"/>
        </w:rPr>
        <w:t xml:space="preserve">o </w:t>
      </w:r>
      <w:r>
        <w:rPr>
          <w:rFonts w:eastAsia="TimesNewRoman" w:cs="TimesNewRoman"/>
          <w:color w:val="000000" w:themeColor="text1"/>
        </w:rPr>
        <w:t xml:space="preserve">subjects met the </w:t>
      </w:r>
      <w:r w:rsidRPr="00E005C8">
        <w:rPr>
          <w:rFonts w:eastAsia="TimesNewRoman" w:cs="TimesNewRoman"/>
          <w:color w:val="000000" w:themeColor="text1"/>
        </w:rPr>
        <w:t>criteria</w:t>
      </w:r>
      <w:r>
        <w:rPr>
          <w:rFonts w:eastAsia="TimesNewRoman" w:cs="TimesNewRoman"/>
          <w:color w:val="000000" w:themeColor="text1"/>
        </w:rPr>
        <w:t xml:space="preserve"> for Coomb’s positive haemolysis </w:t>
      </w:r>
      <w:r w:rsidRPr="00E005C8">
        <w:rPr>
          <w:rFonts w:eastAsia="TimesNewRoman" w:cs="TimesNewRoman"/>
          <w:color w:val="000000" w:themeColor="text1"/>
        </w:rPr>
        <w:t>. Two subjects converted from a negative Direct Coombs’ test at baseline to a positive Direct Coombs’ test, and 3 subjects with a missing Direct</w:t>
      </w:r>
      <w:r>
        <w:rPr>
          <w:rFonts w:eastAsia="TimesNewRoman" w:cs="TimesNewRoman"/>
          <w:color w:val="000000" w:themeColor="text1"/>
        </w:rPr>
        <w:t xml:space="preserve"> Coombs’ test at baseline had </w:t>
      </w:r>
      <w:r w:rsidRPr="00E005C8">
        <w:rPr>
          <w:rFonts w:eastAsia="TimesNewRoman" w:cs="TimesNewRoman"/>
          <w:color w:val="000000" w:themeColor="text1"/>
        </w:rPr>
        <w:t>positive Direct Coombs’ tes</w:t>
      </w:r>
      <w:r>
        <w:rPr>
          <w:rFonts w:eastAsia="TimesNewRoman" w:cs="TimesNewRoman"/>
          <w:color w:val="000000" w:themeColor="text1"/>
        </w:rPr>
        <w:t xml:space="preserve">t at some time during the study. </w:t>
      </w:r>
      <w:r w:rsidRPr="00E005C8">
        <w:rPr>
          <w:rFonts w:eastAsia="TimesNewRoman" w:cs="TimesNewRoman"/>
          <w:color w:val="000000" w:themeColor="text1"/>
        </w:rPr>
        <w:t>In addition, 1 subject had a positive Direct Coombs’ test at baseline and</w:t>
      </w:r>
      <w:r w:rsidRPr="00E005C8">
        <w:rPr>
          <w:color w:val="000000" w:themeColor="text1"/>
        </w:rPr>
        <w:t xml:space="preserve"> </w:t>
      </w:r>
      <w:r w:rsidRPr="00E005C8">
        <w:rPr>
          <w:rFonts w:eastAsia="TimesNewRoman" w:cs="TimesNewRoman"/>
          <w:color w:val="000000" w:themeColor="text1"/>
        </w:rPr>
        <w:t xml:space="preserve">after Infusion 1, and negative Direct Coombs’ test </w:t>
      </w:r>
      <w:r>
        <w:rPr>
          <w:rFonts w:eastAsia="TimesNewRoman" w:cs="TimesNewRoman"/>
          <w:color w:val="000000" w:themeColor="text1"/>
        </w:rPr>
        <w:t xml:space="preserve">subsequently; </w:t>
      </w:r>
      <w:r w:rsidRPr="00E005C8">
        <w:rPr>
          <w:rFonts w:eastAsia="TimesNewRoman" w:cs="TimesNewRoman"/>
          <w:color w:val="000000" w:themeColor="text1"/>
        </w:rPr>
        <w:t>1 subject had a positive direct antiglobulin test at baseline and also at subsequent</w:t>
      </w:r>
      <w:r>
        <w:rPr>
          <w:rFonts w:eastAsia="TimesNewRoman" w:cs="TimesNewRoman"/>
          <w:color w:val="000000" w:themeColor="text1"/>
        </w:rPr>
        <w:t xml:space="preserve"> </w:t>
      </w:r>
      <w:r w:rsidRPr="00E005C8">
        <w:rPr>
          <w:rFonts w:eastAsia="TimesNewRoman" w:cs="TimesNewRoman"/>
          <w:color w:val="000000" w:themeColor="text1"/>
        </w:rPr>
        <w:t>measurements. None of the positive Direct Coombs’ tests were assessed by the investigator as</w:t>
      </w:r>
      <w:r>
        <w:rPr>
          <w:rFonts w:eastAsia="TimesNewRoman" w:cs="TimesNewRoman"/>
          <w:color w:val="000000" w:themeColor="text1"/>
        </w:rPr>
        <w:t xml:space="preserve"> </w:t>
      </w:r>
      <w:r w:rsidRPr="00E005C8">
        <w:rPr>
          <w:rFonts w:eastAsia="TimesNewRoman" w:cs="TimesNewRoman"/>
          <w:color w:val="000000" w:themeColor="text1"/>
        </w:rPr>
        <w:t>clinically significant. None of the subjects with positive Direct Coombs’ tests had a decrease</w:t>
      </w:r>
      <w:r>
        <w:rPr>
          <w:rFonts w:eastAsia="TimesNewRoman" w:cs="TimesNewRoman"/>
          <w:color w:val="000000" w:themeColor="text1"/>
        </w:rPr>
        <w:t xml:space="preserve"> </w:t>
      </w:r>
      <w:r w:rsidRPr="00E005C8">
        <w:rPr>
          <w:rFonts w:eastAsia="TimesNewRoman" w:cs="TimesNewRoman"/>
          <w:color w:val="000000" w:themeColor="text1"/>
        </w:rPr>
        <w:t xml:space="preserve">in </w:t>
      </w:r>
      <w:r>
        <w:rPr>
          <w:rFonts w:eastAsia="TimesNewRoman" w:cs="TimesNewRoman"/>
          <w:color w:val="000000" w:themeColor="text1"/>
        </w:rPr>
        <w:t>Hb of ≥ 2 g/dL.</w:t>
      </w:r>
    </w:p>
    <w:p w:rsidR="005F74D8" w:rsidRPr="00E005C8" w:rsidRDefault="005F74D8" w:rsidP="001B1E9D">
      <w:pPr>
        <w:pStyle w:val="Heading4"/>
      </w:pPr>
      <w:bookmarkStart w:id="353" w:name="_Toc373748445"/>
      <w:r w:rsidRPr="00E005C8">
        <w:t>L-Proline-related AE</w:t>
      </w:r>
      <w:bookmarkEnd w:id="353"/>
    </w:p>
    <w:p w:rsidR="005F74D8" w:rsidRPr="00E005C8" w:rsidRDefault="005F74D8" w:rsidP="001B1E9D">
      <w:pPr>
        <w:pStyle w:val="Heading5"/>
      </w:pPr>
      <w:r w:rsidRPr="00E005C8">
        <w:t>Pivotal studies</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IgPro20 contains the excipient L-proline (250 mmol/L) that proved to stabilize IgPro20 at</w:t>
      </w:r>
      <w:r w:rsidR="001B1E9D">
        <w:rPr>
          <w:rFonts w:eastAsia="TimesNewRoman" w:cs="TimesNewRoman"/>
          <w:color w:val="000000" w:themeColor="text1"/>
        </w:rPr>
        <w:t xml:space="preserve"> </w:t>
      </w:r>
      <w:r w:rsidRPr="00E005C8">
        <w:rPr>
          <w:rFonts w:eastAsia="TimesNewRoman" w:cs="TimesNewRoman"/>
          <w:color w:val="000000" w:themeColor="text1"/>
        </w:rPr>
        <w:t>room temperature throughout the shelf-life. It has a long history of safe administration as a medicinal product to humans, including elderly patients at doses higher than those administered with IgPro20. During product development, the safety of L-proline administered by the SC and IV route was specifically investigated in nonclinical and clinical studies, which consistently revealed no safety signals of concern. IgPro20 should be contraindicated in patients with the rare condition of hyperprolin</w:t>
      </w:r>
      <w:r>
        <w:rPr>
          <w:rFonts w:eastAsia="TimesNewRoman" w:cs="TimesNewRoman"/>
          <w:color w:val="000000" w:themeColor="text1"/>
        </w:rPr>
        <w:t>a</w:t>
      </w:r>
      <w:r w:rsidRPr="00E005C8">
        <w:rPr>
          <w:rFonts w:eastAsia="TimesNewRoman" w:cs="TimesNewRoman"/>
          <w:color w:val="000000" w:themeColor="text1"/>
        </w:rPr>
        <w:t>emia.</w:t>
      </w:r>
      <w:r>
        <w:rPr>
          <w:rFonts w:eastAsia="TimesNewRoman" w:cs="TimesNewRoman"/>
          <w:color w:val="000000" w:themeColor="text1"/>
        </w:rPr>
        <w:t xml:space="preserve"> </w:t>
      </w:r>
      <w:r w:rsidRPr="00E005C8">
        <w:rPr>
          <w:rFonts w:eastAsia="TimesNewRoman" w:cs="TimesNewRoman"/>
          <w:color w:val="000000" w:themeColor="text1"/>
        </w:rPr>
        <w:t>There were no safety concerns associated with the administration of L-proline in the clinical</w:t>
      </w:r>
      <w:r>
        <w:rPr>
          <w:rFonts w:eastAsia="TimesNewRoman" w:cs="TimesNewRoman"/>
          <w:color w:val="000000" w:themeColor="text1"/>
        </w:rPr>
        <w:t xml:space="preserve"> </w:t>
      </w:r>
      <w:r w:rsidRPr="00E005C8">
        <w:rPr>
          <w:rFonts w:eastAsia="TimesNewRoman" w:cs="TimesNewRoman"/>
          <w:color w:val="000000" w:themeColor="text1"/>
        </w:rPr>
        <w:t xml:space="preserve">studies with IgPro20. L-proline </w:t>
      </w:r>
      <w:r w:rsidR="003944A8">
        <w:rPr>
          <w:rFonts w:eastAsia="TimesNewRoman" w:cs="TimesNewRoman"/>
          <w:color w:val="000000" w:themeColor="text1"/>
        </w:rPr>
        <w:t>concentrations</w:t>
      </w:r>
      <w:r w:rsidRPr="00E005C8">
        <w:rPr>
          <w:rFonts w:eastAsia="TimesNewRoman" w:cs="TimesNewRoman"/>
          <w:color w:val="000000" w:themeColor="text1"/>
        </w:rPr>
        <w:t xml:space="preserve"> were not measured in the Japan Phase III studies, but were measured in the European and US Phase </w:t>
      </w:r>
      <w:r w:rsidRPr="00E005C8">
        <w:rPr>
          <w:rFonts w:eastAsia="TimesNewRoman" w:cs="TimesNewRoman"/>
          <w:color w:val="000000" w:themeColor="text1"/>
        </w:rPr>
        <w:lastRenderedPageBreak/>
        <w:t xml:space="preserve">III pivotal studies. In both studies, pre-infusion serum </w:t>
      </w:r>
      <w:r w:rsidR="003944A8">
        <w:rPr>
          <w:rFonts w:eastAsia="TimesNewRoman" w:cs="TimesNewRoman"/>
          <w:color w:val="000000" w:themeColor="text1"/>
        </w:rPr>
        <w:t>concentrations</w:t>
      </w:r>
      <w:r w:rsidRPr="00E005C8">
        <w:rPr>
          <w:rFonts w:eastAsia="TimesNewRoman" w:cs="TimesNewRoman"/>
          <w:color w:val="000000" w:themeColor="text1"/>
        </w:rPr>
        <w:t xml:space="preserve"> of L-proline were within the </w:t>
      </w:r>
      <w:r>
        <w:rPr>
          <w:rFonts w:eastAsia="TimesNewRoman" w:cs="TimesNewRoman"/>
          <w:color w:val="000000" w:themeColor="text1"/>
        </w:rPr>
        <w:t>NR</w:t>
      </w:r>
      <w:r w:rsidRPr="00E005C8">
        <w:rPr>
          <w:rFonts w:eastAsia="TimesNewRoman" w:cs="TimesNewRoman"/>
          <w:color w:val="000000" w:themeColor="text1"/>
        </w:rPr>
        <w:t xml:space="preserve">(120 to 450 </w:t>
      </w:r>
      <w:r w:rsidR="001B1E9D">
        <w:rPr>
          <w:rFonts w:eastAsia="TimesNewRoman" w:cs="TimesNewRoman"/>
          <w:color w:val="000000" w:themeColor="text1"/>
        </w:rPr>
        <w:t>µ</w:t>
      </w:r>
      <w:r w:rsidRPr="00E005C8">
        <w:rPr>
          <w:rFonts w:eastAsia="TimesNewRoman" w:cs="TimesNewRoman"/>
          <w:color w:val="000000" w:themeColor="text1"/>
        </w:rPr>
        <w:t>mol/L) in almost all subjects tested. Measured levels generally concurred with the expected physiological range (</w:t>
      </w:r>
      <w:r w:rsidRPr="005F74D8">
        <w:rPr>
          <w:rFonts w:eastAsia="TimesNewRoman" w:cs="TimesNewRoman"/>
          <w:color w:val="000000" w:themeColor="text1"/>
          <w:highlight w:val="lightGray"/>
        </w:rPr>
        <w:t>Druml</w:t>
      </w:r>
      <w:r w:rsidRPr="00E005C8">
        <w:rPr>
          <w:rFonts w:eastAsia="TimesNewRoman" w:cs="TimesNewRoman"/>
          <w:color w:val="000000" w:themeColor="text1"/>
        </w:rPr>
        <w:t>). One day after infusion of IgPro20 at steady-state, the serum L-proline concentration had returned to approximately the same level as before the infusion, indicating rapid elimination of L-proline and a lack of accumulation. The amount of L-proline given did not exceed 58 mg/kg bw</w:t>
      </w:r>
      <w:r>
        <w:rPr>
          <w:rFonts w:eastAsia="TimesNewRoman" w:cs="TimesNewRoman"/>
          <w:color w:val="000000" w:themeColor="text1"/>
        </w:rPr>
        <w:t xml:space="preserve"> </w:t>
      </w:r>
      <w:r w:rsidRPr="00E005C8">
        <w:rPr>
          <w:rFonts w:eastAsia="TimesNewRoman" w:cs="TimesNewRoman"/>
          <w:color w:val="000000" w:themeColor="text1"/>
        </w:rPr>
        <w:t xml:space="preserve">in the US pivotal </w:t>
      </w:r>
      <w:r w:rsidRPr="00840863">
        <w:rPr>
          <w:rFonts w:eastAsia="TimesNewRoman" w:cs="TimesNewRoman"/>
          <w:b/>
          <w:color w:val="000000" w:themeColor="text1"/>
        </w:rPr>
        <w:t>ZLB04_009CR</w:t>
      </w:r>
      <w:r w:rsidRPr="00E005C8">
        <w:rPr>
          <w:rFonts w:eastAsia="TimesNewRoman" w:cs="TimesNewRoman"/>
          <w:color w:val="000000" w:themeColor="text1"/>
        </w:rPr>
        <w:t>, in which substantially (&gt;2 times) higher doses</w:t>
      </w:r>
      <w:r>
        <w:rPr>
          <w:rFonts w:eastAsia="TimesNewRoman" w:cs="TimesNewRoman"/>
          <w:color w:val="000000" w:themeColor="text1"/>
        </w:rPr>
        <w:t xml:space="preserve"> </w:t>
      </w:r>
      <w:r w:rsidRPr="00E005C8">
        <w:rPr>
          <w:rFonts w:eastAsia="TimesNewRoman" w:cs="TimesNewRoman"/>
          <w:color w:val="000000" w:themeColor="text1"/>
        </w:rPr>
        <w:t xml:space="preserve">compared to the Japan pivotal </w:t>
      </w:r>
      <w:r w:rsidRPr="00840863">
        <w:rPr>
          <w:rFonts w:eastAsia="TimesNewRoman" w:cs="TimesNewRoman"/>
          <w:b/>
          <w:color w:val="000000" w:themeColor="text1"/>
        </w:rPr>
        <w:t>ZLB06_002CR</w:t>
      </w:r>
      <w:r w:rsidRPr="00E005C8">
        <w:rPr>
          <w:rFonts w:eastAsia="TimesNewRoman" w:cs="TimesNewRoman"/>
          <w:color w:val="000000" w:themeColor="text1"/>
        </w:rPr>
        <w:t xml:space="preserve"> were administered. Thus the amounts of L-proline administered in clinical studies with IgPro20 were considerably lower (more than 70</w:t>
      </w:r>
      <w:r w:rsidR="001B1E9D">
        <w:rPr>
          <w:rFonts w:eastAsia="TimesNewRoman" w:cs="TimesNewRoman"/>
          <w:color w:val="000000" w:themeColor="text1"/>
        </w:rPr>
        <w:t xml:space="preserve"> </w:t>
      </w:r>
      <w:r w:rsidRPr="00E005C8">
        <w:rPr>
          <w:rFonts w:eastAsia="TimesNewRoman" w:cs="TimesNewRoman"/>
          <w:color w:val="000000" w:themeColor="text1"/>
        </w:rPr>
        <w:t xml:space="preserve">fold) than the highest doses that were tested in nonclinical studies (up to 4350 mg/kg bw) and were defined as no-observed-adverse effect levels. </w:t>
      </w:r>
    </w:p>
    <w:p w:rsidR="005F74D8" w:rsidRPr="00E005C8" w:rsidRDefault="005F74D8" w:rsidP="001B1E9D">
      <w:pPr>
        <w:pStyle w:val="Heading4"/>
      </w:pPr>
      <w:bookmarkStart w:id="354" w:name="_Toc373748446"/>
      <w:bookmarkStart w:id="355" w:name="_Toc272414675"/>
      <w:bookmarkStart w:id="356" w:name="_Toc290846313"/>
      <w:r w:rsidRPr="00E005C8">
        <w:t>Urinalysis</w:t>
      </w:r>
      <w:bookmarkEnd w:id="354"/>
    </w:p>
    <w:p w:rsidR="005F74D8" w:rsidRPr="00E005C8" w:rsidRDefault="005F74D8" w:rsidP="001B1E9D">
      <w:pPr>
        <w:pStyle w:val="Heading5"/>
      </w:pPr>
      <w:r w:rsidRPr="00E005C8">
        <w:t>Pivotal studies</w:t>
      </w:r>
    </w:p>
    <w:p w:rsidR="005F74D8" w:rsidRDefault="005F74D8" w:rsidP="005F74D8">
      <w:pPr>
        <w:rPr>
          <w:color w:val="000000" w:themeColor="text1"/>
        </w:rPr>
      </w:pPr>
      <w:r w:rsidRPr="00E005C8">
        <w:rPr>
          <w:color w:val="000000" w:themeColor="text1"/>
        </w:rPr>
        <w:t>Measured at regular timepoints in the pivotal studies and their extension phases; no changes.</w:t>
      </w:r>
    </w:p>
    <w:p w:rsidR="005F74D8" w:rsidRPr="00E005C8" w:rsidRDefault="005F74D8" w:rsidP="001B1E9D">
      <w:pPr>
        <w:pStyle w:val="Heading4"/>
      </w:pPr>
      <w:bookmarkStart w:id="357" w:name="_Toc373748447"/>
      <w:r w:rsidRPr="00E005C8">
        <w:t>Electrocardiograph</w:t>
      </w:r>
      <w:bookmarkEnd w:id="355"/>
      <w:bookmarkEnd w:id="356"/>
      <w:bookmarkEnd w:id="357"/>
    </w:p>
    <w:p w:rsidR="005F74D8" w:rsidRPr="00E005C8" w:rsidRDefault="005F74D8" w:rsidP="001B1E9D">
      <w:pPr>
        <w:pStyle w:val="Heading5"/>
      </w:pPr>
      <w:r w:rsidRPr="00E005C8">
        <w:t>Pivotal studies</w:t>
      </w:r>
    </w:p>
    <w:p w:rsidR="005F74D8" w:rsidRDefault="00146F46" w:rsidP="005F74D8">
      <w:pPr>
        <w:rPr>
          <w:color w:val="000000" w:themeColor="text1"/>
        </w:rPr>
      </w:pPr>
      <w:r>
        <w:rPr>
          <w:color w:val="000000" w:themeColor="text1"/>
        </w:rPr>
        <w:t>Not performed.</w:t>
      </w:r>
    </w:p>
    <w:p w:rsidR="005F74D8" w:rsidRPr="00E005C8" w:rsidRDefault="005F74D8" w:rsidP="001B1E9D">
      <w:pPr>
        <w:pStyle w:val="Heading5"/>
      </w:pPr>
      <w:r w:rsidRPr="00E005C8">
        <w:t>Other studies</w:t>
      </w:r>
    </w:p>
    <w:p w:rsidR="005F74D8" w:rsidRDefault="005F74D8" w:rsidP="005F74D8">
      <w:pPr>
        <w:rPr>
          <w:color w:val="000000" w:themeColor="text1"/>
        </w:rPr>
      </w:pPr>
      <w:r w:rsidRPr="00840863">
        <w:rPr>
          <w:b/>
          <w:color w:val="000000" w:themeColor="text1"/>
        </w:rPr>
        <w:t>ZLB04_008CR</w:t>
      </w:r>
      <w:r w:rsidRPr="00E005C8">
        <w:rPr>
          <w:color w:val="000000" w:themeColor="text1"/>
        </w:rPr>
        <w:t>: no significant cha</w:t>
      </w:r>
      <w:r>
        <w:rPr>
          <w:color w:val="000000" w:themeColor="text1"/>
        </w:rPr>
        <w:t xml:space="preserve">nges in 12-lead ECG in </w:t>
      </w:r>
      <w:r w:rsidRPr="00E005C8">
        <w:rPr>
          <w:color w:val="000000" w:themeColor="text1"/>
        </w:rPr>
        <w:t>healthy volunteers durin</w:t>
      </w:r>
      <w:r w:rsidR="00146F46">
        <w:rPr>
          <w:color w:val="000000" w:themeColor="text1"/>
        </w:rPr>
        <w:t>g the 4 different Ig infusions.</w:t>
      </w:r>
    </w:p>
    <w:p w:rsidR="005F74D8" w:rsidRPr="00E005C8" w:rsidRDefault="005F74D8" w:rsidP="001B1E9D">
      <w:pPr>
        <w:pStyle w:val="Heading4"/>
      </w:pPr>
      <w:bookmarkStart w:id="358" w:name="_Toc272414676"/>
      <w:bookmarkStart w:id="359" w:name="_Toc290846314"/>
      <w:bookmarkStart w:id="360" w:name="_Toc373748448"/>
      <w:r w:rsidRPr="00E005C8">
        <w:t>Vital signs</w:t>
      </w:r>
      <w:bookmarkEnd w:id="358"/>
      <w:bookmarkEnd w:id="359"/>
      <w:bookmarkEnd w:id="360"/>
    </w:p>
    <w:p w:rsidR="005F74D8" w:rsidRPr="00E005C8" w:rsidRDefault="005F74D8" w:rsidP="001B1E9D">
      <w:pPr>
        <w:pStyle w:val="Heading5"/>
      </w:pPr>
      <w:r w:rsidRPr="00E005C8">
        <w:t>Pivotal studies</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Vital signs measurements in the Phase III studies included BP, heart rate, and body temperature</w:t>
      </w:r>
      <w:r w:rsidRPr="00E005C8">
        <w:rPr>
          <w:color w:val="000000" w:themeColor="text1"/>
        </w:rPr>
        <w:t xml:space="preserve">. </w:t>
      </w:r>
      <w:r w:rsidRPr="00E005C8">
        <w:rPr>
          <w:rFonts w:eastAsia="TimesNewRoman" w:cs="TimesNewRoman"/>
          <w:color w:val="000000" w:themeColor="text1"/>
        </w:rPr>
        <w:t>No consistent or clinically relevant changes in vital signs were reported. Mean changes from pre-infusion were small fo</w:t>
      </w:r>
      <w:r w:rsidR="00146F46">
        <w:rPr>
          <w:rFonts w:eastAsia="TimesNewRoman" w:cs="TimesNewRoman"/>
          <w:color w:val="000000" w:themeColor="text1"/>
        </w:rPr>
        <w:t>r all parameters at all visits.</w:t>
      </w:r>
    </w:p>
    <w:p w:rsidR="005F74D8" w:rsidRPr="00E005C8" w:rsidRDefault="005F74D8" w:rsidP="001B1E9D">
      <w:pPr>
        <w:pStyle w:val="Heading5"/>
      </w:pPr>
      <w:r w:rsidRPr="00E005C8">
        <w:t>Other studies</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In the Phase I safety study ZLB04_008CR in healthy subjects, there were no safety concerns</w:t>
      </w:r>
      <w:r>
        <w:rPr>
          <w:rFonts w:eastAsia="TimesNewRoman" w:cs="TimesNewRoman"/>
          <w:color w:val="000000" w:themeColor="text1"/>
        </w:rPr>
        <w:t xml:space="preserve"> </w:t>
      </w:r>
      <w:r w:rsidRPr="00E005C8">
        <w:rPr>
          <w:rFonts w:eastAsia="TimesNewRoman" w:cs="TimesNewRoman"/>
          <w:color w:val="000000" w:themeColor="text1"/>
        </w:rPr>
        <w:t>regarding vital signs or physical examinati</w:t>
      </w:r>
      <w:r w:rsidR="00146F46">
        <w:rPr>
          <w:rFonts w:eastAsia="TimesNewRoman" w:cs="TimesNewRoman"/>
          <w:color w:val="000000" w:themeColor="text1"/>
        </w:rPr>
        <w:t>on.</w:t>
      </w:r>
    </w:p>
    <w:p w:rsidR="005F74D8" w:rsidRPr="00E005C8" w:rsidRDefault="005F74D8" w:rsidP="001B1E9D">
      <w:pPr>
        <w:pStyle w:val="Heading4"/>
      </w:pPr>
      <w:bookmarkStart w:id="361" w:name="_Toc373748449"/>
      <w:r w:rsidRPr="00E005C8">
        <w:t>Viral markers</w:t>
      </w:r>
      <w:bookmarkEnd w:id="361"/>
    </w:p>
    <w:p w:rsidR="005F74D8" w:rsidRDefault="005F74D8" w:rsidP="005F74D8">
      <w:pPr>
        <w:autoSpaceDE w:val="0"/>
        <w:autoSpaceDN w:val="0"/>
        <w:adjustRightInd w:val="0"/>
        <w:rPr>
          <w:b/>
          <w:color w:val="000000" w:themeColor="text1"/>
        </w:rPr>
      </w:pPr>
      <w:r w:rsidRPr="00E005C8">
        <w:rPr>
          <w:b/>
          <w:color w:val="000000" w:themeColor="text1"/>
        </w:rPr>
        <w:t xml:space="preserve">Pathogen safety: </w:t>
      </w:r>
      <w:r w:rsidRPr="00E005C8">
        <w:rPr>
          <w:color w:val="000000" w:themeColor="text1"/>
        </w:rPr>
        <w:t>IgPro20 is made from human plasma that may potenti</w:t>
      </w:r>
      <w:r>
        <w:rPr>
          <w:color w:val="000000" w:themeColor="text1"/>
        </w:rPr>
        <w:t xml:space="preserve">ally contain infectious agents </w:t>
      </w:r>
      <w:r w:rsidR="001B1E9D">
        <w:rPr>
          <w:color w:val="000000" w:themeColor="text1"/>
        </w:rPr>
        <w:t>for example,</w:t>
      </w:r>
      <w:r>
        <w:rPr>
          <w:color w:val="000000" w:themeColor="text1"/>
        </w:rPr>
        <w:t xml:space="preserve"> </w:t>
      </w:r>
      <w:r w:rsidRPr="00E005C8">
        <w:rPr>
          <w:color w:val="000000" w:themeColor="text1"/>
        </w:rPr>
        <w:t>viruses and, theoretically, CJD agent and vCJD that can cause various diseases. The risk that products manufactured from plasma</w:t>
      </w:r>
      <w:r w:rsidRPr="00E005C8">
        <w:rPr>
          <w:b/>
          <w:color w:val="000000" w:themeColor="text1"/>
        </w:rPr>
        <w:t xml:space="preserve"> </w:t>
      </w:r>
      <w:r w:rsidRPr="00E005C8">
        <w:rPr>
          <w:color w:val="000000" w:themeColor="text1"/>
        </w:rPr>
        <w:t xml:space="preserve">could transmit an infectious agent has been reduced </w:t>
      </w:r>
      <w:r>
        <w:rPr>
          <w:color w:val="000000" w:themeColor="text1"/>
        </w:rPr>
        <w:t xml:space="preserve">as far as possible </w:t>
      </w:r>
      <w:r w:rsidRPr="00E005C8">
        <w:rPr>
          <w:color w:val="000000" w:themeColor="text1"/>
        </w:rPr>
        <w:t xml:space="preserve">by </w:t>
      </w:r>
      <w:r w:rsidRPr="00AA66AB">
        <w:rPr>
          <w:color w:val="000000" w:themeColor="text1"/>
        </w:rPr>
        <w:t xml:space="preserve">the methods described </w:t>
      </w:r>
      <w:r w:rsidR="00B22239">
        <w:rPr>
          <w:color w:val="000000" w:themeColor="text1"/>
        </w:rPr>
        <w:t xml:space="preserve">in </w:t>
      </w:r>
      <w:r w:rsidR="00B22239" w:rsidRPr="00B22239">
        <w:rPr>
          <w:i/>
          <w:color w:val="000000" w:themeColor="text1"/>
        </w:rPr>
        <w:t>Product development and regulatory background</w:t>
      </w:r>
      <w:r w:rsidRPr="00AA66AB">
        <w:rPr>
          <w:b/>
          <w:color w:val="000000" w:themeColor="text1"/>
        </w:rPr>
        <w:t>.</w:t>
      </w:r>
    </w:p>
    <w:p w:rsidR="005F74D8" w:rsidRPr="00E005C8" w:rsidRDefault="005F74D8" w:rsidP="00B22239">
      <w:pPr>
        <w:pStyle w:val="Heading5"/>
      </w:pPr>
      <w:r w:rsidRPr="00E005C8">
        <w:t>Pivotal studies</w:t>
      </w:r>
    </w:p>
    <w:p w:rsidR="005F74D8" w:rsidRDefault="005F74D8" w:rsidP="005F74D8">
      <w:pPr>
        <w:autoSpaceDE w:val="0"/>
        <w:autoSpaceDN w:val="0"/>
        <w:adjustRightInd w:val="0"/>
        <w:rPr>
          <w:color w:val="000000" w:themeColor="text1"/>
        </w:rPr>
      </w:pPr>
      <w:r w:rsidRPr="00E005C8">
        <w:rPr>
          <w:color w:val="000000" w:themeColor="text1"/>
        </w:rPr>
        <w:t>Although they do not provide specific evidence as such, further support for the viral safety of</w:t>
      </w:r>
      <w:r w:rsidR="00B22239">
        <w:rPr>
          <w:color w:val="000000" w:themeColor="text1"/>
        </w:rPr>
        <w:t xml:space="preserve"> </w:t>
      </w:r>
      <w:r w:rsidRPr="00E005C8">
        <w:rPr>
          <w:color w:val="000000" w:themeColor="text1"/>
        </w:rPr>
        <w:t>IgPro20 was obtained from assessments of viral markers during the conduct of clinical</w:t>
      </w:r>
      <w:r>
        <w:rPr>
          <w:color w:val="000000" w:themeColor="text1"/>
        </w:rPr>
        <w:t xml:space="preserve"> </w:t>
      </w:r>
      <w:r w:rsidRPr="00E005C8">
        <w:rPr>
          <w:color w:val="000000" w:themeColor="text1"/>
        </w:rPr>
        <w:t xml:space="preserve">studies </w:t>
      </w:r>
      <w:r w:rsidRPr="00840863">
        <w:rPr>
          <w:b/>
          <w:color w:val="000000" w:themeColor="text1"/>
        </w:rPr>
        <w:t>ZLB06_002CR, ZLB07_001CR, ZLB04_009CR, IgPro20_3001, and ZLB04_008CR</w:t>
      </w:r>
      <w:r>
        <w:rPr>
          <w:color w:val="000000" w:themeColor="text1"/>
        </w:rPr>
        <w:t xml:space="preserve"> </w:t>
      </w:r>
      <w:r w:rsidRPr="00E005C8">
        <w:rPr>
          <w:color w:val="000000" w:themeColor="text1"/>
        </w:rPr>
        <w:t>which revealed no evidence that administration of IgPro20 was associated with</w:t>
      </w:r>
      <w:r>
        <w:rPr>
          <w:color w:val="000000" w:themeColor="text1"/>
        </w:rPr>
        <w:t xml:space="preserve"> </w:t>
      </w:r>
      <w:r w:rsidRPr="00E005C8">
        <w:rPr>
          <w:color w:val="000000" w:themeColor="text1"/>
        </w:rPr>
        <w:t xml:space="preserve">infections. </w:t>
      </w:r>
      <w:r w:rsidRPr="00E005C8">
        <w:rPr>
          <w:rFonts w:eastAsia="TimesNewRoman" w:cs="TimesNewRoman"/>
          <w:color w:val="000000" w:themeColor="text1"/>
        </w:rPr>
        <w:t>In agreement with EMA guidance EMEA/CPMP/BPWG/283/00, viral safety was not assessed in the European pivotal or extension studies (</w:t>
      </w:r>
      <w:r w:rsidRPr="00840863">
        <w:rPr>
          <w:rFonts w:eastAsia="TimesNewRoman" w:cs="TimesNewRoman"/>
          <w:b/>
          <w:color w:val="000000" w:themeColor="text1"/>
        </w:rPr>
        <w:t>ZLB06_001CR and ZLB07_002CR</w:t>
      </w:r>
      <w:r w:rsidRPr="00E005C8">
        <w:rPr>
          <w:rFonts w:eastAsia="TimesNewRoman" w:cs="TimesNewRoman"/>
          <w:color w:val="000000" w:themeColor="text1"/>
        </w:rPr>
        <w:t>).</w:t>
      </w:r>
      <w:r w:rsidRPr="00E005C8">
        <w:rPr>
          <w:color w:val="000000" w:themeColor="text1"/>
        </w:rPr>
        <w:t xml:space="preserve"> </w:t>
      </w:r>
      <w:r w:rsidRPr="00E005C8">
        <w:rPr>
          <w:rFonts w:eastAsia="TimesNewRoman" w:cs="TimesNewRoman"/>
          <w:color w:val="000000" w:themeColor="text1"/>
        </w:rPr>
        <w:t>In the Japan studies (</w:t>
      </w:r>
      <w:r w:rsidRPr="00840863">
        <w:rPr>
          <w:rFonts w:eastAsia="TimesNewRoman" w:cs="TimesNewRoman"/>
          <w:b/>
          <w:color w:val="000000" w:themeColor="text1"/>
        </w:rPr>
        <w:t>ZLB06_002CR and ZLB07_001CR</w:t>
      </w:r>
      <w:r w:rsidRPr="00E005C8">
        <w:rPr>
          <w:rFonts w:eastAsia="TimesNewRoman" w:cs="TimesNewRoman"/>
          <w:color w:val="000000" w:themeColor="text1"/>
        </w:rPr>
        <w:t>) and the US pivotal and extension (</w:t>
      </w:r>
      <w:r w:rsidRPr="00840863">
        <w:rPr>
          <w:rFonts w:eastAsia="TimesNewRoman" w:cs="TimesNewRoman"/>
          <w:b/>
          <w:color w:val="000000" w:themeColor="text1"/>
        </w:rPr>
        <w:t>ZLB04_009CR and IgPro20_3001</w:t>
      </w:r>
      <w:r w:rsidRPr="00E005C8">
        <w:rPr>
          <w:rFonts w:eastAsia="TimesNewRoman" w:cs="TimesNewRoman"/>
          <w:color w:val="000000" w:themeColor="text1"/>
        </w:rPr>
        <w:t xml:space="preserve">), no cases of infection due to HIV-1, HIV-2, hepatitis A, B, or C virus, or parvovirus B19 were observed. </w:t>
      </w:r>
      <w:r w:rsidRPr="00E005C8">
        <w:rPr>
          <w:color w:val="000000" w:themeColor="text1"/>
        </w:rPr>
        <w:t xml:space="preserve">In the US extension </w:t>
      </w:r>
      <w:r w:rsidRPr="00840863">
        <w:rPr>
          <w:b/>
          <w:color w:val="000000" w:themeColor="text1"/>
        </w:rPr>
        <w:t>IgPro20_3001</w:t>
      </w:r>
      <w:r w:rsidRPr="00E005C8">
        <w:rPr>
          <w:color w:val="000000" w:themeColor="text1"/>
        </w:rPr>
        <w:t>, not all viral marker tests were completed for all</w:t>
      </w:r>
      <w:r w:rsidRPr="00E005C8">
        <w:rPr>
          <w:rFonts w:eastAsia="TimesNewRoman" w:cs="TimesNewRoman"/>
          <w:color w:val="000000" w:themeColor="text1"/>
        </w:rPr>
        <w:t xml:space="preserve"> </w:t>
      </w:r>
      <w:r w:rsidRPr="00E005C8">
        <w:rPr>
          <w:color w:val="000000" w:themeColor="text1"/>
        </w:rPr>
        <w:t>subjects. Viral markers for HAV, HBV, HCV, HIV-1/-2 or parvovirus B19 were not detected</w:t>
      </w:r>
      <w:r w:rsidRPr="00E005C8">
        <w:rPr>
          <w:rFonts w:eastAsia="TimesNewRoman" w:cs="TimesNewRoman"/>
          <w:color w:val="000000" w:themeColor="text1"/>
        </w:rPr>
        <w:t xml:space="preserve"> </w:t>
      </w:r>
      <w:r w:rsidRPr="00E005C8">
        <w:rPr>
          <w:color w:val="000000" w:themeColor="text1"/>
        </w:rPr>
        <w:t xml:space="preserve">in any subject with an available measurement before Infusion 1 (HAV: 15 </w:t>
      </w:r>
      <w:r w:rsidRPr="00E005C8">
        <w:rPr>
          <w:color w:val="000000" w:themeColor="text1"/>
        </w:rPr>
        <w:lastRenderedPageBreak/>
        <w:t>subjects; HIV-1:</w:t>
      </w:r>
      <w:r w:rsidRPr="00E005C8">
        <w:rPr>
          <w:rFonts w:eastAsia="TimesNewRoman" w:cs="TimesNewRoman"/>
          <w:color w:val="000000" w:themeColor="text1"/>
        </w:rPr>
        <w:t xml:space="preserve"> </w:t>
      </w:r>
      <w:r w:rsidRPr="00E005C8">
        <w:rPr>
          <w:color w:val="000000" w:themeColor="text1"/>
        </w:rPr>
        <w:t xml:space="preserve">18 subjects; HBV, HCV, HIV-1/-2, and parvovirus B19: 20 subjects). However, at the completion visit, </w:t>
      </w:r>
      <w:r>
        <w:rPr>
          <w:color w:val="000000" w:themeColor="text1"/>
        </w:rPr>
        <w:t xml:space="preserve">1 subject </w:t>
      </w:r>
      <w:r w:rsidR="00B22239">
        <w:rPr>
          <w:color w:val="000000" w:themeColor="text1"/>
        </w:rPr>
        <w:t>[information redacted]</w:t>
      </w:r>
      <w:r>
        <w:rPr>
          <w:color w:val="000000" w:themeColor="text1"/>
        </w:rPr>
        <w:t xml:space="preserve"> </w:t>
      </w:r>
      <w:r w:rsidRPr="00E005C8">
        <w:rPr>
          <w:color w:val="000000" w:themeColor="text1"/>
        </w:rPr>
        <w:t xml:space="preserve">tested positive for </w:t>
      </w:r>
      <w:r w:rsidRPr="00840863">
        <w:rPr>
          <w:b/>
          <w:color w:val="000000" w:themeColor="text1"/>
        </w:rPr>
        <w:t>parvovirus B19</w:t>
      </w:r>
      <w:r w:rsidRPr="00E005C8">
        <w:rPr>
          <w:color w:val="000000" w:themeColor="text1"/>
        </w:rPr>
        <w:t xml:space="preserve"> (by PCR) and 1 subject </w:t>
      </w:r>
      <w:r w:rsidR="00B22239">
        <w:rPr>
          <w:color w:val="000000" w:themeColor="text1"/>
        </w:rPr>
        <w:t>[information redacted]</w:t>
      </w:r>
      <w:r>
        <w:rPr>
          <w:color w:val="000000" w:themeColor="text1"/>
        </w:rPr>
        <w:t xml:space="preserve"> </w:t>
      </w:r>
      <w:r w:rsidRPr="00E005C8">
        <w:rPr>
          <w:color w:val="000000" w:themeColor="text1"/>
        </w:rPr>
        <w:t xml:space="preserve">tested positive for </w:t>
      </w:r>
      <w:r w:rsidRPr="00840863">
        <w:rPr>
          <w:b/>
          <w:color w:val="000000" w:themeColor="text1"/>
        </w:rPr>
        <w:t>HBV</w:t>
      </w:r>
      <w:r w:rsidRPr="00E005C8">
        <w:rPr>
          <w:color w:val="000000" w:themeColor="text1"/>
        </w:rPr>
        <w:t xml:space="preserve"> (by PCR, &lt;29 IU/mL). Both subjects had been tested negative at baseline; the positive findings at the completion visit were assessed as not clinically significant by the investigator and were not reported as AEs. According to correspondence with the site, both subjects had a post-study follow-up examination in June</w:t>
      </w:r>
      <w:r>
        <w:rPr>
          <w:color w:val="000000" w:themeColor="text1"/>
        </w:rPr>
        <w:t xml:space="preserve"> </w:t>
      </w:r>
      <w:r w:rsidRPr="00E005C8">
        <w:rPr>
          <w:color w:val="000000" w:themeColor="text1"/>
        </w:rPr>
        <w:t xml:space="preserve">2011. During the follow-up for </w:t>
      </w:r>
      <w:r w:rsidR="00B22239">
        <w:rPr>
          <w:color w:val="000000" w:themeColor="text1"/>
        </w:rPr>
        <w:t>[information redacted]</w:t>
      </w:r>
      <w:r w:rsidRPr="00E005C8">
        <w:rPr>
          <w:color w:val="000000" w:themeColor="text1"/>
        </w:rPr>
        <w:t xml:space="preserve"> physical examination was normal and hepatitis B history was negative; the subject’s HBV surface antigen, HBV surface antibody, HBV core IgM antibody, and </w:t>
      </w:r>
      <w:r w:rsidRPr="00840863">
        <w:rPr>
          <w:b/>
          <w:color w:val="000000" w:themeColor="text1"/>
        </w:rPr>
        <w:t>HBV PCR tests were negative</w:t>
      </w:r>
      <w:r w:rsidRPr="00E005C8">
        <w:rPr>
          <w:color w:val="000000" w:themeColor="text1"/>
        </w:rPr>
        <w:t xml:space="preserve">, and liver enzymes were normal. </w:t>
      </w:r>
      <w:r w:rsidR="00B22239">
        <w:rPr>
          <w:color w:val="000000" w:themeColor="text1"/>
        </w:rPr>
        <w:t>[information redacted]</w:t>
      </w:r>
      <w:r w:rsidRPr="00E005C8">
        <w:rPr>
          <w:color w:val="000000" w:themeColor="text1"/>
        </w:rPr>
        <w:t xml:space="preserve"> had a normal physical examination with no medical problems apart from her thyroid cancer. Both her antibody tests and PCR fo</w:t>
      </w:r>
      <w:r w:rsidR="00146F46">
        <w:rPr>
          <w:color w:val="000000" w:themeColor="text1"/>
        </w:rPr>
        <w:t>r parvovirus B19 were negative.</w:t>
      </w:r>
    </w:p>
    <w:p w:rsidR="005F74D8" w:rsidRPr="00E005C8" w:rsidRDefault="005F74D8" w:rsidP="00B22239">
      <w:pPr>
        <w:pStyle w:val="Heading5"/>
      </w:pPr>
      <w:r w:rsidRPr="00E005C8">
        <w:t>Other studies</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In the Phase I safety study ZLB04_008CR </w:t>
      </w:r>
      <w:r>
        <w:rPr>
          <w:rFonts w:eastAsia="TimesNewRoman" w:cs="TimesNewRoman"/>
          <w:color w:val="000000" w:themeColor="text1"/>
        </w:rPr>
        <w:t xml:space="preserve">in healthy subjects, </w:t>
      </w:r>
      <w:r w:rsidRPr="00E005C8">
        <w:rPr>
          <w:rFonts w:eastAsia="TimesNewRoman" w:cs="TimesNewRoman"/>
          <w:color w:val="000000" w:themeColor="text1"/>
        </w:rPr>
        <w:t>no safety concerns</w:t>
      </w:r>
      <w:r w:rsidR="00146F46">
        <w:rPr>
          <w:rFonts w:eastAsia="TimesNewRoman" w:cs="TimesNewRoman"/>
          <w:color w:val="000000" w:themeColor="text1"/>
        </w:rPr>
        <w:t xml:space="preserve"> re</w:t>
      </w:r>
      <w:r>
        <w:rPr>
          <w:rFonts w:eastAsia="TimesNewRoman" w:cs="TimesNewRoman"/>
          <w:color w:val="000000" w:themeColor="text1"/>
        </w:rPr>
        <w:t xml:space="preserve"> </w:t>
      </w:r>
      <w:r w:rsidRPr="00E005C8">
        <w:rPr>
          <w:rFonts w:eastAsia="TimesNewRoman" w:cs="TimesNewRoman"/>
          <w:color w:val="000000" w:themeColor="text1"/>
        </w:rPr>
        <w:t>viral safety.</w:t>
      </w:r>
    </w:p>
    <w:p w:rsidR="005F74D8" w:rsidRPr="00E005C8" w:rsidRDefault="005F74D8" w:rsidP="00B22239">
      <w:pPr>
        <w:pStyle w:val="Heading3"/>
      </w:pPr>
      <w:bookmarkStart w:id="362" w:name="_Toc241374326"/>
      <w:bookmarkStart w:id="363" w:name="_Ref272333048"/>
      <w:bookmarkStart w:id="364" w:name="_Toc272414679"/>
      <w:bookmarkStart w:id="365" w:name="_Toc290846317"/>
      <w:bookmarkStart w:id="366" w:name="_Toc373748450"/>
      <w:bookmarkStart w:id="367" w:name="_Toc392757322"/>
      <w:r w:rsidRPr="00E005C8">
        <w:t>Postmarketing experience</w:t>
      </w:r>
      <w:bookmarkEnd w:id="362"/>
      <w:bookmarkEnd w:id="363"/>
      <w:bookmarkEnd w:id="364"/>
      <w:bookmarkEnd w:id="365"/>
      <w:bookmarkEnd w:id="366"/>
      <w:bookmarkEnd w:id="367"/>
    </w:p>
    <w:p w:rsidR="00123513" w:rsidRDefault="005F74D8" w:rsidP="00123513">
      <w:pPr>
        <w:pStyle w:val="ListBullet"/>
      </w:pPr>
      <w:r w:rsidRPr="00E005C8">
        <w:t>Cumulativ</w:t>
      </w:r>
      <w:r w:rsidR="00B22239">
        <w:t xml:space="preserve">ely since 04 </w:t>
      </w:r>
      <w:r>
        <w:t>Mar</w:t>
      </w:r>
      <w:r w:rsidR="00B22239">
        <w:t xml:space="preserve">ch </w:t>
      </w:r>
      <w:r>
        <w:t xml:space="preserve">2010 up to </w:t>
      </w:r>
      <w:r w:rsidR="00B22239">
        <w:t>and</w:t>
      </w:r>
      <w:r>
        <w:t xml:space="preserve"> </w:t>
      </w:r>
      <w:r w:rsidRPr="00E005C8">
        <w:t xml:space="preserve">including October 2012, 9,443,086 grams were sold worldwide, corresponding to an estimated exposure of 18,160 patient </w:t>
      </w:r>
      <w:r w:rsidR="003944A8">
        <w:t>years</w:t>
      </w:r>
      <w:r w:rsidRPr="00E005C8">
        <w:t>. The</w:t>
      </w:r>
      <w:r>
        <w:t xml:space="preserve"> International Birth Date </w:t>
      </w:r>
      <w:r w:rsidRPr="00E005C8">
        <w:t>of Hizentra</w:t>
      </w:r>
      <w:r w:rsidRPr="00E005C8">
        <w:sym w:font="Symbol" w:char="F0D2"/>
      </w:r>
      <w:r w:rsidR="00B22239">
        <w:t xml:space="preserve"> is 04 </w:t>
      </w:r>
      <w:r w:rsidRPr="00E005C8">
        <w:t>Mar</w:t>
      </w:r>
      <w:r w:rsidR="00B22239">
        <w:t xml:space="preserve">ch </w:t>
      </w:r>
      <w:r w:rsidRPr="00E005C8">
        <w:t>2010 when the product was initially granted a license in the USA. Provided in this application were Periodic Safety Update Reports (PSUR) for the periods detailed below. The estimated standard dose of Hizentra® is 10 g (for an average patient of 70 kg bodyweight in the indication primary immunodeficiency).</w:t>
      </w:r>
      <w:r w:rsidR="007F036F">
        <w:t xml:space="preserve"> [information redacted]</w:t>
      </w:r>
      <w:r w:rsidR="00146F46">
        <w:t>.</w:t>
      </w:r>
    </w:p>
    <w:p w:rsidR="005F74D8" w:rsidRPr="00E005C8" w:rsidRDefault="005F74D8" w:rsidP="00123513">
      <w:pPr>
        <w:pStyle w:val="ListBullet"/>
      </w:pPr>
      <w:r w:rsidRPr="00840863">
        <w:rPr>
          <w:b/>
        </w:rPr>
        <w:t>Report nos 1</w:t>
      </w:r>
      <w:r w:rsidRPr="00E005C8">
        <w:t xml:space="preserve"> PSUR 04</w:t>
      </w:r>
      <w:r w:rsidR="00B22239">
        <w:t xml:space="preserve"> </w:t>
      </w:r>
      <w:r w:rsidRPr="00E005C8">
        <w:t>Mar</w:t>
      </w:r>
      <w:r w:rsidR="00B22239">
        <w:t xml:space="preserve">ch </w:t>
      </w:r>
      <w:r w:rsidRPr="00E005C8">
        <w:t>2010 to 14</w:t>
      </w:r>
      <w:r w:rsidR="00B22239">
        <w:t xml:space="preserve"> </w:t>
      </w:r>
      <w:r w:rsidRPr="00E005C8">
        <w:t>Oct</w:t>
      </w:r>
      <w:r w:rsidR="00B22239">
        <w:t xml:space="preserve">ober </w:t>
      </w:r>
      <w:r w:rsidRPr="00E005C8">
        <w:t>2011</w:t>
      </w:r>
      <w:r>
        <w:t xml:space="preserve">: </w:t>
      </w:r>
      <w:r w:rsidR="005159A3">
        <w:t>[information redacted]</w:t>
      </w:r>
      <w:r w:rsidRPr="00E005C8">
        <w:t>, corresponding to 234,243 standard doses; 4405</w:t>
      </w:r>
      <w:r w:rsidR="003944A8">
        <w:t>years</w:t>
      </w:r>
      <w:r w:rsidRPr="00E005C8">
        <w:t xml:space="preserve"> of patient exposure. This PSUR presents a total of 509 initial spontaneous case reports from worldwide sources, one report from a clinical trial and 180 follow-up reports received from the US prior to DLP of this PSUR are included. 480 initial cases were medically confirmed, 95 thereof report serious events. One case </w:t>
      </w:r>
      <w:r w:rsidRPr="00F04A23">
        <w:t>reporting a fatal outcome was received during the current interval. 30 initial consumer reports were received. All spontaneous reports came from the US market exclusively. During the reporting period, a clinical study (European extension study) was newly analysed, and 3 papers were published</w:t>
      </w:r>
      <w:r w:rsidR="00B22239">
        <w:rPr>
          <w:rStyle w:val="FootnoteReference"/>
        </w:rPr>
        <w:footnoteReference w:id="15"/>
      </w:r>
      <w:r w:rsidR="00B22239" w:rsidRPr="00B22239">
        <w:rPr>
          <w:vertAlign w:val="superscript"/>
        </w:rPr>
        <w:t>,</w:t>
      </w:r>
      <w:r w:rsidR="00B22239">
        <w:rPr>
          <w:rStyle w:val="FootnoteReference"/>
        </w:rPr>
        <w:footnoteReference w:id="16"/>
      </w:r>
      <w:r w:rsidRPr="00F04A23">
        <w:t xml:space="preserve"> on Hizentra®</w:t>
      </w:r>
      <w:r w:rsidR="00146F46">
        <w:t xml:space="preserve"> US and European pivotal trials.</w:t>
      </w:r>
    </w:p>
    <w:p w:rsidR="005F74D8" w:rsidRPr="00E005C8" w:rsidRDefault="005F74D8" w:rsidP="00B22239">
      <w:pPr>
        <w:pStyle w:val="ListBullet"/>
      </w:pPr>
      <w:r w:rsidRPr="00BD6E4E">
        <w:rPr>
          <w:b/>
        </w:rPr>
        <w:t>Report nos 2</w:t>
      </w:r>
      <w:r w:rsidRPr="00E005C8">
        <w:t xml:space="preserve"> PSUR 15</w:t>
      </w:r>
      <w:r w:rsidR="00B22239">
        <w:t xml:space="preserve"> </w:t>
      </w:r>
      <w:r w:rsidRPr="00E005C8">
        <w:t>Oct</w:t>
      </w:r>
      <w:r w:rsidR="00B22239">
        <w:t xml:space="preserve">ober </w:t>
      </w:r>
      <w:r w:rsidRPr="00E005C8">
        <w:t>2011 to 14</w:t>
      </w:r>
      <w:r w:rsidR="00B22239">
        <w:t xml:space="preserve"> </w:t>
      </w:r>
      <w:r w:rsidRPr="00E005C8">
        <w:t>Apr</w:t>
      </w:r>
      <w:r w:rsidR="00B22239">
        <w:t xml:space="preserve">il </w:t>
      </w:r>
      <w:r w:rsidRPr="00E005C8">
        <w:t xml:space="preserve">2012: </w:t>
      </w:r>
      <w:r w:rsidR="005159A3">
        <w:t>[information redacted]</w:t>
      </w:r>
      <w:r w:rsidRPr="00E005C8">
        <w:t xml:space="preserve"> 4041</w:t>
      </w:r>
      <w:r w:rsidR="003944A8">
        <w:t>years</w:t>
      </w:r>
      <w:r w:rsidRPr="00E005C8">
        <w:t xml:space="preserve"> of patient exposure. This PSUR presents a total of 425 initial spontaneous case reports from worldwide sources and one report from a clinical trial. 147 follow-up reports received during the current interval of this PSUR are included. 399 initial cases were medically confirmed, 103 thereof report serious events. Four cases reporting a fatal outcome were received during the current interval. 26 initial consumer reports were received. There was no safety related action taken by either regulatory authorities or the MAH during the reporting period. No changes have been made to the Reference Product Information for safety reasons.</w:t>
      </w:r>
    </w:p>
    <w:p w:rsidR="005F74D8" w:rsidRPr="00E005C8" w:rsidRDefault="005F74D8" w:rsidP="00B22239">
      <w:pPr>
        <w:pStyle w:val="ListBullet"/>
      </w:pPr>
      <w:r w:rsidRPr="00BD6E4E">
        <w:rPr>
          <w:b/>
        </w:rPr>
        <w:lastRenderedPageBreak/>
        <w:t>Report nos 3</w:t>
      </w:r>
      <w:r w:rsidRPr="00E005C8">
        <w:t xml:space="preserve"> PSUR Period 15</w:t>
      </w:r>
      <w:r w:rsidR="00B22239">
        <w:t xml:space="preserve"> </w:t>
      </w:r>
      <w:r w:rsidRPr="00E005C8">
        <w:t>Apr</w:t>
      </w:r>
      <w:r w:rsidR="00B22239">
        <w:t xml:space="preserve">il </w:t>
      </w:r>
      <w:r w:rsidRPr="00E005C8">
        <w:t>2012 to 14</w:t>
      </w:r>
      <w:r w:rsidR="00B22239">
        <w:t xml:space="preserve"> </w:t>
      </w:r>
      <w:r w:rsidRPr="00E005C8">
        <w:t>Oct</w:t>
      </w:r>
      <w:r w:rsidR="00B22239">
        <w:t xml:space="preserve">ober </w:t>
      </w:r>
      <w:r w:rsidRPr="00E005C8">
        <w:t xml:space="preserve">2012 </w:t>
      </w:r>
      <w:r w:rsidR="005159A3">
        <w:t>[information redacted]</w:t>
      </w:r>
      <w:r w:rsidRPr="00E005C8">
        <w:t xml:space="preserve"> 5430 </w:t>
      </w:r>
      <w:r w:rsidR="003944A8">
        <w:t>years</w:t>
      </w:r>
      <w:r w:rsidRPr="00E005C8">
        <w:t xml:space="preserve"> of patient exposure. This PSUR presents 436 new medically confirmed case reports from worldwide sources. Of these, 71 were classified as serious and 365 as non-serious. For 1 medically confirmed case a fatal outcome was reported. In addition, 56 non-medically confirmed consumer reports were registered</w:t>
      </w:r>
      <w:r w:rsidR="00146F46">
        <w:t>, including 14 serious reports.</w:t>
      </w:r>
    </w:p>
    <w:p w:rsidR="005F74D8" w:rsidRDefault="005F74D8" w:rsidP="005F74D8">
      <w:pPr>
        <w:pStyle w:val="ListParagraph"/>
        <w:autoSpaceDE w:val="0"/>
        <w:autoSpaceDN w:val="0"/>
        <w:adjustRightInd w:val="0"/>
        <w:spacing w:after="0" w:line="240" w:lineRule="auto"/>
        <w:ind w:left="0"/>
        <w:rPr>
          <w:rFonts w:ascii="Cambria" w:hAnsi="Cambria"/>
          <w:color w:val="000000" w:themeColor="text1"/>
        </w:rPr>
      </w:pPr>
      <w:r w:rsidRPr="00E005C8">
        <w:rPr>
          <w:rFonts w:ascii="Cambria" w:eastAsia="TimesNewRoman" w:hAnsi="Cambria" w:cs="TimesNewRoman"/>
          <w:color w:val="000000" w:themeColor="text1"/>
        </w:rPr>
        <w:t>As of January 2013 A few cases of IG class effects such as anaphylactic reactions, A</w:t>
      </w:r>
      <w:r>
        <w:rPr>
          <w:rFonts w:ascii="Cambria" w:eastAsia="TimesNewRoman" w:hAnsi="Cambria" w:cs="TimesNewRoman"/>
          <w:color w:val="000000" w:themeColor="text1"/>
        </w:rPr>
        <w:t>septic Meningitis Syndrome (</w:t>
      </w:r>
      <w:r w:rsidRPr="006352B8">
        <w:rPr>
          <w:rFonts w:ascii="Cambria" w:eastAsia="TimesNewRoman" w:hAnsi="Cambria" w:cs="TimesNewRoman"/>
          <w:b/>
          <w:color w:val="000000" w:themeColor="text1"/>
        </w:rPr>
        <w:t>AMS</w:t>
      </w:r>
      <w:r>
        <w:rPr>
          <w:rFonts w:ascii="Cambria" w:eastAsia="TimesNewRoman" w:hAnsi="Cambria" w:cs="TimesNewRoman"/>
          <w:color w:val="000000" w:themeColor="text1"/>
        </w:rPr>
        <w:t>)</w:t>
      </w:r>
      <w:r w:rsidRPr="00E005C8">
        <w:rPr>
          <w:rFonts w:ascii="Cambria" w:eastAsia="TimesNewRoman" w:hAnsi="Cambria" w:cs="TimesNewRoman"/>
          <w:color w:val="000000" w:themeColor="text1"/>
        </w:rPr>
        <w:t xml:space="preserve">, and </w:t>
      </w:r>
      <w:r>
        <w:rPr>
          <w:rFonts w:ascii="Cambria" w:eastAsia="TimesNewRoman" w:hAnsi="Cambria" w:cs="TimesNewRoman"/>
          <w:color w:val="000000" w:themeColor="text1"/>
        </w:rPr>
        <w:t xml:space="preserve">TEE </w:t>
      </w:r>
      <w:r w:rsidRPr="00E005C8">
        <w:rPr>
          <w:rFonts w:ascii="Cambria" w:eastAsia="TimesNewRoman" w:hAnsi="Cambria" w:cs="TimesNewRoman"/>
          <w:color w:val="000000" w:themeColor="text1"/>
        </w:rPr>
        <w:t xml:space="preserve">were reported, and the reporting rates of these events were considered as rare or well within the background rate in the general population. </w:t>
      </w:r>
      <w:r w:rsidRPr="00E005C8">
        <w:rPr>
          <w:rFonts w:ascii="Cambria" w:hAnsi="Cambria"/>
          <w:color w:val="000000" w:themeColor="text1"/>
        </w:rPr>
        <w:t>The Hizentra</w:t>
      </w:r>
      <w:r w:rsidRPr="00E005C8">
        <w:rPr>
          <w:rFonts w:ascii="Cambria" w:hAnsi="Cambria"/>
          <w:color w:val="000000" w:themeColor="text1"/>
        </w:rPr>
        <w:sym w:font="Symbol" w:char="F0D2"/>
      </w:r>
      <w:r>
        <w:rPr>
          <w:rFonts w:ascii="Cambria" w:hAnsi="Cambria"/>
          <w:color w:val="000000" w:themeColor="text1"/>
        </w:rPr>
        <w:t xml:space="preserve"> Company Core Data Sheet</w:t>
      </w:r>
      <w:r w:rsidRPr="00E005C8">
        <w:rPr>
          <w:rFonts w:ascii="Cambria" w:hAnsi="Cambria"/>
          <w:color w:val="000000" w:themeColor="text1"/>
        </w:rPr>
        <w:t>, dated 02/2012, was valid at the beginning of reporting period n</w:t>
      </w:r>
      <w:r w:rsidR="00B22239">
        <w:rPr>
          <w:rFonts w:ascii="Cambria" w:hAnsi="Cambria"/>
          <w:color w:val="000000" w:themeColor="text1"/>
        </w:rPr>
        <w:t>umbers</w:t>
      </w:r>
      <w:r w:rsidRPr="00E005C8">
        <w:rPr>
          <w:rFonts w:ascii="Cambria" w:hAnsi="Cambria"/>
          <w:color w:val="000000" w:themeColor="text1"/>
        </w:rPr>
        <w:t xml:space="preserve"> 3 and has been used as the Ref</w:t>
      </w:r>
      <w:r>
        <w:rPr>
          <w:rFonts w:ascii="Cambria" w:hAnsi="Cambria"/>
          <w:color w:val="000000" w:themeColor="text1"/>
        </w:rPr>
        <w:t xml:space="preserve">erence Safety Information </w:t>
      </w:r>
      <w:r w:rsidRPr="00E005C8">
        <w:rPr>
          <w:rFonts w:ascii="Cambria" w:hAnsi="Cambria"/>
          <w:color w:val="000000" w:themeColor="text1"/>
        </w:rPr>
        <w:t xml:space="preserve">for PSUR nos 3. </w:t>
      </w:r>
      <w:r w:rsidRPr="00E005C8">
        <w:rPr>
          <w:rFonts w:ascii="Cambria" w:hAnsi="Cambria"/>
          <w:b/>
          <w:color w:val="000000" w:themeColor="text1"/>
        </w:rPr>
        <w:t>CHANGES PLANNED</w:t>
      </w:r>
      <w:r w:rsidRPr="00E005C8">
        <w:rPr>
          <w:rFonts w:ascii="Cambria" w:hAnsi="Cambria"/>
          <w:color w:val="000000" w:themeColor="text1"/>
        </w:rPr>
        <w:t>: An update of</w:t>
      </w:r>
      <w:r>
        <w:rPr>
          <w:rFonts w:ascii="Cambria" w:hAnsi="Cambria"/>
          <w:color w:val="000000" w:themeColor="text1"/>
        </w:rPr>
        <w:t xml:space="preserve"> the CCSI and afterwards of </w:t>
      </w:r>
      <w:r w:rsidRPr="00E005C8">
        <w:rPr>
          <w:rFonts w:ascii="Cambria" w:hAnsi="Cambria"/>
          <w:color w:val="000000" w:themeColor="text1"/>
        </w:rPr>
        <w:t xml:space="preserve">national labelling is currently in progress concerning </w:t>
      </w:r>
      <w:r w:rsidRPr="006352B8">
        <w:rPr>
          <w:rFonts w:ascii="Cambria" w:hAnsi="Cambria"/>
          <w:b/>
          <w:color w:val="000000" w:themeColor="text1"/>
        </w:rPr>
        <w:t>inclusion</w:t>
      </w:r>
      <w:r w:rsidRPr="00E005C8">
        <w:rPr>
          <w:rFonts w:ascii="Cambria" w:hAnsi="Cambria"/>
          <w:color w:val="000000" w:themeColor="text1"/>
        </w:rPr>
        <w:t xml:space="preserve"> of </w:t>
      </w:r>
      <w:r w:rsidRPr="006352B8">
        <w:rPr>
          <w:rFonts w:ascii="Cambria" w:hAnsi="Cambria"/>
          <w:b/>
          <w:color w:val="000000" w:themeColor="text1"/>
        </w:rPr>
        <w:t>TEE and AMS.</w:t>
      </w:r>
    </w:p>
    <w:p w:rsidR="005F74D8" w:rsidRPr="00E005C8" w:rsidRDefault="005F74D8" w:rsidP="00B22239">
      <w:pPr>
        <w:pStyle w:val="Heading3"/>
      </w:pPr>
      <w:bookmarkStart w:id="368" w:name="_Ref272333005"/>
      <w:bookmarkStart w:id="369" w:name="_Toc272414680"/>
      <w:bookmarkStart w:id="370" w:name="_Toc290846318"/>
      <w:bookmarkStart w:id="371" w:name="_Toc373748451"/>
      <w:bookmarkStart w:id="372" w:name="_Toc392757323"/>
      <w:r w:rsidRPr="00E005C8">
        <w:t>Safety issues with the potential for major regulatory imp</w:t>
      </w:r>
      <w:bookmarkEnd w:id="368"/>
      <w:bookmarkEnd w:id="369"/>
      <w:r w:rsidRPr="00E005C8">
        <w:t>act</w:t>
      </w:r>
      <w:bookmarkEnd w:id="370"/>
      <w:bookmarkEnd w:id="371"/>
      <w:bookmarkEnd w:id="372"/>
    </w:p>
    <w:p w:rsidR="005F74D8" w:rsidRPr="00E005C8" w:rsidRDefault="005F74D8" w:rsidP="00B22239">
      <w:pPr>
        <w:pStyle w:val="Heading4"/>
      </w:pPr>
      <w:bookmarkStart w:id="373" w:name="_Toc272414681"/>
      <w:bookmarkStart w:id="374" w:name="_Toc290846319"/>
      <w:bookmarkStart w:id="375" w:name="_Toc373748452"/>
      <w:r w:rsidRPr="00E005C8">
        <w:t>Liver toxicity</w:t>
      </w:r>
      <w:bookmarkEnd w:id="373"/>
      <w:bookmarkEnd w:id="374"/>
      <w:bookmarkEnd w:id="375"/>
    </w:p>
    <w:p w:rsidR="005F74D8" w:rsidRDefault="005F74D8" w:rsidP="00B22239">
      <w:r w:rsidRPr="00E005C8">
        <w:t>None.</w:t>
      </w:r>
    </w:p>
    <w:p w:rsidR="005F74D8" w:rsidRPr="00E005C8" w:rsidRDefault="005F74D8" w:rsidP="00B22239">
      <w:pPr>
        <w:pStyle w:val="Heading4"/>
      </w:pPr>
      <w:bookmarkStart w:id="376" w:name="_Toc272414682"/>
      <w:bookmarkStart w:id="377" w:name="_Toc290846320"/>
      <w:bookmarkStart w:id="378" w:name="_Toc373748453"/>
      <w:r w:rsidRPr="00E005C8">
        <w:t>Haematological toxicity</w:t>
      </w:r>
      <w:bookmarkEnd w:id="376"/>
      <w:bookmarkEnd w:id="377"/>
      <w:bookmarkEnd w:id="378"/>
    </w:p>
    <w:p w:rsidR="005F74D8" w:rsidRDefault="00146F46" w:rsidP="00B22239">
      <w:r>
        <w:t>None.</w:t>
      </w:r>
    </w:p>
    <w:p w:rsidR="005F74D8" w:rsidRPr="00E005C8" w:rsidRDefault="005F74D8" w:rsidP="00B22239">
      <w:pPr>
        <w:pStyle w:val="Heading4"/>
      </w:pPr>
      <w:bookmarkStart w:id="379" w:name="_Toc272414683"/>
      <w:bookmarkStart w:id="380" w:name="_Toc290846321"/>
      <w:bookmarkStart w:id="381" w:name="_Toc373748454"/>
      <w:r w:rsidRPr="00E005C8">
        <w:t>Serious skin reactions</w:t>
      </w:r>
      <w:bookmarkEnd w:id="379"/>
      <w:bookmarkEnd w:id="380"/>
      <w:bookmarkEnd w:id="381"/>
    </w:p>
    <w:p w:rsidR="005F74D8" w:rsidRDefault="005F74D8" w:rsidP="005F74D8">
      <w:pPr>
        <w:autoSpaceDE w:val="0"/>
        <w:autoSpaceDN w:val="0"/>
        <w:adjustRightInd w:val="0"/>
        <w:rPr>
          <w:color w:val="000000" w:themeColor="text1"/>
        </w:rPr>
      </w:pPr>
      <w:r w:rsidRPr="00E005C8">
        <w:rPr>
          <w:color w:val="000000" w:themeColor="text1"/>
        </w:rPr>
        <w:t>None.</w:t>
      </w:r>
    </w:p>
    <w:p w:rsidR="005F74D8" w:rsidRPr="00E005C8" w:rsidRDefault="005F74D8" w:rsidP="00B22239">
      <w:pPr>
        <w:pStyle w:val="Heading4"/>
      </w:pPr>
      <w:bookmarkStart w:id="382" w:name="_Toc272414684"/>
      <w:bookmarkStart w:id="383" w:name="_Toc290846322"/>
      <w:bookmarkStart w:id="384" w:name="_Toc373748455"/>
      <w:r w:rsidRPr="00E005C8">
        <w:t>Cardiovascular safety</w:t>
      </w:r>
      <w:bookmarkEnd w:id="382"/>
      <w:bookmarkEnd w:id="383"/>
      <w:bookmarkEnd w:id="384"/>
    </w:p>
    <w:p w:rsidR="005F74D8" w:rsidRDefault="005F74D8" w:rsidP="005F74D8">
      <w:pPr>
        <w:autoSpaceDE w:val="0"/>
        <w:autoSpaceDN w:val="0"/>
        <w:adjustRightInd w:val="0"/>
        <w:rPr>
          <w:color w:val="000000" w:themeColor="text1"/>
        </w:rPr>
      </w:pPr>
      <w:r w:rsidRPr="00E005C8">
        <w:rPr>
          <w:color w:val="000000" w:themeColor="text1"/>
        </w:rPr>
        <w:t>None.</w:t>
      </w:r>
    </w:p>
    <w:p w:rsidR="005F74D8" w:rsidRPr="00E005C8" w:rsidRDefault="005F74D8" w:rsidP="00B22239">
      <w:pPr>
        <w:pStyle w:val="Heading4"/>
      </w:pPr>
      <w:bookmarkStart w:id="385" w:name="_Toc241374323"/>
      <w:bookmarkStart w:id="386" w:name="_Toc272414685"/>
      <w:bookmarkStart w:id="387" w:name="_Toc290846323"/>
      <w:bookmarkStart w:id="388" w:name="_Toc373748456"/>
      <w:r w:rsidRPr="00E005C8">
        <w:t>Unwanted immunological events</w:t>
      </w:r>
      <w:bookmarkEnd w:id="385"/>
      <w:bookmarkEnd w:id="386"/>
      <w:bookmarkEnd w:id="387"/>
      <w:bookmarkEnd w:id="388"/>
    </w:p>
    <w:p w:rsidR="005F74D8" w:rsidRDefault="005F74D8" w:rsidP="005F74D8">
      <w:pPr>
        <w:autoSpaceDE w:val="0"/>
        <w:autoSpaceDN w:val="0"/>
        <w:adjustRightInd w:val="0"/>
        <w:rPr>
          <w:color w:val="000000" w:themeColor="text1"/>
        </w:rPr>
      </w:pPr>
      <w:r w:rsidRPr="00E005C8">
        <w:rPr>
          <w:color w:val="000000" w:themeColor="text1"/>
        </w:rPr>
        <w:t>None revealed.</w:t>
      </w:r>
    </w:p>
    <w:p w:rsidR="005F74D8" w:rsidRPr="00E005C8" w:rsidRDefault="005F74D8" w:rsidP="00B22239">
      <w:pPr>
        <w:pStyle w:val="Heading3"/>
      </w:pPr>
      <w:bookmarkStart w:id="389" w:name="_Toc272414686"/>
      <w:bookmarkStart w:id="390" w:name="_Ref273005527"/>
      <w:bookmarkStart w:id="391" w:name="_Toc290846324"/>
      <w:bookmarkStart w:id="392" w:name="_Toc373748457"/>
      <w:bookmarkStart w:id="393" w:name="_Toc392757324"/>
      <w:r w:rsidRPr="00E005C8">
        <w:t>Other safety issues</w:t>
      </w:r>
      <w:bookmarkEnd w:id="389"/>
      <w:bookmarkEnd w:id="390"/>
      <w:bookmarkEnd w:id="391"/>
      <w:bookmarkEnd w:id="392"/>
      <w:bookmarkEnd w:id="393"/>
    </w:p>
    <w:p w:rsidR="005F74D8" w:rsidRPr="00E005C8" w:rsidRDefault="005F74D8" w:rsidP="00B22239">
      <w:pPr>
        <w:pStyle w:val="Heading4"/>
      </w:pPr>
      <w:bookmarkStart w:id="394" w:name="_Toc241374322"/>
      <w:bookmarkStart w:id="395" w:name="_Ref272331212"/>
      <w:bookmarkStart w:id="396" w:name="_Toc272414687"/>
      <w:bookmarkStart w:id="397" w:name="_Toc290846325"/>
      <w:bookmarkStart w:id="398" w:name="_Toc373748458"/>
      <w:r w:rsidRPr="00E005C8">
        <w:t>Safety in special populations</w:t>
      </w:r>
      <w:bookmarkEnd w:id="394"/>
      <w:bookmarkEnd w:id="395"/>
      <w:bookmarkEnd w:id="396"/>
      <w:bookmarkEnd w:id="397"/>
      <w:bookmarkEnd w:id="398"/>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Several subgroup analyses were performed with the caveat that these were a) exploratory in all studies, b) were mostly performed for selected AE categories, and c) subgroup definitions of IgPro20 infusion rate/volume were different between the studies due to differences in study design. In addition, the</w:t>
      </w:r>
      <w:r w:rsidR="00B22239">
        <w:rPr>
          <w:rFonts w:eastAsia="TimesNewRoman" w:cs="TimesNewRoman"/>
          <w:color w:val="000000" w:themeColor="text1"/>
        </w:rPr>
        <w:t xml:space="preserve"> n</w:t>
      </w:r>
      <w:r w:rsidR="0070299A">
        <w:rPr>
          <w:rFonts w:eastAsia="TimesNewRoman" w:cs="TimesNewRoman"/>
          <w:color w:val="000000" w:themeColor="text1"/>
        </w:rPr>
        <w:t xml:space="preserve">umber </w:t>
      </w:r>
      <w:r w:rsidRPr="00E005C8">
        <w:rPr>
          <w:rFonts w:eastAsia="TimesNewRoman" w:cs="TimesNewRoman"/>
          <w:color w:val="000000" w:themeColor="text1"/>
        </w:rPr>
        <w:t>of subjects in some subgroups w</w:t>
      </w:r>
      <w:r w:rsidR="00B22239">
        <w:rPr>
          <w:rFonts w:eastAsia="TimesNewRoman" w:cs="TimesNewRoman"/>
          <w:color w:val="000000" w:themeColor="text1"/>
        </w:rPr>
        <w:t>as</w:t>
      </w:r>
      <w:r w:rsidRPr="00E005C8">
        <w:rPr>
          <w:rFonts w:eastAsia="TimesNewRoman" w:cs="TimesNewRoman"/>
          <w:color w:val="000000" w:themeColor="text1"/>
        </w:rPr>
        <w:t xml:space="preserve"> too small to perform the planned subgroup analyses at all or to draw any meaningful conclusions. Included were the following intrinsic factors: age, gender, underlying disease, ethnicity; </w:t>
      </w:r>
      <w:r w:rsidRPr="00E005C8">
        <w:rPr>
          <w:rFonts w:eastAsia="TimesNewRoman" w:cs="TimesNewRoman"/>
          <w:b/>
          <w:color w:val="000000" w:themeColor="text1"/>
        </w:rPr>
        <w:t>Extrinsic factors:</w:t>
      </w:r>
      <w:r w:rsidRPr="00E005C8">
        <w:rPr>
          <w:rFonts w:eastAsia="TimesNewRoman" w:cs="TimesNewRoman"/>
          <w:color w:val="000000" w:themeColor="text1"/>
        </w:rPr>
        <w:t xml:space="preserve"> prior replacement therapy, Infusion Rate/Dose Volume, Treatment Setting (Home Versus Investigational Site). Pregnant women, breastfeeding mothers, and women planning pregnancy were not included</w:t>
      </w:r>
      <w:r w:rsidR="00B22239">
        <w:rPr>
          <w:rFonts w:eastAsia="TimesNewRoman" w:cs="TimesNewRoman"/>
          <w:color w:val="000000" w:themeColor="text1"/>
        </w:rPr>
        <w:t xml:space="preserve"> </w:t>
      </w:r>
      <w:r w:rsidRPr="00E005C8">
        <w:rPr>
          <w:rFonts w:eastAsia="TimesNewRoman" w:cs="TimesNewRoman"/>
          <w:color w:val="000000" w:themeColor="text1"/>
        </w:rPr>
        <w:t>in the studies on IgPro20, and no cases of pregnancy were reported in these studies. Clinical exp</w:t>
      </w:r>
      <w:r>
        <w:rPr>
          <w:rFonts w:eastAsia="TimesNewRoman" w:cs="TimesNewRoman"/>
          <w:color w:val="000000" w:themeColor="text1"/>
        </w:rPr>
        <w:t xml:space="preserve">erience with IG’s suggests </w:t>
      </w:r>
      <w:r w:rsidRPr="00E005C8">
        <w:rPr>
          <w:rFonts w:eastAsia="TimesNewRoman" w:cs="TimesNewRoman"/>
          <w:color w:val="000000" w:themeColor="text1"/>
        </w:rPr>
        <w:t>no harmful effects on the course of the pregnancy or on the f</w:t>
      </w:r>
      <w:r>
        <w:rPr>
          <w:rFonts w:eastAsia="TimesNewRoman" w:cs="TimesNewRoman"/>
          <w:color w:val="000000" w:themeColor="text1"/>
        </w:rPr>
        <w:t>o</w:t>
      </w:r>
      <w:r w:rsidRPr="00E005C8">
        <w:rPr>
          <w:rFonts w:eastAsia="TimesNewRoman" w:cs="TimesNewRoman"/>
          <w:color w:val="000000" w:themeColor="text1"/>
        </w:rPr>
        <w:t xml:space="preserve">etus are to be expected. In addition, there are reports in the literature of SC administration of </w:t>
      </w:r>
      <w:r>
        <w:rPr>
          <w:rFonts w:eastAsia="TimesNewRoman" w:cs="TimesNewRoman"/>
          <w:color w:val="000000" w:themeColor="text1"/>
        </w:rPr>
        <w:t xml:space="preserve">Ig </w:t>
      </w:r>
      <w:r w:rsidRPr="00E005C8">
        <w:rPr>
          <w:rFonts w:eastAsia="TimesNewRoman" w:cs="TimesNewRoman"/>
          <w:color w:val="000000" w:themeColor="text1"/>
        </w:rPr>
        <w:t>replacement therapy for PID in pregnant women with good efficacy and safety. Gardulf et al. reported the use of SCIG infusions during 11 pregnancies in 9 women (</w:t>
      </w:r>
      <w:r w:rsidRPr="005F74D8">
        <w:rPr>
          <w:rFonts w:eastAsia="TimesNewRoman" w:cs="TimesNewRoman"/>
          <w:color w:val="000000" w:themeColor="text1"/>
          <w:highlight w:val="lightGray"/>
        </w:rPr>
        <w:t>Gardulf et al. 2001</w:t>
      </w:r>
      <w:r w:rsidRPr="00E005C8">
        <w:rPr>
          <w:rFonts w:eastAsia="TimesNewRoman" w:cs="TimesNewRoman"/>
          <w:color w:val="000000" w:themeColor="text1"/>
        </w:rPr>
        <w:t xml:space="preserve">). </w:t>
      </w:r>
      <w:r w:rsidR="0070299A">
        <w:rPr>
          <w:rFonts w:eastAsia="TimesNewRoman" w:cs="TimesNewRoman"/>
          <w:color w:val="000000" w:themeColor="text1"/>
        </w:rPr>
        <w:t>Week</w:t>
      </w:r>
      <w:r w:rsidRPr="00E005C8">
        <w:rPr>
          <w:rFonts w:eastAsia="TimesNewRoman" w:cs="TimesNewRoman"/>
          <w:color w:val="000000" w:themeColor="text1"/>
        </w:rPr>
        <w:t>ly SC infusions were administered at a dose</w:t>
      </w:r>
      <w:r>
        <w:rPr>
          <w:rFonts w:eastAsia="TimesNewRoman" w:cs="TimesNewRoman"/>
          <w:color w:val="000000" w:themeColor="text1"/>
        </w:rPr>
        <w:t xml:space="preserve"> of 100 mg/kg bw throughout </w:t>
      </w:r>
      <w:r w:rsidRPr="00E005C8">
        <w:rPr>
          <w:rFonts w:eastAsia="TimesNewRoman" w:cs="TimesNewRoman"/>
          <w:color w:val="000000" w:themeColor="text1"/>
        </w:rPr>
        <w:t>pregnancy. No systemic AEs were recorded duri</w:t>
      </w:r>
      <w:r>
        <w:rPr>
          <w:rFonts w:eastAsia="TimesNewRoman" w:cs="TimesNewRoman"/>
          <w:color w:val="000000" w:themeColor="text1"/>
        </w:rPr>
        <w:t xml:space="preserve">ng more than 400 infusions; </w:t>
      </w:r>
      <w:r w:rsidRPr="00E005C8">
        <w:rPr>
          <w:rFonts w:eastAsia="TimesNewRoman" w:cs="TimesNewRoman"/>
          <w:color w:val="000000" w:themeColor="text1"/>
        </w:rPr>
        <w:t>no pronounced local tissue reactions were noted. The 9 women gave birth to 11 healthy children after uneventful gestations; none of the infants required additional IgG after delivery. In addition, in a pregnant woman with a previous anaphylactic reaction to IVIG, the IVIG was successfully replaced by SCIG (</w:t>
      </w:r>
      <w:r w:rsidRPr="005F74D8">
        <w:rPr>
          <w:rFonts w:eastAsia="TimesNewRoman" w:cs="TimesNewRoman"/>
          <w:color w:val="000000" w:themeColor="text1"/>
          <w:highlight w:val="lightGray"/>
        </w:rPr>
        <w:t>Berger et al. 1982</w:t>
      </w:r>
      <w:r w:rsidR="00146F46">
        <w:rPr>
          <w:rFonts w:eastAsia="TimesNewRoman" w:cs="TimesNewRoman"/>
          <w:color w:val="000000" w:themeColor="text1"/>
        </w:rPr>
        <w:t>).</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lastRenderedPageBreak/>
        <w:t>After administration of IVIG products, IgGs are excreted into the milk and may contribute to the transfer of protective antibodi</w:t>
      </w:r>
      <w:r>
        <w:rPr>
          <w:rFonts w:eastAsia="TimesNewRoman" w:cs="TimesNewRoman"/>
          <w:color w:val="000000" w:themeColor="text1"/>
        </w:rPr>
        <w:t xml:space="preserve">es to the neonate </w:t>
      </w:r>
      <w:r w:rsidRPr="005F74D8">
        <w:rPr>
          <w:rFonts w:eastAsia="TimesNewRoman" w:cs="TimesNewRoman"/>
          <w:color w:val="000000" w:themeColor="text1"/>
          <w:highlight w:val="lightGray"/>
        </w:rPr>
        <w:t>(Privigen SPC</w:t>
      </w:r>
      <w:r w:rsidRPr="00E005C8">
        <w:rPr>
          <w:rFonts w:eastAsia="TimesNewRoman" w:cs="TimesNewRoman"/>
          <w:color w:val="000000" w:themeColor="text1"/>
        </w:rPr>
        <w:t>). As the route of administration is irrelevant for the passive transfer of antibodies once they are in the circulation and due to the similar pathophysiology of IVIG and SCIG products, this transfer is also expected to apply to IgPro20.</w:t>
      </w:r>
    </w:p>
    <w:p w:rsidR="005F74D8" w:rsidRDefault="005F74D8" w:rsidP="005F74D8">
      <w:pPr>
        <w:autoSpaceDE w:val="0"/>
        <w:autoSpaceDN w:val="0"/>
        <w:adjustRightInd w:val="0"/>
        <w:rPr>
          <w:rFonts w:eastAsia="TimesNewRoman" w:cs="TimesNewRoman"/>
          <w:color w:val="000000" w:themeColor="text1"/>
        </w:rPr>
      </w:pPr>
      <w:r>
        <w:rPr>
          <w:rFonts w:eastAsia="TimesNewRoman" w:cs="TimesNewRoman"/>
          <w:color w:val="000000" w:themeColor="text1"/>
        </w:rPr>
        <w:t>No genotoxicity studies have been performed with Hizentra</w:t>
      </w:r>
      <w:r>
        <w:rPr>
          <w:rFonts w:eastAsia="TimesNewRoman" w:cs="TimesNewRoman"/>
          <w:color w:val="000000" w:themeColor="text1"/>
        </w:rPr>
        <w:sym w:font="Symbol" w:char="F0D2"/>
      </w:r>
      <w:r>
        <w:rPr>
          <w:rFonts w:eastAsia="TimesNewRoman" w:cs="TimesNewRoman"/>
          <w:color w:val="000000" w:themeColor="text1"/>
        </w:rPr>
        <w:t>. L-proline is not genotoxic in any of the testing performed (see above).</w:t>
      </w:r>
    </w:p>
    <w:p w:rsidR="005F74D8" w:rsidRPr="00E005C8" w:rsidRDefault="005F74D8" w:rsidP="00B22239">
      <w:pPr>
        <w:pStyle w:val="Heading3"/>
      </w:pPr>
      <w:bookmarkStart w:id="399" w:name="_Toc241374324"/>
      <w:bookmarkStart w:id="400" w:name="_Ref272331214"/>
      <w:bookmarkStart w:id="401" w:name="_Toc272414688"/>
      <w:bookmarkStart w:id="402" w:name="_Toc290846326"/>
      <w:bookmarkStart w:id="403" w:name="_Toc373748459"/>
      <w:bookmarkStart w:id="404" w:name="_Toc392757325"/>
      <w:r w:rsidRPr="00E005C8">
        <w:t>Safety related to drug-drug interactions and other interactions</w:t>
      </w:r>
      <w:bookmarkEnd w:id="399"/>
      <w:bookmarkEnd w:id="400"/>
      <w:bookmarkEnd w:id="401"/>
      <w:bookmarkEnd w:id="402"/>
      <w:bookmarkEnd w:id="403"/>
      <w:bookmarkEnd w:id="404"/>
    </w:p>
    <w:p w:rsidR="005F74D8" w:rsidRDefault="005F74D8" w:rsidP="005F74D8">
      <w:pPr>
        <w:autoSpaceDE w:val="0"/>
        <w:autoSpaceDN w:val="0"/>
        <w:adjustRightInd w:val="0"/>
        <w:rPr>
          <w:color w:val="000000" w:themeColor="text1"/>
        </w:rPr>
      </w:pPr>
      <w:r w:rsidRPr="00E005C8">
        <w:rPr>
          <w:color w:val="000000" w:themeColor="text1"/>
        </w:rPr>
        <w:t>No formal drug-IgPro20 interaction studies were conducted and “interaction” data in regards to the administration of live attenuated vaccines in the PI is extrapolated from data derived from the registration of other immun</w:t>
      </w:r>
      <w:r w:rsidR="00146F46">
        <w:rPr>
          <w:color w:val="000000" w:themeColor="text1"/>
        </w:rPr>
        <w:t>oglobulin replacement products.</w:t>
      </w:r>
    </w:p>
    <w:p w:rsidR="005F74D8" w:rsidRPr="00E005C8" w:rsidRDefault="005F74D8" w:rsidP="00B22239">
      <w:pPr>
        <w:pStyle w:val="Heading3"/>
      </w:pPr>
      <w:bookmarkStart w:id="405" w:name="_Toc241374328"/>
      <w:bookmarkStart w:id="406" w:name="_Toc272414691"/>
      <w:bookmarkStart w:id="407" w:name="_Toc290846329"/>
      <w:bookmarkStart w:id="408" w:name="_Toc373748460"/>
      <w:bookmarkStart w:id="409" w:name="_Toc392757326"/>
      <w:r w:rsidRPr="00E005C8">
        <w:t>Evaluator’s overall conclusions on clinical safety</w:t>
      </w:r>
      <w:bookmarkEnd w:id="405"/>
      <w:bookmarkEnd w:id="406"/>
      <w:bookmarkEnd w:id="407"/>
      <w:bookmarkEnd w:id="408"/>
      <w:bookmarkEnd w:id="409"/>
    </w:p>
    <w:p w:rsidR="005F74D8" w:rsidRDefault="005F74D8" w:rsidP="005F74D8">
      <w:pPr>
        <w:autoSpaceDE w:val="0"/>
        <w:autoSpaceDN w:val="0"/>
        <w:adjustRightInd w:val="0"/>
        <w:rPr>
          <w:rFonts w:eastAsia="TimesNewRoman" w:cs="TimesNewRoman"/>
          <w:color w:val="000000" w:themeColor="text1"/>
        </w:rPr>
      </w:pPr>
      <w:r>
        <w:rPr>
          <w:rFonts w:eastAsia="TimesNewRoman" w:cs="TimesNewRoman"/>
          <w:color w:val="000000" w:themeColor="text1"/>
        </w:rPr>
        <w:t>SC Hizentra</w:t>
      </w:r>
      <w:r>
        <w:rPr>
          <w:rFonts w:eastAsia="TimesNewRoman" w:cs="TimesNewRoman"/>
          <w:color w:val="000000" w:themeColor="text1"/>
        </w:rPr>
        <w:sym w:font="Symbol" w:char="F0D2"/>
      </w:r>
      <w:r>
        <w:rPr>
          <w:rFonts w:eastAsia="TimesNewRoman" w:cs="TimesNewRoman"/>
          <w:color w:val="000000" w:themeColor="text1"/>
        </w:rPr>
        <w:t xml:space="preserve"> has been trialled in relatively few adults and children but PID is a relatively rare disease and the studies included in this </w:t>
      </w:r>
      <w:r w:rsidR="00B22239">
        <w:rPr>
          <w:rFonts w:eastAsia="TimesNewRoman" w:cs="TimesNewRoman"/>
          <w:color w:val="000000" w:themeColor="text1"/>
        </w:rPr>
        <w:t>a</w:t>
      </w:r>
      <w:r>
        <w:rPr>
          <w:rFonts w:eastAsia="TimesNewRoman" w:cs="TimesNewRoman"/>
          <w:color w:val="000000" w:themeColor="text1"/>
        </w:rPr>
        <w:t xml:space="preserve">pplication were conducted appropriately and in accordance with </w:t>
      </w:r>
      <w:r w:rsidR="00B22239">
        <w:rPr>
          <w:rFonts w:eastAsia="TimesNewRoman" w:cs="TimesNewRoman"/>
          <w:color w:val="000000" w:themeColor="text1"/>
        </w:rPr>
        <w:t>European Medicines Agency (</w:t>
      </w:r>
      <w:r>
        <w:rPr>
          <w:rFonts w:eastAsia="TimesNewRoman" w:cs="TimesNewRoman"/>
          <w:color w:val="000000" w:themeColor="text1"/>
        </w:rPr>
        <w:t>EMA</w:t>
      </w:r>
      <w:r w:rsidR="00B22239">
        <w:rPr>
          <w:rFonts w:eastAsia="TimesNewRoman" w:cs="TimesNewRoman"/>
          <w:color w:val="000000" w:themeColor="text1"/>
        </w:rPr>
        <w:t>)</w:t>
      </w:r>
      <w:r>
        <w:rPr>
          <w:rFonts w:eastAsia="TimesNewRoman" w:cs="TimesNewRoman"/>
          <w:color w:val="000000" w:themeColor="text1"/>
        </w:rPr>
        <w:t xml:space="preserve"> and FDA guidelines. The drug is well tolerated and as expected, a</w:t>
      </w:r>
      <w:r w:rsidRPr="00E005C8">
        <w:rPr>
          <w:rFonts w:eastAsia="TimesNewRoman" w:cs="TimesNewRoman"/>
          <w:color w:val="000000" w:themeColor="text1"/>
        </w:rPr>
        <w:t xml:space="preserve">cross the clinical studies, the most common AEs reported were local reactions at the injection site. These reactions </w:t>
      </w:r>
      <w:r w:rsidRPr="001F67F2">
        <w:rPr>
          <w:rFonts w:eastAsia="TimesNewRoman" w:cs="TimesNewRoman"/>
          <w:b/>
          <w:color w:val="000000" w:themeColor="text1"/>
        </w:rPr>
        <w:t>are expected</w:t>
      </w:r>
      <w:r w:rsidRPr="00E005C8">
        <w:rPr>
          <w:rFonts w:eastAsia="TimesNewRoman" w:cs="TimesNewRoman"/>
          <w:color w:val="000000" w:themeColor="text1"/>
        </w:rPr>
        <w:t xml:space="preserve"> with SC infusions of relatively large volumes and most were mild in intensity and </w:t>
      </w:r>
      <w:r>
        <w:rPr>
          <w:rFonts w:eastAsia="TimesNewRoman" w:cs="TimesNewRoman"/>
          <w:color w:val="000000" w:themeColor="text1"/>
        </w:rPr>
        <w:t xml:space="preserve">of short </w:t>
      </w:r>
      <w:r w:rsidRPr="00E005C8">
        <w:rPr>
          <w:rFonts w:eastAsia="TimesNewRoman" w:cs="TimesNewRoman"/>
          <w:color w:val="000000" w:themeColor="text1"/>
        </w:rPr>
        <w:t>duration. Excluding infections, all other AEs apart fro</w:t>
      </w:r>
      <w:r>
        <w:rPr>
          <w:rFonts w:eastAsia="TimesNewRoman" w:cs="TimesNewRoman"/>
          <w:color w:val="000000" w:themeColor="text1"/>
        </w:rPr>
        <w:t xml:space="preserve">m local reactions occurred in </w:t>
      </w:r>
      <w:r w:rsidR="00B22239">
        <w:rPr>
          <w:rFonts w:eastAsia="TimesNewRoman" w:cs="TimesNewRoman"/>
          <w:color w:val="000000" w:themeColor="text1"/>
        </w:rPr>
        <w:t>≤</w:t>
      </w:r>
      <w:r w:rsidRPr="00E005C8">
        <w:rPr>
          <w:rFonts w:eastAsia="TimesNewRoman" w:cs="TimesNewRoman"/>
          <w:color w:val="000000" w:themeColor="text1"/>
        </w:rPr>
        <w:t>7 subjects (</w:t>
      </w:r>
      <w:r w:rsidR="00B22239">
        <w:rPr>
          <w:rFonts w:eastAsia="TimesNewRoman" w:cs="TimesNewRoman"/>
          <w:color w:val="000000" w:themeColor="text1"/>
        </w:rPr>
        <w:t xml:space="preserve">≤ </w:t>
      </w:r>
      <w:r w:rsidRPr="00E005C8">
        <w:rPr>
          <w:rFonts w:eastAsia="TimesNewRoman" w:cs="TimesNewRoman"/>
          <w:color w:val="000000" w:themeColor="text1"/>
        </w:rPr>
        <w:t>28%) in th</w:t>
      </w:r>
      <w:r>
        <w:rPr>
          <w:rFonts w:eastAsia="TimesNewRoman" w:cs="TimesNewRoman"/>
          <w:color w:val="000000" w:themeColor="text1"/>
        </w:rPr>
        <w:t>e combined Japan studies, and &lt;</w:t>
      </w:r>
      <w:r w:rsidRPr="00E005C8">
        <w:rPr>
          <w:rFonts w:eastAsia="TimesNewRoman" w:cs="TimesNewRoman"/>
          <w:color w:val="000000" w:themeColor="text1"/>
        </w:rPr>
        <w:t xml:space="preserve">13 subjects in any of the European and US studies. Although a slightly higher proportion of subjects in the European and US studies (ZLB06_001CR, ZLB04_009CR, and IgPro20_3001) than in the Japan studies reported AEs excluding infections and local reactions, the overall rate of AEs per infusion </w:t>
      </w:r>
      <w:r w:rsidRPr="00AA7A53">
        <w:rPr>
          <w:rFonts w:eastAsia="TimesNewRoman" w:cs="TimesNewRoman"/>
          <w:b/>
          <w:color w:val="000000" w:themeColor="text1"/>
        </w:rPr>
        <w:t>was lower than the rate reported for IVIG</w:t>
      </w:r>
      <w:r w:rsidR="00146F46">
        <w:rPr>
          <w:rFonts w:eastAsia="TimesNewRoman" w:cs="TimesNewRoman"/>
          <w:color w:val="000000" w:themeColor="text1"/>
        </w:rPr>
        <w:t>.</w:t>
      </w:r>
    </w:p>
    <w:p w:rsidR="005F74D8" w:rsidRDefault="005F74D8" w:rsidP="005F74D8">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Although </w:t>
      </w:r>
      <w:r>
        <w:rPr>
          <w:rFonts w:eastAsia="TimesNewRoman" w:cs="TimesNewRoman"/>
          <w:color w:val="000000" w:themeColor="text1"/>
        </w:rPr>
        <w:t xml:space="preserve">most subjects had </w:t>
      </w:r>
      <w:r w:rsidRPr="00E005C8">
        <w:rPr>
          <w:rFonts w:eastAsia="TimesNewRoman" w:cs="TimesNewRoman"/>
          <w:color w:val="000000" w:themeColor="text1"/>
        </w:rPr>
        <w:t xml:space="preserve">local </w:t>
      </w:r>
      <w:r>
        <w:rPr>
          <w:rFonts w:eastAsia="TimesNewRoman" w:cs="TimesNewRoman"/>
          <w:color w:val="000000" w:themeColor="text1"/>
        </w:rPr>
        <w:t xml:space="preserve">site </w:t>
      </w:r>
      <w:r w:rsidRPr="00E005C8">
        <w:rPr>
          <w:rFonts w:eastAsia="TimesNewRoman" w:cs="TimesNewRoman"/>
          <w:color w:val="000000" w:themeColor="text1"/>
        </w:rPr>
        <w:t xml:space="preserve">reactions </w:t>
      </w:r>
      <w:r>
        <w:rPr>
          <w:rFonts w:eastAsia="TimesNewRoman" w:cs="TimesNewRoman"/>
          <w:color w:val="000000" w:themeColor="text1"/>
        </w:rPr>
        <w:t>they were almost</w:t>
      </w:r>
      <w:r w:rsidRPr="00E005C8">
        <w:rPr>
          <w:rFonts w:eastAsia="TimesNewRoman" w:cs="TimesNewRoman"/>
          <w:color w:val="000000" w:themeColor="text1"/>
        </w:rPr>
        <w:t xml:space="preserve"> exc</w:t>
      </w:r>
      <w:r>
        <w:rPr>
          <w:rFonts w:eastAsia="TimesNewRoman" w:cs="TimesNewRoman"/>
          <w:color w:val="000000" w:themeColor="text1"/>
        </w:rPr>
        <w:t>lusively mild, short</w:t>
      </w:r>
      <w:r w:rsidR="00B22239">
        <w:rPr>
          <w:rFonts w:eastAsia="TimesNewRoman" w:cs="TimesNewRoman"/>
          <w:color w:val="000000" w:themeColor="text1"/>
        </w:rPr>
        <w:t xml:space="preserve"> </w:t>
      </w:r>
      <w:r>
        <w:rPr>
          <w:rFonts w:eastAsia="TimesNewRoman" w:cs="TimesNewRoman"/>
          <w:color w:val="000000" w:themeColor="text1"/>
        </w:rPr>
        <w:t>lived, not requiring</w:t>
      </w:r>
      <w:r w:rsidRPr="00E005C8">
        <w:rPr>
          <w:rFonts w:eastAsia="TimesNewRoman" w:cs="TimesNewRoman"/>
          <w:color w:val="000000" w:themeColor="text1"/>
        </w:rPr>
        <w:t xml:space="preserve"> </w:t>
      </w:r>
      <w:r>
        <w:rPr>
          <w:rFonts w:eastAsia="TimesNewRoman" w:cs="TimesNewRoman"/>
          <w:color w:val="000000" w:themeColor="text1"/>
        </w:rPr>
        <w:t xml:space="preserve">special treatment and </w:t>
      </w:r>
      <w:r w:rsidRPr="00E005C8">
        <w:rPr>
          <w:rFonts w:eastAsia="TimesNewRoman" w:cs="TimesNewRoman"/>
          <w:color w:val="000000" w:themeColor="text1"/>
        </w:rPr>
        <w:t>incidence decreased over time.</w:t>
      </w:r>
      <w:r>
        <w:rPr>
          <w:rFonts w:eastAsia="TimesNewRoman" w:cs="TimesNewRoman"/>
          <w:color w:val="000000" w:themeColor="text1"/>
        </w:rPr>
        <w:t xml:space="preserve"> </w:t>
      </w:r>
      <w:r w:rsidRPr="00E005C8">
        <w:rPr>
          <w:rFonts w:eastAsia="TimesNewRoman" w:cs="TimesNewRoman"/>
          <w:color w:val="000000" w:themeColor="text1"/>
        </w:rPr>
        <w:t>There were few severe events and most were reported in only a single subject in</w:t>
      </w:r>
      <w:r w:rsidR="00146F46">
        <w:rPr>
          <w:rFonts w:eastAsia="TimesNewRoman" w:cs="TimesNewRoman"/>
          <w:color w:val="000000" w:themeColor="text1"/>
        </w:rPr>
        <w:t xml:space="preserve"> any study.</w:t>
      </w:r>
    </w:p>
    <w:p w:rsidR="00C22678" w:rsidRPr="00586F98" w:rsidRDefault="005F74D8" w:rsidP="005F74D8">
      <w:pPr>
        <w:rPr>
          <w:lang w:eastAsia="ja-JP"/>
        </w:rPr>
      </w:pPr>
      <w:r w:rsidRPr="00E005C8">
        <w:rPr>
          <w:rFonts w:eastAsia="TimesNewRoman" w:cs="TimesNewRoman"/>
          <w:color w:val="000000" w:themeColor="text1"/>
        </w:rPr>
        <w:t xml:space="preserve">No subject discontinued study participation because of AEs other than the subject who died in the European extension study. There was 1 death (due to pneumonia, unrelated to study drug in the European extension </w:t>
      </w:r>
      <w:r w:rsidR="0035094B" w:rsidRPr="0035094B">
        <w:rPr>
          <w:rFonts w:eastAsia="TimesNewRoman" w:cs="TimesNewRoman"/>
          <w:color w:val="000000" w:themeColor="text1"/>
        </w:rPr>
        <w:t>S</w:t>
      </w:r>
      <w:r w:rsidRPr="0035094B">
        <w:rPr>
          <w:rFonts w:eastAsia="TimesNewRoman" w:cs="TimesNewRoman"/>
          <w:color w:val="000000" w:themeColor="text1"/>
        </w:rPr>
        <w:t xml:space="preserve">study ZLB07_002CR). Across the 7 studies included in this dossier, 45 SAEs occurred in 26 subjects and 42 of these events were treatment-emergent, while 3 occurred prior to treatment. All but 1 of the SAEs (encephalitis in the Japan follow-up ZLB07_001CR) were considered by the investigators unrelated to study drug. Importantly, although numbers were relatively small and no child under 2 was enrolled in any pivotal studies, there was no evidence for an increased rate of AEs in paediatric subjects (2 to&lt; 12 </w:t>
      </w:r>
      <w:r w:rsidR="003944A8" w:rsidRPr="0035094B">
        <w:rPr>
          <w:rFonts w:eastAsia="TimesNewRoman" w:cs="TimesNewRoman"/>
          <w:color w:val="000000" w:themeColor="text1"/>
        </w:rPr>
        <w:t>years</w:t>
      </w:r>
      <w:r w:rsidRPr="0035094B">
        <w:rPr>
          <w:rFonts w:eastAsia="TimesNewRoman" w:cs="TimesNewRoman"/>
          <w:color w:val="000000" w:themeColor="text1"/>
        </w:rPr>
        <w:t xml:space="preserve">) compared to adults. There was no evidence that more AEs were associated with higher starting infusion rate of &gt;25 mL/h. Moreover, in </w:t>
      </w:r>
      <w:r w:rsidR="0035094B" w:rsidRPr="0035094B">
        <w:rPr>
          <w:rFonts w:eastAsia="TimesNewRoman" w:cs="TimesNewRoman"/>
          <w:color w:val="000000" w:themeColor="text1"/>
        </w:rPr>
        <w:t>S</w:t>
      </w:r>
      <w:r w:rsidRPr="0035094B">
        <w:rPr>
          <w:rFonts w:eastAsia="TimesNewRoman" w:cs="TimesNewRoman"/>
          <w:color w:val="000000" w:themeColor="text1"/>
        </w:rPr>
        <w:t>tudy IgPro20_3001, no AEs of severe intensity were experienced when using infusion rates of &gt;50 to 70 mL/h. Rates of temporally related AEs per infusion were similar across the infusion rates used in this study, suggesting no additional risks with infusions of IgPro20 at high total body infusion rates of up to 70 mL/h. No</w:t>
      </w:r>
      <w:r w:rsidRPr="00E005C8">
        <w:rPr>
          <w:rFonts w:eastAsia="TimesNewRoman" w:cs="TimesNewRoman"/>
          <w:color w:val="000000" w:themeColor="text1"/>
        </w:rPr>
        <w:t xml:space="preserve"> evidence that systemic AEs of IVIG class effects such as haemolysis, renal</w:t>
      </w:r>
      <w:r>
        <w:rPr>
          <w:rFonts w:eastAsia="TimesNewRoman" w:cs="TimesNewRoman"/>
          <w:color w:val="000000" w:themeColor="text1"/>
        </w:rPr>
        <w:t xml:space="preserve"> </w:t>
      </w:r>
      <w:r w:rsidRPr="00E005C8">
        <w:rPr>
          <w:rFonts w:eastAsia="TimesNewRoman" w:cs="TimesNewRoman"/>
          <w:color w:val="000000" w:themeColor="text1"/>
        </w:rPr>
        <w:t>dysfunction/failure, thromboembolic events, aseptic meningitis syndrome, transfusion-related</w:t>
      </w:r>
      <w:r>
        <w:rPr>
          <w:rFonts w:eastAsia="TimesNewRoman" w:cs="TimesNewRoman"/>
          <w:color w:val="000000" w:themeColor="text1"/>
        </w:rPr>
        <w:t xml:space="preserve"> </w:t>
      </w:r>
      <w:r w:rsidRPr="00E005C8">
        <w:rPr>
          <w:rFonts w:eastAsia="TimesNewRoman" w:cs="TimesNewRoman"/>
          <w:color w:val="000000" w:themeColor="text1"/>
        </w:rPr>
        <w:t>acute lung injury</w:t>
      </w:r>
      <w:r w:rsidR="0035094B">
        <w:rPr>
          <w:rFonts w:eastAsia="TimesNewRoman" w:cs="TimesNewRoman"/>
          <w:color w:val="000000" w:themeColor="text1"/>
        </w:rPr>
        <w:t xml:space="preserve"> and so on</w:t>
      </w:r>
      <w:r w:rsidRPr="00E005C8">
        <w:rPr>
          <w:rFonts w:eastAsia="TimesNewRoman" w:cs="TimesNewRoman"/>
          <w:color w:val="000000" w:themeColor="text1"/>
        </w:rPr>
        <w:t xml:space="preserve"> occurred during IgPro20 treatment in any of the studies that were</w:t>
      </w:r>
      <w:r>
        <w:rPr>
          <w:rFonts w:eastAsia="TimesNewRoman" w:cs="TimesNewRoman"/>
          <w:color w:val="000000" w:themeColor="text1"/>
        </w:rPr>
        <w:t xml:space="preserve"> </w:t>
      </w:r>
      <w:r w:rsidRPr="00E005C8">
        <w:rPr>
          <w:rFonts w:eastAsia="TimesNewRoman" w:cs="TimesNewRoman"/>
          <w:color w:val="000000" w:themeColor="text1"/>
        </w:rPr>
        <w:t>included in this summary. Postmarketing surveillance data have not revealed an increased</w:t>
      </w:r>
      <w:r>
        <w:rPr>
          <w:rFonts w:eastAsia="TimesNewRoman" w:cs="TimesNewRoman"/>
          <w:color w:val="000000" w:themeColor="text1"/>
        </w:rPr>
        <w:t xml:space="preserve"> </w:t>
      </w:r>
      <w:r w:rsidRPr="00E005C8">
        <w:rPr>
          <w:rFonts w:eastAsia="TimesNewRoman" w:cs="TimesNewRoman"/>
          <w:color w:val="000000" w:themeColor="text1"/>
        </w:rPr>
        <w:t>risk of these class effects. There were no safety concerns regarding clin</w:t>
      </w:r>
      <w:r>
        <w:rPr>
          <w:rFonts w:eastAsia="TimesNewRoman" w:cs="TimesNewRoman"/>
          <w:color w:val="000000" w:themeColor="text1"/>
        </w:rPr>
        <w:t>ical laboratory parameters, vital signs, physical exam or viral safety</w:t>
      </w:r>
      <w:r w:rsidRPr="0035094B">
        <w:rPr>
          <w:rFonts w:eastAsia="TimesNewRoman" w:cs="TimesNewRoman"/>
          <w:color w:val="000000" w:themeColor="text1"/>
        </w:rPr>
        <w:t>. In summary</w:t>
      </w:r>
      <w:r>
        <w:rPr>
          <w:rFonts w:eastAsia="TimesNewRoman" w:cs="TimesNewRoman"/>
          <w:color w:val="000000" w:themeColor="text1"/>
        </w:rPr>
        <w:t>, weekly SC Hizentra</w:t>
      </w:r>
      <w:r>
        <w:rPr>
          <w:rFonts w:eastAsia="TimesNewRoman" w:cs="TimesNewRoman"/>
          <w:color w:val="000000" w:themeColor="text1"/>
        </w:rPr>
        <w:sym w:font="Symbol" w:char="F0D2"/>
      </w:r>
      <w:r>
        <w:rPr>
          <w:rFonts w:eastAsia="TimesNewRoman" w:cs="TimesNewRoman"/>
          <w:color w:val="000000" w:themeColor="text1"/>
        </w:rPr>
        <w:t xml:space="preserve"> appears safe for PID Ig replacement</w:t>
      </w:r>
      <w:r w:rsidRPr="00E005C8">
        <w:rPr>
          <w:rFonts w:eastAsia="TimesNewRoman" w:cs="TimesNewRoman"/>
          <w:color w:val="000000" w:themeColor="text1"/>
        </w:rPr>
        <w:t xml:space="preserve"> </w:t>
      </w:r>
      <w:r>
        <w:rPr>
          <w:rFonts w:eastAsia="TimesNewRoman" w:cs="TimesNewRoman"/>
          <w:color w:val="000000" w:themeColor="text1"/>
        </w:rPr>
        <w:t xml:space="preserve">in </w:t>
      </w:r>
      <w:r w:rsidRPr="00E005C8">
        <w:rPr>
          <w:rFonts w:eastAsia="TimesNewRoman" w:cs="TimesNewRoman"/>
          <w:color w:val="000000" w:themeColor="text1"/>
        </w:rPr>
        <w:t>adult and paediatric</w:t>
      </w:r>
      <w:r>
        <w:rPr>
          <w:rFonts w:eastAsia="TimesNewRoman" w:cs="TimesNewRoman"/>
          <w:color w:val="000000" w:themeColor="text1"/>
        </w:rPr>
        <w:t xml:space="preserve"> (aged 2 or more) subjects.</w:t>
      </w:r>
    </w:p>
    <w:p w:rsidR="00C22678" w:rsidRDefault="00C22678" w:rsidP="0035094B">
      <w:pPr>
        <w:pStyle w:val="Heading2"/>
      </w:pPr>
      <w:bookmarkStart w:id="410" w:name="_Toc392757327"/>
      <w:r>
        <w:lastRenderedPageBreak/>
        <w:t xml:space="preserve">First round </w:t>
      </w:r>
      <w:r w:rsidRPr="0035094B">
        <w:t>benefit</w:t>
      </w:r>
      <w:r>
        <w:t>-risk assessment</w:t>
      </w:r>
      <w:bookmarkEnd w:id="410"/>
    </w:p>
    <w:p w:rsidR="005F74D8" w:rsidRPr="00E005C8" w:rsidRDefault="005F74D8" w:rsidP="0035094B">
      <w:pPr>
        <w:pStyle w:val="Heading3"/>
      </w:pPr>
      <w:bookmarkStart w:id="411" w:name="_Toc236802592"/>
      <w:bookmarkStart w:id="412" w:name="_Toc241374331"/>
      <w:bookmarkStart w:id="413" w:name="_Ref272160836"/>
      <w:bookmarkStart w:id="414" w:name="_Toc272414693"/>
      <w:bookmarkStart w:id="415" w:name="_Toc290846331"/>
      <w:bookmarkStart w:id="416" w:name="_Toc373748462"/>
      <w:bookmarkStart w:id="417" w:name="_Toc392757328"/>
      <w:r w:rsidRPr="00E005C8">
        <w:t>First round assessment of benefits</w:t>
      </w:r>
      <w:bookmarkEnd w:id="411"/>
      <w:bookmarkEnd w:id="412"/>
      <w:bookmarkEnd w:id="413"/>
      <w:bookmarkEnd w:id="414"/>
      <w:bookmarkEnd w:id="415"/>
      <w:bookmarkEnd w:id="416"/>
      <w:bookmarkEnd w:id="417"/>
    </w:p>
    <w:p w:rsidR="005F74D8" w:rsidRPr="00146F46" w:rsidRDefault="005F74D8" w:rsidP="005F74D8">
      <w:pPr>
        <w:rPr>
          <w:color w:val="000000" w:themeColor="text1"/>
        </w:rPr>
      </w:pPr>
      <w:r w:rsidRPr="00146F46">
        <w:rPr>
          <w:color w:val="000000" w:themeColor="text1"/>
        </w:rPr>
        <w:t xml:space="preserve">The benefits of SC </w:t>
      </w:r>
      <w:r w:rsidR="0049599C" w:rsidRPr="00146F46">
        <w:rPr>
          <w:color w:val="000000" w:themeColor="text1"/>
        </w:rPr>
        <w:t>Hizentra</w:t>
      </w:r>
      <w:r w:rsidRPr="00146F46">
        <w:rPr>
          <w:color w:val="000000" w:themeColor="text1"/>
        </w:rPr>
        <w:sym w:font="Symbol" w:char="F0D2"/>
      </w:r>
      <w:r w:rsidRPr="00146F46">
        <w:rPr>
          <w:color w:val="000000" w:themeColor="text1"/>
        </w:rPr>
        <w:t xml:space="preserve"> in the proposed usage are:</w:t>
      </w:r>
    </w:p>
    <w:p w:rsidR="005F74D8" w:rsidRDefault="005F74D8" w:rsidP="0035094B">
      <w:pPr>
        <w:pStyle w:val="ListBullet"/>
      </w:pPr>
      <w:r w:rsidRPr="00DD105D">
        <w:t>Efficacious as IgG replacement for PID as measured by serum IgG using dosing algorithms as suggested following a switch from either IVIG of SCIG (different formulation)</w:t>
      </w:r>
      <w:r>
        <w:t>;</w:t>
      </w:r>
    </w:p>
    <w:p w:rsidR="005F74D8" w:rsidRDefault="005F74D8" w:rsidP="0035094B">
      <w:pPr>
        <w:pStyle w:val="ListBullet"/>
      </w:pPr>
      <w:r w:rsidRPr="00DD105D">
        <w:t>Clinically effective in regards to rates of SBI</w:t>
      </w:r>
      <w:r>
        <w:t>;</w:t>
      </w:r>
    </w:p>
    <w:p w:rsidR="005F74D8" w:rsidRDefault="005F74D8" w:rsidP="0035094B">
      <w:pPr>
        <w:pStyle w:val="ListBullet"/>
      </w:pPr>
      <w:r>
        <w:t>Safe even at relatively high infusion rates;</w:t>
      </w:r>
    </w:p>
    <w:p w:rsidR="005F74D8" w:rsidRDefault="005F74D8" w:rsidP="0035094B">
      <w:pPr>
        <w:pStyle w:val="ListBullet"/>
      </w:pPr>
      <w:r>
        <w:t>Predicta</w:t>
      </w:r>
      <w:r w:rsidR="0035094B">
        <w:t xml:space="preserve">ble side effects, predominantly, </w:t>
      </w:r>
      <w:r>
        <w:t>as expected, short</w:t>
      </w:r>
      <w:r w:rsidR="0035094B">
        <w:t xml:space="preserve"> </w:t>
      </w:r>
      <w:r>
        <w:t>lived ISRs;</w:t>
      </w:r>
    </w:p>
    <w:p w:rsidR="005F74D8" w:rsidRDefault="005F74D8" w:rsidP="0035094B">
      <w:pPr>
        <w:pStyle w:val="ListBullet"/>
      </w:pPr>
      <w:r>
        <w:t>The development programme for the drug either during registration studies (albeit small) and postmarketing surveillance did not reveal any new AEs of concern for this class of agent, of which several are already registered in Australia and World wide;</w:t>
      </w:r>
    </w:p>
    <w:p w:rsidR="005F74D8" w:rsidRDefault="005F74D8" w:rsidP="0035094B">
      <w:pPr>
        <w:pStyle w:val="ListBullet"/>
      </w:pPr>
      <w:r>
        <w:t>Smaller volumes for infusion may be advantageous for some patients.</w:t>
      </w:r>
    </w:p>
    <w:p w:rsidR="005F74D8" w:rsidRPr="00E005C8" w:rsidRDefault="005F74D8" w:rsidP="0035094B">
      <w:pPr>
        <w:pStyle w:val="Heading3"/>
      </w:pPr>
      <w:bookmarkStart w:id="418" w:name="_Toc236802596"/>
      <w:bookmarkStart w:id="419" w:name="_Toc241374334"/>
      <w:bookmarkStart w:id="420" w:name="_Ref272160964"/>
      <w:bookmarkStart w:id="421" w:name="_Toc272414694"/>
      <w:bookmarkStart w:id="422" w:name="_Toc290846332"/>
      <w:bookmarkStart w:id="423" w:name="_Toc373748463"/>
      <w:bookmarkStart w:id="424" w:name="_Toc392757329"/>
      <w:r w:rsidRPr="00E005C8">
        <w:t>First round assessment of risks</w:t>
      </w:r>
      <w:bookmarkEnd w:id="418"/>
      <w:bookmarkEnd w:id="419"/>
      <w:bookmarkEnd w:id="420"/>
      <w:bookmarkEnd w:id="421"/>
      <w:bookmarkEnd w:id="422"/>
      <w:bookmarkEnd w:id="423"/>
      <w:bookmarkEnd w:id="424"/>
    </w:p>
    <w:p w:rsidR="005F74D8" w:rsidRPr="00146F46" w:rsidRDefault="005F74D8" w:rsidP="005F74D8">
      <w:pPr>
        <w:rPr>
          <w:color w:val="000000" w:themeColor="text1"/>
        </w:rPr>
      </w:pPr>
      <w:r w:rsidRPr="00146F46">
        <w:rPr>
          <w:color w:val="000000" w:themeColor="text1"/>
        </w:rPr>
        <w:t>The risks of SC Hizentra</w:t>
      </w:r>
      <w:r w:rsidRPr="00146F46">
        <w:rPr>
          <w:color w:val="000000" w:themeColor="text1"/>
        </w:rPr>
        <w:sym w:font="Symbol" w:char="F0D2"/>
      </w:r>
      <w:r w:rsidRPr="00146F46">
        <w:rPr>
          <w:color w:val="000000" w:themeColor="text1"/>
        </w:rPr>
        <w:t>in the proposed usage are:</w:t>
      </w:r>
    </w:p>
    <w:p w:rsidR="005F74D8" w:rsidRDefault="005F74D8" w:rsidP="0035094B">
      <w:pPr>
        <w:pStyle w:val="ListBullet"/>
      </w:pPr>
      <w:r w:rsidRPr="00E005C8">
        <w:t xml:space="preserve">No data is supplied in patients with secondary immunodeficiencies requiring Ig replacement, the three pivotal studies were conducted exclusively in </w:t>
      </w:r>
      <w:r>
        <w:t>PID patients</w:t>
      </w:r>
      <w:r w:rsidRPr="00E005C8">
        <w:t>;</w:t>
      </w:r>
    </w:p>
    <w:p w:rsidR="005F74D8" w:rsidRDefault="005F74D8" w:rsidP="0035094B">
      <w:pPr>
        <w:pStyle w:val="ListBullet"/>
      </w:pPr>
      <w:r w:rsidRPr="00E005C8">
        <w:t xml:space="preserve">No data is supplied in patients </w:t>
      </w:r>
      <w:r>
        <w:t>with PID starting de novo Ig replacement with SC Hizentra</w:t>
      </w:r>
      <w:r>
        <w:sym w:font="Symbol" w:char="F0D2"/>
      </w:r>
      <w:r>
        <w:t>;</w:t>
      </w:r>
    </w:p>
    <w:p w:rsidR="005F74D8" w:rsidRDefault="005F74D8" w:rsidP="0035094B">
      <w:pPr>
        <w:pStyle w:val="ListBullet"/>
      </w:pPr>
      <w:r>
        <w:t>No data is provided in children aged less than 2 years of age;</w:t>
      </w:r>
    </w:p>
    <w:p w:rsidR="005F74D8" w:rsidRDefault="005F74D8" w:rsidP="0035094B">
      <w:pPr>
        <w:pStyle w:val="ListBullet"/>
      </w:pPr>
      <w:r>
        <w:t xml:space="preserve">As the transmission of cCJD is unknown, there is an unquantifiable risk of transmission through receipt </w:t>
      </w:r>
      <w:r w:rsidR="00146F46">
        <w:t>of blood products including Ig;</w:t>
      </w:r>
    </w:p>
    <w:p w:rsidR="005F74D8" w:rsidRDefault="005F74D8" w:rsidP="0035094B">
      <w:pPr>
        <w:pStyle w:val="ListBullet"/>
      </w:pPr>
      <w:r>
        <w:t>It is not possible to screen all blood products for all infections because some infections potentially transmissible through blood have not yet been identified. The production of Ig from donated plasma, whilst rigorous with several steps that minimise transmission of infectious agents, may not exclude all current (</w:t>
      </w:r>
      <w:r w:rsidR="0035094B">
        <w:t>for example,</w:t>
      </w:r>
      <w:r>
        <w:t xml:space="preserve"> vCJD) or future pathogens.</w:t>
      </w:r>
    </w:p>
    <w:p w:rsidR="005F74D8" w:rsidRPr="00E005C8" w:rsidRDefault="005F74D8" w:rsidP="0035094B">
      <w:pPr>
        <w:pStyle w:val="Heading3"/>
      </w:pPr>
      <w:bookmarkStart w:id="425" w:name="_Toc236802597"/>
      <w:bookmarkStart w:id="426" w:name="_Toc241374335"/>
      <w:bookmarkStart w:id="427" w:name="_Toc272414695"/>
      <w:bookmarkStart w:id="428" w:name="_Toc290846333"/>
      <w:bookmarkStart w:id="429" w:name="_Toc373748464"/>
      <w:bookmarkStart w:id="430" w:name="_Toc392757330"/>
      <w:r w:rsidRPr="00E005C8">
        <w:t>First round assessment of benefit-risk balance</w:t>
      </w:r>
      <w:bookmarkEnd w:id="425"/>
      <w:bookmarkEnd w:id="426"/>
      <w:bookmarkEnd w:id="427"/>
      <w:bookmarkEnd w:id="428"/>
      <w:bookmarkEnd w:id="429"/>
      <w:bookmarkEnd w:id="430"/>
    </w:p>
    <w:p w:rsidR="00C22678" w:rsidRPr="00586F98" w:rsidRDefault="005F74D8" w:rsidP="005F74D8">
      <w:pPr>
        <w:rPr>
          <w:lang w:eastAsia="ja-JP"/>
        </w:rPr>
      </w:pPr>
      <w:r w:rsidRPr="00E005C8">
        <w:rPr>
          <w:color w:val="000000" w:themeColor="text1"/>
        </w:rPr>
        <w:t>The benefit-risk balance of SC Hizentra</w:t>
      </w:r>
      <w:r w:rsidRPr="00E005C8">
        <w:rPr>
          <w:color w:val="000000" w:themeColor="text1"/>
        </w:rPr>
        <w:sym w:font="Symbol" w:char="F0D2"/>
      </w:r>
      <w:r w:rsidRPr="00E005C8">
        <w:rPr>
          <w:color w:val="000000" w:themeColor="text1"/>
        </w:rPr>
        <w:t>, given the proposed usage, is favourable.</w:t>
      </w:r>
    </w:p>
    <w:p w:rsidR="00C22678" w:rsidRDefault="00C22678" w:rsidP="0035094B">
      <w:pPr>
        <w:pStyle w:val="Heading2"/>
      </w:pPr>
      <w:bookmarkStart w:id="431" w:name="_Toc392757331"/>
      <w:r>
        <w:t xml:space="preserve">First round recommendation regarding </w:t>
      </w:r>
      <w:r w:rsidRPr="0035094B">
        <w:t>authorisation</w:t>
      </w:r>
      <w:bookmarkEnd w:id="431"/>
    </w:p>
    <w:p w:rsidR="00C22678" w:rsidRPr="00586F98" w:rsidRDefault="005F74D8" w:rsidP="00C22678">
      <w:pPr>
        <w:rPr>
          <w:lang w:eastAsia="ja-JP"/>
        </w:rPr>
      </w:pPr>
      <w:r w:rsidRPr="005F74D8">
        <w:rPr>
          <w:lang w:eastAsia="ja-JP"/>
        </w:rPr>
        <w:t xml:space="preserve">The data presented in this </w:t>
      </w:r>
      <w:r w:rsidR="0035094B">
        <w:rPr>
          <w:lang w:eastAsia="ja-JP"/>
        </w:rPr>
        <w:t>a</w:t>
      </w:r>
      <w:r w:rsidRPr="005F74D8">
        <w:rPr>
          <w:lang w:eastAsia="ja-JP"/>
        </w:rPr>
        <w:t>pplication from trials and their</w:t>
      </w:r>
      <w:r w:rsidR="0035094B">
        <w:rPr>
          <w:lang w:eastAsia="ja-JP"/>
        </w:rPr>
        <w:t xml:space="preserve"> extension phases conducted in t</w:t>
      </w:r>
      <w:r w:rsidRPr="005F74D8">
        <w:rPr>
          <w:lang w:eastAsia="ja-JP"/>
        </w:rPr>
        <w:t>he EU, US and Japan demonstrate the efficacy</w:t>
      </w:r>
      <w:r w:rsidR="0035094B">
        <w:rPr>
          <w:lang w:eastAsia="ja-JP"/>
        </w:rPr>
        <w:t>,</w:t>
      </w:r>
      <w:r w:rsidRPr="005F74D8">
        <w:rPr>
          <w:lang w:eastAsia="ja-JP"/>
        </w:rPr>
        <w:t xml:space="preserve"> measured by serum IgG levels and protection against SBIs and safety, with an expected side</w:t>
      </w:r>
      <w:r w:rsidR="0035094B">
        <w:rPr>
          <w:lang w:eastAsia="ja-JP"/>
        </w:rPr>
        <w:t xml:space="preserve"> </w:t>
      </w:r>
      <w:r w:rsidRPr="005F74D8">
        <w:rPr>
          <w:lang w:eastAsia="ja-JP"/>
        </w:rPr>
        <w:t xml:space="preserve">effect profile in line with the Class of agents to which it belongs. Moreover, there was improved Quality of Life when this SC formulation was used compared to the IVIG. </w:t>
      </w:r>
      <w:r w:rsidR="0035094B">
        <w:rPr>
          <w:lang w:eastAsia="ja-JP"/>
        </w:rPr>
        <w:t>The evaluator</w:t>
      </w:r>
      <w:r w:rsidRPr="005F74D8">
        <w:rPr>
          <w:lang w:eastAsia="ja-JP"/>
        </w:rPr>
        <w:t xml:space="preserve"> recommend</w:t>
      </w:r>
      <w:r w:rsidR="0035094B">
        <w:rPr>
          <w:lang w:eastAsia="ja-JP"/>
        </w:rPr>
        <w:t>s</w:t>
      </w:r>
      <w:r w:rsidRPr="005F74D8">
        <w:rPr>
          <w:lang w:eastAsia="ja-JP"/>
        </w:rPr>
        <w:t xml:space="preserve"> SC Hizentra for authorisation for use in PID. Despite the fact that no data was presented for the use of this drug in the setting of secondary immunoglobulin deficiency states, </w:t>
      </w:r>
      <w:r w:rsidR="0035094B">
        <w:rPr>
          <w:lang w:eastAsia="ja-JP"/>
        </w:rPr>
        <w:t>the evaluator</w:t>
      </w:r>
      <w:r w:rsidRPr="005F74D8">
        <w:rPr>
          <w:lang w:eastAsia="ja-JP"/>
        </w:rPr>
        <w:t xml:space="preserve"> ha</w:t>
      </w:r>
      <w:r w:rsidR="0035094B">
        <w:rPr>
          <w:lang w:eastAsia="ja-JP"/>
        </w:rPr>
        <w:t>d</w:t>
      </w:r>
      <w:r w:rsidRPr="005F74D8">
        <w:rPr>
          <w:lang w:eastAsia="ja-JP"/>
        </w:rPr>
        <w:t xml:space="preserve"> no reason to believe that efficacy and safety of the drug will be anything other equal to that demonstrated in the PID setting. However, </w:t>
      </w:r>
      <w:r w:rsidR="0035094B">
        <w:rPr>
          <w:lang w:eastAsia="ja-JP"/>
        </w:rPr>
        <w:t>the evaluator</w:t>
      </w:r>
      <w:r w:rsidRPr="005F74D8">
        <w:rPr>
          <w:lang w:eastAsia="ja-JP"/>
        </w:rPr>
        <w:t xml:space="preserve"> ha</w:t>
      </w:r>
      <w:r w:rsidR="0035094B">
        <w:rPr>
          <w:lang w:eastAsia="ja-JP"/>
        </w:rPr>
        <w:t>d</w:t>
      </w:r>
      <w:r w:rsidRPr="005F74D8">
        <w:rPr>
          <w:lang w:eastAsia="ja-JP"/>
        </w:rPr>
        <w:t xml:space="preserve"> concerns that there is no data in children under the age of 2, and for this reason, </w:t>
      </w:r>
      <w:r w:rsidR="0035094B">
        <w:rPr>
          <w:lang w:eastAsia="ja-JP"/>
        </w:rPr>
        <w:t>the evaluator</w:t>
      </w:r>
      <w:r w:rsidRPr="005F74D8">
        <w:rPr>
          <w:lang w:eastAsia="ja-JP"/>
        </w:rPr>
        <w:t xml:space="preserve"> recommend</w:t>
      </w:r>
      <w:r w:rsidR="0035094B">
        <w:rPr>
          <w:lang w:eastAsia="ja-JP"/>
        </w:rPr>
        <w:t>ed</w:t>
      </w:r>
      <w:r w:rsidRPr="005F74D8">
        <w:rPr>
          <w:lang w:eastAsia="ja-JP"/>
        </w:rPr>
        <w:t xml:space="preserve"> SC Hizentra be approved for replacement immunoglobulin therapy in children (aged 2 years o</w:t>
      </w:r>
      <w:r w:rsidR="00B66F98">
        <w:rPr>
          <w:lang w:eastAsia="ja-JP"/>
        </w:rPr>
        <w:t>r</w:t>
      </w:r>
      <w:r w:rsidRPr="005F74D8">
        <w:rPr>
          <w:lang w:eastAsia="ja-JP"/>
        </w:rPr>
        <w:t xml:space="preserve"> older) and adults with Primary Immunodeficiency Disease </w:t>
      </w:r>
      <w:r w:rsidRPr="005F74D8">
        <w:rPr>
          <w:lang w:eastAsia="ja-JP"/>
        </w:rPr>
        <w:lastRenderedPageBreak/>
        <w:t>such as SCID, common variable immunodeficiency, congenital agammaglobulinaemia and hypogammaglobulinaemia and IgG subclass deficiencies with recurrent infections.</w:t>
      </w:r>
    </w:p>
    <w:p w:rsidR="00C22678" w:rsidRDefault="00C22678" w:rsidP="00C22678">
      <w:pPr>
        <w:pStyle w:val="Heading2"/>
      </w:pPr>
      <w:bookmarkStart w:id="432" w:name="_Toc392757332"/>
      <w:r>
        <w:t>Clinical questions</w:t>
      </w:r>
      <w:bookmarkEnd w:id="432"/>
    </w:p>
    <w:p w:rsidR="00C22678" w:rsidRDefault="005F74D8" w:rsidP="00C22678">
      <w:pPr>
        <w:rPr>
          <w:lang w:eastAsia="ja-JP"/>
        </w:rPr>
      </w:pPr>
      <w:r>
        <w:rPr>
          <w:lang w:eastAsia="ja-JP"/>
        </w:rPr>
        <w:t>Nil.</w:t>
      </w:r>
    </w:p>
    <w:p w:rsidR="005F74D8" w:rsidRPr="00E61331" w:rsidRDefault="0035094B" w:rsidP="008B4F05">
      <w:pPr>
        <w:pStyle w:val="Heading2"/>
        <w:rPr>
          <w:rFonts w:eastAsia="TimesNewRoman"/>
        </w:rPr>
      </w:pPr>
      <w:bookmarkStart w:id="433" w:name="_Toc373748478"/>
      <w:bookmarkStart w:id="434" w:name="_Toc392757333"/>
      <w:r w:rsidRPr="00E61331">
        <w:rPr>
          <w:rFonts w:eastAsia="TimesNewRoman"/>
        </w:rPr>
        <w:t xml:space="preserve">Additional </w:t>
      </w:r>
      <w:r w:rsidR="00146F46">
        <w:rPr>
          <w:rFonts w:eastAsia="TimesNewRoman"/>
        </w:rPr>
        <w:t>c</w:t>
      </w:r>
      <w:r>
        <w:rPr>
          <w:rFonts w:eastAsia="TimesNewRoman"/>
        </w:rPr>
        <w:t xml:space="preserve">orrected </w:t>
      </w:r>
      <w:r w:rsidR="00146F46">
        <w:rPr>
          <w:rFonts w:eastAsia="TimesNewRoman"/>
        </w:rPr>
        <w:t>s</w:t>
      </w:r>
      <w:r w:rsidRPr="00E61331">
        <w:rPr>
          <w:rFonts w:eastAsia="TimesNewRoman"/>
        </w:rPr>
        <w:t xml:space="preserve">afety </w:t>
      </w:r>
      <w:r w:rsidR="00146F46">
        <w:rPr>
          <w:rFonts w:eastAsia="TimesNewRoman"/>
        </w:rPr>
        <w:t>d</w:t>
      </w:r>
      <w:r w:rsidRPr="00E61331">
        <w:rPr>
          <w:rFonts w:eastAsia="TimesNewRoman"/>
        </w:rPr>
        <w:t>ata</w:t>
      </w:r>
      <w:bookmarkEnd w:id="433"/>
      <w:bookmarkEnd w:id="434"/>
    </w:p>
    <w:p w:rsidR="005F74D8" w:rsidRDefault="005F74D8" w:rsidP="0035094B">
      <w:r w:rsidRPr="00BE3612">
        <w:t xml:space="preserve">In August 2013, the sponsor provided additional safety data from the </w:t>
      </w:r>
      <w:r>
        <w:t>Japan Phase III study</w:t>
      </w:r>
      <w:r w:rsidRPr="00BE3612">
        <w:t xml:space="preserve"> ZLB06_002CR and </w:t>
      </w:r>
      <w:r w:rsidR="0035094B">
        <w:t>its associated extension S</w:t>
      </w:r>
      <w:r>
        <w:t xml:space="preserve">tudy </w:t>
      </w:r>
      <w:r w:rsidRPr="00BE3612">
        <w:t>ZLB07_001CR.</w:t>
      </w:r>
      <w:r w:rsidR="000D6A22">
        <w:t xml:space="preserve"> </w:t>
      </w:r>
      <w:r w:rsidRPr="00BE3612">
        <w:t>Subsequent to completion of their CSRs</w:t>
      </w:r>
      <w:r>
        <w:t>,</w:t>
      </w:r>
      <w:r w:rsidRPr="00BE3612">
        <w:t xml:space="preserve"> inspection of 1 of the study sites by the Japanese regulatory agency identified that data on 2 AEs were not included. These were both local reactions of injection site pain which were mild in intensity and resolved without sequelae in 0.9 and 2.6 hours, respectively</w:t>
      </w:r>
      <w:r w:rsidR="00146F46">
        <w:t>.</w:t>
      </w:r>
    </w:p>
    <w:p w:rsidR="005F74D8" w:rsidRDefault="005F74D8" w:rsidP="0035094B">
      <w:r>
        <w:t>Data are provided showing how these affect the AE analyses as follows:</w:t>
      </w:r>
    </w:p>
    <w:p w:rsidR="005F74D8" w:rsidRPr="008A5CAA" w:rsidRDefault="005F74D8" w:rsidP="0035094B">
      <w:r w:rsidRPr="008A5CAA">
        <w:rPr>
          <w:rFonts w:cs="Calibri"/>
        </w:rPr>
        <w:t>Module 2.5 – Clinical Summary - Erratum (1 page)</w:t>
      </w:r>
    </w:p>
    <w:p w:rsidR="005F74D8" w:rsidRPr="008A5CAA" w:rsidRDefault="005F74D8" w:rsidP="0035094B">
      <w:pPr>
        <w:rPr>
          <w:rFonts w:cs="Calibri"/>
        </w:rPr>
      </w:pPr>
      <w:r w:rsidRPr="008A5CAA">
        <w:rPr>
          <w:rFonts w:cs="Calibri"/>
        </w:rPr>
        <w:t>Module 2.7.3 – Summary of Clinical Efficacy – Erratum (1 page)</w:t>
      </w:r>
    </w:p>
    <w:p w:rsidR="005F74D8" w:rsidRPr="008A5CAA" w:rsidRDefault="005F74D8" w:rsidP="0035094B">
      <w:pPr>
        <w:rPr>
          <w:rFonts w:cs="Calibri"/>
        </w:rPr>
      </w:pPr>
      <w:r w:rsidRPr="008A5CAA">
        <w:rPr>
          <w:rFonts w:cs="Calibri"/>
        </w:rPr>
        <w:t>Module 2.7.4 – Summary of Clinical Safety – Erratum (6 pages)</w:t>
      </w:r>
    </w:p>
    <w:p w:rsidR="005F74D8" w:rsidRPr="008A5CAA" w:rsidRDefault="005F74D8" w:rsidP="0035094B">
      <w:r w:rsidRPr="008A5CAA">
        <w:rPr>
          <w:rFonts w:cs="Calibri"/>
        </w:rPr>
        <w:t>Module 5, 5.3.5.2-4 - Clinical Study Report for ZLB06_ 002CR – Erratum (5 pages)</w:t>
      </w:r>
    </w:p>
    <w:p w:rsidR="005F74D8" w:rsidRPr="00BE3612" w:rsidRDefault="005F74D8" w:rsidP="0035094B">
      <w:r>
        <w:t>These data showed that the</w:t>
      </w:r>
      <w:r w:rsidRPr="00BE3612">
        <w:t xml:space="preserve"> additional AEs did not affect the number of subjects experiencing any AE, and did not have a relevant effect on the rate of AEs</w:t>
      </w:r>
      <w:r>
        <w:t xml:space="preserve"> per infusion. Examples of the revised</w:t>
      </w:r>
      <w:r w:rsidRPr="00BE3612">
        <w:t xml:space="preserve"> data are presented below.</w:t>
      </w:r>
    </w:p>
    <w:tbl>
      <w:tblPr>
        <w:tblStyle w:val="TableTGAblue"/>
        <w:tblW w:w="0" w:type="auto"/>
        <w:tblInd w:w="250" w:type="dxa"/>
        <w:tblLook w:val="04A0" w:firstRow="1" w:lastRow="0" w:firstColumn="1" w:lastColumn="0" w:noHBand="0" w:noVBand="1"/>
      </w:tblPr>
      <w:tblGrid>
        <w:gridCol w:w="5528"/>
        <w:gridCol w:w="1560"/>
        <w:gridCol w:w="1559"/>
      </w:tblGrid>
      <w:tr w:rsidR="005F74D8" w:rsidRPr="00BE3612" w:rsidTr="00146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rsidR="005F74D8" w:rsidRPr="00146F46" w:rsidRDefault="005F74D8" w:rsidP="00146F46">
            <w:pPr>
              <w:pStyle w:val="TableHeading"/>
              <w:rPr>
                <w:rFonts w:ascii="Cambria" w:hAnsi="Cambria"/>
                <w:b/>
              </w:rPr>
            </w:pPr>
            <w:r w:rsidRPr="00146F46">
              <w:rPr>
                <w:rFonts w:ascii="Cambria" w:hAnsi="Cambria"/>
                <w:b/>
              </w:rPr>
              <w:t>Variable</w:t>
            </w:r>
          </w:p>
        </w:tc>
        <w:tc>
          <w:tcPr>
            <w:tcW w:w="1560" w:type="dxa"/>
          </w:tcPr>
          <w:p w:rsidR="005F74D8" w:rsidRPr="00146F46" w:rsidRDefault="005F74D8" w:rsidP="00146F46">
            <w:pPr>
              <w:pStyle w:val="TableHeading"/>
              <w:cnfStyle w:val="100000000000" w:firstRow="1" w:lastRow="0" w:firstColumn="0" w:lastColumn="0" w:oddVBand="0" w:evenVBand="0" w:oddHBand="0" w:evenHBand="0" w:firstRowFirstColumn="0" w:firstRowLastColumn="0" w:lastRowFirstColumn="0" w:lastRowLastColumn="0"/>
              <w:rPr>
                <w:rFonts w:ascii="Cambria" w:hAnsi="Cambria"/>
                <w:b/>
              </w:rPr>
            </w:pPr>
            <w:r w:rsidRPr="00146F46">
              <w:rPr>
                <w:rFonts w:ascii="Cambria" w:hAnsi="Cambria"/>
                <w:b/>
              </w:rPr>
              <w:t>CSR Data</w:t>
            </w:r>
          </w:p>
        </w:tc>
        <w:tc>
          <w:tcPr>
            <w:tcW w:w="1559" w:type="dxa"/>
          </w:tcPr>
          <w:p w:rsidR="005F74D8" w:rsidRPr="00146F46" w:rsidRDefault="005F74D8" w:rsidP="00146F46">
            <w:pPr>
              <w:pStyle w:val="TableHeading"/>
              <w:cnfStyle w:val="100000000000" w:firstRow="1" w:lastRow="0" w:firstColumn="0" w:lastColumn="0" w:oddVBand="0" w:evenVBand="0" w:oddHBand="0" w:evenHBand="0" w:firstRowFirstColumn="0" w:firstRowLastColumn="0" w:lastRowFirstColumn="0" w:lastRowLastColumn="0"/>
              <w:rPr>
                <w:rFonts w:ascii="Cambria" w:hAnsi="Cambria"/>
                <w:b/>
              </w:rPr>
            </w:pPr>
            <w:r w:rsidRPr="00146F46">
              <w:rPr>
                <w:rFonts w:ascii="Cambria" w:hAnsi="Cambria"/>
                <w:b/>
              </w:rPr>
              <w:t>Correct Data</w:t>
            </w:r>
          </w:p>
        </w:tc>
      </w:tr>
      <w:tr w:rsidR="005F74D8" w:rsidRPr="00BE3612" w:rsidTr="00146F46">
        <w:tc>
          <w:tcPr>
            <w:cnfStyle w:val="001000000000" w:firstRow="0" w:lastRow="0" w:firstColumn="1" w:lastColumn="0" w:oddVBand="0" w:evenVBand="0" w:oddHBand="0" w:evenHBand="0" w:firstRowFirstColumn="0" w:firstRowLastColumn="0" w:lastRowFirstColumn="0" w:lastRowLastColumn="0"/>
            <w:tcW w:w="5528" w:type="dxa"/>
          </w:tcPr>
          <w:p w:rsidR="005F74D8" w:rsidRPr="0035094B" w:rsidRDefault="005F74D8" w:rsidP="00146F46">
            <w:pPr>
              <w:pStyle w:val="Tabletext"/>
            </w:pPr>
            <w:r w:rsidRPr="0035094B">
              <w:t>Number and rate per infusion</w:t>
            </w:r>
            <w:r w:rsidR="00146F46">
              <w:t xml:space="preserve"> of any AE including infections</w:t>
            </w:r>
          </w:p>
        </w:tc>
        <w:tc>
          <w:tcPr>
            <w:tcW w:w="1560"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450 (0.404)</w:t>
            </w:r>
          </w:p>
        </w:tc>
        <w:tc>
          <w:tcPr>
            <w:tcW w:w="1559"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452 (0.406)</w:t>
            </w:r>
          </w:p>
        </w:tc>
      </w:tr>
      <w:tr w:rsidR="005F74D8" w:rsidRPr="00BE3612" w:rsidTr="00146F46">
        <w:tc>
          <w:tcPr>
            <w:cnfStyle w:val="001000000000" w:firstRow="0" w:lastRow="0" w:firstColumn="1" w:lastColumn="0" w:oddVBand="0" w:evenVBand="0" w:oddHBand="0" w:evenHBand="0" w:firstRowFirstColumn="0" w:firstRowLastColumn="0" w:lastRowFirstColumn="0" w:lastRowLastColumn="0"/>
            <w:tcW w:w="5528" w:type="dxa"/>
          </w:tcPr>
          <w:p w:rsidR="005F74D8" w:rsidRPr="0035094B" w:rsidRDefault="005F74D8" w:rsidP="00146F46">
            <w:pPr>
              <w:pStyle w:val="Tabletext"/>
            </w:pPr>
            <w:r w:rsidRPr="0035094B">
              <w:t xml:space="preserve">Number and rate per infusion of any causally </w:t>
            </w:r>
            <w:r w:rsidR="00146F46">
              <w:t>related AE including infections</w:t>
            </w:r>
          </w:p>
        </w:tc>
        <w:tc>
          <w:tcPr>
            <w:tcW w:w="1560"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245 (0.220)</w:t>
            </w:r>
          </w:p>
        </w:tc>
        <w:tc>
          <w:tcPr>
            <w:tcW w:w="1559"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247 (0.222)</w:t>
            </w:r>
          </w:p>
        </w:tc>
      </w:tr>
      <w:tr w:rsidR="005F74D8" w:rsidRPr="00BE3612" w:rsidTr="00146F46">
        <w:tc>
          <w:tcPr>
            <w:cnfStyle w:val="001000000000" w:firstRow="0" w:lastRow="0" w:firstColumn="1" w:lastColumn="0" w:oddVBand="0" w:evenVBand="0" w:oddHBand="0" w:evenHBand="0" w:firstRowFirstColumn="0" w:firstRowLastColumn="0" w:lastRowFirstColumn="0" w:lastRowLastColumn="0"/>
            <w:tcW w:w="5528" w:type="dxa"/>
          </w:tcPr>
          <w:p w:rsidR="005F74D8" w:rsidRPr="0035094B" w:rsidRDefault="005F74D8" w:rsidP="00146F46">
            <w:pPr>
              <w:pStyle w:val="Tabletext"/>
            </w:pPr>
            <w:r w:rsidRPr="0035094B">
              <w:t>Number and rate per infusion of local reactions</w:t>
            </w:r>
          </w:p>
        </w:tc>
        <w:tc>
          <w:tcPr>
            <w:tcW w:w="1560"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230 (0.207)</w:t>
            </w:r>
          </w:p>
        </w:tc>
        <w:tc>
          <w:tcPr>
            <w:tcW w:w="1559"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232 (0.208)</w:t>
            </w:r>
          </w:p>
        </w:tc>
      </w:tr>
      <w:tr w:rsidR="005F74D8" w:rsidRPr="00BE3612" w:rsidTr="00146F46">
        <w:trPr>
          <w:trHeight w:val="311"/>
        </w:trPr>
        <w:tc>
          <w:tcPr>
            <w:cnfStyle w:val="001000000000" w:firstRow="0" w:lastRow="0" w:firstColumn="1" w:lastColumn="0" w:oddVBand="0" w:evenVBand="0" w:oddHBand="0" w:evenHBand="0" w:firstRowFirstColumn="0" w:firstRowLastColumn="0" w:lastRowFirstColumn="0" w:lastRowLastColumn="0"/>
            <w:tcW w:w="5528" w:type="dxa"/>
          </w:tcPr>
          <w:p w:rsidR="005F74D8" w:rsidRPr="0035094B" w:rsidRDefault="005F74D8" w:rsidP="00146F46">
            <w:pPr>
              <w:pStyle w:val="Tabletext"/>
            </w:pPr>
            <w:r w:rsidRPr="0035094B">
              <w:t>Number and rate per infusion of any causally related and tempor</w:t>
            </w:r>
            <w:r w:rsidR="00146F46">
              <w:t>ally associated local reactions</w:t>
            </w:r>
          </w:p>
        </w:tc>
        <w:tc>
          <w:tcPr>
            <w:tcW w:w="1560" w:type="dxa"/>
          </w:tcPr>
          <w:p w:rsidR="005F74D8" w:rsidRPr="0035094B" w:rsidRDefault="00146F46" w:rsidP="00146F46">
            <w:pPr>
              <w:pStyle w:val="Tabletext"/>
              <w:cnfStyle w:val="000000000000" w:firstRow="0" w:lastRow="0" w:firstColumn="0" w:lastColumn="0" w:oddVBand="0" w:evenVBand="0" w:oddHBand="0" w:evenHBand="0" w:firstRowFirstColumn="0" w:firstRowLastColumn="0" w:lastRowFirstColumn="0" w:lastRowLastColumn="0"/>
            </w:pPr>
            <w:r w:rsidRPr="0035094B">
              <w:t>223 (0.200)</w:t>
            </w:r>
          </w:p>
        </w:tc>
        <w:tc>
          <w:tcPr>
            <w:tcW w:w="1559" w:type="dxa"/>
          </w:tcPr>
          <w:p w:rsidR="005F74D8" w:rsidRPr="0035094B" w:rsidRDefault="005F74D8" w:rsidP="00146F46">
            <w:pPr>
              <w:pStyle w:val="Tabletext"/>
              <w:cnfStyle w:val="000000000000" w:firstRow="0" w:lastRow="0" w:firstColumn="0" w:lastColumn="0" w:oddVBand="0" w:evenVBand="0" w:oddHBand="0" w:evenHBand="0" w:firstRowFirstColumn="0" w:firstRowLastColumn="0" w:lastRowFirstColumn="0" w:lastRowLastColumn="0"/>
            </w:pPr>
            <w:r w:rsidRPr="0035094B">
              <w:t>225 (0.202)</w:t>
            </w:r>
          </w:p>
        </w:tc>
      </w:tr>
    </w:tbl>
    <w:p w:rsidR="005F74D8" w:rsidRPr="00BE3612" w:rsidRDefault="005F74D8" w:rsidP="00243EAD">
      <w:pPr>
        <w:pStyle w:val="TableDescription"/>
      </w:pPr>
      <w:r w:rsidRPr="00BE3612">
        <w:rPr>
          <w:b/>
        </w:rPr>
        <w:t>Note:</w:t>
      </w:r>
      <w:r w:rsidRPr="00BE3612">
        <w:t xml:space="preserve"> extracted from Hizentra_2.7.4_ Sum</w:t>
      </w:r>
      <w:r>
        <w:t>mary_of_Clinical_Safety_Erratum</w:t>
      </w:r>
    </w:p>
    <w:p w:rsidR="005F74D8" w:rsidRDefault="005F74D8" w:rsidP="0035094B">
      <w:r w:rsidRPr="00BE3612">
        <w:rPr>
          <w:rFonts w:eastAsia="TimesNewRoman" w:cs="Arial"/>
          <w:color w:val="000000" w:themeColor="text1"/>
        </w:rPr>
        <w:t>I</w:t>
      </w:r>
      <w:r w:rsidRPr="00BE3612">
        <w:t>t is indicated that an external consultant was commissioned by the sponsor to conduct an independent verification of the study data at this study site followed by a review meeting with the Princip</w:t>
      </w:r>
      <w:r w:rsidR="00243EAD">
        <w:t>al Investigator on 08 May 2013.</w:t>
      </w:r>
    </w:p>
    <w:p w:rsidR="005F74D8" w:rsidRPr="00BE3612" w:rsidRDefault="005F74D8" w:rsidP="0035094B">
      <w:r w:rsidRPr="00BE3612">
        <w:t>From these activities, the sponsor concluded that this was a site-specific issue and that there were no other relevant discrepancies between the ZLB06_002CR study source documents and the submission dossier that would have an impact on the efficacy and safety conclusions of the study. The sponsor</w:t>
      </w:r>
      <w:r>
        <w:t xml:space="preserve"> also concluded that the </w:t>
      </w:r>
      <w:r w:rsidRPr="00BE3612">
        <w:t>2 new local reactions did not have a relevant effect on the rate of AEs per infusion or the overall safety statements or risk-benefit assessment of the IgPro20 therapy in immune deficiency patients.</w:t>
      </w:r>
    </w:p>
    <w:p w:rsidR="005F74D8" w:rsidRDefault="005F74D8" w:rsidP="0035094B">
      <w:pPr>
        <w:ind w:left="360"/>
      </w:pPr>
      <w:r w:rsidRPr="00CD7A1C">
        <w:rPr>
          <w:b/>
        </w:rPr>
        <w:t>Evaluator comment:</w:t>
      </w:r>
      <w:r>
        <w:t xml:space="preserve"> These data were reviewed by a second evaluator and not by the evaluator who undertook the evaluation presented in sections 1-1</w:t>
      </w:r>
      <w:r w:rsidR="0035094B">
        <w:t>0</w:t>
      </w:r>
      <w:r>
        <w:t xml:space="preserve"> of this report. It is noted </w:t>
      </w:r>
      <w:r>
        <w:lastRenderedPageBreak/>
        <w:t>that there were 9 sites in this study. The sponsor’s conclusion is accepted. However it is considered that the sponsor should provide the following</w:t>
      </w:r>
      <w:r w:rsidRPr="00CD7A1C">
        <w:t xml:space="preserve"> </w:t>
      </w:r>
      <w:r>
        <w:t>information on:</w:t>
      </w:r>
    </w:p>
    <w:p w:rsidR="0035094B" w:rsidRDefault="005F74D8" w:rsidP="0035094B">
      <w:pPr>
        <w:pStyle w:val="ListBullet"/>
        <w:ind w:left="720"/>
      </w:pPr>
      <w:r w:rsidRPr="00CD7A1C">
        <w:t>The independent consultant engaged to undertake the data study verification</w:t>
      </w:r>
      <w:r>
        <w:t xml:space="preserve"> (DSV)</w:t>
      </w:r>
      <w:r w:rsidRPr="00CD7A1C">
        <w:t xml:space="preserve"> and,</w:t>
      </w:r>
    </w:p>
    <w:p w:rsidR="005F74D8" w:rsidRDefault="005F74D8" w:rsidP="0035094B">
      <w:pPr>
        <w:pStyle w:val="ListBullet"/>
        <w:ind w:left="720"/>
      </w:pPr>
      <w:r w:rsidRPr="00CD7A1C">
        <w:t>How the data from the other 8 sites were verified as accurate.</w:t>
      </w:r>
    </w:p>
    <w:p w:rsidR="00C618F7" w:rsidRDefault="00C618F7" w:rsidP="0035094B">
      <w:pPr>
        <w:pStyle w:val="Heading2"/>
      </w:pPr>
      <w:bookmarkStart w:id="435" w:name="_Toc392757334"/>
      <w:r>
        <w:t xml:space="preserve">Second round </w:t>
      </w:r>
      <w:r w:rsidRPr="0035094B">
        <w:t>evaluation</w:t>
      </w:r>
      <w:r>
        <w:t xml:space="preserve"> of clinical data submitted in response to questions</w:t>
      </w:r>
      <w:bookmarkEnd w:id="435"/>
    </w:p>
    <w:p w:rsidR="005F74D8" w:rsidRPr="00B0048F" w:rsidRDefault="005F74D8" w:rsidP="0035094B">
      <w:pPr>
        <w:pStyle w:val="Heading3"/>
      </w:pPr>
      <w:bookmarkStart w:id="436" w:name="_Toc392757335"/>
      <w:r w:rsidRPr="00B0048F">
        <w:t xml:space="preserve">Indications for </w:t>
      </w:r>
      <w:r w:rsidR="00243EAD">
        <w:t>u</w:t>
      </w:r>
      <w:r w:rsidRPr="00B0048F">
        <w:t>se of Hizentra</w:t>
      </w:r>
      <w:bookmarkEnd w:id="436"/>
    </w:p>
    <w:p w:rsidR="005F74D8" w:rsidRPr="00146930" w:rsidRDefault="005F74D8" w:rsidP="0035094B">
      <w:r>
        <w:t xml:space="preserve">The proposed indications for use of Hizentra do not include an age restraint. </w:t>
      </w:r>
      <w:r w:rsidR="00870979">
        <w:t>T</w:t>
      </w:r>
      <w:r w:rsidRPr="008168F3">
        <w:t xml:space="preserve">he </w:t>
      </w:r>
      <w:r w:rsidR="00870979">
        <w:t>First</w:t>
      </w:r>
      <w:r>
        <w:t xml:space="preserve"> round evaluator stated that </w:t>
      </w:r>
      <w:r>
        <w:rPr>
          <w:rFonts w:cs="Cambria"/>
        </w:rPr>
        <w:t xml:space="preserve">“... </w:t>
      </w:r>
      <w:r w:rsidR="0035094B">
        <w:rPr>
          <w:rFonts w:cs="Cambria"/>
        </w:rPr>
        <w:t xml:space="preserve">The evaluator </w:t>
      </w:r>
      <w:r>
        <w:rPr>
          <w:rFonts w:cs="Cambria"/>
        </w:rPr>
        <w:t>recommend</w:t>
      </w:r>
      <w:r w:rsidR="0035094B">
        <w:rPr>
          <w:rFonts w:cs="Cambria"/>
        </w:rPr>
        <w:t>ed</w:t>
      </w:r>
      <w:r>
        <w:rPr>
          <w:rFonts w:cs="Cambria"/>
        </w:rPr>
        <w:t xml:space="preserve"> SC Hizentra</w:t>
      </w:r>
      <w:r w:rsidRPr="00E0190B">
        <w:rPr>
          <w:rFonts w:cs="Cambria"/>
        </w:rPr>
        <w:t xml:space="preserve"> be approved for replacement immunoglobulin therapy in children</w:t>
      </w:r>
      <w:r w:rsidRPr="00653D61">
        <w:rPr>
          <w:rFonts w:cs="Cambria"/>
        </w:rPr>
        <w:t xml:space="preserve"> (aged 2 years of older) </w:t>
      </w:r>
      <w:r w:rsidRPr="00E0190B">
        <w:rPr>
          <w:rFonts w:cs="Cambria"/>
        </w:rPr>
        <w:t>and adults with Primary Immunodeficiency Disease such as SCID, common variable immunodeficiency, congenital agammaglobulinaemia</w:t>
      </w:r>
      <w:r w:rsidRPr="00653D61">
        <w:rPr>
          <w:rFonts w:cs="Cambria"/>
        </w:rPr>
        <w:t xml:space="preserve"> and</w:t>
      </w:r>
      <w:r w:rsidRPr="00E0190B">
        <w:rPr>
          <w:rFonts w:cs="Cambria"/>
          <w:b/>
        </w:rPr>
        <w:t xml:space="preserve"> </w:t>
      </w:r>
      <w:r w:rsidRPr="00E0190B">
        <w:rPr>
          <w:rFonts w:cs="Cambria"/>
        </w:rPr>
        <w:t>hypogammaglobulinaemia and IgG subclass deficiencies with recurrent infections.</w:t>
      </w:r>
      <w:r>
        <w:rPr>
          <w:rFonts w:cs="Cambria"/>
        </w:rPr>
        <w:t>”</w:t>
      </w:r>
    </w:p>
    <w:p w:rsidR="005F74D8" w:rsidRDefault="005F74D8" w:rsidP="0035094B">
      <w:pPr>
        <w:rPr>
          <w:b/>
        </w:rPr>
      </w:pPr>
      <w:r w:rsidRPr="00146930">
        <w:t xml:space="preserve">The </w:t>
      </w:r>
      <w:r w:rsidRPr="00870979">
        <w:rPr>
          <w:rStyle w:val="Heading5Char"/>
          <w:rFonts w:eastAsia="Cambria"/>
        </w:rPr>
        <w:t>Sponsor Response</w:t>
      </w:r>
      <w:r>
        <w:rPr>
          <w:b/>
        </w:rPr>
        <w:t xml:space="preserve"> </w:t>
      </w:r>
      <w:r w:rsidRPr="00146930">
        <w:t>is presented below.</w:t>
      </w:r>
    </w:p>
    <w:p w:rsidR="005F74D8" w:rsidRPr="00E0190B" w:rsidRDefault="005F74D8" w:rsidP="0035094B">
      <w:r w:rsidRPr="00E0190B">
        <w:t xml:space="preserve">CSL Behring believes that Hizentra should not be restricted to children </w:t>
      </w:r>
      <w:r>
        <w:t>&lt; 2</w:t>
      </w:r>
      <w:r w:rsidRPr="00E0190B">
        <w:t xml:space="preserve"> years for the following reasons:</w:t>
      </w:r>
    </w:p>
    <w:p w:rsidR="005F74D8" w:rsidRPr="0035094B" w:rsidRDefault="00243EAD" w:rsidP="00243EAD">
      <w:pPr>
        <w:pStyle w:val="Heading4"/>
        <w:numPr>
          <w:ilvl w:val="0"/>
          <w:numId w:val="0"/>
        </w:numPr>
        <w:ind w:left="567" w:hanging="397"/>
      </w:pPr>
      <w:r>
        <w:t>1</w:t>
      </w:r>
      <w:r>
        <w:tab/>
      </w:r>
      <w:r w:rsidR="005F74D8" w:rsidRPr="0035094B">
        <w:t>Subcutaneous Immunoglobulin (SCIG) use does not demonstrate age specific dosing requirements</w:t>
      </w:r>
    </w:p>
    <w:p w:rsidR="005F74D8" w:rsidRDefault="005F74D8" w:rsidP="0035094B">
      <w:r w:rsidRPr="00E0190B">
        <w:t xml:space="preserve">During the clinical evaluation of Hizentra, there were no differences seen in Hizentra </w:t>
      </w:r>
      <w:r>
        <w:t>PK</w:t>
      </w:r>
      <w:r w:rsidRPr="00E0190B">
        <w:t xml:space="preserve"> parameters between children (&lt;12 years old), adolescents (12 to &lt;16), and adults (16 and older). </w:t>
      </w:r>
    </w:p>
    <w:p w:rsidR="005F74D8" w:rsidRDefault="005F74D8" w:rsidP="0035094B">
      <w:r w:rsidRPr="00E0190B">
        <w:t>This suggests that there are no age</w:t>
      </w:r>
      <w:r w:rsidR="0035094B">
        <w:t xml:space="preserve"> </w:t>
      </w:r>
      <w:r w:rsidRPr="00E0190B">
        <w:t>specific efficacy or safety requirements when using immunoglobulins subcutaneously. Furthermore, no special dosing requirements or precautions were needed for any of these age groups which is another indicator that there are no specific dosing requirements across age groups. These findings indicate that Hizentra use in infants less than two would demonstrate similar efficacy and safety findings when using the stated dose per body weight.</w:t>
      </w:r>
    </w:p>
    <w:p w:rsidR="005F74D8" w:rsidRPr="0035094B" w:rsidRDefault="005F74D8" w:rsidP="00243EAD">
      <w:pPr>
        <w:pStyle w:val="Heading4"/>
        <w:numPr>
          <w:ilvl w:val="0"/>
          <w:numId w:val="28"/>
        </w:numPr>
      </w:pPr>
      <w:r w:rsidRPr="0035094B">
        <w:t>Global use of Hizentra within paediatric populations</w:t>
      </w:r>
    </w:p>
    <w:p w:rsidR="005F74D8" w:rsidRPr="00E0190B" w:rsidRDefault="005F74D8" w:rsidP="0035094B">
      <w:r w:rsidRPr="00E0190B">
        <w:t xml:space="preserve">Hizentra is registered in numerous countries around the world and has celebrated many successful clinical applications in the paediatric population. There are a number of published literature investigating the use of Hizentra and SCIG in children under the age of two. In one example </w:t>
      </w:r>
      <w:r w:rsidRPr="005159A3">
        <w:t>by Gallagher J (2012),</w:t>
      </w:r>
      <w:r w:rsidRPr="00E0190B">
        <w:t xml:space="preserve"> Hizentra was found to be a safe and effective treatment for infants 4 months and 14 months of age. Global marketing experience on the reporting of Adverse Event’s within children (</w:t>
      </w:r>
      <w:r w:rsidR="0035094B">
        <w:t>≤</w:t>
      </w:r>
      <w:r w:rsidRPr="00E0190B">
        <w:t xml:space="preserve"> 12 years old) indicate that the nature and frequency of Adverse Event’s (AE) reported are in line with the expected range of possible adverse reactions to Hizentra3, indicating no specific AE issues in children.</w:t>
      </w:r>
    </w:p>
    <w:p w:rsidR="005F74D8" w:rsidRPr="0035094B" w:rsidRDefault="005F74D8" w:rsidP="00243EAD">
      <w:pPr>
        <w:pStyle w:val="Heading4"/>
        <w:numPr>
          <w:ilvl w:val="0"/>
          <w:numId w:val="28"/>
        </w:numPr>
      </w:pPr>
      <w:r w:rsidRPr="0035094B">
        <w:t>Inconsistency with subcutaneous immunoglobulins indications approved in</w:t>
      </w:r>
    </w:p>
    <w:p w:rsidR="005F74D8" w:rsidRPr="0084491B" w:rsidRDefault="005F74D8" w:rsidP="0035094B">
      <w:pPr>
        <w:pStyle w:val="Heading5"/>
        <w:numPr>
          <w:ilvl w:val="0"/>
          <w:numId w:val="0"/>
        </w:numPr>
        <w:rPr>
          <w:rFonts w:eastAsia="TimesNewRoman,Bold"/>
        </w:rPr>
      </w:pPr>
      <w:r w:rsidRPr="0084491B">
        <w:rPr>
          <w:rFonts w:eastAsia="TimesNewRoman,Bold"/>
        </w:rPr>
        <w:t>Australia</w:t>
      </w:r>
    </w:p>
    <w:p w:rsidR="005F74D8" w:rsidRPr="00E0190B" w:rsidRDefault="005F74D8" w:rsidP="00870979">
      <w:r w:rsidRPr="00E0190B">
        <w:t>CSL Behring notes the age restriction in children is inconsistent with approved indications for commercially available normal subcutaneous immunoglobulins currently approved in Australia:</w:t>
      </w:r>
    </w:p>
    <w:p w:rsidR="005F74D8" w:rsidRPr="00E0190B" w:rsidRDefault="005F74D8" w:rsidP="00870979">
      <w:pPr>
        <w:pStyle w:val="Heading5"/>
        <w:numPr>
          <w:ilvl w:val="0"/>
          <w:numId w:val="0"/>
        </w:numPr>
        <w:rPr>
          <w:rFonts w:eastAsia="TimesNewRoman,Bold"/>
        </w:rPr>
      </w:pPr>
      <w:r w:rsidRPr="00E0190B">
        <w:rPr>
          <w:rFonts w:eastAsia="TimesNewRoman,Bold"/>
        </w:rPr>
        <w:t>Gammanorm</w:t>
      </w:r>
    </w:p>
    <w:p w:rsidR="005F74D8" w:rsidRPr="00E0190B" w:rsidRDefault="005F74D8" w:rsidP="00870979">
      <w:r w:rsidRPr="00E0190B">
        <w:t>Gammanorm is indicated for:</w:t>
      </w:r>
    </w:p>
    <w:p w:rsidR="005F74D8" w:rsidRPr="00870979" w:rsidRDefault="005F74D8" w:rsidP="00870979">
      <w:pPr>
        <w:ind w:left="720"/>
        <w:rPr>
          <w:i/>
        </w:rPr>
      </w:pPr>
      <w:r w:rsidRPr="00870979">
        <w:rPr>
          <w:i/>
        </w:rPr>
        <w:lastRenderedPageBreak/>
        <w:t>“Replacement therapy in adults and children with primary immunodeficiency syndromes such as:</w:t>
      </w:r>
    </w:p>
    <w:p w:rsidR="005F74D8" w:rsidRPr="00243EAD" w:rsidRDefault="005F74D8" w:rsidP="00243EAD">
      <w:pPr>
        <w:pStyle w:val="ListBullet"/>
        <w:ind w:left="1276"/>
        <w:rPr>
          <w:i/>
        </w:rPr>
      </w:pPr>
      <w:r w:rsidRPr="00243EAD">
        <w:rPr>
          <w:i/>
        </w:rPr>
        <w:t>congenital agammaglobulinaemia and hypogammaglobulinaemia</w:t>
      </w:r>
    </w:p>
    <w:p w:rsidR="005F74D8" w:rsidRPr="00243EAD" w:rsidRDefault="005F74D8" w:rsidP="00243EAD">
      <w:pPr>
        <w:pStyle w:val="ListBullet"/>
        <w:ind w:left="1276"/>
        <w:rPr>
          <w:i/>
        </w:rPr>
      </w:pPr>
      <w:r w:rsidRPr="00243EAD">
        <w:rPr>
          <w:i/>
        </w:rPr>
        <w:t>common variable immunodeficiency</w:t>
      </w:r>
    </w:p>
    <w:p w:rsidR="005F74D8" w:rsidRPr="00243EAD" w:rsidRDefault="005F74D8" w:rsidP="00243EAD">
      <w:pPr>
        <w:pStyle w:val="ListBullet"/>
        <w:ind w:left="1276"/>
        <w:rPr>
          <w:i/>
        </w:rPr>
      </w:pPr>
      <w:r w:rsidRPr="00243EAD">
        <w:rPr>
          <w:i/>
        </w:rPr>
        <w:t>severe combined immunodeficiencies</w:t>
      </w:r>
    </w:p>
    <w:p w:rsidR="005F74D8" w:rsidRPr="00243EAD" w:rsidRDefault="005F74D8" w:rsidP="00243EAD">
      <w:pPr>
        <w:pStyle w:val="ListBullet"/>
        <w:ind w:left="1276"/>
        <w:rPr>
          <w:i/>
        </w:rPr>
      </w:pPr>
      <w:r w:rsidRPr="00243EAD">
        <w:rPr>
          <w:i/>
        </w:rPr>
        <w:t>IgG subclass deficiencies with recurrent infections</w:t>
      </w:r>
    </w:p>
    <w:p w:rsidR="005F74D8" w:rsidRPr="00870979" w:rsidRDefault="005F74D8" w:rsidP="00870979">
      <w:pPr>
        <w:ind w:left="720"/>
        <w:rPr>
          <w:i/>
        </w:rPr>
      </w:pPr>
      <w:r w:rsidRPr="00870979">
        <w:rPr>
          <w:i/>
        </w:rPr>
        <w:t>Replacement therapy in myeloma or chronic lymphatic leukaemia with severe secondary hypogammaglobulinaemia and recurrent infections.”</w:t>
      </w:r>
    </w:p>
    <w:p w:rsidR="005F74D8" w:rsidRPr="00B83E98" w:rsidRDefault="005F74D8" w:rsidP="00870979">
      <w:r w:rsidRPr="00B83E98">
        <w:t>According to the Product Information for Gammanorm the clinical program included children from the age of 1.5 years however the approved indication does not include an age restriction for children.</w:t>
      </w:r>
    </w:p>
    <w:p w:rsidR="005F74D8" w:rsidRPr="00E0190B" w:rsidRDefault="00870979" w:rsidP="00870979">
      <w:pPr>
        <w:pStyle w:val="Heading5"/>
        <w:numPr>
          <w:ilvl w:val="0"/>
          <w:numId w:val="0"/>
        </w:numPr>
        <w:rPr>
          <w:rFonts w:eastAsia="TimesNewRoman,Bold"/>
        </w:rPr>
      </w:pPr>
      <w:r w:rsidRPr="00E0190B">
        <w:rPr>
          <w:rFonts w:eastAsia="TimesNewRoman,Bold"/>
        </w:rPr>
        <w:t>Kiovig</w:t>
      </w:r>
    </w:p>
    <w:p w:rsidR="005F74D8" w:rsidRPr="00E0190B" w:rsidRDefault="005F74D8" w:rsidP="00870979">
      <w:r w:rsidRPr="00E0190B">
        <w:t>KIOVIG administered subcutaneously is indicated for:</w:t>
      </w:r>
    </w:p>
    <w:p w:rsidR="005F74D8" w:rsidRPr="00870979" w:rsidRDefault="005F74D8" w:rsidP="00870979">
      <w:pPr>
        <w:ind w:left="720"/>
        <w:rPr>
          <w:i/>
        </w:rPr>
      </w:pPr>
      <w:r w:rsidRPr="00870979">
        <w:rPr>
          <w:i/>
        </w:rPr>
        <w:t>“(1) Replacement therapy indications</w:t>
      </w:r>
    </w:p>
    <w:p w:rsidR="005F74D8" w:rsidRPr="00243EAD" w:rsidRDefault="005F74D8" w:rsidP="00243EAD">
      <w:pPr>
        <w:pStyle w:val="ListBullet"/>
        <w:ind w:left="1276"/>
        <w:rPr>
          <w:i/>
        </w:rPr>
      </w:pPr>
      <w:r w:rsidRPr="00243EAD">
        <w:rPr>
          <w:i/>
        </w:rPr>
        <w:t>Primary immunodeficiency disorders (PID).”</w:t>
      </w:r>
    </w:p>
    <w:p w:rsidR="005F74D8" w:rsidRPr="00E0190B" w:rsidRDefault="005F74D8" w:rsidP="00870979">
      <w:r w:rsidRPr="00E0190B">
        <w:t xml:space="preserve">According to the Product Information for Gammanorm the clinical program for subcutaneous use of </w:t>
      </w:r>
      <w:r w:rsidR="00870979" w:rsidRPr="00E0190B">
        <w:t xml:space="preserve">Kiovig </w:t>
      </w:r>
      <w:r w:rsidRPr="00E0190B">
        <w:t>included children from the age of 2 years however the approved indication does not include an age restriction for children.</w:t>
      </w:r>
    </w:p>
    <w:p w:rsidR="005F74D8" w:rsidRPr="00E0190B" w:rsidRDefault="005F74D8" w:rsidP="00870979">
      <w:r w:rsidRPr="00E0190B">
        <w:t xml:space="preserve">CSL Behring would like to further note that although </w:t>
      </w:r>
      <w:r w:rsidR="00870979" w:rsidRPr="00E0190B">
        <w:t xml:space="preserve">Kiovig </w:t>
      </w:r>
      <w:r w:rsidRPr="00E0190B">
        <w:t>is indicated for use in children, the Product Information highlights the limited efficacy and safety data within the paediatric age group in the ‘</w:t>
      </w:r>
      <w:r w:rsidRPr="00870979">
        <w:rPr>
          <w:i/>
        </w:rPr>
        <w:t>Precautions’, ‘Paediatric use’</w:t>
      </w:r>
      <w:r w:rsidRPr="00E0190B">
        <w:t>. The proposed Hizentra Product Information is consistent with these products.</w:t>
      </w:r>
    </w:p>
    <w:p w:rsidR="005F74D8" w:rsidRPr="00870979" w:rsidRDefault="00243EAD" w:rsidP="00243EAD">
      <w:pPr>
        <w:pStyle w:val="Heading4"/>
        <w:numPr>
          <w:ilvl w:val="0"/>
          <w:numId w:val="28"/>
        </w:numPr>
      </w:pPr>
      <w:r>
        <w:t>Suitability of s</w:t>
      </w:r>
      <w:r w:rsidR="005F74D8" w:rsidRPr="00870979">
        <w:t>ubcutaneous administration in the infant population</w:t>
      </w:r>
    </w:p>
    <w:p w:rsidR="005F74D8" w:rsidRPr="00E0190B" w:rsidRDefault="005F74D8" w:rsidP="00870979">
      <w:r w:rsidRPr="00E0190B">
        <w:t>Subcutaneous use of immunoglobulins, especially in infants, is more practical, convenient and offers a real alternative treatment modality for those with poor venous access. Therefore, immune deficiency patients of the youngest age group (</w:t>
      </w:r>
      <w:r w:rsidR="00C2531A">
        <w:t>that is,</w:t>
      </w:r>
      <w:r w:rsidRPr="00E0190B">
        <w:t xml:space="preserve"> less than 2 years old) would benefit the most from a SCIG such as Hizentra.</w:t>
      </w:r>
    </w:p>
    <w:p w:rsidR="00870979" w:rsidRDefault="00870979" w:rsidP="00870979">
      <w:pPr>
        <w:rPr>
          <w:rStyle w:val="Heading5Char"/>
          <w:rFonts w:eastAsia="Cambria"/>
        </w:rPr>
      </w:pPr>
      <w:r w:rsidRPr="00870979">
        <w:rPr>
          <w:rStyle w:val="Heading5Char"/>
          <w:rFonts w:eastAsia="Cambria"/>
        </w:rPr>
        <w:t>Second</w:t>
      </w:r>
      <w:r w:rsidR="005F74D8" w:rsidRPr="00870979">
        <w:rPr>
          <w:rStyle w:val="Heading5Char"/>
          <w:rFonts w:eastAsia="Cambria"/>
        </w:rPr>
        <w:t xml:space="preserve"> round clinical evaluator comment</w:t>
      </w:r>
    </w:p>
    <w:p w:rsidR="005F74D8" w:rsidRPr="004B1FB0" w:rsidRDefault="005F74D8" w:rsidP="00870979">
      <w:pPr>
        <w:rPr>
          <w:b/>
        </w:rPr>
      </w:pPr>
      <w:r w:rsidRPr="004F11A4">
        <w:t>The response in relation to global use of Hizentra within the paediatric population references an article by Gallagher et al as support for its use in children &lt; 2 years of age. It is indicated that this is noted in the PSUR covering the</w:t>
      </w:r>
      <w:r>
        <w:t xml:space="preserve"> </w:t>
      </w:r>
      <w:r w:rsidRPr="004F11A4">
        <w:t xml:space="preserve">period </w:t>
      </w:r>
      <w:r w:rsidRPr="004F11A4">
        <w:rPr>
          <w:rFonts w:eastAsia="TimesNewRoman" w:cs="TimesNewRoman"/>
        </w:rPr>
        <w:t>14 April 2011 to 15 October 2012</w:t>
      </w:r>
      <w:r w:rsidRPr="004F11A4">
        <w:t xml:space="preserve"> provided </w:t>
      </w:r>
      <w:r>
        <w:t xml:space="preserve">in module 5.3.6 of the </w:t>
      </w:r>
      <w:r w:rsidRPr="004F11A4">
        <w:t>submission</w:t>
      </w:r>
      <w:r w:rsidRPr="004F11A4">
        <w:rPr>
          <w:rFonts w:eastAsia="TimesNewRoman" w:cs="TimesNewRoman"/>
        </w:rPr>
        <w:t xml:space="preserve">. It is actually noted in </w:t>
      </w:r>
      <w:r>
        <w:t xml:space="preserve">PSUR covering </w:t>
      </w:r>
      <w:r w:rsidRPr="004F11A4">
        <w:t>15</w:t>
      </w:r>
      <w:r w:rsidR="00870979">
        <w:t xml:space="preserve"> </w:t>
      </w:r>
      <w:r w:rsidRPr="004F11A4">
        <w:t>Oct</w:t>
      </w:r>
      <w:r w:rsidR="00870979">
        <w:t xml:space="preserve">ober </w:t>
      </w:r>
      <w:r w:rsidRPr="004F11A4">
        <w:t>2011 to 14</w:t>
      </w:r>
      <w:r w:rsidR="00870979">
        <w:t xml:space="preserve"> </w:t>
      </w:r>
      <w:r w:rsidRPr="004F11A4">
        <w:t>Apr</w:t>
      </w:r>
      <w:r w:rsidR="00870979">
        <w:t xml:space="preserve">il </w:t>
      </w:r>
      <w:r w:rsidRPr="004F11A4">
        <w:t>2012. A copy of the reference was not provided in the submission.</w:t>
      </w:r>
    </w:p>
    <w:p w:rsidR="005F74D8" w:rsidRPr="004F11A4" w:rsidRDefault="005F74D8" w:rsidP="00870979">
      <w:pPr>
        <w:rPr>
          <w:rFonts w:eastAsia="TimesNewRoman" w:cs="TimesNewRoman"/>
        </w:rPr>
      </w:pPr>
      <w:r w:rsidRPr="004F11A4">
        <w:t>In t</w:t>
      </w:r>
      <w:r>
        <w:t xml:space="preserve">he comparison with the </w:t>
      </w:r>
      <w:r w:rsidRPr="004F11A4">
        <w:rPr>
          <w:rFonts w:eastAsia="TimesNewRoman,Bold" w:cs="TimesNewRoman,Bold"/>
          <w:bCs/>
        </w:rPr>
        <w:t>indications</w:t>
      </w:r>
      <w:r>
        <w:rPr>
          <w:rFonts w:eastAsia="TimesNewRoman,Bold" w:cs="TimesNewRoman,Bold"/>
          <w:bCs/>
        </w:rPr>
        <w:t xml:space="preserve"> in the</w:t>
      </w:r>
      <w:r>
        <w:t xml:space="preserve"> PI for </w:t>
      </w:r>
      <w:r w:rsidR="00870979">
        <w:rPr>
          <w:rFonts w:eastAsia="TimesNewRoman,Bold" w:cs="TimesNewRoman,Bold"/>
          <w:bCs/>
        </w:rPr>
        <w:t>SC</w:t>
      </w:r>
      <w:r w:rsidRPr="004F11A4">
        <w:rPr>
          <w:rFonts w:eastAsia="TimesNewRoman,Bold" w:cs="TimesNewRoman,Bold"/>
          <w:bCs/>
        </w:rPr>
        <w:t xml:space="preserve"> immunoglobulins already approved in Australia, for Kiovig it is stated that “</w:t>
      </w:r>
      <w:r w:rsidRPr="004F11A4">
        <w:rPr>
          <w:rFonts w:eastAsia="TimesNewRoman" w:cs="TimesNewRoman"/>
        </w:rPr>
        <w:t xml:space="preserve">According to the Product Information for Gammanorm the clinical program for subcutaneous use of </w:t>
      </w:r>
      <w:r w:rsidR="00870979" w:rsidRPr="004F11A4">
        <w:rPr>
          <w:rFonts w:eastAsia="TimesNewRoman" w:cs="TimesNewRoman"/>
        </w:rPr>
        <w:t xml:space="preserve">Kiovig </w:t>
      </w:r>
      <w:r w:rsidRPr="004F11A4">
        <w:rPr>
          <w:rFonts w:eastAsia="TimesNewRoman" w:cs="TimesNewRoman"/>
        </w:rPr>
        <w:t xml:space="preserve">included children from the age of 2 years, however the approved indication does not include an age restriction </w:t>
      </w:r>
      <w:r>
        <w:rPr>
          <w:rFonts w:eastAsia="TimesNewRoman" w:cs="TimesNewRoman"/>
        </w:rPr>
        <w:t>for children.” This statement corresponds to the Kiovig PI and reference to Gammanorm appears to be</w:t>
      </w:r>
      <w:r w:rsidRPr="004F11A4">
        <w:rPr>
          <w:rFonts w:eastAsia="TimesNewRoman" w:cs="TimesNewRoman"/>
        </w:rPr>
        <w:t xml:space="preserve"> a typographical error.</w:t>
      </w:r>
    </w:p>
    <w:p w:rsidR="005F74D8" w:rsidRPr="00E37934" w:rsidRDefault="005F74D8" w:rsidP="00870979">
      <w:pPr>
        <w:rPr>
          <w:rFonts w:ascii="Verdana" w:hAnsi="Verdana" w:cs="Verdana"/>
        </w:rPr>
      </w:pPr>
      <w:r w:rsidRPr="00E37934">
        <w:t xml:space="preserve">As indicated in the </w:t>
      </w:r>
      <w:r w:rsidR="00870979">
        <w:t>First</w:t>
      </w:r>
      <w:r w:rsidRPr="00E37934">
        <w:t xml:space="preserve"> round evaluation, the age limitation to patients &gt; 2 years is included in the US label. Howev</w:t>
      </w:r>
      <w:r>
        <w:t xml:space="preserve">er, it is not included in the EU Summary of Product Characteristics (SPC) </w:t>
      </w:r>
      <w:r w:rsidRPr="00E37934">
        <w:t>dated August 2013 accessed vi</w:t>
      </w:r>
      <w:r>
        <w:t>a the e-Medicines Compendium. Also,</w:t>
      </w:r>
      <w:r w:rsidRPr="00E37934">
        <w:t xml:space="preserve"> review of European Public Assessment Reports (2011 and</w:t>
      </w:r>
      <w:r w:rsidRPr="00E37934">
        <w:rPr>
          <w:rFonts w:cs="Verdana"/>
        </w:rPr>
        <w:t xml:space="preserve"> 2012</w:t>
      </w:r>
      <w:r w:rsidRPr="00E37934">
        <w:t>) reveals that the clinical data package reviewed for EU marketing authorisation was the same as that provided to the TGA. The sponsor’s rationale for not limiting the age in the indication for use is accepted.</w:t>
      </w:r>
    </w:p>
    <w:p w:rsidR="005F74D8" w:rsidRPr="00E32D7C" w:rsidRDefault="005F74D8" w:rsidP="000A4A2C">
      <w:pPr>
        <w:pStyle w:val="Heading3"/>
      </w:pPr>
      <w:bookmarkStart w:id="437" w:name="_Toc392757336"/>
      <w:r w:rsidRPr="000A4A2C">
        <w:lastRenderedPageBreak/>
        <w:t>Additional</w:t>
      </w:r>
      <w:r>
        <w:t xml:space="preserve"> </w:t>
      </w:r>
      <w:r w:rsidR="000A4A2C">
        <w:t>c</w:t>
      </w:r>
      <w:r>
        <w:t>or</w:t>
      </w:r>
      <w:r w:rsidRPr="00E32D7C">
        <w:t xml:space="preserve">rected </w:t>
      </w:r>
      <w:r w:rsidR="000A4A2C">
        <w:t>s</w:t>
      </w:r>
      <w:r w:rsidRPr="00E32D7C">
        <w:t xml:space="preserve">afety </w:t>
      </w:r>
      <w:r w:rsidR="000A4A2C">
        <w:t>d</w:t>
      </w:r>
      <w:r w:rsidRPr="00E32D7C">
        <w:t>ata</w:t>
      </w:r>
      <w:bookmarkEnd w:id="437"/>
    </w:p>
    <w:p w:rsidR="005F74D8" w:rsidRDefault="005F74D8" w:rsidP="00870979">
      <w:r>
        <w:rPr>
          <w:rFonts w:eastAsia="TimesNewRoman,Bold" w:cs="TimesNewRoman,Bold"/>
          <w:bCs/>
        </w:rPr>
        <w:t xml:space="preserve">These (see above) related to 1 site in </w:t>
      </w:r>
      <w:r w:rsidRPr="00117025">
        <w:rPr>
          <w:rFonts w:eastAsia="TimesNewRoman" w:cs="Arial"/>
          <w:color w:val="000000" w:themeColor="text1"/>
        </w:rPr>
        <w:t xml:space="preserve">the </w:t>
      </w:r>
      <w:r w:rsidRPr="00117025">
        <w:t>Japan Phase III study ZLB06_002CR and its</w:t>
      </w:r>
      <w:r>
        <w:t xml:space="preserve"> extension </w:t>
      </w:r>
      <w:r w:rsidRPr="00117025">
        <w:t>ZLB07_001CR</w:t>
      </w:r>
      <w:r>
        <w:t xml:space="preserve"> which was conducted across 9 sites</w:t>
      </w:r>
      <w:r w:rsidRPr="00117025">
        <w:t>.</w:t>
      </w:r>
      <w:r>
        <w:t xml:space="preserve"> The sponsor was asked to provide information on 2 issues as follows.</w:t>
      </w:r>
    </w:p>
    <w:p w:rsidR="00870979" w:rsidRPr="000A4A2C" w:rsidRDefault="005F74D8" w:rsidP="000A4A2C">
      <w:pPr>
        <w:pStyle w:val="Heading4"/>
      </w:pPr>
      <w:r w:rsidRPr="000A4A2C">
        <w:rPr>
          <w:rStyle w:val="Heading5Char"/>
          <w:rFonts w:eastAsia="MS Mincho"/>
          <w:b/>
          <w:bCs/>
          <w:i w:val="0"/>
          <w:color w:val="auto"/>
        </w:rPr>
        <w:t>Information requested</w:t>
      </w:r>
    </w:p>
    <w:p w:rsidR="005F74D8" w:rsidRPr="008B5B73" w:rsidRDefault="005F74D8" w:rsidP="005F74D8">
      <w:pPr>
        <w:autoSpaceDE w:val="0"/>
        <w:autoSpaceDN w:val="0"/>
        <w:adjustRightInd w:val="0"/>
        <w:rPr>
          <w:rFonts w:asciiTheme="majorHAnsi" w:eastAsia="TimesNewRoman,Bold" w:hAnsiTheme="majorHAnsi" w:cs="TimesNewRoman,Bold"/>
          <w:b/>
          <w:bCs/>
        </w:rPr>
      </w:pPr>
      <w:r w:rsidRPr="00870979">
        <w:t>The independent consultant engaged to undertake the DSV.</w:t>
      </w:r>
      <w:r w:rsidR="000D6A22">
        <w:rPr>
          <w:rFonts w:asciiTheme="majorHAnsi" w:eastAsia="TimesNewRoman,Bold" w:hAnsiTheme="majorHAnsi" w:cs="TimesNewRoman,Bold"/>
          <w:bCs/>
        </w:rPr>
        <w:t xml:space="preserve"> </w:t>
      </w:r>
    </w:p>
    <w:p w:rsidR="00870979" w:rsidRPr="000A4A2C" w:rsidRDefault="005F74D8" w:rsidP="000A4A2C">
      <w:pPr>
        <w:pStyle w:val="Heading5"/>
        <w:rPr>
          <w:rStyle w:val="Heading5Char"/>
          <w:rFonts w:eastAsia="TimesNewRoman,Bold"/>
          <w:b/>
          <w:bCs/>
          <w:i/>
        </w:rPr>
      </w:pPr>
      <w:r w:rsidRPr="000A4A2C">
        <w:rPr>
          <w:rStyle w:val="Heading5Char"/>
          <w:rFonts w:eastAsia="TimesNewRoman,Bold"/>
          <w:b/>
          <w:bCs/>
          <w:i/>
        </w:rPr>
        <w:t>Sponsor response</w:t>
      </w:r>
    </w:p>
    <w:p w:rsidR="005F74D8" w:rsidRPr="00870979" w:rsidRDefault="005F74D8" w:rsidP="005F74D8">
      <w:r w:rsidRPr="00870979">
        <w:t>The Study Monitor performed the SDV in accordance with the monitoring plan and a recent review conducted by CSL Behring indicated that this was sufficiently carried out. The two unreported AEs were identified as a SDV oversight, mainly attributed to the additional transcription process applied by the Monitor at this site to accommodate the set-up in the data verification and review discussion with the Principal Investigator. This extra data transcription step was unique to the site at the National Defense Medical College, and was not followed at other sites. Following the PMDA (Japanese regulatory authority) post</w:t>
      </w:r>
      <w:r w:rsidR="00870979">
        <w:t xml:space="preserve"> </w:t>
      </w:r>
      <w:r w:rsidRPr="00870979">
        <w:t>inspection inquiries and using a risk</w:t>
      </w:r>
      <w:r w:rsidR="00870979">
        <w:t xml:space="preserve"> </w:t>
      </w:r>
      <w:r w:rsidRPr="00870979">
        <w:t>based assessment, CSL Behring commissioned an external consultant to lead an independent SDV activity relevant to the study data at the National Defense Medical College. This was performed on 22</w:t>
      </w:r>
      <w:r w:rsidR="00870979">
        <w:t xml:space="preserve">, </w:t>
      </w:r>
      <w:r w:rsidRPr="00870979">
        <w:t xml:space="preserve">23 </w:t>
      </w:r>
      <w:r w:rsidR="00870979">
        <w:t>and</w:t>
      </w:r>
      <w:r w:rsidRPr="00870979">
        <w:t xml:space="preserve"> 25 April 2013 and was followed by a review meeting with the PI on 08 May 2013. From these activities CSL Behring concludes that there were no other relevant discrepancies between the ZLB06_002CR study source documents and the submission dossier that would have an impact on the efficacy and safety conclusions of the study. CSL Behring concluded that monitoring at the individual study site had been appropriately conducted in compliance with the Monitoring Plan of the Contract Research Organization.</w:t>
      </w:r>
    </w:p>
    <w:p w:rsidR="00870979" w:rsidRPr="000A4A2C" w:rsidRDefault="005F74D8" w:rsidP="000A4A2C">
      <w:pPr>
        <w:pStyle w:val="Heading4"/>
        <w:rPr>
          <w:rStyle w:val="Heading5Char"/>
          <w:rFonts w:eastAsia="MS Mincho"/>
          <w:b/>
          <w:bCs/>
          <w:i w:val="0"/>
          <w:color w:val="auto"/>
        </w:rPr>
      </w:pPr>
      <w:r w:rsidRPr="000A4A2C">
        <w:rPr>
          <w:rStyle w:val="Heading5Char"/>
          <w:rFonts w:eastAsia="MS Mincho"/>
          <w:b/>
          <w:bCs/>
          <w:i w:val="0"/>
          <w:color w:val="auto"/>
        </w:rPr>
        <w:t>Information requested</w:t>
      </w:r>
    </w:p>
    <w:p w:rsidR="005F74D8" w:rsidRPr="008B5B73" w:rsidRDefault="005F74D8" w:rsidP="005F74D8">
      <w:pPr>
        <w:autoSpaceDE w:val="0"/>
        <w:autoSpaceDN w:val="0"/>
        <w:adjustRightInd w:val="0"/>
        <w:rPr>
          <w:rFonts w:asciiTheme="majorHAnsi" w:eastAsia="TimesNewRoman,Bold" w:hAnsiTheme="majorHAnsi" w:cs="TimesNewRoman,Bold"/>
          <w:b/>
          <w:bCs/>
        </w:rPr>
      </w:pPr>
      <w:r w:rsidRPr="00870979">
        <w:t>How the data from the other 8 sites were verified as accurate.</w:t>
      </w:r>
    </w:p>
    <w:p w:rsidR="00870979" w:rsidRPr="000A4A2C" w:rsidRDefault="005F74D8" w:rsidP="000A4A2C">
      <w:pPr>
        <w:pStyle w:val="Heading5"/>
        <w:rPr>
          <w:rFonts w:eastAsia="TimesNewRoman,Bold"/>
        </w:rPr>
      </w:pPr>
      <w:r w:rsidRPr="000A4A2C">
        <w:rPr>
          <w:rFonts w:eastAsia="TimesNewRoman,Bold"/>
        </w:rPr>
        <w:t>Sponsor response</w:t>
      </w:r>
    </w:p>
    <w:p w:rsidR="005F74D8" w:rsidRPr="008B5B73" w:rsidRDefault="005F74D8" w:rsidP="00870979">
      <w:pPr>
        <w:rPr>
          <w:rFonts w:eastAsia="TimesNewRoman,Bold" w:cs="TimesNewRoman,Bold"/>
          <w:b/>
          <w:bCs/>
        </w:rPr>
      </w:pPr>
      <w:r w:rsidRPr="00117025">
        <w:t>At the 8 other sites in which the trial was carried out, 100% SDV of Case Report Form entries against subject’s source medical records was performed by an accredited Cont</w:t>
      </w:r>
      <w:r>
        <w:t>ract Research Organization</w:t>
      </w:r>
      <w:r w:rsidRPr="00117025">
        <w:t>. This SDV was carried out according to Standard Operating Procedures.</w:t>
      </w:r>
    </w:p>
    <w:p w:rsidR="00870979" w:rsidRPr="006F1F66" w:rsidRDefault="00870979" w:rsidP="006F1F66">
      <w:pPr>
        <w:pStyle w:val="Heading5"/>
      </w:pPr>
      <w:r w:rsidRPr="006F1F66">
        <w:t>Second</w:t>
      </w:r>
      <w:r w:rsidR="005F74D8" w:rsidRPr="006F1F66">
        <w:t xml:space="preserve"> round clinical evaluator comment</w:t>
      </w:r>
    </w:p>
    <w:p w:rsidR="00C618F7" w:rsidRPr="00586F98" w:rsidRDefault="00870979" w:rsidP="00870979">
      <w:pPr>
        <w:rPr>
          <w:lang w:eastAsia="ja-JP"/>
        </w:rPr>
      </w:pPr>
      <w:r w:rsidRPr="00870979">
        <w:t>T</w:t>
      </w:r>
      <w:r w:rsidR="005F74D8" w:rsidRPr="00870979">
        <w:t>h</w:t>
      </w:r>
      <w:r w:rsidR="005F74D8" w:rsidRPr="00237E46">
        <w:t xml:space="preserve">e sponsor’s response </w:t>
      </w:r>
      <w:r w:rsidR="005F74D8">
        <w:t>does not provide any information on the independent consultant appointed to undertake the DSV. Notwithstanding this, the responses to both questions are</w:t>
      </w:r>
      <w:r w:rsidR="005F74D8" w:rsidRPr="00237E46">
        <w:t xml:space="preserve"> accepted.</w:t>
      </w:r>
    </w:p>
    <w:p w:rsidR="00C618F7" w:rsidRDefault="00C618F7" w:rsidP="002B58E8">
      <w:pPr>
        <w:pStyle w:val="Heading2"/>
      </w:pPr>
      <w:bookmarkStart w:id="438" w:name="_Toc392757337"/>
      <w:r>
        <w:t xml:space="preserve">Second </w:t>
      </w:r>
      <w:r w:rsidRPr="002B58E8">
        <w:t>round</w:t>
      </w:r>
      <w:r>
        <w:t xml:space="preserve"> benefit-risk assessment</w:t>
      </w:r>
      <w:bookmarkEnd w:id="438"/>
    </w:p>
    <w:p w:rsidR="005F74D8" w:rsidRDefault="005F74D8" w:rsidP="005F74D8">
      <w:r>
        <w:t xml:space="preserve">As presented </w:t>
      </w:r>
      <w:r w:rsidR="00870979">
        <w:t>previously in</w:t>
      </w:r>
      <w:r>
        <w:t xml:space="preserve"> this evaluation report, based on the efficacy and safety data provided in the submission, it is concluded that the benefits of treatment with Hizentra outweigh its risks. The response to the question regarding its indications for use does not change this assessment.</w:t>
      </w:r>
    </w:p>
    <w:p w:rsidR="00C618F7" w:rsidRDefault="00C618F7" w:rsidP="002B58E8">
      <w:pPr>
        <w:pStyle w:val="Heading2"/>
      </w:pPr>
      <w:bookmarkStart w:id="439" w:name="_Toc392757338"/>
      <w:r>
        <w:t xml:space="preserve">Second round </w:t>
      </w:r>
      <w:r w:rsidRPr="002B58E8">
        <w:t>recommendation</w:t>
      </w:r>
      <w:r>
        <w:t xml:space="preserve"> regarding authorisation</w:t>
      </w:r>
      <w:bookmarkEnd w:id="439"/>
    </w:p>
    <w:p w:rsidR="005F74D8" w:rsidRPr="00D86F40" w:rsidRDefault="005F74D8" w:rsidP="00870979">
      <w:r w:rsidRPr="00D86F40">
        <w:t xml:space="preserve">It is recommended that Hizentra is approved for inclusion in the ARTG as follows: </w:t>
      </w:r>
    </w:p>
    <w:p w:rsidR="005F74D8" w:rsidRPr="00870979" w:rsidRDefault="005F74D8" w:rsidP="00870979">
      <w:pPr>
        <w:ind w:left="284"/>
        <w:rPr>
          <w:i/>
        </w:rPr>
      </w:pPr>
      <w:r w:rsidRPr="00D86F40">
        <w:t>“</w:t>
      </w:r>
      <w:r w:rsidRPr="00870979">
        <w:rPr>
          <w:i/>
        </w:rPr>
        <w:t>Hizentra® is indicated in adults and children for replacement therapy in:</w:t>
      </w:r>
    </w:p>
    <w:p w:rsidR="005F74D8" w:rsidRPr="006F1F66" w:rsidRDefault="005F74D8" w:rsidP="006F1F66">
      <w:pPr>
        <w:pStyle w:val="ListBullet"/>
        <w:ind w:left="851"/>
        <w:rPr>
          <w:i/>
        </w:rPr>
      </w:pPr>
      <w:r w:rsidRPr="006F1F66">
        <w:rPr>
          <w:i/>
        </w:rPr>
        <w:t>Primary Immunodeficiency Disease (PID) and</w:t>
      </w:r>
    </w:p>
    <w:p w:rsidR="00C618F7" w:rsidRPr="006F1F66" w:rsidRDefault="005F74D8" w:rsidP="006F1F66">
      <w:pPr>
        <w:pStyle w:val="ListBullet"/>
        <w:ind w:left="851"/>
        <w:rPr>
          <w:i/>
          <w:lang w:eastAsia="ja-JP"/>
        </w:rPr>
      </w:pPr>
      <w:r w:rsidRPr="006F1F66">
        <w:rPr>
          <w:i/>
        </w:rPr>
        <w:lastRenderedPageBreak/>
        <w:t>Symptomatic hypogammaglobulinaemia secondary to underlying disease or treatment.”</w:t>
      </w:r>
    </w:p>
    <w:p w:rsidR="007E5CEF" w:rsidRPr="007E5CEF" w:rsidRDefault="007E5CEF" w:rsidP="002B58E8">
      <w:pPr>
        <w:pStyle w:val="Heading2"/>
      </w:pPr>
      <w:bookmarkStart w:id="440" w:name="_Ref272345858"/>
      <w:bookmarkStart w:id="441" w:name="_Toc272414715"/>
      <w:bookmarkStart w:id="442" w:name="_Toc290846357"/>
      <w:bookmarkStart w:id="443" w:name="_Toc373748482"/>
      <w:bookmarkStart w:id="444" w:name="_Toc392757339"/>
      <w:r w:rsidRPr="002B58E8">
        <w:t>References</w:t>
      </w:r>
      <w:bookmarkEnd w:id="440"/>
      <w:bookmarkEnd w:id="441"/>
      <w:bookmarkEnd w:id="442"/>
      <w:bookmarkEnd w:id="443"/>
      <w:bookmarkEnd w:id="444"/>
    </w:p>
    <w:p w:rsidR="007E5CEF" w:rsidRPr="007E5CEF" w:rsidRDefault="007E5CEF" w:rsidP="007E5CEF">
      <w:pPr>
        <w:ind w:left="284" w:hanging="284"/>
        <w:rPr>
          <w:color w:val="000000"/>
        </w:rPr>
      </w:pPr>
      <w:r w:rsidRPr="007E5CEF">
        <w:rPr>
          <w:color w:val="000000"/>
        </w:rPr>
        <w:t>Aalberse R.C., Stapel S.O., Schuurman J., Rispens T. (2009). Immunoglobulin G4: an odd antibody. Clinical and Experimental Allergy, 39, 469-477.</w:t>
      </w:r>
    </w:p>
    <w:p w:rsidR="007E5CEF" w:rsidRPr="007E5CEF" w:rsidRDefault="007E5CEF" w:rsidP="007E5CEF">
      <w:pPr>
        <w:ind w:left="284" w:hanging="284"/>
        <w:rPr>
          <w:color w:val="000000"/>
        </w:rPr>
      </w:pPr>
      <w:r w:rsidRPr="007E5CEF">
        <w:rPr>
          <w:color w:val="000000"/>
        </w:rPr>
        <w:t>ACIP (Advisory Committee on Immunization Practices): Measles, Mumps, and Rubella - Vaccine use and strategies for elimination of measles, rubella, and congenital rubella syndrome and control of mumps - Recommendations of the Advisory Committee on</w:t>
      </w:r>
      <w:r>
        <w:rPr>
          <w:color w:val="000000"/>
        </w:rPr>
        <w:t xml:space="preserve"> </w:t>
      </w:r>
      <w:r w:rsidRPr="007E5CEF">
        <w:rPr>
          <w:color w:val="000000"/>
        </w:rPr>
        <w:t>Immunization Practices (ACIP). MMWR Recommendations and Reports [serial online] 1998 May;47(RR-8):[63 screens]. (http://www.cdc.gov/MMWR/preview/MMWRhtml/00053391.htm, accessed in July 2012).</w:t>
      </w:r>
    </w:p>
    <w:p w:rsidR="007E5CEF" w:rsidRPr="007E5CEF" w:rsidRDefault="007E5CEF" w:rsidP="007E5CEF">
      <w:pPr>
        <w:autoSpaceDE w:val="0"/>
        <w:autoSpaceDN w:val="0"/>
        <w:adjustRightInd w:val="0"/>
        <w:ind w:left="284" w:hanging="284"/>
        <w:rPr>
          <w:color w:val="000000"/>
        </w:rPr>
      </w:pPr>
      <w:r w:rsidRPr="007E5CEF">
        <w:rPr>
          <w:color w:val="000000"/>
        </w:rPr>
        <w:t>Atkinson MJ, Sinha A, Hass SL, et al. Validation of general measure of treatment satisfaction, the treatment satisfaction questionnaire for medication (TSQM), using a national panel study of chronic disease. Health and Quality of Life Outcomes 2(12), 1-13, 2004.</w:t>
      </w:r>
    </w:p>
    <w:p w:rsidR="007E5CEF" w:rsidRPr="007E5CEF" w:rsidRDefault="007E5CEF" w:rsidP="007E5CEF">
      <w:pPr>
        <w:shd w:val="clear" w:color="auto" w:fill="FFFFFF"/>
        <w:ind w:left="284" w:hanging="284"/>
        <w:rPr>
          <w:rFonts w:cs="Arial"/>
          <w:color w:val="000000"/>
        </w:rPr>
      </w:pPr>
      <w:r w:rsidRPr="007E5CEF">
        <w:rPr>
          <w:rStyle w:val="highlight"/>
          <w:rFonts w:cs="Arial"/>
          <w:color w:val="000000"/>
        </w:rPr>
        <w:t>Berger</w:t>
      </w:r>
      <w:r w:rsidRPr="007E5CEF">
        <w:rPr>
          <w:rFonts w:cs="Arial"/>
          <w:color w:val="000000"/>
        </w:rPr>
        <w:t xml:space="preserve"> M, Cupps TR, </w:t>
      </w:r>
      <w:r w:rsidRPr="007E5CEF">
        <w:rPr>
          <w:rStyle w:val="highlight"/>
          <w:rFonts w:cs="Arial"/>
          <w:color w:val="000000"/>
        </w:rPr>
        <w:t>Fauci</w:t>
      </w:r>
      <w:r w:rsidRPr="007E5CEF">
        <w:rPr>
          <w:rFonts w:cs="Arial"/>
          <w:color w:val="000000"/>
        </w:rPr>
        <w:t xml:space="preserve"> AS.High-dose immunoglobulin replacement therapy by slow subcutaneous infusion during pregnancy. </w:t>
      </w:r>
      <w:hyperlink r:id="rId54" w:tooltip="JAMA : the journal of the American Medical Association." w:history="1">
        <w:r w:rsidRPr="007E5CEF">
          <w:rPr>
            <w:rFonts w:cs="Arial"/>
            <w:color w:val="000000"/>
          </w:rPr>
          <w:t>JAMA.</w:t>
        </w:r>
      </w:hyperlink>
      <w:r w:rsidRPr="007E5CEF">
        <w:rPr>
          <w:rFonts w:cs="Arial"/>
          <w:color w:val="000000"/>
        </w:rPr>
        <w:t xml:space="preserve"> </w:t>
      </w:r>
      <w:r w:rsidRPr="007E5CEF">
        <w:rPr>
          <w:rStyle w:val="highlight"/>
          <w:rFonts w:cs="Arial"/>
          <w:color w:val="000000"/>
        </w:rPr>
        <w:t>1982</w:t>
      </w:r>
      <w:r w:rsidRPr="007E5CEF">
        <w:rPr>
          <w:rFonts w:cs="Arial"/>
          <w:color w:val="000000"/>
        </w:rPr>
        <w:t xml:space="preserve"> May 28;247(20):2824-5.</w:t>
      </w:r>
    </w:p>
    <w:p w:rsidR="007E5CEF" w:rsidRPr="007E5CEF" w:rsidRDefault="007E5CEF" w:rsidP="007E5CEF">
      <w:pPr>
        <w:ind w:left="284" w:hanging="284"/>
        <w:rPr>
          <w:color w:val="000000"/>
        </w:rPr>
      </w:pPr>
      <w:r w:rsidRPr="007E5CEF">
        <w:rPr>
          <w:color w:val="000000"/>
        </w:rPr>
        <w:t>Berger M. (2008a). Subcutaneous administration of IgG. Immunology and Allergy Clinics of North America, 28, 779-802.</w:t>
      </w:r>
    </w:p>
    <w:p w:rsidR="007E5CEF" w:rsidRPr="007E5CEF" w:rsidRDefault="007E5CEF" w:rsidP="007E5CEF">
      <w:pPr>
        <w:ind w:left="284" w:hanging="284"/>
        <w:rPr>
          <w:color w:val="000000"/>
        </w:rPr>
      </w:pPr>
      <w:r w:rsidRPr="007E5CEF">
        <w:rPr>
          <w:color w:val="000000"/>
        </w:rPr>
        <w:t>Berger M. (2004). Subcutaneous immunoglobulin replacement in primary immunodeficiencies. Clinical Immunology, 112, 1-7.</w:t>
      </w:r>
    </w:p>
    <w:p w:rsidR="007E5CEF" w:rsidRPr="007E5CEF" w:rsidRDefault="007E5CEF" w:rsidP="007E5CEF">
      <w:pPr>
        <w:ind w:left="284" w:hanging="284"/>
        <w:rPr>
          <w:color w:val="000000"/>
        </w:rPr>
      </w:pPr>
      <w:r w:rsidRPr="007E5CEF">
        <w:rPr>
          <w:color w:val="000000"/>
        </w:rPr>
        <w:t>Berger M., Pinciaro P.J., Flebogamma 5% Investigators. (2004a). Safety, efficacy, and pharmacokinetics of Flebogamma 5% (Immune Globulin Intravenous [Human]) for replacement therapy in primary immunodeficiency diseases. Journal of Clinical Immunology, 24, 389-396.</w:t>
      </w:r>
    </w:p>
    <w:p w:rsidR="007E5CEF" w:rsidRPr="007E5CEF" w:rsidRDefault="007E5CEF" w:rsidP="007E5CEF">
      <w:pPr>
        <w:ind w:left="284" w:hanging="284"/>
        <w:rPr>
          <w:color w:val="000000"/>
        </w:rPr>
      </w:pPr>
      <w:r w:rsidRPr="007E5CEF">
        <w:rPr>
          <w:color w:val="000000"/>
        </w:rPr>
        <w:t>Bonilla F.A. (2008). Pharmacokinetics of immunoglobulin administered via intravenous or subcutaneous routes. Immunology and Allergy Clinics of North America, 28, 803-819.</w:t>
      </w:r>
    </w:p>
    <w:p w:rsidR="007E5CEF" w:rsidRPr="007E5CEF" w:rsidRDefault="007E5CEF" w:rsidP="007E5CEF">
      <w:pPr>
        <w:ind w:left="284" w:hanging="284"/>
        <w:rPr>
          <w:color w:val="000000"/>
        </w:rPr>
      </w:pPr>
      <w:r w:rsidRPr="007E5CEF">
        <w:rPr>
          <w:color w:val="000000"/>
        </w:rPr>
        <w:t>Borte M., Quinti I., Soresina A., Fernández-Cruz E., et al. (2011). Efficacy and safety of subcutaneous Vivaglobin® replacement therapy in previously untreated patients with primary immunodeficiency: a prospective, multicenter study. J Clin Immunol, 31, 952-961.</w:t>
      </w:r>
    </w:p>
    <w:p w:rsidR="007E5CEF" w:rsidRDefault="007E5CEF" w:rsidP="007E5CEF">
      <w:pPr>
        <w:ind w:left="284" w:hanging="284"/>
        <w:rPr>
          <w:color w:val="000000"/>
        </w:rPr>
      </w:pPr>
      <w:r w:rsidRPr="007E5CEF">
        <w:rPr>
          <w:color w:val="000000"/>
        </w:rPr>
        <w:t xml:space="preserve">Busse J., Hoffmann F., Schlieben S., Strotmann G., et al. (2005). Subcutaneous immunoglobulin substitution in primary B-cell defects. Review of the literature and some experiences with 17 patients over a period of 6 yrs. Intern Praxis, 45, 185-194. </w:t>
      </w:r>
    </w:p>
    <w:p w:rsidR="007E5CEF" w:rsidRPr="007E5CEF" w:rsidRDefault="007E5CEF" w:rsidP="007E5CEF">
      <w:pPr>
        <w:ind w:left="284" w:hanging="284"/>
        <w:rPr>
          <w:color w:val="000000"/>
        </w:rPr>
      </w:pPr>
      <w:r w:rsidRPr="007E5CEF">
        <w:rPr>
          <w:color w:val="000000"/>
        </w:rPr>
        <w:t>Chapel H.M., Spickett G.P., Ericson D., Engl W., et al. (2000). The comparison of the efficacy and safety of intravenous versus subcutaneous immunoglobulin replacement therapy. Journal of Clinical Immunology, 20, 94-100.</w:t>
      </w:r>
    </w:p>
    <w:p w:rsidR="007E5CEF" w:rsidRPr="007E5CEF" w:rsidRDefault="007E5CEF" w:rsidP="007E5CEF">
      <w:pPr>
        <w:ind w:left="284" w:hanging="284"/>
        <w:rPr>
          <w:color w:val="000000"/>
        </w:rPr>
      </w:pPr>
      <w:r w:rsidRPr="007E5CEF">
        <w:rPr>
          <w:color w:val="000000"/>
        </w:rPr>
        <w:t>Cooper M.A., Pommering T.L., Korányi K. (2003). Primary immunodeficiencies. American Family Physician, 68, 2001-2008.</w:t>
      </w:r>
    </w:p>
    <w:p w:rsidR="007E5CEF" w:rsidRPr="007E5CEF" w:rsidRDefault="007E5CEF" w:rsidP="007E5CEF">
      <w:pPr>
        <w:ind w:left="284" w:hanging="284"/>
        <w:rPr>
          <w:color w:val="000000"/>
        </w:rPr>
      </w:pPr>
      <w:r w:rsidRPr="007E5CEF">
        <w:rPr>
          <w:color w:val="000000"/>
        </w:rPr>
        <w:t>Copelan E.A., Strohm P.L., Kennedy M.S., Tutschka P.J. (1986). Haemolysis following intravenous immune globulin therapy. Transfusion, 26, 410-412.</w:t>
      </w:r>
    </w:p>
    <w:p w:rsidR="007E5CEF" w:rsidRPr="007E5CEF" w:rsidRDefault="007E5CEF" w:rsidP="007E5CEF">
      <w:pPr>
        <w:ind w:left="284" w:hanging="284"/>
        <w:rPr>
          <w:color w:val="000000"/>
        </w:rPr>
      </w:pPr>
      <w:r w:rsidRPr="007E5CEF">
        <w:rPr>
          <w:color w:val="000000"/>
        </w:rPr>
        <w:t>CPMP. Guideline for Good Clinical Practice (CPMP/ICH/135/95).</w:t>
      </w:r>
    </w:p>
    <w:p w:rsidR="007E5CEF" w:rsidRPr="007E5CEF" w:rsidRDefault="007E5CEF" w:rsidP="007E5CEF">
      <w:pPr>
        <w:ind w:left="284" w:hanging="284"/>
        <w:rPr>
          <w:color w:val="000000"/>
        </w:rPr>
      </w:pPr>
      <w:r w:rsidRPr="007E5CEF">
        <w:rPr>
          <w:color w:val="000000"/>
        </w:rPr>
        <w:t>Cramer M., Frei R., Sebald A., Mazzoletti P., et al. (2009). Stability over 36 months of a new liquid 10% polyclonal immunoglobulin product (IgPro10, Privigen©) stabilized with Lproline. Vox Sanguinis, 96, 219-225.</w:t>
      </w:r>
    </w:p>
    <w:p w:rsidR="007E5CEF" w:rsidRPr="007E5CEF" w:rsidRDefault="007E5CEF" w:rsidP="007E5CEF">
      <w:pPr>
        <w:autoSpaceDE w:val="0"/>
        <w:autoSpaceDN w:val="0"/>
        <w:adjustRightInd w:val="0"/>
        <w:ind w:left="284" w:hanging="284"/>
        <w:rPr>
          <w:rFonts w:eastAsia="TimesNewRomanPSMT" w:cs="TimesNewRomanPSMT"/>
          <w:color w:val="000000"/>
        </w:rPr>
      </w:pPr>
      <w:r w:rsidRPr="007E5CEF">
        <w:rPr>
          <w:rFonts w:eastAsia="TimesNewRomanPSMT" w:cs="TimesNewRomanPSMT"/>
          <w:color w:val="000000"/>
        </w:rPr>
        <w:lastRenderedPageBreak/>
        <w:t>Daly P, Evans JH, Kobayashi RH, et al. Home-based immunoglobulin infusion therapy: quality of life and patient health perceptions. Annals of Allergy 67(5), 504-510, 1991.</w:t>
      </w:r>
    </w:p>
    <w:p w:rsidR="007E5CEF" w:rsidRPr="007E5CEF" w:rsidRDefault="007E5CEF" w:rsidP="007E5CEF">
      <w:pPr>
        <w:ind w:left="284" w:hanging="284"/>
        <w:rPr>
          <w:color w:val="000000"/>
        </w:rPr>
      </w:pPr>
      <w:r w:rsidRPr="007E5CEF">
        <w:rPr>
          <w:color w:val="000000"/>
        </w:rPr>
        <w:t>Daw Z., Padmore R., Neurath D., Cober N., et al. (2008). Hemolytic transfusion reactions after administration of intravenous immune (gamma) globulin: a case series analysis. Transfusion, 48, 1598-1601.</w:t>
      </w:r>
    </w:p>
    <w:p w:rsidR="007E5CEF" w:rsidRDefault="007E5CEF" w:rsidP="007E5CEF">
      <w:pPr>
        <w:ind w:left="284" w:hanging="284"/>
        <w:rPr>
          <w:color w:val="000000"/>
        </w:rPr>
      </w:pPr>
      <w:r w:rsidRPr="007E5CEF">
        <w:rPr>
          <w:color w:val="000000"/>
        </w:rPr>
        <w:t>European Medicines Agency. (July 2002). Core SPC for human normal immunoglobulin for</w:t>
      </w:r>
      <w:r>
        <w:rPr>
          <w:color w:val="000000"/>
        </w:rPr>
        <w:t xml:space="preserve"> </w:t>
      </w:r>
      <w:r w:rsidRPr="007E5CEF">
        <w:rPr>
          <w:color w:val="000000"/>
        </w:rPr>
        <w:t xml:space="preserve">subcutaneous and intramuscular use. </w:t>
      </w:r>
    </w:p>
    <w:p w:rsidR="007E5CEF" w:rsidRDefault="007E5CEF" w:rsidP="007E5CEF">
      <w:pPr>
        <w:ind w:left="284" w:hanging="284"/>
        <w:rPr>
          <w:color w:val="000000"/>
        </w:rPr>
      </w:pPr>
      <w:r w:rsidRPr="007E5CEF">
        <w:rPr>
          <w:color w:val="000000"/>
        </w:rPr>
        <w:t>EMEA/CPMP/BPWG/282/00.(http://www.emea.europa.eu/pdfs/human/bpwg/028200en.pdf, accessed in January 2010) European Medicines Agency. (July 2002). Note for guidance on the clinical investigation of</w:t>
      </w:r>
      <w:r>
        <w:rPr>
          <w:color w:val="000000"/>
        </w:rPr>
        <w:t xml:space="preserve"> </w:t>
      </w:r>
      <w:r w:rsidRPr="007E5CEF">
        <w:rPr>
          <w:color w:val="000000"/>
        </w:rPr>
        <w:t xml:space="preserve">human normal immunoglobulin for subcutaneous and intramuscular use. </w:t>
      </w:r>
    </w:p>
    <w:p w:rsidR="007E5CEF" w:rsidRDefault="007E5CEF" w:rsidP="007E5CEF">
      <w:pPr>
        <w:ind w:left="284" w:hanging="284"/>
        <w:rPr>
          <w:color w:val="000000"/>
        </w:rPr>
      </w:pPr>
      <w:r w:rsidRPr="007E5CEF">
        <w:rPr>
          <w:color w:val="000000"/>
        </w:rPr>
        <w:t>EMEA/CPMP/BPWG/283/00. (http://www.emea.europa.eu/pdfs/human/bpwg/028300en.pdf, accessed in January 2010)</w:t>
      </w:r>
    </w:p>
    <w:p w:rsidR="007E5CEF" w:rsidRPr="007E5CEF" w:rsidRDefault="007E5CEF" w:rsidP="007E5CEF">
      <w:pPr>
        <w:ind w:left="284" w:hanging="284"/>
        <w:rPr>
          <w:color w:val="000000"/>
        </w:rPr>
      </w:pPr>
      <w:r w:rsidRPr="007E5CEF">
        <w:rPr>
          <w:color w:val="000000"/>
        </w:rPr>
        <w:t>FDA. Food and Drug Administration. (June 2008). Guidance for Industry. Safety, efficacy, and pharmacokinetic studies to support marketing of immune globulin intravenous (human) as replacement therapy for primary humoral immunodeficiency. Food and Drug Administration, Center for Biologics Evaluation and Research. (http://www.fda.gov/downloads/BiologicsBloodVaccines/GuidanceComplianceRegulatoryInformation/Guidances/Blood/ucm078526.pdf, accessed July 2012)</w:t>
      </w:r>
    </w:p>
    <w:p w:rsidR="007E5CEF" w:rsidRPr="007E5CEF" w:rsidRDefault="007E5CEF" w:rsidP="007E5CEF">
      <w:pPr>
        <w:ind w:left="284" w:hanging="284"/>
        <w:rPr>
          <w:color w:val="000000"/>
        </w:rPr>
      </w:pPr>
      <w:r w:rsidRPr="007E5CEF">
        <w:rPr>
          <w:color w:val="000000"/>
        </w:rPr>
        <w:t>French M. (1986). Serum IgG subclasses in normal adults. Monograph Allergy, 19, 100-107.</w:t>
      </w:r>
    </w:p>
    <w:p w:rsidR="007E5CEF" w:rsidRPr="007E5CEF" w:rsidRDefault="007E5CEF" w:rsidP="007E5CEF">
      <w:pPr>
        <w:ind w:left="284" w:hanging="284"/>
        <w:rPr>
          <w:color w:val="000000"/>
        </w:rPr>
      </w:pPr>
      <w:r w:rsidRPr="007E5CEF">
        <w:rPr>
          <w:color w:val="000000"/>
        </w:rPr>
        <w:t>Fujii R (1997). Clinical trials of new antibiotics in children in Japan. Acta Paediatrica Japonica, 39, 98-104.</w:t>
      </w:r>
    </w:p>
    <w:p w:rsidR="007E5CEF" w:rsidRPr="007E5CEF" w:rsidRDefault="007E5CEF" w:rsidP="007E5CEF">
      <w:pPr>
        <w:ind w:left="284" w:hanging="284"/>
        <w:rPr>
          <w:color w:val="000000"/>
        </w:rPr>
      </w:pPr>
      <w:r w:rsidRPr="007E5CEF">
        <w:rPr>
          <w:color w:val="000000"/>
        </w:rPr>
        <w:t>Gammanorm, Human normal immunoglobulin. (2006). Summary of Product Characteristics (SPC). Octapharma.</w:t>
      </w:r>
    </w:p>
    <w:p w:rsidR="007E5CEF" w:rsidRPr="007E5CEF" w:rsidRDefault="007E5CEF" w:rsidP="007E5CEF">
      <w:pPr>
        <w:ind w:left="284" w:hanging="284"/>
        <w:rPr>
          <w:color w:val="000000"/>
        </w:rPr>
      </w:pPr>
      <w:r w:rsidRPr="007E5CEF">
        <w:rPr>
          <w:color w:val="000000"/>
        </w:rPr>
        <w:t>Gardulf A., Andersen V., Björkander J., Ericson D., et al. (1995). Subcutaneous immunoglobulin replacement in patients with primary antibody deficiencies: safety and costs. Lancet, 345, 365-369.</w:t>
      </w:r>
    </w:p>
    <w:p w:rsidR="007E5CEF" w:rsidRPr="007E5CEF" w:rsidRDefault="007E5CEF" w:rsidP="007E5CEF">
      <w:pPr>
        <w:ind w:left="284" w:hanging="284"/>
        <w:rPr>
          <w:color w:val="000000"/>
        </w:rPr>
      </w:pPr>
      <w:r w:rsidRPr="007E5CEF">
        <w:rPr>
          <w:color w:val="000000"/>
        </w:rPr>
        <w:t>Gardulf A., Andersson E., Lindqvist M., Hansen S., et al. (2001). Rapid subcutaneous IgG replacement therapy at home for pregnant immunodeficient women. Journal of Clinical Immunology, 21, 150-154.</w:t>
      </w:r>
    </w:p>
    <w:p w:rsidR="007E5CEF" w:rsidRPr="007E5CEF" w:rsidRDefault="007E5CEF" w:rsidP="007E5CEF">
      <w:pPr>
        <w:autoSpaceDE w:val="0"/>
        <w:autoSpaceDN w:val="0"/>
        <w:adjustRightInd w:val="0"/>
        <w:ind w:left="284" w:hanging="284"/>
        <w:rPr>
          <w:rFonts w:eastAsia="TimesNewRomanPSMT" w:cs="TimesNewRomanPSMT"/>
          <w:color w:val="000000"/>
        </w:rPr>
      </w:pPr>
      <w:r w:rsidRPr="007E5CEF">
        <w:rPr>
          <w:rFonts w:eastAsia="TimesNewRomanPSMT" w:cs="TimesNewRomanPSMT"/>
          <w:color w:val="000000"/>
        </w:rPr>
        <w:t>Gardulf A, Björvell H, Andersen V, et al. Lifelong treatment with gammaglobulin for primary antibody deficiencies: the patients’ experiences of subcutaneous self-infusions and home therapy. Journal of Advanced Nursing 21, 917-927, 1995.</w:t>
      </w:r>
    </w:p>
    <w:p w:rsidR="007E5CEF" w:rsidRPr="007E5CEF" w:rsidRDefault="007E5CEF" w:rsidP="007E5CEF">
      <w:pPr>
        <w:autoSpaceDE w:val="0"/>
        <w:autoSpaceDN w:val="0"/>
        <w:adjustRightInd w:val="0"/>
        <w:ind w:left="284" w:hanging="284"/>
        <w:rPr>
          <w:rFonts w:eastAsia="TimesNewRomanPSMT" w:cs="TimesNewRomanPSMT"/>
          <w:color w:val="000000"/>
        </w:rPr>
      </w:pPr>
      <w:r w:rsidRPr="007E5CEF">
        <w:rPr>
          <w:rFonts w:eastAsia="TimesNewRomanPSMT" w:cs="TimesNewRomanPSMT"/>
          <w:color w:val="000000"/>
        </w:rPr>
        <w:t>Gardulf A, Björvell H, Gustafson R, et al. The life situations of patients with primary antibody deficiency untreated or treated with subcutaneous gammaglobulin infusions. Clin Exp Immunol 92(2), 200-204, 1993.</w:t>
      </w:r>
    </w:p>
    <w:p w:rsidR="007E5CEF" w:rsidRPr="007E5CEF" w:rsidRDefault="007E5CEF" w:rsidP="007E5CEF">
      <w:pPr>
        <w:ind w:left="284" w:hanging="284"/>
        <w:rPr>
          <w:color w:val="000000"/>
        </w:rPr>
      </w:pPr>
      <w:r w:rsidRPr="007E5CEF">
        <w:rPr>
          <w:color w:val="000000"/>
        </w:rPr>
        <w:t>Gardulf A., Nicolay U., Asensio O., Bernatowska E., et al. (2006). Rapid subcutaneous IgG</w:t>
      </w:r>
      <w:r>
        <w:rPr>
          <w:color w:val="000000"/>
        </w:rPr>
        <w:t xml:space="preserve"> </w:t>
      </w:r>
      <w:r w:rsidRPr="007E5CEF">
        <w:rPr>
          <w:color w:val="000000"/>
        </w:rPr>
        <w:t>replacement therapy is effective and safe in children and adults with primary immunodeficiencies - A prospective, multi-national study. Journal of Clinical Immunology, 26, 177-185.</w:t>
      </w:r>
    </w:p>
    <w:p w:rsidR="007E5CEF" w:rsidRPr="007E5CEF" w:rsidRDefault="007E5CEF" w:rsidP="007E5CEF">
      <w:pPr>
        <w:ind w:left="284" w:hanging="284"/>
        <w:rPr>
          <w:color w:val="000000"/>
        </w:rPr>
      </w:pPr>
      <w:r w:rsidRPr="007E5CEF">
        <w:rPr>
          <w:color w:val="000000"/>
        </w:rPr>
        <w:t>Gaspar J., Gerritsen B., Jones A. (1998). Immunoglobulin replacement treatment by rapid subcutaneous infusion. Archives of Disease in Childhood, 79, 48-51.</w:t>
      </w:r>
    </w:p>
    <w:p w:rsidR="007E5CEF" w:rsidRPr="007E5CEF" w:rsidRDefault="007E5CEF" w:rsidP="007E5CEF">
      <w:pPr>
        <w:ind w:left="284" w:hanging="284"/>
        <w:rPr>
          <w:color w:val="000000"/>
        </w:rPr>
      </w:pPr>
      <w:r w:rsidRPr="007E5CEF">
        <w:rPr>
          <w:color w:val="000000"/>
        </w:rPr>
        <w:t>Jolles S, Bernatowska E, de Gracia J, et al. (2011) Efficacy and safety of Hizentra® in patients with primary immunodeficiency after a dose-equivalent switch from intravenous or subcutaneous replacement therapy. Clinical Immunology 141, 90-102.</w:t>
      </w:r>
    </w:p>
    <w:p w:rsidR="007E5CEF" w:rsidRPr="007E5CEF" w:rsidRDefault="007E5CEF" w:rsidP="007E5CEF">
      <w:pPr>
        <w:autoSpaceDE w:val="0"/>
        <w:autoSpaceDN w:val="0"/>
        <w:adjustRightInd w:val="0"/>
        <w:ind w:left="284" w:hanging="284"/>
        <w:rPr>
          <w:rFonts w:eastAsia="TimesNewRomanPSMT" w:cs="TimesNewRomanPSMT"/>
          <w:color w:val="000000"/>
        </w:rPr>
      </w:pPr>
      <w:r w:rsidRPr="007E5CEF">
        <w:rPr>
          <w:rFonts w:eastAsia="TimesNewRomanPSMT" w:cs="TimesNewRomanPSMT"/>
          <w:color w:val="000000"/>
        </w:rPr>
        <w:lastRenderedPageBreak/>
        <w:t>Landgraf JM, Abetz L, Ware JE. The CHQ User’s Manual. Second Edition. Boston, MA: The Health Institute, New England, Medical Center, 1999.</w:t>
      </w:r>
    </w:p>
    <w:p w:rsidR="007E5CEF" w:rsidRPr="007E5CEF" w:rsidRDefault="007E5CEF" w:rsidP="007E5CEF">
      <w:pPr>
        <w:ind w:left="284" w:hanging="284"/>
        <w:rPr>
          <w:color w:val="000000"/>
          <w:highlight w:val="lightGray"/>
        </w:rPr>
      </w:pPr>
      <w:r w:rsidRPr="007E5CEF">
        <w:rPr>
          <w:color w:val="000000"/>
        </w:rPr>
        <w:t>Notarangelo L., Casanova J.L., Fischer A., Puck J., et al. (2004). Primary immunodeficiency diseases: an update. Journal of Allergy and Clinical Immunology, 114, 677-687.</w:t>
      </w:r>
    </w:p>
    <w:p w:rsidR="007E5CEF" w:rsidRPr="007E5CEF" w:rsidRDefault="007E5CEF" w:rsidP="007E5CEF">
      <w:pPr>
        <w:ind w:left="284" w:hanging="284"/>
        <w:rPr>
          <w:color w:val="000000"/>
        </w:rPr>
      </w:pPr>
      <w:r w:rsidRPr="007E5CEF">
        <w:rPr>
          <w:color w:val="000000"/>
        </w:rPr>
        <w:t>Ochs H.D., Gupta S., Kiessling P., Nicolay U., et al. (2006). Safety and efficacy of selfadministered subcutaneous immunoglobulin in patients with primary immunodeficiency diseases. Journal of Clinical Immunology, 26, 265-273.</w:t>
      </w:r>
    </w:p>
    <w:p w:rsidR="007E5CEF" w:rsidRPr="007E5CEF" w:rsidRDefault="007E5CEF" w:rsidP="007E5CEF">
      <w:pPr>
        <w:ind w:left="284" w:hanging="284"/>
        <w:rPr>
          <w:color w:val="000000"/>
        </w:rPr>
      </w:pPr>
      <w:r w:rsidRPr="007E5CEF">
        <w:rPr>
          <w:color w:val="000000"/>
        </w:rPr>
        <w:t>Ochs H.D., Pinciaro P.J., Octagam Study Group. (2004). Octagam 5%, an intravenous IgG product, is efficacious and well tolerated in subjects with primary immunodeficiency diseases. Journal of Clinical Immunology, 24, 309-314.</w:t>
      </w:r>
    </w:p>
    <w:p w:rsidR="007E5CEF" w:rsidRPr="007E5CEF" w:rsidRDefault="007E5CEF" w:rsidP="007E5CEF">
      <w:pPr>
        <w:ind w:left="284" w:hanging="284"/>
        <w:rPr>
          <w:color w:val="000000"/>
        </w:rPr>
      </w:pPr>
      <w:r w:rsidRPr="007E5CEF">
        <w:rPr>
          <w:color w:val="000000"/>
        </w:rPr>
        <w:t>Privigen, Human normal immunoglobulin. (2012). Summary of Product Characteristics (SPC). CSL Behring.</w:t>
      </w:r>
    </w:p>
    <w:p w:rsidR="007E5CEF" w:rsidRPr="007E5CEF" w:rsidRDefault="007E5CEF" w:rsidP="007E5CEF">
      <w:pPr>
        <w:ind w:left="284" w:hanging="284"/>
        <w:rPr>
          <w:color w:val="000000"/>
        </w:rPr>
      </w:pPr>
      <w:r w:rsidRPr="007E5CEF">
        <w:rPr>
          <w:color w:val="000000"/>
        </w:rPr>
        <w:t>Radinsky S., Bonagura V.R. (2003). Subcutaneous immunoglobulin infusion as an alternative to intravenous immunoglobulin. Journal of Allergy and Clinical Immunology, 112, 630-633.</w:t>
      </w:r>
    </w:p>
    <w:p w:rsidR="007E5CEF" w:rsidRPr="007E5CEF" w:rsidRDefault="007E5CEF" w:rsidP="007E5CEF">
      <w:pPr>
        <w:ind w:left="284" w:hanging="284"/>
        <w:rPr>
          <w:color w:val="000000"/>
        </w:rPr>
      </w:pPr>
      <w:r w:rsidRPr="007E5CEF">
        <w:rPr>
          <w:color w:val="000000"/>
        </w:rPr>
        <w:t>Shakib F., Stanworth D.R. (1980). Human IgG subclasses in health and disease; a review (Parts I and II). La Ricerca in Clinica e in Laboratorio, 10, 463-479; 10, 561-580.</w:t>
      </w:r>
    </w:p>
    <w:p w:rsidR="007E5CEF" w:rsidRPr="007E5CEF" w:rsidRDefault="007E5CEF" w:rsidP="007E5CEF">
      <w:pPr>
        <w:ind w:left="284" w:hanging="284"/>
        <w:rPr>
          <w:color w:val="000000"/>
        </w:rPr>
      </w:pPr>
      <w:r w:rsidRPr="007E5CEF">
        <w:rPr>
          <w:color w:val="000000"/>
        </w:rPr>
        <w:t>Subcuvia, Human Normal Immunoglobulin. (2010). Summary of Product Characteristics (SPC). Baxter Healthcare.</w:t>
      </w:r>
    </w:p>
    <w:p w:rsidR="007E5CEF" w:rsidRPr="007E5CEF" w:rsidRDefault="007E5CEF" w:rsidP="007E5CEF">
      <w:pPr>
        <w:ind w:left="284" w:hanging="284"/>
        <w:rPr>
          <w:color w:val="000000"/>
        </w:rPr>
      </w:pPr>
      <w:r w:rsidRPr="007E5CEF">
        <w:rPr>
          <w:color w:val="000000"/>
        </w:rPr>
        <w:t>Subgam, Human normal immunoglobulin solution 160 g/L. (2008). Summary of Product Characteristics (SPC). Bio Products Laboratory.</w:t>
      </w:r>
    </w:p>
    <w:p w:rsidR="007E5CEF" w:rsidRPr="007E5CEF" w:rsidRDefault="007E5CEF" w:rsidP="007E5CEF">
      <w:pPr>
        <w:ind w:left="284" w:hanging="284"/>
        <w:rPr>
          <w:color w:val="000000"/>
        </w:rPr>
      </w:pPr>
      <w:r w:rsidRPr="007E5CEF">
        <w:rPr>
          <w:color w:val="000000"/>
        </w:rPr>
        <w:t>Thomas M.J., Misbah S.A., Chapel H.M., Jones M., et al. (1993). Haemolysis after high-dose intravenous Ig. Blood, 82, 3789.</w:t>
      </w:r>
    </w:p>
    <w:p w:rsidR="007E5CEF" w:rsidRPr="007E5CEF" w:rsidRDefault="007E5CEF" w:rsidP="007E5CEF">
      <w:pPr>
        <w:rPr>
          <w:color w:val="000000"/>
        </w:rPr>
      </w:pPr>
      <w:r w:rsidRPr="007E5CEF">
        <w:rPr>
          <w:color w:val="000000"/>
        </w:rPr>
        <w:t>Vivaglobin, Human normal immunoglobulin (subcutaneous). (2011). Summary of Product Characteristics (SPC). CSL Behring.</w:t>
      </w:r>
    </w:p>
    <w:p w:rsidR="007E5CEF" w:rsidRPr="007E5CEF" w:rsidRDefault="007E5CEF" w:rsidP="007E5CEF">
      <w:pPr>
        <w:rPr>
          <w:color w:val="000000"/>
        </w:rPr>
      </w:pPr>
      <w:r w:rsidRPr="007E5CEF">
        <w:rPr>
          <w:color w:val="000000"/>
        </w:rPr>
        <w:t>Wang W. (1999). Instability, stabilization, and formulation of liquid protein pharmaceuticals. International Journal of Pharmaceutics, 185, 129-188.</w:t>
      </w:r>
    </w:p>
    <w:p w:rsidR="007E5CEF" w:rsidRPr="007E5CEF" w:rsidRDefault="007E5CEF" w:rsidP="007E5CEF">
      <w:pPr>
        <w:ind w:left="284" w:hanging="284"/>
      </w:pPr>
      <w:r w:rsidRPr="007E5CEF">
        <w:t>Ware J. SF-36 Health Survey - Manual and Interpretation Guide. Boston: The Health Institute, New England Medical Center, 1993;</w:t>
      </w:r>
    </w:p>
    <w:p w:rsidR="007E5CEF" w:rsidRPr="007E5CEF" w:rsidRDefault="007E5CEF" w:rsidP="007E5CEF">
      <w:pPr>
        <w:ind w:left="284" w:hanging="284"/>
      </w:pPr>
      <w:r w:rsidRPr="007E5CEF">
        <w:t>Weiler C.R. (2004). Immunoglobulin therapy: history, indications, and routes of administration. International Journal of Dermatology, 43, 163-166.</w:t>
      </w:r>
    </w:p>
    <w:p w:rsidR="007E5CEF" w:rsidRPr="007E5CEF" w:rsidRDefault="007E5CEF" w:rsidP="007E5CEF">
      <w:pPr>
        <w:ind w:left="284" w:hanging="284"/>
      </w:pPr>
      <w:r w:rsidRPr="007E5CEF">
        <w:t>Wilson J.R., Bhoopalam N., Fisher M. (1997). Hemolytic anemia associated with intravenous immunoglobulin. Muscle &amp; Nerve, 20, 1142-1145. www.health.gov.au/internet/immunise/publishing.nsf/Content/handbook10</w:t>
      </w:r>
    </w:p>
    <w:bookmarkEnd w:id="1"/>
    <w:bookmarkEnd w:id="0"/>
    <w:bookmarkEnd w:id="3"/>
    <w:p w:rsidR="003D1E62" w:rsidRPr="001D043B" w:rsidRDefault="008E7846" w:rsidP="002666AC">
      <w:pPr>
        <w:sectPr w:rsidR="003D1E62" w:rsidRPr="001D043B" w:rsidSect="008D770F">
          <w:headerReference w:type="even" r:id="rId55"/>
          <w:headerReference w:type="default" r:id="rId56"/>
          <w:footerReference w:type="default" r:id="rId57"/>
          <w:headerReference w:type="first" r:id="rId58"/>
          <w:footerReference w:type="first" r:id="rId5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5F74D8">
        <w:trPr>
          <w:trHeight w:hRule="exact" w:val="564"/>
        </w:trPr>
        <w:tc>
          <w:tcPr>
            <w:tcW w:w="9175" w:type="dxa"/>
          </w:tcPr>
          <w:p w:rsidR="00B3567E" w:rsidRPr="00487162" w:rsidRDefault="00B3567E" w:rsidP="005F74D8">
            <w:pPr>
              <w:pStyle w:val="TGASignoff"/>
            </w:pPr>
            <w:r w:rsidRPr="00487162">
              <w:lastRenderedPageBreak/>
              <w:t>Therapeutic Goods Administration</w:t>
            </w:r>
          </w:p>
        </w:tc>
      </w:tr>
      <w:tr w:rsidR="00B3567E" w:rsidRPr="00487162" w:rsidTr="005F74D8">
        <w:trPr>
          <w:trHeight w:val="1221"/>
        </w:trPr>
        <w:tc>
          <w:tcPr>
            <w:tcW w:w="9175" w:type="dxa"/>
            <w:tcMar>
              <w:top w:w="28" w:type="dxa"/>
            </w:tcMar>
          </w:tcPr>
          <w:p w:rsidR="00B3567E" w:rsidRPr="00487162" w:rsidRDefault="00B3567E" w:rsidP="005F74D8">
            <w:pPr>
              <w:pStyle w:val="Address"/>
            </w:pPr>
            <w:r w:rsidRPr="00487162">
              <w:t>PO Box 100 Woden ACT 2606 Australia</w:t>
            </w:r>
          </w:p>
          <w:p w:rsidR="00B3567E" w:rsidRPr="00487162" w:rsidRDefault="00B3567E" w:rsidP="005F74D8">
            <w:pPr>
              <w:pStyle w:val="Address"/>
            </w:pPr>
            <w:r w:rsidRPr="00487162">
              <w:t xml:space="preserve">Email: </w:t>
            </w:r>
            <w:hyperlink r:id="rId60" w:history="1">
              <w:r w:rsidRPr="008D770F">
                <w:rPr>
                  <w:rStyle w:val="Hyperlink"/>
                </w:rPr>
                <w:t>info@tga.gov.au</w:t>
              </w:r>
            </w:hyperlink>
            <w:r w:rsidR="000D6A22">
              <w:t xml:space="preserve"> </w:t>
            </w:r>
            <w:r w:rsidRPr="00487162">
              <w:t>Phone: 1800 020 653</w:t>
            </w:r>
            <w:r w:rsidR="000D6A22">
              <w:t xml:space="preserve"> </w:t>
            </w:r>
            <w:r w:rsidRPr="00487162">
              <w:t>Fax: 02 6232 8605</w:t>
            </w:r>
          </w:p>
          <w:p w:rsidR="00B3567E" w:rsidRPr="008D770F" w:rsidRDefault="002B58E8" w:rsidP="005F74D8">
            <w:pPr>
              <w:pStyle w:val="Address"/>
              <w:spacing w:line="260" w:lineRule="atLeast"/>
              <w:rPr>
                <w:b/>
                <w:color w:val="0000FF"/>
                <w:u w:val="single"/>
              </w:rPr>
            </w:pPr>
            <w:hyperlink r:id="rId61"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62"/>
      <w:headerReference w:type="default" r:id="rId63"/>
      <w:footerReference w:type="default" r:id="rId64"/>
      <w:headerReference w:type="first" r:id="rId65"/>
      <w:footerReference w:type="first" r:id="rId6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6E3" w:rsidRDefault="007916E3" w:rsidP="00C40A36">
      <w:pPr>
        <w:spacing w:after="0"/>
      </w:pPr>
      <w:r>
        <w:separator/>
      </w:r>
    </w:p>
  </w:endnote>
  <w:endnote w:type="continuationSeparator" w:id="0">
    <w:p w:rsidR="007916E3" w:rsidRDefault="007916E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BoldMT">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916E3" w:rsidRPr="00487162" w:rsidTr="0053625B">
      <w:trPr>
        <w:trHeight w:val="269"/>
      </w:trPr>
      <w:tc>
        <w:tcPr>
          <w:tcW w:w="7938" w:type="dxa"/>
          <w:tcMar>
            <w:top w:w="142" w:type="dxa"/>
            <w:bottom w:w="0" w:type="dxa"/>
          </w:tcMar>
        </w:tcPr>
        <w:p w:rsidR="007916E3" w:rsidRPr="00487162" w:rsidRDefault="007916E3" w:rsidP="00586F98">
          <w:pPr>
            <w:pStyle w:val="Footer"/>
          </w:pPr>
          <w:r>
            <w:t>Submission</w:t>
          </w:r>
          <w:r w:rsidRPr="00487162">
            <w:t xml:space="preserve"> PM-20</w:t>
          </w:r>
          <w:r>
            <w:t>13</w:t>
          </w:r>
          <w:r w:rsidRPr="00487162">
            <w:t>-</w:t>
          </w:r>
          <w:r>
            <w:t>00301</w:t>
          </w:r>
          <w:r w:rsidRPr="00487162">
            <w:t>-</w:t>
          </w:r>
          <w:r>
            <w:t xml:space="preserve">2-2 Extract from the Clinical Evaluation Report for </w:t>
          </w:r>
          <w:proofErr w:type="spellStart"/>
          <w:r>
            <w:t>Hizentra</w:t>
          </w:r>
          <w:proofErr w:type="spellEnd"/>
          <w:r>
            <w:t>]</w:t>
          </w:r>
        </w:p>
      </w:tc>
      <w:tc>
        <w:tcPr>
          <w:tcW w:w="923" w:type="dxa"/>
          <w:tcMar>
            <w:top w:w="142" w:type="dxa"/>
            <w:bottom w:w="0" w:type="dxa"/>
          </w:tcMar>
        </w:tcPr>
        <w:p w:rsidR="007916E3" w:rsidRPr="00487162" w:rsidRDefault="007916E3" w:rsidP="00D855D4">
          <w:pPr>
            <w:pStyle w:val="Footer"/>
            <w:jc w:val="right"/>
          </w:pPr>
          <w:r w:rsidRPr="00487162">
            <w:t xml:space="preserve">Page </w:t>
          </w:r>
          <w:r>
            <w:t>2</w:t>
          </w:r>
          <w:r w:rsidRPr="00487162">
            <w:t xml:space="preserve"> of </w:t>
          </w:r>
          <w:fldSimple w:instr=" NUMPAGES  \* Arabic ">
            <w:r w:rsidR="002B58E8">
              <w:rPr>
                <w:noProof/>
              </w:rPr>
              <w:t>65</w:t>
            </w:r>
          </w:fldSimple>
        </w:p>
      </w:tc>
    </w:tr>
  </w:tbl>
  <w:p w:rsidR="007916E3" w:rsidRDefault="007916E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7916E3" w:rsidRPr="00487162" w:rsidTr="00586F98">
      <w:trPr>
        <w:trHeight w:val="269"/>
      </w:trPr>
      <w:tc>
        <w:tcPr>
          <w:tcW w:w="7655" w:type="dxa"/>
          <w:tcMar>
            <w:top w:w="142" w:type="dxa"/>
            <w:bottom w:w="0" w:type="dxa"/>
          </w:tcMar>
        </w:tcPr>
        <w:p w:rsidR="007916E3" w:rsidRPr="00487162" w:rsidRDefault="007916E3" w:rsidP="00617D86">
          <w:pPr>
            <w:pStyle w:val="Footer"/>
          </w:pPr>
          <w:r>
            <w:t>Submission</w:t>
          </w:r>
          <w:r w:rsidRPr="00487162">
            <w:t xml:space="preserve"> PM-20</w:t>
          </w:r>
          <w:r>
            <w:t>13</w:t>
          </w:r>
          <w:r w:rsidRPr="00487162">
            <w:t>-</w:t>
          </w:r>
          <w:r>
            <w:t>00301</w:t>
          </w:r>
          <w:r w:rsidRPr="00487162">
            <w:t>-</w:t>
          </w:r>
          <w:r>
            <w:t xml:space="preserve">2-2 Extract from the Clinical Evaluation Report for </w:t>
          </w:r>
          <w:proofErr w:type="spellStart"/>
          <w:r>
            <w:t>Hizentra</w:t>
          </w:r>
          <w:proofErr w:type="spellEnd"/>
        </w:p>
      </w:tc>
      <w:tc>
        <w:tcPr>
          <w:tcW w:w="1206" w:type="dxa"/>
          <w:tcMar>
            <w:top w:w="142" w:type="dxa"/>
            <w:bottom w:w="0" w:type="dxa"/>
          </w:tcMar>
        </w:tcPr>
        <w:p w:rsidR="007916E3" w:rsidRPr="00487162" w:rsidRDefault="007916E3" w:rsidP="00E45619">
          <w:pPr>
            <w:pStyle w:val="Footer"/>
            <w:jc w:val="right"/>
          </w:pPr>
          <w:r w:rsidRPr="00487162">
            <w:t xml:space="preserve">Page </w:t>
          </w:r>
          <w:r>
            <w:fldChar w:fldCharType="begin"/>
          </w:r>
          <w:r>
            <w:instrText>PAGE</w:instrText>
          </w:r>
          <w:r>
            <w:fldChar w:fldCharType="separate"/>
          </w:r>
          <w:r w:rsidR="002B58E8">
            <w:rPr>
              <w:noProof/>
            </w:rPr>
            <w:t>4</w:t>
          </w:r>
          <w:r>
            <w:rPr>
              <w:noProof/>
            </w:rPr>
            <w:fldChar w:fldCharType="end"/>
          </w:r>
          <w:r w:rsidRPr="00487162">
            <w:t xml:space="preserve"> of </w:t>
          </w:r>
          <w:fldSimple w:instr=" NUMPAGES  \* Arabic ">
            <w:r w:rsidR="002B58E8">
              <w:rPr>
                <w:noProof/>
              </w:rPr>
              <w:t>65</w:t>
            </w:r>
          </w:fldSimple>
        </w:p>
      </w:tc>
    </w:tr>
  </w:tbl>
  <w:p w:rsidR="007916E3" w:rsidRDefault="007916E3"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916E3" w:rsidRPr="00487162" w:rsidTr="00E45619">
      <w:trPr>
        <w:trHeight w:val="269"/>
      </w:trPr>
      <w:tc>
        <w:tcPr>
          <w:tcW w:w="4519" w:type="dxa"/>
          <w:tcBorders>
            <w:top w:val="single" w:sz="4" w:space="0" w:color="auto"/>
          </w:tcBorders>
          <w:tcMar>
            <w:top w:w="142" w:type="dxa"/>
            <w:bottom w:w="0" w:type="dxa"/>
          </w:tcMar>
        </w:tcPr>
        <w:p w:rsidR="007916E3" w:rsidRPr="00487162" w:rsidRDefault="007916E3" w:rsidP="00FE1DEE">
          <w:pPr>
            <w:pStyle w:val="Footer"/>
          </w:pPr>
          <w:r w:rsidRPr="00487162">
            <w:t>Document title, Part #, Section # - Section title</w:t>
          </w:r>
        </w:p>
        <w:p w:rsidR="007916E3" w:rsidRPr="00487162" w:rsidRDefault="007916E3" w:rsidP="00FE1DEE">
          <w:pPr>
            <w:pStyle w:val="Footer"/>
          </w:pPr>
          <w:r w:rsidRPr="00487162">
            <w:t>V1.0 October 2010</w:t>
          </w:r>
        </w:p>
      </w:tc>
      <w:tc>
        <w:tcPr>
          <w:tcW w:w="4342" w:type="dxa"/>
          <w:tcBorders>
            <w:top w:val="single" w:sz="4" w:space="0" w:color="auto"/>
          </w:tcBorders>
          <w:tcMar>
            <w:top w:w="142" w:type="dxa"/>
            <w:bottom w:w="0" w:type="dxa"/>
          </w:tcMar>
        </w:tcPr>
        <w:p w:rsidR="007916E3" w:rsidRPr="00487162" w:rsidRDefault="007916E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66</w:t>
            </w:r>
          </w:fldSimple>
        </w:p>
      </w:tc>
    </w:tr>
  </w:tbl>
  <w:p w:rsidR="007916E3" w:rsidRDefault="007916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916E3" w:rsidTr="0010601F">
      <w:trPr>
        <w:trHeight w:val="108"/>
      </w:trPr>
      <w:tc>
        <w:tcPr>
          <w:tcW w:w="8875" w:type="dxa"/>
          <w:gridSpan w:val="2"/>
          <w:tcBorders>
            <w:bottom w:val="single" w:sz="4" w:space="0" w:color="auto"/>
          </w:tcBorders>
          <w:tcMar>
            <w:right w:w="284" w:type="dxa"/>
          </w:tcMar>
        </w:tcPr>
        <w:p w:rsidR="007916E3" w:rsidRDefault="007916E3" w:rsidP="006E08B3">
          <w:pPr>
            <w:pStyle w:val="Heading3"/>
          </w:pPr>
          <w:r>
            <w:t>Copyright</w:t>
          </w:r>
        </w:p>
        <w:p w:rsidR="007916E3" w:rsidRDefault="007916E3" w:rsidP="006E08B3">
          <w:r>
            <w:rPr>
              <w:rFonts w:cs="Arial"/>
            </w:rPr>
            <w:t>©</w:t>
          </w:r>
          <w:r>
            <w:t xml:space="preserve"> Commonwealth of Australia [add year]</w:t>
          </w:r>
        </w:p>
        <w:p w:rsidR="007916E3" w:rsidRDefault="007916E3" w:rsidP="006E08B3"/>
        <w:p w:rsidR="007916E3" w:rsidRDefault="007916E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916E3" w:rsidRDefault="007916E3" w:rsidP="006E08B3"/>
        <w:p w:rsidR="007916E3" w:rsidRDefault="007916E3" w:rsidP="006E08B3">
          <w:pPr>
            <w:pStyle w:val="Heading3"/>
          </w:pPr>
          <w:r>
            <w:t>Confidentiality</w:t>
          </w:r>
        </w:p>
        <w:p w:rsidR="007916E3" w:rsidRDefault="007916E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916E3" w:rsidRDefault="007916E3" w:rsidP="006E08B3"/>
        <w:p w:rsidR="007916E3" w:rsidRDefault="007916E3" w:rsidP="006E08B3">
          <w:r>
            <w:t>For submission made by individuals, all personal details, other than your name, will be removed from your submission before it is published on the TGA’s Internet site.</w:t>
          </w:r>
        </w:p>
        <w:p w:rsidR="007916E3" w:rsidRDefault="007916E3" w:rsidP="006E08B3"/>
        <w:p w:rsidR="007916E3" w:rsidRDefault="007916E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916E3" w:rsidTr="0010601F">
      <w:trPr>
        <w:trHeight w:val="417"/>
      </w:trPr>
      <w:tc>
        <w:tcPr>
          <w:tcW w:w="4519" w:type="dxa"/>
          <w:tcBorders>
            <w:top w:val="single" w:sz="4" w:space="0" w:color="auto"/>
          </w:tcBorders>
          <w:tcMar>
            <w:top w:w="142" w:type="dxa"/>
            <w:bottom w:w="0" w:type="dxa"/>
          </w:tcMar>
        </w:tcPr>
        <w:p w:rsidR="007916E3" w:rsidRDefault="007916E3" w:rsidP="006E08B3">
          <w:r>
            <w:t>Document title, Part #, Section # - Section title</w:t>
          </w:r>
        </w:p>
        <w:p w:rsidR="007916E3" w:rsidRDefault="007916E3" w:rsidP="006E08B3">
          <w:r>
            <w:t>V1.0 October 2010</w:t>
          </w:r>
        </w:p>
      </w:tc>
      <w:tc>
        <w:tcPr>
          <w:tcW w:w="4356" w:type="dxa"/>
          <w:tcBorders>
            <w:top w:val="single" w:sz="4" w:space="0" w:color="auto"/>
          </w:tcBorders>
          <w:tcMar>
            <w:top w:w="142" w:type="dxa"/>
            <w:bottom w:w="0" w:type="dxa"/>
          </w:tcMar>
        </w:tcPr>
        <w:p w:rsidR="007916E3" w:rsidRDefault="007916E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66</w:t>
            </w:r>
          </w:fldSimple>
          <w:r>
            <w:t xml:space="preserve">  </w:t>
          </w:r>
        </w:p>
      </w:tc>
    </w:tr>
  </w:tbl>
  <w:p w:rsidR="007916E3" w:rsidRDefault="007916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6E3" w:rsidRDefault="007916E3" w:rsidP="00C40A36">
      <w:pPr>
        <w:spacing w:after="0"/>
      </w:pPr>
      <w:r>
        <w:separator/>
      </w:r>
    </w:p>
  </w:footnote>
  <w:footnote w:type="continuationSeparator" w:id="0">
    <w:p w:rsidR="007916E3" w:rsidRDefault="007916E3" w:rsidP="00C40A36">
      <w:pPr>
        <w:spacing w:after="0"/>
      </w:pPr>
      <w:r>
        <w:continuationSeparator/>
      </w:r>
    </w:p>
  </w:footnote>
  <w:footnote w:id="1">
    <w:p w:rsidR="007916E3" w:rsidRPr="00D562DD" w:rsidRDefault="007916E3" w:rsidP="00DC5BB2">
      <w:pPr>
        <w:pStyle w:val="FootnoteText"/>
      </w:pPr>
      <w:r w:rsidRPr="00D562DD">
        <w:rPr>
          <w:rStyle w:val="FootnoteReference"/>
          <w:szCs w:val="18"/>
        </w:rPr>
        <w:footnoteRef/>
      </w:r>
      <w:r w:rsidRPr="00D562DD">
        <w:t xml:space="preserve"> </w:t>
      </w:r>
      <w:proofErr w:type="spellStart"/>
      <w:r w:rsidRPr="00D562DD">
        <w:t>Notarangelo</w:t>
      </w:r>
      <w:proofErr w:type="spellEnd"/>
      <w:r w:rsidRPr="00D562DD">
        <w:t xml:space="preserve"> L., Casanova J.L., Fischer A., Puck J., et al. (2004). Primary immunodeficiency diseases: an update. Journal of Allergy and Clinical Immunology, 114, 677-687</w:t>
      </w:r>
    </w:p>
  </w:footnote>
  <w:footnote w:id="2">
    <w:p w:rsidR="007916E3" w:rsidRPr="00D562DD" w:rsidRDefault="007916E3" w:rsidP="00DC5BB2">
      <w:pPr>
        <w:pStyle w:val="FootnoteText"/>
      </w:pPr>
      <w:r w:rsidRPr="00D562DD">
        <w:rPr>
          <w:rStyle w:val="FootnoteReference"/>
          <w:szCs w:val="18"/>
        </w:rPr>
        <w:footnoteRef/>
      </w:r>
      <w:r>
        <w:t xml:space="preserve"> </w:t>
      </w:r>
      <w:r w:rsidRPr="00D562DD">
        <w:t xml:space="preserve">Cooper M.A., </w:t>
      </w:r>
      <w:proofErr w:type="spellStart"/>
      <w:r w:rsidRPr="00D562DD">
        <w:t>Pommering</w:t>
      </w:r>
      <w:proofErr w:type="spellEnd"/>
      <w:r w:rsidRPr="00D562DD">
        <w:t xml:space="preserve"> T.L., </w:t>
      </w:r>
      <w:proofErr w:type="spellStart"/>
      <w:r w:rsidRPr="00D562DD">
        <w:t>Korányi</w:t>
      </w:r>
      <w:proofErr w:type="spellEnd"/>
      <w:r w:rsidRPr="00D562DD">
        <w:t xml:space="preserve"> K. (2003). </w:t>
      </w:r>
      <w:proofErr w:type="gramStart"/>
      <w:r w:rsidRPr="00D562DD">
        <w:t xml:space="preserve">Primary </w:t>
      </w:r>
      <w:proofErr w:type="spellStart"/>
      <w:r w:rsidRPr="00D562DD">
        <w:t>immunodeficiencies</w:t>
      </w:r>
      <w:proofErr w:type="spellEnd"/>
      <w:r w:rsidRPr="00D562DD">
        <w:t>.</w:t>
      </w:r>
      <w:proofErr w:type="gramEnd"/>
      <w:r w:rsidRPr="00D562DD">
        <w:t xml:space="preserve"> American Family Physician, 68, 2001-2008.</w:t>
      </w:r>
    </w:p>
  </w:footnote>
  <w:footnote w:id="3">
    <w:p w:rsidR="007916E3" w:rsidRPr="00D562DD" w:rsidRDefault="007916E3" w:rsidP="00DC5BB2">
      <w:pPr>
        <w:pStyle w:val="FootnoteText"/>
        <w:rPr>
          <w:color w:val="000000"/>
        </w:rPr>
      </w:pPr>
      <w:r w:rsidRPr="00D562DD">
        <w:rPr>
          <w:rStyle w:val="FootnoteReference"/>
          <w:szCs w:val="18"/>
        </w:rPr>
        <w:footnoteRef/>
      </w:r>
      <w:r w:rsidRPr="00D562DD">
        <w:t xml:space="preserve"> </w:t>
      </w:r>
      <w:proofErr w:type="gramStart"/>
      <w:r w:rsidRPr="00D562DD">
        <w:rPr>
          <w:color w:val="000000"/>
        </w:rPr>
        <w:t>Berger M. (2004).</w:t>
      </w:r>
      <w:proofErr w:type="gramEnd"/>
      <w:r w:rsidRPr="00D562DD">
        <w:rPr>
          <w:color w:val="000000"/>
        </w:rPr>
        <w:t xml:space="preserve"> </w:t>
      </w:r>
      <w:proofErr w:type="gramStart"/>
      <w:r w:rsidRPr="00D562DD">
        <w:rPr>
          <w:color w:val="000000"/>
        </w:rPr>
        <w:t xml:space="preserve">Subcutaneous immunoglobulin replacement in primary </w:t>
      </w:r>
      <w:proofErr w:type="spellStart"/>
      <w:r w:rsidRPr="00D562DD">
        <w:rPr>
          <w:color w:val="000000"/>
        </w:rPr>
        <w:t>immunodeficiencies</w:t>
      </w:r>
      <w:proofErr w:type="spellEnd"/>
      <w:r w:rsidRPr="00D562DD">
        <w:rPr>
          <w:color w:val="000000"/>
        </w:rPr>
        <w:t>.</w:t>
      </w:r>
      <w:proofErr w:type="gramEnd"/>
      <w:r w:rsidRPr="00D562DD">
        <w:rPr>
          <w:color w:val="000000"/>
        </w:rPr>
        <w:t xml:space="preserve"> Clinical Immunology, 112, 1-7.</w:t>
      </w:r>
    </w:p>
  </w:footnote>
  <w:footnote w:id="4">
    <w:p w:rsidR="007916E3" w:rsidRPr="00D562DD" w:rsidRDefault="007916E3" w:rsidP="00DC5BB2">
      <w:pPr>
        <w:pStyle w:val="FootnoteText"/>
      </w:pPr>
      <w:r w:rsidRPr="00D562DD">
        <w:rPr>
          <w:rStyle w:val="FootnoteReference"/>
          <w:szCs w:val="18"/>
        </w:rPr>
        <w:footnoteRef/>
      </w:r>
      <w:r w:rsidRPr="00D562DD">
        <w:t xml:space="preserve"> </w:t>
      </w:r>
      <w:proofErr w:type="gramStart"/>
      <w:r w:rsidRPr="00D562DD">
        <w:t>Berger M. (2008a).</w:t>
      </w:r>
      <w:proofErr w:type="gramEnd"/>
      <w:r w:rsidRPr="00D562DD">
        <w:t xml:space="preserve"> </w:t>
      </w:r>
      <w:proofErr w:type="gramStart"/>
      <w:r w:rsidRPr="00D562DD">
        <w:t xml:space="preserve">Subcutaneous administration of </w:t>
      </w:r>
      <w:proofErr w:type="spellStart"/>
      <w:r w:rsidRPr="00D562DD">
        <w:t>IgG</w:t>
      </w:r>
      <w:proofErr w:type="spellEnd"/>
      <w:r w:rsidRPr="00D562DD">
        <w:t>.</w:t>
      </w:r>
      <w:proofErr w:type="gramEnd"/>
      <w:r w:rsidRPr="00D562DD">
        <w:t xml:space="preserve"> Immunology and Allergy Clinics of North America, 28, 779-802</w:t>
      </w:r>
    </w:p>
  </w:footnote>
  <w:footnote w:id="5">
    <w:p w:rsidR="007916E3" w:rsidRPr="00D562DD" w:rsidRDefault="007916E3" w:rsidP="00DC5BB2">
      <w:pPr>
        <w:pStyle w:val="FootnoteText"/>
      </w:pPr>
      <w:r w:rsidRPr="00D562DD">
        <w:rPr>
          <w:rStyle w:val="FootnoteReference"/>
          <w:szCs w:val="18"/>
        </w:rPr>
        <w:footnoteRef/>
      </w:r>
      <w:r w:rsidRPr="00D562DD">
        <w:t xml:space="preserve"> </w:t>
      </w:r>
      <w:proofErr w:type="spellStart"/>
      <w:r w:rsidRPr="00D562DD">
        <w:t>Weiler</w:t>
      </w:r>
      <w:proofErr w:type="spellEnd"/>
      <w:r w:rsidRPr="00D562DD">
        <w:t xml:space="preserve"> C.R. (2004). Immunoglobulin therapy: history, indications, and routes of administration. International Journal of Dermatology, 43, 163-166</w:t>
      </w:r>
    </w:p>
  </w:footnote>
  <w:footnote w:id="6">
    <w:p w:rsidR="007916E3" w:rsidRPr="00D562DD" w:rsidRDefault="007916E3" w:rsidP="00DC5BB2">
      <w:pPr>
        <w:pStyle w:val="FootnoteText"/>
      </w:pPr>
      <w:r w:rsidRPr="00D562DD">
        <w:rPr>
          <w:rStyle w:val="FootnoteReference"/>
          <w:szCs w:val="18"/>
        </w:rPr>
        <w:footnoteRef/>
      </w:r>
      <w:r>
        <w:t xml:space="preserve"> </w:t>
      </w:r>
      <w:r w:rsidRPr="00D562DD">
        <w:t>Bonilla F.A. (2008). Pharmacokinetics of immunoglobulin administered via intravenous or subcutaneous routes. Immunology and Allergy Clinics of North America, 28, 803-819.</w:t>
      </w:r>
    </w:p>
  </w:footnote>
  <w:footnote w:id="7">
    <w:p w:rsidR="007916E3" w:rsidRPr="00D562DD" w:rsidRDefault="007916E3" w:rsidP="00DC5BB2">
      <w:pPr>
        <w:pStyle w:val="FootnoteText"/>
        <w:rPr>
          <w:color w:val="000000"/>
          <w:szCs w:val="18"/>
        </w:rPr>
      </w:pPr>
      <w:r>
        <w:rPr>
          <w:rStyle w:val="FootnoteReference"/>
        </w:rPr>
        <w:footnoteRef/>
      </w:r>
      <w:r>
        <w:t xml:space="preserve"> </w:t>
      </w:r>
      <w:proofErr w:type="gramStart"/>
      <w:r w:rsidRPr="00482EA5">
        <w:rPr>
          <w:color w:val="000000"/>
          <w:szCs w:val="18"/>
        </w:rPr>
        <w:t xml:space="preserve">Berger M., </w:t>
      </w:r>
      <w:proofErr w:type="spellStart"/>
      <w:r w:rsidRPr="00482EA5">
        <w:rPr>
          <w:color w:val="000000"/>
          <w:szCs w:val="18"/>
        </w:rPr>
        <w:t>Pinciaro</w:t>
      </w:r>
      <w:proofErr w:type="spellEnd"/>
      <w:r w:rsidRPr="00482EA5">
        <w:rPr>
          <w:color w:val="000000"/>
          <w:szCs w:val="18"/>
        </w:rPr>
        <w:t xml:space="preserve"> P.J., </w:t>
      </w:r>
      <w:proofErr w:type="spellStart"/>
      <w:r w:rsidRPr="00482EA5">
        <w:rPr>
          <w:color w:val="000000"/>
          <w:szCs w:val="18"/>
        </w:rPr>
        <w:t>Flebogamma</w:t>
      </w:r>
      <w:proofErr w:type="spellEnd"/>
      <w:r w:rsidRPr="00482EA5">
        <w:rPr>
          <w:color w:val="000000"/>
          <w:szCs w:val="18"/>
        </w:rPr>
        <w:t xml:space="preserve"> 5% Investigators.</w:t>
      </w:r>
      <w:proofErr w:type="gramEnd"/>
      <w:r w:rsidRPr="00482EA5">
        <w:rPr>
          <w:color w:val="000000"/>
          <w:szCs w:val="18"/>
        </w:rPr>
        <w:t xml:space="preserve"> </w:t>
      </w:r>
      <w:proofErr w:type="gramStart"/>
      <w:r w:rsidRPr="00482EA5">
        <w:rPr>
          <w:color w:val="000000"/>
          <w:szCs w:val="18"/>
        </w:rPr>
        <w:t xml:space="preserve">(2004a). Safety, efficacy, and pharmacokinetics of </w:t>
      </w:r>
      <w:proofErr w:type="spellStart"/>
      <w:r w:rsidRPr="00482EA5">
        <w:rPr>
          <w:color w:val="000000"/>
          <w:szCs w:val="18"/>
        </w:rPr>
        <w:t>Flebogamma</w:t>
      </w:r>
      <w:proofErr w:type="spellEnd"/>
      <w:r w:rsidRPr="00482EA5">
        <w:rPr>
          <w:color w:val="000000"/>
          <w:szCs w:val="18"/>
        </w:rPr>
        <w:t xml:space="preserve"> 5% (Immune Globulin Intravenous [Human]) for replacement therapy in primary immunodeficiency diseases.</w:t>
      </w:r>
      <w:proofErr w:type="gramEnd"/>
      <w:r w:rsidRPr="00482EA5">
        <w:rPr>
          <w:color w:val="000000"/>
          <w:szCs w:val="18"/>
        </w:rPr>
        <w:t xml:space="preserve"> Journal of Clinical Immunology, 24, 389-396.</w:t>
      </w:r>
    </w:p>
  </w:footnote>
  <w:footnote w:id="8">
    <w:p w:rsidR="007916E3" w:rsidRPr="00D562DD" w:rsidRDefault="007916E3" w:rsidP="00DC5BB2">
      <w:pPr>
        <w:pStyle w:val="FootnoteText"/>
      </w:pPr>
      <w:r w:rsidRPr="00D562DD">
        <w:rPr>
          <w:rStyle w:val="FootnoteReference"/>
          <w:szCs w:val="18"/>
        </w:rPr>
        <w:footnoteRef/>
      </w:r>
      <w:r w:rsidRPr="00D562DD">
        <w:t xml:space="preserve"> </w:t>
      </w:r>
      <w:proofErr w:type="spellStart"/>
      <w:r w:rsidRPr="00D562DD">
        <w:t>Busse</w:t>
      </w:r>
      <w:proofErr w:type="spellEnd"/>
      <w:r w:rsidRPr="00D562DD">
        <w:t xml:space="preserve"> J., Hoffmann F., </w:t>
      </w:r>
      <w:proofErr w:type="spellStart"/>
      <w:r w:rsidRPr="00D562DD">
        <w:t>Schlieben</w:t>
      </w:r>
      <w:proofErr w:type="spellEnd"/>
      <w:r w:rsidRPr="00D562DD">
        <w:t xml:space="preserve"> S., </w:t>
      </w:r>
      <w:proofErr w:type="spellStart"/>
      <w:r w:rsidRPr="00D562DD">
        <w:t>Strotmann</w:t>
      </w:r>
      <w:proofErr w:type="spellEnd"/>
      <w:r w:rsidRPr="00D562DD">
        <w:t xml:space="preserve"> G., et al. (2005). </w:t>
      </w:r>
      <w:proofErr w:type="gramStart"/>
      <w:r w:rsidRPr="00D562DD">
        <w:t>Subcutaneous immunoglobulin substitution in primary B-cell defects.</w:t>
      </w:r>
      <w:proofErr w:type="gramEnd"/>
      <w:r w:rsidRPr="00D562DD">
        <w:t xml:space="preserve"> Review of the literature and some experiences with 17 patients over a period of 6 yrs. Intern Praxis, 45, 185-194.</w:t>
      </w:r>
    </w:p>
  </w:footnote>
  <w:footnote w:id="9">
    <w:p w:rsidR="007916E3" w:rsidRPr="00D562DD" w:rsidRDefault="007916E3" w:rsidP="00DC5BB2">
      <w:pPr>
        <w:pStyle w:val="FootnoteText"/>
      </w:pPr>
      <w:r w:rsidRPr="00D562DD">
        <w:rPr>
          <w:rStyle w:val="FootnoteReference"/>
          <w:szCs w:val="18"/>
        </w:rPr>
        <w:footnoteRef/>
      </w:r>
      <w:r w:rsidRPr="00D562DD">
        <w:t xml:space="preserve"> </w:t>
      </w:r>
      <w:proofErr w:type="spellStart"/>
      <w:r w:rsidRPr="00D562DD">
        <w:t>Radinsky</w:t>
      </w:r>
      <w:proofErr w:type="spellEnd"/>
      <w:r w:rsidRPr="00D562DD">
        <w:t xml:space="preserve"> S., </w:t>
      </w:r>
      <w:proofErr w:type="spellStart"/>
      <w:r w:rsidRPr="00D562DD">
        <w:t>Bonagura</w:t>
      </w:r>
      <w:proofErr w:type="spellEnd"/>
      <w:r w:rsidRPr="00D562DD">
        <w:t xml:space="preserve"> V.R. (2003). </w:t>
      </w:r>
      <w:proofErr w:type="gramStart"/>
      <w:r w:rsidRPr="00D562DD">
        <w:t>Subcutaneous immunoglobulin infusion as an alternative to intravenous immunoglobulin.</w:t>
      </w:r>
      <w:proofErr w:type="gramEnd"/>
      <w:r w:rsidRPr="00D562DD">
        <w:t xml:space="preserve"> Journal of Allergy and Clinical Immunology, 112, 630-633.</w:t>
      </w:r>
    </w:p>
  </w:footnote>
  <w:footnote w:id="10">
    <w:p w:rsidR="007916E3" w:rsidRPr="00D562DD" w:rsidRDefault="007916E3" w:rsidP="00DC5BB2">
      <w:pPr>
        <w:pStyle w:val="FootnoteText"/>
      </w:pPr>
      <w:r w:rsidRPr="00D562DD">
        <w:rPr>
          <w:rStyle w:val="FootnoteReference"/>
          <w:szCs w:val="18"/>
        </w:rPr>
        <w:footnoteRef/>
      </w:r>
      <w:r w:rsidRPr="00D562DD">
        <w:t xml:space="preserve"> </w:t>
      </w:r>
      <w:proofErr w:type="spellStart"/>
      <w:proofErr w:type="gramStart"/>
      <w:r w:rsidRPr="00D562DD">
        <w:rPr>
          <w:color w:val="000000"/>
        </w:rPr>
        <w:t>Gardulf</w:t>
      </w:r>
      <w:proofErr w:type="spellEnd"/>
      <w:r w:rsidRPr="00D562DD">
        <w:rPr>
          <w:color w:val="000000"/>
        </w:rPr>
        <w:t xml:space="preserve"> A., Nicolay U., </w:t>
      </w:r>
      <w:proofErr w:type="spellStart"/>
      <w:r w:rsidRPr="00D562DD">
        <w:rPr>
          <w:color w:val="000000"/>
        </w:rPr>
        <w:t>Asensio</w:t>
      </w:r>
      <w:proofErr w:type="spellEnd"/>
      <w:r w:rsidRPr="00D562DD">
        <w:rPr>
          <w:color w:val="000000"/>
        </w:rPr>
        <w:t xml:space="preserve"> O., </w:t>
      </w:r>
      <w:proofErr w:type="spellStart"/>
      <w:r w:rsidRPr="00D562DD">
        <w:rPr>
          <w:color w:val="000000"/>
        </w:rPr>
        <w:t>Bernatowska</w:t>
      </w:r>
      <w:proofErr w:type="spellEnd"/>
      <w:r w:rsidRPr="00D562DD">
        <w:rPr>
          <w:color w:val="000000"/>
        </w:rPr>
        <w:t xml:space="preserve"> E., et al. (2006).</w:t>
      </w:r>
      <w:proofErr w:type="gramEnd"/>
      <w:r w:rsidRPr="00D562DD">
        <w:rPr>
          <w:color w:val="000000"/>
        </w:rPr>
        <w:t xml:space="preserve"> Rapid subcutaneous </w:t>
      </w:r>
      <w:proofErr w:type="spellStart"/>
      <w:r w:rsidRPr="00D562DD">
        <w:rPr>
          <w:color w:val="000000"/>
        </w:rPr>
        <w:t>IgG</w:t>
      </w:r>
      <w:proofErr w:type="spellEnd"/>
      <w:r w:rsidRPr="00D562DD">
        <w:rPr>
          <w:color w:val="000000"/>
        </w:rPr>
        <w:t xml:space="preserve"> replacement therapy is effective and safe in children and adults with primary </w:t>
      </w:r>
      <w:proofErr w:type="spellStart"/>
      <w:r w:rsidRPr="00D562DD">
        <w:rPr>
          <w:color w:val="000000"/>
        </w:rPr>
        <w:t>immunodeficiencies</w:t>
      </w:r>
      <w:proofErr w:type="spellEnd"/>
      <w:r w:rsidRPr="00D562DD">
        <w:rPr>
          <w:color w:val="000000"/>
        </w:rPr>
        <w:t xml:space="preserve"> - A prospective, multi-national study. Journal of Clinical Immunology, 26, 177-185.</w:t>
      </w:r>
    </w:p>
  </w:footnote>
  <w:footnote w:id="11">
    <w:p w:rsidR="007916E3" w:rsidRPr="00D562DD" w:rsidRDefault="007916E3" w:rsidP="00DC5BB2">
      <w:pPr>
        <w:pStyle w:val="FootnoteText"/>
        <w:rPr>
          <w:color w:val="000000"/>
        </w:rPr>
      </w:pPr>
      <w:r w:rsidRPr="00D562DD">
        <w:rPr>
          <w:rStyle w:val="FootnoteReference"/>
          <w:szCs w:val="18"/>
        </w:rPr>
        <w:footnoteRef/>
      </w:r>
      <w:r w:rsidRPr="00D562DD">
        <w:t xml:space="preserve"> </w:t>
      </w:r>
      <w:proofErr w:type="gramStart"/>
      <w:r w:rsidRPr="00D562DD">
        <w:rPr>
          <w:color w:val="000000"/>
        </w:rPr>
        <w:t xml:space="preserve">Ochs H.D., Gupta S., </w:t>
      </w:r>
      <w:proofErr w:type="spellStart"/>
      <w:r w:rsidRPr="00D562DD">
        <w:rPr>
          <w:color w:val="000000"/>
        </w:rPr>
        <w:t>Kiessling</w:t>
      </w:r>
      <w:proofErr w:type="spellEnd"/>
      <w:r w:rsidRPr="00D562DD">
        <w:rPr>
          <w:color w:val="000000"/>
        </w:rPr>
        <w:t xml:space="preserve"> P., Nicolay U., et al. (2006).</w:t>
      </w:r>
      <w:proofErr w:type="gramEnd"/>
      <w:r w:rsidRPr="00D562DD">
        <w:rPr>
          <w:color w:val="000000"/>
        </w:rPr>
        <w:t xml:space="preserve"> </w:t>
      </w:r>
      <w:proofErr w:type="gramStart"/>
      <w:r w:rsidRPr="00D562DD">
        <w:rPr>
          <w:color w:val="000000"/>
        </w:rPr>
        <w:t xml:space="preserve">Safety and efficacy of </w:t>
      </w:r>
      <w:proofErr w:type="spellStart"/>
      <w:r w:rsidRPr="00D562DD">
        <w:rPr>
          <w:color w:val="000000"/>
        </w:rPr>
        <w:t>selfadministered</w:t>
      </w:r>
      <w:proofErr w:type="spellEnd"/>
      <w:r w:rsidRPr="00D562DD">
        <w:rPr>
          <w:color w:val="000000"/>
        </w:rPr>
        <w:t xml:space="preserve"> subcutaneous immunoglobulin in patients with primary immunodeficiency diseases.</w:t>
      </w:r>
      <w:proofErr w:type="gramEnd"/>
      <w:r w:rsidRPr="00D562DD">
        <w:rPr>
          <w:color w:val="000000"/>
        </w:rPr>
        <w:t xml:space="preserve"> Journal of Clinical Immunology, 26, 265-273.</w:t>
      </w:r>
    </w:p>
    <w:p w:rsidR="007916E3" w:rsidRPr="00D562DD" w:rsidRDefault="007916E3" w:rsidP="00DC5BB2">
      <w:pPr>
        <w:pStyle w:val="FootnoteText"/>
      </w:pPr>
      <w:r w:rsidRPr="00D562DD">
        <w:rPr>
          <w:color w:val="000000"/>
        </w:rPr>
        <w:t xml:space="preserve">Ochs H.D., </w:t>
      </w:r>
      <w:proofErr w:type="spellStart"/>
      <w:r w:rsidRPr="00D562DD">
        <w:rPr>
          <w:color w:val="000000"/>
        </w:rPr>
        <w:t>Pinciaro</w:t>
      </w:r>
      <w:proofErr w:type="spellEnd"/>
      <w:r w:rsidRPr="00D562DD">
        <w:rPr>
          <w:color w:val="000000"/>
        </w:rPr>
        <w:t xml:space="preserve"> P.J., </w:t>
      </w:r>
      <w:proofErr w:type="spellStart"/>
      <w:r w:rsidRPr="00D562DD">
        <w:rPr>
          <w:color w:val="000000"/>
        </w:rPr>
        <w:t>Octagam</w:t>
      </w:r>
      <w:proofErr w:type="spellEnd"/>
      <w:r w:rsidRPr="00D562DD">
        <w:rPr>
          <w:color w:val="000000"/>
        </w:rPr>
        <w:t xml:space="preserve"> Study Group. (2004). </w:t>
      </w:r>
      <w:proofErr w:type="spellStart"/>
      <w:r w:rsidRPr="00D562DD">
        <w:rPr>
          <w:color w:val="000000"/>
        </w:rPr>
        <w:t>Octagam</w:t>
      </w:r>
      <w:proofErr w:type="spellEnd"/>
      <w:r w:rsidRPr="00D562DD">
        <w:rPr>
          <w:color w:val="000000"/>
        </w:rPr>
        <w:t xml:space="preserve"> 5%, an intravenous </w:t>
      </w:r>
      <w:proofErr w:type="spellStart"/>
      <w:r w:rsidRPr="00D562DD">
        <w:rPr>
          <w:color w:val="000000"/>
        </w:rPr>
        <w:t>IgG</w:t>
      </w:r>
      <w:proofErr w:type="spellEnd"/>
      <w:r w:rsidRPr="00D562DD">
        <w:rPr>
          <w:color w:val="000000"/>
        </w:rPr>
        <w:t xml:space="preserve"> product, is efficacious and well tolerated in subjects with primary immunodeficiency diseases. Journal of Clinical Immunology, 24, 309-314.</w:t>
      </w:r>
    </w:p>
  </w:footnote>
  <w:footnote w:id="12">
    <w:p w:rsidR="007916E3" w:rsidRPr="00D562DD" w:rsidRDefault="007916E3" w:rsidP="00DC5BB2">
      <w:pPr>
        <w:pStyle w:val="FootnoteText"/>
      </w:pPr>
      <w:r w:rsidRPr="00D562DD">
        <w:rPr>
          <w:rStyle w:val="FootnoteReference"/>
          <w:szCs w:val="18"/>
        </w:rPr>
        <w:footnoteRef/>
      </w:r>
      <w:r w:rsidRPr="00D562DD">
        <w:t xml:space="preserve"> </w:t>
      </w:r>
      <w:proofErr w:type="gramStart"/>
      <w:r w:rsidRPr="00D562DD">
        <w:t>Wang W. (1999).</w:t>
      </w:r>
      <w:proofErr w:type="gramEnd"/>
      <w:r w:rsidRPr="00D562DD">
        <w:t xml:space="preserve"> </w:t>
      </w:r>
      <w:proofErr w:type="gramStart"/>
      <w:r w:rsidRPr="00D562DD">
        <w:t>Instability, stabilization, and formulation of liquid protein pharmaceuticals.</w:t>
      </w:r>
      <w:proofErr w:type="gramEnd"/>
      <w:r w:rsidRPr="00D562DD">
        <w:t xml:space="preserve"> International Journal of Pharmaceutics, 185, 129-188.</w:t>
      </w:r>
    </w:p>
  </w:footnote>
  <w:footnote w:id="13">
    <w:p w:rsidR="007916E3" w:rsidRPr="00D562DD" w:rsidRDefault="007916E3" w:rsidP="00DC5BB2">
      <w:pPr>
        <w:pStyle w:val="FootnoteText"/>
      </w:pPr>
      <w:r w:rsidRPr="00D562DD">
        <w:rPr>
          <w:rStyle w:val="FootnoteReference"/>
          <w:szCs w:val="18"/>
        </w:rPr>
        <w:footnoteRef/>
      </w:r>
      <w:r w:rsidRPr="00D562DD">
        <w:t xml:space="preserve"> </w:t>
      </w:r>
      <w:proofErr w:type="gramStart"/>
      <w:r w:rsidRPr="00D562DD">
        <w:t xml:space="preserve">Cramer M., </w:t>
      </w:r>
      <w:proofErr w:type="spellStart"/>
      <w:r w:rsidRPr="00D562DD">
        <w:t>Frei</w:t>
      </w:r>
      <w:proofErr w:type="spellEnd"/>
      <w:r w:rsidRPr="00D562DD">
        <w:t xml:space="preserve"> R., </w:t>
      </w:r>
      <w:proofErr w:type="spellStart"/>
      <w:r w:rsidRPr="00D562DD">
        <w:t>Sebald</w:t>
      </w:r>
      <w:proofErr w:type="spellEnd"/>
      <w:r w:rsidRPr="00D562DD">
        <w:t xml:space="preserve"> A., </w:t>
      </w:r>
      <w:proofErr w:type="spellStart"/>
      <w:r w:rsidRPr="00D562DD">
        <w:t>Mazzoletti</w:t>
      </w:r>
      <w:proofErr w:type="spellEnd"/>
      <w:r w:rsidRPr="00D562DD">
        <w:t xml:space="preserve"> P., et al. (2009).</w:t>
      </w:r>
      <w:proofErr w:type="gramEnd"/>
      <w:r w:rsidRPr="00D562DD">
        <w:t xml:space="preserve"> Stability over 36 months of a new liquid 10% polyclonal immunoglobulin product (IgPro10, </w:t>
      </w:r>
      <w:proofErr w:type="spellStart"/>
      <w:r w:rsidRPr="00D562DD">
        <w:t>Privigen</w:t>
      </w:r>
      <w:proofErr w:type="spellEnd"/>
      <w:r w:rsidRPr="00D562DD">
        <w:t xml:space="preserve">©) stabilized with </w:t>
      </w:r>
      <w:proofErr w:type="spellStart"/>
      <w:r w:rsidRPr="00D562DD">
        <w:t>Lproline</w:t>
      </w:r>
      <w:proofErr w:type="spellEnd"/>
      <w:r w:rsidRPr="00D562DD">
        <w:t xml:space="preserve">. </w:t>
      </w:r>
      <w:proofErr w:type="spellStart"/>
      <w:r w:rsidRPr="00D562DD">
        <w:t>Vox</w:t>
      </w:r>
      <w:proofErr w:type="spellEnd"/>
      <w:r w:rsidRPr="00D562DD">
        <w:t xml:space="preserve"> </w:t>
      </w:r>
      <w:proofErr w:type="spellStart"/>
      <w:r w:rsidRPr="00D562DD">
        <w:t>Sanguinis</w:t>
      </w:r>
      <w:proofErr w:type="spellEnd"/>
      <w:r w:rsidRPr="00D562DD">
        <w:t>, 96, 219-225</w:t>
      </w:r>
      <w:r>
        <w:t>.</w:t>
      </w:r>
    </w:p>
  </w:footnote>
  <w:footnote w:id="14">
    <w:p w:rsidR="007916E3" w:rsidRPr="003944A8" w:rsidRDefault="007916E3" w:rsidP="0076779E">
      <w:pPr>
        <w:pStyle w:val="FootnoteText"/>
      </w:pPr>
      <w:r w:rsidRPr="003944A8">
        <w:rPr>
          <w:rStyle w:val="FootnoteReference"/>
          <w:szCs w:val="18"/>
        </w:rPr>
        <w:footnoteRef/>
      </w:r>
      <w:r w:rsidRPr="003944A8">
        <w:t xml:space="preserve"> </w:t>
      </w:r>
      <w:proofErr w:type="gramStart"/>
      <w:r w:rsidRPr="003944A8">
        <w:t xml:space="preserve">Ochs H.D., Gupta S., </w:t>
      </w:r>
      <w:proofErr w:type="spellStart"/>
      <w:r w:rsidRPr="003944A8">
        <w:t>Kiessling</w:t>
      </w:r>
      <w:proofErr w:type="spellEnd"/>
      <w:r w:rsidRPr="003944A8">
        <w:t xml:space="preserve"> P., Nicolay U., et al. (2006).</w:t>
      </w:r>
      <w:proofErr w:type="gramEnd"/>
      <w:r w:rsidRPr="003944A8">
        <w:t xml:space="preserve"> </w:t>
      </w:r>
      <w:proofErr w:type="gramStart"/>
      <w:r w:rsidRPr="003944A8">
        <w:t xml:space="preserve">Safety and efficacy of </w:t>
      </w:r>
      <w:proofErr w:type="spellStart"/>
      <w:r w:rsidRPr="003944A8">
        <w:t>selfadministered</w:t>
      </w:r>
      <w:proofErr w:type="spellEnd"/>
      <w:r w:rsidRPr="003944A8">
        <w:t xml:space="preserve"> subcutaneous immunoglobulin in patients with primary immunodeficiency diseases.</w:t>
      </w:r>
      <w:proofErr w:type="gramEnd"/>
      <w:r w:rsidRPr="003944A8">
        <w:t xml:space="preserve"> Journal of Clinical Immunology, 26, 265-273.</w:t>
      </w:r>
    </w:p>
    <w:p w:rsidR="007916E3" w:rsidRPr="003944A8" w:rsidRDefault="007916E3" w:rsidP="0076779E">
      <w:pPr>
        <w:pStyle w:val="FootnoteText"/>
      </w:pPr>
      <w:r w:rsidRPr="003944A8">
        <w:t xml:space="preserve">Ochs H.D., </w:t>
      </w:r>
      <w:proofErr w:type="spellStart"/>
      <w:r w:rsidRPr="003944A8">
        <w:t>Pinciaro</w:t>
      </w:r>
      <w:proofErr w:type="spellEnd"/>
      <w:r w:rsidRPr="003944A8">
        <w:t xml:space="preserve"> P.J., </w:t>
      </w:r>
      <w:proofErr w:type="spellStart"/>
      <w:r w:rsidRPr="003944A8">
        <w:t>Octagam</w:t>
      </w:r>
      <w:proofErr w:type="spellEnd"/>
      <w:r w:rsidRPr="003944A8">
        <w:t xml:space="preserve"> Study Group. (2004). </w:t>
      </w:r>
      <w:proofErr w:type="spellStart"/>
      <w:r w:rsidRPr="003944A8">
        <w:t>Octagam</w:t>
      </w:r>
      <w:proofErr w:type="spellEnd"/>
      <w:r w:rsidRPr="003944A8">
        <w:t xml:space="preserve"> 5%, an intravenous </w:t>
      </w:r>
      <w:proofErr w:type="spellStart"/>
      <w:r w:rsidRPr="003944A8">
        <w:t>IgG</w:t>
      </w:r>
      <w:proofErr w:type="spellEnd"/>
      <w:r w:rsidRPr="003944A8">
        <w:t xml:space="preserve"> product, is efficacious and well tolerated in subjects with primary immunodeficiency diseases. Journal of Clinical Immunology, 24, 309-314.</w:t>
      </w:r>
    </w:p>
  </w:footnote>
  <w:footnote w:id="15">
    <w:p w:rsidR="007916E3" w:rsidRPr="00B22239" w:rsidRDefault="007916E3" w:rsidP="00146F46">
      <w:pPr>
        <w:pStyle w:val="FootnoteText"/>
      </w:pPr>
      <w:r w:rsidRPr="00B22239">
        <w:rPr>
          <w:rStyle w:val="FootnoteReference"/>
          <w:szCs w:val="18"/>
        </w:rPr>
        <w:footnoteRef/>
      </w:r>
      <w:r w:rsidRPr="00B22239">
        <w:t xml:space="preserve"> </w:t>
      </w:r>
      <w:proofErr w:type="spellStart"/>
      <w:r w:rsidRPr="00B22239">
        <w:t>Borte</w:t>
      </w:r>
      <w:proofErr w:type="spellEnd"/>
      <w:r w:rsidRPr="00B22239">
        <w:t xml:space="preserve"> M., </w:t>
      </w:r>
      <w:proofErr w:type="spellStart"/>
      <w:r w:rsidRPr="00B22239">
        <w:t>Quinti</w:t>
      </w:r>
      <w:proofErr w:type="spellEnd"/>
      <w:r w:rsidRPr="00B22239">
        <w:t xml:space="preserve"> I., </w:t>
      </w:r>
      <w:proofErr w:type="spellStart"/>
      <w:r w:rsidRPr="00B22239">
        <w:t>Soresina</w:t>
      </w:r>
      <w:proofErr w:type="spellEnd"/>
      <w:r w:rsidRPr="00B22239">
        <w:t xml:space="preserve"> A., </w:t>
      </w:r>
      <w:proofErr w:type="spellStart"/>
      <w:r w:rsidRPr="00B22239">
        <w:t>Fernández</w:t>
      </w:r>
      <w:proofErr w:type="spellEnd"/>
      <w:r w:rsidRPr="00B22239">
        <w:t xml:space="preserve">-Cruz E., et al. (2011). Efficacy and safety of subcutaneous </w:t>
      </w:r>
      <w:proofErr w:type="spellStart"/>
      <w:r w:rsidRPr="00B22239">
        <w:t>Vivaglobin</w:t>
      </w:r>
      <w:proofErr w:type="spellEnd"/>
      <w:r w:rsidRPr="00B22239">
        <w:t xml:space="preserve">® replacement therapy in previously untreated patients with primary immunodeficiency: a prospective, </w:t>
      </w:r>
      <w:proofErr w:type="spellStart"/>
      <w:r w:rsidRPr="00B22239">
        <w:t>multicenter</w:t>
      </w:r>
      <w:proofErr w:type="spellEnd"/>
      <w:r w:rsidRPr="00B22239">
        <w:t xml:space="preserve"> study. J </w:t>
      </w:r>
      <w:proofErr w:type="spellStart"/>
      <w:r w:rsidRPr="00B22239">
        <w:t>Clin</w:t>
      </w:r>
      <w:proofErr w:type="spellEnd"/>
      <w:r w:rsidRPr="00B22239">
        <w:t xml:space="preserve"> </w:t>
      </w:r>
      <w:proofErr w:type="spellStart"/>
      <w:r w:rsidRPr="00B22239">
        <w:t>Immunol</w:t>
      </w:r>
      <w:proofErr w:type="spellEnd"/>
      <w:r w:rsidRPr="00B22239">
        <w:t>, 31, 952-961.</w:t>
      </w:r>
    </w:p>
  </w:footnote>
  <w:footnote w:id="16">
    <w:p w:rsidR="007916E3" w:rsidRPr="00B22239" w:rsidRDefault="007916E3" w:rsidP="00146F46">
      <w:pPr>
        <w:pStyle w:val="FootnoteText"/>
        <w:rPr>
          <w:color w:val="000000"/>
        </w:rPr>
      </w:pPr>
      <w:r w:rsidRPr="00B22239">
        <w:rPr>
          <w:rStyle w:val="FootnoteReference"/>
          <w:szCs w:val="18"/>
        </w:rPr>
        <w:footnoteRef/>
      </w:r>
      <w:r w:rsidRPr="00B22239">
        <w:t xml:space="preserve"> </w:t>
      </w:r>
      <w:proofErr w:type="spellStart"/>
      <w:r w:rsidRPr="00B22239">
        <w:rPr>
          <w:color w:val="000000"/>
        </w:rPr>
        <w:t>Jolles</w:t>
      </w:r>
      <w:proofErr w:type="spellEnd"/>
      <w:r w:rsidRPr="00B22239">
        <w:rPr>
          <w:color w:val="000000"/>
        </w:rPr>
        <w:t xml:space="preserve"> S, </w:t>
      </w:r>
      <w:proofErr w:type="spellStart"/>
      <w:r w:rsidRPr="00B22239">
        <w:rPr>
          <w:color w:val="000000"/>
        </w:rPr>
        <w:t>Bernatowska</w:t>
      </w:r>
      <w:proofErr w:type="spellEnd"/>
      <w:r w:rsidRPr="00B22239">
        <w:rPr>
          <w:color w:val="000000"/>
        </w:rPr>
        <w:t xml:space="preserve"> E, de </w:t>
      </w:r>
      <w:proofErr w:type="spellStart"/>
      <w:r w:rsidRPr="00B22239">
        <w:rPr>
          <w:color w:val="000000"/>
        </w:rPr>
        <w:t>Gracia</w:t>
      </w:r>
      <w:proofErr w:type="spellEnd"/>
      <w:r w:rsidRPr="00B22239">
        <w:rPr>
          <w:color w:val="000000"/>
        </w:rPr>
        <w:t xml:space="preserve"> J, et al. (2011) Efficacy and safety of </w:t>
      </w:r>
      <w:proofErr w:type="spellStart"/>
      <w:r w:rsidRPr="00B22239">
        <w:rPr>
          <w:color w:val="000000"/>
        </w:rPr>
        <w:t>Hizentra</w:t>
      </w:r>
      <w:proofErr w:type="spellEnd"/>
      <w:r w:rsidRPr="00B22239">
        <w:rPr>
          <w:color w:val="000000"/>
        </w:rPr>
        <w:t>® in patients with primary immunodeficiency after a dose-equivalent switch from intravenous or subcutaneous replacement therapy. Clinical Immunology 141, 90-102.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pPr>
      <w:rPr>
        <w:noProof/>
        <w:lang w:eastAsia="en-AU"/>
      </w:rPr>
    </w:pPr>
    <w:r w:rsidRPr="002D545C">
      <w:rPr>
        <w:noProof/>
        <w:lang w:eastAsia="en-AU"/>
      </w:rPr>
      <w:drawing>
        <wp:anchor distT="0" distB="0" distL="114300" distR="114300" simplePos="0" relativeHeight="251659264" behindDoc="1" locked="0" layoutInCell="1" allowOverlap="1" wp14:anchorId="5C14C64D" wp14:editId="24087029">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916E3" w:rsidRDefault="002B58E8"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E3" w:rsidRDefault="007916E3" w:rsidP="006E08B3">
    <w:r>
      <w:t>Therapeutic Goods Administration</w:t>
    </w:r>
  </w:p>
  <w:p w:rsidR="007916E3" w:rsidRDefault="007916E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189E44"/>
    <w:lvl w:ilvl="0">
      <w:start w:val="1"/>
      <w:numFmt w:val="decimal"/>
      <w:lvlText w:val="%1."/>
      <w:lvlJc w:val="left"/>
      <w:pPr>
        <w:tabs>
          <w:tab w:val="num" w:pos="1492"/>
        </w:tabs>
        <w:ind w:left="1492" w:hanging="360"/>
      </w:pPr>
    </w:lvl>
  </w:abstractNum>
  <w:abstractNum w:abstractNumId="1">
    <w:nsid w:val="FFFFFF7D"/>
    <w:multiLevelType w:val="singleLevel"/>
    <w:tmpl w:val="1E063C7C"/>
    <w:lvl w:ilvl="0">
      <w:start w:val="1"/>
      <w:numFmt w:val="decimal"/>
      <w:lvlText w:val="%1."/>
      <w:lvlJc w:val="left"/>
      <w:pPr>
        <w:tabs>
          <w:tab w:val="num" w:pos="1209"/>
        </w:tabs>
        <w:ind w:left="1209" w:hanging="360"/>
      </w:pPr>
    </w:lvl>
  </w:abstractNum>
  <w:abstractNum w:abstractNumId="2">
    <w:nsid w:val="FFFFFF7E"/>
    <w:multiLevelType w:val="singleLevel"/>
    <w:tmpl w:val="FE12AA1A"/>
    <w:lvl w:ilvl="0">
      <w:start w:val="1"/>
      <w:numFmt w:val="decimal"/>
      <w:lvlText w:val="%1."/>
      <w:lvlJc w:val="left"/>
      <w:pPr>
        <w:tabs>
          <w:tab w:val="num" w:pos="926"/>
        </w:tabs>
        <w:ind w:left="926" w:hanging="360"/>
      </w:pPr>
    </w:lvl>
  </w:abstractNum>
  <w:abstractNum w:abstractNumId="3">
    <w:nsid w:val="FFFFFF7F"/>
    <w:multiLevelType w:val="singleLevel"/>
    <w:tmpl w:val="94B8FEF8"/>
    <w:lvl w:ilvl="0">
      <w:start w:val="1"/>
      <w:numFmt w:val="decimal"/>
      <w:lvlText w:val="%1."/>
      <w:lvlJc w:val="left"/>
      <w:pPr>
        <w:tabs>
          <w:tab w:val="num" w:pos="643"/>
        </w:tabs>
        <w:ind w:left="643" w:hanging="360"/>
      </w:pPr>
    </w:lvl>
  </w:abstractNum>
  <w:abstractNum w:abstractNumId="4">
    <w:nsid w:val="FFFFFF80"/>
    <w:multiLevelType w:val="singleLevel"/>
    <w:tmpl w:val="7966CC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5AE0D2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967C9E62"/>
    <w:lvl w:ilvl="0">
      <w:start w:val="1"/>
      <w:numFmt w:val="decimal"/>
      <w:lvlText w:val="%1."/>
      <w:lvlJc w:val="left"/>
      <w:pPr>
        <w:tabs>
          <w:tab w:val="num" w:pos="360"/>
        </w:tabs>
        <w:ind w:left="360" w:hanging="360"/>
      </w:pPr>
    </w:lvl>
  </w:abstractNum>
  <w:abstractNum w:abstractNumId="7">
    <w:nsid w:val="01320A87"/>
    <w:multiLevelType w:val="hybridMultilevel"/>
    <w:tmpl w:val="30B29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25E6E45"/>
    <w:multiLevelType w:val="hybridMultilevel"/>
    <w:tmpl w:val="5600A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5D43D9C"/>
    <w:multiLevelType w:val="hybridMultilevel"/>
    <w:tmpl w:val="803E61DA"/>
    <w:lvl w:ilvl="0" w:tplc="358A3FF2">
      <w:start w:val="2"/>
      <w:numFmt w:val="decimal"/>
      <w:lvlText w:val="%1"/>
      <w:lvlJc w:val="left"/>
      <w:pPr>
        <w:ind w:left="530" w:hanging="360"/>
      </w:pPr>
      <w:rPr>
        <w:rFonts w:hint="default"/>
      </w:rPr>
    </w:lvl>
    <w:lvl w:ilvl="1" w:tplc="0C090019">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7534529"/>
    <w:multiLevelType w:val="hybridMultilevel"/>
    <w:tmpl w:val="DCCE7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066740A"/>
    <w:multiLevelType w:val="hybridMultilevel"/>
    <w:tmpl w:val="54B64BF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949EF1BA"/>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9A15E5D"/>
    <w:multiLevelType w:val="hybridMultilevel"/>
    <w:tmpl w:val="D5ACD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8">
    <w:nsid w:val="628020CB"/>
    <w:multiLevelType w:val="hybridMultilevel"/>
    <w:tmpl w:val="4768AC88"/>
    <w:lvl w:ilvl="0" w:tplc="001229BE">
      <w:numFmt w:val="bullet"/>
      <w:lvlText w:val="-"/>
      <w:lvlJc w:val="left"/>
      <w:pPr>
        <w:ind w:left="360" w:hanging="360"/>
      </w:pPr>
      <w:rPr>
        <w:rFonts w:ascii="Cambria" w:eastAsia="TimesNewRoman" w:hAnsi="Cambria" w:cs="TimesNew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0">
    <w:nsid w:val="6BCE1F26"/>
    <w:multiLevelType w:val="hybridMultilevel"/>
    <w:tmpl w:val="4BC63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D0B1B75"/>
    <w:multiLevelType w:val="multilevel"/>
    <w:tmpl w:val="D3FAAFB8"/>
    <w:lvl w:ilvl="0">
      <w:start w:val="1"/>
      <w:numFmt w:val="decimal"/>
      <w:pStyle w:val="Heading2"/>
      <w:lvlText w:val="%1."/>
      <w:lvlJc w:val="left"/>
      <w:pPr>
        <w:tabs>
          <w:tab w:val="num" w:pos="5387"/>
        </w:tabs>
        <w:ind w:left="538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06"/>
        </w:tabs>
        <w:ind w:left="1106"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2410"/>
        </w:tabs>
        <w:ind w:left="2410"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12"/>
  </w:num>
  <w:num w:numId="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1"/>
  </w:num>
  <w:num w:numId="6">
    <w:abstractNumId w:val="14"/>
  </w:num>
  <w:num w:numId="7">
    <w:abstractNumId w:val="15"/>
  </w:num>
  <w:num w:numId="8">
    <w:abstractNumId w:val="16"/>
  </w:num>
  <w:num w:numId="9">
    <w:abstractNumId w:val="22"/>
  </w:num>
  <w:num w:numId="10">
    <w:abstractNumId w:val="10"/>
  </w:num>
  <w:num w:numId="11">
    <w:abstractNumId w:val="19"/>
  </w:num>
  <w:num w:numId="12">
    <w:abstractNumId w:val="17"/>
  </w:num>
  <w:num w:numId="13">
    <w:abstractNumId w:val="7"/>
  </w:num>
  <w:num w:numId="14">
    <w:abstractNumId w:val="8"/>
  </w:num>
  <w:num w:numId="15">
    <w:abstractNumId w:val="13"/>
  </w:num>
  <w:num w:numId="16">
    <w:abstractNumId w:val="18"/>
  </w:num>
  <w:num w:numId="17">
    <w:abstractNumId w:val="20"/>
  </w:num>
  <w:num w:numId="18">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7"/>
    <w:lvlOverride w:ilvl="0">
      <w:startOverride w:val="18"/>
    </w:lvlOverride>
  </w:num>
  <w:num w:numId="20">
    <w:abstractNumId w:val="5"/>
  </w:num>
  <w:num w:numId="21">
    <w:abstractNumId w:val="4"/>
  </w:num>
  <w:num w:numId="22">
    <w:abstractNumId w:val="6"/>
  </w:num>
  <w:num w:numId="23">
    <w:abstractNumId w:val="3"/>
  </w:num>
  <w:num w:numId="24">
    <w:abstractNumId w:val="2"/>
  </w:num>
  <w:num w:numId="25">
    <w:abstractNumId w:val="1"/>
  </w:num>
  <w:num w:numId="26">
    <w:abstractNumId w:val="0"/>
  </w:num>
  <w:num w:numId="27">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4734"/>
    <w:rsid w:val="00006B22"/>
    <w:rsid w:val="0001276A"/>
    <w:rsid w:val="000246AE"/>
    <w:rsid w:val="00025C67"/>
    <w:rsid w:val="0003121B"/>
    <w:rsid w:val="00040ACB"/>
    <w:rsid w:val="0005559E"/>
    <w:rsid w:val="00077775"/>
    <w:rsid w:val="00082B58"/>
    <w:rsid w:val="00090471"/>
    <w:rsid w:val="0009768D"/>
    <w:rsid w:val="000A3AED"/>
    <w:rsid w:val="000A4A2C"/>
    <w:rsid w:val="000A63AF"/>
    <w:rsid w:val="000B3532"/>
    <w:rsid w:val="000B3A75"/>
    <w:rsid w:val="000C690F"/>
    <w:rsid w:val="000D1295"/>
    <w:rsid w:val="000D391B"/>
    <w:rsid w:val="000D3D6D"/>
    <w:rsid w:val="000D4FC7"/>
    <w:rsid w:val="000D6A22"/>
    <w:rsid w:val="000F02F9"/>
    <w:rsid w:val="000F4869"/>
    <w:rsid w:val="000F5B42"/>
    <w:rsid w:val="000F6E6F"/>
    <w:rsid w:val="00104613"/>
    <w:rsid w:val="0010601F"/>
    <w:rsid w:val="0010788A"/>
    <w:rsid w:val="00107A31"/>
    <w:rsid w:val="00110EA5"/>
    <w:rsid w:val="00112F56"/>
    <w:rsid w:val="00123513"/>
    <w:rsid w:val="00125318"/>
    <w:rsid w:val="00127A1B"/>
    <w:rsid w:val="001305A2"/>
    <w:rsid w:val="00133238"/>
    <w:rsid w:val="0014197B"/>
    <w:rsid w:val="001447CD"/>
    <w:rsid w:val="00146F46"/>
    <w:rsid w:val="001516B1"/>
    <w:rsid w:val="00154EBB"/>
    <w:rsid w:val="00156316"/>
    <w:rsid w:val="00165389"/>
    <w:rsid w:val="0017078F"/>
    <w:rsid w:val="0017693F"/>
    <w:rsid w:val="0018110E"/>
    <w:rsid w:val="00181684"/>
    <w:rsid w:val="001843C6"/>
    <w:rsid w:val="00185029"/>
    <w:rsid w:val="001850E0"/>
    <w:rsid w:val="00192877"/>
    <w:rsid w:val="001A2158"/>
    <w:rsid w:val="001A525F"/>
    <w:rsid w:val="001B09F9"/>
    <w:rsid w:val="001B1E9D"/>
    <w:rsid w:val="001B5D98"/>
    <w:rsid w:val="001B6448"/>
    <w:rsid w:val="001B71ED"/>
    <w:rsid w:val="001E07CF"/>
    <w:rsid w:val="001E59F1"/>
    <w:rsid w:val="001F49EB"/>
    <w:rsid w:val="001F6CBA"/>
    <w:rsid w:val="00201D4E"/>
    <w:rsid w:val="002076C9"/>
    <w:rsid w:val="00220B8A"/>
    <w:rsid w:val="00223A0C"/>
    <w:rsid w:val="002257F3"/>
    <w:rsid w:val="00233456"/>
    <w:rsid w:val="002339A5"/>
    <w:rsid w:val="00243EAD"/>
    <w:rsid w:val="00247A95"/>
    <w:rsid w:val="00257848"/>
    <w:rsid w:val="002666AC"/>
    <w:rsid w:val="0027084A"/>
    <w:rsid w:val="00286434"/>
    <w:rsid w:val="00286C59"/>
    <w:rsid w:val="00292113"/>
    <w:rsid w:val="002942D1"/>
    <w:rsid w:val="0029501A"/>
    <w:rsid w:val="002A3D55"/>
    <w:rsid w:val="002B1638"/>
    <w:rsid w:val="002B58E8"/>
    <w:rsid w:val="002C0994"/>
    <w:rsid w:val="002C63ED"/>
    <w:rsid w:val="002D0084"/>
    <w:rsid w:val="002D545C"/>
    <w:rsid w:val="002D6161"/>
    <w:rsid w:val="002E4C9A"/>
    <w:rsid w:val="002F11F8"/>
    <w:rsid w:val="002F3F56"/>
    <w:rsid w:val="002F44B5"/>
    <w:rsid w:val="00311AC0"/>
    <w:rsid w:val="003139E7"/>
    <w:rsid w:val="0032583B"/>
    <w:rsid w:val="00327883"/>
    <w:rsid w:val="00335504"/>
    <w:rsid w:val="0035094B"/>
    <w:rsid w:val="003521E8"/>
    <w:rsid w:val="003728F3"/>
    <w:rsid w:val="0037496E"/>
    <w:rsid w:val="0037623D"/>
    <w:rsid w:val="00386150"/>
    <w:rsid w:val="003874CE"/>
    <w:rsid w:val="00390900"/>
    <w:rsid w:val="003944A8"/>
    <w:rsid w:val="00396C92"/>
    <w:rsid w:val="003A7F6C"/>
    <w:rsid w:val="003B1113"/>
    <w:rsid w:val="003B4D60"/>
    <w:rsid w:val="003B634F"/>
    <w:rsid w:val="003B7E39"/>
    <w:rsid w:val="003C58DC"/>
    <w:rsid w:val="003D0A3B"/>
    <w:rsid w:val="003D0F2B"/>
    <w:rsid w:val="003D1E62"/>
    <w:rsid w:val="003D7FF8"/>
    <w:rsid w:val="003E2486"/>
    <w:rsid w:val="003E2620"/>
    <w:rsid w:val="003E3208"/>
    <w:rsid w:val="003F0B04"/>
    <w:rsid w:val="0040134E"/>
    <w:rsid w:val="00415D59"/>
    <w:rsid w:val="0043797D"/>
    <w:rsid w:val="00440A2D"/>
    <w:rsid w:val="004564A7"/>
    <w:rsid w:val="004617BF"/>
    <w:rsid w:val="00463658"/>
    <w:rsid w:val="004722CC"/>
    <w:rsid w:val="00485A2C"/>
    <w:rsid w:val="004936E4"/>
    <w:rsid w:val="004938E9"/>
    <w:rsid w:val="00494E60"/>
    <w:rsid w:val="0049599C"/>
    <w:rsid w:val="00497487"/>
    <w:rsid w:val="004A7E13"/>
    <w:rsid w:val="004B7B76"/>
    <w:rsid w:val="004C2DCA"/>
    <w:rsid w:val="004C6830"/>
    <w:rsid w:val="004F0F38"/>
    <w:rsid w:val="004F4AF5"/>
    <w:rsid w:val="00501921"/>
    <w:rsid w:val="0051348D"/>
    <w:rsid w:val="005159A3"/>
    <w:rsid w:val="00530354"/>
    <w:rsid w:val="0053625B"/>
    <w:rsid w:val="00536E4C"/>
    <w:rsid w:val="005434C6"/>
    <w:rsid w:val="00543B39"/>
    <w:rsid w:val="00550096"/>
    <w:rsid w:val="00556579"/>
    <w:rsid w:val="00557FF9"/>
    <w:rsid w:val="00560FFD"/>
    <w:rsid w:val="00576378"/>
    <w:rsid w:val="00577945"/>
    <w:rsid w:val="00577E38"/>
    <w:rsid w:val="00585322"/>
    <w:rsid w:val="005857C6"/>
    <w:rsid w:val="00586F98"/>
    <w:rsid w:val="00592F6E"/>
    <w:rsid w:val="00593AD1"/>
    <w:rsid w:val="005A68B6"/>
    <w:rsid w:val="005B5A04"/>
    <w:rsid w:val="005C5570"/>
    <w:rsid w:val="005C79A4"/>
    <w:rsid w:val="005D5442"/>
    <w:rsid w:val="005F74D8"/>
    <w:rsid w:val="00603F32"/>
    <w:rsid w:val="0061405B"/>
    <w:rsid w:val="00617D86"/>
    <w:rsid w:val="00620406"/>
    <w:rsid w:val="00632398"/>
    <w:rsid w:val="00640FC3"/>
    <w:rsid w:val="00642020"/>
    <w:rsid w:val="00646206"/>
    <w:rsid w:val="0065337B"/>
    <w:rsid w:val="0065419D"/>
    <w:rsid w:val="006604D8"/>
    <w:rsid w:val="00664A5B"/>
    <w:rsid w:val="006763D2"/>
    <w:rsid w:val="00680C08"/>
    <w:rsid w:val="0068481C"/>
    <w:rsid w:val="006931B1"/>
    <w:rsid w:val="006A15C0"/>
    <w:rsid w:val="006A49A5"/>
    <w:rsid w:val="006C130C"/>
    <w:rsid w:val="006C3E2A"/>
    <w:rsid w:val="006C642F"/>
    <w:rsid w:val="006D03E5"/>
    <w:rsid w:val="006D5D3E"/>
    <w:rsid w:val="006E08B3"/>
    <w:rsid w:val="006F17AC"/>
    <w:rsid w:val="006F1D37"/>
    <w:rsid w:val="006F1F66"/>
    <w:rsid w:val="006F2796"/>
    <w:rsid w:val="006F572E"/>
    <w:rsid w:val="0070299A"/>
    <w:rsid w:val="007046D6"/>
    <w:rsid w:val="00705DB0"/>
    <w:rsid w:val="00722B57"/>
    <w:rsid w:val="0074253D"/>
    <w:rsid w:val="0074429B"/>
    <w:rsid w:val="00751074"/>
    <w:rsid w:val="007513B4"/>
    <w:rsid w:val="007615BC"/>
    <w:rsid w:val="00762F05"/>
    <w:rsid w:val="007652FF"/>
    <w:rsid w:val="0076779E"/>
    <w:rsid w:val="00770EF1"/>
    <w:rsid w:val="00773EF7"/>
    <w:rsid w:val="00774E1D"/>
    <w:rsid w:val="0077675A"/>
    <w:rsid w:val="00780355"/>
    <w:rsid w:val="00785721"/>
    <w:rsid w:val="007916E3"/>
    <w:rsid w:val="00793A59"/>
    <w:rsid w:val="007B6E9F"/>
    <w:rsid w:val="007C1216"/>
    <w:rsid w:val="007C1AF7"/>
    <w:rsid w:val="007C5D29"/>
    <w:rsid w:val="007E5CEF"/>
    <w:rsid w:val="007E6D3B"/>
    <w:rsid w:val="007E6E27"/>
    <w:rsid w:val="007F036F"/>
    <w:rsid w:val="00805D27"/>
    <w:rsid w:val="00821776"/>
    <w:rsid w:val="008321F5"/>
    <w:rsid w:val="00832369"/>
    <w:rsid w:val="00834660"/>
    <w:rsid w:val="00836BC2"/>
    <w:rsid w:val="008414A0"/>
    <w:rsid w:val="0085641B"/>
    <w:rsid w:val="00857136"/>
    <w:rsid w:val="00870979"/>
    <w:rsid w:val="008834D0"/>
    <w:rsid w:val="00886D15"/>
    <w:rsid w:val="00887DD8"/>
    <w:rsid w:val="00896018"/>
    <w:rsid w:val="008960DD"/>
    <w:rsid w:val="0089635C"/>
    <w:rsid w:val="008A2B9D"/>
    <w:rsid w:val="008A5E0B"/>
    <w:rsid w:val="008A6D59"/>
    <w:rsid w:val="008B4B03"/>
    <w:rsid w:val="008B4F05"/>
    <w:rsid w:val="008B596F"/>
    <w:rsid w:val="008B5A3E"/>
    <w:rsid w:val="008B610D"/>
    <w:rsid w:val="008C159F"/>
    <w:rsid w:val="008C1623"/>
    <w:rsid w:val="008C1850"/>
    <w:rsid w:val="008C51A9"/>
    <w:rsid w:val="008D770F"/>
    <w:rsid w:val="008E7846"/>
    <w:rsid w:val="008F1CCC"/>
    <w:rsid w:val="008F2967"/>
    <w:rsid w:val="008F6943"/>
    <w:rsid w:val="00902A21"/>
    <w:rsid w:val="00904863"/>
    <w:rsid w:val="00920330"/>
    <w:rsid w:val="009219D7"/>
    <w:rsid w:val="00922D53"/>
    <w:rsid w:val="00923B70"/>
    <w:rsid w:val="00924482"/>
    <w:rsid w:val="00930237"/>
    <w:rsid w:val="00946EA5"/>
    <w:rsid w:val="0095160F"/>
    <w:rsid w:val="00963C08"/>
    <w:rsid w:val="00977681"/>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2748D"/>
    <w:rsid w:val="00A3246D"/>
    <w:rsid w:val="00A36FA7"/>
    <w:rsid w:val="00A475B7"/>
    <w:rsid w:val="00A47AF7"/>
    <w:rsid w:val="00A47C3E"/>
    <w:rsid w:val="00A50226"/>
    <w:rsid w:val="00A60BAD"/>
    <w:rsid w:val="00A6787F"/>
    <w:rsid w:val="00A804E2"/>
    <w:rsid w:val="00A926B5"/>
    <w:rsid w:val="00A964D1"/>
    <w:rsid w:val="00AA0ED0"/>
    <w:rsid w:val="00AA3499"/>
    <w:rsid w:val="00AC2B40"/>
    <w:rsid w:val="00AC2BB2"/>
    <w:rsid w:val="00AC2C3C"/>
    <w:rsid w:val="00AC512D"/>
    <w:rsid w:val="00AE01C2"/>
    <w:rsid w:val="00AE49B7"/>
    <w:rsid w:val="00AE65EB"/>
    <w:rsid w:val="00AE67A7"/>
    <w:rsid w:val="00AF1D94"/>
    <w:rsid w:val="00AF60C5"/>
    <w:rsid w:val="00B009C6"/>
    <w:rsid w:val="00B01548"/>
    <w:rsid w:val="00B02208"/>
    <w:rsid w:val="00B1425E"/>
    <w:rsid w:val="00B21D29"/>
    <w:rsid w:val="00B22239"/>
    <w:rsid w:val="00B25034"/>
    <w:rsid w:val="00B33588"/>
    <w:rsid w:val="00B33863"/>
    <w:rsid w:val="00B3567E"/>
    <w:rsid w:val="00B37D17"/>
    <w:rsid w:val="00B4175E"/>
    <w:rsid w:val="00B452CE"/>
    <w:rsid w:val="00B45586"/>
    <w:rsid w:val="00B54C25"/>
    <w:rsid w:val="00B66F98"/>
    <w:rsid w:val="00B76B91"/>
    <w:rsid w:val="00B77EB1"/>
    <w:rsid w:val="00B811C6"/>
    <w:rsid w:val="00B85A87"/>
    <w:rsid w:val="00B92E08"/>
    <w:rsid w:val="00B96EBE"/>
    <w:rsid w:val="00BC622A"/>
    <w:rsid w:val="00BD45E3"/>
    <w:rsid w:val="00BE0A78"/>
    <w:rsid w:val="00BE5D05"/>
    <w:rsid w:val="00BE6252"/>
    <w:rsid w:val="00BE79F0"/>
    <w:rsid w:val="00BF046D"/>
    <w:rsid w:val="00BF1190"/>
    <w:rsid w:val="00BF5D04"/>
    <w:rsid w:val="00BF6870"/>
    <w:rsid w:val="00C1164D"/>
    <w:rsid w:val="00C148C4"/>
    <w:rsid w:val="00C16861"/>
    <w:rsid w:val="00C22678"/>
    <w:rsid w:val="00C2531A"/>
    <w:rsid w:val="00C404A6"/>
    <w:rsid w:val="00C40A36"/>
    <w:rsid w:val="00C44419"/>
    <w:rsid w:val="00C45E7B"/>
    <w:rsid w:val="00C471B1"/>
    <w:rsid w:val="00C55C7A"/>
    <w:rsid w:val="00C618F7"/>
    <w:rsid w:val="00C6316B"/>
    <w:rsid w:val="00C634A9"/>
    <w:rsid w:val="00C64586"/>
    <w:rsid w:val="00C70D53"/>
    <w:rsid w:val="00C73D0B"/>
    <w:rsid w:val="00C772FF"/>
    <w:rsid w:val="00C801AF"/>
    <w:rsid w:val="00C80256"/>
    <w:rsid w:val="00C811C0"/>
    <w:rsid w:val="00CB6BC0"/>
    <w:rsid w:val="00CC1B7C"/>
    <w:rsid w:val="00CC5635"/>
    <w:rsid w:val="00CC727F"/>
    <w:rsid w:val="00CF15C3"/>
    <w:rsid w:val="00CF2B6F"/>
    <w:rsid w:val="00CF58B6"/>
    <w:rsid w:val="00D017ED"/>
    <w:rsid w:val="00D040D3"/>
    <w:rsid w:val="00D04C65"/>
    <w:rsid w:val="00D224FE"/>
    <w:rsid w:val="00D53A31"/>
    <w:rsid w:val="00D562DD"/>
    <w:rsid w:val="00D6493E"/>
    <w:rsid w:val="00D7301E"/>
    <w:rsid w:val="00D8340F"/>
    <w:rsid w:val="00D83AE1"/>
    <w:rsid w:val="00D855D4"/>
    <w:rsid w:val="00D93466"/>
    <w:rsid w:val="00DA1124"/>
    <w:rsid w:val="00DB75B7"/>
    <w:rsid w:val="00DC5BB2"/>
    <w:rsid w:val="00DC6E02"/>
    <w:rsid w:val="00DE02AE"/>
    <w:rsid w:val="00DF1D7F"/>
    <w:rsid w:val="00DF4BE4"/>
    <w:rsid w:val="00E02FB4"/>
    <w:rsid w:val="00E07F15"/>
    <w:rsid w:val="00E14498"/>
    <w:rsid w:val="00E20571"/>
    <w:rsid w:val="00E235F7"/>
    <w:rsid w:val="00E23659"/>
    <w:rsid w:val="00E239D4"/>
    <w:rsid w:val="00E26130"/>
    <w:rsid w:val="00E2741C"/>
    <w:rsid w:val="00E40B22"/>
    <w:rsid w:val="00E45619"/>
    <w:rsid w:val="00E4588F"/>
    <w:rsid w:val="00E46DA3"/>
    <w:rsid w:val="00E51BB1"/>
    <w:rsid w:val="00E56D81"/>
    <w:rsid w:val="00E624A5"/>
    <w:rsid w:val="00E7344E"/>
    <w:rsid w:val="00E936E3"/>
    <w:rsid w:val="00EB0798"/>
    <w:rsid w:val="00EB40AD"/>
    <w:rsid w:val="00EB586E"/>
    <w:rsid w:val="00EB5FC8"/>
    <w:rsid w:val="00ED3CAD"/>
    <w:rsid w:val="00ED5A41"/>
    <w:rsid w:val="00EE1DE8"/>
    <w:rsid w:val="00F01513"/>
    <w:rsid w:val="00F033EC"/>
    <w:rsid w:val="00F04F68"/>
    <w:rsid w:val="00F12670"/>
    <w:rsid w:val="00F14B27"/>
    <w:rsid w:val="00F3148D"/>
    <w:rsid w:val="00F325C5"/>
    <w:rsid w:val="00F32FE0"/>
    <w:rsid w:val="00F35298"/>
    <w:rsid w:val="00F47333"/>
    <w:rsid w:val="00F47CC2"/>
    <w:rsid w:val="00F47E37"/>
    <w:rsid w:val="00F53C07"/>
    <w:rsid w:val="00F54B65"/>
    <w:rsid w:val="00F640B6"/>
    <w:rsid w:val="00F80E40"/>
    <w:rsid w:val="00F848D9"/>
    <w:rsid w:val="00FA079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DC5BB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5387"/>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tabs>
        <w:tab w:val="clear" w:pos="1106"/>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F74D8"/>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F74D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8481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5F74D8"/>
    <w:pPr>
      <w:numPr>
        <w:numId w:val="6"/>
      </w:numPr>
      <w:spacing w:after="0" w:line="240" w:lineRule="auto"/>
    </w:pPr>
    <w:rPr>
      <w:rFonts w:eastAsia="Times New Roman"/>
      <w:kern w:val="24"/>
      <w:szCs w:val="24"/>
      <w:lang w:eastAsia="en-AU"/>
    </w:rPr>
  </w:style>
  <w:style w:type="paragraph" w:customStyle="1" w:styleId="Bullet2">
    <w:name w:val="Bullet 2"/>
    <w:basedOn w:val="Bullet1"/>
    <w:rsid w:val="005F74D8"/>
    <w:pPr>
      <w:numPr>
        <w:numId w:val="7"/>
      </w:numPr>
    </w:pPr>
  </w:style>
  <w:style w:type="character" w:customStyle="1" w:styleId="Heading8Char">
    <w:name w:val="Heading 8 Char"/>
    <w:basedOn w:val="DefaultParagraphFont"/>
    <w:link w:val="Heading8"/>
    <w:rsid w:val="005F74D8"/>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5F74D8"/>
    <w:rPr>
      <w:rFonts w:ascii="Arial" w:eastAsia="Times New Roman" w:hAnsi="Arial" w:cs="Arial"/>
      <w:kern w:val="16"/>
      <w:u w:val="single"/>
      <w:lang w:eastAsia="en-AU"/>
    </w:rPr>
  </w:style>
  <w:style w:type="paragraph" w:customStyle="1" w:styleId="Heading0inTOC">
    <w:name w:val="Heading 0 (in TOC)"/>
    <w:basedOn w:val="Heading1"/>
    <w:next w:val="Normal"/>
    <w:rsid w:val="005F74D8"/>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5F74D8"/>
    <w:rPr>
      <w:sz w:val="20"/>
    </w:rPr>
  </w:style>
  <w:style w:type="paragraph" w:customStyle="1" w:styleId="TableBullet">
    <w:name w:val="Table Bullet"/>
    <w:basedOn w:val="Normal"/>
    <w:rsid w:val="005F74D8"/>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F74D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F74D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F74D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F74D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F74D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F74D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F74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F74D8"/>
    <w:rPr>
      <w:rFonts w:ascii="Cambria" w:eastAsia="Times New Roman" w:hAnsi="Cambria" w:cs="Times New Roman"/>
      <w:kern w:val="16"/>
      <w:sz w:val="20"/>
      <w:szCs w:val="20"/>
      <w:lang w:eastAsia="en-AU"/>
    </w:rPr>
  </w:style>
  <w:style w:type="character" w:styleId="EndnoteReference">
    <w:name w:val="endnote reference"/>
    <w:semiHidden/>
    <w:rsid w:val="005F74D8"/>
    <w:rPr>
      <w:dstrike w:val="0"/>
      <w:vertAlign w:val="baseline"/>
    </w:rPr>
  </w:style>
  <w:style w:type="paragraph" w:styleId="FootnoteText">
    <w:name w:val="footnote text"/>
    <w:basedOn w:val="Normal"/>
    <w:link w:val="FootnoteTextChar"/>
    <w:semiHidden/>
    <w:rsid w:val="00DC5BB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DC5BB2"/>
    <w:rPr>
      <w:rFonts w:ascii="Cambria" w:eastAsia="Times New Roman" w:hAnsi="Cambria" w:cs="Times New Roman"/>
      <w:kern w:val="16"/>
      <w:sz w:val="18"/>
      <w:szCs w:val="20"/>
      <w:lang w:eastAsia="en-AU"/>
    </w:rPr>
  </w:style>
  <w:style w:type="character" w:styleId="FootnoteReference">
    <w:name w:val="footnote reference"/>
    <w:semiHidden/>
    <w:rsid w:val="005F74D8"/>
    <w:rPr>
      <w:vertAlign w:val="superscript"/>
    </w:rPr>
  </w:style>
  <w:style w:type="paragraph" w:customStyle="1" w:styleId="Abbreviations">
    <w:name w:val="Abbreviations"/>
    <w:basedOn w:val="Normal"/>
    <w:rsid w:val="005F74D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F74D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F74D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F74D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F74D8"/>
    <w:pPr>
      <w:numPr>
        <w:numId w:val="10"/>
      </w:numPr>
      <w:tabs>
        <w:tab w:val="clear" w:pos="1134"/>
      </w:tabs>
      <w:spacing w:before="120"/>
      <w:ind w:left="1418" w:hanging="284"/>
    </w:pPr>
  </w:style>
  <w:style w:type="paragraph" w:customStyle="1" w:styleId="Instructions1">
    <w:name w:val="Instructions 1"/>
    <w:basedOn w:val="Normal"/>
    <w:qFormat/>
    <w:rsid w:val="005F74D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F74D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F74D8"/>
    <w:rPr>
      <w:sz w:val="16"/>
      <w:szCs w:val="16"/>
    </w:rPr>
  </w:style>
  <w:style w:type="paragraph" w:styleId="CommentText">
    <w:name w:val="annotation text"/>
    <w:basedOn w:val="Normal"/>
    <w:link w:val="CommentTextChar"/>
    <w:rsid w:val="005F74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5F74D8"/>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5F74D8"/>
    <w:rPr>
      <w:b/>
      <w:bCs/>
    </w:rPr>
  </w:style>
  <w:style w:type="character" w:customStyle="1" w:styleId="CommentSubjectChar">
    <w:name w:val="Comment Subject Char"/>
    <w:basedOn w:val="CommentTextChar"/>
    <w:link w:val="CommentSubject"/>
    <w:rsid w:val="005F74D8"/>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5F74D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F74D8"/>
    <w:pPr>
      <w:spacing w:before="0" w:after="0"/>
    </w:pPr>
    <w:rPr>
      <w:b w:val="0"/>
    </w:rPr>
  </w:style>
  <w:style w:type="character" w:customStyle="1" w:styleId="st">
    <w:name w:val="st"/>
    <w:basedOn w:val="DefaultParagraphFont"/>
    <w:rsid w:val="005F74D8"/>
  </w:style>
  <w:style w:type="paragraph" w:styleId="ListParagraph">
    <w:name w:val="List Paragraph"/>
    <w:basedOn w:val="Normal"/>
    <w:uiPriority w:val="34"/>
    <w:qFormat/>
    <w:rsid w:val="005F74D8"/>
    <w:pPr>
      <w:spacing w:before="0" w:after="200" w:line="276" w:lineRule="auto"/>
      <w:ind w:left="720"/>
      <w:contextualSpacing/>
    </w:pPr>
    <w:rPr>
      <w:rFonts w:ascii="Calibri" w:eastAsia="Calibri" w:hAnsi="Calibri"/>
    </w:rPr>
  </w:style>
  <w:style w:type="character" w:customStyle="1" w:styleId="highlight">
    <w:name w:val="highlight"/>
    <w:basedOn w:val="DefaultParagraphFont"/>
    <w:rsid w:val="005F74D8"/>
  </w:style>
  <w:style w:type="paragraph" w:customStyle="1" w:styleId="Default">
    <w:name w:val="Default"/>
    <w:rsid w:val="005F74D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NormalWeb">
    <w:name w:val="Normal (Web)"/>
    <w:basedOn w:val="Normal"/>
    <w:uiPriority w:val="99"/>
    <w:unhideWhenUsed/>
    <w:rsid w:val="005F74D8"/>
    <w:pPr>
      <w:spacing w:before="100" w:beforeAutospacing="1" w:after="75" w:line="240" w:lineRule="auto"/>
    </w:pPr>
    <w:rPr>
      <w:rFonts w:ascii="Times New Roman" w:eastAsia="Times New Roman" w:hAnsi="Times New Roman"/>
      <w:color w:val="000000"/>
      <w:sz w:val="24"/>
      <w:szCs w:val="24"/>
      <w:lang w:eastAsia="en-AU"/>
    </w:rPr>
  </w:style>
  <w:style w:type="paragraph" w:styleId="Revision">
    <w:name w:val="Revision"/>
    <w:hidden/>
    <w:uiPriority w:val="99"/>
    <w:semiHidden/>
    <w:rsid w:val="007E5CEF"/>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eg"/><Relationship Id="rId55" Type="http://schemas.openxmlformats.org/officeDocument/2006/relationships/header" Target="header3.xm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header" Target="header5.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image" Target="media/image36.jpeg"/><Relationship Id="rId57" Type="http://schemas.openxmlformats.org/officeDocument/2006/relationships/footer" Target="footer2.xml"/><Relationship Id="rId61" Type="http://schemas.openxmlformats.org/officeDocument/2006/relationships/hyperlink" Target="http://www.tga.gov.au" TargetMode="External"/><Relationship Id="rId10" Type="http://schemas.openxmlformats.org/officeDocument/2006/relationships/hyperlink" Target="http://www.tga.gov.au/hp/information-medicines-pi.htm" TargetMode="External"/><Relationship Id="rId19" Type="http://schemas.openxmlformats.org/officeDocument/2006/relationships/oleObject" Target="embeddings/oleObject1.bin"/><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hyperlink" Target="mailto:info@tga.gov.au" TargetMode="Externa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header" Target="header4.xm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hyperlink" Target="http://www.ncbi.nlm.nih.gov/pubmed/?term=berger+1982+fauci" TargetMode="External"/><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9A02-D4B8-4030-90E2-0CDB664AB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65</Pages>
  <Words>24127</Words>
  <Characters>135358</Characters>
  <Application>Microsoft Office Word</Application>
  <DocSecurity>0</DocSecurity>
  <Lines>2461</Lines>
  <Paragraphs>1092</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Normal Human Immunoglobulin</vt:lpstr>
    </vt:vector>
  </TitlesOfParts>
  <Company>TGA</Company>
  <LinksUpToDate>false</LinksUpToDate>
  <CharactersWithSpaces>158393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Normal Human Immunoglobulin</dc:title>
  <dc:subject>prescription medicine regulation</dc:subject>
  <dc:creator>Therapeutic Goods Administration</dc:creator>
  <cp:keywords>clinical, evaluation, report, medicine, assessment, regulation, australia, normal human immunoglobulin, hizentra</cp:keywords>
  <cp:lastModifiedBy>Sheppard, Fran</cp:lastModifiedBy>
  <cp:revision>30</cp:revision>
  <cp:lastPrinted>2010-12-20T22:59:00Z</cp:lastPrinted>
  <dcterms:created xsi:type="dcterms:W3CDTF">2014-06-25T02:32:00Z</dcterms:created>
  <dcterms:modified xsi:type="dcterms:W3CDTF">2014-07-10T02:06:00Z</dcterms:modified>
</cp:coreProperties>
</file>