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7"/>
      </w:tblGrid>
      <w:tr w:rsidR="008E7846" w:rsidRPr="003442FE" w14:paraId="7DB266D9" w14:textId="77777777" w:rsidTr="00C53EBA">
        <w:trPr>
          <w:trHeight w:val="2246"/>
        </w:trPr>
        <w:tc>
          <w:tcPr>
            <w:tcW w:w="8777" w:type="dxa"/>
            <w:tcBorders>
              <w:top w:val="nil"/>
              <w:left w:val="nil"/>
              <w:bottom w:val="nil"/>
              <w:right w:val="nil"/>
            </w:tcBorders>
          </w:tcPr>
          <w:p w14:paraId="61669B71" w14:textId="33B89E2D" w:rsidR="008E7846" w:rsidRDefault="00C53EBA" w:rsidP="0017078F">
            <w:pPr>
              <w:rPr>
                <w:rFonts w:ascii="Arial" w:hAnsi="Arial" w:cs="Arial"/>
                <w:b/>
                <w:color w:val="002C47"/>
                <w:sz w:val="36"/>
                <w:szCs w:val="36"/>
              </w:rPr>
            </w:pPr>
            <w:r>
              <w:rPr>
                <w:rFonts w:ascii="Arial" w:hAnsi="Arial" w:cs="Arial"/>
                <w:b/>
                <w:color w:val="002C47"/>
                <w:sz w:val="36"/>
                <w:szCs w:val="36"/>
              </w:rPr>
              <w:t>First round CER: May 2017</w:t>
            </w:r>
          </w:p>
          <w:p w14:paraId="141ED3DC" w14:textId="3FCC1635" w:rsidR="00C53EBA" w:rsidRPr="003442FE" w:rsidRDefault="00C53EBA" w:rsidP="0017078F">
            <w:pPr>
              <w:rPr>
                <w:rFonts w:ascii="Arial" w:hAnsi="Arial" w:cs="Arial"/>
                <w:b/>
                <w:color w:val="002C47"/>
                <w:sz w:val="36"/>
                <w:szCs w:val="36"/>
              </w:rPr>
            </w:pPr>
            <w:r>
              <w:rPr>
                <w:rFonts w:ascii="Arial" w:hAnsi="Arial" w:cs="Arial"/>
                <w:b/>
                <w:color w:val="002C47"/>
                <w:sz w:val="36"/>
                <w:szCs w:val="36"/>
              </w:rPr>
              <w:t>Second round CER: June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3442FE" w14:paraId="3EDD7930" w14:textId="77777777" w:rsidTr="00E07F15">
        <w:trPr>
          <w:trHeight w:val="1548"/>
        </w:trPr>
        <w:tc>
          <w:tcPr>
            <w:tcW w:w="9079" w:type="dxa"/>
          </w:tcPr>
          <w:p w14:paraId="4020A16C" w14:textId="77777777" w:rsidR="0032583B" w:rsidRPr="003442FE" w:rsidRDefault="00E07F15" w:rsidP="00A964D1">
            <w:pPr>
              <w:pStyle w:val="Title"/>
              <w:rPr>
                <w:color w:val="FFFFFF" w:themeColor="background1"/>
              </w:rPr>
            </w:pPr>
            <w:r w:rsidRPr="003442FE">
              <w:rPr>
                <w:color w:val="FFFFFF" w:themeColor="background1"/>
              </w:rPr>
              <w:t>AusPAR Attachment 2</w:t>
            </w:r>
          </w:p>
        </w:tc>
      </w:tr>
      <w:tr w:rsidR="00E07F15" w:rsidRPr="003442FE" w14:paraId="0D9CB39A" w14:textId="77777777" w:rsidTr="00E07F15">
        <w:trPr>
          <w:trHeight w:val="868"/>
        </w:trPr>
        <w:tc>
          <w:tcPr>
            <w:tcW w:w="9079" w:type="dxa"/>
          </w:tcPr>
          <w:p w14:paraId="517EEED1" w14:textId="7416C044" w:rsidR="00E07F15" w:rsidRPr="003442FE" w:rsidRDefault="00E07F15" w:rsidP="00226640">
            <w:pPr>
              <w:pStyle w:val="Title"/>
              <w:rPr>
                <w:color w:val="FFFFFF" w:themeColor="background1"/>
              </w:rPr>
            </w:pPr>
            <w:r w:rsidRPr="003442FE">
              <w:rPr>
                <w:color w:val="FFFFFF" w:themeColor="background1"/>
              </w:rPr>
              <w:t xml:space="preserve">Extract from the Clinical Evaluation Report for </w:t>
            </w:r>
            <w:proofErr w:type="spellStart"/>
            <w:r w:rsidR="00226640">
              <w:rPr>
                <w:color w:val="FFFFFF" w:themeColor="background1"/>
              </w:rPr>
              <w:t>O</w:t>
            </w:r>
            <w:r w:rsidR="00C53EBA" w:rsidRPr="00C53EBA">
              <w:rPr>
                <w:color w:val="FFFFFF" w:themeColor="background1"/>
              </w:rPr>
              <w:t>binutuzumab</w:t>
            </w:r>
            <w:proofErr w:type="spellEnd"/>
          </w:p>
        </w:tc>
      </w:tr>
      <w:tr w:rsidR="00E07F15" w:rsidRPr="003442FE" w14:paraId="33EFB5BE" w14:textId="77777777" w:rsidTr="00E07F15">
        <w:tc>
          <w:tcPr>
            <w:tcW w:w="9079" w:type="dxa"/>
          </w:tcPr>
          <w:p w14:paraId="4FA2CF18" w14:textId="750C67C8" w:rsidR="00E07F15" w:rsidRPr="003442FE" w:rsidRDefault="00E07F15" w:rsidP="00837994">
            <w:pPr>
              <w:pStyle w:val="Subtitle"/>
              <w:ind w:left="0"/>
              <w:rPr>
                <w:color w:val="FFFFFF" w:themeColor="background1"/>
              </w:rPr>
            </w:pPr>
            <w:r w:rsidRPr="003442FE">
              <w:rPr>
                <w:color w:val="FFFFFF" w:themeColor="background1"/>
              </w:rPr>
              <w:t xml:space="preserve">Proprietary Product Name: </w:t>
            </w:r>
            <w:r w:rsidR="00C53EBA">
              <w:rPr>
                <w:color w:val="FFFFFF" w:themeColor="background1"/>
              </w:rPr>
              <w:t>Gazyva</w:t>
            </w:r>
          </w:p>
        </w:tc>
      </w:tr>
      <w:tr w:rsidR="00E07F15" w:rsidRPr="003442FE" w14:paraId="66527588" w14:textId="77777777" w:rsidTr="00E07F15">
        <w:trPr>
          <w:trHeight w:val="486"/>
        </w:trPr>
        <w:tc>
          <w:tcPr>
            <w:tcW w:w="9079" w:type="dxa"/>
          </w:tcPr>
          <w:p w14:paraId="0E1C14B1" w14:textId="22EEDBF1" w:rsidR="00E07F15" w:rsidRPr="003442FE" w:rsidRDefault="00E07F15" w:rsidP="00837994">
            <w:pPr>
              <w:pStyle w:val="Subtitle"/>
              <w:ind w:left="0"/>
              <w:rPr>
                <w:color w:val="FFFFFF" w:themeColor="background1"/>
              </w:rPr>
            </w:pPr>
            <w:r w:rsidRPr="003442FE">
              <w:rPr>
                <w:color w:val="FFFFFF" w:themeColor="background1"/>
              </w:rPr>
              <w:t>Sponsor:</w:t>
            </w:r>
            <w:r w:rsidR="00C53EBA">
              <w:rPr>
                <w:color w:val="FFFFFF" w:themeColor="background1"/>
              </w:rPr>
              <w:t xml:space="preserve"> Roche Products Pty Ltd</w:t>
            </w:r>
          </w:p>
        </w:tc>
      </w:tr>
    </w:tbl>
    <w:p w14:paraId="0473DB32" w14:textId="77777777" w:rsidR="008E7846" w:rsidRPr="003442FE" w:rsidRDefault="008E7846" w:rsidP="008E7846">
      <w:pPr>
        <w:pStyle w:val="NonTOCHeading2"/>
      </w:pPr>
      <w:r w:rsidRPr="003442FE">
        <w:br w:type="page"/>
      </w:r>
    </w:p>
    <w:p w14:paraId="6BACB925" w14:textId="77777777" w:rsidR="008E7846" w:rsidRPr="003442FE" w:rsidRDefault="008E7846" w:rsidP="008E7846">
      <w:pPr>
        <w:pStyle w:val="NonTOCHeading2"/>
      </w:pPr>
      <w:r w:rsidRPr="003442FE">
        <w:lastRenderedPageBreak/>
        <w:t>About the Therapeutic Goods Administration (TGA)</w:t>
      </w:r>
    </w:p>
    <w:p w14:paraId="5C47B22E" w14:textId="77777777" w:rsidR="008E7846" w:rsidRPr="003442FE" w:rsidRDefault="008E7846" w:rsidP="00DC2A7E">
      <w:pPr>
        <w:pStyle w:val="ListBullet"/>
        <w:numPr>
          <w:ilvl w:val="0"/>
          <w:numId w:val="1"/>
        </w:numPr>
        <w:ind w:left="357" w:hanging="357"/>
      </w:pPr>
      <w:r w:rsidRPr="003442FE">
        <w:t xml:space="preserve">The Therapeutic Goods Administration (TGA) is </w:t>
      </w:r>
      <w:r w:rsidR="00E624A5" w:rsidRPr="003442FE">
        <w:t xml:space="preserve">part </w:t>
      </w:r>
      <w:r w:rsidRPr="003442FE">
        <w:t>of the Australian Government Department of Health, and is responsible for regulating medicines and medical devices.</w:t>
      </w:r>
    </w:p>
    <w:p w14:paraId="458B84B9" w14:textId="77777777" w:rsidR="008E7846" w:rsidRPr="003442FE" w:rsidRDefault="00C811C0" w:rsidP="00DC2A7E">
      <w:pPr>
        <w:pStyle w:val="ListBullet"/>
        <w:numPr>
          <w:ilvl w:val="0"/>
          <w:numId w:val="1"/>
        </w:numPr>
        <w:ind w:left="357" w:hanging="357"/>
      </w:pPr>
      <w:r w:rsidRPr="003442FE">
        <w:t xml:space="preserve">The </w:t>
      </w:r>
      <w:r w:rsidR="008E7846" w:rsidRPr="003442FE">
        <w:t xml:space="preserve">TGA administers the </w:t>
      </w:r>
      <w:r w:rsidR="008E7846" w:rsidRPr="003442FE">
        <w:rPr>
          <w:i/>
        </w:rPr>
        <w:t>Therapeutic Goods Act 1989</w:t>
      </w:r>
      <w:r w:rsidR="008E7846" w:rsidRPr="003442FE">
        <w:t xml:space="preserve"> (the Act), applying a risk management approach designed to ensure therapeutic goods supplied in Australia meet acceptable standards of quality, safety and efficacy (performance), when necessary.</w:t>
      </w:r>
    </w:p>
    <w:p w14:paraId="146F8A45" w14:textId="77777777" w:rsidR="008E7846" w:rsidRPr="003442FE" w:rsidRDefault="008E7846" w:rsidP="00DC2A7E">
      <w:pPr>
        <w:pStyle w:val="ListBullet"/>
        <w:numPr>
          <w:ilvl w:val="0"/>
          <w:numId w:val="1"/>
        </w:numPr>
        <w:ind w:left="357" w:hanging="357"/>
      </w:pPr>
      <w:r w:rsidRPr="003442FE">
        <w:t>The work of the TGA is based on applying scientific and clinical expertise to decision-making, to ensure that the benefits to consumers outweigh any risks associated with the use of medicines and medical devices.</w:t>
      </w:r>
    </w:p>
    <w:p w14:paraId="16184379" w14:textId="77777777" w:rsidR="008E7846" w:rsidRPr="003442FE" w:rsidRDefault="008E7846" w:rsidP="00DC2A7E">
      <w:pPr>
        <w:pStyle w:val="ListBullet"/>
        <w:numPr>
          <w:ilvl w:val="0"/>
          <w:numId w:val="1"/>
        </w:numPr>
        <w:ind w:left="357" w:hanging="357"/>
      </w:pPr>
      <w:r w:rsidRPr="003442FE">
        <w:t>The TGA relies on the public, healthcare professionals and industry to report problems with medicines or medical devices. TGA investigates reports received by it to determine any necessary regulatory action.</w:t>
      </w:r>
    </w:p>
    <w:p w14:paraId="3BE13A98" w14:textId="77777777" w:rsidR="008E7846" w:rsidRPr="003442FE" w:rsidRDefault="008E7846" w:rsidP="00DC2A7E">
      <w:pPr>
        <w:pStyle w:val="ListBullet"/>
        <w:numPr>
          <w:ilvl w:val="0"/>
          <w:numId w:val="1"/>
        </w:numPr>
        <w:ind w:left="357" w:hanging="357"/>
      </w:pPr>
      <w:r w:rsidRPr="003442FE">
        <w:t>To report a problem with a medicine or medical device, please see the information on the TGA website</w:t>
      </w:r>
      <w:r w:rsidR="00112F56" w:rsidRPr="003442FE">
        <w:t xml:space="preserve"> &lt;</w:t>
      </w:r>
      <w:hyperlink r:id="rId9" w:history="1">
        <w:r w:rsidR="00E979F4" w:rsidRPr="003442FE">
          <w:rPr>
            <w:rStyle w:val="Hyperlink"/>
          </w:rPr>
          <w:t>https://www.tga.gov.au</w:t>
        </w:r>
      </w:hyperlink>
      <w:r w:rsidR="00112F56" w:rsidRPr="003442FE">
        <w:t>&gt;</w:t>
      </w:r>
      <w:r w:rsidRPr="003442FE">
        <w:t>.</w:t>
      </w:r>
    </w:p>
    <w:p w14:paraId="4A91B78E" w14:textId="77777777" w:rsidR="0017078F" w:rsidRPr="003442FE" w:rsidRDefault="0017078F" w:rsidP="0017078F">
      <w:pPr>
        <w:pStyle w:val="NonTOCHeading2"/>
      </w:pPr>
      <w:r w:rsidRPr="003442FE">
        <w:t>About the Extract from the Clinical Evaluation Report</w:t>
      </w:r>
    </w:p>
    <w:p w14:paraId="533B905C" w14:textId="77777777" w:rsidR="0017078F" w:rsidRPr="003442FE" w:rsidRDefault="003D0A3B" w:rsidP="0017078F">
      <w:pPr>
        <w:pStyle w:val="ListBullet"/>
      </w:pPr>
      <w:r w:rsidRPr="003442FE">
        <w:t>This document provides a more detailed evaluation of the clinical findings, extracted from the Clinical Evaluation Report (CER) prepared by the TGA. This extract does not include sections from the CER regarding product documentation or post market activities.</w:t>
      </w:r>
    </w:p>
    <w:p w14:paraId="2F1E0818" w14:textId="77777777" w:rsidR="003D0A3B" w:rsidRPr="003442FE" w:rsidRDefault="003D0A3B" w:rsidP="003D0A3B">
      <w:pPr>
        <w:pStyle w:val="ListBullet"/>
      </w:pPr>
      <w:r w:rsidRPr="003442FE">
        <w:t xml:space="preserve">The words </w:t>
      </w:r>
      <w:r w:rsidR="0052032C">
        <w:t>(</w:t>
      </w:r>
      <w:r w:rsidRPr="003442FE">
        <w:t>Information redacted</w:t>
      </w:r>
      <w:r w:rsidR="0052032C">
        <w:t>)</w:t>
      </w:r>
      <w:r w:rsidRPr="003442FE">
        <w:t>, where they appear in this document, indicate that confidential information has been deleted.</w:t>
      </w:r>
    </w:p>
    <w:p w14:paraId="2E293F0F" w14:textId="77777777" w:rsidR="0017078F" w:rsidRPr="003442FE" w:rsidRDefault="003D0A3B" w:rsidP="0017078F">
      <w:pPr>
        <w:pStyle w:val="ListBullet"/>
      </w:pPr>
      <w:r w:rsidRPr="003442FE">
        <w:t xml:space="preserve">For the most recent Product Information (PI), please refer to the TGA website </w:t>
      </w:r>
      <w:r w:rsidR="00B1425E" w:rsidRPr="003442FE">
        <w:t>&lt;</w:t>
      </w:r>
      <w:hyperlink r:id="rId10" w:history="1">
        <w:r w:rsidR="0010193C" w:rsidRPr="003442FE">
          <w:rPr>
            <w:rStyle w:val="Hyperlink"/>
          </w:rPr>
          <w:t>https://www.tga.gov.au/product-information-pi</w:t>
        </w:r>
      </w:hyperlink>
      <w:r w:rsidR="0017078F" w:rsidRPr="003442FE">
        <w:t>&gt;.</w:t>
      </w:r>
    </w:p>
    <w:p w14:paraId="7F650115" w14:textId="77777777" w:rsidR="00924482" w:rsidRPr="003442FE" w:rsidRDefault="00924482" w:rsidP="00070386">
      <w:pPr>
        <w:pStyle w:val="LegalSubheading"/>
        <w:spacing w:before="3960"/>
      </w:pPr>
      <w:r w:rsidRPr="003442FE">
        <w:t>Copyright</w:t>
      </w:r>
    </w:p>
    <w:p w14:paraId="60E76C47" w14:textId="128D0629" w:rsidR="00924482" w:rsidRPr="003442FE" w:rsidRDefault="00924482" w:rsidP="00924482">
      <w:pPr>
        <w:pStyle w:val="LegalCopy"/>
      </w:pPr>
      <w:r w:rsidRPr="003442FE">
        <w:rPr>
          <w:rFonts w:cs="Arial"/>
        </w:rPr>
        <w:t>© Commonwealth of Australia 201</w:t>
      </w:r>
      <w:r w:rsidR="00226640">
        <w:rPr>
          <w:rFonts w:cs="Arial"/>
        </w:rPr>
        <w:t>8</w:t>
      </w:r>
      <w:r w:rsidRPr="003442FE">
        <w:rPr>
          <w:rFonts w:cs="Arial"/>
        </w:rPr>
        <w:br/>
      </w:r>
      <w:proofErr w:type="gramStart"/>
      <w:r w:rsidRPr="003442FE">
        <w:rPr>
          <w:rFonts w:cs="Arial"/>
        </w:rPr>
        <w:t>This</w:t>
      </w:r>
      <w:proofErr w:type="gramEnd"/>
      <w:r w:rsidRPr="003442FE">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442FE">
        <w:rPr>
          <w:rFonts w:cs="Arial"/>
          <w:i/>
        </w:rPr>
        <w:t>Copyright Act 1968</w:t>
      </w:r>
      <w:r w:rsidRPr="003442FE">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3442FE">
          <w:rPr>
            <w:rStyle w:val="Hyperlink"/>
            <w:rFonts w:cs="Arial"/>
          </w:rPr>
          <w:t>tga.copyright@tga.gov.au</w:t>
        </w:r>
      </w:hyperlink>
      <w:r w:rsidRPr="003442FE">
        <w:rPr>
          <w:rFonts w:cs="Arial"/>
        </w:rPr>
        <w:t>&gt;.</w:t>
      </w:r>
    </w:p>
    <w:p w14:paraId="2931BE21" w14:textId="77777777" w:rsidR="00924482" w:rsidRPr="003442FE" w:rsidRDefault="00924482" w:rsidP="00924482">
      <w:pPr>
        <w:pStyle w:val="LegalCopy"/>
        <w:sectPr w:rsidR="00924482" w:rsidRPr="003442FE"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457C5C3" w14:textId="77777777" w:rsidR="0089635C" w:rsidRPr="003442FE" w:rsidRDefault="0089635C" w:rsidP="0010788A">
          <w:pPr>
            <w:pStyle w:val="Contents"/>
          </w:pPr>
          <w:r w:rsidRPr="003442FE">
            <w:t>Conte</w:t>
          </w:r>
          <w:bookmarkStart w:id="2" w:name="_GoBack"/>
          <w:bookmarkEnd w:id="2"/>
          <w:r w:rsidRPr="003442FE">
            <w:t>nts</w:t>
          </w:r>
        </w:p>
        <w:p w14:paraId="7296377A" w14:textId="77777777" w:rsidR="00D266EA" w:rsidRDefault="004F4AF5">
          <w:pPr>
            <w:pStyle w:val="TOC2"/>
            <w:rPr>
              <w:rFonts w:asciiTheme="minorHAnsi" w:eastAsiaTheme="minorEastAsia" w:hAnsiTheme="minorHAnsi" w:cstheme="minorBidi"/>
              <w:b w:val="0"/>
              <w:noProof/>
              <w:sz w:val="22"/>
              <w:lang w:eastAsia="en-AU"/>
            </w:rPr>
          </w:pPr>
          <w:r w:rsidRPr="003442FE">
            <w:fldChar w:fldCharType="begin"/>
          </w:r>
          <w:r w:rsidR="0089635C" w:rsidRPr="003442FE">
            <w:instrText xml:space="preserve"> TOC \o "1-3" \h \z \u </w:instrText>
          </w:r>
          <w:r w:rsidRPr="003442FE">
            <w:fldChar w:fldCharType="separate"/>
          </w:r>
          <w:hyperlink w:anchor="_Toc513556329" w:history="1">
            <w:r w:rsidR="00D266EA" w:rsidRPr="00BE0162">
              <w:rPr>
                <w:rStyle w:val="Hyperlink"/>
                <w:noProof/>
              </w:rPr>
              <w:t>List of abbreviations</w:t>
            </w:r>
            <w:r w:rsidR="00D266EA">
              <w:rPr>
                <w:noProof/>
                <w:webHidden/>
              </w:rPr>
              <w:tab/>
            </w:r>
            <w:r w:rsidR="00D266EA">
              <w:rPr>
                <w:noProof/>
                <w:webHidden/>
              </w:rPr>
              <w:fldChar w:fldCharType="begin"/>
            </w:r>
            <w:r w:rsidR="00D266EA">
              <w:rPr>
                <w:noProof/>
                <w:webHidden/>
              </w:rPr>
              <w:instrText xml:space="preserve"> PAGEREF _Toc513556329 \h </w:instrText>
            </w:r>
            <w:r w:rsidR="00D266EA">
              <w:rPr>
                <w:noProof/>
                <w:webHidden/>
              </w:rPr>
            </w:r>
            <w:r w:rsidR="00D266EA">
              <w:rPr>
                <w:noProof/>
                <w:webHidden/>
              </w:rPr>
              <w:fldChar w:fldCharType="separate"/>
            </w:r>
            <w:r w:rsidR="00D266EA">
              <w:rPr>
                <w:noProof/>
                <w:webHidden/>
              </w:rPr>
              <w:t>5</w:t>
            </w:r>
            <w:r w:rsidR="00D266EA">
              <w:rPr>
                <w:noProof/>
                <w:webHidden/>
              </w:rPr>
              <w:fldChar w:fldCharType="end"/>
            </w:r>
          </w:hyperlink>
        </w:p>
        <w:p w14:paraId="07DB3CEF"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30" w:history="1">
            <w:r w:rsidRPr="00BE0162">
              <w:rPr>
                <w:rStyle w:val="Hyperlink"/>
                <w:noProof/>
                <w:lang w:eastAsia="en-AU"/>
              </w:rPr>
              <w:t>1.</w:t>
            </w:r>
            <w:r>
              <w:rPr>
                <w:rFonts w:asciiTheme="minorHAnsi" w:eastAsiaTheme="minorEastAsia" w:hAnsiTheme="minorHAnsi" w:cstheme="minorBidi"/>
                <w:b w:val="0"/>
                <w:noProof/>
                <w:sz w:val="22"/>
                <w:lang w:eastAsia="en-AU"/>
              </w:rPr>
              <w:tab/>
            </w:r>
            <w:r w:rsidRPr="00BE0162">
              <w:rPr>
                <w:rStyle w:val="Hyperlink"/>
                <w:noProof/>
                <w:lang w:eastAsia="en-AU"/>
              </w:rPr>
              <w:t>Introduction</w:t>
            </w:r>
            <w:r>
              <w:rPr>
                <w:noProof/>
                <w:webHidden/>
              </w:rPr>
              <w:tab/>
            </w:r>
            <w:r>
              <w:rPr>
                <w:noProof/>
                <w:webHidden/>
              </w:rPr>
              <w:fldChar w:fldCharType="begin"/>
            </w:r>
            <w:r>
              <w:rPr>
                <w:noProof/>
                <w:webHidden/>
              </w:rPr>
              <w:instrText xml:space="preserve"> PAGEREF _Toc513556330 \h </w:instrText>
            </w:r>
            <w:r>
              <w:rPr>
                <w:noProof/>
                <w:webHidden/>
              </w:rPr>
            </w:r>
            <w:r>
              <w:rPr>
                <w:noProof/>
                <w:webHidden/>
              </w:rPr>
              <w:fldChar w:fldCharType="separate"/>
            </w:r>
            <w:r>
              <w:rPr>
                <w:noProof/>
                <w:webHidden/>
              </w:rPr>
              <w:t>9</w:t>
            </w:r>
            <w:r>
              <w:rPr>
                <w:noProof/>
                <w:webHidden/>
              </w:rPr>
              <w:fldChar w:fldCharType="end"/>
            </w:r>
          </w:hyperlink>
        </w:p>
        <w:p w14:paraId="00BD48D0"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31" w:history="1">
            <w:r w:rsidRPr="00BE0162">
              <w:rPr>
                <w:rStyle w:val="Hyperlink"/>
                <w:noProof/>
              </w:rPr>
              <w:t>1.1.</w:t>
            </w:r>
            <w:r>
              <w:rPr>
                <w:rFonts w:asciiTheme="minorHAnsi" w:eastAsiaTheme="minorEastAsia" w:hAnsiTheme="minorHAnsi" w:cstheme="minorBidi"/>
                <w:noProof/>
                <w:lang w:eastAsia="en-AU"/>
              </w:rPr>
              <w:tab/>
            </w:r>
            <w:r w:rsidRPr="00BE0162">
              <w:rPr>
                <w:rStyle w:val="Hyperlink"/>
                <w:noProof/>
              </w:rPr>
              <w:t>Drug class and therapeutic indication</w:t>
            </w:r>
            <w:r>
              <w:rPr>
                <w:noProof/>
                <w:webHidden/>
              </w:rPr>
              <w:tab/>
            </w:r>
            <w:r>
              <w:rPr>
                <w:noProof/>
                <w:webHidden/>
              </w:rPr>
              <w:fldChar w:fldCharType="begin"/>
            </w:r>
            <w:r>
              <w:rPr>
                <w:noProof/>
                <w:webHidden/>
              </w:rPr>
              <w:instrText xml:space="preserve"> PAGEREF _Toc513556331 \h </w:instrText>
            </w:r>
            <w:r>
              <w:rPr>
                <w:noProof/>
                <w:webHidden/>
              </w:rPr>
            </w:r>
            <w:r>
              <w:rPr>
                <w:noProof/>
                <w:webHidden/>
              </w:rPr>
              <w:fldChar w:fldCharType="separate"/>
            </w:r>
            <w:r>
              <w:rPr>
                <w:noProof/>
                <w:webHidden/>
              </w:rPr>
              <w:t>9</w:t>
            </w:r>
            <w:r>
              <w:rPr>
                <w:noProof/>
                <w:webHidden/>
              </w:rPr>
              <w:fldChar w:fldCharType="end"/>
            </w:r>
          </w:hyperlink>
        </w:p>
        <w:p w14:paraId="789EF893"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32" w:history="1">
            <w:r w:rsidRPr="00BE0162">
              <w:rPr>
                <w:rStyle w:val="Hyperlink"/>
                <w:noProof/>
              </w:rPr>
              <w:t>1.2.</w:t>
            </w:r>
            <w:r>
              <w:rPr>
                <w:rFonts w:asciiTheme="minorHAnsi" w:eastAsiaTheme="minorEastAsia" w:hAnsiTheme="minorHAnsi" w:cstheme="minorBidi"/>
                <w:noProof/>
                <w:lang w:eastAsia="en-AU"/>
              </w:rPr>
              <w:tab/>
            </w:r>
            <w:r w:rsidRPr="00BE0162">
              <w:rPr>
                <w:rStyle w:val="Hyperlink"/>
                <w:noProof/>
              </w:rPr>
              <w:t>Dosage forms and strengths</w:t>
            </w:r>
            <w:r>
              <w:rPr>
                <w:noProof/>
                <w:webHidden/>
              </w:rPr>
              <w:tab/>
            </w:r>
            <w:r>
              <w:rPr>
                <w:noProof/>
                <w:webHidden/>
              </w:rPr>
              <w:fldChar w:fldCharType="begin"/>
            </w:r>
            <w:r>
              <w:rPr>
                <w:noProof/>
                <w:webHidden/>
              </w:rPr>
              <w:instrText xml:space="preserve"> PAGEREF _Toc513556332 \h </w:instrText>
            </w:r>
            <w:r>
              <w:rPr>
                <w:noProof/>
                <w:webHidden/>
              </w:rPr>
            </w:r>
            <w:r>
              <w:rPr>
                <w:noProof/>
                <w:webHidden/>
              </w:rPr>
              <w:fldChar w:fldCharType="separate"/>
            </w:r>
            <w:r>
              <w:rPr>
                <w:noProof/>
                <w:webHidden/>
              </w:rPr>
              <w:t>9</w:t>
            </w:r>
            <w:r>
              <w:rPr>
                <w:noProof/>
                <w:webHidden/>
              </w:rPr>
              <w:fldChar w:fldCharType="end"/>
            </w:r>
          </w:hyperlink>
        </w:p>
        <w:p w14:paraId="05B31545"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33" w:history="1">
            <w:r w:rsidRPr="00BE0162">
              <w:rPr>
                <w:rStyle w:val="Hyperlink"/>
                <w:noProof/>
              </w:rPr>
              <w:t>1.3.</w:t>
            </w:r>
            <w:r>
              <w:rPr>
                <w:rFonts w:asciiTheme="minorHAnsi" w:eastAsiaTheme="minorEastAsia" w:hAnsiTheme="minorHAnsi" w:cstheme="minorBidi"/>
                <w:noProof/>
                <w:lang w:eastAsia="en-AU"/>
              </w:rPr>
              <w:tab/>
            </w:r>
            <w:r w:rsidRPr="00BE0162">
              <w:rPr>
                <w:rStyle w:val="Hyperlink"/>
                <w:noProof/>
              </w:rPr>
              <w:t>Dosage and administration</w:t>
            </w:r>
            <w:r>
              <w:rPr>
                <w:noProof/>
                <w:webHidden/>
              </w:rPr>
              <w:tab/>
            </w:r>
            <w:r>
              <w:rPr>
                <w:noProof/>
                <w:webHidden/>
              </w:rPr>
              <w:fldChar w:fldCharType="begin"/>
            </w:r>
            <w:r>
              <w:rPr>
                <w:noProof/>
                <w:webHidden/>
              </w:rPr>
              <w:instrText xml:space="preserve"> PAGEREF _Toc513556333 \h </w:instrText>
            </w:r>
            <w:r>
              <w:rPr>
                <w:noProof/>
                <w:webHidden/>
              </w:rPr>
            </w:r>
            <w:r>
              <w:rPr>
                <w:noProof/>
                <w:webHidden/>
              </w:rPr>
              <w:fldChar w:fldCharType="separate"/>
            </w:r>
            <w:r>
              <w:rPr>
                <w:noProof/>
                <w:webHidden/>
              </w:rPr>
              <w:t>9</w:t>
            </w:r>
            <w:r>
              <w:rPr>
                <w:noProof/>
                <w:webHidden/>
              </w:rPr>
              <w:fldChar w:fldCharType="end"/>
            </w:r>
          </w:hyperlink>
        </w:p>
        <w:p w14:paraId="4243AC4B"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34" w:history="1">
            <w:r w:rsidRPr="00BE0162">
              <w:rPr>
                <w:rStyle w:val="Hyperlink"/>
                <w:noProof/>
              </w:rPr>
              <w:t>2.</w:t>
            </w:r>
            <w:r>
              <w:rPr>
                <w:rFonts w:asciiTheme="minorHAnsi" w:eastAsiaTheme="minorEastAsia" w:hAnsiTheme="minorHAnsi" w:cstheme="minorBidi"/>
                <w:b w:val="0"/>
                <w:noProof/>
                <w:sz w:val="22"/>
                <w:lang w:eastAsia="en-AU"/>
              </w:rPr>
              <w:tab/>
            </w:r>
            <w:r w:rsidRPr="00BE0162">
              <w:rPr>
                <w:rStyle w:val="Hyperlink"/>
                <w:noProof/>
              </w:rPr>
              <w:t>Clinical rationale</w:t>
            </w:r>
            <w:r>
              <w:rPr>
                <w:noProof/>
                <w:webHidden/>
              </w:rPr>
              <w:tab/>
            </w:r>
            <w:r>
              <w:rPr>
                <w:noProof/>
                <w:webHidden/>
              </w:rPr>
              <w:fldChar w:fldCharType="begin"/>
            </w:r>
            <w:r>
              <w:rPr>
                <w:noProof/>
                <w:webHidden/>
              </w:rPr>
              <w:instrText xml:space="preserve"> PAGEREF _Toc513556334 \h </w:instrText>
            </w:r>
            <w:r>
              <w:rPr>
                <w:noProof/>
                <w:webHidden/>
              </w:rPr>
            </w:r>
            <w:r>
              <w:rPr>
                <w:noProof/>
                <w:webHidden/>
              </w:rPr>
              <w:fldChar w:fldCharType="separate"/>
            </w:r>
            <w:r>
              <w:rPr>
                <w:noProof/>
                <w:webHidden/>
              </w:rPr>
              <w:t>9</w:t>
            </w:r>
            <w:r>
              <w:rPr>
                <w:noProof/>
                <w:webHidden/>
              </w:rPr>
              <w:fldChar w:fldCharType="end"/>
            </w:r>
          </w:hyperlink>
        </w:p>
        <w:p w14:paraId="393583E0"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35" w:history="1">
            <w:r w:rsidRPr="00BE0162">
              <w:rPr>
                <w:rStyle w:val="Hyperlink"/>
                <w:noProof/>
              </w:rPr>
              <w:t>2.1.</w:t>
            </w:r>
            <w:r>
              <w:rPr>
                <w:rFonts w:asciiTheme="minorHAnsi" w:eastAsiaTheme="minorEastAsia" w:hAnsiTheme="minorHAnsi" w:cstheme="minorBidi"/>
                <w:noProof/>
                <w:lang w:eastAsia="en-AU"/>
              </w:rPr>
              <w:tab/>
            </w:r>
            <w:r w:rsidRPr="00BE0162">
              <w:rPr>
                <w:rStyle w:val="Hyperlink"/>
                <w:noProof/>
              </w:rPr>
              <w:t>Background</w:t>
            </w:r>
            <w:r>
              <w:rPr>
                <w:noProof/>
                <w:webHidden/>
              </w:rPr>
              <w:tab/>
            </w:r>
            <w:r>
              <w:rPr>
                <w:noProof/>
                <w:webHidden/>
              </w:rPr>
              <w:fldChar w:fldCharType="begin"/>
            </w:r>
            <w:r>
              <w:rPr>
                <w:noProof/>
                <w:webHidden/>
              </w:rPr>
              <w:instrText xml:space="preserve"> PAGEREF _Toc513556335 \h </w:instrText>
            </w:r>
            <w:r>
              <w:rPr>
                <w:noProof/>
                <w:webHidden/>
              </w:rPr>
            </w:r>
            <w:r>
              <w:rPr>
                <w:noProof/>
                <w:webHidden/>
              </w:rPr>
              <w:fldChar w:fldCharType="separate"/>
            </w:r>
            <w:r>
              <w:rPr>
                <w:noProof/>
                <w:webHidden/>
              </w:rPr>
              <w:t>9</w:t>
            </w:r>
            <w:r>
              <w:rPr>
                <w:noProof/>
                <w:webHidden/>
              </w:rPr>
              <w:fldChar w:fldCharType="end"/>
            </w:r>
          </w:hyperlink>
        </w:p>
        <w:p w14:paraId="5510FEEB"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36" w:history="1">
            <w:r w:rsidRPr="00BE0162">
              <w:rPr>
                <w:rStyle w:val="Hyperlink"/>
                <w:noProof/>
              </w:rPr>
              <w:t>2.2.</w:t>
            </w:r>
            <w:r>
              <w:rPr>
                <w:rFonts w:asciiTheme="minorHAnsi" w:eastAsiaTheme="minorEastAsia" w:hAnsiTheme="minorHAnsi" w:cstheme="minorBidi"/>
                <w:noProof/>
                <w:lang w:eastAsia="en-AU"/>
              </w:rPr>
              <w:tab/>
            </w:r>
            <w:r w:rsidRPr="00BE0162">
              <w:rPr>
                <w:rStyle w:val="Hyperlink"/>
                <w:noProof/>
              </w:rPr>
              <w:t>Guidance</w:t>
            </w:r>
            <w:r>
              <w:rPr>
                <w:noProof/>
                <w:webHidden/>
              </w:rPr>
              <w:tab/>
            </w:r>
            <w:r>
              <w:rPr>
                <w:noProof/>
                <w:webHidden/>
              </w:rPr>
              <w:fldChar w:fldCharType="begin"/>
            </w:r>
            <w:r>
              <w:rPr>
                <w:noProof/>
                <w:webHidden/>
              </w:rPr>
              <w:instrText xml:space="preserve"> PAGEREF _Toc513556336 \h </w:instrText>
            </w:r>
            <w:r>
              <w:rPr>
                <w:noProof/>
                <w:webHidden/>
              </w:rPr>
            </w:r>
            <w:r>
              <w:rPr>
                <w:noProof/>
                <w:webHidden/>
              </w:rPr>
              <w:fldChar w:fldCharType="separate"/>
            </w:r>
            <w:r>
              <w:rPr>
                <w:noProof/>
                <w:webHidden/>
              </w:rPr>
              <w:t>13</w:t>
            </w:r>
            <w:r>
              <w:rPr>
                <w:noProof/>
                <w:webHidden/>
              </w:rPr>
              <w:fldChar w:fldCharType="end"/>
            </w:r>
          </w:hyperlink>
        </w:p>
        <w:p w14:paraId="08104F59"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37" w:history="1">
            <w:r w:rsidRPr="00BE0162">
              <w:rPr>
                <w:rStyle w:val="Hyperlink"/>
                <w:noProof/>
                <w:lang w:eastAsia="en-AU"/>
              </w:rPr>
              <w:t>3.</w:t>
            </w:r>
            <w:r>
              <w:rPr>
                <w:rFonts w:asciiTheme="minorHAnsi" w:eastAsiaTheme="minorEastAsia" w:hAnsiTheme="minorHAnsi" w:cstheme="minorBidi"/>
                <w:b w:val="0"/>
                <w:noProof/>
                <w:sz w:val="22"/>
                <w:lang w:eastAsia="en-AU"/>
              </w:rPr>
              <w:tab/>
            </w:r>
            <w:r w:rsidRPr="00BE0162">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_Toc513556337 \h </w:instrText>
            </w:r>
            <w:r>
              <w:rPr>
                <w:noProof/>
                <w:webHidden/>
              </w:rPr>
            </w:r>
            <w:r>
              <w:rPr>
                <w:noProof/>
                <w:webHidden/>
              </w:rPr>
              <w:fldChar w:fldCharType="separate"/>
            </w:r>
            <w:r>
              <w:rPr>
                <w:noProof/>
                <w:webHidden/>
              </w:rPr>
              <w:t>14</w:t>
            </w:r>
            <w:r>
              <w:rPr>
                <w:noProof/>
                <w:webHidden/>
              </w:rPr>
              <w:fldChar w:fldCharType="end"/>
            </w:r>
          </w:hyperlink>
        </w:p>
        <w:p w14:paraId="74C0B1DE"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38" w:history="1">
            <w:r w:rsidRPr="00BE0162">
              <w:rPr>
                <w:rStyle w:val="Hyperlink"/>
                <w:noProof/>
              </w:rPr>
              <w:t>3.1.</w:t>
            </w:r>
            <w:r>
              <w:rPr>
                <w:rFonts w:asciiTheme="minorHAnsi" w:eastAsiaTheme="minorEastAsia" w:hAnsiTheme="minorHAnsi" w:cstheme="minorBidi"/>
                <w:noProof/>
                <w:lang w:eastAsia="en-AU"/>
              </w:rPr>
              <w:tab/>
            </w:r>
            <w:r w:rsidRPr="00BE0162">
              <w:rPr>
                <w:rStyle w:val="Hyperlink"/>
                <w:noProof/>
              </w:rPr>
              <w:t>Scope of the clinical dossier</w:t>
            </w:r>
            <w:r>
              <w:rPr>
                <w:noProof/>
                <w:webHidden/>
              </w:rPr>
              <w:tab/>
            </w:r>
            <w:r>
              <w:rPr>
                <w:noProof/>
                <w:webHidden/>
              </w:rPr>
              <w:fldChar w:fldCharType="begin"/>
            </w:r>
            <w:r>
              <w:rPr>
                <w:noProof/>
                <w:webHidden/>
              </w:rPr>
              <w:instrText xml:space="preserve"> PAGEREF _Toc513556338 \h </w:instrText>
            </w:r>
            <w:r>
              <w:rPr>
                <w:noProof/>
                <w:webHidden/>
              </w:rPr>
            </w:r>
            <w:r>
              <w:rPr>
                <w:noProof/>
                <w:webHidden/>
              </w:rPr>
              <w:fldChar w:fldCharType="separate"/>
            </w:r>
            <w:r>
              <w:rPr>
                <w:noProof/>
                <w:webHidden/>
              </w:rPr>
              <w:t>14</w:t>
            </w:r>
            <w:r>
              <w:rPr>
                <w:noProof/>
                <w:webHidden/>
              </w:rPr>
              <w:fldChar w:fldCharType="end"/>
            </w:r>
          </w:hyperlink>
        </w:p>
        <w:p w14:paraId="1F7475C1"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39" w:history="1">
            <w:r w:rsidRPr="00BE0162">
              <w:rPr>
                <w:rStyle w:val="Hyperlink"/>
                <w:noProof/>
              </w:rPr>
              <w:t>3.3.</w:t>
            </w:r>
            <w:r>
              <w:rPr>
                <w:rFonts w:asciiTheme="minorHAnsi" w:eastAsiaTheme="minorEastAsia" w:hAnsiTheme="minorHAnsi" w:cstheme="minorBidi"/>
                <w:noProof/>
                <w:lang w:eastAsia="en-AU"/>
              </w:rPr>
              <w:tab/>
            </w:r>
            <w:r w:rsidRPr="00BE0162">
              <w:rPr>
                <w:rStyle w:val="Hyperlink"/>
                <w:noProof/>
              </w:rPr>
              <w:t>Paediatric data</w:t>
            </w:r>
            <w:r>
              <w:rPr>
                <w:noProof/>
                <w:webHidden/>
              </w:rPr>
              <w:tab/>
            </w:r>
            <w:r>
              <w:rPr>
                <w:noProof/>
                <w:webHidden/>
              </w:rPr>
              <w:fldChar w:fldCharType="begin"/>
            </w:r>
            <w:r>
              <w:rPr>
                <w:noProof/>
                <w:webHidden/>
              </w:rPr>
              <w:instrText xml:space="preserve"> PAGEREF _Toc513556339 \h </w:instrText>
            </w:r>
            <w:r>
              <w:rPr>
                <w:noProof/>
                <w:webHidden/>
              </w:rPr>
            </w:r>
            <w:r>
              <w:rPr>
                <w:noProof/>
                <w:webHidden/>
              </w:rPr>
              <w:fldChar w:fldCharType="separate"/>
            </w:r>
            <w:r>
              <w:rPr>
                <w:noProof/>
                <w:webHidden/>
              </w:rPr>
              <w:t>14</w:t>
            </w:r>
            <w:r>
              <w:rPr>
                <w:noProof/>
                <w:webHidden/>
              </w:rPr>
              <w:fldChar w:fldCharType="end"/>
            </w:r>
          </w:hyperlink>
        </w:p>
        <w:p w14:paraId="51D63A5D"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40" w:history="1">
            <w:r w:rsidRPr="00BE0162">
              <w:rPr>
                <w:rStyle w:val="Hyperlink"/>
                <w:noProof/>
              </w:rPr>
              <w:t>3.4.</w:t>
            </w:r>
            <w:r>
              <w:rPr>
                <w:rFonts w:asciiTheme="minorHAnsi" w:eastAsiaTheme="minorEastAsia" w:hAnsiTheme="minorHAnsi" w:cstheme="minorBidi"/>
                <w:noProof/>
                <w:lang w:eastAsia="en-AU"/>
              </w:rPr>
              <w:tab/>
            </w:r>
            <w:r w:rsidRPr="00BE0162">
              <w:rPr>
                <w:rStyle w:val="Hyperlink"/>
                <w:noProof/>
              </w:rPr>
              <w:t>Good clinical practice</w:t>
            </w:r>
            <w:r>
              <w:rPr>
                <w:noProof/>
                <w:webHidden/>
              </w:rPr>
              <w:tab/>
            </w:r>
            <w:r>
              <w:rPr>
                <w:noProof/>
                <w:webHidden/>
              </w:rPr>
              <w:fldChar w:fldCharType="begin"/>
            </w:r>
            <w:r>
              <w:rPr>
                <w:noProof/>
                <w:webHidden/>
              </w:rPr>
              <w:instrText xml:space="preserve"> PAGEREF _Toc513556340 \h </w:instrText>
            </w:r>
            <w:r>
              <w:rPr>
                <w:noProof/>
                <w:webHidden/>
              </w:rPr>
            </w:r>
            <w:r>
              <w:rPr>
                <w:noProof/>
                <w:webHidden/>
              </w:rPr>
              <w:fldChar w:fldCharType="separate"/>
            </w:r>
            <w:r>
              <w:rPr>
                <w:noProof/>
                <w:webHidden/>
              </w:rPr>
              <w:t>14</w:t>
            </w:r>
            <w:r>
              <w:rPr>
                <w:noProof/>
                <w:webHidden/>
              </w:rPr>
              <w:fldChar w:fldCharType="end"/>
            </w:r>
          </w:hyperlink>
        </w:p>
        <w:p w14:paraId="2289E60B"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41" w:history="1">
            <w:r w:rsidRPr="00BE0162">
              <w:rPr>
                <w:rStyle w:val="Hyperlink"/>
                <w:noProof/>
              </w:rPr>
              <w:t>3.5.</w:t>
            </w:r>
            <w:r>
              <w:rPr>
                <w:rFonts w:asciiTheme="minorHAnsi" w:eastAsiaTheme="minorEastAsia" w:hAnsiTheme="minorHAnsi" w:cstheme="minorBidi"/>
                <w:noProof/>
                <w:lang w:eastAsia="en-AU"/>
              </w:rPr>
              <w:tab/>
            </w:r>
            <w:r w:rsidRPr="00BE0162">
              <w:rPr>
                <w:rStyle w:val="Hyperlink"/>
                <w:noProof/>
              </w:rPr>
              <w:t>Evaluator’s commentary on the clinical dossier</w:t>
            </w:r>
            <w:r>
              <w:rPr>
                <w:noProof/>
                <w:webHidden/>
              </w:rPr>
              <w:tab/>
            </w:r>
            <w:r>
              <w:rPr>
                <w:noProof/>
                <w:webHidden/>
              </w:rPr>
              <w:fldChar w:fldCharType="begin"/>
            </w:r>
            <w:r>
              <w:rPr>
                <w:noProof/>
                <w:webHidden/>
              </w:rPr>
              <w:instrText xml:space="preserve"> PAGEREF _Toc513556341 \h </w:instrText>
            </w:r>
            <w:r>
              <w:rPr>
                <w:noProof/>
                <w:webHidden/>
              </w:rPr>
            </w:r>
            <w:r>
              <w:rPr>
                <w:noProof/>
                <w:webHidden/>
              </w:rPr>
              <w:fldChar w:fldCharType="separate"/>
            </w:r>
            <w:r>
              <w:rPr>
                <w:noProof/>
                <w:webHidden/>
              </w:rPr>
              <w:t>15</w:t>
            </w:r>
            <w:r>
              <w:rPr>
                <w:noProof/>
                <w:webHidden/>
              </w:rPr>
              <w:fldChar w:fldCharType="end"/>
            </w:r>
          </w:hyperlink>
        </w:p>
        <w:p w14:paraId="1F4AE8D3"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42" w:history="1">
            <w:r w:rsidRPr="00BE0162">
              <w:rPr>
                <w:rStyle w:val="Hyperlink"/>
                <w:noProof/>
              </w:rPr>
              <w:t>4.</w:t>
            </w:r>
            <w:r>
              <w:rPr>
                <w:rFonts w:asciiTheme="minorHAnsi" w:eastAsiaTheme="minorEastAsia" w:hAnsiTheme="minorHAnsi" w:cstheme="minorBidi"/>
                <w:b w:val="0"/>
                <w:noProof/>
                <w:sz w:val="22"/>
                <w:lang w:eastAsia="en-AU"/>
              </w:rPr>
              <w:tab/>
            </w:r>
            <w:r w:rsidRPr="00BE0162">
              <w:rPr>
                <w:rStyle w:val="Hyperlink"/>
                <w:noProof/>
              </w:rPr>
              <w:t>Pharmacokinetics</w:t>
            </w:r>
            <w:r>
              <w:rPr>
                <w:noProof/>
                <w:webHidden/>
              </w:rPr>
              <w:tab/>
            </w:r>
            <w:r>
              <w:rPr>
                <w:noProof/>
                <w:webHidden/>
              </w:rPr>
              <w:fldChar w:fldCharType="begin"/>
            </w:r>
            <w:r>
              <w:rPr>
                <w:noProof/>
                <w:webHidden/>
              </w:rPr>
              <w:instrText xml:space="preserve"> PAGEREF _Toc513556342 \h </w:instrText>
            </w:r>
            <w:r>
              <w:rPr>
                <w:noProof/>
                <w:webHidden/>
              </w:rPr>
            </w:r>
            <w:r>
              <w:rPr>
                <w:noProof/>
                <w:webHidden/>
              </w:rPr>
              <w:fldChar w:fldCharType="separate"/>
            </w:r>
            <w:r>
              <w:rPr>
                <w:noProof/>
                <w:webHidden/>
              </w:rPr>
              <w:t>15</w:t>
            </w:r>
            <w:r>
              <w:rPr>
                <w:noProof/>
                <w:webHidden/>
              </w:rPr>
              <w:fldChar w:fldCharType="end"/>
            </w:r>
          </w:hyperlink>
        </w:p>
        <w:p w14:paraId="17D29C4E"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43" w:history="1">
            <w:r w:rsidRPr="00BE0162">
              <w:rPr>
                <w:rStyle w:val="Hyperlink"/>
                <w:noProof/>
              </w:rPr>
              <w:t>4.1.</w:t>
            </w:r>
            <w:r>
              <w:rPr>
                <w:rFonts w:asciiTheme="minorHAnsi" w:eastAsiaTheme="minorEastAsia" w:hAnsiTheme="minorHAnsi" w:cstheme="minorBidi"/>
                <w:noProof/>
                <w:lang w:eastAsia="en-AU"/>
              </w:rPr>
              <w:tab/>
            </w:r>
            <w:r w:rsidRPr="00BE0162">
              <w:rPr>
                <w:rStyle w:val="Hyperlink"/>
                <w:noProof/>
              </w:rPr>
              <w:t>Studies providing pharmacokinetic information</w:t>
            </w:r>
            <w:r>
              <w:rPr>
                <w:noProof/>
                <w:webHidden/>
              </w:rPr>
              <w:tab/>
            </w:r>
            <w:r>
              <w:rPr>
                <w:noProof/>
                <w:webHidden/>
              </w:rPr>
              <w:fldChar w:fldCharType="begin"/>
            </w:r>
            <w:r>
              <w:rPr>
                <w:noProof/>
                <w:webHidden/>
              </w:rPr>
              <w:instrText xml:space="preserve"> PAGEREF _Toc513556343 \h </w:instrText>
            </w:r>
            <w:r>
              <w:rPr>
                <w:noProof/>
                <w:webHidden/>
              </w:rPr>
            </w:r>
            <w:r>
              <w:rPr>
                <w:noProof/>
                <w:webHidden/>
              </w:rPr>
              <w:fldChar w:fldCharType="separate"/>
            </w:r>
            <w:r>
              <w:rPr>
                <w:noProof/>
                <w:webHidden/>
              </w:rPr>
              <w:t>15</w:t>
            </w:r>
            <w:r>
              <w:rPr>
                <w:noProof/>
                <w:webHidden/>
              </w:rPr>
              <w:fldChar w:fldCharType="end"/>
            </w:r>
          </w:hyperlink>
        </w:p>
        <w:p w14:paraId="05C311EA"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44" w:history="1">
            <w:r w:rsidRPr="00BE0162">
              <w:rPr>
                <w:rStyle w:val="Hyperlink"/>
                <w:noProof/>
              </w:rPr>
              <w:t>4.3.</w:t>
            </w:r>
            <w:r>
              <w:rPr>
                <w:rFonts w:asciiTheme="minorHAnsi" w:eastAsiaTheme="minorEastAsia" w:hAnsiTheme="minorHAnsi" w:cstheme="minorBidi"/>
                <w:noProof/>
                <w:lang w:eastAsia="en-AU"/>
              </w:rPr>
              <w:tab/>
            </w:r>
            <w:r w:rsidRPr="00BE0162">
              <w:rPr>
                <w:rStyle w:val="Hyperlink"/>
                <w:noProof/>
              </w:rPr>
              <w:t>Evaluator’s overall conclusions on pharmacokinetics</w:t>
            </w:r>
            <w:r>
              <w:rPr>
                <w:noProof/>
                <w:webHidden/>
              </w:rPr>
              <w:tab/>
            </w:r>
            <w:r>
              <w:rPr>
                <w:noProof/>
                <w:webHidden/>
              </w:rPr>
              <w:fldChar w:fldCharType="begin"/>
            </w:r>
            <w:r>
              <w:rPr>
                <w:noProof/>
                <w:webHidden/>
              </w:rPr>
              <w:instrText xml:space="preserve"> PAGEREF _Toc513556344 \h </w:instrText>
            </w:r>
            <w:r>
              <w:rPr>
                <w:noProof/>
                <w:webHidden/>
              </w:rPr>
            </w:r>
            <w:r>
              <w:rPr>
                <w:noProof/>
                <w:webHidden/>
              </w:rPr>
              <w:fldChar w:fldCharType="separate"/>
            </w:r>
            <w:r>
              <w:rPr>
                <w:noProof/>
                <w:webHidden/>
              </w:rPr>
              <w:t>17</w:t>
            </w:r>
            <w:r>
              <w:rPr>
                <w:noProof/>
                <w:webHidden/>
              </w:rPr>
              <w:fldChar w:fldCharType="end"/>
            </w:r>
          </w:hyperlink>
        </w:p>
        <w:p w14:paraId="2792EC9D"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45" w:history="1">
            <w:r w:rsidRPr="00BE0162">
              <w:rPr>
                <w:rStyle w:val="Hyperlink"/>
                <w:noProof/>
              </w:rPr>
              <w:t>5.</w:t>
            </w:r>
            <w:r>
              <w:rPr>
                <w:rFonts w:asciiTheme="minorHAnsi" w:eastAsiaTheme="minorEastAsia" w:hAnsiTheme="minorHAnsi" w:cstheme="minorBidi"/>
                <w:b w:val="0"/>
                <w:noProof/>
                <w:sz w:val="22"/>
                <w:lang w:eastAsia="en-AU"/>
              </w:rPr>
              <w:tab/>
            </w:r>
            <w:r w:rsidRPr="00BE0162">
              <w:rPr>
                <w:rStyle w:val="Hyperlink"/>
                <w:noProof/>
              </w:rPr>
              <w:t>Pharmacodynamics</w:t>
            </w:r>
            <w:r>
              <w:rPr>
                <w:noProof/>
                <w:webHidden/>
              </w:rPr>
              <w:tab/>
            </w:r>
            <w:r>
              <w:rPr>
                <w:noProof/>
                <w:webHidden/>
              </w:rPr>
              <w:fldChar w:fldCharType="begin"/>
            </w:r>
            <w:r>
              <w:rPr>
                <w:noProof/>
                <w:webHidden/>
              </w:rPr>
              <w:instrText xml:space="preserve"> PAGEREF _Toc513556345 \h </w:instrText>
            </w:r>
            <w:r>
              <w:rPr>
                <w:noProof/>
                <w:webHidden/>
              </w:rPr>
            </w:r>
            <w:r>
              <w:rPr>
                <w:noProof/>
                <w:webHidden/>
              </w:rPr>
              <w:fldChar w:fldCharType="separate"/>
            </w:r>
            <w:r>
              <w:rPr>
                <w:noProof/>
                <w:webHidden/>
              </w:rPr>
              <w:t>17</w:t>
            </w:r>
            <w:r>
              <w:rPr>
                <w:noProof/>
                <w:webHidden/>
              </w:rPr>
              <w:fldChar w:fldCharType="end"/>
            </w:r>
          </w:hyperlink>
        </w:p>
        <w:p w14:paraId="4A8C1C20"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46" w:history="1">
            <w:r w:rsidRPr="00BE0162">
              <w:rPr>
                <w:rStyle w:val="Hyperlink"/>
                <w:noProof/>
              </w:rPr>
              <w:t>5.1.</w:t>
            </w:r>
            <w:r>
              <w:rPr>
                <w:rFonts w:asciiTheme="minorHAnsi" w:eastAsiaTheme="minorEastAsia" w:hAnsiTheme="minorHAnsi" w:cstheme="minorBidi"/>
                <w:noProof/>
                <w:lang w:eastAsia="en-AU"/>
              </w:rPr>
              <w:tab/>
            </w:r>
            <w:r w:rsidRPr="00BE0162">
              <w:rPr>
                <w:rStyle w:val="Hyperlink"/>
                <w:noProof/>
              </w:rPr>
              <w:t>Study BO21223: B cell depletion and B cell recovery</w:t>
            </w:r>
            <w:r>
              <w:rPr>
                <w:noProof/>
                <w:webHidden/>
              </w:rPr>
              <w:tab/>
            </w:r>
            <w:r>
              <w:rPr>
                <w:noProof/>
                <w:webHidden/>
              </w:rPr>
              <w:fldChar w:fldCharType="begin"/>
            </w:r>
            <w:r>
              <w:rPr>
                <w:noProof/>
                <w:webHidden/>
              </w:rPr>
              <w:instrText xml:space="preserve"> PAGEREF _Toc513556346 \h </w:instrText>
            </w:r>
            <w:r>
              <w:rPr>
                <w:noProof/>
                <w:webHidden/>
              </w:rPr>
            </w:r>
            <w:r>
              <w:rPr>
                <w:noProof/>
                <w:webHidden/>
              </w:rPr>
              <w:fldChar w:fldCharType="separate"/>
            </w:r>
            <w:r>
              <w:rPr>
                <w:noProof/>
                <w:webHidden/>
              </w:rPr>
              <w:t>17</w:t>
            </w:r>
            <w:r>
              <w:rPr>
                <w:noProof/>
                <w:webHidden/>
              </w:rPr>
              <w:fldChar w:fldCharType="end"/>
            </w:r>
          </w:hyperlink>
        </w:p>
        <w:p w14:paraId="7C1FD056"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47" w:history="1">
            <w:r w:rsidRPr="00BE0162">
              <w:rPr>
                <w:rStyle w:val="Hyperlink"/>
                <w:noProof/>
              </w:rPr>
              <w:t>6.</w:t>
            </w:r>
            <w:r>
              <w:rPr>
                <w:rFonts w:asciiTheme="minorHAnsi" w:eastAsiaTheme="minorEastAsia" w:hAnsiTheme="minorHAnsi" w:cstheme="minorBidi"/>
                <w:b w:val="0"/>
                <w:noProof/>
                <w:sz w:val="22"/>
                <w:lang w:eastAsia="en-AU"/>
              </w:rPr>
              <w:tab/>
            </w:r>
            <w:r w:rsidRPr="00BE0162">
              <w:rPr>
                <w:rStyle w:val="Hyperlink"/>
                <w:noProof/>
              </w:rPr>
              <w:t>Dosage selection for the pivotal studies</w:t>
            </w:r>
            <w:r>
              <w:rPr>
                <w:noProof/>
                <w:webHidden/>
              </w:rPr>
              <w:tab/>
            </w:r>
            <w:r>
              <w:rPr>
                <w:noProof/>
                <w:webHidden/>
              </w:rPr>
              <w:fldChar w:fldCharType="begin"/>
            </w:r>
            <w:r>
              <w:rPr>
                <w:noProof/>
                <w:webHidden/>
              </w:rPr>
              <w:instrText xml:space="preserve"> PAGEREF _Toc513556347 \h </w:instrText>
            </w:r>
            <w:r>
              <w:rPr>
                <w:noProof/>
                <w:webHidden/>
              </w:rPr>
            </w:r>
            <w:r>
              <w:rPr>
                <w:noProof/>
                <w:webHidden/>
              </w:rPr>
              <w:fldChar w:fldCharType="separate"/>
            </w:r>
            <w:r>
              <w:rPr>
                <w:noProof/>
                <w:webHidden/>
              </w:rPr>
              <w:t>18</w:t>
            </w:r>
            <w:r>
              <w:rPr>
                <w:noProof/>
                <w:webHidden/>
              </w:rPr>
              <w:fldChar w:fldCharType="end"/>
            </w:r>
          </w:hyperlink>
        </w:p>
        <w:p w14:paraId="6B8875D7"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48" w:history="1">
            <w:r w:rsidRPr="00BE0162">
              <w:rPr>
                <w:rStyle w:val="Hyperlink"/>
                <w:noProof/>
              </w:rPr>
              <w:t>7.</w:t>
            </w:r>
            <w:r>
              <w:rPr>
                <w:rFonts w:asciiTheme="minorHAnsi" w:eastAsiaTheme="minorEastAsia" w:hAnsiTheme="minorHAnsi" w:cstheme="minorBidi"/>
                <w:b w:val="0"/>
                <w:noProof/>
                <w:sz w:val="22"/>
                <w:lang w:eastAsia="en-AU"/>
              </w:rPr>
              <w:tab/>
            </w:r>
            <w:r w:rsidRPr="00BE0162">
              <w:rPr>
                <w:rStyle w:val="Hyperlink"/>
                <w:noProof/>
              </w:rPr>
              <w:t>Clinical efficacy</w:t>
            </w:r>
            <w:r>
              <w:rPr>
                <w:noProof/>
                <w:webHidden/>
              </w:rPr>
              <w:tab/>
            </w:r>
            <w:r>
              <w:rPr>
                <w:noProof/>
                <w:webHidden/>
              </w:rPr>
              <w:fldChar w:fldCharType="begin"/>
            </w:r>
            <w:r>
              <w:rPr>
                <w:noProof/>
                <w:webHidden/>
              </w:rPr>
              <w:instrText xml:space="preserve"> PAGEREF _Toc513556348 \h </w:instrText>
            </w:r>
            <w:r>
              <w:rPr>
                <w:noProof/>
                <w:webHidden/>
              </w:rPr>
            </w:r>
            <w:r>
              <w:rPr>
                <w:noProof/>
                <w:webHidden/>
              </w:rPr>
              <w:fldChar w:fldCharType="separate"/>
            </w:r>
            <w:r>
              <w:rPr>
                <w:noProof/>
                <w:webHidden/>
              </w:rPr>
              <w:t>18</w:t>
            </w:r>
            <w:r>
              <w:rPr>
                <w:noProof/>
                <w:webHidden/>
              </w:rPr>
              <w:fldChar w:fldCharType="end"/>
            </w:r>
          </w:hyperlink>
        </w:p>
        <w:p w14:paraId="6D1DAA05"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49" w:history="1">
            <w:r w:rsidRPr="00BE0162">
              <w:rPr>
                <w:rStyle w:val="Hyperlink"/>
                <w:noProof/>
              </w:rPr>
              <w:t>7.1.</w:t>
            </w:r>
            <w:r>
              <w:rPr>
                <w:rFonts w:asciiTheme="minorHAnsi" w:eastAsiaTheme="minorEastAsia" w:hAnsiTheme="minorHAnsi" w:cstheme="minorBidi"/>
                <w:noProof/>
                <w:lang w:eastAsia="en-AU"/>
              </w:rPr>
              <w:tab/>
            </w:r>
            <w:r w:rsidRPr="00BE0162">
              <w:rPr>
                <w:rStyle w:val="Hyperlink"/>
                <w:noProof/>
              </w:rPr>
              <w:t>Studies providing evaluable efficacy data</w:t>
            </w:r>
            <w:r>
              <w:rPr>
                <w:noProof/>
                <w:webHidden/>
              </w:rPr>
              <w:tab/>
            </w:r>
            <w:r>
              <w:rPr>
                <w:noProof/>
                <w:webHidden/>
              </w:rPr>
              <w:fldChar w:fldCharType="begin"/>
            </w:r>
            <w:r>
              <w:rPr>
                <w:noProof/>
                <w:webHidden/>
              </w:rPr>
              <w:instrText xml:space="preserve"> PAGEREF _Toc513556349 \h </w:instrText>
            </w:r>
            <w:r>
              <w:rPr>
                <w:noProof/>
                <w:webHidden/>
              </w:rPr>
            </w:r>
            <w:r>
              <w:rPr>
                <w:noProof/>
                <w:webHidden/>
              </w:rPr>
              <w:fldChar w:fldCharType="separate"/>
            </w:r>
            <w:r>
              <w:rPr>
                <w:noProof/>
                <w:webHidden/>
              </w:rPr>
              <w:t>18</w:t>
            </w:r>
            <w:r>
              <w:rPr>
                <w:noProof/>
                <w:webHidden/>
              </w:rPr>
              <w:fldChar w:fldCharType="end"/>
            </w:r>
          </w:hyperlink>
        </w:p>
        <w:p w14:paraId="261077D5"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50" w:history="1">
            <w:r w:rsidRPr="00BE0162">
              <w:rPr>
                <w:rStyle w:val="Hyperlink"/>
                <w:noProof/>
              </w:rPr>
              <w:t>7.2.</w:t>
            </w:r>
            <w:r>
              <w:rPr>
                <w:rFonts w:asciiTheme="minorHAnsi" w:eastAsiaTheme="minorEastAsia" w:hAnsiTheme="minorHAnsi" w:cstheme="minorBidi"/>
                <w:noProof/>
                <w:lang w:eastAsia="en-AU"/>
              </w:rPr>
              <w:tab/>
            </w:r>
            <w:r w:rsidRPr="00BE0162">
              <w:rPr>
                <w:rStyle w:val="Hyperlink"/>
                <w:noProof/>
              </w:rPr>
              <w:t>Pivotal or main efficacy studies</w:t>
            </w:r>
            <w:r>
              <w:rPr>
                <w:noProof/>
                <w:webHidden/>
              </w:rPr>
              <w:tab/>
            </w:r>
            <w:r>
              <w:rPr>
                <w:noProof/>
                <w:webHidden/>
              </w:rPr>
              <w:fldChar w:fldCharType="begin"/>
            </w:r>
            <w:r>
              <w:rPr>
                <w:noProof/>
                <w:webHidden/>
              </w:rPr>
              <w:instrText xml:space="preserve"> PAGEREF _Toc513556350 \h </w:instrText>
            </w:r>
            <w:r>
              <w:rPr>
                <w:noProof/>
                <w:webHidden/>
              </w:rPr>
            </w:r>
            <w:r>
              <w:rPr>
                <w:noProof/>
                <w:webHidden/>
              </w:rPr>
              <w:fldChar w:fldCharType="separate"/>
            </w:r>
            <w:r>
              <w:rPr>
                <w:noProof/>
                <w:webHidden/>
              </w:rPr>
              <w:t>18</w:t>
            </w:r>
            <w:r>
              <w:rPr>
                <w:noProof/>
                <w:webHidden/>
              </w:rPr>
              <w:fldChar w:fldCharType="end"/>
            </w:r>
          </w:hyperlink>
        </w:p>
        <w:p w14:paraId="60D1DD26"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51" w:history="1">
            <w:r w:rsidRPr="00BE0162">
              <w:rPr>
                <w:rStyle w:val="Hyperlink"/>
                <w:noProof/>
              </w:rPr>
              <w:t>7.3.</w:t>
            </w:r>
            <w:r>
              <w:rPr>
                <w:rFonts w:asciiTheme="minorHAnsi" w:eastAsiaTheme="minorEastAsia" w:hAnsiTheme="minorHAnsi" w:cstheme="minorBidi"/>
                <w:noProof/>
                <w:lang w:eastAsia="en-AU"/>
              </w:rPr>
              <w:tab/>
            </w:r>
            <w:r w:rsidRPr="00BE0162">
              <w:rPr>
                <w:rStyle w:val="Hyperlink"/>
                <w:noProof/>
              </w:rPr>
              <w:t>Other efficacy studies</w:t>
            </w:r>
            <w:r>
              <w:rPr>
                <w:noProof/>
                <w:webHidden/>
              </w:rPr>
              <w:tab/>
            </w:r>
            <w:r>
              <w:rPr>
                <w:noProof/>
                <w:webHidden/>
              </w:rPr>
              <w:fldChar w:fldCharType="begin"/>
            </w:r>
            <w:r>
              <w:rPr>
                <w:noProof/>
                <w:webHidden/>
              </w:rPr>
              <w:instrText xml:space="preserve"> PAGEREF _Toc513556351 \h </w:instrText>
            </w:r>
            <w:r>
              <w:rPr>
                <w:noProof/>
                <w:webHidden/>
              </w:rPr>
            </w:r>
            <w:r>
              <w:rPr>
                <w:noProof/>
                <w:webHidden/>
              </w:rPr>
              <w:fldChar w:fldCharType="separate"/>
            </w:r>
            <w:r>
              <w:rPr>
                <w:noProof/>
                <w:webHidden/>
              </w:rPr>
              <w:t>31</w:t>
            </w:r>
            <w:r>
              <w:rPr>
                <w:noProof/>
                <w:webHidden/>
              </w:rPr>
              <w:fldChar w:fldCharType="end"/>
            </w:r>
          </w:hyperlink>
        </w:p>
        <w:p w14:paraId="6E1DF28A"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52" w:history="1">
            <w:r w:rsidRPr="00BE0162">
              <w:rPr>
                <w:rStyle w:val="Hyperlink"/>
                <w:noProof/>
              </w:rPr>
              <w:t>7.4.</w:t>
            </w:r>
            <w:r>
              <w:rPr>
                <w:rFonts w:asciiTheme="minorHAnsi" w:eastAsiaTheme="minorEastAsia" w:hAnsiTheme="minorHAnsi" w:cstheme="minorBidi"/>
                <w:noProof/>
                <w:lang w:eastAsia="en-AU"/>
              </w:rPr>
              <w:tab/>
            </w:r>
            <w:r w:rsidRPr="00BE0162">
              <w:rPr>
                <w:rStyle w:val="Hyperlink"/>
                <w:noProof/>
              </w:rPr>
              <w:t>Evaluator’s conclusions on clinical efficacy</w:t>
            </w:r>
            <w:r>
              <w:rPr>
                <w:noProof/>
                <w:webHidden/>
              </w:rPr>
              <w:tab/>
            </w:r>
            <w:r>
              <w:rPr>
                <w:noProof/>
                <w:webHidden/>
              </w:rPr>
              <w:fldChar w:fldCharType="begin"/>
            </w:r>
            <w:r>
              <w:rPr>
                <w:noProof/>
                <w:webHidden/>
              </w:rPr>
              <w:instrText xml:space="preserve"> PAGEREF _Toc513556352 \h </w:instrText>
            </w:r>
            <w:r>
              <w:rPr>
                <w:noProof/>
                <w:webHidden/>
              </w:rPr>
            </w:r>
            <w:r>
              <w:rPr>
                <w:noProof/>
                <w:webHidden/>
              </w:rPr>
              <w:fldChar w:fldCharType="separate"/>
            </w:r>
            <w:r>
              <w:rPr>
                <w:noProof/>
                <w:webHidden/>
              </w:rPr>
              <w:t>32</w:t>
            </w:r>
            <w:r>
              <w:rPr>
                <w:noProof/>
                <w:webHidden/>
              </w:rPr>
              <w:fldChar w:fldCharType="end"/>
            </w:r>
          </w:hyperlink>
        </w:p>
        <w:p w14:paraId="0DEE7C04"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53" w:history="1">
            <w:r w:rsidRPr="00BE0162">
              <w:rPr>
                <w:rStyle w:val="Hyperlink"/>
                <w:noProof/>
              </w:rPr>
              <w:t>8.</w:t>
            </w:r>
            <w:r>
              <w:rPr>
                <w:rFonts w:asciiTheme="minorHAnsi" w:eastAsiaTheme="minorEastAsia" w:hAnsiTheme="minorHAnsi" w:cstheme="minorBidi"/>
                <w:b w:val="0"/>
                <w:noProof/>
                <w:sz w:val="22"/>
                <w:lang w:eastAsia="en-AU"/>
              </w:rPr>
              <w:tab/>
            </w:r>
            <w:r w:rsidRPr="00BE0162">
              <w:rPr>
                <w:rStyle w:val="Hyperlink"/>
                <w:noProof/>
              </w:rPr>
              <w:t>Clinical safety</w:t>
            </w:r>
            <w:r>
              <w:rPr>
                <w:noProof/>
                <w:webHidden/>
              </w:rPr>
              <w:tab/>
            </w:r>
            <w:r>
              <w:rPr>
                <w:noProof/>
                <w:webHidden/>
              </w:rPr>
              <w:fldChar w:fldCharType="begin"/>
            </w:r>
            <w:r>
              <w:rPr>
                <w:noProof/>
                <w:webHidden/>
              </w:rPr>
              <w:instrText xml:space="preserve"> PAGEREF _Toc513556353 \h </w:instrText>
            </w:r>
            <w:r>
              <w:rPr>
                <w:noProof/>
                <w:webHidden/>
              </w:rPr>
            </w:r>
            <w:r>
              <w:rPr>
                <w:noProof/>
                <w:webHidden/>
              </w:rPr>
              <w:fldChar w:fldCharType="separate"/>
            </w:r>
            <w:r>
              <w:rPr>
                <w:noProof/>
                <w:webHidden/>
              </w:rPr>
              <w:t>33</w:t>
            </w:r>
            <w:r>
              <w:rPr>
                <w:noProof/>
                <w:webHidden/>
              </w:rPr>
              <w:fldChar w:fldCharType="end"/>
            </w:r>
          </w:hyperlink>
        </w:p>
        <w:p w14:paraId="11185DE1"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54" w:history="1">
            <w:r w:rsidRPr="00BE0162">
              <w:rPr>
                <w:rStyle w:val="Hyperlink"/>
                <w:noProof/>
              </w:rPr>
              <w:t>8.1.</w:t>
            </w:r>
            <w:r>
              <w:rPr>
                <w:rFonts w:asciiTheme="minorHAnsi" w:eastAsiaTheme="minorEastAsia" w:hAnsiTheme="minorHAnsi" w:cstheme="minorBidi"/>
                <w:noProof/>
                <w:lang w:eastAsia="en-AU"/>
              </w:rPr>
              <w:tab/>
            </w:r>
            <w:r w:rsidRPr="00BE0162">
              <w:rPr>
                <w:rStyle w:val="Hyperlink"/>
                <w:noProof/>
              </w:rPr>
              <w:t>Studies providing evaluable safety data</w:t>
            </w:r>
            <w:r>
              <w:rPr>
                <w:noProof/>
                <w:webHidden/>
              </w:rPr>
              <w:tab/>
            </w:r>
            <w:r>
              <w:rPr>
                <w:noProof/>
                <w:webHidden/>
              </w:rPr>
              <w:fldChar w:fldCharType="begin"/>
            </w:r>
            <w:r>
              <w:rPr>
                <w:noProof/>
                <w:webHidden/>
              </w:rPr>
              <w:instrText xml:space="preserve"> PAGEREF _Toc513556354 \h </w:instrText>
            </w:r>
            <w:r>
              <w:rPr>
                <w:noProof/>
                <w:webHidden/>
              </w:rPr>
            </w:r>
            <w:r>
              <w:rPr>
                <w:noProof/>
                <w:webHidden/>
              </w:rPr>
              <w:fldChar w:fldCharType="separate"/>
            </w:r>
            <w:r>
              <w:rPr>
                <w:noProof/>
                <w:webHidden/>
              </w:rPr>
              <w:t>33</w:t>
            </w:r>
            <w:r>
              <w:rPr>
                <w:noProof/>
                <w:webHidden/>
              </w:rPr>
              <w:fldChar w:fldCharType="end"/>
            </w:r>
          </w:hyperlink>
        </w:p>
        <w:p w14:paraId="6ED62B98"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55" w:history="1">
            <w:r w:rsidRPr="00BE0162">
              <w:rPr>
                <w:rStyle w:val="Hyperlink"/>
                <w:noProof/>
              </w:rPr>
              <w:t>8.2.</w:t>
            </w:r>
            <w:r>
              <w:rPr>
                <w:rFonts w:asciiTheme="minorHAnsi" w:eastAsiaTheme="minorEastAsia" w:hAnsiTheme="minorHAnsi" w:cstheme="minorBidi"/>
                <w:noProof/>
                <w:lang w:eastAsia="en-AU"/>
              </w:rPr>
              <w:tab/>
            </w:r>
            <w:r w:rsidRPr="00BE0162">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_Toc513556355 \h </w:instrText>
            </w:r>
            <w:r>
              <w:rPr>
                <w:noProof/>
                <w:webHidden/>
              </w:rPr>
            </w:r>
            <w:r>
              <w:rPr>
                <w:noProof/>
                <w:webHidden/>
              </w:rPr>
              <w:fldChar w:fldCharType="separate"/>
            </w:r>
            <w:r>
              <w:rPr>
                <w:noProof/>
                <w:webHidden/>
              </w:rPr>
              <w:t>34</w:t>
            </w:r>
            <w:r>
              <w:rPr>
                <w:noProof/>
                <w:webHidden/>
              </w:rPr>
              <w:fldChar w:fldCharType="end"/>
            </w:r>
          </w:hyperlink>
        </w:p>
        <w:p w14:paraId="29536287"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56" w:history="1">
            <w:r w:rsidRPr="00BE0162">
              <w:rPr>
                <w:rStyle w:val="Hyperlink"/>
                <w:noProof/>
              </w:rPr>
              <w:t>8.3.</w:t>
            </w:r>
            <w:r>
              <w:rPr>
                <w:rFonts w:asciiTheme="minorHAnsi" w:eastAsiaTheme="minorEastAsia" w:hAnsiTheme="minorHAnsi" w:cstheme="minorBidi"/>
                <w:noProof/>
                <w:lang w:eastAsia="en-AU"/>
              </w:rPr>
              <w:tab/>
            </w:r>
            <w:r w:rsidRPr="00BE0162">
              <w:rPr>
                <w:rStyle w:val="Hyperlink"/>
                <w:noProof/>
              </w:rPr>
              <w:t>Patient exposure (Study BO21223)</w:t>
            </w:r>
            <w:r>
              <w:rPr>
                <w:noProof/>
                <w:webHidden/>
              </w:rPr>
              <w:tab/>
            </w:r>
            <w:r>
              <w:rPr>
                <w:noProof/>
                <w:webHidden/>
              </w:rPr>
              <w:fldChar w:fldCharType="begin"/>
            </w:r>
            <w:r>
              <w:rPr>
                <w:noProof/>
                <w:webHidden/>
              </w:rPr>
              <w:instrText xml:space="preserve"> PAGEREF _Toc513556356 \h </w:instrText>
            </w:r>
            <w:r>
              <w:rPr>
                <w:noProof/>
                <w:webHidden/>
              </w:rPr>
            </w:r>
            <w:r>
              <w:rPr>
                <w:noProof/>
                <w:webHidden/>
              </w:rPr>
              <w:fldChar w:fldCharType="separate"/>
            </w:r>
            <w:r>
              <w:rPr>
                <w:noProof/>
                <w:webHidden/>
              </w:rPr>
              <w:t>35</w:t>
            </w:r>
            <w:r>
              <w:rPr>
                <w:noProof/>
                <w:webHidden/>
              </w:rPr>
              <w:fldChar w:fldCharType="end"/>
            </w:r>
          </w:hyperlink>
        </w:p>
        <w:p w14:paraId="7EF795B4"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57" w:history="1">
            <w:r w:rsidRPr="00BE0162">
              <w:rPr>
                <w:rStyle w:val="Hyperlink"/>
                <w:noProof/>
              </w:rPr>
              <w:t>8.4.</w:t>
            </w:r>
            <w:r>
              <w:rPr>
                <w:rFonts w:asciiTheme="minorHAnsi" w:eastAsiaTheme="minorEastAsia" w:hAnsiTheme="minorHAnsi" w:cstheme="minorBidi"/>
                <w:noProof/>
                <w:lang w:eastAsia="en-AU"/>
              </w:rPr>
              <w:tab/>
            </w:r>
            <w:r w:rsidRPr="00BE0162">
              <w:rPr>
                <w:rStyle w:val="Hyperlink"/>
                <w:noProof/>
              </w:rPr>
              <w:t>Adverse events (Study BO21223)</w:t>
            </w:r>
            <w:r>
              <w:rPr>
                <w:noProof/>
                <w:webHidden/>
              </w:rPr>
              <w:tab/>
            </w:r>
            <w:r>
              <w:rPr>
                <w:noProof/>
                <w:webHidden/>
              </w:rPr>
              <w:fldChar w:fldCharType="begin"/>
            </w:r>
            <w:r>
              <w:rPr>
                <w:noProof/>
                <w:webHidden/>
              </w:rPr>
              <w:instrText xml:space="preserve"> PAGEREF _Toc513556357 \h </w:instrText>
            </w:r>
            <w:r>
              <w:rPr>
                <w:noProof/>
                <w:webHidden/>
              </w:rPr>
            </w:r>
            <w:r>
              <w:rPr>
                <w:noProof/>
                <w:webHidden/>
              </w:rPr>
              <w:fldChar w:fldCharType="separate"/>
            </w:r>
            <w:r>
              <w:rPr>
                <w:noProof/>
                <w:webHidden/>
              </w:rPr>
              <w:t>37</w:t>
            </w:r>
            <w:r>
              <w:rPr>
                <w:noProof/>
                <w:webHidden/>
              </w:rPr>
              <w:fldChar w:fldCharType="end"/>
            </w:r>
          </w:hyperlink>
        </w:p>
        <w:p w14:paraId="7B371139"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58" w:history="1">
            <w:r w:rsidRPr="00BE0162">
              <w:rPr>
                <w:rStyle w:val="Hyperlink"/>
                <w:noProof/>
              </w:rPr>
              <w:t>8.5.</w:t>
            </w:r>
            <w:r>
              <w:rPr>
                <w:rFonts w:asciiTheme="minorHAnsi" w:eastAsiaTheme="minorEastAsia" w:hAnsiTheme="minorHAnsi" w:cstheme="minorBidi"/>
                <w:noProof/>
                <w:lang w:eastAsia="en-AU"/>
              </w:rPr>
              <w:tab/>
            </w:r>
            <w:r w:rsidRPr="00BE0162">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_Toc513556358 \h </w:instrText>
            </w:r>
            <w:r>
              <w:rPr>
                <w:noProof/>
                <w:webHidden/>
              </w:rPr>
            </w:r>
            <w:r>
              <w:rPr>
                <w:noProof/>
                <w:webHidden/>
              </w:rPr>
              <w:fldChar w:fldCharType="separate"/>
            </w:r>
            <w:r>
              <w:rPr>
                <w:noProof/>
                <w:webHidden/>
              </w:rPr>
              <w:t>53</w:t>
            </w:r>
            <w:r>
              <w:rPr>
                <w:noProof/>
                <w:webHidden/>
              </w:rPr>
              <w:fldChar w:fldCharType="end"/>
            </w:r>
          </w:hyperlink>
        </w:p>
        <w:p w14:paraId="0A9CBB0F"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59" w:history="1">
            <w:r w:rsidRPr="00BE0162">
              <w:rPr>
                <w:rStyle w:val="Hyperlink"/>
                <w:noProof/>
              </w:rPr>
              <w:t>8.6.</w:t>
            </w:r>
            <w:r>
              <w:rPr>
                <w:rFonts w:asciiTheme="minorHAnsi" w:eastAsiaTheme="minorEastAsia" w:hAnsiTheme="minorHAnsi" w:cstheme="minorBidi"/>
                <w:noProof/>
                <w:lang w:eastAsia="en-AU"/>
              </w:rPr>
              <w:tab/>
            </w:r>
            <w:r w:rsidRPr="00BE0162">
              <w:rPr>
                <w:rStyle w:val="Hyperlink"/>
                <w:noProof/>
              </w:rPr>
              <w:t>Other safety issues</w:t>
            </w:r>
            <w:r>
              <w:rPr>
                <w:noProof/>
                <w:webHidden/>
              </w:rPr>
              <w:tab/>
            </w:r>
            <w:r>
              <w:rPr>
                <w:noProof/>
                <w:webHidden/>
              </w:rPr>
              <w:fldChar w:fldCharType="begin"/>
            </w:r>
            <w:r>
              <w:rPr>
                <w:noProof/>
                <w:webHidden/>
              </w:rPr>
              <w:instrText xml:space="preserve"> PAGEREF _Toc513556359 \h </w:instrText>
            </w:r>
            <w:r>
              <w:rPr>
                <w:noProof/>
                <w:webHidden/>
              </w:rPr>
            </w:r>
            <w:r>
              <w:rPr>
                <w:noProof/>
                <w:webHidden/>
              </w:rPr>
              <w:fldChar w:fldCharType="separate"/>
            </w:r>
            <w:r>
              <w:rPr>
                <w:noProof/>
                <w:webHidden/>
              </w:rPr>
              <w:t>55</w:t>
            </w:r>
            <w:r>
              <w:rPr>
                <w:noProof/>
                <w:webHidden/>
              </w:rPr>
              <w:fldChar w:fldCharType="end"/>
            </w:r>
          </w:hyperlink>
        </w:p>
        <w:p w14:paraId="39C0F1F6"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60" w:history="1">
            <w:r w:rsidRPr="00BE0162">
              <w:rPr>
                <w:rStyle w:val="Hyperlink"/>
                <w:noProof/>
              </w:rPr>
              <w:t>8.7.</w:t>
            </w:r>
            <w:r>
              <w:rPr>
                <w:rFonts w:asciiTheme="minorHAnsi" w:eastAsiaTheme="minorEastAsia" w:hAnsiTheme="minorHAnsi" w:cstheme="minorBidi"/>
                <w:noProof/>
                <w:lang w:eastAsia="en-AU"/>
              </w:rPr>
              <w:tab/>
            </w:r>
            <w:r w:rsidRPr="00BE0162">
              <w:rPr>
                <w:rStyle w:val="Hyperlink"/>
                <w:noProof/>
              </w:rPr>
              <w:t>Post marketing experience</w:t>
            </w:r>
            <w:r>
              <w:rPr>
                <w:noProof/>
                <w:webHidden/>
              </w:rPr>
              <w:tab/>
            </w:r>
            <w:r>
              <w:rPr>
                <w:noProof/>
                <w:webHidden/>
              </w:rPr>
              <w:fldChar w:fldCharType="begin"/>
            </w:r>
            <w:r>
              <w:rPr>
                <w:noProof/>
                <w:webHidden/>
              </w:rPr>
              <w:instrText xml:space="preserve"> PAGEREF _Toc513556360 \h </w:instrText>
            </w:r>
            <w:r>
              <w:rPr>
                <w:noProof/>
                <w:webHidden/>
              </w:rPr>
            </w:r>
            <w:r>
              <w:rPr>
                <w:noProof/>
                <w:webHidden/>
              </w:rPr>
              <w:fldChar w:fldCharType="separate"/>
            </w:r>
            <w:r>
              <w:rPr>
                <w:noProof/>
                <w:webHidden/>
              </w:rPr>
              <w:t>57</w:t>
            </w:r>
            <w:r>
              <w:rPr>
                <w:noProof/>
                <w:webHidden/>
              </w:rPr>
              <w:fldChar w:fldCharType="end"/>
            </w:r>
          </w:hyperlink>
        </w:p>
        <w:p w14:paraId="3A0F3718"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61" w:history="1">
            <w:r w:rsidRPr="00BE0162">
              <w:rPr>
                <w:rStyle w:val="Hyperlink"/>
                <w:noProof/>
              </w:rPr>
              <w:t>8.8.</w:t>
            </w:r>
            <w:r>
              <w:rPr>
                <w:rFonts w:asciiTheme="minorHAnsi" w:eastAsiaTheme="minorEastAsia" w:hAnsiTheme="minorHAnsi" w:cstheme="minorBidi"/>
                <w:noProof/>
                <w:lang w:eastAsia="en-AU"/>
              </w:rPr>
              <w:tab/>
            </w:r>
            <w:r w:rsidRPr="00BE0162">
              <w:rPr>
                <w:rStyle w:val="Hyperlink"/>
                <w:noProof/>
              </w:rPr>
              <w:t>Evaluator’s overall conclusions on clinical safety</w:t>
            </w:r>
            <w:r>
              <w:rPr>
                <w:noProof/>
                <w:webHidden/>
              </w:rPr>
              <w:tab/>
            </w:r>
            <w:r>
              <w:rPr>
                <w:noProof/>
                <w:webHidden/>
              </w:rPr>
              <w:fldChar w:fldCharType="begin"/>
            </w:r>
            <w:r>
              <w:rPr>
                <w:noProof/>
                <w:webHidden/>
              </w:rPr>
              <w:instrText xml:space="preserve"> PAGEREF _Toc513556361 \h </w:instrText>
            </w:r>
            <w:r>
              <w:rPr>
                <w:noProof/>
                <w:webHidden/>
              </w:rPr>
            </w:r>
            <w:r>
              <w:rPr>
                <w:noProof/>
                <w:webHidden/>
              </w:rPr>
              <w:fldChar w:fldCharType="separate"/>
            </w:r>
            <w:r>
              <w:rPr>
                <w:noProof/>
                <w:webHidden/>
              </w:rPr>
              <w:t>57</w:t>
            </w:r>
            <w:r>
              <w:rPr>
                <w:noProof/>
                <w:webHidden/>
              </w:rPr>
              <w:fldChar w:fldCharType="end"/>
            </w:r>
          </w:hyperlink>
        </w:p>
        <w:p w14:paraId="74C16D8E"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62" w:history="1">
            <w:r w:rsidRPr="00BE0162">
              <w:rPr>
                <w:rStyle w:val="Hyperlink"/>
                <w:noProof/>
              </w:rPr>
              <w:t>9.</w:t>
            </w:r>
            <w:r>
              <w:rPr>
                <w:rFonts w:asciiTheme="minorHAnsi" w:eastAsiaTheme="minorEastAsia" w:hAnsiTheme="minorHAnsi" w:cstheme="minorBidi"/>
                <w:b w:val="0"/>
                <w:noProof/>
                <w:sz w:val="22"/>
                <w:lang w:eastAsia="en-AU"/>
              </w:rPr>
              <w:tab/>
            </w:r>
            <w:r w:rsidRPr="00BE0162">
              <w:rPr>
                <w:rStyle w:val="Hyperlink"/>
                <w:noProof/>
              </w:rPr>
              <w:t>First round benefit-risk assessment</w:t>
            </w:r>
            <w:r>
              <w:rPr>
                <w:noProof/>
                <w:webHidden/>
              </w:rPr>
              <w:tab/>
            </w:r>
            <w:r>
              <w:rPr>
                <w:noProof/>
                <w:webHidden/>
              </w:rPr>
              <w:fldChar w:fldCharType="begin"/>
            </w:r>
            <w:r>
              <w:rPr>
                <w:noProof/>
                <w:webHidden/>
              </w:rPr>
              <w:instrText xml:space="preserve"> PAGEREF _Toc513556362 \h </w:instrText>
            </w:r>
            <w:r>
              <w:rPr>
                <w:noProof/>
                <w:webHidden/>
              </w:rPr>
            </w:r>
            <w:r>
              <w:rPr>
                <w:noProof/>
                <w:webHidden/>
              </w:rPr>
              <w:fldChar w:fldCharType="separate"/>
            </w:r>
            <w:r>
              <w:rPr>
                <w:noProof/>
                <w:webHidden/>
              </w:rPr>
              <w:t>60</w:t>
            </w:r>
            <w:r>
              <w:rPr>
                <w:noProof/>
                <w:webHidden/>
              </w:rPr>
              <w:fldChar w:fldCharType="end"/>
            </w:r>
          </w:hyperlink>
        </w:p>
        <w:p w14:paraId="3B94D89F"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63" w:history="1">
            <w:r w:rsidRPr="00BE0162">
              <w:rPr>
                <w:rStyle w:val="Hyperlink"/>
                <w:noProof/>
              </w:rPr>
              <w:t>9.1.</w:t>
            </w:r>
            <w:r>
              <w:rPr>
                <w:rFonts w:asciiTheme="minorHAnsi" w:eastAsiaTheme="minorEastAsia" w:hAnsiTheme="minorHAnsi" w:cstheme="minorBidi"/>
                <w:noProof/>
                <w:lang w:eastAsia="en-AU"/>
              </w:rPr>
              <w:tab/>
            </w:r>
            <w:r w:rsidRPr="00BE0162">
              <w:rPr>
                <w:rStyle w:val="Hyperlink"/>
                <w:noProof/>
              </w:rPr>
              <w:t>First round assessment of benefits</w:t>
            </w:r>
            <w:r>
              <w:rPr>
                <w:noProof/>
                <w:webHidden/>
              </w:rPr>
              <w:tab/>
            </w:r>
            <w:r>
              <w:rPr>
                <w:noProof/>
                <w:webHidden/>
              </w:rPr>
              <w:fldChar w:fldCharType="begin"/>
            </w:r>
            <w:r>
              <w:rPr>
                <w:noProof/>
                <w:webHidden/>
              </w:rPr>
              <w:instrText xml:space="preserve"> PAGEREF _Toc513556363 \h </w:instrText>
            </w:r>
            <w:r>
              <w:rPr>
                <w:noProof/>
                <w:webHidden/>
              </w:rPr>
            </w:r>
            <w:r>
              <w:rPr>
                <w:noProof/>
                <w:webHidden/>
              </w:rPr>
              <w:fldChar w:fldCharType="separate"/>
            </w:r>
            <w:r>
              <w:rPr>
                <w:noProof/>
                <w:webHidden/>
              </w:rPr>
              <w:t>60</w:t>
            </w:r>
            <w:r>
              <w:rPr>
                <w:noProof/>
                <w:webHidden/>
              </w:rPr>
              <w:fldChar w:fldCharType="end"/>
            </w:r>
          </w:hyperlink>
        </w:p>
        <w:p w14:paraId="58472526"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64" w:history="1">
            <w:r w:rsidRPr="00BE0162">
              <w:rPr>
                <w:rStyle w:val="Hyperlink"/>
                <w:noProof/>
              </w:rPr>
              <w:t>9.2.</w:t>
            </w:r>
            <w:r>
              <w:rPr>
                <w:rFonts w:asciiTheme="minorHAnsi" w:eastAsiaTheme="minorEastAsia" w:hAnsiTheme="minorHAnsi" w:cstheme="minorBidi"/>
                <w:noProof/>
                <w:lang w:eastAsia="en-AU"/>
              </w:rPr>
              <w:tab/>
            </w:r>
            <w:r w:rsidRPr="00BE0162">
              <w:rPr>
                <w:rStyle w:val="Hyperlink"/>
                <w:noProof/>
              </w:rPr>
              <w:t>First round assessment of risks</w:t>
            </w:r>
            <w:r>
              <w:rPr>
                <w:noProof/>
                <w:webHidden/>
              </w:rPr>
              <w:tab/>
            </w:r>
            <w:r>
              <w:rPr>
                <w:noProof/>
                <w:webHidden/>
              </w:rPr>
              <w:fldChar w:fldCharType="begin"/>
            </w:r>
            <w:r>
              <w:rPr>
                <w:noProof/>
                <w:webHidden/>
              </w:rPr>
              <w:instrText xml:space="preserve"> PAGEREF _Toc513556364 \h </w:instrText>
            </w:r>
            <w:r>
              <w:rPr>
                <w:noProof/>
                <w:webHidden/>
              </w:rPr>
            </w:r>
            <w:r>
              <w:rPr>
                <w:noProof/>
                <w:webHidden/>
              </w:rPr>
              <w:fldChar w:fldCharType="separate"/>
            </w:r>
            <w:r>
              <w:rPr>
                <w:noProof/>
                <w:webHidden/>
              </w:rPr>
              <w:t>60</w:t>
            </w:r>
            <w:r>
              <w:rPr>
                <w:noProof/>
                <w:webHidden/>
              </w:rPr>
              <w:fldChar w:fldCharType="end"/>
            </w:r>
          </w:hyperlink>
        </w:p>
        <w:p w14:paraId="3C691765" w14:textId="77777777" w:rsidR="00D266EA" w:rsidRDefault="00D266EA">
          <w:pPr>
            <w:pStyle w:val="TOC3"/>
            <w:tabs>
              <w:tab w:val="left" w:pos="1575"/>
            </w:tabs>
            <w:rPr>
              <w:rFonts w:asciiTheme="minorHAnsi" w:eastAsiaTheme="minorEastAsia" w:hAnsiTheme="minorHAnsi" w:cstheme="minorBidi"/>
              <w:noProof/>
              <w:lang w:eastAsia="en-AU"/>
            </w:rPr>
          </w:pPr>
          <w:hyperlink w:anchor="_Toc513556365" w:history="1">
            <w:r w:rsidRPr="00BE0162">
              <w:rPr>
                <w:rStyle w:val="Hyperlink"/>
                <w:noProof/>
              </w:rPr>
              <w:t>9.3.</w:t>
            </w:r>
            <w:r>
              <w:rPr>
                <w:rFonts w:asciiTheme="minorHAnsi" w:eastAsiaTheme="minorEastAsia" w:hAnsiTheme="minorHAnsi" w:cstheme="minorBidi"/>
                <w:noProof/>
                <w:lang w:eastAsia="en-AU"/>
              </w:rPr>
              <w:tab/>
            </w:r>
            <w:r w:rsidRPr="00BE0162">
              <w:rPr>
                <w:rStyle w:val="Hyperlink"/>
                <w:noProof/>
              </w:rPr>
              <w:t>First round assessment of benefit-risk balance</w:t>
            </w:r>
            <w:r>
              <w:rPr>
                <w:noProof/>
                <w:webHidden/>
              </w:rPr>
              <w:tab/>
            </w:r>
            <w:r>
              <w:rPr>
                <w:noProof/>
                <w:webHidden/>
              </w:rPr>
              <w:fldChar w:fldCharType="begin"/>
            </w:r>
            <w:r>
              <w:rPr>
                <w:noProof/>
                <w:webHidden/>
              </w:rPr>
              <w:instrText xml:space="preserve"> PAGEREF _Toc513556365 \h </w:instrText>
            </w:r>
            <w:r>
              <w:rPr>
                <w:noProof/>
                <w:webHidden/>
              </w:rPr>
            </w:r>
            <w:r>
              <w:rPr>
                <w:noProof/>
                <w:webHidden/>
              </w:rPr>
              <w:fldChar w:fldCharType="separate"/>
            </w:r>
            <w:r>
              <w:rPr>
                <w:noProof/>
                <w:webHidden/>
              </w:rPr>
              <w:t>61</w:t>
            </w:r>
            <w:r>
              <w:rPr>
                <w:noProof/>
                <w:webHidden/>
              </w:rPr>
              <w:fldChar w:fldCharType="end"/>
            </w:r>
          </w:hyperlink>
        </w:p>
        <w:p w14:paraId="26B34972"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66" w:history="1">
            <w:r w:rsidRPr="00BE0162">
              <w:rPr>
                <w:rStyle w:val="Hyperlink"/>
                <w:noProof/>
              </w:rPr>
              <w:t>10.</w:t>
            </w:r>
            <w:r>
              <w:rPr>
                <w:rFonts w:asciiTheme="minorHAnsi" w:eastAsiaTheme="minorEastAsia" w:hAnsiTheme="minorHAnsi" w:cstheme="minorBidi"/>
                <w:b w:val="0"/>
                <w:noProof/>
                <w:sz w:val="22"/>
                <w:lang w:eastAsia="en-AU"/>
              </w:rPr>
              <w:tab/>
            </w:r>
            <w:r w:rsidRPr="00BE0162">
              <w:rPr>
                <w:rStyle w:val="Hyperlink"/>
                <w:noProof/>
              </w:rPr>
              <w:t>First round recommendation regarding authorisation</w:t>
            </w:r>
            <w:r>
              <w:rPr>
                <w:noProof/>
                <w:webHidden/>
              </w:rPr>
              <w:tab/>
            </w:r>
            <w:r>
              <w:rPr>
                <w:noProof/>
                <w:webHidden/>
              </w:rPr>
              <w:fldChar w:fldCharType="begin"/>
            </w:r>
            <w:r>
              <w:rPr>
                <w:noProof/>
                <w:webHidden/>
              </w:rPr>
              <w:instrText xml:space="preserve"> PAGEREF _Toc513556366 \h </w:instrText>
            </w:r>
            <w:r>
              <w:rPr>
                <w:noProof/>
                <w:webHidden/>
              </w:rPr>
            </w:r>
            <w:r>
              <w:rPr>
                <w:noProof/>
                <w:webHidden/>
              </w:rPr>
              <w:fldChar w:fldCharType="separate"/>
            </w:r>
            <w:r>
              <w:rPr>
                <w:noProof/>
                <w:webHidden/>
              </w:rPr>
              <w:t>61</w:t>
            </w:r>
            <w:r>
              <w:rPr>
                <w:noProof/>
                <w:webHidden/>
              </w:rPr>
              <w:fldChar w:fldCharType="end"/>
            </w:r>
          </w:hyperlink>
        </w:p>
        <w:p w14:paraId="47156664"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67" w:history="1">
            <w:r w:rsidRPr="00BE0162">
              <w:rPr>
                <w:rStyle w:val="Hyperlink"/>
                <w:noProof/>
              </w:rPr>
              <w:t>11.</w:t>
            </w:r>
            <w:r>
              <w:rPr>
                <w:rFonts w:asciiTheme="minorHAnsi" w:eastAsiaTheme="minorEastAsia" w:hAnsiTheme="minorHAnsi" w:cstheme="minorBidi"/>
                <w:b w:val="0"/>
                <w:noProof/>
                <w:sz w:val="22"/>
                <w:lang w:eastAsia="en-AU"/>
              </w:rPr>
              <w:tab/>
            </w:r>
            <w:r w:rsidRPr="00BE0162">
              <w:rPr>
                <w:rStyle w:val="Hyperlink"/>
                <w:noProof/>
              </w:rPr>
              <w:t>Clinical questions</w:t>
            </w:r>
            <w:r>
              <w:rPr>
                <w:noProof/>
                <w:webHidden/>
              </w:rPr>
              <w:tab/>
            </w:r>
            <w:r>
              <w:rPr>
                <w:noProof/>
                <w:webHidden/>
              </w:rPr>
              <w:fldChar w:fldCharType="begin"/>
            </w:r>
            <w:r>
              <w:rPr>
                <w:noProof/>
                <w:webHidden/>
              </w:rPr>
              <w:instrText xml:space="preserve"> PAGEREF _Toc513556367 \h </w:instrText>
            </w:r>
            <w:r>
              <w:rPr>
                <w:noProof/>
                <w:webHidden/>
              </w:rPr>
            </w:r>
            <w:r>
              <w:rPr>
                <w:noProof/>
                <w:webHidden/>
              </w:rPr>
              <w:fldChar w:fldCharType="separate"/>
            </w:r>
            <w:r>
              <w:rPr>
                <w:noProof/>
                <w:webHidden/>
              </w:rPr>
              <w:t>61</w:t>
            </w:r>
            <w:r>
              <w:rPr>
                <w:noProof/>
                <w:webHidden/>
              </w:rPr>
              <w:fldChar w:fldCharType="end"/>
            </w:r>
          </w:hyperlink>
        </w:p>
        <w:p w14:paraId="1B05EB37" w14:textId="77777777" w:rsidR="00D266EA" w:rsidRDefault="00D266EA">
          <w:pPr>
            <w:pStyle w:val="TOC3"/>
            <w:tabs>
              <w:tab w:val="left" w:pos="1697"/>
            </w:tabs>
            <w:rPr>
              <w:rFonts w:asciiTheme="minorHAnsi" w:eastAsiaTheme="minorEastAsia" w:hAnsiTheme="minorHAnsi" w:cstheme="minorBidi"/>
              <w:noProof/>
              <w:lang w:eastAsia="en-AU"/>
            </w:rPr>
          </w:pPr>
          <w:hyperlink w:anchor="_Toc513556368" w:history="1">
            <w:r w:rsidRPr="00BE0162">
              <w:rPr>
                <w:rStyle w:val="Hyperlink"/>
                <w:noProof/>
              </w:rPr>
              <w:t>11.1.</w:t>
            </w:r>
            <w:r>
              <w:rPr>
                <w:rFonts w:asciiTheme="minorHAnsi" w:eastAsiaTheme="minorEastAsia" w:hAnsiTheme="minorHAnsi" w:cstheme="minorBidi"/>
                <w:noProof/>
                <w:lang w:eastAsia="en-AU"/>
              </w:rPr>
              <w:tab/>
            </w:r>
            <w:r w:rsidRPr="00BE0162">
              <w:rPr>
                <w:rStyle w:val="Hyperlink"/>
                <w:noProof/>
              </w:rPr>
              <w:t>Clinical questions</w:t>
            </w:r>
            <w:r>
              <w:rPr>
                <w:noProof/>
                <w:webHidden/>
              </w:rPr>
              <w:tab/>
            </w:r>
            <w:r>
              <w:rPr>
                <w:noProof/>
                <w:webHidden/>
              </w:rPr>
              <w:fldChar w:fldCharType="begin"/>
            </w:r>
            <w:r>
              <w:rPr>
                <w:noProof/>
                <w:webHidden/>
              </w:rPr>
              <w:instrText xml:space="preserve"> PAGEREF _Toc513556368 \h </w:instrText>
            </w:r>
            <w:r>
              <w:rPr>
                <w:noProof/>
                <w:webHidden/>
              </w:rPr>
            </w:r>
            <w:r>
              <w:rPr>
                <w:noProof/>
                <w:webHidden/>
              </w:rPr>
              <w:fldChar w:fldCharType="separate"/>
            </w:r>
            <w:r>
              <w:rPr>
                <w:noProof/>
                <w:webHidden/>
              </w:rPr>
              <w:t>61</w:t>
            </w:r>
            <w:r>
              <w:rPr>
                <w:noProof/>
                <w:webHidden/>
              </w:rPr>
              <w:fldChar w:fldCharType="end"/>
            </w:r>
          </w:hyperlink>
        </w:p>
        <w:p w14:paraId="4D1D4B23"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69" w:history="1">
            <w:r w:rsidRPr="00BE0162">
              <w:rPr>
                <w:rStyle w:val="Hyperlink"/>
                <w:noProof/>
              </w:rPr>
              <w:t>12.</w:t>
            </w:r>
            <w:r>
              <w:rPr>
                <w:rFonts w:asciiTheme="minorHAnsi" w:eastAsiaTheme="minorEastAsia" w:hAnsiTheme="minorHAnsi" w:cstheme="minorBidi"/>
                <w:b w:val="0"/>
                <w:noProof/>
                <w:sz w:val="22"/>
                <w:lang w:eastAsia="en-AU"/>
              </w:rPr>
              <w:tab/>
            </w:r>
            <w:r w:rsidRPr="00BE0162">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_Toc513556369 \h </w:instrText>
            </w:r>
            <w:r>
              <w:rPr>
                <w:noProof/>
                <w:webHidden/>
              </w:rPr>
            </w:r>
            <w:r>
              <w:rPr>
                <w:noProof/>
                <w:webHidden/>
              </w:rPr>
              <w:fldChar w:fldCharType="separate"/>
            </w:r>
            <w:r>
              <w:rPr>
                <w:noProof/>
                <w:webHidden/>
              </w:rPr>
              <w:t>62</w:t>
            </w:r>
            <w:r>
              <w:rPr>
                <w:noProof/>
                <w:webHidden/>
              </w:rPr>
              <w:fldChar w:fldCharType="end"/>
            </w:r>
          </w:hyperlink>
        </w:p>
        <w:p w14:paraId="77D8535B"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70" w:history="1">
            <w:r w:rsidRPr="00BE0162">
              <w:rPr>
                <w:rStyle w:val="Hyperlink"/>
                <w:noProof/>
              </w:rPr>
              <w:t>13.</w:t>
            </w:r>
            <w:r>
              <w:rPr>
                <w:rFonts w:asciiTheme="minorHAnsi" w:eastAsiaTheme="minorEastAsia" w:hAnsiTheme="minorHAnsi" w:cstheme="minorBidi"/>
                <w:b w:val="0"/>
                <w:noProof/>
                <w:sz w:val="22"/>
                <w:lang w:eastAsia="en-AU"/>
              </w:rPr>
              <w:tab/>
            </w:r>
            <w:r w:rsidRPr="00BE0162">
              <w:rPr>
                <w:rStyle w:val="Hyperlink"/>
                <w:noProof/>
              </w:rPr>
              <w:t>Second round benefit-risk assessment</w:t>
            </w:r>
            <w:r>
              <w:rPr>
                <w:noProof/>
                <w:webHidden/>
              </w:rPr>
              <w:tab/>
            </w:r>
            <w:r>
              <w:rPr>
                <w:noProof/>
                <w:webHidden/>
              </w:rPr>
              <w:fldChar w:fldCharType="begin"/>
            </w:r>
            <w:r>
              <w:rPr>
                <w:noProof/>
                <w:webHidden/>
              </w:rPr>
              <w:instrText xml:space="preserve"> PAGEREF _Toc513556370 \h </w:instrText>
            </w:r>
            <w:r>
              <w:rPr>
                <w:noProof/>
                <w:webHidden/>
              </w:rPr>
            </w:r>
            <w:r>
              <w:rPr>
                <w:noProof/>
                <w:webHidden/>
              </w:rPr>
              <w:fldChar w:fldCharType="separate"/>
            </w:r>
            <w:r>
              <w:rPr>
                <w:noProof/>
                <w:webHidden/>
              </w:rPr>
              <w:t>62</w:t>
            </w:r>
            <w:r>
              <w:rPr>
                <w:noProof/>
                <w:webHidden/>
              </w:rPr>
              <w:fldChar w:fldCharType="end"/>
            </w:r>
          </w:hyperlink>
        </w:p>
        <w:p w14:paraId="4102BB80"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71" w:history="1">
            <w:r w:rsidRPr="00BE0162">
              <w:rPr>
                <w:rStyle w:val="Hyperlink"/>
                <w:noProof/>
              </w:rPr>
              <w:t>14.</w:t>
            </w:r>
            <w:r>
              <w:rPr>
                <w:rFonts w:asciiTheme="minorHAnsi" w:eastAsiaTheme="minorEastAsia" w:hAnsiTheme="minorHAnsi" w:cstheme="minorBidi"/>
                <w:b w:val="0"/>
                <w:noProof/>
                <w:sz w:val="22"/>
                <w:lang w:eastAsia="en-AU"/>
              </w:rPr>
              <w:tab/>
            </w:r>
            <w:r w:rsidRPr="00BE0162">
              <w:rPr>
                <w:rStyle w:val="Hyperlink"/>
                <w:noProof/>
              </w:rPr>
              <w:t>Second round recommendation regarding authorisation</w:t>
            </w:r>
            <w:r>
              <w:rPr>
                <w:noProof/>
                <w:webHidden/>
              </w:rPr>
              <w:tab/>
            </w:r>
            <w:r>
              <w:rPr>
                <w:noProof/>
                <w:webHidden/>
              </w:rPr>
              <w:fldChar w:fldCharType="begin"/>
            </w:r>
            <w:r>
              <w:rPr>
                <w:noProof/>
                <w:webHidden/>
              </w:rPr>
              <w:instrText xml:space="preserve"> PAGEREF _Toc513556371 \h </w:instrText>
            </w:r>
            <w:r>
              <w:rPr>
                <w:noProof/>
                <w:webHidden/>
              </w:rPr>
            </w:r>
            <w:r>
              <w:rPr>
                <w:noProof/>
                <w:webHidden/>
              </w:rPr>
              <w:fldChar w:fldCharType="separate"/>
            </w:r>
            <w:r>
              <w:rPr>
                <w:noProof/>
                <w:webHidden/>
              </w:rPr>
              <w:t>63</w:t>
            </w:r>
            <w:r>
              <w:rPr>
                <w:noProof/>
                <w:webHidden/>
              </w:rPr>
              <w:fldChar w:fldCharType="end"/>
            </w:r>
          </w:hyperlink>
        </w:p>
        <w:p w14:paraId="20DFF77E" w14:textId="77777777" w:rsidR="00D266EA" w:rsidRDefault="00D266EA">
          <w:pPr>
            <w:pStyle w:val="TOC2"/>
            <w:tabs>
              <w:tab w:val="left" w:pos="1247"/>
            </w:tabs>
            <w:rPr>
              <w:rFonts w:asciiTheme="minorHAnsi" w:eastAsiaTheme="minorEastAsia" w:hAnsiTheme="minorHAnsi" w:cstheme="minorBidi"/>
              <w:b w:val="0"/>
              <w:noProof/>
              <w:sz w:val="22"/>
              <w:lang w:eastAsia="en-AU"/>
            </w:rPr>
          </w:pPr>
          <w:hyperlink w:anchor="_Toc513556372" w:history="1">
            <w:r w:rsidRPr="00BE0162">
              <w:rPr>
                <w:rStyle w:val="Hyperlink"/>
                <w:noProof/>
              </w:rPr>
              <w:t>15.</w:t>
            </w:r>
            <w:r>
              <w:rPr>
                <w:rFonts w:asciiTheme="minorHAnsi" w:eastAsiaTheme="minorEastAsia" w:hAnsiTheme="minorHAnsi" w:cstheme="minorBidi"/>
                <w:b w:val="0"/>
                <w:noProof/>
                <w:sz w:val="22"/>
                <w:lang w:eastAsia="en-AU"/>
              </w:rPr>
              <w:tab/>
            </w:r>
            <w:r w:rsidRPr="00BE0162">
              <w:rPr>
                <w:rStyle w:val="Hyperlink"/>
                <w:noProof/>
              </w:rPr>
              <w:t>References</w:t>
            </w:r>
            <w:r>
              <w:rPr>
                <w:noProof/>
                <w:webHidden/>
              </w:rPr>
              <w:tab/>
            </w:r>
            <w:r>
              <w:rPr>
                <w:noProof/>
                <w:webHidden/>
              </w:rPr>
              <w:fldChar w:fldCharType="begin"/>
            </w:r>
            <w:r>
              <w:rPr>
                <w:noProof/>
                <w:webHidden/>
              </w:rPr>
              <w:instrText xml:space="preserve"> PAGEREF _Toc513556372 \h </w:instrText>
            </w:r>
            <w:r>
              <w:rPr>
                <w:noProof/>
                <w:webHidden/>
              </w:rPr>
            </w:r>
            <w:r>
              <w:rPr>
                <w:noProof/>
                <w:webHidden/>
              </w:rPr>
              <w:fldChar w:fldCharType="separate"/>
            </w:r>
            <w:r>
              <w:rPr>
                <w:noProof/>
                <w:webHidden/>
              </w:rPr>
              <w:t>63</w:t>
            </w:r>
            <w:r>
              <w:rPr>
                <w:noProof/>
                <w:webHidden/>
              </w:rPr>
              <w:fldChar w:fldCharType="end"/>
            </w:r>
          </w:hyperlink>
        </w:p>
        <w:p w14:paraId="3C70CDAE" w14:textId="0CD9D952" w:rsidR="00070386" w:rsidRPr="00070386" w:rsidRDefault="004F4AF5" w:rsidP="00A100D7">
          <w:pPr>
            <w:pStyle w:val="TOC2"/>
          </w:pPr>
          <w:r w:rsidRPr="003442FE">
            <w:fldChar w:fldCharType="end"/>
          </w:r>
        </w:p>
      </w:sdtContent>
    </w:sdt>
    <w:bookmarkStart w:id="3" w:name="_Toc355338616" w:displacedByCustomXml="prev"/>
    <w:bookmarkStart w:id="4" w:name="_Toc351718881" w:displacedByCustomXml="prev"/>
    <w:bookmarkStart w:id="5" w:name="_Toc351716269" w:displacedByCustomXml="prev"/>
    <w:bookmarkStart w:id="6" w:name="_Toc314842482" w:displacedByCustomXml="prev"/>
    <w:p w14:paraId="5641EE93" w14:textId="3A6A72E4" w:rsidR="00A100D7" w:rsidRPr="00A100D7" w:rsidRDefault="00EF06B7" w:rsidP="00EF06B7">
      <w:pPr>
        <w:spacing w:before="0" w:after="200" w:line="0" w:lineRule="auto"/>
      </w:pPr>
      <w:r>
        <w:br w:type="page"/>
      </w:r>
    </w:p>
    <w:p w14:paraId="675637DB" w14:textId="77777777" w:rsidR="00586F98" w:rsidRPr="003442FE" w:rsidRDefault="00586F98" w:rsidP="00586F98">
      <w:pPr>
        <w:pStyle w:val="Heading2"/>
        <w:numPr>
          <w:ilvl w:val="0"/>
          <w:numId w:val="0"/>
        </w:numPr>
      </w:pPr>
      <w:bookmarkStart w:id="7" w:name="_Toc513556329"/>
      <w:r w:rsidRPr="003442FE">
        <w:lastRenderedPageBreak/>
        <w:t>List of abbreviations</w:t>
      </w:r>
      <w:bookmarkEnd w:id="5"/>
      <w:bookmarkEnd w:id="4"/>
      <w:bookmarkEnd w:id="3"/>
      <w:bookmarkEnd w:id="7"/>
    </w:p>
    <w:tbl>
      <w:tblPr>
        <w:tblStyle w:val="TableTGAblue"/>
        <w:tblW w:w="0" w:type="auto"/>
        <w:tblLayout w:type="fixed"/>
        <w:tblLook w:val="04A0" w:firstRow="1" w:lastRow="0" w:firstColumn="1" w:lastColumn="0" w:noHBand="0" w:noVBand="1"/>
      </w:tblPr>
      <w:tblGrid>
        <w:gridCol w:w="1998"/>
        <w:gridCol w:w="6803"/>
      </w:tblGrid>
      <w:tr w:rsidR="00586F98" w:rsidRPr="003442FE" w14:paraId="579B6E60" w14:textId="77777777" w:rsidTr="00E41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8" w:type="dxa"/>
          </w:tcPr>
          <w:p w14:paraId="71A9C929" w14:textId="77777777" w:rsidR="00586F98" w:rsidRPr="00C53EBA" w:rsidRDefault="00586F98" w:rsidP="00C53EBA">
            <w:r w:rsidRPr="00C53EBA">
              <w:t>Abbreviation</w:t>
            </w:r>
          </w:p>
        </w:tc>
        <w:tc>
          <w:tcPr>
            <w:tcW w:w="6803" w:type="dxa"/>
          </w:tcPr>
          <w:p w14:paraId="19972CB9" w14:textId="77777777" w:rsidR="00586F98" w:rsidRPr="00C53EBA" w:rsidRDefault="00586F98" w:rsidP="00C53EBA">
            <w:pPr>
              <w:cnfStyle w:val="100000000000" w:firstRow="1" w:lastRow="0" w:firstColumn="0" w:lastColumn="0" w:oddVBand="0" w:evenVBand="0" w:oddHBand="0" w:evenHBand="0" w:firstRowFirstColumn="0" w:firstRowLastColumn="0" w:lastRowFirstColumn="0" w:lastRowLastColumn="0"/>
            </w:pPr>
            <w:r w:rsidRPr="00C53EBA">
              <w:t>Meaning</w:t>
            </w:r>
          </w:p>
        </w:tc>
      </w:tr>
      <w:tr w:rsidR="00C53EBA" w:rsidRPr="003442FE" w14:paraId="0153CAF6"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53F31096" w14:textId="197802B4" w:rsidR="00C53EBA" w:rsidRPr="00C53EBA" w:rsidRDefault="00C53EBA" w:rsidP="00C53EBA">
            <w:r w:rsidRPr="00C53EBA">
              <w:t xml:space="preserve">ADCC </w:t>
            </w:r>
          </w:p>
        </w:tc>
        <w:tc>
          <w:tcPr>
            <w:tcW w:w="6803" w:type="dxa"/>
          </w:tcPr>
          <w:p w14:paraId="2ED01F76" w14:textId="1D268A4F"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Antibody</w:t>
            </w:r>
            <w:r w:rsidR="00E42DA2">
              <w:t xml:space="preserve"> </w:t>
            </w:r>
            <w:r w:rsidRPr="00C53EBA">
              <w:t>dependent cellular cytotoxicity</w:t>
            </w:r>
          </w:p>
        </w:tc>
      </w:tr>
      <w:tr w:rsidR="00C53EBA" w:rsidRPr="003442FE" w14:paraId="4FE4D810"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1529879B" w14:textId="7362DDDA" w:rsidR="00C53EBA" w:rsidRPr="00C53EBA" w:rsidRDefault="00C53EBA" w:rsidP="00C53EBA">
            <w:r w:rsidRPr="00C53EBA">
              <w:t xml:space="preserve">ADCP </w:t>
            </w:r>
          </w:p>
        </w:tc>
        <w:tc>
          <w:tcPr>
            <w:tcW w:w="6803" w:type="dxa"/>
          </w:tcPr>
          <w:p w14:paraId="754414F4" w14:textId="6A94ACEC"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Antibody</w:t>
            </w:r>
            <w:r w:rsidR="00E42DA2">
              <w:t xml:space="preserve"> </w:t>
            </w:r>
            <w:r w:rsidRPr="00C53EBA">
              <w:t>dependent cellular phagocytosis</w:t>
            </w:r>
          </w:p>
        </w:tc>
      </w:tr>
      <w:tr w:rsidR="00C53EBA" w:rsidRPr="003442FE" w14:paraId="19C28CB1"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24547052" w14:textId="38AA5826" w:rsidR="00C53EBA" w:rsidRPr="00C53EBA" w:rsidRDefault="00C53EBA" w:rsidP="00C53EBA">
            <w:r w:rsidRPr="00C53EBA">
              <w:t xml:space="preserve">ADL </w:t>
            </w:r>
          </w:p>
        </w:tc>
        <w:tc>
          <w:tcPr>
            <w:tcW w:w="6803" w:type="dxa"/>
          </w:tcPr>
          <w:p w14:paraId="5665C850" w14:textId="59D35312"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Activities of daily living</w:t>
            </w:r>
          </w:p>
        </w:tc>
      </w:tr>
      <w:tr w:rsidR="00C53EBA" w:rsidRPr="003442FE" w14:paraId="7D1F2BA4"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155CD36C" w14:textId="1B85B3BE" w:rsidR="00C53EBA" w:rsidRPr="00C53EBA" w:rsidRDefault="00C53EBA" w:rsidP="00C53EBA">
            <w:r w:rsidRPr="00C53EBA">
              <w:t xml:space="preserve">AE </w:t>
            </w:r>
          </w:p>
        </w:tc>
        <w:tc>
          <w:tcPr>
            <w:tcW w:w="6803" w:type="dxa"/>
          </w:tcPr>
          <w:p w14:paraId="2527A62F" w14:textId="3806F30A"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Adverse event</w:t>
            </w:r>
          </w:p>
        </w:tc>
      </w:tr>
      <w:tr w:rsidR="00C53EBA" w:rsidRPr="003442FE" w14:paraId="363AE5EB"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5686865F" w14:textId="77669D02" w:rsidR="00C53EBA" w:rsidRPr="00C53EBA" w:rsidRDefault="00C53EBA" w:rsidP="00C53EBA">
            <w:r w:rsidRPr="00C53EBA">
              <w:t xml:space="preserve">AEGT </w:t>
            </w:r>
          </w:p>
        </w:tc>
        <w:tc>
          <w:tcPr>
            <w:tcW w:w="6803" w:type="dxa"/>
          </w:tcPr>
          <w:p w14:paraId="01DDD4D7" w14:textId="7A4D8BCF"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Adverse event group term</w:t>
            </w:r>
          </w:p>
        </w:tc>
      </w:tr>
      <w:tr w:rsidR="00C53EBA" w:rsidRPr="003442FE" w14:paraId="7F1FA543"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3E4D5FA7" w14:textId="0C995F48" w:rsidR="00C53EBA" w:rsidRPr="00C53EBA" w:rsidRDefault="00C53EBA" w:rsidP="00C53EBA">
            <w:r w:rsidRPr="00C53EBA">
              <w:t>AEPI</w:t>
            </w:r>
          </w:p>
        </w:tc>
        <w:tc>
          <w:tcPr>
            <w:tcW w:w="6803" w:type="dxa"/>
          </w:tcPr>
          <w:p w14:paraId="395B502D" w14:textId="7ECC2FFD"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Adverse event of particular interest</w:t>
            </w:r>
          </w:p>
        </w:tc>
      </w:tr>
      <w:tr w:rsidR="00C53EBA" w:rsidRPr="003442FE" w14:paraId="37CC7256"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6C23AC93" w14:textId="6F263FE4" w:rsidR="00C53EBA" w:rsidRPr="00C53EBA" w:rsidRDefault="00C53EBA" w:rsidP="00C53EBA">
            <w:r w:rsidRPr="00C53EBA">
              <w:t>AESI</w:t>
            </w:r>
          </w:p>
        </w:tc>
        <w:tc>
          <w:tcPr>
            <w:tcW w:w="6803" w:type="dxa"/>
          </w:tcPr>
          <w:p w14:paraId="2FA06842" w14:textId="68953BC3"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Adverse event of special interest</w:t>
            </w:r>
          </w:p>
        </w:tc>
      </w:tr>
      <w:tr w:rsidR="00C53EBA" w:rsidRPr="003442FE" w14:paraId="352B5FE5"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7378ABF6" w14:textId="286AAAAB" w:rsidR="00C53EBA" w:rsidRPr="00C53EBA" w:rsidRDefault="00C53EBA" w:rsidP="00C53EBA">
            <w:r w:rsidRPr="00C53EBA">
              <w:t>ALT</w:t>
            </w:r>
          </w:p>
        </w:tc>
        <w:tc>
          <w:tcPr>
            <w:tcW w:w="6803" w:type="dxa"/>
          </w:tcPr>
          <w:p w14:paraId="7769E963" w14:textId="08C42BA4"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Alanine aminotransferase</w:t>
            </w:r>
          </w:p>
        </w:tc>
      </w:tr>
      <w:tr w:rsidR="00C53EBA" w:rsidRPr="003442FE" w14:paraId="3C84453D"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1E759B87" w14:textId="64BACAB9" w:rsidR="00C53EBA" w:rsidRPr="00C53EBA" w:rsidRDefault="00C53EBA" w:rsidP="00C53EBA">
            <w:r w:rsidRPr="00C53EBA">
              <w:t>aPTT</w:t>
            </w:r>
          </w:p>
        </w:tc>
        <w:tc>
          <w:tcPr>
            <w:tcW w:w="6803" w:type="dxa"/>
          </w:tcPr>
          <w:p w14:paraId="20DC3FB2" w14:textId="4DD996E0"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Activated partial thromboplastin time</w:t>
            </w:r>
          </w:p>
        </w:tc>
      </w:tr>
      <w:tr w:rsidR="00C53EBA" w:rsidRPr="003442FE" w14:paraId="36C3DEB7"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3C3B70FB" w14:textId="6D00181C" w:rsidR="00C53EBA" w:rsidRPr="00C53EBA" w:rsidRDefault="00C53EBA" w:rsidP="00C53EBA">
            <w:r w:rsidRPr="00C53EBA">
              <w:t>AST</w:t>
            </w:r>
          </w:p>
        </w:tc>
        <w:tc>
          <w:tcPr>
            <w:tcW w:w="6803" w:type="dxa"/>
          </w:tcPr>
          <w:p w14:paraId="4F6A296B" w14:textId="0B82BF00"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Aspartate aminotransferase</w:t>
            </w:r>
          </w:p>
        </w:tc>
      </w:tr>
      <w:tr w:rsidR="00C53EBA" w:rsidRPr="003442FE" w14:paraId="1D9BBCED"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738C8067" w14:textId="37A9E282" w:rsidR="00C53EBA" w:rsidRPr="00C53EBA" w:rsidRDefault="00C53EBA" w:rsidP="00C53EBA">
            <w:r w:rsidRPr="00C53EBA">
              <w:t>CDC</w:t>
            </w:r>
          </w:p>
        </w:tc>
        <w:tc>
          <w:tcPr>
            <w:tcW w:w="6803" w:type="dxa"/>
          </w:tcPr>
          <w:p w14:paraId="7026DA90" w14:textId="0B63642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Complement</w:t>
            </w:r>
            <w:r w:rsidR="00E42DA2">
              <w:t xml:space="preserve"> </w:t>
            </w:r>
            <w:r w:rsidRPr="00C53EBA">
              <w:t>dependent cytotoxicity</w:t>
            </w:r>
          </w:p>
        </w:tc>
      </w:tr>
      <w:tr w:rsidR="00C53EBA" w:rsidRPr="003442FE" w14:paraId="4E1FE455"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34398C44" w14:textId="7F0503BA" w:rsidR="00C53EBA" w:rsidRPr="00C53EBA" w:rsidRDefault="00C53EBA" w:rsidP="00C53EBA">
            <w:r w:rsidRPr="00C53EBA">
              <w:t>CHOP</w:t>
            </w:r>
          </w:p>
        </w:tc>
        <w:tc>
          <w:tcPr>
            <w:tcW w:w="6803" w:type="dxa"/>
          </w:tcPr>
          <w:p w14:paraId="1EC6DD2E" w14:textId="269E5869"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Cyclophosphamide, </w:t>
            </w:r>
            <w:r w:rsidR="00C53EBA" w:rsidRPr="00C53EBA">
              <w:t>doxorubicin, vincristine, and  prednisolone</w:t>
            </w:r>
          </w:p>
        </w:tc>
      </w:tr>
      <w:tr w:rsidR="00C53EBA" w:rsidRPr="003442FE" w14:paraId="39A5A883"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29CF4A0E" w14:textId="7E6CEA2E" w:rsidR="00C53EBA" w:rsidRPr="00C53EBA" w:rsidRDefault="00C53EBA" w:rsidP="00C53EBA">
            <w:r w:rsidRPr="00C53EBA">
              <w:t>CLL</w:t>
            </w:r>
          </w:p>
        </w:tc>
        <w:tc>
          <w:tcPr>
            <w:tcW w:w="6803" w:type="dxa"/>
          </w:tcPr>
          <w:p w14:paraId="1058CC63" w14:textId="0FD63E13"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Chronic lymphocytic </w:t>
            </w:r>
            <w:r w:rsidR="00C53EBA" w:rsidRPr="00C53EBA">
              <w:t>leukaemia</w:t>
            </w:r>
          </w:p>
        </w:tc>
      </w:tr>
      <w:tr w:rsidR="00C53EBA" w:rsidRPr="003442FE" w14:paraId="1D63D1C9"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0F059720" w14:textId="3360F168" w:rsidR="00C53EBA" w:rsidRPr="00C53EBA" w:rsidRDefault="00C53EBA" w:rsidP="00C53EBA">
            <w:r w:rsidRPr="00C53EBA">
              <w:t>CMH</w:t>
            </w:r>
          </w:p>
        </w:tc>
        <w:tc>
          <w:tcPr>
            <w:tcW w:w="6803" w:type="dxa"/>
          </w:tcPr>
          <w:p w14:paraId="64835514" w14:textId="607F652A"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Cochran-</w:t>
            </w:r>
            <w:r w:rsidR="0016371D">
              <w:t>M</w:t>
            </w:r>
            <w:r w:rsidRPr="00C53EBA">
              <w:t>antel-</w:t>
            </w:r>
            <w:r w:rsidR="0016371D">
              <w:t>H</w:t>
            </w:r>
            <w:r w:rsidRPr="00C53EBA">
              <w:t>aenszel</w:t>
            </w:r>
          </w:p>
        </w:tc>
      </w:tr>
      <w:tr w:rsidR="00C53EBA" w:rsidRPr="003442FE" w14:paraId="06EFAA71"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0CF8F635" w14:textId="0D52E495" w:rsidR="00C53EBA" w:rsidRPr="00C53EBA" w:rsidRDefault="00C53EBA" w:rsidP="00C53EBA">
            <w:r w:rsidRPr="00C53EBA">
              <w:t>CO</w:t>
            </w:r>
          </w:p>
        </w:tc>
        <w:tc>
          <w:tcPr>
            <w:tcW w:w="6803" w:type="dxa"/>
          </w:tcPr>
          <w:p w14:paraId="4609F458" w14:textId="6369C3EB"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Clinical overview</w:t>
            </w:r>
          </w:p>
        </w:tc>
      </w:tr>
      <w:tr w:rsidR="00C53EBA" w:rsidRPr="003442FE" w14:paraId="449C1EDA"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19D83F85" w14:textId="70C8FE87" w:rsidR="00C53EBA" w:rsidRPr="00C53EBA" w:rsidRDefault="00C53EBA" w:rsidP="00C53EBA">
            <w:r w:rsidRPr="00C53EBA">
              <w:t xml:space="preserve">CR </w:t>
            </w:r>
          </w:p>
        </w:tc>
        <w:tc>
          <w:tcPr>
            <w:tcW w:w="6803" w:type="dxa"/>
          </w:tcPr>
          <w:p w14:paraId="1809A218" w14:textId="3EBEA988"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Complete response</w:t>
            </w:r>
          </w:p>
        </w:tc>
      </w:tr>
      <w:tr w:rsidR="00C53EBA" w:rsidRPr="003442FE" w14:paraId="7ECE6C76"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3B1056B5" w14:textId="1258D474" w:rsidR="00C53EBA" w:rsidRPr="00C53EBA" w:rsidRDefault="00C53EBA" w:rsidP="00C53EBA">
            <w:r w:rsidRPr="00C53EBA">
              <w:t>CSR</w:t>
            </w:r>
          </w:p>
        </w:tc>
        <w:tc>
          <w:tcPr>
            <w:tcW w:w="6803" w:type="dxa"/>
          </w:tcPr>
          <w:p w14:paraId="7CDB295A" w14:textId="7FC7808F"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Clinical study report</w:t>
            </w:r>
          </w:p>
        </w:tc>
      </w:tr>
      <w:tr w:rsidR="00C53EBA" w:rsidRPr="003442FE" w14:paraId="2644A8F2"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564DE18D" w14:textId="74DB1199" w:rsidR="00C53EBA" w:rsidRPr="00C53EBA" w:rsidRDefault="00C53EBA" w:rsidP="00C53EBA">
            <w:r w:rsidRPr="00C53EBA">
              <w:t>CT</w:t>
            </w:r>
          </w:p>
        </w:tc>
        <w:tc>
          <w:tcPr>
            <w:tcW w:w="6803" w:type="dxa"/>
          </w:tcPr>
          <w:p w14:paraId="04D2CE65" w14:textId="2F87E5DD"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Computed tomography</w:t>
            </w:r>
          </w:p>
        </w:tc>
      </w:tr>
      <w:tr w:rsidR="00C53EBA" w:rsidRPr="003442FE" w14:paraId="006BAFD7"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19A5B7B9" w14:textId="133F01E9" w:rsidR="00C53EBA" w:rsidRPr="00C53EBA" w:rsidRDefault="00C53EBA" w:rsidP="00C53EBA">
            <w:r w:rsidRPr="00C53EBA">
              <w:t>CVP</w:t>
            </w:r>
          </w:p>
        </w:tc>
        <w:tc>
          <w:tcPr>
            <w:tcW w:w="6803" w:type="dxa"/>
          </w:tcPr>
          <w:p w14:paraId="0585FDF1" w14:textId="4EFC5AED"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Cyclophosphamide, vincristine, and </w:t>
            </w:r>
            <w:r w:rsidR="00C53EBA" w:rsidRPr="00C53EBA">
              <w:t>prednisolone</w:t>
            </w:r>
          </w:p>
        </w:tc>
      </w:tr>
      <w:tr w:rsidR="00C53EBA" w:rsidRPr="003442FE" w14:paraId="07380F7C"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68D7C59F" w14:textId="73390DB3" w:rsidR="00C53EBA" w:rsidRPr="00C53EBA" w:rsidRDefault="00C53EBA" w:rsidP="00C53EBA">
            <w:r w:rsidRPr="00C53EBA">
              <w:t>DFS</w:t>
            </w:r>
          </w:p>
        </w:tc>
        <w:tc>
          <w:tcPr>
            <w:tcW w:w="6803" w:type="dxa"/>
          </w:tcPr>
          <w:p w14:paraId="38C56171" w14:textId="6ECF85DC"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Disease</w:t>
            </w:r>
            <w:r w:rsidR="0016371D">
              <w:t xml:space="preserve"> </w:t>
            </w:r>
            <w:r w:rsidRPr="00C53EBA">
              <w:t>free survival</w:t>
            </w:r>
          </w:p>
        </w:tc>
      </w:tr>
      <w:tr w:rsidR="00C53EBA" w:rsidRPr="003442FE" w14:paraId="48A64D2F"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6FF39301" w14:textId="2A4F301A" w:rsidR="00C53EBA" w:rsidRPr="00C53EBA" w:rsidRDefault="00C53EBA" w:rsidP="00C53EBA">
            <w:r w:rsidRPr="00C53EBA">
              <w:t>DLBCL</w:t>
            </w:r>
          </w:p>
        </w:tc>
        <w:tc>
          <w:tcPr>
            <w:tcW w:w="6803" w:type="dxa"/>
          </w:tcPr>
          <w:p w14:paraId="6E5B8911" w14:textId="3AF50D9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Diffuse </w:t>
            </w:r>
            <w:r w:rsidR="00C53EBA" w:rsidRPr="00C53EBA">
              <w:t>large B</w:t>
            </w:r>
            <w:r w:rsidR="0016371D">
              <w:t xml:space="preserve"> </w:t>
            </w:r>
            <w:r w:rsidR="00C53EBA" w:rsidRPr="00C53EBA">
              <w:t>cell lymphoma</w:t>
            </w:r>
          </w:p>
        </w:tc>
      </w:tr>
      <w:tr w:rsidR="00C53EBA" w:rsidRPr="003442FE" w14:paraId="6448BC69"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05887909" w14:textId="66164F63" w:rsidR="00C53EBA" w:rsidRPr="00C53EBA" w:rsidRDefault="00C53EBA" w:rsidP="00C53EBA">
            <w:r w:rsidRPr="00C53EBA">
              <w:t>DOR</w:t>
            </w:r>
          </w:p>
        </w:tc>
        <w:tc>
          <w:tcPr>
            <w:tcW w:w="6803" w:type="dxa"/>
          </w:tcPr>
          <w:p w14:paraId="5F97F96D" w14:textId="5573EDA6"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Duration of response</w:t>
            </w:r>
          </w:p>
        </w:tc>
      </w:tr>
      <w:tr w:rsidR="00C53EBA" w:rsidRPr="003442FE" w14:paraId="415212D4"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73C432AC" w14:textId="03A75690" w:rsidR="00C53EBA" w:rsidRPr="00C53EBA" w:rsidRDefault="00C53EBA" w:rsidP="00C53EBA">
            <w:r w:rsidRPr="00C53EBA">
              <w:t>DRESS</w:t>
            </w:r>
          </w:p>
        </w:tc>
        <w:tc>
          <w:tcPr>
            <w:tcW w:w="6803" w:type="dxa"/>
          </w:tcPr>
          <w:p w14:paraId="48D8D437" w14:textId="114FF067"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Drug reaction with eosinophilia and systemic symptoms</w:t>
            </w:r>
          </w:p>
        </w:tc>
      </w:tr>
      <w:tr w:rsidR="00C53EBA" w:rsidRPr="003442FE" w14:paraId="6D9A91B8"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7CD43E5E" w14:textId="20DB3E9E" w:rsidR="00C53EBA" w:rsidRPr="00C53EBA" w:rsidRDefault="00C53EBA" w:rsidP="00C53EBA">
            <w:r w:rsidRPr="00C53EBA">
              <w:t xml:space="preserve">EC </w:t>
            </w:r>
          </w:p>
        </w:tc>
        <w:tc>
          <w:tcPr>
            <w:tcW w:w="6803" w:type="dxa"/>
          </w:tcPr>
          <w:p w14:paraId="75698EDC" w14:textId="4E83800F"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Ethics committee</w:t>
            </w:r>
          </w:p>
        </w:tc>
      </w:tr>
      <w:tr w:rsidR="00C53EBA" w:rsidRPr="003442FE" w14:paraId="2CAABBB6"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6A3355B8" w14:textId="49668759" w:rsidR="00C53EBA" w:rsidRPr="00C53EBA" w:rsidRDefault="00C53EBA" w:rsidP="00C53EBA">
            <w:r w:rsidRPr="00C53EBA">
              <w:lastRenderedPageBreak/>
              <w:t xml:space="preserve">ECOG </w:t>
            </w:r>
          </w:p>
        </w:tc>
        <w:tc>
          <w:tcPr>
            <w:tcW w:w="6803" w:type="dxa"/>
          </w:tcPr>
          <w:p w14:paraId="4E6C52A1" w14:textId="6A11C625"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European cooperative oncology group</w:t>
            </w:r>
          </w:p>
        </w:tc>
      </w:tr>
      <w:tr w:rsidR="00C53EBA" w:rsidRPr="003442FE" w14:paraId="5EC95887"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64D8A9EC" w14:textId="00F06F65" w:rsidR="00C53EBA" w:rsidRPr="00C53EBA" w:rsidRDefault="00C53EBA" w:rsidP="00C53EBA">
            <w:r w:rsidRPr="00C53EBA">
              <w:t>EFS</w:t>
            </w:r>
          </w:p>
        </w:tc>
        <w:tc>
          <w:tcPr>
            <w:tcW w:w="6803" w:type="dxa"/>
          </w:tcPr>
          <w:p w14:paraId="66FBA3D7" w14:textId="5008BEBF"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Event-free </w:t>
            </w:r>
            <w:r w:rsidR="00C53EBA" w:rsidRPr="00C53EBA">
              <w:t>survival</w:t>
            </w:r>
          </w:p>
        </w:tc>
      </w:tr>
      <w:tr w:rsidR="00C53EBA" w:rsidRPr="003442FE" w14:paraId="371EFB7A"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168FE294" w14:textId="22EE34C8" w:rsidR="00C53EBA" w:rsidRPr="00C53EBA" w:rsidRDefault="00C53EBA" w:rsidP="00C53EBA">
            <w:r w:rsidRPr="00C53EBA">
              <w:t>enMZL</w:t>
            </w:r>
          </w:p>
        </w:tc>
        <w:tc>
          <w:tcPr>
            <w:tcW w:w="6803" w:type="dxa"/>
          </w:tcPr>
          <w:p w14:paraId="28F416E4" w14:textId="2E598494"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Extranodal </w:t>
            </w:r>
            <w:r w:rsidR="00C53EBA" w:rsidRPr="00C53EBA">
              <w:t>MZL</w:t>
            </w:r>
          </w:p>
        </w:tc>
      </w:tr>
      <w:tr w:rsidR="00C53EBA" w:rsidRPr="003442FE" w14:paraId="3FE7EA4C"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1E30CD7A" w14:textId="276BB440" w:rsidR="00C53EBA" w:rsidRPr="00C53EBA" w:rsidRDefault="00C53EBA" w:rsidP="00C53EBA">
            <w:r w:rsidRPr="00C53EBA">
              <w:t>EOI</w:t>
            </w:r>
          </w:p>
        </w:tc>
        <w:tc>
          <w:tcPr>
            <w:tcW w:w="6803" w:type="dxa"/>
          </w:tcPr>
          <w:p w14:paraId="514785E1" w14:textId="20C6B96E"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End of induction</w:t>
            </w:r>
          </w:p>
        </w:tc>
      </w:tr>
      <w:tr w:rsidR="00C53EBA" w:rsidRPr="003442FE" w14:paraId="072A5363"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42688D60" w14:textId="69EEC730" w:rsidR="00C53EBA" w:rsidRPr="00C53EBA" w:rsidRDefault="00C53EBA" w:rsidP="00C53EBA">
            <w:r w:rsidRPr="00C53EBA">
              <w:t>EOM</w:t>
            </w:r>
          </w:p>
        </w:tc>
        <w:tc>
          <w:tcPr>
            <w:tcW w:w="6803" w:type="dxa"/>
          </w:tcPr>
          <w:p w14:paraId="40047C88" w14:textId="47530010"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End of maintenance</w:t>
            </w:r>
          </w:p>
        </w:tc>
      </w:tr>
      <w:tr w:rsidR="00C53EBA" w:rsidRPr="003442FE" w14:paraId="36A0EF10"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44E198C1" w14:textId="085C6D05" w:rsidR="00C53EBA" w:rsidRPr="00C53EBA" w:rsidRDefault="00C53EBA" w:rsidP="00C53EBA">
            <w:r w:rsidRPr="00C53EBA">
              <w:t>ESMO</w:t>
            </w:r>
          </w:p>
        </w:tc>
        <w:tc>
          <w:tcPr>
            <w:tcW w:w="6803" w:type="dxa"/>
          </w:tcPr>
          <w:p w14:paraId="1DADFBC8" w14:textId="44256EA5" w:rsidR="00C53EBA" w:rsidRPr="00C53EBA" w:rsidRDefault="00C53EBA" w:rsidP="00C53EBA">
            <w:pPr>
              <w:cnfStyle w:val="000000000000" w:firstRow="0" w:lastRow="0" w:firstColumn="0" w:lastColumn="0" w:oddVBand="0" w:evenVBand="0" w:oddHBand="0" w:evenHBand="0" w:firstRowFirstColumn="0" w:firstRowLastColumn="0" w:lastRowFirstColumn="0" w:lastRowLastColumn="0"/>
            </w:pPr>
            <w:r w:rsidRPr="00C53EBA">
              <w:t>European Society for Medical Oncology</w:t>
            </w:r>
          </w:p>
        </w:tc>
      </w:tr>
      <w:tr w:rsidR="00C53EBA" w:rsidRPr="003442FE" w14:paraId="5E915098"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34D56933" w14:textId="5CCF1C40" w:rsidR="00C53EBA" w:rsidRPr="00C53EBA" w:rsidRDefault="00C53EBA" w:rsidP="00C53EBA">
            <w:r w:rsidRPr="00C53EBA">
              <w:t>EuroQol</w:t>
            </w:r>
          </w:p>
        </w:tc>
        <w:tc>
          <w:tcPr>
            <w:tcW w:w="6803" w:type="dxa"/>
          </w:tcPr>
          <w:p w14:paraId="7A31AB9B" w14:textId="43367891" w:rsidR="00C53EBA" w:rsidRPr="00C53EBA" w:rsidRDefault="00C53EBA" w:rsidP="00C53EBA">
            <w:pPr>
              <w:cnfStyle w:val="000000000000" w:firstRow="0" w:lastRow="0" w:firstColumn="0" w:lastColumn="0" w:oddVBand="0" w:evenVBand="0" w:oddHBand="0" w:evenHBand="0" w:firstRowFirstColumn="0" w:firstRowLastColumn="0" w:lastRowFirstColumn="0" w:lastRowLastColumn="0"/>
            </w:pPr>
            <w:r w:rsidRPr="00C53EBA">
              <w:t>European Quality of Life</w:t>
            </w:r>
          </w:p>
        </w:tc>
      </w:tr>
      <w:tr w:rsidR="00C53EBA" w:rsidRPr="003442FE" w14:paraId="1A2BCD4A"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1F720B08" w14:textId="1BBC2FD0" w:rsidR="00C53EBA" w:rsidRPr="00C53EBA" w:rsidRDefault="00C53EBA" w:rsidP="00C53EBA">
            <w:r w:rsidRPr="00C53EBA">
              <w:t xml:space="preserve">FACT-Lym </w:t>
            </w:r>
          </w:p>
        </w:tc>
        <w:tc>
          <w:tcPr>
            <w:tcW w:w="6803" w:type="dxa"/>
          </w:tcPr>
          <w:p w14:paraId="751DFACF" w14:textId="1D830FF0" w:rsidR="00C53EBA" w:rsidRPr="00C53EBA" w:rsidRDefault="00C53EBA" w:rsidP="00C53EBA">
            <w:pPr>
              <w:cnfStyle w:val="000000000000" w:firstRow="0" w:lastRow="0" w:firstColumn="0" w:lastColumn="0" w:oddVBand="0" w:evenVBand="0" w:oddHBand="0" w:evenHBand="0" w:firstRowFirstColumn="0" w:firstRowLastColumn="0" w:lastRowFirstColumn="0" w:lastRowLastColumn="0"/>
            </w:pPr>
            <w:r w:rsidRPr="00C53EBA">
              <w:t>Functional Assessment of Cancer Therapy-Lymphoma</w:t>
            </w:r>
          </w:p>
        </w:tc>
      </w:tr>
      <w:tr w:rsidR="00C53EBA" w:rsidRPr="003442FE" w14:paraId="2B36BAFE"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39F79D3D" w14:textId="107BAF60" w:rsidR="00C53EBA" w:rsidRPr="00C53EBA" w:rsidRDefault="00C53EBA" w:rsidP="00C53EBA">
            <w:r w:rsidRPr="00C53EBA">
              <w:t>FDG-PET</w:t>
            </w:r>
          </w:p>
        </w:tc>
        <w:tc>
          <w:tcPr>
            <w:tcW w:w="6803" w:type="dxa"/>
          </w:tcPr>
          <w:p w14:paraId="6B5807F9" w14:textId="558B0319" w:rsidR="00C53EBA" w:rsidRPr="00C53EBA" w:rsidRDefault="00C53EBA" w:rsidP="00C53EBA">
            <w:pPr>
              <w:cnfStyle w:val="000000000000" w:firstRow="0" w:lastRow="0" w:firstColumn="0" w:lastColumn="0" w:oddVBand="0" w:evenVBand="0" w:oddHBand="0" w:evenHBand="0" w:firstRowFirstColumn="0" w:firstRowLastColumn="0" w:lastRowFirstColumn="0" w:lastRowLastColumn="0"/>
            </w:pPr>
            <w:r w:rsidRPr="00C53EBA">
              <w:t>18F-fluorodeoxyglucose positron emission tomography</w:t>
            </w:r>
          </w:p>
        </w:tc>
      </w:tr>
      <w:tr w:rsidR="00C53EBA" w:rsidRPr="003442FE" w14:paraId="73572467"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52745F89" w14:textId="7403AD78" w:rsidR="00C53EBA" w:rsidRPr="00C53EBA" w:rsidRDefault="00C53EBA" w:rsidP="00C53EBA">
            <w:r w:rsidRPr="00C53EBA">
              <w:t>FL</w:t>
            </w:r>
          </w:p>
        </w:tc>
        <w:tc>
          <w:tcPr>
            <w:tcW w:w="6803" w:type="dxa"/>
          </w:tcPr>
          <w:p w14:paraId="5581E5BB" w14:textId="7782F16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Follicular lymphoma</w:t>
            </w:r>
          </w:p>
        </w:tc>
      </w:tr>
      <w:tr w:rsidR="00C53EBA" w:rsidRPr="003442FE" w14:paraId="48CAC7B0"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174754AB" w14:textId="3D83A7EF" w:rsidR="00C53EBA" w:rsidRPr="00C53EBA" w:rsidRDefault="00C53EBA" w:rsidP="00C53EBA">
            <w:r w:rsidRPr="00C53EBA">
              <w:t>FLIPI2</w:t>
            </w:r>
          </w:p>
        </w:tc>
        <w:tc>
          <w:tcPr>
            <w:tcW w:w="6803" w:type="dxa"/>
          </w:tcPr>
          <w:p w14:paraId="2687F4E5" w14:textId="5881BDA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Follicular lymphoma international prognostic index 2</w:t>
            </w:r>
          </w:p>
        </w:tc>
      </w:tr>
      <w:tr w:rsidR="00C53EBA" w:rsidRPr="003442FE" w14:paraId="3971E2A8"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7442D2E2" w14:textId="4C22CC41" w:rsidR="00C53EBA" w:rsidRPr="00C53EBA" w:rsidRDefault="00C53EBA" w:rsidP="00C53EBA">
            <w:r w:rsidRPr="00C53EBA">
              <w:t>G-chemo</w:t>
            </w:r>
          </w:p>
        </w:tc>
        <w:tc>
          <w:tcPr>
            <w:tcW w:w="6803" w:type="dxa"/>
          </w:tcPr>
          <w:p w14:paraId="42A11A11" w14:textId="41DBF338"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Obinutuzumab plus chemotherapy</w:t>
            </w:r>
          </w:p>
        </w:tc>
      </w:tr>
      <w:tr w:rsidR="00C53EBA" w:rsidRPr="003442FE" w14:paraId="25D4FD80"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75CA1078" w14:textId="6E02B699" w:rsidR="00C53EBA" w:rsidRPr="00C53EBA" w:rsidRDefault="00C53EBA" w:rsidP="00C53EBA">
            <w:r w:rsidRPr="00C53EBA">
              <w:t>GCP</w:t>
            </w:r>
          </w:p>
        </w:tc>
        <w:tc>
          <w:tcPr>
            <w:tcW w:w="6803" w:type="dxa"/>
          </w:tcPr>
          <w:p w14:paraId="63E6BC5C" w14:textId="7B04912E"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Good clinical practice</w:t>
            </w:r>
          </w:p>
        </w:tc>
      </w:tr>
      <w:tr w:rsidR="00C53EBA" w:rsidRPr="003442FE" w14:paraId="0FE8BC26"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391EC683" w14:textId="7923F561" w:rsidR="00C53EBA" w:rsidRPr="00C53EBA" w:rsidRDefault="00C53EBA" w:rsidP="00C53EBA">
            <w:r w:rsidRPr="00C53EBA">
              <w:t>G-CSF</w:t>
            </w:r>
          </w:p>
        </w:tc>
        <w:tc>
          <w:tcPr>
            <w:tcW w:w="6803" w:type="dxa"/>
          </w:tcPr>
          <w:p w14:paraId="6CB25160" w14:textId="0691B60A"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Granulocyte colony stimulating factor</w:t>
            </w:r>
          </w:p>
        </w:tc>
      </w:tr>
      <w:tr w:rsidR="00C53EBA" w:rsidRPr="003442FE" w14:paraId="5EAA99ED"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79BFFFF1" w14:textId="23E3D56D" w:rsidR="00C53EBA" w:rsidRPr="00C53EBA" w:rsidRDefault="00C53EBA" w:rsidP="00C53EBA">
            <w:r w:rsidRPr="00C53EBA">
              <w:t xml:space="preserve">G-maintenance </w:t>
            </w:r>
          </w:p>
        </w:tc>
        <w:tc>
          <w:tcPr>
            <w:tcW w:w="6803" w:type="dxa"/>
          </w:tcPr>
          <w:p w14:paraId="55CAC313" w14:textId="106372EB"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Obinutuzumab maintenance</w:t>
            </w:r>
          </w:p>
        </w:tc>
      </w:tr>
      <w:tr w:rsidR="00C53EBA" w:rsidRPr="003442FE" w14:paraId="31D175B2"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231C081C" w14:textId="7389765B" w:rsidR="00C53EBA" w:rsidRPr="00C53EBA" w:rsidRDefault="00C53EBA" w:rsidP="00C53EBA">
            <w:r w:rsidRPr="00C53EBA">
              <w:t>HAHA</w:t>
            </w:r>
          </w:p>
        </w:tc>
        <w:tc>
          <w:tcPr>
            <w:tcW w:w="6803" w:type="dxa"/>
          </w:tcPr>
          <w:p w14:paraId="056FEC86" w14:textId="6DE0ADE6"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Human anti–human antibodies</w:t>
            </w:r>
          </w:p>
        </w:tc>
      </w:tr>
      <w:tr w:rsidR="00C53EBA" w:rsidRPr="003442FE" w14:paraId="3F783D18" w14:textId="77777777" w:rsidTr="00E4168A">
        <w:tc>
          <w:tcPr>
            <w:cnfStyle w:val="001000000000" w:firstRow="0" w:lastRow="0" w:firstColumn="1" w:lastColumn="0" w:oddVBand="0" w:evenVBand="0" w:oddHBand="0" w:evenHBand="0" w:firstRowFirstColumn="0" w:firstRowLastColumn="0" w:lastRowFirstColumn="0" w:lastRowLastColumn="0"/>
            <w:tcW w:w="1998" w:type="dxa"/>
          </w:tcPr>
          <w:p w14:paraId="4EF3993F" w14:textId="65FE1321" w:rsidR="00C53EBA" w:rsidRPr="00C53EBA" w:rsidRDefault="00C53EBA" w:rsidP="00C53EBA">
            <w:r w:rsidRPr="00C53EBA">
              <w:t xml:space="preserve">HBcAb </w:t>
            </w:r>
          </w:p>
        </w:tc>
        <w:tc>
          <w:tcPr>
            <w:tcW w:w="6803" w:type="dxa"/>
          </w:tcPr>
          <w:p w14:paraId="724AED23" w14:textId="3FC86D80"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Hepatitis </w:t>
            </w:r>
            <w:r w:rsidR="00C53EBA" w:rsidRPr="00C53EBA">
              <w:t>B core antibody</w:t>
            </w:r>
          </w:p>
        </w:tc>
      </w:tr>
      <w:tr w:rsidR="00C53EBA" w:rsidRPr="003442FE" w14:paraId="3821ACB9"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6475CC7E" w14:textId="6F3A07C8" w:rsidR="00C53EBA" w:rsidRPr="00C53EBA" w:rsidRDefault="00C53EBA" w:rsidP="00C53EBA">
            <w:r w:rsidRPr="00C53EBA">
              <w:t xml:space="preserve">HBsAb </w:t>
            </w:r>
          </w:p>
        </w:tc>
        <w:tc>
          <w:tcPr>
            <w:tcW w:w="6803" w:type="dxa"/>
          </w:tcPr>
          <w:p w14:paraId="1632DBA9" w14:textId="145F13D4"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Hepatitis </w:t>
            </w:r>
            <w:r w:rsidR="00C53EBA" w:rsidRPr="00C53EBA">
              <w:t>B surface antibody</w:t>
            </w:r>
          </w:p>
        </w:tc>
      </w:tr>
      <w:tr w:rsidR="00C53EBA" w:rsidRPr="003442FE" w14:paraId="58172C59"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5A025FBB" w14:textId="201C9E28" w:rsidR="00C53EBA" w:rsidRPr="00C53EBA" w:rsidRDefault="00C53EBA" w:rsidP="00C53EBA">
            <w:r w:rsidRPr="00C53EBA">
              <w:t xml:space="preserve">HBsAb </w:t>
            </w:r>
          </w:p>
        </w:tc>
        <w:tc>
          <w:tcPr>
            <w:tcW w:w="6803" w:type="dxa"/>
          </w:tcPr>
          <w:p w14:paraId="281F694B" w14:textId="70039F1C"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Hepatitis </w:t>
            </w:r>
            <w:r w:rsidR="00C53EBA" w:rsidRPr="00C53EBA">
              <w:t>B surface antibody</w:t>
            </w:r>
          </w:p>
        </w:tc>
      </w:tr>
      <w:tr w:rsidR="00C53EBA" w:rsidRPr="003442FE" w14:paraId="04159AC4"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0F1ACD74" w14:textId="7B8E8574" w:rsidR="00C53EBA" w:rsidRPr="00C53EBA" w:rsidRDefault="00C53EBA" w:rsidP="00C53EBA">
            <w:r w:rsidRPr="00C53EBA">
              <w:t>HBsAg</w:t>
            </w:r>
          </w:p>
        </w:tc>
        <w:tc>
          <w:tcPr>
            <w:tcW w:w="6803" w:type="dxa"/>
          </w:tcPr>
          <w:p w14:paraId="12488B53" w14:textId="39528BA0"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Hepatitis </w:t>
            </w:r>
            <w:r w:rsidR="00C53EBA" w:rsidRPr="00C53EBA">
              <w:t>B surface antigen</w:t>
            </w:r>
          </w:p>
        </w:tc>
      </w:tr>
      <w:tr w:rsidR="00C53EBA" w:rsidRPr="003442FE" w14:paraId="414E4EE1"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0E0D4B75" w14:textId="25A2B1D9" w:rsidR="00C53EBA" w:rsidRPr="00C53EBA" w:rsidRDefault="00C53EBA" w:rsidP="00C53EBA">
            <w:r w:rsidRPr="00C53EBA">
              <w:t>HBV</w:t>
            </w:r>
          </w:p>
        </w:tc>
        <w:tc>
          <w:tcPr>
            <w:tcW w:w="6803" w:type="dxa"/>
          </w:tcPr>
          <w:p w14:paraId="2F148565" w14:textId="172A35B5"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Hepatitis </w:t>
            </w:r>
            <w:r w:rsidR="00C53EBA" w:rsidRPr="00C53EBA">
              <w:t>B virus</w:t>
            </w:r>
          </w:p>
        </w:tc>
      </w:tr>
      <w:tr w:rsidR="00C53EBA" w:rsidRPr="003442FE" w14:paraId="13B0BA1F"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4BBCA2FB" w14:textId="6D8D8B4D" w:rsidR="00C53EBA" w:rsidRPr="00C53EBA" w:rsidRDefault="00C53EBA" w:rsidP="00C53EBA">
            <w:r w:rsidRPr="00C53EBA">
              <w:t>HCV</w:t>
            </w:r>
          </w:p>
        </w:tc>
        <w:tc>
          <w:tcPr>
            <w:tcW w:w="6803" w:type="dxa"/>
          </w:tcPr>
          <w:p w14:paraId="1EC5573E" w14:textId="45BF51A2"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Hepatitis </w:t>
            </w:r>
            <w:r w:rsidR="00C53EBA" w:rsidRPr="00C53EBA">
              <w:t>C virus</w:t>
            </w:r>
          </w:p>
        </w:tc>
      </w:tr>
      <w:tr w:rsidR="00C53EBA" w:rsidRPr="003442FE" w14:paraId="350B88B1"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7CEAB24B" w14:textId="4533A741" w:rsidR="00C53EBA" w:rsidRPr="00C53EBA" w:rsidRDefault="00C53EBA" w:rsidP="00C53EBA">
            <w:r w:rsidRPr="00C53EBA">
              <w:t xml:space="preserve">HR </w:t>
            </w:r>
          </w:p>
        </w:tc>
        <w:tc>
          <w:tcPr>
            <w:tcW w:w="6803" w:type="dxa"/>
          </w:tcPr>
          <w:p w14:paraId="52C6F0AA" w14:textId="69F4C1A7"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Hazard ratio</w:t>
            </w:r>
          </w:p>
        </w:tc>
      </w:tr>
      <w:tr w:rsidR="00C53EBA" w:rsidRPr="003442FE" w14:paraId="73D0EB49"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6196A360" w14:textId="6A25EF06" w:rsidR="00C53EBA" w:rsidRPr="00C53EBA" w:rsidRDefault="00C53EBA" w:rsidP="00C53EBA">
            <w:r w:rsidRPr="00C53EBA">
              <w:t>HRQoL</w:t>
            </w:r>
          </w:p>
        </w:tc>
        <w:tc>
          <w:tcPr>
            <w:tcW w:w="6803" w:type="dxa"/>
          </w:tcPr>
          <w:p w14:paraId="6B0682B3" w14:textId="7EA7DDE6"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Health-related </w:t>
            </w:r>
            <w:r w:rsidR="00C53EBA" w:rsidRPr="00C53EBA">
              <w:t>quality of life</w:t>
            </w:r>
          </w:p>
        </w:tc>
      </w:tr>
      <w:tr w:rsidR="00C53EBA" w:rsidRPr="003442FE" w14:paraId="0855E2B2"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1DBF5D8E" w14:textId="4C4FA227" w:rsidR="00C53EBA" w:rsidRPr="00C53EBA" w:rsidRDefault="00C53EBA" w:rsidP="00C53EBA">
            <w:r w:rsidRPr="00C53EBA">
              <w:t>HTLV-1</w:t>
            </w:r>
          </w:p>
        </w:tc>
        <w:tc>
          <w:tcPr>
            <w:tcW w:w="6803" w:type="dxa"/>
          </w:tcPr>
          <w:p w14:paraId="5174C928" w14:textId="470546E2"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Human </w:t>
            </w:r>
            <w:r w:rsidR="00C53EBA" w:rsidRPr="00C53EBA">
              <w:t>T-lymphotropic 1 virus</w:t>
            </w:r>
          </w:p>
        </w:tc>
      </w:tr>
      <w:tr w:rsidR="00C53EBA" w:rsidRPr="003442FE" w14:paraId="4D5A3850"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684404DA" w14:textId="1C041B93" w:rsidR="00C53EBA" w:rsidRPr="00C53EBA" w:rsidRDefault="00C53EBA" w:rsidP="00C53EBA">
            <w:r w:rsidRPr="00C53EBA">
              <w:lastRenderedPageBreak/>
              <w:t>IADL</w:t>
            </w:r>
          </w:p>
        </w:tc>
        <w:tc>
          <w:tcPr>
            <w:tcW w:w="6803" w:type="dxa"/>
          </w:tcPr>
          <w:p w14:paraId="147AFD75" w14:textId="260C9E5E"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Instrumental activities of daily living</w:t>
            </w:r>
          </w:p>
        </w:tc>
      </w:tr>
      <w:tr w:rsidR="00C53EBA" w:rsidRPr="003442FE" w14:paraId="01A1F33E"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579DE0D1" w14:textId="1868CC0D" w:rsidR="00C53EBA" w:rsidRPr="00C53EBA" w:rsidRDefault="00C53EBA" w:rsidP="00C53EBA">
            <w:r w:rsidRPr="00C53EBA">
              <w:t>ICF</w:t>
            </w:r>
          </w:p>
        </w:tc>
        <w:tc>
          <w:tcPr>
            <w:tcW w:w="6803" w:type="dxa"/>
          </w:tcPr>
          <w:p w14:paraId="5EC689D1" w14:textId="5AA3AD0C"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Informed consent form</w:t>
            </w:r>
          </w:p>
        </w:tc>
      </w:tr>
      <w:tr w:rsidR="00C53EBA" w:rsidRPr="003442FE" w14:paraId="7393B3B7"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70D27195" w14:textId="753BF667" w:rsidR="00C53EBA" w:rsidRPr="00C53EBA" w:rsidRDefault="00C53EBA" w:rsidP="00C53EBA">
            <w:r w:rsidRPr="00C53EBA">
              <w:t>IDMC</w:t>
            </w:r>
          </w:p>
        </w:tc>
        <w:tc>
          <w:tcPr>
            <w:tcW w:w="6803" w:type="dxa"/>
          </w:tcPr>
          <w:p w14:paraId="545C4A1A" w14:textId="337F9415"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Independent data monitoring committee</w:t>
            </w:r>
          </w:p>
        </w:tc>
      </w:tr>
      <w:tr w:rsidR="00C53EBA" w:rsidRPr="003442FE" w14:paraId="025C2CA6"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74907BE7" w14:textId="2F9B55EB" w:rsidR="00C53EBA" w:rsidRPr="00C53EBA" w:rsidRDefault="00C53EBA" w:rsidP="00C53EBA">
            <w:r w:rsidRPr="00C53EBA">
              <w:t>IHC</w:t>
            </w:r>
          </w:p>
        </w:tc>
        <w:tc>
          <w:tcPr>
            <w:tcW w:w="6803" w:type="dxa"/>
          </w:tcPr>
          <w:p w14:paraId="65EE4F11" w14:textId="5C2079CA"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Immunohistochemistry</w:t>
            </w:r>
          </w:p>
        </w:tc>
      </w:tr>
      <w:tr w:rsidR="00C53EBA" w:rsidRPr="003442FE" w14:paraId="0ACF83A2"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03EB04CF" w14:textId="61164D2B" w:rsidR="00C53EBA" w:rsidRPr="00C53EBA" w:rsidRDefault="00C53EBA" w:rsidP="00C53EBA">
            <w:r w:rsidRPr="00C53EBA">
              <w:t>INR</w:t>
            </w:r>
          </w:p>
        </w:tc>
        <w:tc>
          <w:tcPr>
            <w:tcW w:w="6803" w:type="dxa"/>
          </w:tcPr>
          <w:p w14:paraId="6A2439EF" w14:textId="4B3D918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t>International normalis</w:t>
            </w:r>
            <w:r w:rsidRPr="00C53EBA">
              <w:t>ed ratio</w:t>
            </w:r>
          </w:p>
        </w:tc>
      </w:tr>
      <w:tr w:rsidR="00C53EBA" w:rsidRPr="003442FE" w14:paraId="18E1D07B"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0F2B4B40" w14:textId="4276C2A7" w:rsidR="00C53EBA" w:rsidRPr="00C53EBA" w:rsidRDefault="00C53EBA" w:rsidP="00C53EBA">
            <w:r w:rsidRPr="00C53EBA">
              <w:t>IPI</w:t>
            </w:r>
          </w:p>
        </w:tc>
        <w:tc>
          <w:tcPr>
            <w:tcW w:w="6803" w:type="dxa"/>
          </w:tcPr>
          <w:p w14:paraId="0AF29F9C" w14:textId="42683685"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International prognostic index</w:t>
            </w:r>
          </w:p>
        </w:tc>
      </w:tr>
      <w:tr w:rsidR="00C53EBA" w:rsidRPr="003442FE" w14:paraId="76B6C882"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39763D4C" w14:textId="5883296F" w:rsidR="00C53EBA" w:rsidRPr="00C53EBA" w:rsidRDefault="00C53EBA" w:rsidP="00C53EBA">
            <w:r w:rsidRPr="00C53EBA">
              <w:t>IRB</w:t>
            </w:r>
          </w:p>
        </w:tc>
        <w:tc>
          <w:tcPr>
            <w:tcW w:w="6803" w:type="dxa"/>
          </w:tcPr>
          <w:p w14:paraId="081A5EE2" w14:textId="3227F506"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Institutional review board</w:t>
            </w:r>
          </w:p>
        </w:tc>
      </w:tr>
      <w:tr w:rsidR="00C53EBA" w:rsidRPr="003442FE" w14:paraId="3833A9E0"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0F853F52" w14:textId="3AD96EA7" w:rsidR="00C53EBA" w:rsidRPr="00C53EBA" w:rsidRDefault="00C53EBA" w:rsidP="00C53EBA">
            <w:r w:rsidRPr="00C53EBA">
              <w:t>IRC</w:t>
            </w:r>
          </w:p>
        </w:tc>
        <w:tc>
          <w:tcPr>
            <w:tcW w:w="6803" w:type="dxa"/>
          </w:tcPr>
          <w:p w14:paraId="05DADBEC" w14:textId="2220B8C8"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Independent review committee</w:t>
            </w:r>
          </w:p>
        </w:tc>
      </w:tr>
      <w:tr w:rsidR="00C53EBA" w:rsidRPr="003442FE" w14:paraId="650AA5EE"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024FF6D1" w14:textId="6AB011DC" w:rsidR="00C53EBA" w:rsidRPr="00C53EBA" w:rsidRDefault="00C53EBA" w:rsidP="00C53EBA">
            <w:r w:rsidRPr="00C53EBA">
              <w:t>ITT</w:t>
            </w:r>
          </w:p>
        </w:tc>
        <w:tc>
          <w:tcPr>
            <w:tcW w:w="6803" w:type="dxa"/>
          </w:tcPr>
          <w:p w14:paraId="50BC5B62" w14:textId="7FAA098C" w:rsidR="00C53EBA" w:rsidRPr="00C53EBA" w:rsidRDefault="00C53EBA" w:rsidP="00C53EBA">
            <w:pPr>
              <w:cnfStyle w:val="000000000000" w:firstRow="0" w:lastRow="0" w:firstColumn="0" w:lastColumn="0" w:oddVBand="0" w:evenVBand="0" w:oddHBand="0" w:evenHBand="0" w:firstRowFirstColumn="0" w:firstRowLastColumn="0" w:lastRowFirstColumn="0" w:lastRowLastColumn="0"/>
            </w:pPr>
            <w:r w:rsidRPr="00C53EBA">
              <w:t>Intention-to-treat</w:t>
            </w:r>
          </w:p>
        </w:tc>
      </w:tr>
      <w:tr w:rsidR="00C53EBA" w:rsidRPr="003442FE" w14:paraId="58B842EE"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17B6DEBE" w14:textId="393D3DE4" w:rsidR="00C53EBA" w:rsidRPr="00C53EBA" w:rsidRDefault="00C53EBA" w:rsidP="00C53EBA">
            <w:r w:rsidRPr="00C53EBA">
              <w:t xml:space="preserve">IVRS </w:t>
            </w:r>
          </w:p>
        </w:tc>
        <w:tc>
          <w:tcPr>
            <w:tcW w:w="6803" w:type="dxa"/>
          </w:tcPr>
          <w:p w14:paraId="5D8BD6B2" w14:textId="0B4C7666"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Interactive voice response system</w:t>
            </w:r>
          </w:p>
        </w:tc>
      </w:tr>
      <w:tr w:rsidR="00C53EBA" w:rsidRPr="003442FE" w14:paraId="328C9F65"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445BC5DD" w14:textId="1D336A5A" w:rsidR="00C53EBA" w:rsidRPr="00C53EBA" w:rsidRDefault="00C53EBA" w:rsidP="00C53EBA">
            <w:r w:rsidRPr="00C53EBA">
              <w:t>IxRS</w:t>
            </w:r>
          </w:p>
        </w:tc>
        <w:tc>
          <w:tcPr>
            <w:tcW w:w="6803" w:type="dxa"/>
          </w:tcPr>
          <w:p w14:paraId="0FC27845" w14:textId="5D9312FE" w:rsidR="00C53EBA" w:rsidRPr="00C53EBA" w:rsidRDefault="00C53EBA" w:rsidP="00C53EBA">
            <w:pPr>
              <w:cnfStyle w:val="000000000000" w:firstRow="0" w:lastRow="0" w:firstColumn="0" w:lastColumn="0" w:oddVBand="0" w:evenVBand="0" w:oddHBand="0" w:evenHBand="0" w:firstRowFirstColumn="0" w:firstRowLastColumn="0" w:lastRowFirstColumn="0" w:lastRowLastColumn="0"/>
            </w:pPr>
            <w:r w:rsidRPr="00C53EBA">
              <w:t>The Interactive Voice/Web Response System</w:t>
            </w:r>
            <w:r w:rsidR="00E4168A">
              <w:t xml:space="preserve"> used in Study </w:t>
            </w:r>
            <w:r w:rsidRPr="00C53EBA">
              <w:t>BO21223</w:t>
            </w:r>
          </w:p>
        </w:tc>
      </w:tr>
      <w:tr w:rsidR="00C53EBA" w:rsidRPr="003442FE" w14:paraId="559F899E"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23F4D7CD" w14:textId="50820635" w:rsidR="00C53EBA" w:rsidRPr="00C53EBA" w:rsidRDefault="00C53EBA" w:rsidP="00C53EBA">
            <w:r w:rsidRPr="00C53EBA">
              <w:t>LAA</w:t>
            </w:r>
          </w:p>
        </w:tc>
        <w:tc>
          <w:tcPr>
            <w:tcW w:w="6803" w:type="dxa"/>
          </w:tcPr>
          <w:p w14:paraId="030799AF" w14:textId="75D7DC39"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Last antibody </w:t>
            </w:r>
            <w:r w:rsidR="00C53EBA" w:rsidRPr="00C53EBA">
              <w:t>administered</w:t>
            </w:r>
          </w:p>
        </w:tc>
      </w:tr>
      <w:tr w:rsidR="00C53EBA" w:rsidRPr="003442FE" w14:paraId="7C3B7AD6"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3D2A0AA2" w14:textId="63E16240" w:rsidR="00C53EBA" w:rsidRPr="00C53EBA" w:rsidRDefault="00C53EBA" w:rsidP="00C53EBA">
            <w:r w:rsidRPr="00C53EBA">
              <w:t>mAb</w:t>
            </w:r>
          </w:p>
        </w:tc>
        <w:tc>
          <w:tcPr>
            <w:tcW w:w="6803" w:type="dxa"/>
          </w:tcPr>
          <w:p w14:paraId="10E6AB04" w14:textId="2DA5AC1D"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Monoclonal antibody</w:t>
            </w:r>
          </w:p>
        </w:tc>
      </w:tr>
      <w:tr w:rsidR="00C53EBA" w:rsidRPr="003442FE" w14:paraId="182FFAEE"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5D277F78" w14:textId="36A7F150" w:rsidR="00C53EBA" w:rsidRPr="00C53EBA" w:rsidRDefault="00C53EBA" w:rsidP="00C53EBA">
            <w:r w:rsidRPr="00C53EBA">
              <w:t>MRD</w:t>
            </w:r>
          </w:p>
        </w:tc>
        <w:tc>
          <w:tcPr>
            <w:tcW w:w="6803" w:type="dxa"/>
          </w:tcPr>
          <w:p w14:paraId="4F520253" w14:textId="758F104F"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Minimum residual disease</w:t>
            </w:r>
          </w:p>
        </w:tc>
      </w:tr>
      <w:tr w:rsidR="00C53EBA" w:rsidRPr="003442FE" w14:paraId="010C8FA1"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7583D706" w14:textId="1E4ACD05" w:rsidR="00C53EBA" w:rsidRPr="00C53EBA" w:rsidRDefault="00C53EBA" w:rsidP="00C53EBA">
            <w:r w:rsidRPr="00C53EBA">
              <w:t>MRI</w:t>
            </w:r>
          </w:p>
        </w:tc>
        <w:tc>
          <w:tcPr>
            <w:tcW w:w="6803" w:type="dxa"/>
          </w:tcPr>
          <w:p w14:paraId="5DDCF76A" w14:textId="7B682857"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Magnetic resonance imaging</w:t>
            </w:r>
          </w:p>
        </w:tc>
      </w:tr>
      <w:tr w:rsidR="00C53EBA" w:rsidRPr="003442FE" w14:paraId="3E8BC55C"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4F99A580" w14:textId="05EFB91C" w:rsidR="00C53EBA" w:rsidRPr="00C53EBA" w:rsidRDefault="00C53EBA" w:rsidP="00C53EBA">
            <w:r w:rsidRPr="00C53EBA">
              <w:t>MTX</w:t>
            </w:r>
          </w:p>
        </w:tc>
        <w:tc>
          <w:tcPr>
            <w:tcW w:w="6803" w:type="dxa"/>
          </w:tcPr>
          <w:p w14:paraId="546EED20" w14:textId="7115FD16"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Methotrexate</w:t>
            </w:r>
          </w:p>
        </w:tc>
      </w:tr>
      <w:tr w:rsidR="00C53EBA" w:rsidRPr="003442FE" w14:paraId="153CB8A5"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7B36BE93" w14:textId="589D1C12" w:rsidR="00C53EBA" w:rsidRPr="00C53EBA" w:rsidRDefault="00C53EBA" w:rsidP="00C53EBA">
            <w:r w:rsidRPr="00C53EBA">
              <w:t>MZL</w:t>
            </w:r>
          </w:p>
        </w:tc>
        <w:tc>
          <w:tcPr>
            <w:tcW w:w="6803" w:type="dxa"/>
          </w:tcPr>
          <w:p w14:paraId="7E3A14CB" w14:textId="23F5B54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Marginal zone lymphoma</w:t>
            </w:r>
          </w:p>
        </w:tc>
      </w:tr>
      <w:tr w:rsidR="00C53EBA" w:rsidRPr="003442FE" w14:paraId="36E2757D"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7FF644C1" w14:textId="0199D792" w:rsidR="00C53EBA" w:rsidRPr="00C53EBA" w:rsidRDefault="00C53EBA" w:rsidP="00C53EBA">
            <w:r w:rsidRPr="00C53EBA">
              <w:t>NALT</w:t>
            </w:r>
          </w:p>
        </w:tc>
        <w:tc>
          <w:tcPr>
            <w:tcW w:w="6803" w:type="dxa"/>
          </w:tcPr>
          <w:p w14:paraId="25B8A018" w14:textId="79B3B289"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New anti-lymphoma treatment</w:t>
            </w:r>
          </w:p>
        </w:tc>
      </w:tr>
      <w:tr w:rsidR="00C53EBA" w:rsidRPr="003442FE" w14:paraId="41F33FC4"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6B4D41B8" w14:textId="3422DB5E" w:rsidR="00C53EBA" w:rsidRPr="00C53EBA" w:rsidRDefault="00C53EBA" w:rsidP="00C53EBA">
            <w:r w:rsidRPr="00C53EBA">
              <w:t>NCCN</w:t>
            </w:r>
          </w:p>
        </w:tc>
        <w:tc>
          <w:tcPr>
            <w:tcW w:w="6803" w:type="dxa"/>
          </w:tcPr>
          <w:p w14:paraId="0DDF1347" w14:textId="74784B65"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National comprehensive cancer network</w:t>
            </w:r>
          </w:p>
        </w:tc>
      </w:tr>
      <w:tr w:rsidR="00C53EBA" w:rsidRPr="003442FE" w14:paraId="0D2A8117"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79689F00" w14:textId="38467240" w:rsidR="00C53EBA" w:rsidRPr="00C53EBA" w:rsidRDefault="00C53EBA" w:rsidP="00C53EBA">
            <w:r w:rsidRPr="00C53EBA">
              <w:t>NHL</w:t>
            </w:r>
          </w:p>
        </w:tc>
        <w:tc>
          <w:tcPr>
            <w:tcW w:w="6803" w:type="dxa"/>
          </w:tcPr>
          <w:p w14:paraId="3DA8BB69" w14:textId="045F55C8" w:rsidR="00C53EBA" w:rsidRPr="00C53EBA" w:rsidRDefault="00C53EBA" w:rsidP="00C53EBA">
            <w:pPr>
              <w:cnfStyle w:val="000000000000" w:firstRow="0" w:lastRow="0" w:firstColumn="0" w:lastColumn="0" w:oddVBand="0" w:evenVBand="0" w:oddHBand="0" w:evenHBand="0" w:firstRowFirstColumn="0" w:firstRowLastColumn="0" w:lastRowFirstColumn="0" w:lastRowLastColumn="0"/>
            </w:pPr>
            <w:r w:rsidRPr="00C53EBA">
              <w:t>Non-Hodgkin lymphoma</w:t>
            </w:r>
          </w:p>
        </w:tc>
      </w:tr>
      <w:tr w:rsidR="00C53EBA" w:rsidRPr="003442FE" w14:paraId="71E48B2A"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101A69FB" w14:textId="0F5C2910" w:rsidR="00C53EBA" w:rsidRPr="00C53EBA" w:rsidRDefault="00C53EBA" w:rsidP="00C53EBA">
            <w:r w:rsidRPr="00C53EBA">
              <w:t>nMZL</w:t>
            </w:r>
          </w:p>
        </w:tc>
        <w:tc>
          <w:tcPr>
            <w:tcW w:w="6803" w:type="dxa"/>
          </w:tcPr>
          <w:p w14:paraId="6060853E" w14:textId="5D9FF333"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Non</w:t>
            </w:r>
            <w:r w:rsidR="00C53EBA" w:rsidRPr="00C53EBA">
              <w:t xml:space="preserve">-splenic </w:t>
            </w:r>
            <w:r w:rsidR="0016371D">
              <w:t>marginal zone lymphoma</w:t>
            </w:r>
          </w:p>
        </w:tc>
      </w:tr>
      <w:tr w:rsidR="00C53EBA" w:rsidRPr="003442FE" w14:paraId="45CD4614"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62BD394A" w14:textId="3D099841" w:rsidR="00C53EBA" w:rsidRPr="00C53EBA" w:rsidRDefault="00C53EBA" w:rsidP="00C53EBA">
            <w:r w:rsidRPr="00C53EBA">
              <w:t>OR</w:t>
            </w:r>
          </w:p>
        </w:tc>
        <w:tc>
          <w:tcPr>
            <w:tcW w:w="6803" w:type="dxa"/>
          </w:tcPr>
          <w:p w14:paraId="104BC4E5" w14:textId="6DCAAC6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Overall response</w:t>
            </w:r>
          </w:p>
        </w:tc>
      </w:tr>
      <w:tr w:rsidR="00C53EBA" w:rsidRPr="003442FE" w14:paraId="40B1C791"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0EC2033D" w14:textId="5C41C1B2" w:rsidR="00C53EBA" w:rsidRPr="00C53EBA" w:rsidRDefault="00C53EBA" w:rsidP="00C53EBA">
            <w:r w:rsidRPr="00C53EBA">
              <w:t>ORR</w:t>
            </w:r>
          </w:p>
        </w:tc>
        <w:tc>
          <w:tcPr>
            <w:tcW w:w="6803" w:type="dxa"/>
          </w:tcPr>
          <w:p w14:paraId="4402F65B" w14:textId="331BCE1B"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Overall response rate</w:t>
            </w:r>
          </w:p>
        </w:tc>
      </w:tr>
      <w:tr w:rsidR="00C53EBA" w:rsidRPr="003442FE" w14:paraId="044F801E"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6D535DDA" w14:textId="4055F7A0" w:rsidR="00C53EBA" w:rsidRPr="00C53EBA" w:rsidRDefault="00C53EBA" w:rsidP="00C53EBA">
            <w:r w:rsidRPr="00C53EBA">
              <w:t>OS</w:t>
            </w:r>
          </w:p>
        </w:tc>
        <w:tc>
          <w:tcPr>
            <w:tcW w:w="6803" w:type="dxa"/>
          </w:tcPr>
          <w:p w14:paraId="32446124" w14:textId="48632CD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Overall survival</w:t>
            </w:r>
          </w:p>
        </w:tc>
      </w:tr>
      <w:tr w:rsidR="00C53EBA" w:rsidRPr="003442FE" w14:paraId="63514E36"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63ECCA9E" w14:textId="5C0D086C" w:rsidR="00C53EBA" w:rsidRPr="00C53EBA" w:rsidRDefault="00C53EBA" w:rsidP="00C53EBA">
            <w:r w:rsidRPr="00C53EBA">
              <w:t>PBRER</w:t>
            </w:r>
          </w:p>
        </w:tc>
        <w:tc>
          <w:tcPr>
            <w:tcW w:w="6803" w:type="dxa"/>
          </w:tcPr>
          <w:p w14:paraId="0E260317" w14:textId="6C44611A"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Periodic benefit risk evaluation r</w:t>
            </w:r>
            <w:r w:rsidR="00C53EBA" w:rsidRPr="00C53EBA">
              <w:t>eport</w:t>
            </w:r>
          </w:p>
        </w:tc>
      </w:tr>
      <w:tr w:rsidR="00C53EBA" w:rsidRPr="003442FE" w14:paraId="02B0547F"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5B0182CD" w14:textId="27854FDF" w:rsidR="00C53EBA" w:rsidRPr="00C53EBA" w:rsidRDefault="00C53EBA" w:rsidP="00C53EBA">
            <w:r w:rsidRPr="00C53EBA">
              <w:lastRenderedPageBreak/>
              <w:t>PD</w:t>
            </w:r>
          </w:p>
        </w:tc>
        <w:tc>
          <w:tcPr>
            <w:tcW w:w="6803" w:type="dxa"/>
          </w:tcPr>
          <w:p w14:paraId="6403D933" w14:textId="4D26FC67"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Protocol deviation</w:t>
            </w:r>
          </w:p>
        </w:tc>
      </w:tr>
      <w:tr w:rsidR="00C53EBA" w:rsidRPr="003442FE" w14:paraId="5C251322"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74B3167A" w14:textId="5193A09C" w:rsidR="00C53EBA" w:rsidRPr="00C53EBA" w:rsidRDefault="00C53EBA" w:rsidP="00C53EBA">
            <w:r w:rsidRPr="00C53EBA">
              <w:t>PFS</w:t>
            </w:r>
          </w:p>
        </w:tc>
        <w:tc>
          <w:tcPr>
            <w:tcW w:w="6803" w:type="dxa"/>
          </w:tcPr>
          <w:p w14:paraId="15724746" w14:textId="04BBCF18"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Progression-free survival</w:t>
            </w:r>
          </w:p>
        </w:tc>
      </w:tr>
      <w:tr w:rsidR="00C53EBA" w:rsidRPr="003442FE" w14:paraId="533144E7"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1CBC4EFF" w14:textId="61B09F28" w:rsidR="00C53EBA" w:rsidRPr="00C53EBA" w:rsidRDefault="00C53EBA" w:rsidP="00C53EBA">
            <w:r w:rsidRPr="00C53EBA">
              <w:t>PK</w:t>
            </w:r>
          </w:p>
        </w:tc>
        <w:tc>
          <w:tcPr>
            <w:tcW w:w="6803" w:type="dxa"/>
          </w:tcPr>
          <w:p w14:paraId="7F2F432E" w14:textId="2D3F9F70"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Pharmacokinetic</w:t>
            </w:r>
          </w:p>
        </w:tc>
      </w:tr>
      <w:tr w:rsidR="00C53EBA" w:rsidRPr="003442FE" w14:paraId="238F58A7"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40DC3965" w14:textId="4FD6A509" w:rsidR="00C53EBA" w:rsidRPr="00C53EBA" w:rsidRDefault="00C53EBA" w:rsidP="00C53EBA">
            <w:r w:rsidRPr="00C53EBA">
              <w:t>PML</w:t>
            </w:r>
          </w:p>
        </w:tc>
        <w:tc>
          <w:tcPr>
            <w:tcW w:w="6803" w:type="dxa"/>
          </w:tcPr>
          <w:p w14:paraId="5B92A34B" w14:textId="7A8FC5FD"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Progressive multifocal</w:t>
            </w:r>
            <w:r w:rsidR="00C53EBA" w:rsidRPr="00C53EBA">
              <w:t xml:space="preserve"> leukoencephalopathy</w:t>
            </w:r>
          </w:p>
        </w:tc>
      </w:tr>
      <w:tr w:rsidR="00C53EBA" w:rsidRPr="003442FE" w14:paraId="0FA9210E"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32251E9F" w14:textId="78862C7F" w:rsidR="00C53EBA" w:rsidRPr="00C53EBA" w:rsidRDefault="00C53EBA" w:rsidP="00C53EBA">
            <w:r w:rsidRPr="00C53EBA">
              <w:t>PR</w:t>
            </w:r>
          </w:p>
        </w:tc>
        <w:tc>
          <w:tcPr>
            <w:tcW w:w="6803" w:type="dxa"/>
          </w:tcPr>
          <w:p w14:paraId="551487C3" w14:textId="64DB6213"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Partial response</w:t>
            </w:r>
          </w:p>
        </w:tc>
      </w:tr>
      <w:tr w:rsidR="00C53EBA" w:rsidRPr="003442FE" w14:paraId="22F5F9E2"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767ED91F" w14:textId="12513CBC" w:rsidR="00C53EBA" w:rsidRPr="00C53EBA" w:rsidRDefault="00C53EBA" w:rsidP="00C53EBA">
            <w:r w:rsidRPr="00C53EBA">
              <w:t>PRO</w:t>
            </w:r>
          </w:p>
        </w:tc>
        <w:tc>
          <w:tcPr>
            <w:tcW w:w="6803" w:type="dxa"/>
          </w:tcPr>
          <w:p w14:paraId="7B5C675B" w14:textId="0CA04725"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Patient-reported outcomes</w:t>
            </w:r>
          </w:p>
        </w:tc>
      </w:tr>
      <w:tr w:rsidR="00C53EBA" w:rsidRPr="003442FE" w14:paraId="3C241DDA"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128A0DA6" w14:textId="05A7D2DE" w:rsidR="00C53EBA" w:rsidRPr="00C53EBA" w:rsidRDefault="00C53EBA" w:rsidP="00C53EBA">
            <w:r w:rsidRPr="00C53EBA">
              <w:t>PT</w:t>
            </w:r>
          </w:p>
        </w:tc>
        <w:tc>
          <w:tcPr>
            <w:tcW w:w="6803" w:type="dxa"/>
          </w:tcPr>
          <w:p w14:paraId="553A643B" w14:textId="5BFF9CC9"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Prothrombin time</w:t>
            </w:r>
          </w:p>
        </w:tc>
      </w:tr>
      <w:tr w:rsidR="00C53EBA" w:rsidRPr="003442FE" w14:paraId="1D2DF820"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0178C87B" w14:textId="4E66095C" w:rsidR="00C53EBA" w:rsidRPr="00C53EBA" w:rsidRDefault="00C53EBA" w:rsidP="00C53EBA">
            <w:r w:rsidRPr="00C53EBA">
              <w:t>PTT</w:t>
            </w:r>
          </w:p>
        </w:tc>
        <w:tc>
          <w:tcPr>
            <w:tcW w:w="6803" w:type="dxa"/>
          </w:tcPr>
          <w:p w14:paraId="11AFB7E1" w14:textId="31D04E13"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Partial thromboplastin time</w:t>
            </w:r>
          </w:p>
        </w:tc>
      </w:tr>
      <w:tr w:rsidR="00C53EBA" w:rsidRPr="003442FE" w14:paraId="173A6383"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4ABA115A" w14:textId="6E4C716A" w:rsidR="00C53EBA" w:rsidRPr="00C53EBA" w:rsidRDefault="00C53EBA" w:rsidP="00C53EBA">
            <w:r w:rsidRPr="00C53EBA">
              <w:t>R-chemo</w:t>
            </w:r>
          </w:p>
        </w:tc>
        <w:tc>
          <w:tcPr>
            <w:tcW w:w="6803" w:type="dxa"/>
          </w:tcPr>
          <w:p w14:paraId="5F388B07" w14:textId="5D01ABF8"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Rituximab plus chemotherapy</w:t>
            </w:r>
          </w:p>
        </w:tc>
      </w:tr>
      <w:tr w:rsidR="00C53EBA" w:rsidRPr="003442FE" w14:paraId="79821FF0"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3ED7F172" w14:textId="23596013" w:rsidR="00C53EBA" w:rsidRPr="00C53EBA" w:rsidRDefault="00C53EBA" w:rsidP="00C53EBA">
            <w:r w:rsidRPr="00C53EBA">
              <w:t>R-maintenance</w:t>
            </w:r>
          </w:p>
        </w:tc>
        <w:tc>
          <w:tcPr>
            <w:tcW w:w="6803" w:type="dxa"/>
          </w:tcPr>
          <w:p w14:paraId="7D56798D" w14:textId="41AC21DB"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Rituximab maintenance</w:t>
            </w:r>
          </w:p>
        </w:tc>
      </w:tr>
      <w:tr w:rsidR="00C53EBA" w:rsidRPr="003442FE" w14:paraId="49A1F40C"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6E7F5121" w14:textId="36C77213" w:rsidR="00C53EBA" w:rsidRPr="00C53EBA" w:rsidRDefault="00C53EBA" w:rsidP="00C53EBA">
            <w:r w:rsidRPr="00C53EBA">
              <w:t>SAE</w:t>
            </w:r>
          </w:p>
        </w:tc>
        <w:tc>
          <w:tcPr>
            <w:tcW w:w="6803" w:type="dxa"/>
          </w:tcPr>
          <w:p w14:paraId="25585AD9" w14:textId="04C92C0B"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Serious adverse event</w:t>
            </w:r>
          </w:p>
        </w:tc>
      </w:tr>
      <w:tr w:rsidR="00C53EBA" w:rsidRPr="003442FE" w14:paraId="04F3DDFC"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45424181" w14:textId="1C410C15" w:rsidR="00C53EBA" w:rsidRPr="00C53EBA" w:rsidRDefault="00C53EBA" w:rsidP="00C53EBA">
            <w:r w:rsidRPr="00C53EBA">
              <w:t xml:space="preserve">SAP </w:t>
            </w:r>
          </w:p>
        </w:tc>
        <w:tc>
          <w:tcPr>
            <w:tcW w:w="6803" w:type="dxa"/>
          </w:tcPr>
          <w:p w14:paraId="19D7C02A" w14:textId="2A62A6FF"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Statistical </w:t>
            </w:r>
            <w:r w:rsidR="00C53EBA" w:rsidRPr="00C53EBA">
              <w:t>analysis plan</w:t>
            </w:r>
          </w:p>
        </w:tc>
      </w:tr>
      <w:tr w:rsidR="00C53EBA" w:rsidRPr="003442FE" w14:paraId="4170950A"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403579D3" w14:textId="7383F824" w:rsidR="00C53EBA" w:rsidRPr="00C53EBA" w:rsidRDefault="00C53EBA" w:rsidP="00C53EBA">
            <w:r w:rsidRPr="00C53EBA">
              <w:t>SCE</w:t>
            </w:r>
          </w:p>
        </w:tc>
        <w:tc>
          <w:tcPr>
            <w:tcW w:w="6803" w:type="dxa"/>
          </w:tcPr>
          <w:p w14:paraId="5E8F7B0D" w14:textId="02B2F22D"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Summary of clinical efficacy</w:t>
            </w:r>
          </w:p>
        </w:tc>
      </w:tr>
      <w:tr w:rsidR="00C53EBA" w:rsidRPr="003442FE" w14:paraId="40ECF595"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76F2AA5A" w14:textId="52E4B736" w:rsidR="00C53EBA" w:rsidRPr="00C53EBA" w:rsidRDefault="00C53EBA" w:rsidP="00C53EBA">
            <w:r w:rsidRPr="00C53EBA">
              <w:t>SCP</w:t>
            </w:r>
          </w:p>
        </w:tc>
        <w:tc>
          <w:tcPr>
            <w:tcW w:w="6803" w:type="dxa"/>
          </w:tcPr>
          <w:p w14:paraId="567E28B8" w14:textId="1B43D55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Summary of clinical pharmacology</w:t>
            </w:r>
          </w:p>
        </w:tc>
      </w:tr>
      <w:tr w:rsidR="00C53EBA" w:rsidRPr="003442FE" w14:paraId="1F2821E5"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41C77D74" w14:textId="0A0B9534" w:rsidR="00C53EBA" w:rsidRPr="00C53EBA" w:rsidRDefault="00C53EBA" w:rsidP="00C53EBA">
            <w:r w:rsidRPr="00C53EBA">
              <w:t>SCS</w:t>
            </w:r>
          </w:p>
        </w:tc>
        <w:tc>
          <w:tcPr>
            <w:tcW w:w="6803" w:type="dxa"/>
          </w:tcPr>
          <w:p w14:paraId="1D249300" w14:textId="099F148D"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Summary of clinical safety</w:t>
            </w:r>
          </w:p>
        </w:tc>
      </w:tr>
      <w:tr w:rsidR="00C53EBA" w:rsidRPr="003442FE" w14:paraId="2165EFB1"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17B6140F" w14:textId="1C700D15" w:rsidR="00C53EBA" w:rsidRPr="00C53EBA" w:rsidRDefault="00C53EBA" w:rsidP="00C53EBA">
            <w:r w:rsidRPr="00C53EBA">
              <w:t>SD</w:t>
            </w:r>
          </w:p>
        </w:tc>
        <w:tc>
          <w:tcPr>
            <w:tcW w:w="6803" w:type="dxa"/>
          </w:tcPr>
          <w:p w14:paraId="3F2C4BD5" w14:textId="6912AB7F"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Stable disease</w:t>
            </w:r>
          </w:p>
        </w:tc>
      </w:tr>
      <w:tr w:rsidR="00C53EBA" w:rsidRPr="003442FE" w14:paraId="4C83607C"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42F13923" w14:textId="621EC0EE" w:rsidR="00C53EBA" w:rsidRPr="00C53EBA" w:rsidRDefault="00C53EBA" w:rsidP="00C53EBA">
            <w:r w:rsidRPr="00C53EBA">
              <w:t>SLL</w:t>
            </w:r>
          </w:p>
        </w:tc>
        <w:tc>
          <w:tcPr>
            <w:tcW w:w="6803" w:type="dxa"/>
          </w:tcPr>
          <w:p w14:paraId="3B29C550" w14:textId="121C3A1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Small lymphocytic lymphoma</w:t>
            </w:r>
          </w:p>
        </w:tc>
      </w:tr>
      <w:tr w:rsidR="00C53EBA" w:rsidRPr="003442FE" w14:paraId="79C6EA1F"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2ECCB70A" w14:textId="0F58F0E9" w:rsidR="00C53EBA" w:rsidRPr="00C53EBA" w:rsidRDefault="00C53EBA" w:rsidP="00C53EBA">
            <w:r w:rsidRPr="00C53EBA">
              <w:t>SMQ</w:t>
            </w:r>
          </w:p>
        </w:tc>
        <w:tc>
          <w:tcPr>
            <w:tcW w:w="6803" w:type="dxa"/>
          </w:tcPr>
          <w:p w14:paraId="7E96C9C1" w14:textId="74253E16"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t>Standardized MedDRA</w:t>
            </w:r>
            <w:r w:rsidRPr="00C53EBA">
              <w:t xml:space="preserve"> </w:t>
            </w:r>
            <w:r w:rsidR="00C53EBA" w:rsidRPr="00C53EBA">
              <w:t>query</w:t>
            </w:r>
          </w:p>
        </w:tc>
      </w:tr>
      <w:tr w:rsidR="00C53EBA" w:rsidRPr="003442FE" w14:paraId="2D62E98C"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0705707B" w14:textId="11B2B1BA" w:rsidR="00C53EBA" w:rsidRPr="00C53EBA" w:rsidRDefault="00C53EBA" w:rsidP="00C53EBA">
            <w:r w:rsidRPr="00C53EBA">
              <w:t>sMZL</w:t>
            </w:r>
          </w:p>
        </w:tc>
        <w:tc>
          <w:tcPr>
            <w:tcW w:w="6803" w:type="dxa"/>
          </w:tcPr>
          <w:p w14:paraId="76B8DF7E" w14:textId="3B81E69D"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 xml:space="preserve">Splenic </w:t>
            </w:r>
            <w:r w:rsidR="0016371D">
              <w:t>marginal zone lymphoma</w:t>
            </w:r>
          </w:p>
        </w:tc>
      </w:tr>
      <w:tr w:rsidR="00C53EBA" w:rsidRPr="003442FE" w14:paraId="5E5E599D"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373C20DA" w14:textId="163C0BD5" w:rsidR="00C53EBA" w:rsidRPr="00C53EBA" w:rsidRDefault="00C53EBA" w:rsidP="00C53EBA">
            <w:r w:rsidRPr="00C53EBA">
              <w:t xml:space="preserve">TTNLT </w:t>
            </w:r>
          </w:p>
        </w:tc>
        <w:tc>
          <w:tcPr>
            <w:tcW w:w="6803" w:type="dxa"/>
          </w:tcPr>
          <w:p w14:paraId="18C52663" w14:textId="584EFD91"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Time to next anti-lymphoma</w:t>
            </w:r>
            <w:r w:rsidR="00C53EBA" w:rsidRPr="00C53EBA">
              <w:t xml:space="preserve"> treatment</w:t>
            </w:r>
          </w:p>
        </w:tc>
      </w:tr>
      <w:tr w:rsidR="00C53EBA" w:rsidRPr="003442FE" w14:paraId="564D78E7"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201D4EB1" w14:textId="0178E6DC" w:rsidR="00C53EBA" w:rsidRPr="00C53EBA" w:rsidRDefault="00C53EBA" w:rsidP="00C53EBA">
            <w:r w:rsidRPr="00C53EBA">
              <w:t>ULN</w:t>
            </w:r>
          </w:p>
        </w:tc>
        <w:tc>
          <w:tcPr>
            <w:tcW w:w="6803" w:type="dxa"/>
          </w:tcPr>
          <w:p w14:paraId="1F608EA8" w14:textId="0547822B" w:rsidR="00C53EBA" w:rsidRPr="00C53EBA" w:rsidRDefault="00E4168A" w:rsidP="00C53EBA">
            <w:pPr>
              <w:cnfStyle w:val="000000000000" w:firstRow="0" w:lastRow="0" w:firstColumn="0" w:lastColumn="0" w:oddVBand="0" w:evenVBand="0" w:oddHBand="0" w:evenHBand="0" w:firstRowFirstColumn="0" w:firstRowLastColumn="0" w:lastRowFirstColumn="0" w:lastRowLastColumn="0"/>
            </w:pPr>
            <w:r w:rsidRPr="00C53EBA">
              <w:t>Upper limit of normal</w:t>
            </w:r>
          </w:p>
        </w:tc>
      </w:tr>
      <w:tr w:rsidR="00C53EBA" w:rsidRPr="003442FE" w14:paraId="378905C7" w14:textId="77777777" w:rsidTr="00E4168A">
        <w:trPr>
          <w:trHeight w:val="484"/>
        </w:trPr>
        <w:tc>
          <w:tcPr>
            <w:cnfStyle w:val="001000000000" w:firstRow="0" w:lastRow="0" w:firstColumn="1" w:lastColumn="0" w:oddVBand="0" w:evenVBand="0" w:oddHBand="0" w:evenHBand="0" w:firstRowFirstColumn="0" w:firstRowLastColumn="0" w:lastRowFirstColumn="0" w:lastRowLastColumn="0"/>
            <w:tcW w:w="1998" w:type="dxa"/>
          </w:tcPr>
          <w:p w14:paraId="19290F32" w14:textId="50DC63B2" w:rsidR="00C53EBA" w:rsidRPr="00C53EBA" w:rsidRDefault="00C53EBA" w:rsidP="00C53EBA">
            <w:r w:rsidRPr="00C53EBA">
              <w:t>WM</w:t>
            </w:r>
          </w:p>
        </w:tc>
        <w:tc>
          <w:tcPr>
            <w:tcW w:w="6803" w:type="dxa"/>
          </w:tcPr>
          <w:p w14:paraId="5738C276" w14:textId="31E97975" w:rsidR="00C53EBA" w:rsidRPr="00C53EBA" w:rsidRDefault="00C53EBA" w:rsidP="00C53EBA">
            <w:pPr>
              <w:cnfStyle w:val="000000000000" w:firstRow="0" w:lastRow="0" w:firstColumn="0" w:lastColumn="0" w:oddVBand="0" w:evenVBand="0" w:oddHBand="0" w:evenHBand="0" w:firstRowFirstColumn="0" w:firstRowLastColumn="0" w:lastRowFirstColumn="0" w:lastRowLastColumn="0"/>
            </w:pPr>
            <w:r w:rsidRPr="00C53EBA">
              <w:t>Waldenström’s macroglobulin</w:t>
            </w:r>
            <w:r w:rsidR="00E4168A">
              <w:t>a</w:t>
            </w:r>
            <w:r w:rsidRPr="00C53EBA">
              <w:t>emia</w:t>
            </w:r>
          </w:p>
        </w:tc>
      </w:tr>
    </w:tbl>
    <w:p w14:paraId="05D3B0C1" w14:textId="77777777" w:rsidR="0094614A" w:rsidRDefault="0094614A" w:rsidP="0043797D">
      <w:pPr>
        <w:pStyle w:val="Heading2"/>
        <w:pageBreakBefore/>
        <w:rPr>
          <w:lang w:eastAsia="en-AU"/>
        </w:rPr>
      </w:pPr>
      <w:bookmarkStart w:id="8" w:name="_Toc351718900"/>
      <w:bookmarkStart w:id="9" w:name="_Toc355338635"/>
      <w:bookmarkStart w:id="10" w:name="_Toc513556330"/>
      <w:r w:rsidRPr="003442FE">
        <w:rPr>
          <w:lang w:eastAsia="en-AU"/>
        </w:rPr>
        <w:lastRenderedPageBreak/>
        <w:t>Introduction</w:t>
      </w:r>
      <w:bookmarkEnd w:id="10"/>
    </w:p>
    <w:p w14:paraId="2530809B" w14:textId="44CAC7FC" w:rsidR="004A2410" w:rsidRPr="004A2410" w:rsidRDefault="004A2410" w:rsidP="004A2410">
      <w:pPr>
        <w:rPr>
          <w:lang w:eastAsia="en-AU"/>
        </w:rPr>
      </w:pPr>
      <w:r w:rsidRPr="004A2410">
        <w:rPr>
          <w:lang w:eastAsia="en-AU"/>
        </w:rPr>
        <w:t>This is a</w:t>
      </w:r>
      <w:r w:rsidR="00F726B5">
        <w:rPr>
          <w:lang w:eastAsia="en-AU"/>
        </w:rPr>
        <w:t>n</w:t>
      </w:r>
      <w:r w:rsidRPr="004A2410">
        <w:rPr>
          <w:lang w:eastAsia="en-AU"/>
        </w:rPr>
        <w:t xml:space="preserve"> application for </w:t>
      </w:r>
      <w:r w:rsidR="00171BC5" w:rsidRPr="004A2410">
        <w:rPr>
          <w:lang w:eastAsia="en-AU"/>
        </w:rPr>
        <w:t>Gazyva</w:t>
      </w:r>
      <w:r w:rsidR="00171BC5">
        <w:rPr>
          <w:vertAlign w:val="superscript"/>
          <w:lang w:eastAsia="en-AU"/>
        </w:rPr>
        <w:t xml:space="preserve"> </w:t>
      </w:r>
      <w:r w:rsidRPr="004A2410">
        <w:rPr>
          <w:lang w:eastAsia="en-AU"/>
        </w:rPr>
        <w:t xml:space="preserve">(obinutuzumab) to </w:t>
      </w:r>
      <w:r w:rsidR="00F726B5">
        <w:rPr>
          <w:lang w:eastAsia="en-AU"/>
        </w:rPr>
        <w:t>extend the indications</w:t>
      </w:r>
      <w:r w:rsidRPr="004A2410">
        <w:rPr>
          <w:lang w:eastAsia="en-AU"/>
        </w:rPr>
        <w:t xml:space="preserve"> and to add changes to the PI to include updates from the previously evaluated </w:t>
      </w:r>
      <w:r w:rsidR="00171BC5">
        <w:rPr>
          <w:lang w:eastAsia="en-AU"/>
        </w:rPr>
        <w:t>Study GAO4753g (GADOLIN).</w:t>
      </w:r>
    </w:p>
    <w:p w14:paraId="50C27F64" w14:textId="77777777" w:rsidR="004A2410" w:rsidRPr="004A2410" w:rsidRDefault="004A2410" w:rsidP="00171BC5">
      <w:pPr>
        <w:pStyle w:val="Heading3"/>
      </w:pPr>
      <w:bookmarkStart w:id="11" w:name="_Toc481769134"/>
      <w:bookmarkStart w:id="12" w:name="_Toc513556331"/>
      <w:r w:rsidRPr="004A2410">
        <w:t>Drug class and therapeutic indication</w:t>
      </w:r>
      <w:bookmarkEnd w:id="11"/>
      <w:bookmarkEnd w:id="12"/>
    </w:p>
    <w:p w14:paraId="509E0B4D" w14:textId="163D46E3" w:rsidR="004A2410" w:rsidRPr="004A2410" w:rsidRDefault="004A2410" w:rsidP="004A2410">
      <w:pPr>
        <w:rPr>
          <w:lang w:eastAsia="en-AU"/>
        </w:rPr>
      </w:pPr>
      <w:r w:rsidRPr="004A2410">
        <w:rPr>
          <w:lang w:eastAsia="en-AU"/>
        </w:rPr>
        <w:t xml:space="preserve">Obinutuzumab is a novel, humanised, Type II glycoengineered monoclonal antibody (mAb) directed against the CD20 antigen found on the surface of most malignant and benign cells of </w:t>
      </w:r>
      <w:r w:rsidR="0016371D">
        <w:rPr>
          <w:lang w:eastAsia="en-AU"/>
        </w:rPr>
        <w:t>B cell</w:t>
      </w:r>
      <w:r w:rsidRPr="004A2410">
        <w:rPr>
          <w:lang w:eastAsia="en-AU"/>
        </w:rPr>
        <w:t xml:space="preserve"> origin. Glycoengineering of this Type II mAb has generated a mAb with a high affinity for binding immune effector cells. Compared to existing CD20 antibodies, obinutuzumab demonstrates an enhanced ability to induce direct cell death and immune effector cell activation, translating into superior B cell depletion and anti-tumour efficacy.</w:t>
      </w:r>
    </w:p>
    <w:p w14:paraId="07789F1B" w14:textId="47D53873" w:rsidR="004A2410" w:rsidRPr="004A2410" w:rsidRDefault="004A2410" w:rsidP="004A2410">
      <w:pPr>
        <w:rPr>
          <w:lang w:eastAsia="en-AU"/>
        </w:rPr>
      </w:pPr>
      <w:r w:rsidRPr="004A2410">
        <w:rPr>
          <w:lang w:eastAsia="en-AU"/>
        </w:rPr>
        <w:t xml:space="preserve">The </w:t>
      </w:r>
      <w:r w:rsidRPr="00171BC5">
        <w:t xml:space="preserve">approved </w:t>
      </w:r>
      <w:r w:rsidRPr="004A2410">
        <w:rPr>
          <w:lang w:eastAsia="en-AU"/>
        </w:rPr>
        <w:t>indications are:</w:t>
      </w:r>
    </w:p>
    <w:p w14:paraId="397C752C" w14:textId="2949E536" w:rsidR="004A2410" w:rsidRPr="00171BC5" w:rsidRDefault="00171BC5" w:rsidP="00171BC5">
      <w:pPr>
        <w:ind w:left="720"/>
        <w:rPr>
          <w:i/>
          <w:lang w:eastAsia="en-AU"/>
        </w:rPr>
      </w:pPr>
      <w:r w:rsidRPr="00171BC5">
        <w:rPr>
          <w:i/>
          <w:lang w:eastAsia="en-AU"/>
        </w:rPr>
        <w:t>‘Gazyva</w:t>
      </w:r>
      <w:r w:rsidR="004A2410" w:rsidRPr="00171BC5">
        <w:rPr>
          <w:i/>
          <w:lang w:eastAsia="en-AU"/>
        </w:rPr>
        <w:t xml:space="preserve"> in combination with chlorambucil is indicated for the treatment of patients with previously untreated chron</w:t>
      </w:r>
      <w:r w:rsidRPr="00171BC5">
        <w:rPr>
          <w:i/>
          <w:lang w:eastAsia="en-AU"/>
        </w:rPr>
        <w:t>ic lymphocytic leukaemia (CLL).</w:t>
      </w:r>
    </w:p>
    <w:p w14:paraId="241B5A54" w14:textId="66DCAEEE" w:rsidR="004A2410" w:rsidRPr="00171BC5" w:rsidRDefault="00171BC5" w:rsidP="00171BC5">
      <w:pPr>
        <w:ind w:left="720"/>
        <w:rPr>
          <w:i/>
          <w:lang w:eastAsia="en-AU"/>
        </w:rPr>
      </w:pPr>
      <w:r w:rsidRPr="00171BC5">
        <w:rPr>
          <w:i/>
          <w:lang w:eastAsia="en-AU"/>
        </w:rPr>
        <w:t>Gazyva</w:t>
      </w:r>
      <w:r w:rsidR="004A2410" w:rsidRPr="00171BC5">
        <w:rPr>
          <w:i/>
          <w:lang w:eastAsia="en-AU"/>
        </w:rPr>
        <w:t xml:space="preserve"> in combination with bendamustine, followed by G</w:t>
      </w:r>
      <w:r w:rsidRPr="00171BC5">
        <w:rPr>
          <w:i/>
          <w:lang w:eastAsia="en-AU"/>
        </w:rPr>
        <w:t>azyva</w:t>
      </w:r>
      <w:r w:rsidR="004A2410" w:rsidRPr="00171BC5">
        <w:rPr>
          <w:i/>
          <w:lang w:eastAsia="en-AU"/>
        </w:rPr>
        <w:t xml:space="preserve"> maintenance, is indicated for the treatment of patients with follicular lymphoma (FL) who did not respond to, or who progressed during or up to 6 months after treatment with rituximab or</w:t>
      </w:r>
      <w:r w:rsidRPr="00171BC5">
        <w:rPr>
          <w:i/>
          <w:lang w:eastAsia="en-AU"/>
        </w:rPr>
        <w:t xml:space="preserve"> a rituximab-containing regimen’.</w:t>
      </w:r>
    </w:p>
    <w:p w14:paraId="4864FBB1" w14:textId="342FC96F" w:rsidR="004A2410" w:rsidRPr="004A2410" w:rsidRDefault="004A2410" w:rsidP="004A2410">
      <w:pPr>
        <w:rPr>
          <w:lang w:eastAsia="en-AU"/>
        </w:rPr>
      </w:pPr>
      <w:r w:rsidRPr="004A2410">
        <w:rPr>
          <w:lang w:eastAsia="en-AU"/>
        </w:rPr>
        <w:t xml:space="preserve">The </w:t>
      </w:r>
      <w:r w:rsidRPr="00171BC5">
        <w:t>proposed additional</w:t>
      </w:r>
      <w:r w:rsidRPr="004A2410">
        <w:rPr>
          <w:lang w:eastAsia="en-AU"/>
        </w:rPr>
        <w:t xml:space="preserve"> </w:t>
      </w:r>
      <w:r w:rsidR="00171BC5">
        <w:rPr>
          <w:lang w:eastAsia="en-AU"/>
        </w:rPr>
        <w:t>indication is:</w:t>
      </w:r>
    </w:p>
    <w:p w14:paraId="65189176" w14:textId="767C7435" w:rsidR="004A2410" w:rsidRPr="002C4679" w:rsidRDefault="00171BC5" w:rsidP="002C4679">
      <w:pPr>
        <w:ind w:left="720"/>
        <w:rPr>
          <w:i/>
          <w:iCs/>
          <w:lang w:eastAsia="en-AU"/>
        </w:rPr>
      </w:pPr>
      <w:r w:rsidRPr="002C4679">
        <w:rPr>
          <w:i/>
          <w:iCs/>
          <w:lang w:eastAsia="en-AU"/>
        </w:rPr>
        <w:t>‘</w:t>
      </w:r>
      <w:r w:rsidR="004A2410" w:rsidRPr="002C4679">
        <w:rPr>
          <w:i/>
          <w:iCs/>
          <w:lang w:eastAsia="en-AU"/>
        </w:rPr>
        <w:t>G</w:t>
      </w:r>
      <w:r w:rsidRPr="002C4679">
        <w:rPr>
          <w:i/>
          <w:iCs/>
          <w:lang w:eastAsia="en-AU"/>
        </w:rPr>
        <w:t>azyva</w:t>
      </w:r>
      <w:r w:rsidR="004A2410" w:rsidRPr="002C4679">
        <w:rPr>
          <w:i/>
          <w:iCs/>
          <w:lang w:eastAsia="en-AU"/>
        </w:rPr>
        <w:t xml:space="preserve"> in combination with chemotherapy followed by G</w:t>
      </w:r>
      <w:r w:rsidR="00EF06B7">
        <w:rPr>
          <w:i/>
          <w:iCs/>
          <w:lang w:eastAsia="en-AU"/>
        </w:rPr>
        <w:t>azyva</w:t>
      </w:r>
      <w:r w:rsidR="004A2410" w:rsidRPr="002C4679">
        <w:rPr>
          <w:i/>
          <w:iCs/>
          <w:lang w:eastAsia="en-AU"/>
        </w:rPr>
        <w:t xml:space="preserve"> maintenance is indicated for the treatment of patients with previously untreated follicular lymph</w:t>
      </w:r>
      <w:r w:rsidRPr="002C4679">
        <w:rPr>
          <w:i/>
          <w:iCs/>
          <w:lang w:eastAsia="en-AU"/>
        </w:rPr>
        <w:t>oma’.</w:t>
      </w:r>
    </w:p>
    <w:p w14:paraId="322D56C0" w14:textId="1E10DF6B" w:rsidR="004A2410" w:rsidRPr="004A2410" w:rsidRDefault="004A2410" w:rsidP="002C4679">
      <w:pPr>
        <w:pStyle w:val="Comment"/>
        <w:rPr>
          <w:lang w:eastAsia="en-AU"/>
        </w:rPr>
      </w:pPr>
      <w:r w:rsidRPr="002C4679">
        <w:rPr>
          <w:b/>
          <w:lang w:eastAsia="en-AU"/>
        </w:rPr>
        <w:t>Comment:</w:t>
      </w:r>
      <w:r w:rsidRPr="004A2410">
        <w:rPr>
          <w:lang w:eastAsia="en-AU"/>
        </w:rPr>
        <w:t xml:space="preserve"> </w:t>
      </w:r>
      <w:r w:rsidR="002C4679">
        <w:rPr>
          <w:lang w:eastAsia="en-AU"/>
        </w:rPr>
        <w:t xml:space="preserve"> </w:t>
      </w:r>
      <w:r w:rsidRPr="004A2410">
        <w:rPr>
          <w:lang w:eastAsia="en-AU"/>
        </w:rPr>
        <w:t>The main purpose of this submission is to move the use of obinutuzumab in combination with chemotherapy forward from the second line setting to first line therapy i</w:t>
      </w:r>
      <w:r w:rsidR="002C4679">
        <w:rPr>
          <w:lang w:eastAsia="en-AU"/>
        </w:rPr>
        <w:t>n follicular lymphoma patients.</w:t>
      </w:r>
    </w:p>
    <w:p w14:paraId="1065DD98" w14:textId="77777777" w:rsidR="004A2410" w:rsidRPr="004A2410" w:rsidRDefault="004A2410" w:rsidP="002C4679">
      <w:pPr>
        <w:pStyle w:val="Heading3"/>
      </w:pPr>
      <w:bookmarkStart w:id="13" w:name="_Toc481769135"/>
      <w:bookmarkStart w:id="14" w:name="_Toc513556332"/>
      <w:r w:rsidRPr="004A2410">
        <w:t>Dosage forms and strengths</w:t>
      </w:r>
      <w:bookmarkEnd w:id="13"/>
      <w:bookmarkEnd w:id="14"/>
    </w:p>
    <w:p w14:paraId="2EF2BB87" w14:textId="3105A99C" w:rsidR="004A2410" w:rsidRPr="004A2410" w:rsidRDefault="00246D1B" w:rsidP="004A2410">
      <w:pPr>
        <w:rPr>
          <w:lang w:eastAsia="en-AU"/>
        </w:rPr>
      </w:pPr>
      <w:r>
        <w:rPr>
          <w:lang w:eastAsia="en-AU"/>
        </w:rPr>
        <w:t>Gazyva</w:t>
      </w:r>
      <w:r w:rsidR="004A2410" w:rsidRPr="004A2410">
        <w:rPr>
          <w:lang w:eastAsia="en-AU"/>
        </w:rPr>
        <w:t xml:space="preserve"> is supplied in a single-dose vial containing 40 mL of preservative-free concentrate solution for infusion. Each vial contains 1000 mg of obinutuzumab (25 mg/mL)</w:t>
      </w:r>
      <w:r w:rsidR="002C4679">
        <w:rPr>
          <w:lang w:eastAsia="en-AU"/>
        </w:rPr>
        <w:t>.</w:t>
      </w:r>
    </w:p>
    <w:p w14:paraId="3111036F" w14:textId="59E36BC8" w:rsidR="004A2410" w:rsidRPr="004A2410" w:rsidRDefault="004A2410" w:rsidP="004A2410">
      <w:pPr>
        <w:rPr>
          <w:lang w:eastAsia="en-AU"/>
        </w:rPr>
      </w:pPr>
      <w:r w:rsidRPr="004A2410">
        <w:rPr>
          <w:lang w:eastAsia="en-AU"/>
        </w:rPr>
        <w:t>No new dosage forms or strengths are proposed.</w:t>
      </w:r>
    </w:p>
    <w:p w14:paraId="74BD878C" w14:textId="77777777" w:rsidR="004A2410" w:rsidRPr="004A2410" w:rsidRDefault="004A2410" w:rsidP="002C4679">
      <w:pPr>
        <w:pStyle w:val="Heading3"/>
      </w:pPr>
      <w:bookmarkStart w:id="15" w:name="_Toc481769136"/>
      <w:bookmarkStart w:id="16" w:name="_Toc513556333"/>
      <w:r w:rsidRPr="004A2410">
        <w:t>Dosage and administration</w:t>
      </w:r>
      <w:bookmarkEnd w:id="15"/>
      <w:bookmarkEnd w:id="16"/>
    </w:p>
    <w:p w14:paraId="2605F7FA" w14:textId="02DE362F" w:rsidR="004A2410" w:rsidRPr="004A2410" w:rsidRDefault="004A2410" w:rsidP="004A2410">
      <w:pPr>
        <w:rPr>
          <w:lang w:eastAsia="en-AU"/>
        </w:rPr>
      </w:pPr>
      <w:r w:rsidRPr="004A2410">
        <w:rPr>
          <w:lang w:eastAsia="en-AU"/>
        </w:rPr>
        <w:t>The dosage and administration is essentially unchanged</w:t>
      </w:r>
      <w:r w:rsidR="002C4679">
        <w:rPr>
          <w:lang w:eastAsia="en-AU"/>
        </w:rPr>
        <w:t>.</w:t>
      </w:r>
    </w:p>
    <w:p w14:paraId="1A92AC1F" w14:textId="77777777" w:rsidR="00586F98" w:rsidRPr="003442FE" w:rsidRDefault="00586F98" w:rsidP="006B4C50">
      <w:pPr>
        <w:pStyle w:val="Heading2"/>
      </w:pPr>
      <w:bookmarkStart w:id="17" w:name="_Toc513556334"/>
      <w:r w:rsidRPr="003442FE">
        <w:t>Clinical rationale</w:t>
      </w:r>
      <w:bookmarkEnd w:id="17"/>
    </w:p>
    <w:p w14:paraId="07E1EAB2" w14:textId="77777777" w:rsidR="00FF7B45" w:rsidRDefault="00FF7B45" w:rsidP="00FF7B45">
      <w:pPr>
        <w:pStyle w:val="Heading3"/>
        <w:rPr>
          <w:rFonts w:eastAsia="Cambria"/>
        </w:rPr>
      </w:pPr>
      <w:bookmarkStart w:id="18" w:name="_Toc457473397"/>
      <w:bookmarkStart w:id="19" w:name="_Toc513556335"/>
      <w:r w:rsidRPr="003442FE">
        <w:rPr>
          <w:rFonts w:eastAsia="Cambria"/>
        </w:rPr>
        <w:t>Background</w:t>
      </w:r>
      <w:bookmarkEnd w:id="18"/>
      <w:bookmarkEnd w:id="19"/>
    </w:p>
    <w:p w14:paraId="00F56272" w14:textId="77777777" w:rsidR="004A2410" w:rsidRPr="004A2410" w:rsidRDefault="004A2410" w:rsidP="004A2410">
      <w:pPr>
        <w:pStyle w:val="Heading4"/>
      </w:pPr>
      <w:bookmarkStart w:id="20" w:name="_Toc481769139"/>
      <w:r w:rsidRPr="004A2410">
        <w:t>Information on the condition being treated</w:t>
      </w:r>
      <w:bookmarkEnd w:id="20"/>
    </w:p>
    <w:p w14:paraId="60CE503B" w14:textId="6E7E0CB2" w:rsidR="004A2410" w:rsidRPr="004A2410" w:rsidRDefault="004A2410" w:rsidP="004A2410">
      <w:pPr>
        <w:rPr>
          <w:lang w:eastAsia="ja-JP"/>
        </w:rPr>
      </w:pPr>
      <w:r w:rsidRPr="004A2410">
        <w:rPr>
          <w:lang w:eastAsia="ja-JP"/>
        </w:rPr>
        <w:t>Follicular lymphoma (FL) is the second most common type of non-Hodgkin lymphoma (NHL). It is the most common of the indolent NHLs defined as those lymphomas in which survival of the untreate</w:t>
      </w:r>
      <w:r w:rsidR="003D4CC4">
        <w:rPr>
          <w:lang w:eastAsia="ja-JP"/>
        </w:rPr>
        <w:t>d patient is measured in years.</w:t>
      </w:r>
    </w:p>
    <w:p w14:paraId="65E8D6B4" w14:textId="6997C6ED" w:rsidR="004A2410" w:rsidRPr="004A2410" w:rsidRDefault="004A2410" w:rsidP="00226640">
      <w:pPr>
        <w:rPr>
          <w:lang w:eastAsia="ja-JP"/>
        </w:rPr>
      </w:pPr>
      <w:r w:rsidRPr="004A2410">
        <w:rPr>
          <w:lang w:eastAsia="ja-JP"/>
        </w:rPr>
        <w:lastRenderedPageBreak/>
        <w:t>In the United States as a whole, FL accounts for approximately 35</w:t>
      </w:r>
      <w:r w:rsidR="003D4CC4">
        <w:rPr>
          <w:lang w:eastAsia="ja-JP"/>
        </w:rPr>
        <w:t>%</w:t>
      </w:r>
      <w:r w:rsidRPr="004A2410">
        <w:rPr>
          <w:lang w:eastAsia="ja-JP"/>
        </w:rPr>
        <w:t xml:space="preserve"> of NHLs and has an estimated incidence of 3.18 cases per 100,000 people. The estima</w:t>
      </w:r>
      <w:r w:rsidR="003D4CC4">
        <w:rPr>
          <w:lang w:eastAsia="ja-JP"/>
        </w:rPr>
        <w:t>ted incidence in Europe is 2.18 </w:t>
      </w:r>
      <w:r w:rsidRPr="004A2410">
        <w:rPr>
          <w:lang w:eastAsia="ja-JP"/>
        </w:rPr>
        <w:t>cases per 100,000 persons per year. The incidence is stable over time, but varies by ethnicity, with the incidence in Whites being more than twice that in Black and Asian populations. There is no strong sex predilection. The incidence increases with age; FL mos</w:t>
      </w:r>
      <w:r w:rsidR="003D4CC4">
        <w:rPr>
          <w:lang w:eastAsia="ja-JP"/>
        </w:rPr>
        <w:t xml:space="preserve">t frequently presents in middle </w:t>
      </w:r>
      <w:r w:rsidRPr="004A2410">
        <w:rPr>
          <w:lang w:eastAsia="ja-JP"/>
        </w:rPr>
        <w:t>aged individuals and the elderly, with a median age at diagnosis of 65 years. Rarely, FL ari</w:t>
      </w:r>
      <w:r w:rsidR="003D4CC4">
        <w:rPr>
          <w:lang w:eastAsia="ja-JP"/>
        </w:rPr>
        <w:t>ses in children or adolescents.</w:t>
      </w:r>
    </w:p>
    <w:p w14:paraId="75E113C6" w14:textId="73E5DA57" w:rsidR="004A2410" w:rsidRPr="004A2410" w:rsidRDefault="004A2410" w:rsidP="004A2410">
      <w:pPr>
        <w:rPr>
          <w:lang w:eastAsia="ja-JP"/>
        </w:rPr>
      </w:pPr>
      <w:r w:rsidRPr="004A2410">
        <w:rPr>
          <w:lang w:eastAsia="ja-JP"/>
        </w:rPr>
        <w:t xml:space="preserve">The course of FL is quite variable. Some patients have waxing and waning disease for </w:t>
      </w:r>
      <w:r w:rsidR="009D5156">
        <w:rPr>
          <w:lang w:eastAsia="ja-JP"/>
        </w:rPr>
        <w:t>5</w:t>
      </w:r>
      <w:r w:rsidR="009D5156" w:rsidRPr="004A2410">
        <w:rPr>
          <w:lang w:eastAsia="ja-JP"/>
        </w:rPr>
        <w:t xml:space="preserve"> </w:t>
      </w:r>
      <w:r w:rsidRPr="004A2410">
        <w:rPr>
          <w:lang w:eastAsia="ja-JP"/>
        </w:rPr>
        <w:t xml:space="preserve">years or more without therapy. Others with more disseminated disease and rapid </w:t>
      </w:r>
      <w:r w:rsidR="00BB2C5B">
        <w:rPr>
          <w:lang w:eastAsia="ja-JP"/>
        </w:rPr>
        <w:t>tumour</w:t>
      </w:r>
      <w:r w:rsidRPr="004A2410">
        <w:rPr>
          <w:lang w:eastAsia="ja-JP"/>
        </w:rPr>
        <w:t xml:space="preserve"> growth require treatment because massive nodal or organ enlargement leads to pain, lymphatic obstruction, or organ obstruction. The </w:t>
      </w:r>
      <w:r w:rsidR="003D4CC4">
        <w:rPr>
          <w:lang w:eastAsia="ja-JP"/>
        </w:rPr>
        <w:t>2</w:t>
      </w:r>
      <w:r w:rsidRPr="004A2410">
        <w:rPr>
          <w:lang w:eastAsia="ja-JP"/>
        </w:rPr>
        <w:t xml:space="preserve"> best measures of outcome at the time of diagnosis are the follicular lymphoma international prognostic index (FLIPI) and tumo</w:t>
      </w:r>
      <w:r w:rsidR="003D4CC4">
        <w:rPr>
          <w:lang w:eastAsia="ja-JP"/>
        </w:rPr>
        <w:t>u</w:t>
      </w:r>
      <w:r w:rsidRPr="004A2410">
        <w:rPr>
          <w:lang w:eastAsia="ja-JP"/>
        </w:rPr>
        <w:t xml:space="preserve">r grade. Response to prior therapies can predict outcome with subsequent therapies. As an example, a patient relapsing </w:t>
      </w:r>
      <w:r w:rsidR="009D5156">
        <w:rPr>
          <w:lang w:eastAsia="ja-JP"/>
        </w:rPr>
        <w:t>5 </w:t>
      </w:r>
      <w:r w:rsidRPr="004A2410">
        <w:rPr>
          <w:lang w:eastAsia="ja-JP"/>
        </w:rPr>
        <w:t>years after initial treatment with single agent rituximab has a better prognosis than a patient relapsing within</w:t>
      </w:r>
      <w:r w:rsidR="003D4CC4">
        <w:rPr>
          <w:lang w:eastAsia="ja-JP"/>
        </w:rPr>
        <w:t xml:space="preserve"> 2 </w:t>
      </w:r>
      <w:r w:rsidRPr="004A2410">
        <w:rPr>
          <w:lang w:eastAsia="ja-JP"/>
        </w:rPr>
        <w:t>years of receiving multia</w:t>
      </w:r>
      <w:r w:rsidR="003D4CC4">
        <w:rPr>
          <w:lang w:eastAsia="ja-JP"/>
        </w:rPr>
        <w:t>gent chemotherapy (for example, R-CHOP).</w:t>
      </w:r>
    </w:p>
    <w:p w14:paraId="56C0953B" w14:textId="56FA2169" w:rsidR="004A2410" w:rsidRPr="004A2410" w:rsidRDefault="004A2410" w:rsidP="004A2410">
      <w:pPr>
        <w:rPr>
          <w:lang w:eastAsia="ja-JP"/>
        </w:rPr>
      </w:pPr>
      <w:r w:rsidRPr="004A2410">
        <w:rPr>
          <w:lang w:eastAsia="ja-JP"/>
        </w:rPr>
        <w:t>Prognostic features that aid in the decision to initiate therapy hav</w:t>
      </w:r>
      <w:r w:rsidR="003D4CC4">
        <w:rPr>
          <w:lang w:eastAsia="ja-JP"/>
        </w:rPr>
        <w:t>e been proposed by the Groupe d’</w:t>
      </w:r>
      <w:r w:rsidRPr="004A2410">
        <w:rPr>
          <w:lang w:eastAsia="ja-JP"/>
        </w:rPr>
        <w:t>Etude des Lymphomes Folliculaires (GELF) and the British National</w:t>
      </w:r>
      <w:r w:rsidR="003D4CC4">
        <w:rPr>
          <w:lang w:eastAsia="ja-JP"/>
        </w:rPr>
        <w:t xml:space="preserve"> Lymphoma Investigation (BNLI).</w:t>
      </w:r>
    </w:p>
    <w:p w14:paraId="3529CD7A" w14:textId="1F2CFF83" w:rsidR="004A2410" w:rsidRPr="004A2410" w:rsidRDefault="004A2410" w:rsidP="004A2410">
      <w:pPr>
        <w:rPr>
          <w:lang w:eastAsia="ja-JP"/>
        </w:rPr>
      </w:pPr>
      <w:r w:rsidRPr="004A2410">
        <w:rPr>
          <w:lang w:eastAsia="ja-JP"/>
        </w:rPr>
        <w:t xml:space="preserve">A subset of cases </w:t>
      </w:r>
      <w:r w:rsidR="0052032C">
        <w:rPr>
          <w:lang w:eastAsia="ja-JP"/>
        </w:rPr>
        <w:t>(</w:t>
      </w:r>
      <w:r w:rsidRPr="004A2410">
        <w:rPr>
          <w:lang w:eastAsia="ja-JP"/>
        </w:rPr>
        <w:t>2</w:t>
      </w:r>
      <w:r w:rsidR="003D4CC4">
        <w:rPr>
          <w:lang w:eastAsia="ja-JP"/>
        </w:rPr>
        <w:t xml:space="preserve">% to </w:t>
      </w:r>
      <w:r w:rsidRPr="004A2410">
        <w:rPr>
          <w:lang w:eastAsia="ja-JP"/>
        </w:rPr>
        <w:t>3% per year</w:t>
      </w:r>
      <w:r w:rsidR="0052032C">
        <w:rPr>
          <w:lang w:eastAsia="ja-JP"/>
        </w:rPr>
        <w:t>)</w:t>
      </w:r>
      <w:r w:rsidRPr="004A2410">
        <w:rPr>
          <w:lang w:eastAsia="ja-JP"/>
        </w:rPr>
        <w:t xml:space="preserve"> will undergo histologic transformation to a more aggressive lymphoma. Patients with histologic transformation generally have a worse prognosis and require more aggressive therapy.</w:t>
      </w:r>
    </w:p>
    <w:p w14:paraId="1FBCA161" w14:textId="53F640D4" w:rsidR="004A2410" w:rsidRPr="004A2410" w:rsidRDefault="00284FC2" w:rsidP="004A2410">
      <w:pPr>
        <w:rPr>
          <w:lang w:eastAsia="ja-JP"/>
        </w:rPr>
      </w:pPr>
      <w:r>
        <w:rPr>
          <w:lang w:eastAsia="ja-JP"/>
        </w:rPr>
        <w:t>FL</w:t>
      </w:r>
      <w:r w:rsidR="004A2410" w:rsidRPr="004A2410">
        <w:rPr>
          <w:lang w:eastAsia="ja-JP"/>
        </w:rPr>
        <w:t xml:space="preserve"> is graded in </w:t>
      </w:r>
      <w:r w:rsidR="003D4CC4">
        <w:rPr>
          <w:lang w:eastAsia="ja-JP"/>
        </w:rPr>
        <w:t>G</w:t>
      </w:r>
      <w:r w:rsidR="004A2410" w:rsidRPr="004A2410">
        <w:rPr>
          <w:lang w:eastAsia="ja-JP"/>
        </w:rPr>
        <w:t>rade 1, 2, 3a and 3b based upon the number of</w:t>
      </w:r>
      <w:r w:rsidR="003D4CC4">
        <w:rPr>
          <w:lang w:eastAsia="ja-JP"/>
        </w:rPr>
        <w:t xml:space="preserve"> centroblasts/high power field.</w:t>
      </w:r>
    </w:p>
    <w:p w14:paraId="50E2F9FD" w14:textId="577560F1" w:rsidR="004A2410" w:rsidRPr="003D4CC4" w:rsidRDefault="004A2410" w:rsidP="004A2410">
      <w:pPr>
        <w:rPr>
          <w:lang w:eastAsia="ja-JP"/>
        </w:rPr>
      </w:pPr>
      <w:r w:rsidRPr="004A2410">
        <w:rPr>
          <w:lang w:eastAsia="ja-JP"/>
        </w:rPr>
        <w:t>The minor differences in clinical behavio</w:t>
      </w:r>
      <w:r w:rsidR="003D4CC4">
        <w:rPr>
          <w:lang w:eastAsia="ja-JP"/>
        </w:rPr>
        <w:t>u</w:t>
      </w:r>
      <w:r w:rsidRPr="004A2410">
        <w:rPr>
          <w:lang w:eastAsia="ja-JP"/>
        </w:rPr>
        <w:t xml:space="preserve">r and response to treatment have not supported a different treatment approach toward </w:t>
      </w:r>
      <w:r w:rsidR="003D4CC4">
        <w:rPr>
          <w:lang w:eastAsia="ja-JP"/>
        </w:rPr>
        <w:t>Grade 1 versus G</w:t>
      </w:r>
      <w:r w:rsidRPr="004A2410">
        <w:rPr>
          <w:lang w:eastAsia="ja-JP"/>
        </w:rPr>
        <w:t>rade 2 FL. Thus, although the grading system remains in place,</w:t>
      </w:r>
      <w:r w:rsidR="003D4CC4">
        <w:rPr>
          <w:lang w:eastAsia="ja-JP"/>
        </w:rPr>
        <w:t xml:space="preserve"> for clinical decision making, G</w:t>
      </w:r>
      <w:r w:rsidRPr="004A2410">
        <w:rPr>
          <w:lang w:eastAsia="ja-JP"/>
        </w:rPr>
        <w:t>rade 1 and 2 FL should be approached similarly and considered to be clinically indolent lymphomas. Although controversial, differences in molecular genetics as well as clinical behavio</w:t>
      </w:r>
      <w:r w:rsidR="003D4CC4">
        <w:rPr>
          <w:lang w:eastAsia="ja-JP"/>
        </w:rPr>
        <w:t>u</w:t>
      </w:r>
      <w:r w:rsidRPr="004A2410">
        <w:rPr>
          <w:lang w:eastAsia="ja-JP"/>
        </w:rPr>
        <w:t xml:space="preserve">r suggest that FL </w:t>
      </w:r>
      <w:r w:rsidR="003D4CC4">
        <w:rPr>
          <w:lang w:eastAsia="ja-JP"/>
        </w:rPr>
        <w:t>G</w:t>
      </w:r>
      <w:r w:rsidRPr="004A2410">
        <w:rPr>
          <w:lang w:eastAsia="ja-JP"/>
        </w:rPr>
        <w:t>rade 3a may be an indolent diseas</w:t>
      </w:r>
      <w:r w:rsidR="003D4CC4">
        <w:rPr>
          <w:lang w:eastAsia="ja-JP"/>
        </w:rPr>
        <w:t xml:space="preserve">e and 3b a more aggressive one. </w:t>
      </w:r>
      <w:proofErr w:type="gramStart"/>
      <w:r w:rsidR="003D4CC4">
        <w:rPr>
          <w:lang w:eastAsia="ja-JP"/>
        </w:rPr>
        <w:t>(</w:t>
      </w:r>
      <w:r w:rsidRPr="004A2410">
        <w:rPr>
          <w:i/>
          <w:lang w:eastAsia="ja-JP"/>
        </w:rPr>
        <w:t>Excerpts from Freedman and Aster, 2016</w:t>
      </w:r>
      <w:r w:rsidR="003D4CC4">
        <w:rPr>
          <w:i/>
          <w:lang w:eastAsia="ja-JP"/>
        </w:rPr>
        <w:t>).</w:t>
      </w:r>
      <w:proofErr w:type="gramEnd"/>
    </w:p>
    <w:p w14:paraId="2E9D4C3B" w14:textId="4BC1D8A3" w:rsidR="004A2410" w:rsidRPr="004A2410" w:rsidRDefault="004A2410" w:rsidP="003D4CC4">
      <w:pPr>
        <w:pStyle w:val="Comment"/>
        <w:rPr>
          <w:lang w:eastAsia="ja-JP"/>
        </w:rPr>
      </w:pPr>
      <w:r w:rsidRPr="003D4CC4">
        <w:rPr>
          <w:b/>
          <w:lang w:eastAsia="ja-JP"/>
        </w:rPr>
        <w:t xml:space="preserve">Comment: </w:t>
      </w:r>
      <w:r w:rsidR="003D4CC4" w:rsidRPr="003D4CC4">
        <w:rPr>
          <w:b/>
          <w:lang w:eastAsia="ja-JP"/>
        </w:rPr>
        <w:t xml:space="preserve"> </w:t>
      </w:r>
      <w:r w:rsidRPr="004A2410">
        <w:rPr>
          <w:lang w:eastAsia="ja-JP"/>
        </w:rPr>
        <w:t>The study supporting this application has b</w:t>
      </w:r>
      <w:r w:rsidR="003D4CC4">
        <w:rPr>
          <w:lang w:eastAsia="ja-JP"/>
        </w:rPr>
        <w:t xml:space="preserve">een performed in subjects with Grade 1 to </w:t>
      </w:r>
      <w:r w:rsidRPr="004A2410">
        <w:rPr>
          <w:lang w:eastAsia="ja-JP"/>
        </w:rPr>
        <w:t>3a follicular lympho</w:t>
      </w:r>
      <w:r w:rsidR="003D4CC4">
        <w:rPr>
          <w:lang w:eastAsia="ja-JP"/>
        </w:rPr>
        <w:t>ma and advanced stage disease (Stage II bulky, III, and IV).</w:t>
      </w:r>
    </w:p>
    <w:p w14:paraId="63824DCC" w14:textId="77777777" w:rsidR="004A2410" w:rsidRPr="004A2410" w:rsidRDefault="004A2410" w:rsidP="004A2410">
      <w:pPr>
        <w:pStyle w:val="Heading4"/>
      </w:pPr>
      <w:bookmarkStart w:id="21" w:name="_Ref480295616"/>
      <w:bookmarkStart w:id="22" w:name="_Toc481769140"/>
      <w:r w:rsidRPr="004A2410">
        <w:t>Current treatment options</w:t>
      </w:r>
      <w:bookmarkEnd w:id="21"/>
      <w:bookmarkEnd w:id="22"/>
    </w:p>
    <w:p w14:paraId="18EF6733" w14:textId="253DAEB7" w:rsidR="004A2410" w:rsidRPr="004A2410" w:rsidRDefault="004A2410" w:rsidP="004A2410">
      <w:pPr>
        <w:rPr>
          <w:lang w:eastAsia="ja-JP"/>
        </w:rPr>
      </w:pPr>
      <w:r w:rsidRPr="004A2410">
        <w:rPr>
          <w:lang w:eastAsia="ja-JP"/>
        </w:rPr>
        <w:t>Treatment of FL depends upon the stage of disease at presentation. Patients with locali</w:t>
      </w:r>
      <w:r w:rsidR="003D4CC4">
        <w:rPr>
          <w:lang w:eastAsia="ja-JP"/>
        </w:rPr>
        <w:t>s</w:t>
      </w:r>
      <w:r w:rsidRPr="004A2410">
        <w:rPr>
          <w:lang w:eastAsia="ja-JP"/>
        </w:rPr>
        <w:t>ed (</w:t>
      </w:r>
      <w:r w:rsidR="003D4CC4">
        <w:rPr>
          <w:lang w:eastAsia="ja-JP"/>
        </w:rPr>
        <w:t>S</w:t>
      </w:r>
      <w:r w:rsidRPr="004A2410">
        <w:rPr>
          <w:lang w:eastAsia="ja-JP"/>
        </w:rPr>
        <w:t>tage I) disease are candidates for radiation therapy, which is curative in a percentage of patients. In contrast, the treatment of advanced (</w:t>
      </w:r>
      <w:r w:rsidR="003D4CC4">
        <w:rPr>
          <w:lang w:eastAsia="ja-JP"/>
        </w:rPr>
        <w:t>S</w:t>
      </w:r>
      <w:r w:rsidRPr="004A2410">
        <w:rPr>
          <w:lang w:eastAsia="ja-JP"/>
        </w:rPr>
        <w:t>tage III/IV) disease is not curative and focuses largely on symptom control with chemoimmunotherapy with or without radiation therapy. Even so, patients with advanced stage FL generally have an excellent prognosis.</w:t>
      </w:r>
    </w:p>
    <w:p w14:paraId="23DF9F64" w14:textId="03FC783A" w:rsidR="004A2410" w:rsidRPr="004A2410" w:rsidRDefault="004A2410" w:rsidP="004A2410">
      <w:pPr>
        <w:rPr>
          <w:lang w:eastAsia="ja-JP"/>
        </w:rPr>
      </w:pPr>
      <w:r w:rsidRPr="004A2410">
        <w:rPr>
          <w:lang w:eastAsia="ja-JP"/>
        </w:rPr>
        <w:t xml:space="preserve">The management of patients with </w:t>
      </w:r>
      <w:r w:rsidR="003D4CC4">
        <w:rPr>
          <w:lang w:eastAsia="ja-JP"/>
        </w:rPr>
        <w:t>S</w:t>
      </w:r>
      <w:r w:rsidRPr="004A2410">
        <w:rPr>
          <w:lang w:eastAsia="ja-JP"/>
        </w:rPr>
        <w:t xml:space="preserve">tage II FL is more variable, with some clinicians offering treatment similar to that used for </w:t>
      </w:r>
      <w:r w:rsidR="003D4CC4">
        <w:rPr>
          <w:lang w:eastAsia="ja-JP"/>
        </w:rPr>
        <w:t>S</w:t>
      </w:r>
      <w:r w:rsidRPr="004A2410">
        <w:rPr>
          <w:lang w:eastAsia="ja-JP"/>
        </w:rPr>
        <w:t>tage I disease and others offering treatment similar to that u</w:t>
      </w:r>
      <w:r w:rsidR="003D4CC4">
        <w:rPr>
          <w:lang w:eastAsia="ja-JP"/>
        </w:rPr>
        <w:t xml:space="preserve">sed </w:t>
      </w:r>
      <w:r w:rsidR="00AC6529">
        <w:rPr>
          <w:lang w:eastAsia="ja-JP"/>
        </w:rPr>
        <w:t>for advanced stage disease</w:t>
      </w:r>
      <w:r w:rsidR="003D4CC4">
        <w:rPr>
          <w:lang w:eastAsia="ja-JP"/>
        </w:rPr>
        <w:t xml:space="preserve"> (</w:t>
      </w:r>
      <w:r w:rsidRPr="004A2410">
        <w:rPr>
          <w:i/>
          <w:lang w:eastAsia="ja-JP"/>
        </w:rPr>
        <w:t>Freedman and Aster, 2016</w:t>
      </w:r>
      <w:r w:rsidR="003D4CC4">
        <w:rPr>
          <w:i/>
          <w:lang w:eastAsia="ja-JP"/>
        </w:rPr>
        <w:t>).</w:t>
      </w:r>
    </w:p>
    <w:p w14:paraId="741CBB27" w14:textId="2921DD35" w:rsidR="004A2410" w:rsidRPr="004A2410" w:rsidRDefault="004A2410" w:rsidP="004A2410">
      <w:pPr>
        <w:rPr>
          <w:lang w:eastAsia="ja-JP"/>
        </w:rPr>
      </w:pPr>
      <w:r w:rsidRPr="004A2410">
        <w:rPr>
          <w:lang w:eastAsia="ja-JP"/>
        </w:rPr>
        <w:t>Patients with newly diagnosed, advanced</w:t>
      </w:r>
      <w:r w:rsidR="003D4CC4">
        <w:rPr>
          <w:lang w:eastAsia="ja-JP"/>
        </w:rPr>
        <w:t xml:space="preserve"> </w:t>
      </w:r>
      <w:r w:rsidRPr="004A2410">
        <w:rPr>
          <w:lang w:eastAsia="ja-JP"/>
        </w:rPr>
        <w:t xml:space="preserve">stage </w:t>
      </w:r>
      <w:r w:rsidR="003D4CC4">
        <w:rPr>
          <w:lang w:eastAsia="ja-JP"/>
        </w:rPr>
        <w:t>G</w:t>
      </w:r>
      <w:r w:rsidRPr="004A2410">
        <w:rPr>
          <w:lang w:eastAsia="ja-JP"/>
        </w:rPr>
        <w:t>rade 1</w:t>
      </w:r>
      <w:r w:rsidR="003D4CC4">
        <w:rPr>
          <w:lang w:eastAsia="ja-JP"/>
        </w:rPr>
        <w:t xml:space="preserve"> to </w:t>
      </w:r>
      <w:r w:rsidRPr="004A2410">
        <w:rPr>
          <w:lang w:eastAsia="ja-JP"/>
        </w:rPr>
        <w:t xml:space="preserve">2 or </w:t>
      </w:r>
      <w:r w:rsidR="003D4CC4">
        <w:rPr>
          <w:lang w:eastAsia="ja-JP"/>
        </w:rPr>
        <w:t>G</w:t>
      </w:r>
      <w:r w:rsidRPr="004A2410">
        <w:rPr>
          <w:lang w:eastAsia="ja-JP"/>
        </w:rPr>
        <w:t xml:space="preserve">rade 3a FL can be managed using the proposed algorithm </w:t>
      </w:r>
      <w:r w:rsidR="003D4CC4">
        <w:rPr>
          <w:lang w:eastAsia="ja-JP"/>
        </w:rPr>
        <w:t xml:space="preserve">as shown in Figure 1, </w:t>
      </w:r>
      <w:r w:rsidRPr="004A2410">
        <w:rPr>
          <w:lang w:eastAsia="ja-JP"/>
        </w:rPr>
        <w:t>below</w:t>
      </w:r>
      <w:r w:rsidR="003D4CC4">
        <w:rPr>
          <w:lang w:eastAsia="ja-JP"/>
        </w:rPr>
        <w:t>. Patients with FL G</w:t>
      </w:r>
      <w:r w:rsidRPr="004A2410">
        <w:rPr>
          <w:lang w:eastAsia="ja-JP"/>
        </w:rPr>
        <w:t xml:space="preserve">rade 3b are generally managed according to the principles for diffuse large </w:t>
      </w:r>
      <w:r w:rsidR="0016371D">
        <w:rPr>
          <w:lang w:eastAsia="ja-JP"/>
        </w:rPr>
        <w:t>B cell</w:t>
      </w:r>
      <w:r w:rsidRPr="004A2410">
        <w:rPr>
          <w:lang w:eastAsia="ja-JP"/>
        </w:rPr>
        <w:t xml:space="preserve"> lymphoma.</w:t>
      </w:r>
    </w:p>
    <w:p w14:paraId="0D44B52B" w14:textId="2C47D283" w:rsidR="004A2410" w:rsidRPr="003D4CC4" w:rsidRDefault="004A2410" w:rsidP="003D4CC4">
      <w:pPr>
        <w:pStyle w:val="FigureTitle"/>
      </w:pPr>
      <w:bookmarkStart w:id="23" w:name="_Ref474415357"/>
      <w:bookmarkStart w:id="24" w:name="_Toc481769249"/>
      <w:proofErr w:type="gramStart"/>
      <w:r w:rsidRPr="003D4CC4">
        <w:lastRenderedPageBreak/>
        <w:t xml:space="preserve">Figure </w:t>
      </w:r>
      <w:r w:rsidR="00AD3C1B">
        <w:t>1</w:t>
      </w:r>
      <w:bookmarkEnd w:id="23"/>
      <w:r w:rsidR="003D4CC4">
        <w:t>.</w:t>
      </w:r>
      <w:proofErr w:type="gramEnd"/>
      <w:r w:rsidR="003D4CC4">
        <w:t xml:space="preserve"> </w:t>
      </w:r>
      <w:r w:rsidRPr="003D4CC4">
        <w:t>Approach to the patient with newly diagnosed FL</w:t>
      </w:r>
      <w:bookmarkEnd w:id="24"/>
    </w:p>
    <w:p w14:paraId="1FE6D89D" w14:textId="77777777" w:rsidR="004A2410" w:rsidRPr="004A2410" w:rsidRDefault="004A2410" w:rsidP="004A2410">
      <w:pPr>
        <w:rPr>
          <w:lang w:eastAsia="ja-JP"/>
        </w:rPr>
      </w:pPr>
      <w:r w:rsidRPr="004A2410">
        <w:rPr>
          <w:noProof/>
          <w:lang w:eastAsia="en-AU"/>
        </w:rPr>
        <w:drawing>
          <wp:inline distT="0" distB="0" distL="0" distR="0" wp14:anchorId="20A3A38C" wp14:editId="7A9DCA33">
            <wp:extent cx="5055235" cy="3302645"/>
            <wp:effectExtent l="0" t="0" r="0" b="0"/>
            <wp:docPr id="55" name="Picture 55" descr="Advanced stage, newly diagnosed Grade 1 to 2 or 3a FL can be divided into asymptomatic or symptomatic, and further into low and high tumour burden. For asymptomatic, low tumour burden, watch/wait versus single agent rituximab is recommended, with R-chemo (versus watch/wait) recommended for high tumour burden. For symptomatic FL Grades 1, 2 or 3a, single agent rituximab (versus R-chemo) and R-chemo plus/minus maintainance rituximab is recommended for low and high tumour burden,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0565" cy="3306127"/>
                    </a:xfrm>
                    <a:prstGeom prst="rect">
                      <a:avLst/>
                    </a:prstGeom>
                  </pic:spPr>
                </pic:pic>
              </a:graphicData>
            </a:graphic>
          </wp:inline>
        </w:drawing>
      </w:r>
    </w:p>
    <w:p w14:paraId="7A24372E" w14:textId="13300C14" w:rsidR="004A2410" w:rsidRPr="004A2410" w:rsidRDefault="004A2410" w:rsidP="004A2410">
      <w:pPr>
        <w:rPr>
          <w:lang w:eastAsia="ja-JP"/>
        </w:rPr>
      </w:pPr>
      <w:r w:rsidRPr="004A2410">
        <w:rPr>
          <w:lang w:eastAsia="ja-JP"/>
        </w:rPr>
        <w:t xml:space="preserve">R-chemo consists of rituximab, the first CD20 antibody registered for </w:t>
      </w:r>
      <w:r w:rsidR="0016371D">
        <w:rPr>
          <w:lang w:eastAsia="ja-JP"/>
        </w:rPr>
        <w:t>B cell</w:t>
      </w:r>
      <w:r w:rsidRPr="004A2410">
        <w:rPr>
          <w:lang w:eastAsia="ja-JP"/>
        </w:rPr>
        <w:t xml:space="preserve"> malignancies, and various chemotherapy regimens, see </w:t>
      </w:r>
      <w:r w:rsidR="003D4CC4">
        <w:rPr>
          <w:lang w:eastAsia="ja-JP"/>
        </w:rPr>
        <w:t>Table 1.</w:t>
      </w:r>
    </w:p>
    <w:p w14:paraId="5A65DDAA" w14:textId="354C1C3B" w:rsidR="004A2410" w:rsidRPr="004A2410" w:rsidRDefault="004A2410" w:rsidP="004A2410">
      <w:pPr>
        <w:rPr>
          <w:lang w:eastAsia="ja-JP"/>
        </w:rPr>
      </w:pPr>
      <w:r w:rsidRPr="004A2410">
        <w:rPr>
          <w:lang w:eastAsia="ja-JP"/>
        </w:rPr>
        <w:t>In the ESMO guidelines, no clear preference is expressed for R-bendamustine versus R-CHOP, although both are preferred to R-CVP (Dreyling et al. 2014;</w:t>
      </w:r>
      <w:r w:rsidR="003D4CC4">
        <w:rPr>
          <w:lang w:eastAsia="ja-JP"/>
        </w:rPr>
        <w:t xml:space="preserve"> shown in Figure 2</w:t>
      </w:r>
      <w:r w:rsidR="002C4679">
        <w:rPr>
          <w:lang w:eastAsia="ja-JP"/>
        </w:rPr>
        <w:t>, below</w:t>
      </w:r>
      <w:r w:rsidRPr="004A2410">
        <w:rPr>
          <w:lang w:eastAsia="ja-JP"/>
        </w:rPr>
        <w:t xml:space="preserve">). According to US NCCN guidelines </w:t>
      </w:r>
      <w:r w:rsidR="0052032C">
        <w:rPr>
          <w:lang w:eastAsia="ja-JP"/>
        </w:rPr>
        <w:t>(</w:t>
      </w:r>
      <w:r w:rsidRPr="004A2410">
        <w:rPr>
          <w:lang w:eastAsia="ja-JP"/>
        </w:rPr>
        <w:t>v2.2016 (and v1.2017,)), R-benda is now the preferred fir</w:t>
      </w:r>
      <w:r w:rsidR="003D4CC4">
        <w:rPr>
          <w:lang w:eastAsia="ja-JP"/>
        </w:rPr>
        <w:t xml:space="preserve">st </w:t>
      </w:r>
      <w:r w:rsidRPr="004A2410">
        <w:rPr>
          <w:lang w:eastAsia="ja-JP"/>
        </w:rPr>
        <w:t>line treatment regimen for patients with FL requiring systemic treatment, followed by R-CHOP and then R-CVP.</w:t>
      </w:r>
    </w:p>
    <w:p w14:paraId="10F5A9A3" w14:textId="3C329163" w:rsidR="004A2410" w:rsidRPr="004A2410" w:rsidRDefault="0092619E" w:rsidP="0092619E">
      <w:pPr>
        <w:pStyle w:val="FigureTitle"/>
        <w:rPr>
          <w:lang w:eastAsia="ja-JP"/>
        </w:rPr>
      </w:pPr>
      <w:bookmarkStart w:id="25" w:name="_Toc481769250"/>
      <w:proofErr w:type="gramStart"/>
      <w:r>
        <w:rPr>
          <w:lang w:eastAsia="ja-JP"/>
        </w:rPr>
        <w:t>Figure 2.</w:t>
      </w:r>
      <w:proofErr w:type="gramEnd"/>
      <w:r w:rsidR="004A2410" w:rsidRPr="004A2410">
        <w:rPr>
          <w:lang w:eastAsia="ja-JP"/>
        </w:rPr>
        <w:t xml:space="preserve"> ESMO guidelines, Follicular lymphoma treatment algorithm</w:t>
      </w:r>
      <w:bookmarkEnd w:id="25"/>
    </w:p>
    <w:p w14:paraId="3B7994C0" w14:textId="77777777" w:rsidR="004A2410" w:rsidRPr="004A2410" w:rsidRDefault="004A2410" w:rsidP="004A2410">
      <w:pPr>
        <w:rPr>
          <w:lang w:eastAsia="ja-JP"/>
        </w:rPr>
      </w:pPr>
      <w:r w:rsidRPr="004A2410">
        <w:rPr>
          <w:noProof/>
          <w:lang w:eastAsia="en-AU"/>
        </w:rPr>
        <w:drawing>
          <wp:inline distT="0" distB="0" distL="0" distR="0" wp14:anchorId="05E1848D" wp14:editId="0804F8C9">
            <wp:extent cx="3239135" cy="3301083"/>
            <wp:effectExtent l="0" t="0" r="12065" b="1270"/>
            <wp:docPr id="74" name="Picture 74" descr="ESMO guidelines for FL consider prognosis, staging, FLIPI status (1/2) and grade; symptoms (for example, asymptomatic, not mild, life or organ threatening); patient priority, longer survival, remission, quality of life. For asymptomatic cases, watch and wait is recommended. For mild symptoms, non-chemo treatment, rituximab and/or radioimmunotherapy is recommended. For high tumour burden, chemoimmunotherapy, R-benda, R-CHOP, R-CVP are recommended. Consider rituximab maintainance (or immun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65105" cy="3327550"/>
                    </a:xfrm>
                    <a:prstGeom prst="rect">
                      <a:avLst/>
                    </a:prstGeom>
                  </pic:spPr>
                </pic:pic>
              </a:graphicData>
            </a:graphic>
          </wp:inline>
        </w:drawing>
      </w:r>
    </w:p>
    <w:p w14:paraId="424C6EFA" w14:textId="732168D7" w:rsidR="004A2410" w:rsidRPr="004A2410" w:rsidRDefault="004A2410" w:rsidP="00066D24">
      <w:pPr>
        <w:pStyle w:val="FigureDescription"/>
        <w:rPr>
          <w:lang w:eastAsia="ja-JP"/>
        </w:rPr>
      </w:pPr>
      <w:r w:rsidRPr="004A2410">
        <w:rPr>
          <w:lang w:eastAsia="ja-JP"/>
        </w:rPr>
        <w:t>From Dreyling et al, 2014</w:t>
      </w:r>
      <w:r w:rsidR="00066D24">
        <w:rPr>
          <w:lang w:eastAsia="ja-JP"/>
        </w:rPr>
        <w:t>.</w:t>
      </w:r>
    </w:p>
    <w:p w14:paraId="094A55E0" w14:textId="27B4B32F" w:rsidR="004A2410" w:rsidRPr="004A2410" w:rsidRDefault="004A2410" w:rsidP="00066D24">
      <w:pPr>
        <w:pStyle w:val="Tabletitle"/>
        <w:rPr>
          <w:lang w:eastAsia="ja-JP"/>
        </w:rPr>
      </w:pPr>
      <w:bookmarkStart w:id="26" w:name="_Ref474493501"/>
      <w:bookmarkStart w:id="27" w:name="_Toc481769200"/>
      <w:proofErr w:type="gramStart"/>
      <w:r w:rsidRPr="004A2410">
        <w:rPr>
          <w:lang w:eastAsia="ja-JP"/>
        </w:rPr>
        <w:lastRenderedPageBreak/>
        <w:t xml:space="preserve">Table </w:t>
      </w:r>
      <w:bookmarkEnd w:id="26"/>
      <w:r w:rsidR="0092619E">
        <w:rPr>
          <w:lang w:eastAsia="ja-JP"/>
        </w:rPr>
        <w:t>1.</w:t>
      </w:r>
      <w:proofErr w:type="gramEnd"/>
      <w:r w:rsidR="0092619E">
        <w:rPr>
          <w:lang w:eastAsia="ja-JP"/>
        </w:rPr>
        <w:t xml:space="preserve"> </w:t>
      </w:r>
      <w:r w:rsidRPr="004A2410">
        <w:rPr>
          <w:lang w:eastAsia="ja-JP"/>
        </w:rPr>
        <w:t>Efficacy</w:t>
      </w:r>
      <w:r w:rsidR="0092619E">
        <w:rPr>
          <w:lang w:eastAsia="ja-JP"/>
        </w:rPr>
        <w:t xml:space="preserve"> in key randomis</w:t>
      </w:r>
      <w:r w:rsidR="0092619E" w:rsidRPr="004A2410">
        <w:rPr>
          <w:lang w:eastAsia="ja-JP"/>
        </w:rPr>
        <w:t xml:space="preserve">ed </w:t>
      </w:r>
      <w:r w:rsidR="0092619E">
        <w:rPr>
          <w:lang w:eastAsia="ja-JP"/>
        </w:rPr>
        <w:t>P</w:t>
      </w:r>
      <w:r w:rsidR="0092619E" w:rsidRPr="004A2410">
        <w:rPr>
          <w:lang w:eastAsia="ja-JP"/>
        </w:rPr>
        <w:t>hase</w:t>
      </w:r>
      <w:r w:rsidR="0092619E">
        <w:rPr>
          <w:lang w:eastAsia="ja-JP"/>
        </w:rPr>
        <w:t xml:space="preserve"> III studies of rituximab </w:t>
      </w:r>
      <w:r w:rsidR="0092619E" w:rsidRPr="004A2410">
        <w:rPr>
          <w:lang w:eastAsia="ja-JP"/>
        </w:rPr>
        <w:t>based induction treatment for patients with previously untreated advanced follicular lymphoma</w:t>
      </w:r>
      <w:bookmarkEnd w:id="27"/>
    </w:p>
    <w:p w14:paraId="03CD18D1" w14:textId="77777777" w:rsidR="004A2410" w:rsidRPr="004A2410" w:rsidRDefault="004A2410" w:rsidP="004A2410">
      <w:pPr>
        <w:rPr>
          <w:lang w:eastAsia="ja-JP"/>
        </w:rPr>
      </w:pPr>
      <w:r w:rsidRPr="004A2410">
        <w:rPr>
          <w:noProof/>
          <w:lang w:eastAsia="en-AU"/>
        </w:rPr>
        <w:drawing>
          <wp:inline distT="0" distB="0" distL="0" distR="0" wp14:anchorId="1600BA99" wp14:editId="70C004E1">
            <wp:extent cx="4815840" cy="6332220"/>
            <wp:effectExtent l="0" t="0" r="3810" b="0"/>
            <wp:docPr id="56" name="Picture 56" descr="Efficacy in key randomised Phase III studies of rituximab based induction treatment for patients with previously untreated advanced follicular lymp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Lst>
                    </a:blip>
                    <a:stretch>
                      <a:fillRect/>
                    </a:stretch>
                  </pic:blipFill>
                  <pic:spPr>
                    <a:xfrm>
                      <a:off x="0" y="0"/>
                      <a:ext cx="4815840" cy="6332220"/>
                    </a:xfrm>
                    <a:prstGeom prst="rect">
                      <a:avLst/>
                    </a:prstGeom>
                  </pic:spPr>
                </pic:pic>
              </a:graphicData>
            </a:graphic>
          </wp:inline>
        </w:drawing>
      </w:r>
    </w:p>
    <w:p w14:paraId="77108FDC" w14:textId="27B2DD10" w:rsidR="004A2410" w:rsidRPr="004A2410" w:rsidRDefault="004A2410" w:rsidP="0092619E">
      <w:pPr>
        <w:pStyle w:val="TableDescription"/>
        <w:rPr>
          <w:lang w:eastAsia="ja-JP"/>
        </w:rPr>
      </w:pPr>
      <w:r w:rsidRPr="004A2410">
        <w:rPr>
          <w:lang w:eastAsia="ja-JP"/>
        </w:rPr>
        <w:t>CHOP: cyclophosphamide, doxorubicin, vincristine and prednisone; CHVP: cyclophosphamide, doxorubicin, etoposide and prednisone; CR: complete response; CVP: cyclophosphamide, vincristine and prednisone; EFS: event-free survival; I: interferon; MCP: mitoxantrone, chlorambucil and prednisone; NR: not reached; ORR: overall response rate; OS: overall survival; PFS: progression-free survival; R: rituximab; TTF: time to treatment failure; TTNALT: time to new anti-lymphoma treatment; TTP: time to progression.</w:t>
      </w:r>
      <w:r w:rsidR="0092619E">
        <w:rPr>
          <w:lang w:eastAsia="ja-JP"/>
        </w:rPr>
        <w:t xml:space="preserve"> </w:t>
      </w:r>
      <w:r w:rsidRPr="004A2410">
        <w:rPr>
          <w:lang w:eastAsia="ja-JP"/>
        </w:rPr>
        <w:t>† Response rates only shown in the publication for patients with iNHL and MCL enrolled in study. All other results shown for the StiL and BRIGHT studies, which enrolled patients with FL and other iNHL histologies, are for the subgroup of patients with FL.</w:t>
      </w:r>
      <w:r w:rsidR="0092619E">
        <w:rPr>
          <w:lang w:eastAsia="ja-JP"/>
        </w:rPr>
        <w:t xml:space="preserve"> </w:t>
      </w:r>
      <w:r w:rsidRPr="004A2410">
        <w:rPr>
          <w:lang w:eastAsia="ja-JP"/>
        </w:rPr>
        <w:t>‡ without use of rituximab maintenance therapy.</w:t>
      </w:r>
      <w:r w:rsidR="0092619E">
        <w:rPr>
          <w:lang w:eastAsia="ja-JP"/>
        </w:rPr>
        <w:t xml:space="preserve"> </w:t>
      </w:r>
      <w:r w:rsidRPr="004A2410">
        <w:rPr>
          <w:lang w:eastAsia="ja-JP"/>
        </w:rPr>
        <w:t>§ Unconfirmed complete response (CRu) included in CR rate for these studies (NHL-1-2003/STiL study used WHO response criteria – classification of CRu uncertain).</w:t>
      </w:r>
      <w:r w:rsidR="0092619E">
        <w:rPr>
          <w:lang w:eastAsia="ja-JP"/>
        </w:rPr>
        <w:t xml:space="preserve"> </w:t>
      </w:r>
      <w:r w:rsidRPr="004A2410">
        <w:rPr>
          <w:lang w:eastAsia="ja-JP"/>
        </w:rPr>
        <w:t>¶ studies enrolling FL grades 1 and 2 only.</w:t>
      </w:r>
      <w:r w:rsidR="0092619E">
        <w:rPr>
          <w:lang w:eastAsia="ja-JP"/>
        </w:rPr>
        <w:t xml:space="preserve"> </w:t>
      </w:r>
      <w:r w:rsidRPr="004A2410">
        <w:rPr>
          <w:lang w:eastAsia="ja-JP"/>
        </w:rPr>
        <w:t xml:space="preserve">* </w:t>
      </w:r>
      <w:r w:rsidR="008E396E" w:rsidRPr="004A2410">
        <w:rPr>
          <w:lang w:eastAsia="ja-JP"/>
        </w:rPr>
        <w:t>Significant</w:t>
      </w:r>
      <w:r w:rsidRPr="004A2410">
        <w:rPr>
          <w:lang w:eastAsia="ja-JP"/>
        </w:rPr>
        <w:t xml:space="preserve"> difference</w:t>
      </w:r>
      <w:r w:rsidR="0052032C">
        <w:rPr>
          <w:lang w:eastAsia="ja-JP"/>
        </w:rPr>
        <w:t xml:space="preserve"> versus </w:t>
      </w:r>
      <w:r w:rsidRPr="004A2410">
        <w:rPr>
          <w:lang w:eastAsia="ja-JP"/>
        </w:rPr>
        <w:t>comparator reported in referenced publication (p &lt; 0.05).</w:t>
      </w:r>
    </w:p>
    <w:p w14:paraId="0153E56E" w14:textId="77777777" w:rsidR="004A2410" w:rsidRPr="004A2410" w:rsidRDefault="004A2410" w:rsidP="00171BC5">
      <w:pPr>
        <w:pStyle w:val="Heading4"/>
      </w:pPr>
      <w:bookmarkStart w:id="28" w:name="_Toc481769141"/>
      <w:r w:rsidRPr="004A2410">
        <w:lastRenderedPageBreak/>
        <w:t>Clinical rationale</w:t>
      </w:r>
      <w:bookmarkEnd w:id="28"/>
    </w:p>
    <w:p w14:paraId="0A955700" w14:textId="4787F49A" w:rsidR="004A2410" w:rsidRPr="004A2410" w:rsidRDefault="004A2410" w:rsidP="004A2410">
      <w:pPr>
        <w:rPr>
          <w:lang w:eastAsia="ja-JP"/>
        </w:rPr>
      </w:pPr>
      <w:r w:rsidRPr="004A2410">
        <w:rPr>
          <w:lang w:eastAsia="ja-JP"/>
        </w:rPr>
        <w:t xml:space="preserve">As in other mature </w:t>
      </w:r>
      <w:r w:rsidR="0016371D">
        <w:rPr>
          <w:lang w:eastAsia="ja-JP"/>
        </w:rPr>
        <w:t>B cell</w:t>
      </w:r>
      <w:r w:rsidR="00AC6529">
        <w:rPr>
          <w:lang w:eastAsia="ja-JP"/>
        </w:rPr>
        <w:t xml:space="preserve"> lymphomas, FL is characteris</w:t>
      </w:r>
      <w:r w:rsidRPr="004A2410">
        <w:rPr>
          <w:lang w:eastAsia="ja-JP"/>
        </w:rPr>
        <w:t xml:space="preserve">ed by the expression of a surface membrane antigen, CD20. CD20 is an attractive target for anti-lymphoma therapies being </w:t>
      </w:r>
      <w:r w:rsidR="0016371D">
        <w:rPr>
          <w:lang w:eastAsia="ja-JP"/>
        </w:rPr>
        <w:t>B cell</w:t>
      </w:r>
      <w:r w:rsidR="00284FC2">
        <w:rPr>
          <w:lang w:eastAsia="ja-JP"/>
        </w:rPr>
        <w:t xml:space="preserve"> </w:t>
      </w:r>
      <w:r w:rsidRPr="004A2410">
        <w:rPr>
          <w:lang w:eastAsia="ja-JP"/>
        </w:rPr>
        <w:t xml:space="preserve">specific, highly and stably expressed, exhibiting a </w:t>
      </w:r>
      <w:r w:rsidR="00AC6529">
        <w:rPr>
          <w:lang w:eastAsia="ja-JP"/>
        </w:rPr>
        <w:t>low rate of internalis</w:t>
      </w:r>
      <w:r w:rsidRPr="004A2410">
        <w:rPr>
          <w:lang w:eastAsia="ja-JP"/>
        </w:rPr>
        <w:t>ation, and not being present on hematopoietic stem cells. The concept of targeting CD20 as an effective anti-lymphoma strategy has been unequivocally established by clinical data for the anti-CD20 mAb rituximab, which has revolutioni</w:t>
      </w:r>
      <w:r w:rsidR="009E0FA6">
        <w:rPr>
          <w:lang w:eastAsia="ja-JP"/>
        </w:rPr>
        <w:t>s</w:t>
      </w:r>
      <w:r w:rsidRPr="004A2410">
        <w:rPr>
          <w:lang w:eastAsia="ja-JP"/>
        </w:rPr>
        <w:t xml:space="preserve">ed the treatment of FL, as well as a range of other </w:t>
      </w:r>
      <w:r w:rsidR="0016371D">
        <w:rPr>
          <w:lang w:eastAsia="ja-JP"/>
        </w:rPr>
        <w:t>B cell</w:t>
      </w:r>
      <w:r w:rsidRPr="004A2410">
        <w:rPr>
          <w:lang w:eastAsia="ja-JP"/>
        </w:rPr>
        <w:t xml:space="preserve"> malignancies and non-malignant disorders. Accumulating clinical data demonstrate clearly that combining rituximab with chemotherapy improves patients’ outcomes compared to chemotherapy or rituximab alone (</w:t>
      </w:r>
      <w:r w:rsidR="00171BC5">
        <w:rPr>
          <w:lang w:eastAsia="ja-JP"/>
        </w:rPr>
        <w:t xml:space="preserve">see </w:t>
      </w:r>
      <w:r w:rsidR="00523AF0">
        <w:rPr>
          <w:lang w:eastAsia="ja-JP"/>
        </w:rPr>
        <w:t>Table 1, above</w:t>
      </w:r>
      <w:r w:rsidRPr="004A2410">
        <w:rPr>
          <w:lang w:eastAsia="ja-JP"/>
        </w:rPr>
        <w:t>). The advantage of CD20 over other therapeutic targets, as outlined above, has led to the continued development of improved anti-CD20 mAbs as anti-lymphoma therapies. Obinutuzumab, a glycoengineered type II anti-CD20 mAb, binds the CD20 antigen in a different orientation to type I mAbs such has rituximab. Compared with rituximab, obinutuzumab possesses the</w:t>
      </w:r>
      <w:r w:rsidR="0092619E">
        <w:rPr>
          <w:lang w:eastAsia="ja-JP"/>
        </w:rPr>
        <w:t xml:space="preserve"> following properties in vitro:</w:t>
      </w:r>
    </w:p>
    <w:p w14:paraId="1E374AA8" w14:textId="77777777" w:rsidR="004A2410" w:rsidRPr="00171BC5" w:rsidRDefault="004A2410" w:rsidP="00171BC5">
      <w:r w:rsidRPr="00171BC5">
        <w:t>Properties due to type II binding mode:</w:t>
      </w:r>
    </w:p>
    <w:p w14:paraId="4A37E217" w14:textId="77777777" w:rsidR="004A2410" w:rsidRPr="004A2410" w:rsidRDefault="004A2410" w:rsidP="00171BC5">
      <w:pPr>
        <w:pStyle w:val="ListBullet"/>
        <w:rPr>
          <w:lang w:eastAsia="ja-JP"/>
        </w:rPr>
      </w:pPr>
      <w:r w:rsidRPr="004A2410">
        <w:rPr>
          <w:lang w:eastAsia="ja-JP"/>
        </w:rPr>
        <w:t>Higher induction of direct cell killing (via a non-apoptotic pathway)</w:t>
      </w:r>
    </w:p>
    <w:p w14:paraId="5CE96063" w14:textId="45BF9B26" w:rsidR="004A2410" w:rsidRPr="004A2410" w:rsidRDefault="004A2410" w:rsidP="00171BC5">
      <w:pPr>
        <w:pStyle w:val="ListBullet"/>
        <w:rPr>
          <w:lang w:eastAsia="ja-JP"/>
        </w:rPr>
      </w:pPr>
      <w:r w:rsidRPr="004A2410">
        <w:rPr>
          <w:lang w:eastAsia="ja-JP"/>
        </w:rPr>
        <w:t>Lower degree of internali</w:t>
      </w:r>
      <w:r w:rsidR="009E0FA6">
        <w:rPr>
          <w:lang w:eastAsia="ja-JP"/>
        </w:rPr>
        <w:t>s</w:t>
      </w:r>
      <w:r w:rsidRPr="004A2410">
        <w:rPr>
          <w:lang w:eastAsia="ja-JP"/>
        </w:rPr>
        <w:t>ation, following binding to CD20 (type II binding mode prevents interaction with FcγRIIb which promotes CD20 internali</w:t>
      </w:r>
      <w:r w:rsidR="00171BC5">
        <w:rPr>
          <w:lang w:eastAsia="ja-JP"/>
        </w:rPr>
        <w:t>s</w:t>
      </w:r>
      <w:r w:rsidRPr="004A2410">
        <w:rPr>
          <w:lang w:eastAsia="ja-JP"/>
        </w:rPr>
        <w:t>ation)</w:t>
      </w:r>
    </w:p>
    <w:p w14:paraId="002397D3" w14:textId="4EAFAEDD" w:rsidR="004A2410" w:rsidRPr="004A2410" w:rsidRDefault="004A2410" w:rsidP="00171BC5">
      <w:pPr>
        <w:pStyle w:val="ListBullet"/>
        <w:rPr>
          <w:lang w:eastAsia="ja-JP"/>
        </w:rPr>
      </w:pPr>
      <w:r w:rsidRPr="004A2410">
        <w:rPr>
          <w:lang w:eastAsia="ja-JP"/>
        </w:rPr>
        <w:t>Lower complement-dependent cytotoxicity (CDC) (type II binding mode prevents clustering of bound CD20 to lipid rafts)</w:t>
      </w:r>
      <w:r w:rsidR="00171BC5">
        <w:rPr>
          <w:lang w:eastAsia="ja-JP"/>
        </w:rPr>
        <w:t>.</w:t>
      </w:r>
    </w:p>
    <w:p w14:paraId="708435AB" w14:textId="77777777" w:rsidR="004A2410" w:rsidRPr="00171BC5" w:rsidRDefault="004A2410" w:rsidP="00171BC5">
      <w:r w:rsidRPr="00171BC5">
        <w:t>Properties due to Fc-glycoengineering:</w:t>
      </w:r>
    </w:p>
    <w:p w14:paraId="1B0BCDEC" w14:textId="4F66F1F7" w:rsidR="004A2410" w:rsidRPr="004A2410" w:rsidRDefault="004A2410" w:rsidP="00171BC5">
      <w:pPr>
        <w:pStyle w:val="ListBullet"/>
        <w:rPr>
          <w:lang w:eastAsia="ja-JP"/>
        </w:rPr>
      </w:pPr>
      <w:r w:rsidRPr="004A2410">
        <w:rPr>
          <w:lang w:eastAsia="ja-JP"/>
        </w:rPr>
        <w:t>Higher affinity binding to high and low affinity human FcγRIIIa expressed on effector cells (NK cells and macrophages)</w:t>
      </w:r>
    </w:p>
    <w:p w14:paraId="2EE78EB5" w14:textId="395BA657" w:rsidR="004A2410" w:rsidRPr="004A2410" w:rsidRDefault="004A2410" w:rsidP="00171BC5">
      <w:pPr>
        <w:pStyle w:val="ListBullet"/>
        <w:rPr>
          <w:lang w:eastAsia="ja-JP"/>
        </w:rPr>
      </w:pPr>
      <w:r w:rsidRPr="004A2410">
        <w:rPr>
          <w:lang w:eastAsia="ja-JP"/>
        </w:rPr>
        <w:t>Higher antibody</w:t>
      </w:r>
      <w:r w:rsidR="00171BC5">
        <w:rPr>
          <w:lang w:eastAsia="ja-JP"/>
        </w:rPr>
        <w:t xml:space="preserve"> </w:t>
      </w:r>
      <w:r w:rsidRPr="004A2410">
        <w:rPr>
          <w:lang w:eastAsia="ja-JP"/>
        </w:rPr>
        <w:t>dependent cell</w:t>
      </w:r>
      <w:r w:rsidR="00171BC5">
        <w:rPr>
          <w:lang w:eastAsia="ja-JP"/>
        </w:rPr>
        <w:t xml:space="preserve"> </w:t>
      </w:r>
      <w:r w:rsidRPr="004A2410">
        <w:rPr>
          <w:lang w:eastAsia="ja-JP"/>
        </w:rPr>
        <w:t>mediated cytotoxicity (ADCC) and antibody</w:t>
      </w:r>
      <w:r w:rsidR="00171BC5">
        <w:rPr>
          <w:lang w:eastAsia="ja-JP"/>
        </w:rPr>
        <w:t xml:space="preserve"> </w:t>
      </w:r>
      <w:r w:rsidRPr="004A2410">
        <w:rPr>
          <w:lang w:eastAsia="ja-JP"/>
        </w:rPr>
        <w:t>dependent cellular cytotoxicity (ADCP) towards bound CD20</w:t>
      </w:r>
      <w:r w:rsidR="00171BC5">
        <w:rPr>
          <w:lang w:eastAsia="ja-JP"/>
        </w:rPr>
        <w:t xml:space="preserve"> </w:t>
      </w:r>
      <w:r w:rsidRPr="004A2410">
        <w:rPr>
          <w:lang w:eastAsia="ja-JP"/>
        </w:rPr>
        <w:t>expressing target cells</w:t>
      </w:r>
      <w:r w:rsidR="00171BC5">
        <w:rPr>
          <w:lang w:eastAsia="ja-JP"/>
        </w:rPr>
        <w:t>.</w:t>
      </w:r>
    </w:p>
    <w:p w14:paraId="045A8389" w14:textId="12381D07" w:rsidR="004A2410" w:rsidRPr="004A2410" w:rsidRDefault="004A2410" w:rsidP="004A2410">
      <w:pPr>
        <w:rPr>
          <w:lang w:eastAsia="ja-JP"/>
        </w:rPr>
      </w:pPr>
      <w:r w:rsidRPr="004A2410">
        <w:rPr>
          <w:lang w:eastAsia="ja-JP"/>
        </w:rPr>
        <w:t>These in vitro properties translated into superior anti-lymphoma activity for obinutuzumab when compared directly to rituximab in a number of preclinical NHL xenograft models, including a model of FL involving subcutaneous inoculation of the human RL cell line. In addition, the anti</w:t>
      </w:r>
      <w:r w:rsidR="00BB2C5B">
        <w:rPr>
          <w:lang w:eastAsia="ja-JP"/>
        </w:rPr>
        <w:t>tumour</w:t>
      </w:r>
      <w:r w:rsidRPr="004A2410">
        <w:rPr>
          <w:lang w:eastAsia="ja-JP"/>
        </w:rPr>
        <w:t xml:space="preserve"> effects of obinutuzumab in combination with chemotherapeutic agents were superior to the anti</w:t>
      </w:r>
      <w:r w:rsidR="00BB2C5B">
        <w:rPr>
          <w:lang w:eastAsia="ja-JP"/>
        </w:rPr>
        <w:t>tumour</w:t>
      </w:r>
      <w:r w:rsidRPr="004A2410">
        <w:rPr>
          <w:lang w:eastAsia="ja-JP"/>
        </w:rPr>
        <w:t xml:space="preserve"> effects of rituximab when used in combinat</w:t>
      </w:r>
      <w:r w:rsidR="00D66EBD">
        <w:rPr>
          <w:lang w:eastAsia="ja-JP"/>
        </w:rPr>
        <w:t>ion with these agents.</w:t>
      </w:r>
    </w:p>
    <w:p w14:paraId="5D11EAD2" w14:textId="77777777" w:rsidR="004A2410" w:rsidRPr="004A2410" w:rsidRDefault="004A2410" w:rsidP="00171BC5">
      <w:pPr>
        <w:pStyle w:val="Heading4"/>
      </w:pPr>
      <w:bookmarkStart w:id="29" w:name="_Toc481769142"/>
      <w:r w:rsidRPr="004A2410">
        <w:t>Formulation</w:t>
      </w:r>
      <w:bookmarkEnd w:id="29"/>
    </w:p>
    <w:p w14:paraId="136A58ED" w14:textId="77777777" w:rsidR="004A2410" w:rsidRPr="004A2410" w:rsidRDefault="004A2410" w:rsidP="004A2410">
      <w:pPr>
        <w:rPr>
          <w:lang w:eastAsia="ja-JP"/>
        </w:rPr>
      </w:pPr>
      <w:r w:rsidRPr="004A2410">
        <w:rPr>
          <w:lang w:eastAsia="ja-JP"/>
        </w:rPr>
        <w:t>There is no new biopharmaceutical information beyond that which was submitted in the initial license application for the CLL indication. No changes to the Summary of Biopharmaceutics and Analytical Methods have been made.</w:t>
      </w:r>
    </w:p>
    <w:p w14:paraId="0FA670CA" w14:textId="77777777" w:rsidR="00762291" w:rsidRDefault="00762291" w:rsidP="00DB4AD4">
      <w:pPr>
        <w:pStyle w:val="Heading3"/>
        <w:rPr>
          <w:rFonts w:eastAsia="Cambria"/>
        </w:rPr>
      </w:pPr>
      <w:bookmarkStart w:id="30" w:name="_Toc513556336"/>
      <w:r w:rsidRPr="00762291">
        <w:rPr>
          <w:rFonts w:eastAsia="Cambria"/>
        </w:rPr>
        <w:t>Guidance</w:t>
      </w:r>
      <w:bookmarkEnd w:id="30"/>
    </w:p>
    <w:p w14:paraId="7F41B54B" w14:textId="0259D075" w:rsidR="004A2410" w:rsidRPr="004A2410" w:rsidRDefault="004A2410" w:rsidP="004A2410">
      <w:pPr>
        <w:rPr>
          <w:lang w:eastAsia="ja-JP"/>
        </w:rPr>
      </w:pPr>
      <w:r w:rsidRPr="004A2410">
        <w:rPr>
          <w:lang w:eastAsia="ja-JP"/>
        </w:rPr>
        <w:t>No pre</w:t>
      </w:r>
      <w:r w:rsidR="00171BC5">
        <w:rPr>
          <w:lang w:eastAsia="ja-JP"/>
        </w:rPr>
        <w:t>-</w:t>
      </w:r>
      <w:r w:rsidRPr="004A2410">
        <w:rPr>
          <w:lang w:eastAsia="ja-JP"/>
        </w:rPr>
        <w:t>submission advice was sought by the</w:t>
      </w:r>
      <w:r w:rsidR="0052032C">
        <w:rPr>
          <w:lang w:eastAsia="ja-JP"/>
        </w:rPr>
        <w:t xml:space="preserve"> sponsor</w:t>
      </w:r>
      <w:r w:rsidR="00D66EBD">
        <w:rPr>
          <w:lang w:eastAsia="ja-JP"/>
        </w:rPr>
        <w:t>.</w:t>
      </w:r>
    </w:p>
    <w:p w14:paraId="16D4FC21" w14:textId="4EE100DB" w:rsidR="004A2410" w:rsidRPr="004A2410" w:rsidRDefault="004A2410" w:rsidP="004A2410">
      <w:pPr>
        <w:rPr>
          <w:lang w:eastAsia="ja-JP"/>
        </w:rPr>
      </w:pPr>
      <w:r w:rsidRPr="004A2410">
        <w:rPr>
          <w:lang w:eastAsia="ja-JP"/>
        </w:rPr>
        <w:t xml:space="preserve">In </w:t>
      </w:r>
      <w:r w:rsidR="00171BC5">
        <w:rPr>
          <w:lang w:eastAsia="ja-JP"/>
        </w:rPr>
        <w:t xml:space="preserve">the </w:t>
      </w:r>
      <w:r w:rsidRPr="004A2410">
        <w:rPr>
          <w:lang w:eastAsia="ja-JP"/>
        </w:rPr>
        <w:t>Dossier</w:t>
      </w:r>
      <w:r w:rsidR="00171BC5">
        <w:rPr>
          <w:lang w:eastAsia="ja-JP"/>
        </w:rPr>
        <w:t>,</w:t>
      </w:r>
      <w:r w:rsidRPr="004A2410">
        <w:rPr>
          <w:lang w:eastAsia="ja-JP"/>
        </w:rPr>
        <w:t xml:space="preserve"> the</w:t>
      </w:r>
      <w:r w:rsidR="0052032C">
        <w:rPr>
          <w:lang w:eastAsia="ja-JP"/>
        </w:rPr>
        <w:t xml:space="preserve"> sponsor</w:t>
      </w:r>
      <w:r w:rsidR="00171BC5">
        <w:rPr>
          <w:lang w:eastAsia="ja-JP"/>
        </w:rPr>
        <w:t xml:space="preserve"> states</w:t>
      </w:r>
      <w:r w:rsidRPr="004A2410">
        <w:rPr>
          <w:lang w:eastAsia="ja-JP"/>
        </w:rPr>
        <w:t xml:space="preserve"> </w:t>
      </w:r>
      <w:r w:rsidR="0052032C">
        <w:rPr>
          <w:lang w:eastAsia="ja-JP"/>
        </w:rPr>
        <w:t>‘</w:t>
      </w:r>
      <w:r w:rsidRPr="004A2410">
        <w:rPr>
          <w:lang w:eastAsia="ja-JP"/>
        </w:rPr>
        <w:t>The submission is consistent with the lodged pre-submission planning form (PPF) and the subsequent planning let</w:t>
      </w:r>
      <w:r w:rsidR="00171BC5">
        <w:rPr>
          <w:lang w:eastAsia="ja-JP"/>
        </w:rPr>
        <w:t>ter’.</w:t>
      </w:r>
    </w:p>
    <w:p w14:paraId="481A137D" w14:textId="77777777" w:rsidR="00226640" w:rsidRDefault="004A2410" w:rsidP="004A2410">
      <w:pPr>
        <w:rPr>
          <w:lang w:eastAsia="ja-JP"/>
        </w:rPr>
      </w:pPr>
      <w:r w:rsidRPr="004A2410">
        <w:rPr>
          <w:lang w:eastAsia="ja-JP"/>
        </w:rPr>
        <w:t>In the US the</w:t>
      </w:r>
      <w:r w:rsidRPr="00D66EBD">
        <w:rPr>
          <w:lang w:eastAsia="ja-JP"/>
        </w:rPr>
        <w:t xml:space="preserve"> FDA</w:t>
      </w:r>
      <w:r w:rsidRPr="004A2410">
        <w:rPr>
          <w:lang w:eastAsia="ja-JP"/>
        </w:rPr>
        <w:t xml:space="preserve"> agreed overall with the adequacy of the </w:t>
      </w:r>
      <w:r w:rsidR="00D66EBD">
        <w:rPr>
          <w:lang w:eastAsia="ja-JP"/>
        </w:rPr>
        <w:t xml:space="preserve">Study </w:t>
      </w:r>
      <w:r w:rsidRPr="004A2410">
        <w:rPr>
          <w:lang w:eastAsia="ja-JP"/>
        </w:rPr>
        <w:t>BO21223 trial design, the proposed treatment population and dosing regimen in both arms.</w:t>
      </w:r>
    </w:p>
    <w:p w14:paraId="65AB558F" w14:textId="40138675" w:rsidR="004A2410" w:rsidRPr="00D66EBD" w:rsidRDefault="00FE0998" w:rsidP="004A2410">
      <w:pPr>
        <w:rPr>
          <w:i/>
        </w:rPr>
      </w:pPr>
      <w:r>
        <w:rPr>
          <w:lang w:eastAsia="ja-JP"/>
        </w:rPr>
        <w:t>For the EMA, overall</w:t>
      </w:r>
      <w:r w:rsidR="004A2410" w:rsidRPr="004A2410">
        <w:rPr>
          <w:lang w:eastAsia="ja-JP"/>
        </w:rPr>
        <w:t xml:space="preserve"> the feedback provided by the Committee for Medicinal Products for Human Use (CHMP)/Scientific Advice Working Party (SAWP)</w:t>
      </w:r>
      <w:r w:rsidR="00D66EBD">
        <w:rPr>
          <w:lang w:eastAsia="ja-JP"/>
        </w:rPr>
        <w:t xml:space="preserve"> in October 2010 </w:t>
      </w:r>
      <w:r w:rsidR="004A2410" w:rsidRPr="004A2410">
        <w:rPr>
          <w:lang w:eastAsia="ja-JP"/>
        </w:rPr>
        <w:t xml:space="preserve"> was in agreement with the</w:t>
      </w:r>
      <w:r w:rsidR="0052032C">
        <w:rPr>
          <w:lang w:eastAsia="ja-JP"/>
        </w:rPr>
        <w:t xml:space="preserve"> sponsor</w:t>
      </w:r>
      <w:r w:rsidR="00D66EBD">
        <w:rPr>
          <w:lang w:eastAsia="ja-JP"/>
        </w:rPr>
        <w:t xml:space="preserve">’s proposed design of Study </w:t>
      </w:r>
      <w:r w:rsidR="004A2410" w:rsidRPr="004A2410">
        <w:rPr>
          <w:lang w:eastAsia="ja-JP"/>
        </w:rPr>
        <w:t xml:space="preserve">BO21223 with respect to target patient population, </w:t>
      </w:r>
      <w:r w:rsidR="004A2410" w:rsidRPr="004A2410">
        <w:rPr>
          <w:lang w:eastAsia="ja-JP"/>
        </w:rPr>
        <w:lastRenderedPageBreak/>
        <w:t>p</w:t>
      </w:r>
      <w:r w:rsidR="00D66EBD">
        <w:rPr>
          <w:lang w:eastAsia="ja-JP"/>
        </w:rPr>
        <w:t xml:space="preserve">rimary endpoint of investigator </w:t>
      </w:r>
      <w:r w:rsidR="004A2410" w:rsidRPr="004A2410">
        <w:rPr>
          <w:lang w:eastAsia="ja-JP"/>
        </w:rPr>
        <w:t xml:space="preserve">assessed PFS in FL patients (with a requirement to demonstrate positive independent review committee </w:t>
      </w:r>
      <w:r w:rsidR="0052032C">
        <w:rPr>
          <w:lang w:eastAsia="ja-JP"/>
        </w:rPr>
        <w:t>(</w:t>
      </w:r>
      <w:r w:rsidR="004A2410" w:rsidRPr="004A2410">
        <w:rPr>
          <w:lang w:eastAsia="ja-JP"/>
        </w:rPr>
        <w:t>IRC</w:t>
      </w:r>
      <w:r w:rsidR="0052032C">
        <w:rPr>
          <w:lang w:eastAsia="ja-JP"/>
        </w:rPr>
        <w:t>)</w:t>
      </w:r>
      <w:r w:rsidR="00D66EBD">
        <w:rPr>
          <w:lang w:eastAsia="ja-JP"/>
        </w:rPr>
        <w:t xml:space="preserve"> </w:t>
      </w:r>
      <w:r w:rsidR="004A2410" w:rsidRPr="004A2410">
        <w:rPr>
          <w:lang w:eastAsia="ja-JP"/>
        </w:rPr>
        <w:t>assessed PFS for registration), clinical relevance of the targeted treatment effect, proposed dose and regimen of G-chemo and R-chemo (including induction and maintenance phases and choice of chemotherapies), and safety monitoring.</w:t>
      </w:r>
    </w:p>
    <w:p w14:paraId="4C2FDF5F" w14:textId="77777777" w:rsidR="00586F98" w:rsidRDefault="00586F98" w:rsidP="00586F98">
      <w:pPr>
        <w:pStyle w:val="Heading2"/>
        <w:rPr>
          <w:lang w:eastAsia="en-AU"/>
        </w:rPr>
      </w:pPr>
      <w:bookmarkStart w:id="31" w:name="_Toc513556337"/>
      <w:r w:rsidRPr="003442FE">
        <w:rPr>
          <w:lang w:eastAsia="en-AU"/>
        </w:rPr>
        <w:t>Contents of the clinical dossier</w:t>
      </w:r>
      <w:bookmarkEnd w:id="8"/>
      <w:bookmarkEnd w:id="9"/>
      <w:bookmarkEnd w:id="31"/>
    </w:p>
    <w:p w14:paraId="63990CC3" w14:textId="77777777" w:rsidR="00586F98" w:rsidRDefault="00586F98" w:rsidP="00586F98">
      <w:pPr>
        <w:pStyle w:val="Heading3"/>
      </w:pPr>
      <w:bookmarkStart w:id="32" w:name="_Toc513556338"/>
      <w:r w:rsidRPr="003442FE">
        <w:t>Scope of the clinical dossier</w:t>
      </w:r>
      <w:bookmarkEnd w:id="32"/>
    </w:p>
    <w:p w14:paraId="018B7919" w14:textId="77777777" w:rsidR="004A2410" w:rsidRPr="004A2410" w:rsidRDefault="004A2410" w:rsidP="004A2410">
      <w:pPr>
        <w:numPr>
          <w:ilvl w:val="1"/>
          <w:numId w:val="5"/>
        </w:numPr>
        <w:rPr>
          <w:b/>
          <w:bCs/>
        </w:rPr>
      </w:pPr>
      <w:bookmarkStart w:id="33" w:name="_Toc481769147"/>
      <w:r w:rsidRPr="004A2410">
        <w:rPr>
          <w:b/>
          <w:bCs/>
        </w:rPr>
        <w:t>Scope of the clinical dossier</w:t>
      </w:r>
      <w:bookmarkEnd w:id="33"/>
    </w:p>
    <w:p w14:paraId="5EB168E8" w14:textId="4C042AC3" w:rsidR="004A2410" w:rsidRPr="004A2410" w:rsidRDefault="004A2410" w:rsidP="004A2410">
      <w:pPr>
        <w:rPr>
          <w:lang w:eastAsia="ja-JP"/>
        </w:rPr>
      </w:pPr>
      <w:r w:rsidRPr="004A2410">
        <w:rPr>
          <w:lang w:eastAsia="ja-JP"/>
        </w:rPr>
        <w:t>According to the</w:t>
      </w:r>
      <w:r w:rsidR="0052032C">
        <w:rPr>
          <w:lang w:eastAsia="ja-JP"/>
        </w:rPr>
        <w:t xml:space="preserve"> sponsor</w:t>
      </w:r>
      <w:r w:rsidR="00693B60">
        <w:rPr>
          <w:lang w:eastAsia="ja-JP"/>
        </w:rPr>
        <w:t>:</w:t>
      </w:r>
    </w:p>
    <w:p w14:paraId="7837ECA5" w14:textId="56E95294" w:rsidR="004A2410" w:rsidRPr="004A2410" w:rsidRDefault="004A2410" w:rsidP="004A2410">
      <w:pPr>
        <w:rPr>
          <w:lang w:eastAsia="ja-JP"/>
        </w:rPr>
      </w:pPr>
      <w:r w:rsidRPr="004A2410">
        <w:rPr>
          <w:lang w:eastAsia="ja-JP"/>
        </w:rPr>
        <w:t>The purpose of the current application is to support registration for the use of obinutuzumab in combination with standard of care chemotherapy, followed by obinutuzumab maintenance/monotherapy, for the treatment of patients with previously untreated FL.</w:t>
      </w:r>
    </w:p>
    <w:p w14:paraId="5098D16E" w14:textId="4B8EA3C6" w:rsidR="004A2410" w:rsidRPr="00D66EBD" w:rsidRDefault="004A2410" w:rsidP="00D66EBD">
      <w:pPr>
        <w:pStyle w:val="ListBullet"/>
      </w:pPr>
      <w:r w:rsidRPr="00D66EBD">
        <w:t xml:space="preserve">Reports of </w:t>
      </w:r>
      <w:r w:rsidR="00D66EBD" w:rsidRPr="00D66EBD">
        <w:t xml:space="preserve">bioanalytical and analytical methods for human studies: </w:t>
      </w:r>
      <w:r w:rsidR="00D66EBD">
        <w:t>2</w:t>
      </w:r>
      <w:r w:rsidR="001017B9">
        <w:t xml:space="preserve"> amended, </w:t>
      </w:r>
      <w:r w:rsidR="00D66EBD" w:rsidRPr="00D66EBD">
        <w:t xml:space="preserve">previously presented reports. </w:t>
      </w:r>
      <w:r w:rsidR="008E396E" w:rsidRPr="00D66EBD">
        <w:t>Amendments</w:t>
      </w:r>
      <w:r w:rsidR="00D66EBD" w:rsidRPr="00D66EBD">
        <w:t xml:space="preserve"> rela</w:t>
      </w:r>
      <w:r w:rsidRPr="00D66EBD">
        <w:t>ted to storage at -80</w:t>
      </w:r>
      <w:r w:rsidRPr="00D66EBD">
        <w:rPr>
          <w:vertAlign w:val="superscript"/>
        </w:rPr>
        <w:t>○</w:t>
      </w:r>
      <w:r w:rsidR="00D66EBD">
        <w:t>C.</w:t>
      </w:r>
    </w:p>
    <w:p w14:paraId="11A75B9B" w14:textId="42EC2B5B" w:rsidR="004A2410" w:rsidRPr="00D66EBD" w:rsidRDefault="004A2410" w:rsidP="00D66EBD">
      <w:pPr>
        <w:pStyle w:val="ListBullet"/>
      </w:pPr>
      <w:r w:rsidRPr="00D66EBD">
        <w:t xml:space="preserve">Population PK Study Report: Report 1072889; Population PK Analysis, Graphical Analysis and Exposure-Safety and Exposure-Efficacy Relationships, and Exposure Analysis of </w:t>
      </w:r>
      <w:r w:rsidR="00D66EBD" w:rsidRPr="00D66EBD">
        <w:t xml:space="preserve">progression-free survival for obinutuzumab in patients with follicular lymphoma or marginal zone lymphoma </w:t>
      </w:r>
      <w:r w:rsidRPr="00D66EBD">
        <w:t>(</w:t>
      </w:r>
      <w:r w:rsidR="0052032C" w:rsidRPr="00D66EBD">
        <w:t>Study BO</w:t>
      </w:r>
      <w:r w:rsidRPr="00D66EBD">
        <w:t xml:space="preserve">21223/GALLIUM) (data </w:t>
      </w:r>
      <w:proofErr w:type="spellStart"/>
      <w:r w:rsidR="008E396E" w:rsidRPr="00D66EBD">
        <w:t>cut</w:t>
      </w:r>
      <w:r w:rsidR="00284FC2">
        <w:t xml:space="preserve"> </w:t>
      </w:r>
      <w:r w:rsidR="008E396E" w:rsidRPr="00D66EBD">
        <w:t>off</w:t>
      </w:r>
      <w:proofErr w:type="spellEnd"/>
      <w:r w:rsidRPr="00D66EBD">
        <w:t xml:space="preserve"> date: 31 January, 2016)</w:t>
      </w:r>
      <w:r w:rsidR="00D66EBD">
        <w:t>.</w:t>
      </w:r>
    </w:p>
    <w:p w14:paraId="5C71F956" w14:textId="7948221D" w:rsidR="004A2410" w:rsidRPr="00D66EBD" w:rsidRDefault="004A2410" w:rsidP="00D66EBD">
      <w:pPr>
        <w:pStyle w:val="ListBullet"/>
      </w:pPr>
      <w:r w:rsidRPr="00D66EBD">
        <w:t xml:space="preserve">Study </w:t>
      </w:r>
      <w:r w:rsidR="00D66EBD" w:rsidRPr="00D66EBD">
        <w:t>reports of controlled clinical studies pertinent to the claimed indication</w:t>
      </w:r>
      <w:r w:rsidRPr="00D66EBD">
        <w:t xml:space="preserve">: </w:t>
      </w:r>
      <w:r w:rsidR="00D66EBD">
        <w:t>Study </w:t>
      </w:r>
      <w:r w:rsidR="0052032C" w:rsidRPr="00D66EBD">
        <w:t>BO</w:t>
      </w:r>
      <w:r w:rsidRPr="00D66EBD">
        <w:t xml:space="preserve">21223 (GALLIUM) </w:t>
      </w:r>
      <w:r w:rsidR="00167618">
        <w:t xml:space="preserve">primary </w:t>
      </w:r>
      <w:r w:rsidRPr="00D66EBD">
        <w:t>Clinical Study Report (Pivotal study</w:t>
      </w:r>
      <w:r w:rsidR="00167618">
        <w:t xml:space="preserve"> data </w:t>
      </w:r>
      <w:proofErr w:type="spellStart"/>
      <w:r w:rsidR="00167618">
        <w:t>cut</w:t>
      </w:r>
      <w:r w:rsidR="00284FC2">
        <w:t xml:space="preserve"> </w:t>
      </w:r>
      <w:r w:rsidR="00167618">
        <w:t>off</w:t>
      </w:r>
      <w:proofErr w:type="spellEnd"/>
      <w:r w:rsidR="00167618">
        <w:t xml:space="preserve"> date 31 January 2016</w:t>
      </w:r>
      <w:r w:rsidRPr="00D66EBD">
        <w:t>)</w:t>
      </w:r>
      <w:r w:rsidR="00D66EBD">
        <w:t>.</w:t>
      </w:r>
    </w:p>
    <w:p w14:paraId="1B7742A5" w14:textId="6C832AF2" w:rsidR="004A2410" w:rsidRPr="00D66EBD" w:rsidRDefault="004A2410" w:rsidP="00D66EBD">
      <w:pPr>
        <w:pStyle w:val="ListBullet"/>
      </w:pPr>
      <w:r w:rsidRPr="00D66EBD">
        <w:t xml:space="preserve">Study </w:t>
      </w:r>
      <w:r w:rsidR="00D66EBD" w:rsidRPr="00D66EBD">
        <w:t>reports of uncontrolled clinical studies</w:t>
      </w:r>
      <w:r w:rsidRPr="00D66EBD">
        <w:t xml:space="preserve">: </w:t>
      </w:r>
      <w:r w:rsidR="0052032C" w:rsidRPr="00D66EBD">
        <w:t>Study BO</w:t>
      </w:r>
      <w:r w:rsidRPr="00D66EBD">
        <w:t xml:space="preserve">21000 (GAUDI) Final CSR: Supportive efficacy and safety data are provided from Part 2 of the </w:t>
      </w:r>
      <w:r w:rsidR="0052032C" w:rsidRPr="00D66EBD">
        <w:t xml:space="preserve">Phase </w:t>
      </w:r>
      <w:proofErr w:type="gramStart"/>
      <w:r w:rsidR="0052032C" w:rsidRPr="00D66EBD">
        <w:t>I</w:t>
      </w:r>
      <w:r w:rsidRPr="00D66EBD">
        <w:t>b</w:t>
      </w:r>
      <w:proofErr w:type="gramEnd"/>
      <w:r w:rsidRPr="00D66EBD">
        <w:t xml:space="preserve"> </w:t>
      </w:r>
      <w:r w:rsidR="0052032C" w:rsidRPr="00D66EBD">
        <w:t>Study BO</w:t>
      </w:r>
      <w:r w:rsidRPr="00D66EBD">
        <w:t>21000 in which additional cohorts of patients (n</w:t>
      </w:r>
      <w:r w:rsidR="00D66EBD">
        <w:t xml:space="preserve"> </w:t>
      </w:r>
      <w:r w:rsidRPr="00D66EBD">
        <w:t>=</w:t>
      </w:r>
      <w:r w:rsidR="00D66EBD">
        <w:t xml:space="preserve"> </w:t>
      </w:r>
      <w:r w:rsidRPr="00D66EBD">
        <w:t>81) with previously untreated FL were treated with G-chemo.</w:t>
      </w:r>
    </w:p>
    <w:p w14:paraId="494464B8" w14:textId="008AD4C3" w:rsidR="004A2410" w:rsidRPr="00D66EBD" w:rsidRDefault="004A2410" w:rsidP="00D66EBD">
      <w:pPr>
        <w:pStyle w:val="ListBullet"/>
      </w:pPr>
      <w:r w:rsidRPr="00D66EBD">
        <w:t>Other Study Reports:</w:t>
      </w:r>
      <w:r w:rsidR="00D66EBD">
        <w:t xml:space="preserve"> Update Clinical Study Report </w:t>
      </w:r>
      <w:r w:rsidRPr="00D66EBD">
        <w:t>GA04753g (GADOLIN)</w:t>
      </w:r>
    </w:p>
    <w:p w14:paraId="5FD8CA32" w14:textId="77777777" w:rsidR="004A2410" w:rsidRPr="00D66EBD" w:rsidRDefault="004A2410" w:rsidP="00D66EBD">
      <w:pPr>
        <w:pStyle w:val="ListBullet"/>
      </w:pPr>
      <w:r w:rsidRPr="00D66EBD">
        <w:t>Literature references</w:t>
      </w:r>
    </w:p>
    <w:p w14:paraId="74B97DDC" w14:textId="62B457CA" w:rsidR="004A2410" w:rsidRPr="004A2410" w:rsidRDefault="00D66EBD" w:rsidP="00D66EBD">
      <w:pPr>
        <w:pStyle w:val="ListBullet"/>
      </w:pPr>
      <w:r>
        <w:t xml:space="preserve">A </w:t>
      </w:r>
      <w:r w:rsidR="004A2410" w:rsidRPr="00D66EBD">
        <w:t>Clinical Overview</w:t>
      </w:r>
      <w:r>
        <w:t>, Summary of</w:t>
      </w:r>
      <w:r w:rsidR="004A2410" w:rsidRPr="00D66EBD">
        <w:t xml:space="preserve"> Clinical Pharmacology</w:t>
      </w:r>
      <w:r>
        <w:t>, Summary of</w:t>
      </w:r>
      <w:r w:rsidR="004A2410" w:rsidRPr="00D66EBD">
        <w:t xml:space="preserve"> Clinical Efficacy</w:t>
      </w:r>
      <w:r>
        <w:t xml:space="preserve">, Summary of </w:t>
      </w:r>
      <w:r w:rsidR="004A2410" w:rsidRPr="00D66EBD">
        <w:t>Clinical Safety</w:t>
      </w:r>
      <w:r>
        <w:t xml:space="preserve">, </w:t>
      </w:r>
      <w:r w:rsidR="00284FC2">
        <w:t>l</w:t>
      </w:r>
      <w:r w:rsidR="004A2410" w:rsidRPr="00D66EBD">
        <w:t>iterature references</w:t>
      </w:r>
      <w:r w:rsidR="00284FC2">
        <w:t>,</w:t>
      </w:r>
      <w:r>
        <w:t xml:space="preserve"> and </w:t>
      </w:r>
      <w:r w:rsidR="00284FC2">
        <w:t>s</w:t>
      </w:r>
      <w:r w:rsidR="004A2410" w:rsidRPr="00D66EBD">
        <w:t>ynopses of individual Studies</w:t>
      </w:r>
      <w:r w:rsidR="002C4679">
        <w:t>.</w:t>
      </w:r>
    </w:p>
    <w:p w14:paraId="7CE47498" w14:textId="77777777" w:rsidR="00586F98" w:rsidRDefault="00586F98" w:rsidP="00586F98">
      <w:pPr>
        <w:pStyle w:val="Heading3"/>
      </w:pPr>
      <w:bookmarkStart w:id="34" w:name="_Toc513556339"/>
      <w:r w:rsidRPr="003442FE">
        <w:t>Paediatric data</w:t>
      </w:r>
      <w:bookmarkEnd w:id="34"/>
    </w:p>
    <w:p w14:paraId="6359EE7E" w14:textId="4E1BB471" w:rsidR="004A2410" w:rsidRPr="004A2410" w:rsidRDefault="004A2410" w:rsidP="004A2410">
      <w:pPr>
        <w:rPr>
          <w:lang w:eastAsia="ja-JP"/>
        </w:rPr>
      </w:pPr>
      <w:r w:rsidRPr="004A2410">
        <w:rPr>
          <w:lang w:eastAsia="ja-JP"/>
        </w:rPr>
        <w:t>N</w:t>
      </w:r>
      <w:r w:rsidR="00693B60">
        <w:rPr>
          <w:lang w:eastAsia="ja-JP"/>
        </w:rPr>
        <w:t>o paediatric data was provided.</w:t>
      </w:r>
    </w:p>
    <w:p w14:paraId="0C1F3A9B" w14:textId="3B98DCFD" w:rsidR="004A2410" w:rsidRPr="004A2410" w:rsidRDefault="004A2410" w:rsidP="004A2410">
      <w:pPr>
        <w:rPr>
          <w:lang w:eastAsia="ja-JP"/>
        </w:rPr>
      </w:pPr>
      <w:r w:rsidRPr="004A2410">
        <w:rPr>
          <w:lang w:eastAsia="ja-JP"/>
        </w:rPr>
        <w:t>The</w:t>
      </w:r>
      <w:r w:rsidR="0052032C">
        <w:rPr>
          <w:lang w:eastAsia="ja-JP"/>
        </w:rPr>
        <w:t xml:space="preserve"> sponsor</w:t>
      </w:r>
      <w:r w:rsidRPr="004A2410">
        <w:rPr>
          <w:lang w:eastAsia="ja-JP"/>
        </w:rPr>
        <w:t xml:space="preserve"> states that there is an agreed Paediatric Investigation Plan (PIP) in Europe.</w:t>
      </w:r>
    </w:p>
    <w:p w14:paraId="25181631" w14:textId="734C8465" w:rsidR="004A2410" w:rsidRPr="004A2410" w:rsidRDefault="004A2410" w:rsidP="004A2410">
      <w:pPr>
        <w:rPr>
          <w:lang w:eastAsia="ja-JP"/>
        </w:rPr>
      </w:pPr>
      <w:r w:rsidRPr="004A2410">
        <w:rPr>
          <w:lang w:eastAsia="ja-JP"/>
        </w:rPr>
        <w:t>The FDA has granted a waiver from having to submit a Paediatric Assessment in all s</w:t>
      </w:r>
      <w:r w:rsidR="00693B60">
        <w:rPr>
          <w:lang w:eastAsia="ja-JP"/>
        </w:rPr>
        <w:t>ubtypes of iNHL.</w:t>
      </w:r>
    </w:p>
    <w:p w14:paraId="28180D06" w14:textId="77777777" w:rsidR="00586F98" w:rsidRDefault="00586F98" w:rsidP="00586F98">
      <w:pPr>
        <w:pStyle w:val="Heading3"/>
      </w:pPr>
      <w:bookmarkStart w:id="35" w:name="_Toc513556340"/>
      <w:r w:rsidRPr="003442FE">
        <w:t>Good clinical practice</w:t>
      </w:r>
      <w:bookmarkEnd w:id="35"/>
    </w:p>
    <w:p w14:paraId="3DB87400" w14:textId="4F61C5E5" w:rsidR="004A2410" w:rsidRPr="00693B60" w:rsidRDefault="004A2410" w:rsidP="00693B60">
      <w:r w:rsidRPr="00693B60">
        <w:t>The</w:t>
      </w:r>
      <w:r w:rsidR="0052032C" w:rsidRPr="00693B60">
        <w:t xml:space="preserve"> sponsor</w:t>
      </w:r>
      <w:r w:rsidRPr="00693B60">
        <w:t xml:space="preserve"> states </w:t>
      </w:r>
      <w:r w:rsidR="00CD3A8C">
        <w:t xml:space="preserve">that </w:t>
      </w:r>
      <w:r w:rsidRPr="00693B60">
        <w:t>for each individual study report supplied in this dosser</w:t>
      </w:r>
      <w:r w:rsidR="00CD3A8C">
        <w:t>, the</w:t>
      </w:r>
      <w:r w:rsidRPr="00693B60">
        <w:t xml:space="preserve"> study was conducted in accordance with the principles of GCP.</w:t>
      </w:r>
    </w:p>
    <w:p w14:paraId="6846EF27" w14:textId="77777777" w:rsidR="004A2410" w:rsidRPr="004A2410" w:rsidRDefault="004A2410" w:rsidP="00693B60">
      <w:pPr>
        <w:pStyle w:val="Heading3"/>
      </w:pPr>
      <w:bookmarkStart w:id="36" w:name="_Toc481769150"/>
      <w:bookmarkStart w:id="37" w:name="_Toc513556341"/>
      <w:r w:rsidRPr="004A2410">
        <w:lastRenderedPageBreak/>
        <w:t>Evaluator’s commentary on the clinical dossier</w:t>
      </w:r>
      <w:bookmarkEnd w:id="36"/>
      <w:bookmarkEnd w:id="37"/>
    </w:p>
    <w:p w14:paraId="04518C21" w14:textId="74F1C4DE" w:rsidR="004A2410" w:rsidRPr="00693B60" w:rsidRDefault="004A2410" w:rsidP="00693B60">
      <w:r w:rsidRPr="00693B60">
        <w:t xml:space="preserve">The pivotal </w:t>
      </w:r>
      <w:r w:rsidR="0052032C" w:rsidRPr="00693B60">
        <w:t>Study BO</w:t>
      </w:r>
      <w:r w:rsidRPr="00693B60">
        <w:t>21223 is relevant and has the appropriate comparator; another CD20 monoclonal antibody.</w:t>
      </w:r>
    </w:p>
    <w:p w14:paraId="4779831D" w14:textId="7A1A8150" w:rsidR="004A2410" w:rsidRPr="00693B60" w:rsidRDefault="004A2410" w:rsidP="00693B60">
      <w:r w:rsidRPr="00693B60">
        <w:t>The submission has the following problems, that added substantially to the time spent evaluating the application:</w:t>
      </w:r>
    </w:p>
    <w:p w14:paraId="1BA7C10F" w14:textId="3434AD3F" w:rsidR="004A2410" w:rsidRPr="00693B60" w:rsidRDefault="004A2410" w:rsidP="00693B60">
      <w:pPr>
        <w:pStyle w:val="Numberbullet0"/>
      </w:pPr>
      <w:r w:rsidRPr="00693B60">
        <w:t xml:space="preserve">The CSR of </w:t>
      </w:r>
      <w:r w:rsidR="0052032C" w:rsidRPr="00693B60">
        <w:t>Study BO</w:t>
      </w:r>
      <w:r w:rsidRPr="00693B60">
        <w:t>21223 was divided into Part A</w:t>
      </w:r>
      <w:r w:rsidR="00693B60">
        <w:t xml:space="preserve"> to </w:t>
      </w:r>
      <w:r w:rsidRPr="00693B60">
        <w:t>H with no heading for each part and no proper heading for the majority of tables making it difficult to find tables of interest unless</w:t>
      </w:r>
      <w:r w:rsidR="00693B60">
        <w:t xml:space="preserve"> you had the link from the CSR.</w:t>
      </w:r>
    </w:p>
    <w:p w14:paraId="0DA627E8" w14:textId="5C7B96AB" w:rsidR="004A2410" w:rsidRPr="00693B60" w:rsidRDefault="004A2410" w:rsidP="00693B60">
      <w:pPr>
        <w:pStyle w:val="Numberbullet0"/>
      </w:pPr>
      <w:r w:rsidRPr="00693B60">
        <w:t xml:space="preserve">The references to the changes made to the Product information were unspecific usually just referring to the CSR of </w:t>
      </w:r>
      <w:r w:rsidR="0052032C" w:rsidRPr="00693B60">
        <w:t>Study BO</w:t>
      </w:r>
      <w:r w:rsidR="00C85503">
        <w:t>21223 as a whole (approximately</w:t>
      </w:r>
      <w:r w:rsidRPr="00693B60">
        <w:t xml:space="preserve"> 120</w:t>
      </w:r>
      <w:r w:rsidR="00CD3A8C">
        <w:t>,</w:t>
      </w:r>
      <w:r w:rsidRPr="00693B60">
        <w:t>000 pa</w:t>
      </w:r>
      <w:r w:rsidR="00693B60">
        <w:t>ges) or generally to a summary.</w:t>
      </w:r>
    </w:p>
    <w:p w14:paraId="3A559F63" w14:textId="439C5336" w:rsidR="004A2410" w:rsidRPr="00693B60" w:rsidRDefault="004A2410" w:rsidP="00693B60">
      <w:pPr>
        <w:pStyle w:val="Numberbullet0"/>
      </w:pPr>
      <w:r w:rsidRPr="00693B60">
        <w:t>Most tables looked like compiled raw data and as such were not w</w:t>
      </w:r>
      <w:r w:rsidR="00693B60">
        <w:t>ell presented/easily readable.</w:t>
      </w:r>
    </w:p>
    <w:p w14:paraId="0A7CE045" w14:textId="59911FC2" w:rsidR="004A2410" w:rsidRPr="00693B60" w:rsidRDefault="004A2410" w:rsidP="00705E66">
      <w:pPr>
        <w:pStyle w:val="Numberbullet0"/>
      </w:pPr>
      <w:r w:rsidRPr="00693B60">
        <w:t>The evaluation of safety was primarily made in the FL population with the argument that this was the population for which the indication is sought, but the overall population (adding app</w:t>
      </w:r>
      <w:r w:rsidR="00BB2C5B">
        <w:t>roximately</w:t>
      </w:r>
      <w:r w:rsidRPr="00693B60">
        <w:t xml:space="preserve"> 100 MZL patients to each arm containing app</w:t>
      </w:r>
      <w:r w:rsidR="00BB2C5B">
        <w:t>roximately</w:t>
      </w:r>
      <w:r w:rsidRPr="00693B60">
        <w:t xml:space="preserve"> 600 FL patients) is the safety population in the Product Information. This added a lot of time spent finding the relevant overall populati</w:t>
      </w:r>
      <w:r w:rsidR="00693B60">
        <w:t>on data in the 120</w:t>
      </w:r>
      <w:r w:rsidR="00BB2C5B">
        <w:t>,</w:t>
      </w:r>
      <w:r w:rsidR="00693B60">
        <w:t>000 page CSR.</w:t>
      </w:r>
    </w:p>
    <w:p w14:paraId="73B4787A" w14:textId="77777777" w:rsidR="00586F98" w:rsidRDefault="00586F98" w:rsidP="00586F98">
      <w:pPr>
        <w:pStyle w:val="Heading2"/>
      </w:pPr>
      <w:bookmarkStart w:id="38" w:name="_Toc355338639"/>
      <w:bookmarkStart w:id="39" w:name="_Toc513556342"/>
      <w:r w:rsidRPr="003442FE">
        <w:t>Pharmacokinetics</w:t>
      </w:r>
      <w:bookmarkEnd w:id="38"/>
      <w:bookmarkEnd w:id="39"/>
    </w:p>
    <w:p w14:paraId="6D7ED01C" w14:textId="77777777" w:rsidR="0052032C" w:rsidRPr="0052032C" w:rsidRDefault="0052032C" w:rsidP="0052032C">
      <w:pPr>
        <w:pStyle w:val="Heading3"/>
        <w:rPr>
          <w:rFonts w:eastAsia="Cambria"/>
        </w:rPr>
      </w:pPr>
      <w:bookmarkStart w:id="40" w:name="_Toc481769152"/>
      <w:bookmarkStart w:id="41" w:name="_Toc513556343"/>
      <w:r w:rsidRPr="0052032C">
        <w:rPr>
          <w:rFonts w:eastAsia="Cambria"/>
        </w:rPr>
        <w:t>Studies providing pharmacokinetic information</w:t>
      </w:r>
      <w:bookmarkEnd w:id="40"/>
      <w:bookmarkEnd w:id="41"/>
    </w:p>
    <w:p w14:paraId="3502C2AD" w14:textId="668D31EB" w:rsidR="0052032C" w:rsidRPr="0052032C" w:rsidRDefault="0052032C" w:rsidP="0052032C">
      <w:pPr>
        <w:rPr>
          <w:lang w:eastAsia="ja-JP"/>
        </w:rPr>
      </w:pPr>
      <w:r>
        <w:rPr>
          <w:lang w:eastAsia="ja-JP"/>
        </w:rPr>
        <w:t>Study BO</w:t>
      </w:r>
      <w:r w:rsidRPr="0052032C">
        <w:rPr>
          <w:lang w:eastAsia="ja-JP"/>
        </w:rPr>
        <w:t>21223 (GALLIUM) included PK sampling (approximat</w:t>
      </w:r>
      <w:r w:rsidR="00121989">
        <w:rPr>
          <w:lang w:eastAsia="ja-JP"/>
        </w:rPr>
        <w:t xml:space="preserve">ely 23 samples per obinutuzumab </w:t>
      </w:r>
      <w:r w:rsidRPr="0052032C">
        <w:rPr>
          <w:lang w:eastAsia="ja-JP"/>
        </w:rPr>
        <w:t>treated patient) from a planned sample of 460 patients with FL or</w:t>
      </w:r>
      <w:r w:rsidR="00121989">
        <w:rPr>
          <w:lang w:eastAsia="ja-JP"/>
        </w:rPr>
        <w:t xml:space="preserve"> MZL who received obinutuzumab.</w:t>
      </w:r>
    </w:p>
    <w:p w14:paraId="45F32E1B" w14:textId="607B7DD3" w:rsidR="0052032C" w:rsidRPr="0052032C" w:rsidRDefault="0052032C" w:rsidP="0052032C">
      <w:pPr>
        <w:rPr>
          <w:lang w:eastAsia="ja-JP"/>
        </w:rPr>
      </w:pPr>
      <w:r w:rsidRPr="0052032C">
        <w:rPr>
          <w:lang w:eastAsia="ja-JP"/>
        </w:rPr>
        <w:t xml:space="preserve">The analyses were </w:t>
      </w:r>
      <w:r w:rsidR="00121989">
        <w:rPr>
          <w:lang w:eastAsia="ja-JP"/>
        </w:rPr>
        <w:t>performed, according to the Pop</w:t>
      </w:r>
      <w:r w:rsidRPr="0052032C">
        <w:rPr>
          <w:lang w:eastAsia="ja-JP"/>
        </w:rPr>
        <w:t>PK Report 1072889</w:t>
      </w:r>
      <w:r w:rsidR="00693B60">
        <w:rPr>
          <w:lang w:eastAsia="ja-JP"/>
        </w:rPr>
        <w:t>:</w:t>
      </w:r>
    </w:p>
    <w:p w14:paraId="1D3C91AF" w14:textId="2F7C2EA4" w:rsidR="0052032C" w:rsidRPr="0052032C" w:rsidRDefault="0052032C" w:rsidP="00693B60">
      <w:pPr>
        <w:pStyle w:val="ListBullet"/>
        <w:rPr>
          <w:lang w:eastAsia="ja-JP"/>
        </w:rPr>
      </w:pPr>
      <w:r w:rsidRPr="0052032C">
        <w:rPr>
          <w:lang w:eastAsia="ja-JP"/>
        </w:rPr>
        <w:t xml:space="preserve">To update a previously developed population model </w:t>
      </w:r>
      <w:r>
        <w:rPr>
          <w:lang w:eastAsia="ja-JP"/>
        </w:rPr>
        <w:t>(</w:t>
      </w:r>
      <w:r w:rsidRPr="0052032C">
        <w:rPr>
          <w:lang w:eastAsia="ja-JP"/>
        </w:rPr>
        <w:t>Report No. 1065581</w:t>
      </w:r>
      <w:r>
        <w:rPr>
          <w:lang w:eastAsia="ja-JP"/>
        </w:rPr>
        <w:t>)</w:t>
      </w:r>
      <w:r w:rsidRPr="0052032C">
        <w:rPr>
          <w:lang w:eastAsia="ja-JP"/>
        </w:rPr>
        <w:t xml:space="preserve"> that describes pharmacokinetics of obinutuzumab following intravenous administration in patients with CD20+ </w:t>
      </w:r>
      <w:r w:rsidR="0016371D">
        <w:rPr>
          <w:lang w:eastAsia="ja-JP"/>
        </w:rPr>
        <w:t>B cell</w:t>
      </w:r>
      <w:r w:rsidRPr="0052032C">
        <w:rPr>
          <w:lang w:eastAsia="ja-JP"/>
        </w:rPr>
        <w:t>s malignancies</w:t>
      </w:r>
    </w:p>
    <w:p w14:paraId="37ADB22D" w14:textId="77777777" w:rsidR="0052032C" w:rsidRPr="0052032C" w:rsidRDefault="0052032C" w:rsidP="00693B60">
      <w:pPr>
        <w:pStyle w:val="ListBullet"/>
        <w:rPr>
          <w:lang w:eastAsia="ja-JP"/>
        </w:rPr>
      </w:pPr>
      <w:r w:rsidRPr="0052032C">
        <w:rPr>
          <w:lang w:eastAsia="ja-JP"/>
        </w:rPr>
        <w:t>To re-estimate population PK parameters of the model</w:t>
      </w:r>
    </w:p>
    <w:p w14:paraId="1D994CC1" w14:textId="61143C73" w:rsidR="0052032C" w:rsidRPr="0052032C" w:rsidRDefault="0052032C" w:rsidP="00693B60">
      <w:pPr>
        <w:pStyle w:val="ListBullet"/>
        <w:rPr>
          <w:lang w:eastAsia="ja-JP"/>
        </w:rPr>
      </w:pPr>
      <w:r w:rsidRPr="0052032C">
        <w:rPr>
          <w:lang w:eastAsia="ja-JP"/>
        </w:rPr>
        <w:t>To determine post</w:t>
      </w:r>
      <w:r w:rsidR="002C4679">
        <w:rPr>
          <w:lang w:eastAsia="ja-JP"/>
        </w:rPr>
        <w:t xml:space="preserve"> </w:t>
      </w:r>
      <w:r w:rsidRPr="0052032C">
        <w:rPr>
          <w:lang w:eastAsia="ja-JP"/>
        </w:rPr>
        <w:t xml:space="preserve">hoc </w:t>
      </w:r>
      <w:r w:rsidR="002C4679">
        <w:rPr>
          <w:lang w:eastAsia="ja-JP"/>
        </w:rPr>
        <w:t>estimat</w:t>
      </w:r>
      <w:r w:rsidRPr="0052032C">
        <w:rPr>
          <w:lang w:eastAsia="ja-JP"/>
        </w:rPr>
        <w:t>es fo</w:t>
      </w:r>
      <w:r w:rsidR="002C4679">
        <w:rPr>
          <w:lang w:eastAsia="ja-JP"/>
        </w:rPr>
        <w:t xml:space="preserve">r derived PK parameters (steady </w:t>
      </w:r>
      <w:r w:rsidRPr="0052032C">
        <w:rPr>
          <w:lang w:eastAsia="ja-JP"/>
        </w:rPr>
        <w:t xml:space="preserve">state </w:t>
      </w:r>
      <w:proofErr w:type="spellStart"/>
      <w:r w:rsidRPr="0052032C">
        <w:rPr>
          <w:lang w:eastAsia="ja-JP"/>
        </w:rPr>
        <w:t>AUCτ</w:t>
      </w:r>
      <w:proofErr w:type="spellEnd"/>
      <w:r w:rsidRPr="0052032C">
        <w:rPr>
          <w:lang w:eastAsia="ja-JP"/>
        </w:rPr>
        <w:t xml:space="preserve">, </w:t>
      </w:r>
      <w:proofErr w:type="spellStart"/>
      <w:r w:rsidRPr="0052032C">
        <w:rPr>
          <w:lang w:eastAsia="ja-JP"/>
        </w:rPr>
        <w:t>C</w:t>
      </w:r>
      <w:r w:rsidRPr="0052032C">
        <w:rPr>
          <w:vertAlign w:val="subscript"/>
          <w:lang w:eastAsia="ja-JP"/>
        </w:rPr>
        <w:t>max</w:t>
      </w:r>
      <w:proofErr w:type="spellEnd"/>
      <w:r w:rsidRPr="0052032C">
        <w:rPr>
          <w:lang w:eastAsia="ja-JP"/>
        </w:rPr>
        <w:t xml:space="preserve">, </w:t>
      </w:r>
      <w:proofErr w:type="spellStart"/>
      <w:r w:rsidRPr="0052032C">
        <w:rPr>
          <w:lang w:eastAsia="ja-JP"/>
        </w:rPr>
        <w:t>C</w:t>
      </w:r>
      <w:r w:rsidRPr="0052032C">
        <w:rPr>
          <w:vertAlign w:val="subscript"/>
          <w:lang w:eastAsia="ja-JP"/>
        </w:rPr>
        <w:t>trough</w:t>
      </w:r>
      <w:proofErr w:type="spellEnd"/>
      <w:r w:rsidRPr="0052032C">
        <w:rPr>
          <w:lang w:eastAsia="ja-JP"/>
        </w:rPr>
        <w:t>, termin</w:t>
      </w:r>
      <w:r w:rsidR="00693B60">
        <w:rPr>
          <w:lang w:eastAsia="ja-JP"/>
        </w:rPr>
        <w:t xml:space="preserve">al </w:t>
      </w:r>
      <w:r w:rsidR="00226640">
        <w:rPr>
          <w:lang w:eastAsia="ja-JP"/>
        </w:rPr>
        <w:t>half-life</w:t>
      </w:r>
      <w:r w:rsidR="00693B60">
        <w:rPr>
          <w:lang w:eastAsia="ja-JP"/>
        </w:rPr>
        <w:t xml:space="preserve"> and effective </w:t>
      </w:r>
      <w:r w:rsidR="00226640">
        <w:rPr>
          <w:lang w:eastAsia="ja-JP"/>
        </w:rPr>
        <w:t>half-life</w:t>
      </w:r>
      <w:r w:rsidRPr="0052032C">
        <w:rPr>
          <w:lang w:eastAsia="ja-JP"/>
        </w:rPr>
        <w:t>)</w:t>
      </w:r>
    </w:p>
    <w:p w14:paraId="1D224AE0" w14:textId="77777777" w:rsidR="0052032C" w:rsidRPr="0052032C" w:rsidRDefault="0052032C" w:rsidP="00693B60">
      <w:pPr>
        <w:pStyle w:val="ListBullet"/>
        <w:rPr>
          <w:lang w:eastAsia="ja-JP"/>
        </w:rPr>
      </w:pPr>
      <w:r w:rsidRPr="0052032C">
        <w:rPr>
          <w:lang w:eastAsia="ja-JP"/>
        </w:rPr>
        <w:t>To re-estimate the inter-individual variability of model parameters in the patient population</w:t>
      </w:r>
    </w:p>
    <w:p w14:paraId="479F4725" w14:textId="77777777" w:rsidR="0052032C" w:rsidRPr="0052032C" w:rsidRDefault="0052032C" w:rsidP="00693B60">
      <w:pPr>
        <w:pStyle w:val="ListBullet"/>
        <w:rPr>
          <w:lang w:eastAsia="ja-JP"/>
        </w:rPr>
      </w:pPr>
      <w:r w:rsidRPr="0052032C">
        <w:rPr>
          <w:lang w:eastAsia="ja-JP"/>
        </w:rPr>
        <w:t>To re-estimate the residual variability of the dependent variable (obinutuzumab concentration) in the patient population</w:t>
      </w:r>
    </w:p>
    <w:p w14:paraId="44793321" w14:textId="77777777" w:rsidR="0052032C" w:rsidRPr="0052032C" w:rsidRDefault="0052032C" w:rsidP="00693B60">
      <w:pPr>
        <w:pStyle w:val="ListBullet"/>
        <w:rPr>
          <w:lang w:eastAsia="ja-JP"/>
        </w:rPr>
      </w:pPr>
      <w:r w:rsidRPr="0052032C">
        <w:rPr>
          <w:lang w:eastAsia="ja-JP"/>
        </w:rPr>
        <w:t>To confirm and re-estimate the effects of previously identified covariate factors that influence disposition of obinutuzumab, and to estimate the effects of new covariates</w:t>
      </w:r>
    </w:p>
    <w:p w14:paraId="78AB46E9" w14:textId="4AB8F481" w:rsidR="0052032C" w:rsidRPr="0052032C" w:rsidRDefault="0052032C" w:rsidP="00693B60">
      <w:pPr>
        <w:pStyle w:val="ListBullet"/>
        <w:rPr>
          <w:lang w:eastAsia="ja-JP"/>
        </w:rPr>
      </w:pPr>
      <w:r w:rsidRPr="0052032C">
        <w:rPr>
          <w:lang w:eastAsia="ja-JP"/>
        </w:rPr>
        <w:t xml:space="preserve">To determine whether the presence of anti-drug antibodies (ADAs) affects </w:t>
      </w:r>
      <w:r w:rsidR="00BB2C5B">
        <w:rPr>
          <w:lang w:eastAsia="ja-JP"/>
        </w:rPr>
        <w:t xml:space="preserve">the </w:t>
      </w:r>
      <w:r w:rsidRPr="0052032C">
        <w:rPr>
          <w:lang w:eastAsia="ja-JP"/>
        </w:rPr>
        <w:t xml:space="preserve">pharmacokinetics of obinutuzumab following intravenous administration in patients with CD20+ </w:t>
      </w:r>
      <w:r w:rsidR="0016371D">
        <w:rPr>
          <w:lang w:eastAsia="ja-JP"/>
        </w:rPr>
        <w:t>B cell</w:t>
      </w:r>
      <w:r w:rsidRPr="0052032C">
        <w:rPr>
          <w:lang w:eastAsia="ja-JP"/>
        </w:rPr>
        <w:t>s malignancies</w:t>
      </w:r>
    </w:p>
    <w:p w14:paraId="02EF54CA" w14:textId="2AA725F7" w:rsidR="0052032C" w:rsidRPr="0052032C" w:rsidRDefault="0052032C" w:rsidP="0052032C">
      <w:pPr>
        <w:pStyle w:val="ListBullet"/>
        <w:rPr>
          <w:lang w:eastAsia="ja-JP"/>
        </w:rPr>
      </w:pPr>
      <w:r w:rsidRPr="0052032C">
        <w:rPr>
          <w:lang w:eastAsia="ja-JP"/>
        </w:rPr>
        <w:t>To perform model</w:t>
      </w:r>
      <w:r w:rsidR="00693B60">
        <w:rPr>
          <w:lang w:eastAsia="ja-JP"/>
        </w:rPr>
        <w:t xml:space="preserve"> </w:t>
      </w:r>
      <w:r w:rsidRPr="0052032C">
        <w:rPr>
          <w:lang w:eastAsia="ja-JP"/>
        </w:rPr>
        <w:t>based simulations of clinically relevant dosing regimens</w:t>
      </w:r>
      <w:r w:rsidR="00693B60">
        <w:rPr>
          <w:lang w:eastAsia="ja-JP"/>
        </w:rPr>
        <w:t>.</w:t>
      </w:r>
    </w:p>
    <w:p w14:paraId="3294895F" w14:textId="609B3438" w:rsidR="0052032C" w:rsidRPr="0052032C" w:rsidRDefault="0052032C" w:rsidP="0052032C">
      <w:pPr>
        <w:rPr>
          <w:lang w:eastAsia="ja-JP"/>
        </w:rPr>
      </w:pPr>
      <w:r w:rsidRPr="0052032C">
        <w:rPr>
          <w:lang w:eastAsia="ja-JP"/>
        </w:rPr>
        <w:lastRenderedPageBreak/>
        <w:t xml:space="preserve">The obinutuzumab PK data from </w:t>
      </w:r>
      <w:r>
        <w:rPr>
          <w:lang w:eastAsia="ja-JP"/>
        </w:rPr>
        <w:t>Study BO</w:t>
      </w:r>
      <w:r w:rsidRPr="0052032C">
        <w:rPr>
          <w:lang w:eastAsia="ja-JP"/>
        </w:rPr>
        <w:t>21223 were added to the population PK dataset and the population PK model was updated. The presence of ADAs was also analy</w:t>
      </w:r>
      <w:r w:rsidR="00693B60">
        <w:rPr>
          <w:lang w:eastAsia="ja-JP"/>
        </w:rPr>
        <w:t>s</w:t>
      </w:r>
      <w:r w:rsidRPr="0052032C">
        <w:rPr>
          <w:lang w:eastAsia="ja-JP"/>
        </w:rPr>
        <w:t>ed in all patients receiving obinutuzumab.</w:t>
      </w:r>
    </w:p>
    <w:p w14:paraId="0766E001" w14:textId="77777777" w:rsidR="0052032C" w:rsidRPr="0052032C" w:rsidRDefault="0052032C" w:rsidP="0052032C">
      <w:pPr>
        <w:rPr>
          <w:lang w:eastAsia="ja-JP"/>
        </w:rPr>
      </w:pPr>
      <w:r w:rsidRPr="0052032C">
        <w:rPr>
          <w:lang w:eastAsia="ja-JP"/>
        </w:rPr>
        <w:t>The relationships between obinutuzumab exposure and safety and efficacy have also been explored graphically.</w:t>
      </w:r>
    </w:p>
    <w:p w14:paraId="10AC2C5B" w14:textId="79F5CA2F" w:rsidR="0052032C" w:rsidRPr="0052032C" w:rsidRDefault="0052032C" w:rsidP="0052032C">
      <w:pPr>
        <w:rPr>
          <w:lang w:eastAsia="ja-JP"/>
        </w:rPr>
      </w:pPr>
      <w:r w:rsidRPr="0052032C">
        <w:rPr>
          <w:lang w:eastAsia="ja-JP"/>
        </w:rPr>
        <w:t>The data and results of the current population PK, exposure-efficacy and exposure-safety analyses in this summary are consistent with the findings presented in both the initial license application in CLL and the subsequent application for relapsed/refractory FL. The concentration time</w:t>
      </w:r>
      <w:r w:rsidR="00BB2C5B">
        <w:rPr>
          <w:lang w:eastAsia="ja-JP"/>
        </w:rPr>
        <w:t xml:space="preserve"> </w:t>
      </w:r>
      <w:r w:rsidRPr="0052032C">
        <w:rPr>
          <w:lang w:eastAsia="ja-JP"/>
        </w:rPr>
        <w:t xml:space="preserve">course of obinutuzumab is accurately described by a </w:t>
      </w:r>
      <w:r w:rsidR="00693B60">
        <w:rPr>
          <w:lang w:eastAsia="ja-JP"/>
        </w:rPr>
        <w:t xml:space="preserve">2 </w:t>
      </w:r>
      <w:r w:rsidRPr="0052032C">
        <w:rPr>
          <w:lang w:eastAsia="ja-JP"/>
        </w:rPr>
        <w:t>compartment PK model with both time</w:t>
      </w:r>
      <w:r w:rsidR="00BB2C5B">
        <w:rPr>
          <w:lang w:eastAsia="ja-JP"/>
        </w:rPr>
        <w:t xml:space="preserve"> </w:t>
      </w:r>
      <w:r w:rsidRPr="0052032C">
        <w:rPr>
          <w:lang w:eastAsia="ja-JP"/>
        </w:rPr>
        <w:t>independent and time</w:t>
      </w:r>
      <w:r w:rsidR="00BB2C5B">
        <w:rPr>
          <w:lang w:eastAsia="ja-JP"/>
        </w:rPr>
        <w:t xml:space="preserve"> </w:t>
      </w:r>
      <w:r w:rsidRPr="0052032C">
        <w:rPr>
          <w:lang w:eastAsia="ja-JP"/>
        </w:rPr>
        <w:t xml:space="preserve">dependent clearance </w:t>
      </w:r>
      <w:proofErr w:type="gramStart"/>
      <w:r w:rsidRPr="0052032C">
        <w:rPr>
          <w:lang w:eastAsia="ja-JP"/>
        </w:rPr>
        <w:t>components,</w:t>
      </w:r>
      <w:proofErr w:type="gramEnd"/>
      <w:r w:rsidRPr="0052032C">
        <w:rPr>
          <w:lang w:eastAsia="ja-JP"/>
        </w:rPr>
        <w:t xml:space="preserve"> and with steady</w:t>
      </w:r>
      <w:r w:rsidR="00BB2C5B">
        <w:rPr>
          <w:lang w:eastAsia="ja-JP"/>
        </w:rPr>
        <w:t xml:space="preserve"> </w:t>
      </w:r>
      <w:r w:rsidRPr="0052032C">
        <w:rPr>
          <w:lang w:eastAsia="ja-JP"/>
        </w:rPr>
        <w:t>state PK parameters typical for an IgG</w:t>
      </w:r>
      <w:r w:rsidR="00693B60">
        <w:rPr>
          <w:lang w:eastAsia="ja-JP"/>
        </w:rPr>
        <w:t xml:space="preserve"> like mAb.</w:t>
      </w:r>
    </w:p>
    <w:p w14:paraId="382E560F" w14:textId="77777777" w:rsidR="0052032C" w:rsidRPr="0052032C" w:rsidRDefault="0052032C" w:rsidP="0052032C">
      <w:pPr>
        <w:numPr>
          <w:ilvl w:val="1"/>
          <w:numId w:val="5"/>
        </w:numPr>
        <w:rPr>
          <w:b/>
          <w:bCs/>
        </w:rPr>
      </w:pPr>
      <w:bookmarkStart w:id="42" w:name="_Toc416353677"/>
      <w:bookmarkStart w:id="43" w:name="_Toc421005247"/>
      <w:bookmarkStart w:id="44" w:name="_Toc432079129"/>
      <w:bookmarkStart w:id="45" w:name="_Toc432080702"/>
      <w:bookmarkStart w:id="46" w:name="_Toc481769153"/>
      <w:r w:rsidRPr="0052032C">
        <w:rPr>
          <w:b/>
          <w:bCs/>
        </w:rPr>
        <w:t>Population pharmacokinetics</w:t>
      </w:r>
      <w:bookmarkEnd w:id="42"/>
      <w:bookmarkEnd w:id="43"/>
      <w:bookmarkEnd w:id="44"/>
      <w:bookmarkEnd w:id="45"/>
      <w:bookmarkEnd w:id="46"/>
    </w:p>
    <w:p w14:paraId="64A83D5C" w14:textId="5933E4C6" w:rsidR="0052032C" w:rsidRPr="0052032C" w:rsidRDefault="0052032C" w:rsidP="0052032C">
      <w:pPr>
        <w:rPr>
          <w:lang w:eastAsia="ja-JP"/>
        </w:rPr>
      </w:pPr>
      <w:r w:rsidRPr="0052032C">
        <w:rPr>
          <w:lang w:eastAsia="ja-JP"/>
        </w:rPr>
        <w:t>Data from 6 studies used in the prior analysis (16</w:t>
      </w:r>
      <w:r w:rsidR="00BB2C5B">
        <w:rPr>
          <w:lang w:eastAsia="ja-JP"/>
        </w:rPr>
        <w:t>,</w:t>
      </w:r>
      <w:r w:rsidRPr="0052032C">
        <w:rPr>
          <w:lang w:eastAsia="ja-JP"/>
        </w:rPr>
        <w:t xml:space="preserve">301 concentrations from 961 patients from </w:t>
      </w:r>
      <w:r w:rsidR="00693B60">
        <w:rPr>
          <w:lang w:eastAsia="ja-JP"/>
        </w:rPr>
        <w:t>S</w:t>
      </w:r>
      <w:r w:rsidRPr="0052032C">
        <w:rPr>
          <w:lang w:eastAsia="ja-JP"/>
        </w:rPr>
        <w:t xml:space="preserve">tudies GAO4753g, GAO4915g, BO20999, BO21000, BO21003, and BO21004/CLL11) were combined with data from </w:t>
      </w:r>
      <w:r>
        <w:rPr>
          <w:lang w:eastAsia="ja-JP"/>
        </w:rPr>
        <w:t>Study BO</w:t>
      </w:r>
      <w:r w:rsidRPr="0052032C">
        <w:rPr>
          <w:lang w:eastAsia="ja-JP"/>
        </w:rPr>
        <w:t xml:space="preserve">21223 (7550 concentrations </w:t>
      </w:r>
      <w:r w:rsidR="00693B60">
        <w:rPr>
          <w:lang w:eastAsia="ja-JP"/>
        </w:rPr>
        <w:t>from 493 patients). Of the 1454 </w:t>
      </w:r>
      <w:r w:rsidRPr="0052032C">
        <w:rPr>
          <w:lang w:eastAsia="ja-JP"/>
        </w:rPr>
        <w:t xml:space="preserve">patients in the analysis, 343 (23.6%) had CLL, 961 (66.1%) had iNHL (including 814 with FL and 119 with MZL), 130 (8.9%) had with DLBCL, and 20 (1.4%) were diagnosed with MCL. </w:t>
      </w:r>
      <w:r>
        <w:rPr>
          <w:lang w:eastAsia="ja-JP"/>
        </w:rPr>
        <w:t>Study BO</w:t>
      </w:r>
      <w:r w:rsidRPr="0052032C">
        <w:rPr>
          <w:lang w:eastAsia="ja-JP"/>
        </w:rPr>
        <w:t xml:space="preserve">21223 contributed data for 492 patients with iNHL: 408 patients with FL and 84 patients with MZL (a further patient in this study had CLL). Of these patients, 275 received bendamustine, 147 received CHOP, and 71 received CVP, as concomitant chemotherapy during the induction period. All patients with FL and MZL in </w:t>
      </w:r>
      <w:r>
        <w:rPr>
          <w:lang w:eastAsia="ja-JP"/>
        </w:rPr>
        <w:t>Study BO</w:t>
      </w:r>
      <w:r w:rsidRPr="0052032C">
        <w:rPr>
          <w:lang w:eastAsia="ja-JP"/>
        </w:rPr>
        <w:t>21223 were previously untreated, while the majority of patients with FL or MZL from other studies who contributed to the PK analysis were previously treated.</w:t>
      </w:r>
    </w:p>
    <w:p w14:paraId="468259E3" w14:textId="0756D242" w:rsidR="0052032C" w:rsidRPr="0052032C" w:rsidRDefault="00BE4189" w:rsidP="00693B60">
      <w:pPr>
        <w:pStyle w:val="Heading4"/>
        <w:rPr>
          <w:i/>
        </w:rPr>
      </w:pPr>
      <w:r>
        <w:t>Pop</w:t>
      </w:r>
      <w:r w:rsidR="0052032C" w:rsidRPr="0052032C">
        <w:t>PK Report 1072889</w:t>
      </w:r>
    </w:p>
    <w:p w14:paraId="11BF4271" w14:textId="655A6DF3" w:rsidR="0052032C" w:rsidRPr="0052032C" w:rsidRDefault="0052032C" w:rsidP="0052032C">
      <w:pPr>
        <w:rPr>
          <w:lang w:eastAsia="ja-JP"/>
        </w:rPr>
      </w:pPr>
      <w:r>
        <w:rPr>
          <w:lang w:eastAsia="ja-JP"/>
        </w:rPr>
        <w:t>Study BO</w:t>
      </w:r>
      <w:r w:rsidRPr="0052032C">
        <w:rPr>
          <w:lang w:eastAsia="ja-JP"/>
        </w:rPr>
        <w:t>21223 (GALLIUM) included PK sampling (approximately 23 samples per obinutuzumab</w:t>
      </w:r>
      <w:r w:rsidR="00BB2C5B">
        <w:rPr>
          <w:lang w:eastAsia="ja-JP"/>
        </w:rPr>
        <w:t xml:space="preserve"> </w:t>
      </w:r>
      <w:r w:rsidRPr="0052032C">
        <w:rPr>
          <w:lang w:eastAsia="ja-JP"/>
        </w:rPr>
        <w:t xml:space="preserve">treated patient) from a planned sample of 460 patients with FL or MZL who received obinutuzumab. The obinutuzumab PK data from </w:t>
      </w:r>
      <w:r>
        <w:rPr>
          <w:lang w:eastAsia="ja-JP"/>
        </w:rPr>
        <w:t>Study BO</w:t>
      </w:r>
      <w:r w:rsidRPr="0052032C">
        <w:rPr>
          <w:lang w:eastAsia="ja-JP"/>
        </w:rPr>
        <w:t>21223 were added to the population PK dataset and the population PK model was updated. Below are the conclusions from this update:</w:t>
      </w:r>
    </w:p>
    <w:p w14:paraId="7164AEE2" w14:textId="77F47DA2" w:rsidR="0052032C" w:rsidRPr="0052032C" w:rsidRDefault="0052032C" w:rsidP="00737E62">
      <w:pPr>
        <w:pStyle w:val="ListBullet"/>
        <w:rPr>
          <w:lang w:eastAsia="ja-JP"/>
        </w:rPr>
      </w:pPr>
      <w:r w:rsidRPr="0052032C">
        <w:rPr>
          <w:lang w:eastAsia="ja-JP"/>
        </w:rPr>
        <w:t xml:space="preserve">The current population PK model of obinutuzumab (with the inclusion of data from </w:t>
      </w:r>
      <w:r w:rsidR="00737E62">
        <w:rPr>
          <w:lang w:eastAsia="ja-JP"/>
        </w:rPr>
        <w:t>Study </w:t>
      </w:r>
      <w:r w:rsidRPr="0052032C">
        <w:rPr>
          <w:lang w:eastAsia="ja-JP"/>
        </w:rPr>
        <w:t xml:space="preserve">BO21223) was consistent with a previously developed model in patients with CLL, FL, other iNHL subtypes, DLBCL, and MCL. The model confirmed the influence of previously identified covariates (body weight, sex, </w:t>
      </w:r>
      <w:r w:rsidR="00BB2C5B">
        <w:rPr>
          <w:lang w:eastAsia="ja-JP"/>
        </w:rPr>
        <w:t>tumour</w:t>
      </w:r>
      <w:r w:rsidRPr="0052032C">
        <w:rPr>
          <w:lang w:eastAsia="ja-JP"/>
        </w:rPr>
        <w:t xml:space="preserve"> size and serum albumin </w:t>
      </w:r>
      <w:r>
        <w:rPr>
          <w:lang w:eastAsia="ja-JP"/>
        </w:rPr>
        <w:t>at Baseline</w:t>
      </w:r>
      <w:r w:rsidRPr="0052032C">
        <w:rPr>
          <w:lang w:eastAsia="ja-JP"/>
        </w:rPr>
        <w:t xml:space="preserve">, disease types </w:t>
      </w:r>
      <w:r>
        <w:rPr>
          <w:lang w:eastAsia="ja-JP"/>
        </w:rPr>
        <w:t>(</w:t>
      </w:r>
      <w:r w:rsidRPr="0052032C">
        <w:rPr>
          <w:lang w:eastAsia="ja-JP"/>
        </w:rPr>
        <w:t>CLL, FL/DLBCL, MCL</w:t>
      </w:r>
      <w:r>
        <w:rPr>
          <w:lang w:eastAsia="ja-JP"/>
        </w:rPr>
        <w:t>)</w:t>
      </w:r>
      <w:r w:rsidRPr="0052032C">
        <w:rPr>
          <w:lang w:eastAsia="ja-JP"/>
        </w:rPr>
        <w:t xml:space="preserve">, iNHL subtypes </w:t>
      </w:r>
      <w:r>
        <w:rPr>
          <w:lang w:eastAsia="ja-JP"/>
        </w:rPr>
        <w:t>(</w:t>
      </w:r>
      <w:r w:rsidRPr="0052032C">
        <w:rPr>
          <w:lang w:eastAsia="ja-JP"/>
        </w:rPr>
        <w:t>SLL</w:t>
      </w:r>
      <w:r>
        <w:rPr>
          <w:lang w:eastAsia="ja-JP"/>
        </w:rPr>
        <w:t>)</w:t>
      </w:r>
      <w:r w:rsidRPr="0052032C">
        <w:rPr>
          <w:lang w:eastAsia="ja-JP"/>
        </w:rPr>
        <w:t xml:space="preserve">, and concomitant chemotherapies </w:t>
      </w:r>
      <w:r>
        <w:rPr>
          <w:lang w:eastAsia="ja-JP"/>
        </w:rPr>
        <w:t>(</w:t>
      </w:r>
      <w:r w:rsidR="00737E62">
        <w:rPr>
          <w:lang w:eastAsia="ja-JP"/>
        </w:rPr>
        <w:t>CHOP/</w:t>
      </w:r>
      <w:r w:rsidRPr="0052032C">
        <w:rPr>
          <w:lang w:eastAsia="ja-JP"/>
        </w:rPr>
        <w:t>CVP, bendamustine, FC</w:t>
      </w:r>
      <w:r>
        <w:rPr>
          <w:lang w:eastAsia="ja-JP"/>
        </w:rPr>
        <w:t>)</w:t>
      </w:r>
      <w:r w:rsidRPr="0052032C">
        <w:rPr>
          <w:lang w:eastAsia="ja-JP"/>
        </w:rPr>
        <w:t>). The PK model also better quantified the influence of a MZL diagnosis, compared to FL, with a slightly higher time</w:t>
      </w:r>
      <w:r w:rsidR="00BB2C5B">
        <w:rPr>
          <w:lang w:eastAsia="ja-JP"/>
        </w:rPr>
        <w:t xml:space="preserve"> </w:t>
      </w:r>
      <w:r w:rsidRPr="0052032C">
        <w:rPr>
          <w:lang w:eastAsia="ja-JP"/>
        </w:rPr>
        <w:t>dependent clearance and a similar linear clearance. Doxorubicin (administered as part of CHOP regimen) had n</w:t>
      </w:r>
      <w:r w:rsidR="00693B60">
        <w:rPr>
          <w:lang w:eastAsia="ja-JP"/>
        </w:rPr>
        <w:t>o influence on obinutuzumab PK.</w:t>
      </w:r>
    </w:p>
    <w:p w14:paraId="3E95F908" w14:textId="6246EB97" w:rsidR="0052032C" w:rsidRPr="0052032C" w:rsidRDefault="0052032C" w:rsidP="00737E62">
      <w:pPr>
        <w:pStyle w:val="ListBullet"/>
        <w:rPr>
          <w:lang w:eastAsia="ja-JP"/>
        </w:rPr>
      </w:pPr>
      <w:r w:rsidRPr="0052032C">
        <w:rPr>
          <w:lang w:eastAsia="ja-JP"/>
        </w:rPr>
        <w:t xml:space="preserve">As </w:t>
      </w:r>
      <w:r w:rsidR="00BB2C5B">
        <w:rPr>
          <w:lang w:eastAsia="ja-JP"/>
        </w:rPr>
        <w:t xml:space="preserve">is </w:t>
      </w:r>
      <w:r w:rsidRPr="0052032C">
        <w:rPr>
          <w:lang w:eastAsia="ja-JP"/>
        </w:rPr>
        <w:t>typical for mAbs, obinutuzumab exposure is lower in patients with high body weight (following Q3W regimen, mean AUCτ and C</w:t>
      </w:r>
      <w:r w:rsidRPr="0052032C">
        <w:rPr>
          <w:vertAlign w:val="subscript"/>
          <w:lang w:eastAsia="ja-JP"/>
        </w:rPr>
        <w:t>trough</w:t>
      </w:r>
      <w:r w:rsidRPr="0052032C">
        <w:rPr>
          <w:lang w:eastAsia="ja-JP"/>
        </w:rPr>
        <w:t xml:space="preserve"> at Cycle 8 of induction and Cycle 4 of maintenance is 31</w:t>
      </w:r>
      <w:r w:rsidR="00BB2C5B">
        <w:rPr>
          <w:lang w:eastAsia="ja-JP"/>
        </w:rPr>
        <w:t>%</w:t>
      </w:r>
      <w:r w:rsidR="00693B60">
        <w:rPr>
          <w:lang w:eastAsia="ja-JP"/>
        </w:rPr>
        <w:t xml:space="preserve"> to </w:t>
      </w:r>
      <w:r w:rsidRPr="0052032C">
        <w:rPr>
          <w:lang w:eastAsia="ja-JP"/>
        </w:rPr>
        <w:t xml:space="preserve">39% higher for WT &lt; 60 kg and 28% </w:t>
      </w:r>
      <w:r w:rsidR="00693B60">
        <w:rPr>
          <w:lang w:eastAsia="ja-JP"/>
        </w:rPr>
        <w:t>to</w:t>
      </w:r>
      <w:r w:rsidRPr="0052032C">
        <w:rPr>
          <w:lang w:eastAsia="ja-JP"/>
        </w:rPr>
        <w:t xml:space="preserve"> 37% lower for WT &gt;</w:t>
      </w:r>
      <w:r w:rsidR="00693B60">
        <w:rPr>
          <w:lang w:eastAsia="ja-JP"/>
        </w:rPr>
        <w:t xml:space="preserve"> </w:t>
      </w:r>
      <w:r w:rsidRPr="0052032C">
        <w:rPr>
          <w:lang w:eastAsia="ja-JP"/>
        </w:rPr>
        <w:t xml:space="preserve">90 kg compared to patients weighing 60 </w:t>
      </w:r>
      <w:r w:rsidR="00693B60">
        <w:rPr>
          <w:lang w:eastAsia="ja-JP"/>
        </w:rPr>
        <w:t>to</w:t>
      </w:r>
      <w:r w:rsidRPr="0052032C">
        <w:rPr>
          <w:lang w:eastAsia="ja-JP"/>
        </w:rPr>
        <w:t xml:space="preserve"> 90 kg), and is also lower in male patients (31%</w:t>
      </w:r>
      <w:r w:rsidR="00693B60">
        <w:rPr>
          <w:lang w:eastAsia="ja-JP"/>
        </w:rPr>
        <w:t xml:space="preserve"> to </w:t>
      </w:r>
      <w:r w:rsidRPr="0052032C">
        <w:rPr>
          <w:lang w:eastAsia="ja-JP"/>
        </w:rPr>
        <w:t xml:space="preserve">43% lower in male FL patients compared to females). As most of the targeted agents, obinutuzumab exposure depends on </w:t>
      </w:r>
      <w:r w:rsidR="00BB2C5B">
        <w:rPr>
          <w:lang w:eastAsia="ja-JP"/>
        </w:rPr>
        <w:t>tumour</w:t>
      </w:r>
      <w:r w:rsidRPr="0052032C">
        <w:rPr>
          <w:lang w:eastAsia="ja-JP"/>
        </w:rPr>
        <w:t xml:space="preserve"> burden and therefore decreases in patients with high </w:t>
      </w:r>
      <w:r w:rsidR="00BB2C5B">
        <w:rPr>
          <w:lang w:eastAsia="ja-JP"/>
        </w:rPr>
        <w:t>tumour</w:t>
      </w:r>
      <w:r w:rsidRPr="0052032C">
        <w:rPr>
          <w:lang w:eastAsia="ja-JP"/>
        </w:rPr>
        <w:t xml:space="preserve"> size </w:t>
      </w:r>
      <w:r>
        <w:rPr>
          <w:lang w:eastAsia="ja-JP"/>
        </w:rPr>
        <w:t>at Baseline</w:t>
      </w:r>
      <w:r w:rsidRPr="0052032C">
        <w:rPr>
          <w:lang w:eastAsia="ja-JP"/>
        </w:rPr>
        <w:t xml:space="preserve"> (following Q3W regimen in FL patients, mean AUCτ and C</w:t>
      </w:r>
      <w:r w:rsidRPr="0052032C">
        <w:rPr>
          <w:vertAlign w:val="subscript"/>
          <w:lang w:eastAsia="ja-JP"/>
        </w:rPr>
        <w:t>trough</w:t>
      </w:r>
      <w:r w:rsidRPr="0052032C">
        <w:rPr>
          <w:lang w:eastAsia="ja-JP"/>
        </w:rPr>
        <w:t xml:space="preserve"> at Cycle 8 of induction and Cycle 4 o</w:t>
      </w:r>
      <w:r w:rsidR="00693B60">
        <w:rPr>
          <w:lang w:eastAsia="ja-JP"/>
        </w:rPr>
        <w:t xml:space="preserve">f maintenance is 5% to </w:t>
      </w:r>
      <w:r w:rsidRPr="0052032C">
        <w:rPr>
          <w:lang w:eastAsia="ja-JP"/>
        </w:rPr>
        <w:t>7% higher for BSIZ &lt;</w:t>
      </w:r>
      <w:r w:rsidR="00565D7A">
        <w:rPr>
          <w:lang w:eastAsia="ja-JP"/>
        </w:rPr>
        <w:t> </w:t>
      </w:r>
      <w:r w:rsidRPr="0052032C">
        <w:rPr>
          <w:lang w:eastAsia="ja-JP"/>
        </w:rPr>
        <w:t>2777</w:t>
      </w:r>
      <w:r w:rsidR="00565D7A">
        <w:rPr>
          <w:lang w:eastAsia="ja-JP"/>
        </w:rPr>
        <w:t> </w:t>
      </w:r>
      <w:r w:rsidRPr="0052032C">
        <w:rPr>
          <w:lang w:eastAsia="ja-JP"/>
        </w:rPr>
        <w:t>mm</w:t>
      </w:r>
      <w:r w:rsidRPr="0052032C">
        <w:rPr>
          <w:vertAlign w:val="superscript"/>
          <w:lang w:eastAsia="ja-JP"/>
        </w:rPr>
        <w:t>2</w:t>
      </w:r>
      <w:r w:rsidRPr="0052032C">
        <w:rPr>
          <w:lang w:eastAsia="ja-JP"/>
        </w:rPr>
        <w:t xml:space="preserve"> and 1% </w:t>
      </w:r>
      <w:r w:rsidR="00693B60">
        <w:rPr>
          <w:lang w:eastAsia="ja-JP"/>
        </w:rPr>
        <w:t>to</w:t>
      </w:r>
      <w:r w:rsidRPr="0052032C">
        <w:rPr>
          <w:lang w:eastAsia="ja-JP"/>
        </w:rPr>
        <w:t xml:space="preserve"> 2% lower for BSIZ &gt;</w:t>
      </w:r>
      <w:r w:rsidR="00C85503">
        <w:rPr>
          <w:lang w:eastAsia="ja-JP"/>
        </w:rPr>
        <w:t xml:space="preserve"> </w:t>
      </w:r>
      <w:r w:rsidRPr="0052032C">
        <w:rPr>
          <w:lang w:eastAsia="ja-JP"/>
        </w:rPr>
        <w:t>8998 mm</w:t>
      </w:r>
      <w:r w:rsidRPr="0052032C">
        <w:rPr>
          <w:vertAlign w:val="superscript"/>
          <w:lang w:eastAsia="ja-JP"/>
        </w:rPr>
        <w:t>2</w:t>
      </w:r>
      <w:r w:rsidR="00C85503">
        <w:rPr>
          <w:lang w:eastAsia="ja-JP"/>
        </w:rPr>
        <w:t>, compared to BSIZ of 2777 to</w:t>
      </w:r>
      <w:r w:rsidRPr="0052032C">
        <w:rPr>
          <w:lang w:eastAsia="ja-JP"/>
        </w:rPr>
        <w:t xml:space="preserve"> 8998</w:t>
      </w:r>
      <w:r w:rsidR="00565D7A">
        <w:rPr>
          <w:lang w:eastAsia="ja-JP"/>
        </w:rPr>
        <w:t> </w:t>
      </w:r>
      <w:r w:rsidRPr="0052032C">
        <w:rPr>
          <w:lang w:eastAsia="ja-JP"/>
        </w:rPr>
        <w:t>mm</w:t>
      </w:r>
      <w:r w:rsidRPr="0052032C">
        <w:rPr>
          <w:vertAlign w:val="superscript"/>
          <w:lang w:eastAsia="ja-JP"/>
        </w:rPr>
        <w:t>2</w:t>
      </w:r>
      <w:r w:rsidRPr="0052032C">
        <w:rPr>
          <w:lang w:eastAsia="ja-JP"/>
        </w:rPr>
        <w:t>).</w:t>
      </w:r>
    </w:p>
    <w:p w14:paraId="1A7F7529" w14:textId="77777777" w:rsidR="0052032C" w:rsidRPr="0052032C" w:rsidRDefault="0052032C" w:rsidP="00737E62">
      <w:pPr>
        <w:pStyle w:val="ListBullet"/>
        <w:rPr>
          <w:lang w:eastAsia="ja-JP"/>
        </w:rPr>
      </w:pPr>
      <w:r w:rsidRPr="0052032C">
        <w:rPr>
          <w:lang w:eastAsia="ja-JP"/>
        </w:rPr>
        <w:lastRenderedPageBreak/>
        <w:t xml:space="preserve">The analysis of obinutuzumab exposure-safety relationships in FL and MZL patients from </w:t>
      </w:r>
      <w:r>
        <w:rPr>
          <w:lang w:eastAsia="ja-JP"/>
        </w:rPr>
        <w:t>Study BO</w:t>
      </w:r>
      <w:r w:rsidRPr="0052032C">
        <w:rPr>
          <w:lang w:eastAsia="ja-JP"/>
        </w:rPr>
        <w:t>21223 demonstrated absence of relationships between exposure and safety parameters.</w:t>
      </w:r>
    </w:p>
    <w:p w14:paraId="26BE63CA" w14:textId="446CF1BD" w:rsidR="0052032C" w:rsidRPr="0052032C" w:rsidRDefault="0052032C" w:rsidP="00737E62">
      <w:pPr>
        <w:pStyle w:val="ListBullet"/>
        <w:rPr>
          <w:lang w:eastAsia="ja-JP"/>
        </w:rPr>
      </w:pPr>
      <w:r w:rsidRPr="0052032C">
        <w:rPr>
          <w:lang w:eastAsia="ja-JP"/>
        </w:rPr>
        <w:t xml:space="preserve">There was no apparent relationship between obinutuzumab exposure and efficacy parameters for patients with FL receiving bendamustine in </w:t>
      </w:r>
      <w:r>
        <w:rPr>
          <w:lang w:eastAsia="ja-JP"/>
        </w:rPr>
        <w:t>Study BO</w:t>
      </w:r>
      <w:r w:rsidR="00C85503">
        <w:rPr>
          <w:lang w:eastAsia="ja-JP"/>
        </w:rPr>
        <w:t>21223.</w:t>
      </w:r>
    </w:p>
    <w:p w14:paraId="7106F134" w14:textId="3444A735" w:rsidR="0052032C" w:rsidRPr="0052032C" w:rsidRDefault="0052032C" w:rsidP="00737E62">
      <w:pPr>
        <w:pStyle w:val="ListBullet"/>
        <w:rPr>
          <w:lang w:eastAsia="ja-JP"/>
        </w:rPr>
      </w:pPr>
      <w:r w:rsidRPr="0052032C">
        <w:rPr>
          <w:lang w:eastAsia="ja-JP"/>
        </w:rPr>
        <w:t xml:space="preserve">The analysis of obinutuzumab exposure-efficacy relationships for patients with FL receiving CHOP or CVP in </w:t>
      </w:r>
      <w:r>
        <w:rPr>
          <w:lang w:eastAsia="ja-JP"/>
        </w:rPr>
        <w:t>Study BO</w:t>
      </w:r>
      <w:r w:rsidRPr="0052032C">
        <w:rPr>
          <w:lang w:eastAsia="ja-JP"/>
        </w:rPr>
        <w:t>21223 suggested that an increase in exposure might lead to an improvement in efficacy parameters mainly in patients with high body weight and patients with high tumo</w:t>
      </w:r>
      <w:r w:rsidR="00C85503">
        <w:rPr>
          <w:lang w:eastAsia="ja-JP"/>
        </w:rPr>
        <w:t>u</w:t>
      </w:r>
      <w:r w:rsidRPr="0052032C">
        <w:rPr>
          <w:lang w:eastAsia="ja-JP"/>
        </w:rPr>
        <w:t xml:space="preserve">r size </w:t>
      </w:r>
      <w:r>
        <w:rPr>
          <w:lang w:eastAsia="ja-JP"/>
        </w:rPr>
        <w:t>at Baseline</w:t>
      </w:r>
      <w:r w:rsidRPr="0052032C">
        <w:rPr>
          <w:lang w:eastAsia="ja-JP"/>
        </w:rPr>
        <w:t>. However, these exploratory subgroup analyses should be interpreted with caution regarding causality and need to be confirmed by other data sources. As new data are</w:t>
      </w:r>
      <w:r w:rsidR="00C85503">
        <w:rPr>
          <w:lang w:eastAsia="ja-JP"/>
        </w:rPr>
        <w:t xml:space="preserve"> collected they are being analys</w:t>
      </w:r>
      <w:r w:rsidRPr="0052032C">
        <w:rPr>
          <w:lang w:eastAsia="ja-JP"/>
        </w:rPr>
        <w:t>ed to explore the impact of covariates and prognostic indicators on patient outcomes. This includes investigations int</w:t>
      </w:r>
      <w:r w:rsidR="00693B60">
        <w:rPr>
          <w:lang w:eastAsia="ja-JP"/>
        </w:rPr>
        <w:t>o whether there are patient sub</w:t>
      </w:r>
      <w:r w:rsidRPr="0052032C">
        <w:rPr>
          <w:lang w:eastAsia="ja-JP"/>
        </w:rPr>
        <w:t xml:space="preserve">populations </w:t>
      </w:r>
      <w:r w:rsidR="008E396E" w:rsidRPr="0052032C">
        <w:rPr>
          <w:lang w:eastAsia="ja-JP"/>
        </w:rPr>
        <w:t>that</w:t>
      </w:r>
      <w:r w:rsidRPr="0052032C">
        <w:rPr>
          <w:lang w:eastAsia="ja-JP"/>
        </w:rPr>
        <w:t xml:space="preserve"> would benefit from dose adjustment.</w:t>
      </w:r>
    </w:p>
    <w:p w14:paraId="32605A44" w14:textId="77777777" w:rsidR="0052032C" w:rsidRPr="0052032C" w:rsidRDefault="0052032C" w:rsidP="00737E62">
      <w:pPr>
        <w:pStyle w:val="ListBullet"/>
        <w:rPr>
          <w:lang w:eastAsia="ja-JP"/>
        </w:rPr>
      </w:pPr>
      <w:r w:rsidRPr="0052032C">
        <w:rPr>
          <w:lang w:eastAsia="ja-JP"/>
        </w:rPr>
        <w:t xml:space="preserve">There was no apparent relationship between obinutuzumab exposure and efficacy parameters for patients with MZL in </w:t>
      </w:r>
      <w:r>
        <w:rPr>
          <w:lang w:eastAsia="ja-JP"/>
        </w:rPr>
        <w:t>Study BO</w:t>
      </w:r>
      <w:r w:rsidRPr="0052032C">
        <w:rPr>
          <w:lang w:eastAsia="ja-JP"/>
        </w:rPr>
        <w:t>21223.</w:t>
      </w:r>
    </w:p>
    <w:p w14:paraId="3573BEA4" w14:textId="77777777" w:rsidR="00CF1CCA" w:rsidRDefault="00CF1CCA" w:rsidP="002E6E3E">
      <w:pPr>
        <w:pStyle w:val="Heading3"/>
      </w:pPr>
      <w:bookmarkStart w:id="47" w:name="_Toc457473431"/>
      <w:bookmarkStart w:id="48" w:name="_Toc513556344"/>
      <w:r w:rsidRPr="00CF1CCA">
        <w:t>Evaluator’s overall conclusions on pharmacokinetics</w:t>
      </w:r>
      <w:bookmarkEnd w:id="47"/>
      <w:bookmarkEnd w:id="48"/>
    </w:p>
    <w:p w14:paraId="34656E8C" w14:textId="75F92F23" w:rsidR="0052032C" w:rsidRPr="0052032C" w:rsidRDefault="0052032C" w:rsidP="0052032C">
      <w:pPr>
        <w:rPr>
          <w:lang w:eastAsia="ja-JP"/>
        </w:rPr>
      </w:pPr>
      <w:r>
        <w:rPr>
          <w:lang w:eastAsia="ja-JP"/>
        </w:rPr>
        <w:t>The current population PK model (with the data from Phase III Study BO21223) is consistent with the previously evaluated model and subsequently there is no cha</w:t>
      </w:r>
      <w:r w:rsidR="00737E62">
        <w:rPr>
          <w:lang w:eastAsia="ja-JP"/>
        </w:rPr>
        <w:t>nge to the Product Information.</w:t>
      </w:r>
    </w:p>
    <w:p w14:paraId="324EC9F3" w14:textId="77777777" w:rsidR="00586F98" w:rsidRDefault="00586F98" w:rsidP="00586F98">
      <w:pPr>
        <w:pStyle w:val="Heading2"/>
      </w:pPr>
      <w:bookmarkStart w:id="49" w:name="_Toc513556345"/>
      <w:r w:rsidRPr="003442FE">
        <w:t>Pharmacodynamics</w:t>
      </w:r>
      <w:bookmarkEnd w:id="49"/>
    </w:p>
    <w:p w14:paraId="13A647FF" w14:textId="15D2CDA6" w:rsidR="0052032C" w:rsidRPr="0052032C" w:rsidRDefault="0052032C" w:rsidP="00737E62">
      <w:pPr>
        <w:pStyle w:val="Heading3"/>
      </w:pPr>
      <w:bookmarkStart w:id="50" w:name="_Toc513556346"/>
      <w:r>
        <w:t>Study BO</w:t>
      </w:r>
      <w:r w:rsidRPr="0052032C">
        <w:t xml:space="preserve">21223: </w:t>
      </w:r>
      <w:r w:rsidR="0016371D">
        <w:t>B cell</w:t>
      </w:r>
      <w:r w:rsidRPr="0052032C">
        <w:t xml:space="preserve"> depletion and </w:t>
      </w:r>
      <w:r w:rsidR="0016371D">
        <w:t>B cell</w:t>
      </w:r>
      <w:r w:rsidRPr="0052032C">
        <w:t xml:space="preserve"> recovery</w:t>
      </w:r>
      <w:bookmarkEnd w:id="50"/>
    </w:p>
    <w:p w14:paraId="6D24B782" w14:textId="565BF16C" w:rsidR="0052032C" w:rsidRPr="0052032C" w:rsidRDefault="0016371D" w:rsidP="0052032C">
      <w:pPr>
        <w:rPr>
          <w:lang w:eastAsia="ja-JP"/>
        </w:rPr>
      </w:pPr>
      <w:r>
        <w:rPr>
          <w:lang w:eastAsia="ja-JP"/>
        </w:rPr>
        <w:t>B cell</w:t>
      </w:r>
      <w:r w:rsidR="0052032C" w:rsidRPr="0052032C">
        <w:rPr>
          <w:lang w:eastAsia="ja-JP"/>
        </w:rPr>
        <w:t xml:space="preserve"> depletion was defined as a CD19</w:t>
      </w:r>
      <w:r w:rsidR="0052032C" w:rsidRPr="0052032C">
        <w:rPr>
          <w:vertAlign w:val="superscript"/>
          <w:lang w:eastAsia="ja-JP"/>
        </w:rPr>
        <w:t>+</w:t>
      </w:r>
      <w:r w:rsidR="0052032C" w:rsidRPr="0052032C">
        <w:rPr>
          <w:lang w:eastAsia="ja-JP"/>
        </w:rPr>
        <w:t xml:space="preserve"> cell count of &lt;</w:t>
      </w:r>
      <w:r w:rsidR="00737E62">
        <w:rPr>
          <w:lang w:eastAsia="ja-JP"/>
        </w:rPr>
        <w:t> </w:t>
      </w:r>
      <w:r w:rsidR="0052032C" w:rsidRPr="0052032C">
        <w:rPr>
          <w:lang w:eastAsia="ja-JP"/>
        </w:rPr>
        <w:t>0.07 x 10</w:t>
      </w:r>
      <w:r w:rsidR="0052032C" w:rsidRPr="0052032C">
        <w:rPr>
          <w:vertAlign w:val="superscript"/>
          <w:lang w:eastAsia="ja-JP"/>
        </w:rPr>
        <w:t>9</w:t>
      </w:r>
      <w:r w:rsidR="0052032C" w:rsidRPr="0052032C">
        <w:rPr>
          <w:lang w:eastAsia="ja-JP"/>
        </w:rPr>
        <w:t>/L occurring after at least one dose of study drug has been administered. Time to depletion was defined as the number of days between the first intake of study drug and the date of the first depletion.</w:t>
      </w:r>
    </w:p>
    <w:p w14:paraId="34A0E712" w14:textId="0FD2F7B2" w:rsidR="0052032C" w:rsidRPr="0052032C" w:rsidRDefault="0016371D" w:rsidP="0052032C">
      <w:pPr>
        <w:rPr>
          <w:lang w:eastAsia="ja-JP"/>
        </w:rPr>
      </w:pPr>
      <w:r>
        <w:rPr>
          <w:lang w:eastAsia="ja-JP"/>
        </w:rPr>
        <w:t>B cell</w:t>
      </w:r>
      <w:r w:rsidR="0052032C" w:rsidRPr="0052032C">
        <w:rPr>
          <w:lang w:eastAsia="ja-JP"/>
        </w:rPr>
        <w:t xml:space="preserve"> recovery was defined as a CD19</w:t>
      </w:r>
      <w:r w:rsidR="0052032C" w:rsidRPr="0052032C">
        <w:rPr>
          <w:vertAlign w:val="superscript"/>
          <w:lang w:eastAsia="ja-JP"/>
        </w:rPr>
        <w:t>+</w:t>
      </w:r>
      <w:r w:rsidR="0052032C" w:rsidRPr="0052032C">
        <w:rPr>
          <w:lang w:eastAsia="ja-JP"/>
        </w:rPr>
        <w:t xml:space="preserve"> cell count of ≥</w:t>
      </w:r>
      <w:r w:rsidR="00737E62">
        <w:rPr>
          <w:lang w:eastAsia="ja-JP"/>
        </w:rPr>
        <w:t> </w:t>
      </w:r>
      <w:r w:rsidR="0052032C" w:rsidRPr="0052032C">
        <w:rPr>
          <w:lang w:eastAsia="ja-JP"/>
        </w:rPr>
        <w:t>0.07 x 10</w:t>
      </w:r>
      <w:r w:rsidR="0052032C" w:rsidRPr="0052032C">
        <w:rPr>
          <w:vertAlign w:val="superscript"/>
          <w:lang w:eastAsia="ja-JP"/>
        </w:rPr>
        <w:t>9</w:t>
      </w:r>
      <w:r w:rsidR="0052032C" w:rsidRPr="0052032C">
        <w:rPr>
          <w:lang w:eastAsia="ja-JP"/>
        </w:rPr>
        <w:t>/L, for a patient with a previous CD19</w:t>
      </w:r>
      <w:r w:rsidR="0052032C" w:rsidRPr="0052032C">
        <w:rPr>
          <w:vertAlign w:val="superscript"/>
          <w:lang w:eastAsia="ja-JP"/>
        </w:rPr>
        <w:t>+</w:t>
      </w:r>
      <w:r w:rsidR="0052032C" w:rsidRPr="0052032C">
        <w:rPr>
          <w:lang w:eastAsia="ja-JP"/>
        </w:rPr>
        <w:t xml:space="preserve"> cell count indicating </w:t>
      </w:r>
      <w:r>
        <w:rPr>
          <w:lang w:eastAsia="ja-JP"/>
        </w:rPr>
        <w:t>B cell</w:t>
      </w:r>
      <w:r w:rsidR="0052032C" w:rsidRPr="0052032C">
        <w:rPr>
          <w:lang w:eastAsia="ja-JP"/>
        </w:rPr>
        <w:t xml:space="preserve"> depletion (CD19</w:t>
      </w:r>
      <w:r w:rsidR="0052032C" w:rsidRPr="0052032C">
        <w:rPr>
          <w:vertAlign w:val="superscript"/>
          <w:lang w:eastAsia="ja-JP"/>
        </w:rPr>
        <w:t>+</w:t>
      </w:r>
      <w:r w:rsidR="0052032C" w:rsidRPr="0052032C">
        <w:rPr>
          <w:lang w:eastAsia="ja-JP"/>
        </w:rPr>
        <w:t xml:space="preserve"> measurement &lt;</w:t>
      </w:r>
      <w:r w:rsidR="00737E62">
        <w:rPr>
          <w:lang w:eastAsia="ja-JP"/>
        </w:rPr>
        <w:t> </w:t>
      </w:r>
      <w:r w:rsidR="0052032C" w:rsidRPr="0052032C">
        <w:rPr>
          <w:lang w:eastAsia="ja-JP"/>
        </w:rPr>
        <w:t>0.07 x 10</w:t>
      </w:r>
      <w:r w:rsidR="0052032C" w:rsidRPr="0052032C">
        <w:rPr>
          <w:vertAlign w:val="superscript"/>
          <w:lang w:eastAsia="ja-JP"/>
        </w:rPr>
        <w:t>9</w:t>
      </w:r>
      <w:r w:rsidR="0052032C" w:rsidRPr="0052032C">
        <w:rPr>
          <w:lang w:eastAsia="ja-JP"/>
        </w:rPr>
        <w:t xml:space="preserve">/L). </w:t>
      </w:r>
      <w:r>
        <w:rPr>
          <w:lang w:eastAsia="ja-JP"/>
        </w:rPr>
        <w:t>B cell</w:t>
      </w:r>
      <w:r w:rsidR="0052032C" w:rsidRPr="0052032C">
        <w:rPr>
          <w:lang w:eastAsia="ja-JP"/>
        </w:rPr>
        <w:t xml:space="preserve"> recovery was considered possible only after the patient had</w:t>
      </w:r>
      <w:r w:rsidR="00737E62">
        <w:rPr>
          <w:lang w:eastAsia="ja-JP"/>
        </w:rPr>
        <w:t xml:space="preserve"> completed study treatment. The </w:t>
      </w:r>
      <w:r w:rsidR="0052032C" w:rsidRPr="0052032C">
        <w:rPr>
          <w:lang w:eastAsia="ja-JP"/>
        </w:rPr>
        <w:t xml:space="preserve">time to </w:t>
      </w:r>
      <w:r>
        <w:rPr>
          <w:lang w:eastAsia="ja-JP"/>
        </w:rPr>
        <w:t>B cell</w:t>
      </w:r>
      <w:r w:rsidR="0052032C" w:rsidRPr="0052032C">
        <w:rPr>
          <w:lang w:eastAsia="ja-JP"/>
        </w:rPr>
        <w:t xml:space="preserve"> recovery was defined as the time from </w:t>
      </w:r>
      <w:r>
        <w:rPr>
          <w:lang w:eastAsia="ja-JP"/>
        </w:rPr>
        <w:t>B cell</w:t>
      </w:r>
      <w:r w:rsidR="0052032C" w:rsidRPr="0052032C">
        <w:rPr>
          <w:lang w:eastAsia="ja-JP"/>
        </w:rPr>
        <w:t xml:space="preserve"> depletion until </w:t>
      </w:r>
      <w:r>
        <w:rPr>
          <w:lang w:eastAsia="ja-JP"/>
        </w:rPr>
        <w:t>B cell</w:t>
      </w:r>
      <w:r w:rsidR="0052032C" w:rsidRPr="0052032C">
        <w:rPr>
          <w:lang w:eastAsia="ja-JP"/>
        </w:rPr>
        <w:t xml:space="preserve"> recovery.</w:t>
      </w:r>
    </w:p>
    <w:p w14:paraId="1BCD664C" w14:textId="2E91B153" w:rsidR="0052032C" w:rsidRPr="0052032C" w:rsidRDefault="0052032C" w:rsidP="0052032C">
      <w:pPr>
        <w:rPr>
          <w:lang w:eastAsia="ja-JP"/>
        </w:rPr>
      </w:pPr>
      <w:r w:rsidRPr="0052032C">
        <w:rPr>
          <w:lang w:eastAsia="ja-JP"/>
        </w:rPr>
        <w:t xml:space="preserve">Almost all patients who had a </w:t>
      </w:r>
      <w:r w:rsidR="0016371D">
        <w:rPr>
          <w:lang w:eastAsia="ja-JP"/>
        </w:rPr>
        <w:t>B cell</w:t>
      </w:r>
      <w:r w:rsidRPr="0052032C">
        <w:rPr>
          <w:lang w:eastAsia="ja-JP"/>
        </w:rPr>
        <w:t xml:space="preserve"> result reported showed </w:t>
      </w:r>
      <w:r w:rsidR="0016371D">
        <w:rPr>
          <w:lang w:eastAsia="ja-JP"/>
        </w:rPr>
        <w:t>B cell</w:t>
      </w:r>
      <w:r w:rsidRPr="0052032C">
        <w:rPr>
          <w:lang w:eastAsia="ja-JP"/>
        </w:rPr>
        <w:t xml:space="preserve"> depletion at the last antibody administration </w:t>
      </w:r>
      <w:r w:rsidR="00737E62">
        <w:rPr>
          <w:lang w:eastAsia="ja-JP"/>
        </w:rPr>
        <w:t>(LAA)</w:t>
      </w:r>
    </w:p>
    <w:p w14:paraId="31DA3366" w14:textId="7734E1C9" w:rsidR="0052032C" w:rsidRPr="0052032C" w:rsidRDefault="0052032C" w:rsidP="0052032C">
      <w:pPr>
        <w:rPr>
          <w:lang w:eastAsia="ja-JP"/>
        </w:rPr>
      </w:pPr>
      <w:r w:rsidRPr="0052032C">
        <w:rPr>
          <w:lang w:eastAsia="ja-JP"/>
        </w:rPr>
        <w:t xml:space="preserve">Overall, 445 patients (74.5% of the safety population; 452 patients had a </w:t>
      </w:r>
      <w:r w:rsidR="0016371D">
        <w:rPr>
          <w:lang w:eastAsia="ja-JP"/>
        </w:rPr>
        <w:t>B cell</w:t>
      </w:r>
      <w:r w:rsidRPr="0052032C">
        <w:rPr>
          <w:lang w:eastAsia="ja-JP"/>
        </w:rPr>
        <w:t xml:space="preserve"> result reported) in the R-chemo arm had </w:t>
      </w:r>
      <w:r w:rsidR="0016371D">
        <w:rPr>
          <w:lang w:eastAsia="ja-JP"/>
        </w:rPr>
        <w:t>B cell</w:t>
      </w:r>
      <w:r w:rsidRPr="0052032C">
        <w:rPr>
          <w:lang w:eastAsia="ja-JP"/>
        </w:rPr>
        <w:t xml:space="preserve"> depletion at the LAA. 454 patients (76.3% of the safety population; 457 patients had a </w:t>
      </w:r>
      <w:r w:rsidR="0016371D">
        <w:rPr>
          <w:lang w:eastAsia="ja-JP"/>
        </w:rPr>
        <w:t>B cell</w:t>
      </w:r>
      <w:r w:rsidRPr="0052032C">
        <w:rPr>
          <w:lang w:eastAsia="ja-JP"/>
        </w:rPr>
        <w:t xml:space="preserve"> result reported) in the G-chemo arm had </w:t>
      </w:r>
      <w:r w:rsidR="0016371D">
        <w:rPr>
          <w:lang w:eastAsia="ja-JP"/>
        </w:rPr>
        <w:t>B cell</w:t>
      </w:r>
      <w:r w:rsidRPr="0052032C">
        <w:rPr>
          <w:lang w:eastAsia="ja-JP"/>
        </w:rPr>
        <w:t xml:space="preserve"> depletion at the LAA.</w:t>
      </w:r>
    </w:p>
    <w:p w14:paraId="1AF295F7" w14:textId="42C6C5E5" w:rsidR="0052032C" w:rsidRPr="0052032C" w:rsidRDefault="0052032C" w:rsidP="0052032C">
      <w:pPr>
        <w:rPr>
          <w:lang w:eastAsia="ja-JP"/>
        </w:rPr>
      </w:pPr>
      <w:r w:rsidRPr="0052032C">
        <w:rPr>
          <w:lang w:eastAsia="ja-JP"/>
        </w:rPr>
        <w:t>A robust analysis of recovery cannot be performed due to the low number of patients who had been followed for a sufficient duration as of the time of data cut</w:t>
      </w:r>
      <w:r w:rsidR="00737E62">
        <w:rPr>
          <w:lang w:eastAsia="ja-JP"/>
        </w:rPr>
        <w:t xml:space="preserve"> </w:t>
      </w:r>
      <w:r w:rsidRPr="0052032C">
        <w:rPr>
          <w:lang w:eastAsia="ja-JP"/>
        </w:rPr>
        <w:t>off. However at the time of the clinical data cut</w:t>
      </w:r>
      <w:r w:rsidR="00737E62">
        <w:rPr>
          <w:lang w:eastAsia="ja-JP"/>
        </w:rPr>
        <w:t xml:space="preserve"> </w:t>
      </w:r>
      <w:r w:rsidRPr="0052032C">
        <w:rPr>
          <w:lang w:eastAsia="ja-JP"/>
        </w:rPr>
        <w:t>off, ≤</w:t>
      </w:r>
      <w:r w:rsidR="00737E62">
        <w:rPr>
          <w:lang w:eastAsia="ja-JP"/>
        </w:rPr>
        <w:t xml:space="preserve"> </w:t>
      </w:r>
      <w:r w:rsidRPr="0052032C">
        <w:rPr>
          <w:lang w:eastAsia="ja-JP"/>
        </w:rPr>
        <w:t xml:space="preserve">10% of the patients reporting </w:t>
      </w:r>
      <w:r w:rsidR="0016371D">
        <w:rPr>
          <w:lang w:eastAsia="ja-JP"/>
        </w:rPr>
        <w:t>B cell</w:t>
      </w:r>
      <w:r w:rsidRPr="0052032C">
        <w:rPr>
          <w:lang w:eastAsia="ja-JP"/>
        </w:rPr>
        <w:t xml:space="preserve"> depletion during treatment in each treatment arm had recovered.</w:t>
      </w:r>
    </w:p>
    <w:p w14:paraId="676FEA43" w14:textId="22202715" w:rsidR="0052032C" w:rsidRPr="0052032C" w:rsidRDefault="0052032C" w:rsidP="0052032C">
      <w:pPr>
        <w:rPr>
          <w:lang w:eastAsia="ja-JP"/>
        </w:rPr>
      </w:pPr>
      <w:r w:rsidRPr="0052032C">
        <w:rPr>
          <w:lang w:eastAsia="ja-JP"/>
        </w:rPr>
        <w:t>Within 6</w:t>
      </w:r>
      <w:r w:rsidR="00737E62">
        <w:rPr>
          <w:lang w:eastAsia="ja-JP"/>
        </w:rPr>
        <w:t xml:space="preserve"> to </w:t>
      </w:r>
      <w:r w:rsidRPr="0052032C">
        <w:rPr>
          <w:lang w:eastAsia="ja-JP"/>
        </w:rPr>
        <w:t xml:space="preserve">12 months of follow-up after LAA, of 190 patients in the R-chemo arm with </w:t>
      </w:r>
      <w:r w:rsidR="0016371D">
        <w:rPr>
          <w:lang w:eastAsia="ja-JP"/>
        </w:rPr>
        <w:t>B cell</w:t>
      </w:r>
      <w:r w:rsidRPr="0052032C">
        <w:rPr>
          <w:lang w:eastAsia="ja-JP"/>
        </w:rPr>
        <w:t xml:space="preserve"> assessment done 24 patients had recovered (one patient wit</w:t>
      </w:r>
      <w:r w:rsidR="00737E62">
        <w:rPr>
          <w:lang w:eastAsia="ja-JP"/>
        </w:rPr>
        <w:t>h PD and 23 patients without PD</w:t>
      </w:r>
      <w:r w:rsidRPr="0052032C">
        <w:rPr>
          <w:lang w:eastAsia="ja-JP"/>
        </w:rPr>
        <w:t xml:space="preserve">), and of 190 patients in the G-chemo arm with </w:t>
      </w:r>
      <w:r w:rsidR="0016371D">
        <w:rPr>
          <w:lang w:eastAsia="ja-JP"/>
        </w:rPr>
        <w:t>B cell</w:t>
      </w:r>
      <w:r w:rsidRPr="0052032C">
        <w:rPr>
          <w:lang w:eastAsia="ja-JP"/>
        </w:rPr>
        <w:t xml:space="preserve"> assessment done three patients had recovered (all without PD</w:t>
      </w:r>
      <w:r w:rsidR="00737E62">
        <w:rPr>
          <w:lang w:eastAsia="ja-JP"/>
        </w:rPr>
        <w:t>).</w:t>
      </w:r>
    </w:p>
    <w:p w14:paraId="06CC5D81" w14:textId="46881E2E" w:rsidR="0052032C" w:rsidRPr="0052032C" w:rsidRDefault="0052032C" w:rsidP="00737E62">
      <w:pPr>
        <w:pStyle w:val="Comment"/>
        <w:rPr>
          <w:lang w:eastAsia="ja-JP"/>
        </w:rPr>
      </w:pPr>
      <w:r w:rsidRPr="00737E62">
        <w:rPr>
          <w:b/>
          <w:lang w:eastAsia="ja-JP"/>
        </w:rPr>
        <w:lastRenderedPageBreak/>
        <w:t>Comment:</w:t>
      </w:r>
      <w:r w:rsidRPr="0052032C">
        <w:rPr>
          <w:lang w:eastAsia="ja-JP"/>
        </w:rPr>
        <w:t xml:space="preserve"> </w:t>
      </w:r>
      <w:r w:rsidR="00737E62">
        <w:rPr>
          <w:lang w:eastAsia="ja-JP"/>
        </w:rPr>
        <w:t xml:space="preserve"> </w:t>
      </w:r>
      <w:r w:rsidRPr="0052032C">
        <w:rPr>
          <w:lang w:eastAsia="ja-JP"/>
        </w:rPr>
        <w:t xml:space="preserve">The numbers are small but </w:t>
      </w:r>
      <w:r w:rsidR="0016371D">
        <w:rPr>
          <w:lang w:eastAsia="ja-JP"/>
        </w:rPr>
        <w:t>B cell</w:t>
      </w:r>
      <w:r w:rsidRPr="0052032C">
        <w:rPr>
          <w:lang w:eastAsia="ja-JP"/>
        </w:rPr>
        <w:t xml:space="preserve"> recovery was clearly slower in the G-chemo arm</w:t>
      </w:r>
      <w:r w:rsidR="00737E62">
        <w:rPr>
          <w:lang w:eastAsia="ja-JP"/>
        </w:rPr>
        <w:t>.</w:t>
      </w:r>
    </w:p>
    <w:p w14:paraId="692BE4E5" w14:textId="77777777" w:rsidR="00586F98" w:rsidRDefault="00C22678" w:rsidP="00586F98">
      <w:pPr>
        <w:pStyle w:val="Heading2"/>
      </w:pPr>
      <w:bookmarkStart w:id="51" w:name="_Toc513556347"/>
      <w:r w:rsidRPr="003442FE">
        <w:t>Dosage selection for the pivotal studies</w:t>
      </w:r>
      <w:bookmarkEnd w:id="51"/>
    </w:p>
    <w:p w14:paraId="53F90686" w14:textId="77777777" w:rsidR="0052032C" w:rsidRPr="0052032C" w:rsidRDefault="0052032C" w:rsidP="0052032C">
      <w:pPr>
        <w:rPr>
          <w:lang w:eastAsia="ja-JP"/>
        </w:rPr>
      </w:pPr>
      <w:r w:rsidRPr="0052032C">
        <w:rPr>
          <w:lang w:eastAsia="ja-JP"/>
        </w:rPr>
        <w:t>The obinutuzumab dosage for previously untreated follicular lymphoma is identical to the approved dosage in relapsed/refractory follicular lympho</w:t>
      </w:r>
      <w:r>
        <w:rPr>
          <w:lang w:eastAsia="ja-JP"/>
        </w:rPr>
        <w:t>ma (induction and maintenance).</w:t>
      </w:r>
    </w:p>
    <w:p w14:paraId="137C1AA6" w14:textId="77777777" w:rsidR="00C22678" w:rsidRPr="003442FE" w:rsidRDefault="00C22678" w:rsidP="00C22678">
      <w:pPr>
        <w:pStyle w:val="Heading2"/>
      </w:pPr>
      <w:bookmarkStart w:id="52" w:name="_Toc513556348"/>
      <w:r w:rsidRPr="003442FE">
        <w:t>Clinical efficacy</w:t>
      </w:r>
      <w:bookmarkEnd w:id="52"/>
    </w:p>
    <w:p w14:paraId="1B170F39" w14:textId="77777777" w:rsidR="0052032C" w:rsidRPr="0052032C" w:rsidRDefault="0052032C" w:rsidP="0052032C">
      <w:pPr>
        <w:pStyle w:val="Heading3"/>
        <w:rPr>
          <w:rFonts w:eastAsia="Cambria"/>
        </w:rPr>
      </w:pPr>
      <w:bookmarkStart w:id="53" w:name="_Toc481769158"/>
      <w:bookmarkStart w:id="54" w:name="_Toc513556349"/>
      <w:r w:rsidRPr="0052032C">
        <w:rPr>
          <w:rFonts w:eastAsia="Cambria"/>
        </w:rPr>
        <w:t>Studies providing evaluable efficacy data</w:t>
      </w:r>
      <w:bookmarkEnd w:id="53"/>
      <w:bookmarkEnd w:id="54"/>
    </w:p>
    <w:p w14:paraId="5EAFCB08" w14:textId="77777777" w:rsidR="0052032C" w:rsidRDefault="0052032C" w:rsidP="0052032C">
      <w:pPr>
        <w:pStyle w:val="Heading4"/>
      </w:pPr>
      <w:r>
        <w:t>Study BO</w:t>
      </w:r>
      <w:r w:rsidRPr="0052032C">
        <w:t>21223 (GALLIUM)</w:t>
      </w:r>
    </w:p>
    <w:p w14:paraId="190CDD22" w14:textId="2084A707" w:rsidR="0052032C" w:rsidRPr="0052032C" w:rsidRDefault="0052032C" w:rsidP="0052032C">
      <w:pPr>
        <w:rPr>
          <w:lang w:eastAsia="ja-JP"/>
        </w:rPr>
      </w:pPr>
      <w:r>
        <w:rPr>
          <w:lang w:eastAsia="ja-JP"/>
        </w:rPr>
        <w:t>This was a multicent</w:t>
      </w:r>
      <w:r w:rsidRPr="0052032C">
        <w:rPr>
          <w:lang w:eastAsia="ja-JP"/>
        </w:rPr>
        <w:t>r</w:t>
      </w:r>
      <w:r>
        <w:rPr>
          <w:lang w:eastAsia="ja-JP"/>
        </w:rPr>
        <w:t>e, Phase III</w:t>
      </w:r>
      <w:r w:rsidRPr="0052032C">
        <w:rPr>
          <w:lang w:eastAsia="ja-JP"/>
        </w:rPr>
        <w:t>, open</w:t>
      </w:r>
      <w:r>
        <w:rPr>
          <w:lang w:eastAsia="ja-JP"/>
        </w:rPr>
        <w:t xml:space="preserve"> </w:t>
      </w:r>
      <w:r w:rsidRPr="0052032C">
        <w:rPr>
          <w:lang w:eastAsia="ja-JP"/>
        </w:rPr>
        <w:t>label, randomi</w:t>
      </w:r>
      <w:r>
        <w:rPr>
          <w:lang w:eastAsia="ja-JP"/>
        </w:rPr>
        <w:t>s</w:t>
      </w:r>
      <w:r w:rsidRPr="0052032C">
        <w:rPr>
          <w:lang w:eastAsia="ja-JP"/>
        </w:rPr>
        <w:t>ed study in previously untreated patie</w:t>
      </w:r>
      <w:r>
        <w:rPr>
          <w:lang w:eastAsia="ja-JP"/>
        </w:rPr>
        <w:t>nts with advanced indolent non-H</w:t>
      </w:r>
      <w:r w:rsidRPr="0052032C">
        <w:rPr>
          <w:lang w:eastAsia="ja-JP"/>
        </w:rPr>
        <w:t>odgkin’s lymphoma evaluating the benefit of</w:t>
      </w:r>
      <w:r w:rsidR="00167618">
        <w:rPr>
          <w:lang w:eastAsia="ja-JP"/>
        </w:rPr>
        <w:t xml:space="preserve"> </w:t>
      </w:r>
      <w:r w:rsidR="00167618" w:rsidRPr="00167618">
        <w:rPr>
          <w:lang w:eastAsia="ja-JP"/>
        </w:rPr>
        <w:t>obinutuzumab</w:t>
      </w:r>
      <w:r w:rsidRPr="0052032C">
        <w:rPr>
          <w:lang w:eastAsia="ja-JP"/>
        </w:rPr>
        <w:t xml:space="preserve"> plus chemotherapy </w:t>
      </w:r>
      <w:r w:rsidR="00167618">
        <w:rPr>
          <w:lang w:eastAsia="ja-JP"/>
        </w:rPr>
        <w:t xml:space="preserve">(G-chemo) </w:t>
      </w:r>
      <w:r w:rsidRPr="0052032C">
        <w:rPr>
          <w:lang w:eastAsia="ja-JP"/>
        </w:rPr>
        <w:t xml:space="preserve">compared with rituximab plus chemotherapy </w:t>
      </w:r>
      <w:r w:rsidR="00167618">
        <w:rPr>
          <w:lang w:eastAsia="ja-JP"/>
        </w:rPr>
        <w:t xml:space="preserve">(R-chemo) </w:t>
      </w:r>
      <w:r w:rsidRPr="0052032C">
        <w:rPr>
          <w:lang w:eastAsia="ja-JP"/>
        </w:rPr>
        <w:t xml:space="preserve">followed by </w:t>
      </w:r>
      <w:r w:rsidR="00167618" w:rsidRPr="00167618">
        <w:rPr>
          <w:lang w:eastAsia="ja-JP"/>
        </w:rPr>
        <w:t>obinutuzumab</w:t>
      </w:r>
      <w:r w:rsidRPr="0052032C">
        <w:rPr>
          <w:lang w:eastAsia="ja-JP"/>
        </w:rPr>
        <w:t xml:space="preserve"> or rituximab mai</w:t>
      </w:r>
      <w:r>
        <w:rPr>
          <w:lang w:eastAsia="ja-JP"/>
        </w:rPr>
        <w:t>ntenance therapy in responders.</w:t>
      </w:r>
    </w:p>
    <w:p w14:paraId="1D8C120F" w14:textId="77777777" w:rsidR="0052032C" w:rsidRPr="0052032C" w:rsidRDefault="0052032C" w:rsidP="0052032C">
      <w:pPr>
        <w:rPr>
          <w:lang w:eastAsia="ja-JP"/>
        </w:rPr>
      </w:pPr>
      <w:r w:rsidRPr="0052032C">
        <w:rPr>
          <w:lang w:eastAsia="ja-JP"/>
        </w:rPr>
        <w:t>This is the pivotal study to support the proposed new indication for obinutuzumab (in previously untreated FL)</w:t>
      </w:r>
      <w:r>
        <w:rPr>
          <w:lang w:eastAsia="ja-JP"/>
        </w:rPr>
        <w:t>.</w:t>
      </w:r>
    </w:p>
    <w:p w14:paraId="219D7F7A" w14:textId="77777777" w:rsidR="0052032C" w:rsidRDefault="0052032C" w:rsidP="0052032C">
      <w:pPr>
        <w:pStyle w:val="Heading4"/>
      </w:pPr>
      <w:r>
        <w:t>Study BO</w:t>
      </w:r>
      <w:r w:rsidRPr="0052032C">
        <w:t>21000 (GAUDI)</w:t>
      </w:r>
    </w:p>
    <w:p w14:paraId="32301D60" w14:textId="0A8E2A07" w:rsidR="0052032C" w:rsidRPr="0052032C" w:rsidRDefault="002C4679" w:rsidP="0052032C">
      <w:pPr>
        <w:rPr>
          <w:lang w:eastAsia="ja-JP"/>
        </w:rPr>
      </w:pPr>
      <w:r>
        <w:rPr>
          <w:lang w:eastAsia="ja-JP"/>
        </w:rPr>
        <w:t>This was a</w:t>
      </w:r>
      <w:r w:rsidR="0052032C">
        <w:rPr>
          <w:lang w:eastAsia="ja-JP"/>
        </w:rPr>
        <w:t>n open label, multi</w:t>
      </w:r>
      <w:r w:rsidR="0052032C" w:rsidRPr="0052032C">
        <w:rPr>
          <w:lang w:eastAsia="ja-JP"/>
        </w:rPr>
        <w:t xml:space="preserve">centre, randomised, </w:t>
      </w:r>
      <w:r w:rsidR="0052032C">
        <w:rPr>
          <w:lang w:eastAsia="ja-JP"/>
        </w:rPr>
        <w:t>Phase I</w:t>
      </w:r>
      <w:r w:rsidR="0052032C" w:rsidRPr="0052032C">
        <w:rPr>
          <w:lang w:eastAsia="ja-JP"/>
        </w:rPr>
        <w:t xml:space="preserve">b study to investigate the safety and efficacy of </w:t>
      </w:r>
      <w:r w:rsidR="00F03E3F" w:rsidRPr="00F03E3F">
        <w:rPr>
          <w:lang w:eastAsia="ja-JP"/>
        </w:rPr>
        <w:t xml:space="preserve">obinutuzumab </w:t>
      </w:r>
      <w:r w:rsidR="0052032C" w:rsidRPr="0052032C">
        <w:rPr>
          <w:lang w:eastAsia="ja-JP"/>
        </w:rPr>
        <w:t xml:space="preserve">given in combination with CHOP, FC or bendamustine chemotherapy in patients with CD20+ </w:t>
      </w:r>
      <w:r w:rsidR="0016371D">
        <w:rPr>
          <w:lang w:eastAsia="ja-JP"/>
        </w:rPr>
        <w:t>B cell</w:t>
      </w:r>
      <w:r w:rsidR="0052032C" w:rsidRPr="0052032C">
        <w:rPr>
          <w:lang w:eastAsia="ja-JP"/>
        </w:rPr>
        <w:t xml:space="preserve"> follicular non-Hodgkin’s lymphoma.</w:t>
      </w:r>
    </w:p>
    <w:p w14:paraId="7AE3AC3C" w14:textId="1F6871C9" w:rsidR="0052032C" w:rsidRPr="0052032C" w:rsidRDefault="0052032C" w:rsidP="0052032C">
      <w:pPr>
        <w:rPr>
          <w:lang w:eastAsia="ja-JP"/>
        </w:rPr>
      </w:pPr>
      <w:r w:rsidRPr="0052032C">
        <w:rPr>
          <w:lang w:eastAsia="ja-JP"/>
        </w:rPr>
        <w:t xml:space="preserve">Part 2, which is the one included in the </w:t>
      </w:r>
      <w:r w:rsidR="002C4679">
        <w:rPr>
          <w:lang w:eastAsia="ja-JP"/>
        </w:rPr>
        <w:t>D</w:t>
      </w:r>
      <w:r w:rsidRPr="0052032C">
        <w:rPr>
          <w:lang w:eastAsia="ja-JP"/>
        </w:rPr>
        <w:t xml:space="preserve">ossier, is part of this </w:t>
      </w:r>
      <w:r>
        <w:rPr>
          <w:lang w:eastAsia="ja-JP"/>
        </w:rPr>
        <w:t>Phase I</w:t>
      </w:r>
      <w:r w:rsidRPr="0052032C">
        <w:rPr>
          <w:lang w:eastAsia="ja-JP"/>
        </w:rPr>
        <w:t>b study in which a cohort of patients (n</w:t>
      </w:r>
      <w:r>
        <w:rPr>
          <w:lang w:eastAsia="ja-JP"/>
        </w:rPr>
        <w:t xml:space="preserve"> </w:t>
      </w:r>
      <w:r w:rsidRPr="0052032C">
        <w:rPr>
          <w:lang w:eastAsia="ja-JP"/>
        </w:rPr>
        <w:t>=</w:t>
      </w:r>
      <w:r>
        <w:rPr>
          <w:lang w:eastAsia="ja-JP"/>
        </w:rPr>
        <w:t xml:space="preserve"> </w:t>
      </w:r>
      <w:r w:rsidRPr="0052032C">
        <w:rPr>
          <w:lang w:eastAsia="ja-JP"/>
        </w:rPr>
        <w:t>81) with previously untreated FL were treated with G-chemo. The primary objective was the safety of obinutuzumab in combina</w:t>
      </w:r>
      <w:r>
        <w:rPr>
          <w:lang w:eastAsia="ja-JP"/>
        </w:rPr>
        <w:t>tion with CHOP or bendamustine.</w:t>
      </w:r>
    </w:p>
    <w:p w14:paraId="0B537B20" w14:textId="77777777" w:rsidR="0052032C" w:rsidRPr="0052032C" w:rsidRDefault="0052032C" w:rsidP="0052032C">
      <w:pPr>
        <w:pStyle w:val="Heading3"/>
        <w:rPr>
          <w:rFonts w:eastAsia="Cambria"/>
        </w:rPr>
      </w:pPr>
      <w:bookmarkStart w:id="55" w:name="_Ref271037274"/>
      <w:bookmarkStart w:id="56" w:name="_Toc272414652"/>
      <w:bookmarkStart w:id="57" w:name="_Toc290888500"/>
      <w:bookmarkStart w:id="58" w:name="_Toc416353716"/>
      <w:bookmarkStart w:id="59" w:name="_Toc421005269"/>
      <w:bookmarkStart w:id="60" w:name="_Toc432079151"/>
      <w:bookmarkStart w:id="61" w:name="_Toc432080724"/>
      <w:bookmarkStart w:id="62" w:name="_Toc481769159"/>
      <w:bookmarkStart w:id="63" w:name="_Toc513556350"/>
      <w:r w:rsidRPr="0052032C">
        <w:rPr>
          <w:rFonts w:eastAsia="Cambria"/>
        </w:rPr>
        <w:t>Pivotal or main efficacy studies</w:t>
      </w:r>
      <w:bookmarkEnd w:id="55"/>
      <w:bookmarkEnd w:id="56"/>
      <w:bookmarkEnd w:id="57"/>
      <w:bookmarkEnd w:id="58"/>
      <w:bookmarkEnd w:id="59"/>
      <w:bookmarkEnd w:id="60"/>
      <w:bookmarkEnd w:id="61"/>
      <w:bookmarkEnd w:id="62"/>
      <w:bookmarkEnd w:id="63"/>
    </w:p>
    <w:p w14:paraId="1CA741E2" w14:textId="77777777" w:rsidR="0052032C" w:rsidRPr="0052032C" w:rsidRDefault="0052032C" w:rsidP="0052032C">
      <w:pPr>
        <w:pStyle w:val="Heading4"/>
      </w:pPr>
      <w:bookmarkStart w:id="64" w:name="_Ref243301615"/>
      <w:bookmarkStart w:id="65" w:name="_Ref271040927"/>
      <w:bookmarkStart w:id="66" w:name="_Ref271040932"/>
      <w:bookmarkStart w:id="67" w:name="_Toc272414653"/>
      <w:bookmarkStart w:id="68" w:name="_Toc290888501"/>
      <w:bookmarkStart w:id="69" w:name="_Toc416353717"/>
      <w:r>
        <w:t>Study BO</w:t>
      </w:r>
      <w:r w:rsidRPr="0052032C">
        <w:t>21223 (GALLIUM)</w:t>
      </w:r>
      <w:bookmarkEnd w:id="64"/>
      <w:bookmarkEnd w:id="65"/>
      <w:bookmarkEnd w:id="66"/>
      <w:bookmarkEnd w:id="67"/>
      <w:bookmarkEnd w:id="68"/>
      <w:bookmarkEnd w:id="69"/>
    </w:p>
    <w:p w14:paraId="57974AF9" w14:textId="77777777" w:rsidR="0052032C" w:rsidRPr="0052032C" w:rsidRDefault="0052032C" w:rsidP="0052032C">
      <w:pPr>
        <w:pStyle w:val="Heading5"/>
        <w:rPr>
          <w:rFonts w:eastAsia="Cambria"/>
          <w:lang w:eastAsia="ja-JP"/>
        </w:rPr>
      </w:pPr>
      <w:bookmarkStart w:id="70" w:name="_Ref475550501"/>
      <w:r w:rsidRPr="0052032C">
        <w:rPr>
          <w:rFonts w:eastAsia="Cambria"/>
          <w:lang w:eastAsia="ja-JP"/>
        </w:rPr>
        <w:t>Study design, objectives, locations and dates</w:t>
      </w:r>
      <w:bookmarkEnd w:id="70"/>
    </w:p>
    <w:p w14:paraId="6224246C" w14:textId="4D243AB7" w:rsidR="0052032C" w:rsidRPr="0052032C" w:rsidRDefault="0052032C" w:rsidP="0052032C">
      <w:pPr>
        <w:rPr>
          <w:lang w:eastAsia="ja-JP"/>
        </w:rPr>
      </w:pPr>
      <w:r>
        <w:rPr>
          <w:lang w:eastAsia="ja-JP"/>
        </w:rPr>
        <w:t>Study BO</w:t>
      </w:r>
      <w:r w:rsidRPr="0052032C">
        <w:rPr>
          <w:lang w:eastAsia="ja-JP"/>
        </w:rPr>
        <w:t>21223 (GALLIUM) is a Phase III, open</w:t>
      </w:r>
      <w:r>
        <w:rPr>
          <w:lang w:eastAsia="ja-JP"/>
        </w:rPr>
        <w:t xml:space="preserve"> label, multi</w:t>
      </w:r>
      <w:r w:rsidRPr="0052032C">
        <w:rPr>
          <w:lang w:eastAsia="ja-JP"/>
        </w:rPr>
        <w:t>centre, randomi</w:t>
      </w:r>
      <w:r>
        <w:rPr>
          <w:lang w:eastAsia="ja-JP"/>
        </w:rPr>
        <w:t>s</w:t>
      </w:r>
      <w:r w:rsidRPr="0052032C">
        <w:rPr>
          <w:lang w:eastAsia="ja-JP"/>
        </w:rPr>
        <w:t>ed study to investigate the efficacy and safety of G-chemo followed by G-maintenance therapy for responders (CR or PR), compared to R-chemo followed by R-maintenance therapy for responders, in patients with previously</w:t>
      </w:r>
      <w:r w:rsidR="00F610DA">
        <w:rPr>
          <w:lang w:eastAsia="ja-JP"/>
        </w:rPr>
        <w:t xml:space="preserve"> </w:t>
      </w:r>
      <w:r w:rsidRPr="0052032C">
        <w:rPr>
          <w:lang w:eastAsia="ja-JP"/>
        </w:rPr>
        <w:t>untreated advanced iNHL</w:t>
      </w:r>
      <w:r>
        <w:rPr>
          <w:lang w:eastAsia="ja-JP"/>
        </w:rPr>
        <w:t>, as shown below in Figure 3.</w:t>
      </w:r>
      <w:r w:rsidRPr="0052032C">
        <w:rPr>
          <w:lang w:eastAsia="ja-JP"/>
        </w:rPr>
        <w:t xml:space="preserve"> The overall population consisted primar</w:t>
      </w:r>
      <w:r>
        <w:rPr>
          <w:lang w:eastAsia="ja-JP"/>
        </w:rPr>
        <w:t xml:space="preserve">ily of patients with previously </w:t>
      </w:r>
      <w:r w:rsidRPr="0052032C">
        <w:rPr>
          <w:lang w:eastAsia="ja-JP"/>
        </w:rPr>
        <w:t>untreated FL (1202/1401, 85.8%), of which 601 patients were randomi</w:t>
      </w:r>
      <w:r>
        <w:rPr>
          <w:lang w:eastAsia="ja-JP"/>
        </w:rPr>
        <w:t>sed to the R-chemo arm, and 601 </w:t>
      </w:r>
      <w:r w:rsidRPr="0052032C">
        <w:rPr>
          <w:lang w:eastAsia="ja-JP"/>
        </w:rPr>
        <w:t>patients were randomi</w:t>
      </w:r>
      <w:r>
        <w:rPr>
          <w:lang w:eastAsia="ja-JP"/>
        </w:rPr>
        <w:t>s</w:t>
      </w:r>
      <w:r w:rsidRPr="0052032C">
        <w:rPr>
          <w:lang w:eastAsia="ja-JP"/>
        </w:rPr>
        <w:t>ed to the G-chemo arm</w:t>
      </w:r>
      <w:r>
        <w:rPr>
          <w:lang w:eastAsia="ja-JP"/>
        </w:rPr>
        <w:t>.</w:t>
      </w:r>
    </w:p>
    <w:p w14:paraId="1F9627A4" w14:textId="77777777" w:rsidR="0052032C" w:rsidRPr="0052032C" w:rsidRDefault="0052032C" w:rsidP="0052032C">
      <w:pPr>
        <w:pStyle w:val="Comment"/>
        <w:rPr>
          <w:lang w:eastAsia="ja-JP"/>
        </w:rPr>
      </w:pPr>
      <w:r w:rsidRPr="0052032C">
        <w:rPr>
          <w:b/>
          <w:lang w:eastAsia="ja-JP"/>
        </w:rPr>
        <w:t>Comment:</w:t>
      </w:r>
      <w:r w:rsidRPr="0052032C">
        <w:rPr>
          <w:lang w:eastAsia="ja-JP"/>
        </w:rPr>
        <w:t xml:space="preserve"> </w:t>
      </w:r>
      <w:r>
        <w:rPr>
          <w:lang w:eastAsia="ja-JP"/>
        </w:rPr>
        <w:t xml:space="preserve"> </w:t>
      </w:r>
      <w:r w:rsidRPr="0052032C">
        <w:rPr>
          <w:lang w:eastAsia="ja-JP"/>
        </w:rPr>
        <w:t xml:space="preserve">14% of the overall study population consisted of MZL patients but the primary objective of </w:t>
      </w:r>
      <w:r>
        <w:rPr>
          <w:lang w:eastAsia="ja-JP"/>
        </w:rPr>
        <w:t>Study BO</w:t>
      </w:r>
      <w:r w:rsidRPr="0052032C">
        <w:rPr>
          <w:lang w:eastAsia="ja-JP"/>
        </w:rPr>
        <w:t>21223 was investigator evaluated PFS for the FL population and that is also the population for which the extended indication is sou</w:t>
      </w:r>
      <w:r>
        <w:rPr>
          <w:lang w:eastAsia="ja-JP"/>
        </w:rPr>
        <w:t>ght.</w:t>
      </w:r>
    </w:p>
    <w:p w14:paraId="5E7B8156" w14:textId="77777777" w:rsidR="0052032C" w:rsidRPr="0052032C" w:rsidRDefault="0052032C" w:rsidP="0052032C">
      <w:pPr>
        <w:pStyle w:val="FigureTitle"/>
        <w:rPr>
          <w:lang w:eastAsia="ja-JP"/>
        </w:rPr>
      </w:pPr>
      <w:bookmarkStart w:id="71" w:name="_Toc481769251"/>
      <w:proofErr w:type="gramStart"/>
      <w:r>
        <w:rPr>
          <w:lang w:eastAsia="ja-JP"/>
        </w:rPr>
        <w:lastRenderedPageBreak/>
        <w:t>Figure 3.</w:t>
      </w:r>
      <w:proofErr w:type="gramEnd"/>
      <w:r>
        <w:rPr>
          <w:lang w:eastAsia="ja-JP"/>
        </w:rPr>
        <w:t xml:space="preserve"> Study </w:t>
      </w:r>
      <w:r w:rsidRPr="0052032C">
        <w:rPr>
          <w:bCs/>
          <w:lang w:eastAsia="ja-JP"/>
        </w:rPr>
        <w:t xml:space="preserve">BO21223 </w:t>
      </w:r>
      <w:r>
        <w:rPr>
          <w:bCs/>
          <w:lang w:eastAsia="ja-JP"/>
        </w:rPr>
        <w:t>d</w:t>
      </w:r>
      <w:r w:rsidRPr="0052032C">
        <w:rPr>
          <w:bCs/>
          <w:lang w:eastAsia="ja-JP"/>
        </w:rPr>
        <w:t>esign</w:t>
      </w:r>
      <w:bookmarkEnd w:id="71"/>
    </w:p>
    <w:p w14:paraId="431DBA60" w14:textId="77777777" w:rsidR="0052032C" w:rsidRPr="0052032C" w:rsidRDefault="0052032C" w:rsidP="0052032C">
      <w:pPr>
        <w:rPr>
          <w:lang w:eastAsia="ja-JP"/>
        </w:rPr>
      </w:pPr>
      <w:r w:rsidRPr="0052032C">
        <w:rPr>
          <w:noProof/>
          <w:lang w:eastAsia="en-AU"/>
        </w:rPr>
        <w:drawing>
          <wp:inline distT="0" distB="0" distL="0" distR="0" wp14:anchorId="567FDB7C" wp14:editId="605FE822">
            <wp:extent cx="4168302" cy="3510993"/>
            <wp:effectExtent l="0" t="0" r="3810" b="0"/>
            <wp:docPr id="72" name="Picture 72" descr="Study BO21223 (GALLIUM) is a Phase III, open label, multicentre, randomised study to investigate the efficacy and safety of G-chemo followed by G-maintenance therapy for responders (CR or PR), compared to R-chemo followed by R-maintenance therapy for responders, in patients with previously-untreated advanced iN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167228" cy="3510088"/>
                    </a:xfrm>
                    <a:prstGeom prst="rect">
                      <a:avLst/>
                    </a:prstGeom>
                  </pic:spPr>
                </pic:pic>
              </a:graphicData>
            </a:graphic>
          </wp:inline>
        </w:drawing>
      </w:r>
    </w:p>
    <w:p w14:paraId="6683D18F" w14:textId="77777777" w:rsidR="0052032C" w:rsidRPr="0052032C" w:rsidRDefault="0052032C" w:rsidP="0052032C">
      <w:pPr>
        <w:rPr>
          <w:lang w:eastAsia="ja-JP"/>
        </w:rPr>
      </w:pPr>
      <w:r w:rsidRPr="0052032C">
        <w:rPr>
          <w:lang w:eastAsia="ja-JP"/>
        </w:rPr>
        <w:t>The primary objective of the study was:</w:t>
      </w:r>
    </w:p>
    <w:p w14:paraId="6A0B4F3C" w14:textId="77777777" w:rsidR="0052032C" w:rsidRPr="0052032C" w:rsidRDefault="0052032C" w:rsidP="00885DD4">
      <w:pPr>
        <w:pStyle w:val="ListBullet"/>
        <w:rPr>
          <w:lang w:eastAsia="ja-JP"/>
        </w:rPr>
      </w:pPr>
      <w:r w:rsidRPr="0052032C">
        <w:rPr>
          <w:lang w:eastAsia="ja-JP"/>
        </w:rPr>
        <w:t>To evaluate the efficacy of obinutuzumab plus chemotherapy (G-chemo) followed by obinutuzumab maintenance (G-maintenance) therapy compared with rituximab plus chemotherapy (R-chemo) followed by rituximab maintenance (R-maintenance) therapy in patients with previously untreated advanced FL, as measured by investigator-assessed PFS.</w:t>
      </w:r>
    </w:p>
    <w:p w14:paraId="4EEBAD67" w14:textId="77777777" w:rsidR="0052032C" w:rsidRPr="0052032C" w:rsidRDefault="0052032C" w:rsidP="0052032C">
      <w:pPr>
        <w:rPr>
          <w:lang w:eastAsia="ja-JP"/>
        </w:rPr>
      </w:pPr>
      <w:r w:rsidRPr="0052032C">
        <w:rPr>
          <w:lang w:eastAsia="ja-JP"/>
        </w:rPr>
        <w:t>The secondary objectives of the study were:</w:t>
      </w:r>
    </w:p>
    <w:p w14:paraId="426824E1" w14:textId="0BF9E4D7" w:rsidR="0052032C" w:rsidRPr="0052032C" w:rsidRDefault="0052032C" w:rsidP="0052032C">
      <w:pPr>
        <w:pStyle w:val="ListBullet"/>
        <w:rPr>
          <w:lang w:eastAsia="ja-JP"/>
        </w:rPr>
      </w:pPr>
      <w:r w:rsidRPr="0052032C">
        <w:rPr>
          <w:lang w:eastAsia="ja-JP"/>
        </w:rPr>
        <w:t>To evaluate and compare Independent Review Committee (IRC)</w:t>
      </w:r>
      <w:r w:rsidR="00F610DA">
        <w:rPr>
          <w:lang w:eastAsia="ja-JP"/>
        </w:rPr>
        <w:t xml:space="preserve"> </w:t>
      </w:r>
      <w:r w:rsidRPr="0052032C">
        <w:rPr>
          <w:lang w:eastAsia="ja-JP"/>
        </w:rPr>
        <w:t>assessed PFS between t</w:t>
      </w:r>
      <w:r>
        <w:rPr>
          <w:lang w:eastAsia="ja-JP"/>
        </w:rPr>
        <w:t xml:space="preserve">he </w:t>
      </w:r>
      <w:r w:rsidR="00F610DA">
        <w:rPr>
          <w:lang w:eastAsia="ja-JP"/>
        </w:rPr>
        <w:t>2 </w:t>
      </w:r>
      <w:r>
        <w:rPr>
          <w:lang w:eastAsia="ja-JP"/>
        </w:rPr>
        <w:t xml:space="preserve">arms. In the US, IRC </w:t>
      </w:r>
      <w:r w:rsidRPr="0052032C">
        <w:rPr>
          <w:lang w:eastAsia="ja-JP"/>
        </w:rPr>
        <w:t>assessed PFS will be the basis of regulatory decisions.</w:t>
      </w:r>
    </w:p>
    <w:p w14:paraId="305BAB20" w14:textId="0CCCC13C" w:rsidR="0052032C" w:rsidRPr="0052032C" w:rsidRDefault="0052032C" w:rsidP="0052032C">
      <w:pPr>
        <w:pStyle w:val="ListBullet"/>
        <w:rPr>
          <w:lang w:eastAsia="ja-JP"/>
        </w:rPr>
      </w:pPr>
      <w:r w:rsidRPr="0052032C">
        <w:rPr>
          <w:lang w:eastAsia="ja-JP"/>
        </w:rPr>
        <w:t xml:space="preserve">To evaluate and compare overall response (OR) and complete response (CR) after the end of induction treatment, as assessed by the investigator, between the </w:t>
      </w:r>
      <w:r w:rsidR="00F610DA">
        <w:rPr>
          <w:lang w:eastAsia="ja-JP"/>
        </w:rPr>
        <w:t>2</w:t>
      </w:r>
      <w:r w:rsidR="00F610DA" w:rsidRPr="0052032C">
        <w:rPr>
          <w:lang w:eastAsia="ja-JP"/>
        </w:rPr>
        <w:t xml:space="preserve"> </w:t>
      </w:r>
      <w:r w:rsidRPr="0052032C">
        <w:rPr>
          <w:lang w:eastAsia="ja-JP"/>
        </w:rPr>
        <w:t xml:space="preserve">arms, with and without </w:t>
      </w:r>
      <w:r w:rsidRPr="0052032C">
        <w:rPr>
          <w:vertAlign w:val="superscript"/>
          <w:lang w:eastAsia="ja-JP"/>
        </w:rPr>
        <w:t>18</w:t>
      </w:r>
      <w:r w:rsidRPr="0052032C">
        <w:rPr>
          <w:lang w:eastAsia="ja-JP"/>
        </w:rPr>
        <w:t>F-fluorodeoxyglucose positron emission tomography (FDG-PET).</w:t>
      </w:r>
    </w:p>
    <w:p w14:paraId="1614B08C" w14:textId="77777777" w:rsidR="00226640" w:rsidRDefault="0052032C" w:rsidP="0052032C">
      <w:pPr>
        <w:pStyle w:val="ListBullet"/>
        <w:rPr>
          <w:lang w:eastAsia="ja-JP"/>
        </w:rPr>
      </w:pPr>
      <w:r w:rsidRPr="0052032C">
        <w:rPr>
          <w:lang w:eastAsia="ja-JP"/>
        </w:rPr>
        <w:t xml:space="preserve">To evaluate and compare OR and CR after the end of induction treatment, as assessed by the IRC, between the </w:t>
      </w:r>
      <w:r w:rsidR="00F610DA">
        <w:rPr>
          <w:lang w:eastAsia="ja-JP"/>
        </w:rPr>
        <w:t>2</w:t>
      </w:r>
      <w:r w:rsidR="00F610DA" w:rsidRPr="0052032C">
        <w:rPr>
          <w:lang w:eastAsia="ja-JP"/>
        </w:rPr>
        <w:t xml:space="preserve"> </w:t>
      </w:r>
      <w:r w:rsidRPr="0052032C">
        <w:rPr>
          <w:lang w:eastAsia="ja-JP"/>
        </w:rPr>
        <w:t>arms, with and without FDG-PET.</w:t>
      </w:r>
    </w:p>
    <w:p w14:paraId="44CE6DFC" w14:textId="0792640B" w:rsidR="0052032C" w:rsidRPr="0052032C" w:rsidRDefault="0052032C" w:rsidP="0052032C">
      <w:pPr>
        <w:pStyle w:val="ListBullet"/>
        <w:rPr>
          <w:lang w:eastAsia="ja-JP"/>
        </w:rPr>
      </w:pPr>
      <w:r w:rsidRPr="0052032C">
        <w:rPr>
          <w:lang w:eastAsia="ja-JP"/>
        </w:rPr>
        <w:t>To evaluate and compare overall survival (OS), event-free survival (EFS), disease</w:t>
      </w:r>
      <w:r w:rsidR="00F610DA">
        <w:rPr>
          <w:lang w:eastAsia="ja-JP"/>
        </w:rPr>
        <w:t xml:space="preserve"> </w:t>
      </w:r>
      <w:r w:rsidRPr="0052032C">
        <w:rPr>
          <w:lang w:eastAsia="ja-JP"/>
        </w:rPr>
        <w:t xml:space="preserve">free survival (DFS), duration of response (DOR), and time to next anti-lymphoma treatment (TTNLT) between the </w:t>
      </w:r>
      <w:r w:rsidR="008531A2">
        <w:rPr>
          <w:lang w:eastAsia="ja-JP"/>
        </w:rPr>
        <w:t>2</w:t>
      </w:r>
      <w:r w:rsidRPr="0052032C">
        <w:rPr>
          <w:lang w:eastAsia="ja-JP"/>
        </w:rPr>
        <w:t xml:space="preserve"> arms. EFS, DFS, and DOR are based </w:t>
      </w:r>
      <w:r w:rsidRPr="003D3C4B">
        <w:rPr>
          <w:lang w:eastAsia="ja-JP"/>
        </w:rPr>
        <w:t>on investigator</w:t>
      </w:r>
      <w:r w:rsidRPr="0052032C">
        <w:rPr>
          <w:lang w:eastAsia="ja-JP"/>
        </w:rPr>
        <w:t xml:space="preserve"> assessment.</w:t>
      </w:r>
    </w:p>
    <w:p w14:paraId="3E5E467F" w14:textId="3B842C76" w:rsidR="0052032C" w:rsidRPr="0052032C" w:rsidRDefault="0052032C" w:rsidP="0052032C">
      <w:pPr>
        <w:pStyle w:val="ListBullet"/>
      </w:pPr>
      <w:r w:rsidRPr="0052032C">
        <w:t xml:space="preserve">To evaluate and compare the safety profiles between the </w:t>
      </w:r>
      <w:r w:rsidR="008531A2">
        <w:t>2</w:t>
      </w:r>
      <w:r w:rsidRPr="0052032C">
        <w:t xml:space="preserve"> arms during induction and</w:t>
      </w:r>
      <w:r>
        <w:t xml:space="preserve"> maintenance.</w:t>
      </w:r>
    </w:p>
    <w:p w14:paraId="41C349D5" w14:textId="77777777" w:rsidR="0052032C" w:rsidRPr="0052032C" w:rsidRDefault="0052032C" w:rsidP="0052032C">
      <w:pPr>
        <w:pStyle w:val="ListBullet"/>
      </w:pPr>
      <w:r w:rsidRPr="0052032C">
        <w:t>To assess patient-reported outcomes (PROs</w:t>
      </w:r>
      <w:r>
        <w:t>) in both arms.</w:t>
      </w:r>
    </w:p>
    <w:p w14:paraId="7BF44618" w14:textId="77777777" w:rsidR="0052032C" w:rsidRPr="0052032C" w:rsidRDefault="0052032C" w:rsidP="0052032C">
      <w:pPr>
        <w:rPr>
          <w:lang w:eastAsia="ja-JP"/>
        </w:rPr>
      </w:pPr>
      <w:r w:rsidRPr="0052032C">
        <w:rPr>
          <w:lang w:eastAsia="ja-JP"/>
        </w:rPr>
        <w:t>Patients were recruited from 177 investigational sites in 18 countries and the highest recruiting countries were United Kingdom (293 patients), Germany (237 patients), Canada (138 patients), Australia (136 patie</w:t>
      </w:r>
      <w:r>
        <w:rPr>
          <w:lang w:eastAsia="ja-JP"/>
        </w:rPr>
        <w:t>nts), and Japan (129 patients).</w:t>
      </w:r>
      <w:r w:rsidRPr="0052032C">
        <w:rPr>
          <w:vertAlign w:val="superscript"/>
          <w:lang w:eastAsia="ja-JP"/>
        </w:rPr>
        <w:footnoteReference w:id="1"/>
      </w:r>
    </w:p>
    <w:p w14:paraId="6531FF20" w14:textId="472D99B2" w:rsidR="0052032C" w:rsidRDefault="0052032C" w:rsidP="0052032C">
      <w:pPr>
        <w:rPr>
          <w:lang w:eastAsia="ja-JP"/>
        </w:rPr>
      </w:pPr>
      <w:r w:rsidRPr="0052032C">
        <w:rPr>
          <w:lang w:eastAsia="ja-JP"/>
        </w:rPr>
        <w:lastRenderedPageBreak/>
        <w:t>Prior to the initiation of the study, each site chose one of three chemotherapy regimens (CHOP, CVP, or bendamustine) that was considered to be the standard of care for follicular lymphoma; all patients with follicular lymphoma at that site received the chosen chemotherapy regimen for the duration of the study (a site could switch to another regimen if new scientific data became available and after</w:t>
      </w:r>
      <w:r>
        <w:rPr>
          <w:lang w:eastAsia="ja-JP"/>
        </w:rPr>
        <w:t xml:space="preserve"> sponsor</w:t>
      </w:r>
      <w:r w:rsidR="004A481D">
        <w:rPr>
          <w:lang w:eastAsia="ja-JP"/>
        </w:rPr>
        <w:t xml:space="preserve"> approval</w:t>
      </w:r>
      <w:r w:rsidRPr="0052032C">
        <w:rPr>
          <w:lang w:eastAsia="ja-JP"/>
        </w:rPr>
        <w:t>). For non-follicular NHL, the investigator had the option of choosing one of the three chemotherapy regimens (CHOP, CVP, or bendamustine) for each patient.</w:t>
      </w:r>
      <w:r>
        <w:rPr>
          <w:lang w:eastAsia="ja-JP"/>
        </w:rPr>
        <w:t xml:space="preserve"> All patients were then randomis</w:t>
      </w:r>
      <w:r w:rsidRPr="0052032C">
        <w:rPr>
          <w:lang w:eastAsia="ja-JP"/>
        </w:rPr>
        <w:t>ed to rituximab plus chemotherapy or obinutuzumab plus chemotherapy.</w:t>
      </w:r>
    </w:p>
    <w:p w14:paraId="4A156AEE" w14:textId="77777777" w:rsidR="0052032C" w:rsidRPr="0052032C" w:rsidRDefault="0052032C" w:rsidP="0052032C">
      <w:pPr>
        <w:rPr>
          <w:lang w:eastAsia="ja-JP"/>
        </w:rPr>
      </w:pPr>
      <w:r>
        <w:rPr>
          <w:lang w:eastAsia="ja-JP"/>
        </w:rPr>
        <w:t>Important dates included:</w:t>
      </w:r>
    </w:p>
    <w:p w14:paraId="32B4136A" w14:textId="77777777" w:rsidR="0052032C" w:rsidRPr="0052032C" w:rsidRDefault="0052032C" w:rsidP="0052032C">
      <w:pPr>
        <w:pStyle w:val="ListBullet"/>
        <w:rPr>
          <w:lang w:eastAsia="ja-JP"/>
        </w:rPr>
      </w:pPr>
      <w:r>
        <w:rPr>
          <w:lang w:eastAsia="ja-JP"/>
        </w:rPr>
        <w:t>First p</w:t>
      </w:r>
      <w:r w:rsidRPr="0052032C">
        <w:rPr>
          <w:lang w:eastAsia="ja-JP"/>
        </w:rPr>
        <w:t>ati</w:t>
      </w:r>
      <w:r>
        <w:rPr>
          <w:lang w:eastAsia="ja-JP"/>
        </w:rPr>
        <w:t xml:space="preserve">ent enrolled: 6 July </w:t>
      </w:r>
      <w:r w:rsidRPr="0052032C">
        <w:rPr>
          <w:lang w:eastAsia="ja-JP"/>
        </w:rPr>
        <w:t>2011</w:t>
      </w:r>
    </w:p>
    <w:p w14:paraId="41599303" w14:textId="77777777" w:rsidR="0052032C" w:rsidRPr="0052032C" w:rsidRDefault="0052032C" w:rsidP="0052032C">
      <w:pPr>
        <w:pStyle w:val="ListBullet"/>
        <w:rPr>
          <w:lang w:eastAsia="ja-JP"/>
        </w:rPr>
      </w:pPr>
      <w:r>
        <w:rPr>
          <w:lang w:eastAsia="ja-JP"/>
        </w:rPr>
        <w:t xml:space="preserve">Last patient enrolled: 5 June </w:t>
      </w:r>
      <w:r w:rsidRPr="0052032C">
        <w:rPr>
          <w:lang w:eastAsia="ja-JP"/>
        </w:rPr>
        <w:t>2014</w:t>
      </w:r>
    </w:p>
    <w:p w14:paraId="2469BB33" w14:textId="77777777" w:rsidR="0052032C" w:rsidRPr="0052032C" w:rsidRDefault="0052032C" w:rsidP="0052032C">
      <w:pPr>
        <w:pStyle w:val="ListBullet"/>
        <w:rPr>
          <w:lang w:eastAsia="ja-JP"/>
        </w:rPr>
      </w:pPr>
      <w:r>
        <w:rPr>
          <w:lang w:eastAsia="ja-JP"/>
        </w:rPr>
        <w:t xml:space="preserve">Data cut off: 31 January </w:t>
      </w:r>
      <w:r w:rsidRPr="0052032C">
        <w:rPr>
          <w:lang w:eastAsia="ja-JP"/>
        </w:rPr>
        <w:t>2016</w:t>
      </w:r>
    </w:p>
    <w:p w14:paraId="073F5698" w14:textId="77777777" w:rsidR="0052032C" w:rsidRPr="0052032C" w:rsidRDefault="0052032C" w:rsidP="0052032C">
      <w:pPr>
        <w:pStyle w:val="Heading5"/>
        <w:rPr>
          <w:rFonts w:eastAsia="Cambria"/>
          <w:lang w:eastAsia="ja-JP"/>
        </w:rPr>
      </w:pPr>
      <w:bookmarkStart w:id="72" w:name="_Ref474857958"/>
      <w:r w:rsidRPr="0052032C">
        <w:rPr>
          <w:rFonts w:eastAsia="Cambria"/>
          <w:lang w:eastAsia="ja-JP"/>
        </w:rPr>
        <w:t>Inclusion and exclusion criteria</w:t>
      </w:r>
      <w:bookmarkEnd w:id="72"/>
    </w:p>
    <w:p w14:paraId="23E9A823" w14:textId="77777777" w:rsidR="0052032C" w:rsidRPr="0052032C" w:rsidRDefault="0052032C" w:rsidP="0052032C">
      <w:pPr>
        <w:rPr>
          <w:bCs/>
          <w:lang w:eastAsia="ja-JP"/>
        </w:rPr>
      </w:pPr>
      <w:r w:rsidRPr="0052032C">
        <w:rPr>
          <w:bCs/>
          <w:lang w:eastAsia="ja-JP"/>
        </w:rPr>
        <w:t>Below are the key criter</w:t>
      </w:r>
      <w:r>
        <w:rPr>
          <w:bCs/>
          <w:lang w:eastAsia="ja-JP"/>
        </w:rPr>
        <w:t>ia.</w:t>
      </w:r>
    </w:p>
    <w:p w14:paraId="55E412EA" w14:textId="77777777" w:rsidR="0052032C" w:rsidRPr="0052032C" w:rsidRDefault="0052032C" w:rsidP="0052032C">
      <w:pPr>
        <w:pStyle w:val="Heading6"/>
        <w:rPr>
          <w:rFonts w:eastAsiaTheme="minorHAnsi"/>
        </w:rPr>
      </w:pPr>
      <w:r w:rsidRPr="0052032C">
        <w:t>Key inclusion c</w:t>
      </w:r>
      <w:r>
        <w:t>riteria</w:t>
      </w:r>
    </w:p>
    <w:p w14:paraId="29B690CC" w14:textId="01ED4BA9" w:rsidR="0052032C" w:rsidRPr="0052032C" w:rsidRDefault="0052032C" w:rsidP="0052032C">
      <w:pPr>
        <w:pStyle w:val="ListBullet"/>
        <w:rPr>
          <w:lang w:eastAsia="ja-JP"/>
        </w:rPr>
      </w:pPr>
      <w:r w:rsidRPr="0052032C">
        <w:rPr>
          <w:lang w:eastAsia="ja-JP"/>
        </w:rPr>
        <w:t xml:space="preserve">Histologically </w:t>
      </w:r>
      <w:r>
        <w:rPr>
          <w:lang w:eastAsia="ja-JP"/>
        </w:rPr>
        <w:t xml:space="preserve">documented, CD20 </w:t>
      </w:r>
      <w:r w:rsidRPr="0052032C">
        <w:rPr>
          <w:lang w:eastAsia="ja-JP"/>
        </w:rPr>
        <w:t xml:space="preserve">positive, indolent </w:t>
      </w:r>
      <w:r w:rsidR="0016371D">
        <w:rPr>
          <w:lang w:eastAsia="ja-JP"/>
        </w:rPr>
        <w:t>B cell</w:t>
      </w:r>
      <w:r w:rsidRPr="0052032C">
        <w:rPr>
          <w:lang w:eastAsia="ja-JP"/>
        </w:rPr>
        <w:t xml:space="preserve"> NHL consisting of one of the following: follicular lymphoma (Grades 1</w:t>
      </w:r>
      <w:r>
        <w:rPr>
          <w:lang w:eastAsia="ja-JP"/>
        </w:rPr>
        <w:t xml:space="preserve"> to </w:t>
      </w:r>
      <w:r w:rsidRPr="0052032C">
        <w:rPr>
          <w:lang w:eastAsia="ja-JP"/>
        </w:rPr>
        <w:t>3a), splenic MZL, nodal MZL, or extranodal MZL</w:t>
      </w:r>
    </w:p>
    <w:p w14:paraId="5BDDAA44" w14:textId="77777777" w:rsidR="0052032C" w:rsidRPr="0052032C" w:rsidRDefault="0052032C" w:rsidP="0052032C">
      <w:pPr>
        <w:pStyle w:val="ListBullet"/>
        <w:rPr>
          <w:lang w:eastAsia="ja-JP"/>
        </w:rPr>
      </w:pPr>
      <w:r w:rsidRPr="0052032C">
        <w:rPr>
          <w:lang w:eastAsia="ja-JP"/>
        </w:rPr>
        <w:t>Stage III or IV disease or Stage II bulky disease (bulky disease is defined as a tumo</w:t>
      </w:r>
      <w:r>
        <w:rPr>
          <w:lang w:eastAsia="ja-JP"/>
        </w:rPr>
        <w:t>u</w:t>
      </w:r>
      <w:r w:rsidRPr="0052032C">
        <w:rPr>
          <w:lang w:eastAsia="ja-JP"/>
        </w:rPr>
        <w:t>r diameter of ≥ 7 cm)</w:t>
      </w:r>
    </w:p>
    <w:p w14:paraId="61D9C978" w14:textId="77777777" w:rsidR="0052032C" w:rsidRPr="0052032C" w:rsidRDefault="0052032C" w:rsidP="0052032C">
      <w:pPr>
        <w:pStyle w:val="ListBullet"/>
        <w:rPr>
          <w:lang w:eastAsia="ja-JP"/>
        </w:rPr>
      </w:pPr>
      <w:r w:rsidRPr="0052032C">
        <w:rPr>
          <w:lang w:eastAsia="ja-JP"/>
        </w:rPr>
        <w:t>At least one bi-dimensionally measurable lesion (&gt; 2 cm in its largest dimension by CT scan or MRI)</w:t>
      </w:r>
      <w:r>
        <w:rPr>
          <w:lang w:eastAsia="ja-JP"/>
        </w:rPr>
        <w:t>.</w:t>
      </w:r>
    </w:p>
    <w:p w14:paraId="7B12E778" w14:textId="77777777" w:rsidR="0052032C" w:rsidRPr="0052032C" w:rsidRDefault="0052032C" w:rsidP="0052032C">
      <w:pPr>
        <w:pStyle w:val="Heading6"/>
        <w:rPr>
          <w:rFonts w:eastAsiaTheme="minorHAnsi"/>
        </w:rPr>
      </w:pPr>
      <w:r w:rsidRPr="0052032C">
        <w:rPr>
          <w:rFonts w:eastAsiaTheme="minorHAnsi"/>
        </w:rPr>
        <w:t xml:space="preserve">Key </w:t>
      </w:r>
      <w:r w:rsidRPr="0052032C">
        <w:t>e</w:t>
      </w:r>
      <w:r w:rsidRPr="0052032C">
        <w:rPr>
          <w:rFonts w:eastAsiaTheme="minorHAnsi"/>
        </w:rPr>
        <w:t xml:space="preserve">xclusion </w:t>
      </w:r>
      <w:r w:rsidRPr="0052032C">
        <w:t>c</w:t>
      </w:r>
      <w:r>
        <w:t>riteria</w:t>
      </w:r>
    </w:p>
    <w:p w14:paraId="1F46CF7F" w14:textId="77777777" w:rsidR="0052032C" w:rsidRPr="0052032C" w:rsidRDefault="0052032C" w:rsidP="0052032C">
      <w:pPr>
        <w:pStyle w:val="ListBullet"/>
        <w:rPr>
          <w:lang w:eastAsia="ja-JP"/>
        </w:rPr>
      </w:pPr>
      <w:r w:rsidRPr="0052032C">
        <w:rPr>
          <w:lang w:eastAsia="ja-JP"/>
        </w:rPr>
        <w:t>For patients with FL: prior treatment for NHL by chemotherapy, immunotherapy, or radiotherapy</w:t>
      </w:r>
    </w:p>
    <w:p w14:paraId="7A92FA00" w14:textId="77777777" w:rsidR="0052032C" w:rsidRPr="0052032C" w:rsidRDefault="0052032C" w:rsidP="0052032C">
      <w:pPr>
        <w:pStyle w:val="ListBullet"/>
        <w:rPr>
          <w:lang w:eastAsia="ja-JP"/>
        </w:rPr>
      </w:pPr>
      <w:r w:rsidRPr="0052032C">
        <w:rPr>
          <w:lang w:eastAsia="ja-JP"/>
        </w:rPr>
        <w:t>Regular treatment with corticosteroids during the 4 weeks prior to the start of Cycle 1, unless administered for indications other than NHL at a dose equivalent to ≤ 30 mg/day prednisone</w:t>
      </w:r>
    </w:p>
    <w:p w14:paraId="738DBB0C" w14:textId="77777777" w:rsidR="0052032C" w:rsidRPr="0052032C" w:rsidRDefault="0052032C" w:rsidP="0052032C">
      <w:pPr>
        <w:pStyle w:val="ListBullet"/>
        <w:rPr>
          <w:b/>
          <w:bCs/>
          <w:lang w:eastAsia="ja-JP"/>
        </w:rPr>
      </w:pPr>
      <w:r w:rsidRPr="0052032C">
        <w:rPr>
          <w:lang w:eastAsia="ja-JP"/>
        </w:rPr>
        <w:t>For patients who will be receiving CHOP: LVEF &lt; 50% by MUGA scan or echocardiogram</w:t>
      </w:r>
      <w:r>
        <w:rPr>
          <w:lang w:eastAsia="ja-JP"/>
        </w:rPr>
        <w:t>.</w:t>
      </w:r>
    </w:p>
    <w:p w14:paraId="1F4DAEAD" w14:textId="77777777" w:rsidR="0052032C" w:rsidRPr="0052032C" w:rsidRDefault="0052032C" w:rsidP="0052032C">
      <w:pPr>
        <w:pStyle w:val="Heading5"/>
        <w:rPr>
          <w:rFonts w:eastAsia="Cambria"/>
          <w:lang w:eastAsia="ja-JP"/>
        </w:rPr>
      </w:pPr>
      <w:bookmarkStart w:id="73" w:name="_Ref474860000"/>
      <w:r w:rsidRPr="0052032C">
        <w:rPr>
          <w:rFonts w:eastAsia="Cambria"/>
          <w:lang w:eastAsia="ja-JP"/>
        </w:rPr>
        <w:t>Study treatments</w:t>
      </w:r>
      <w:bookmarkEnd w:id="73"/>
    </w:p>
    <w:p w14:paraId="0232EB4F" w14:textId="77777777" w:rsidR="0052032C" w:rsidRPr="0052032C" w:rsidRDefault="0052032C" w:rsidP="0052032C">
      <w:pPr>
        <w:pStyle w:val="Heading6"/>
        <w:rPr>
          <w:lang w:eastAsia="ja-JP"/>
        </w:rPr>
      </w:pPr>
      <w:r w:rsidRPr="0052032C">
        <w:rPr>
          <w:lang w:eastAsia="ja-JP"/>
        </w:rPr>
        <w:t>Rituximab</w:t>
      </w:r>
    </w:p>
    <w:p w14:paraId="7679DB9C" w14:textId="77777777" w:rsidR="0052032C" w:rsidRPr="0052032C" w:rsidRDefault="0052032C" w:rsidP="0052032C">
      <w:pPr>
        <w:rPr>
          <w:lang w:eastAsia="ja-JP"/>
        </w:rPr>
      </w:pPr>
      <w:r w:rsidRPr="0052032C">
        <w:rPr>
          <w:lang w:eastAsia="ja-JP"/>
        </w:rPr>
        <w:t xml:space="preserve">In the R-chemo arm, </w:t>
      </w:r>
      <w:r>
        <w:rPr>
          <w:lang w:eastAsia="ja-JP"/>
        </w:rPr>
        <w:t>6</w:t>
      </w:r>
      <w:r w:rsidRPr="0052032C">
        <w:rPr>
          <w:lang w:eastAsia="ja-JP"/>
        </w:rPr>
        <w:t xml:space="preserve"> to </w:t>
      </w:r>
      <w:r>
        <w:rPr>
          <w:lang w:eastAsia="ja-JP"/>
        </w:rPr>
        <w:t>8</w:t>
      </w:r>
      <w:r w:rsidRPr="0052032C">
        <w:rPr>
          <w:lang w:eastAsia="ja-JP"/>
        </w:rPr>
        <w:t xml:space="preserve"> doses of rituximab at 375 mg/m</w:t>
      </w:r>
      <w:r w:rsidRPr="0052032C">
        <w:rPr>
          <w:vertAlign w:val="superscript"/>
          <w:lang w:eastAsia="ja-JP"/>
        </w:rPr>
        <w:t>2</w:t>
      </w:r>
      <w:r w:rsidRPr="0052032C">
        <w:rPr>
          <w:lang w:eastAsia="ja-JP"/>
        </w:rPr>
        <w:t xml:space="preserve"> were administered by </w:t>
      </w:r>
      <w:r>
        <w:rPr>
          <w:lang w:eastAsia="ja-JP"/>
        </w:rPr>
        <w:t>IV </w:t>
      </w:r>
      <w:r w:rsidRPr="0052032C">
        <w:rPr>
          <w:lang w:eastAsia="ja-JP"/>
        </w:rPr>
        <w:t>infusion with the accompanying chemotherapy regimen during induction</w:t>
      </w:r>
      <w:r>
        <w:rPr>
          <w:lang w:eastAsia="ja-JP"/>
        </w:rPr>
        <w:t>.</w:t>
      </w:r>
    </w:p>
    <w:p w14:paraId="3BEAEC6E" w14:textId="77777777" w:rsidR="0052032C" w:rsidRDefault="0052032C" w:rsidP="009E7D81">
      <w:pPr>
        <w:pStyle w:val="ListBullet"/>
      </w:pPr>
      <w:r w:rsidRPr="0052032C">
        <w:t>R-CHOP: Rituximab was administered on Day 1 of Cycles 1</w:t>
      </w:r>
      <w:r>
        <w:t xml:space="preserve"> to </w:t>
      </w:r>
      <w:r w:rsidRPr="0052032C">
        <w:t xml:space="preserve">8 </w:t>
      </w:r>
      <w:r>
        <w:t xml:space="preserve">(21 </w:t>
      </w:r>
      <w:r w:rsidRPr="0052032C">
        <w:t>day cycles). CHOP was administered on Day 1, with prednisone/prednisolone/methylprednisol</w:t>
      </w:r>
      <w:r>
        <w:t xml:space="preserve">one also administered on Days 2 to </w:t>
      </w:r>
      <w:r w:rsidRPr="0052032C">
        <w:t>5, of Cycles 1</w:t>
      </w:r>
      <w:r>
        <w:t xml:space="preserve"> to </w:t>
      </w:r>
      <w:r w:rsidRPr="0052032C">
        <w:t>6</w:t>
      </w:r>
      <w:r>
        <w:t>.</w:t>
      </w:r>
    </w:p>
    <w:p w14:paraId="3E7D1300" w14:textId="077C4952" w:rsidR="0052032C" w:rsidRPr="0052032C" w:rsidRDefault="0052032C" w:rsidP="009E7D81">
      <w:pPr>
        <w:pStyle w:val="ListBullet"/>
      </w:pPr>
      <w:r w:rsidRPr="0052032C">
        <w:t>R-CVP: Rituximab was ad</w:t>
      </w:r>
      <w:r>
        <w:t xml:space="preserve">ministered on Day 1 of Cycles 1 to </w:t>
      </w:r>
      <w:r w:rsidRPr="0052032C">
        <w:t>8 (21</w:t>
      </w:r>
      <w:r w:rsidR="00F13D80">
        <w:t xml:space="preserve"> </w:t>
      </w:r>
      <w:r w:rsidRPr="0052032C">
        <w:t xml:space="preserve">day cycles). CVP was administered on Day 1, with prednisone/prednisolone/methylprednisolone also </w:t>
      </w:r>
      <w:r>
        <w:t xml:space="preserve">administered on Days 2 to 5, of Cycles 1 to </w:t>
      </w:r>
      <w:r w:rsidRPr="0052032C">
        <w:t>8</w:t>
      </w:r>
      <w:r>
        <w:t>.</w:t>
      </w:r>
    </w:p>
    <w:p w14:paraId="5F4EB513" w14:textId="77777777" w:rsidR="0052032C" w:rsidRPr="0052032C" w:rsidRDefault="0052032C" w:rsidP="0052032C">
      <w:pPr>
        <w:pStyle w:val="ListBullet"/>
      </w:pPr>
      <w:r w:rsidRPr="0052032C">
        <w:t>R-bendamustine: Rituximab was ad</w:t>
      </w:r>
      <w:r>
        <w:t xml:space="preserve">ministered on Day 1 of Cycles 1 to 6 (28 </w:t>
      </w:r>
      <w:r w:rsidRPr="0052032C">
        <w:t>day cycles). Bendamustine was administe</w:t>
      </w:r>
      <w:r>
        <w:t xml:space="preserve">red on Days 1 and 2 of Cycles 1 to </w:t>
      </w:r>
      <w:r w:rsidRPr="0052032C">
        <w:t xml:space="preserve">6, with prednisone/prednisolone/methylprednisolone also administered on Day 1 of Cycle </w:t>
      </w:r>
      <w:r>
        <w:t>1.</w:t>
      </w:r>
    </w:p>
    <w:p w14:paraId="69857E14" w14:textId="31315233" w:rsidR="0052032C" w:rsidRPr="0052032C" w:rsidRDefault="0052032C" w:rsidP="0052032C">
      <w:pPr>
        <w:rPr>
          <w:lang w:eastAsia="ja-JP"/>
        </w:rPr>
      </w:pPr>
      <w:r w:rsidRPr="0052032C">
        <w:rPr>
          <w:lang w:eastAsia="ja-JP"/>
        </w:rPr>
        <w:lastRenderedPageBreak/>
        <w:t xml:space="preserve">Patients </w:t>
      </w:r>
      <w:r w:rsidR="00705E66">
        <w:rPr>
          <w:lang w:eastAsia="ja-JP"/>
        </w:rPr>
        <w:t>randomis</w:t>
      </w:r>
      <w:r w:rsidRPr="0052032C">
        <w:rPr>
          <w:lang w:eastAsia="ja-JP"/>
        </w:rPr>
        <w:t>ed to receive R-chemo who achieved a CR or PR at the end of induction therapy continued to receive R-maintenance at 375 mg/m</w:t>
      </w:r>
      <w:r w:rsidRPr="0052032C">
        <w:rPr>
          <w:vertAlign w:val="superscript"/>
          <w:lang w:eastAsia="ja-JP"/>
        </w:rPr>
        <w:t>2</w:t>
      </w:r>
      <w:r w:rsidRPr="0052032C">
        <w:rPr>
          <w:lang w:eastAsia="ja-JP"/>
        </w:rPr>
        <w:t xml:space="preserve"> every 2 months until disease progression, or for 2 years </w:t>
      </w:r>
      <w:r>
        <w:rPr>
          <w:lang w:eastAsia="ja-JP"/>
        </w:rPr>
        <w:t xml:space="preserve">(see Figure 3, above) </w:t>
      </w:r>
      <w:r w:rsidRPr="0052032C">
        <w:rPr>
          <w:lang w:eastAsia="ja-JP"/>
        </w:rPr>
        <w:t>whichever came first.</w:t>
      </w:r>
    </w:p>
    <w:p w14:paraId="4142BFD9" w14:textId="77777777" w:rsidR="0052032C" w:rsidRPr="0052032C" w:rsidRDefault="0052032C" w:rsidP="0052032C">
      <w:pPr>
        <w:pStyle w:val="Heading6"/>
        <w:rPr>
          <w:lang w:eastAsia="ja-JP"/>
        </w:rPr>
      </w:pPr>
      <w:r w:rsidRPr="0052032C">
        <w:rPr>
          <w:lang w:eastAsia="ja-JP"/>
        </w:rPr>
        <w:t>Obinutuzumab</w:t>
      </w:r>
    </w:p>
    <w:p w14:paraId="38C6C7F7" w14:textId="77777777" w:rsidR="0052032C" w:rsidRPr="0052032C" w:rsidRDefault="0052032C" w:rsidP="0052032C">
      <w:pPr>
        <w:rPr>
          <w:lang w:eastAsia="ja-JP"/>
        </w:rPr>
      </w:pPr>
      <w:r w:rsidRPr="0052032C">
        <w:rPr>
          <w:lang w:eastAsia="ja-JP"/>
        </w:rPr>
        <w:t>In the G-chemo arm, eight to ten doses of obinutuzumab at 1000 mg were administered by IV infusion with the accompanying chemoth</w:t>
      </w:r>
      <w:r>
        <w:rPr>
          <w:lang w:eastAsia="ja-JP"/>
        </w:rPr>
        <w:t>erapy regimen during induction.</w:t>
      </w:r>
    </w:p>
    <w:p w14:paraId="3CF22A4B" w14:textId="77777777" w:rsidR="0052032C" w:rsidRPr="0052032C" w:rsidRDefault="0052032C" w:rsidP="0052032C">
      <w:pPr>
        <w:pStyle w:val="ListBullet"/>
        <w:rPr>
          <w:lang w:eastAsia="ja-JP"/>
        </w:rPr>
      </w:pPr>
      <w:r w:rsidRPr="0052032C">
        <w:rPr>
          <w:lang w:eastAsia="ja-JP"/>
        </w:rPr>
        <w:t>G-CHOP: Obinutuzumab was administered on Days 1, 8, and 15 of Cycle 1 and on Day 1 of Cycles 2</w:t>
      </w:r>
      <w:r>
        <w:rPr>
          <w:lang w:eastAsia="ja-JP"/>
        </w:rPr>
        <w:t xml:space="preserve"> to </w:t>
      </w:r>
      <w:r w:rsidRPr="0052032C">
        <w:rPr>
          <w:lang w:eastAsia="ja-JP"/>
        </w:rPr>
        <w:t>8 (21</w:t>
      </w:r>
      <w:r>
        <w:rPr>
          <w:lang w:eastAsia="ja-JP"/>
        </w:rPr>
        <w:t xml:space="preserve"> </w:t>
      </w:r>
      <w:r w:rsidRPr="0052032C">
        <w:rPr>
          <w:lang w:eastAsia="ja-JP"/>
        </w:rPr>
        <w:t>day cycles). CHOP was administered on Day 1, with prednisone/prednisolone/methylprednisol</w:t>
      </w:r>
      <w:r>
        <w:rPr>
          <w:lang w:eastAsia="ja-JP"/>
        </w:rPr>
        <w:t xml:space="preserve">one also administered on Days 2 to </w:t>
      </w:r>
      <w:r w:rsidRPr="0052032C">
        <w:rPr>
          <w:lang w:eastAsia="ja-JP"/>
        </w:rPr>
        <w:t>5 of Cycles 1</w:t>
      </w:r>
      <w:r>
        <w:rPr>
          <w:lang w:eastAsia="ja-JP"/>
        </w:rPr>
        <w:t xml:space="preserve"> to </w:t>
      </w:r>
      <w:r w:rsidRPr="0052032C">
        <w:rPr>
          <w:lang w:eastAsia="ja-JP"/>
        </w:rPr>
        <w:t>6</w:t>
      </w:r>
      <w:r>
        <w:rPr>
          <w:lang w:eastAsia="ja-JP"/>
        </w:rPr>
        <w:t>.</w:t>
      </w:r>
    </w:p>
    <w:p w14:paraId="314D57BD" w14:textId="77777777" w:rsidR="0052032C" w:rsidRDefault="0052032C" w:rsidP="0052032C">
      <w:pPr>
        <w:pStyle w:val="ListBullet"/>
        <w:rPr>
          <w:lang w:eastAsia="ja-JP"/>
        </w:rPr>
      </w:pPr>
      <w:r w:rsidRPr="0052032C">
        <w:rPr>
          <w:lang w:eastAsia="ja-JP"/>
        </w:rPr>
        <w:t xml:space="preserve">G-CVP: Obinutuzumab was administered on Days 1, 8, and 15 of Cycle 1 and on Day </w:t>
      </w:r>
      <w:r>
        <w:rPr>
          <w:lang w:eastAsia="ja-JP"/>
        </w:rPr>
        <w:t xml:space="preserve">1 of Cycles 2 to </w:t>
      </w:r>
      <w:r w:rsidRPr="0052032C">
        <w:rPr>
          <w:lang w:eastAsia="ja-JP"/>
        </w:rPr>
        <w:t>8 (21</w:t>
      </w:r>
      <w:r>
        <w:rPr>
          <w:lang w:eastAsia="ja-JP"/>
        </w:rPr>
        <w:t xml:space="preserve"> </w:t>
      </w:r>
      <w:r w:rsidRPr="0052032C">
        <w:rPr>
          <w:lang w:eastAsia="ja-JP"/>
        </w:rPr>
        <w:t>day cycles). CVP was administered on Day 1, with prednisone/prednisolone/methylprednisolone also administered on Days 2</w:t>
      </w:r>
      <w:r>
        <w:rPr>
          <w:lang w:eastAsia="ja-JP"/>
        </w:rPr>
        <w:t xml:space="preserve"> to </w:t>
      </w:r>
      <w:r w:rsidRPr="0052032C">
        <w:rPr>
          <w:lang w:eastAsia="ja-JP"/>
        </w:rPr>
        <w:t>5 of Cycles 1</w:t>
      </w:r>
      <w:r>
        <w:rPr>
          <w:lang w:eastAsia="ja-JP"/>
        </w:rPr>
        <w:t xml:space="preserve"> to </w:t>
      </w:r>
      <w:r w:rsidRPr="0052032C">
        <w:rPr>
          <w:lang w:eastAsia="ja-JP"/>
        </w:rPr>
        <w:t>8</w:t>
      </w:r>
      <w:r>
        <w:rPr>
          <w:lang w:eastAsia="ja-JP"/>
        </w:rPr>
        <w:t>.</w:t>
      </w:r>
    </w:p>
    <w:p w14:paraId="7F2BB4FD" w14:textId="1FAC5132" w:rsidR="0052032C" w:rsidRPr="0052032C" w:rsidRDefault="0052032C" w:rsidP="0052032C">
      <w:pPr>
        <w:pStyle w:val="ListBullet"/>
        <w:rPr>
          <w:lang w:eastAsia="ja-JP"/>
        </w:rPr>
      </w:pPr>
      <w:r w:rsidRPr="0052032C">
        <w:rPr>
          <w:lang w:eastAsia="ja-JP"/>
        </w:rPr>
        <w:t>G-bendamustine: Obinutuzumab was administered on Days 1, 8, and 15 of Cycle 1 and on Day 1 of Cycles 2</w:t>
      </w:r>
      <w:r w:rsidR="007876FE">
        <w:rPr>
          <w:lang w:eastAsia="ja-JP"/>
        </w:rPr>
        <w:t xml:space="preserve"> to </w:t>
      </w:r>
      <w:r w:rsidRPr="0052032C">
        <w:rPr>
          <w:lang w:eastAsia="ja-JP"/>
        </w:rPr>
        <w:t>6 (28</w:t>
      </w:r>
      <w:r w:rsidR="007876FE">
        <w:rPr>
          <w:lang w:eastAsia="ja-JP"/>
        </w:rPr>
        <w:t xml:space="preserve"> </w:t>
      </w:r>
      <w:r w:rsidRPr="0052032C">
        <w:rPr>
          <w:lang w:eastAsia="ja-JP"/>
        </w:rPr>
        <w:t>day cycles). Bendamustine was administered on Days 1 and 2 of C</w:t>
      </w:r>
      <w:r>
        <w:rPr>
          <w:lang w:eastAsia="ja-JP"/>
        </w:rPr>
        <w:t xml:space="preserve">ycles 1 to </w:t>
      </w:r>
      <w:r w:rsidRPr="0052032C">
        <w:rPr>
          <w:lang w:eastAsia="ja-JP"/>
        </w:rPr>
        <w:t>6, with prednisone/prednisolone/methylprednisolone administered on Day 1 of Cycle 1</w:t>
      </w:r>
      <w:r>
        <w:rPr>
          <w:lang w:eastAsia="ja-JP"/>
        </w:rPr>
        <w:t>.</w:t>
      </w:r>
    </w:p>
    <w:p w14:paraId="4ACB4B1D" w14:textId="77777777" w:rsidR="0052032C" w:rsidRPr="0052032C" w:rsidRDefault="0052032C" w:rsidP="0052032C">
      <w:pPr>
        <w:rPr>
          <w:lang w:eastAsia="ja-JP"/>
        </w:rPr>
      </w:pPr>
      <w:r w:rsidRPr="0052032C">
        <w:rPr>
          <w:lang w:eastAsia="ja-JP"/>
        </w:rPr>
        <w:t>Patients randomi</w:t>
      </w:r>
      <w:r>
        <w:rPr>
          <w:lang w:eastAsia="ja-JP"/>
        </w:rPr>
        <w:t>s</w:t>
      </w:r>
      <w:r w:rsidRPr="0052032C">
        <w:rPr>
          <w:lang w:eastAsia="ja-JP"/>
        </w:rPr>
        <w:t>ed to receive G-chemo who achieved a CR or PR at the end of induction therapy continued to receive G-maintenance</w:t>
      </w:r>
      <w:r w:rsidRPr="0052032C">
        <w:rPr>
          <w:i/>
          <w:lang w:eastAsia="ja-JP"/>
        </w:rPr>
        <w:t xml:space="preserve"> </w:t>
      </w:r>
      <w:r w:rsidRPr="0052032C">
        <w:rPr>
          <w:lang w:eastAsia="ja-JP"/>
        </w:rPr>
        <w:t>at 1000 mg every 2 months until disease progression, or for 2 years whichever came first</w:t>
      </w:r>
      <w:r>
        <w:rPr>
          <w:lang w:eastAsia="ja-JP"/>
        </w:rPr>
        <w:t xml:space="preserve"> </w:t>
      </w:r>
      <w:r w:rsidRPr="0052032C">
        <w:rPr>
          <w:lang w:eastAsia="ja-JP"/>
        </w:rPr>
        <w:t>(</w:t>
      </w:r>
      <w:r>
        <w:rPr>
          <w:lang w:eastAsia="ja-JP"/>
        </w:rPr>
        <w:t>see Figure 3, above).</w:t>
      </w:r>
    </w:p>
    <w:p w14:paraId="740D8574" w14:textId="30B3BBF0" w:rsidR="0052032C" w:rsidRPr="0052032C" w:rsidRDefault="0052032C" w:rsidP="0052032C">
      <w:pPr>
        <w:rPr>
          <w:lang w:eastAsia="ja-JP"/>
        </w:rPr>
      </w:pPr>
      <w:r w:rsidRPr="0052032C">
        <w:rPr>
          <w:lang w:eastAsia="ja-JP"/>
        </w:rPr>
        <w:t>The dose of obinutuzumab (induction and maintenance) is unchanged from the currently recommended dose in previously treated FL.</w:t>
      </w:r>
    </w:p>
    <w:p w14:paraId="45C59EE3" w14:textId="77777777" w:rsidR="0052032C" w:rsidRPr="0052032C" w:rsidRDefault="0052032C" w:rsidP="0052032C">
      <w:pPr>
        <w:pStyle w:val="Heading5"/>
        <w:rPr>
          <w:rFonts w:eastAsia="Cambria"/>
          <w:lang w:eastAsia="ja-JP"/>
        </w:rPr>
      </w:pPr>
      <w:bookmarkStart w:id="74" w:name="_Ref475031694"/>
      <w:r w:rsidRPr="0052032C">
        <w:rPr>
          <w:rFonts w:eastAsia="Cambria"/>
          <w:lang w:eastAsia="ja-JP"/>
        </w:rPr>
        <w:t>Efficacy variables and outcomes</w:t>
      </w:r>
      <w:bookmarkEnd w:id="74"/>
    </w:p>
    <w:p w14:paraId="496D4C19" w14:textId="1859F416" w:rsidR="0052032C" w:rsidRPr="0052032C" w:rsidRDefault="0052032C" w:rsidP="0052032C">
      <w:pPr>
        <w:rPr>
          <w:bCs/>
          <w:lang w:eastAsia="ja-JP"/>
        </w:rPr>
      </w:pPr>
      <w:r w:rsidRPr="0052032C">
        <w:rPr>
          <w:bCs/>
          <w:lang w:eastAsia="ja-JP"/>
        </w:rPr>
        <w:t xml:space="preserve">The primary efficacy outcome/endpoint was PFS </w:t>
      </w:r>
      <w:r w:rsidRPr="0052032C">
        <w:rPr>
          <w:lang w:eastAsia="ja-JP"/>
        </w:rPr>
        <w:t>as assessed by the investigator according</w:t>
      </w:r>
      <w:r w:rsidRPr="0052032C">
        <w:rPr>
          <w:bCs/>
          <w:lang w:eastAsia="ja-JP"/>
        </w:rPr>
        <w:t xml:space="preserve"> to a modified version of the Revised Response Criteria for Malignant Lymphoma (Cheson et al., 2007). The key ‘modification’ made to the 2007 criteria was to allow response assessments to be made using CT scans only (without PET). PFS is defined as the time from </w:t>
      </w:r>
      <w:r w:rsidR="00705E66">
        <w:rPr>
          <w:bCs/>
          <w:lang w:eastAsia="ja-JP"/>
        </w:rPr>
        <w:t>randomis</w:t>
      </w:r>
      <w:r w:rsidRPr="0052032C">
        <w:rPr>
          <w:bCs/>
          <w:lang w:eastAsia="ja-JP"/>
        </w:rPr>
        <w:t xml:space="preserve">ation to the first occurrence of progression, relapse, or death from any cause, where symptomatic deterioration and disease transformation are counted as a progression throughout. PFS for patients without disease progression, relapse, or death will be censored at the time of the last </w:t>
      </w:r>
      <w:r w:rsidR="00BB2C5B">
        <w:rPr>
          <w:bCs/>
          <w:lang w:eastAsia="ja-JP"/>
        </w:rPr>
        <w:t>tumour</w:t>
      </w:r>
      <w:r w:rsidRPr="0052032C">
        <w:rPr>
          <w:bCs/>
          <w:lang w:eastAsia="ja-JP"/>
        </w:rPr>
        <w:t xml:space="preserve"> assessment or, if no </w:t>
      </w:r>
      <w:r w:rsidR="00BB2C5B">
        <w:rPr>
          <w:bCs/>
          <w:lang w:eastAsia="ja-JP"/>
        </w:rPr>
        <w:t>tumour</w:t>
      </w:r>
      <w:r w:rsidRPr="0052032C">
        <w:rPr>
          <w:bCs/>
          <w:lang w:eastAsia="ja-JP"/>
        </w:rPr>
        <w:t xml:space="preserve"> assessments were performed after the baseline visit, on the date of randomi</w:t>
      </w:r>
      <w:r>
        <w:rPr>
          <w:bCs/>
          <w:lang w:eastAsia="ja-JP"/>
        </w:rPr>
        <w:t>s</w:t>
      </w:r>
      <w:r w:rsidRPr="0052032C">
        <w:rPr>
          <w:bCs/>
          <w:lang w:eastAsia="ja-JP"/>
        </w:rPr>
        <w:t>ation.</w:t>
      </w:r>
    </w:p>
    <w:p w14:paraId="010D2890" w14:textId="762842A7" w:rsidR="0052032C" w:rsidRPr="0052032C" w:rsidRDefault="0052032C" w:rsidP="0052032C">
      <w:pPr>
        <w:rPr>
          <w:bCs/>
          <w:lang w:eastAsia="ja-JP"/>
        </w:rPr>
      </w:pPr>
      <w:r w:rsidRPr="0052032C">
        <w:rPr>
          <w:bCs/>
          <w:lang w:eastAsia="ja-JP"/>
        </w:rPr>
        <w:t xml:space="preserve">Important </w:t>
      </w:r>
      <w:r w:rsidRPr="0052032C">
        <w:rPr>
          <w:lang w:eastAsia="ja-JP"/>
        </w:rPr>
        <w:t>secondary efficacy outcomes</w:t>
      </w:r>
      <w:r w:rsidRPr="0052032C">
        <w:rPr>
          <w:bCs/>
          <w:lang w:eastAsia="ja-JP"/>
        </w:rPr>
        <w:t xml:space="preserve"> included </w:t>
      </w:r>
      <w:r w:rsidRPr="0052032C">
        <w:rPr>
          <w:lang w:eastAsia="ja-JP"/>
        </w:rPr>
        <w:t xml:space="preserve">overall response (OR) and complete response (CR) after the end of induction treatment, as assessed by the investigator and IRC, between the </w:t>
      </w:r>
      <w:r w:rsidR="008531A2">
        <w:rPr>
          <w:lang w:eastAsia="ja-JP"/>
        </w:rPr>
        <w:t>2</w:t>
      </w:r>
      <w:r w:rsidRPr="0052032C">
        <w:rPr>
          <w:lang w:eastAsia="ja-JP"/>
        </w:rPr>
        <w:t xml:space="preserve"> arms with and without FDG-PET. Furthermore</w:t>
      </w:r>
      <w:r>
        <w:rPr>
          <w:lang w:eastAsia="ja-JP"/>
        </w:rPr>
        <w:t>,</w:t>
      </w:r>
      <w:r w:rsidRPr="0052032C">
        <w:rPr>
          <w:lang w:eastAsia="ja-JP"/>
        </w:rPr>
        <w:t xml:space="preserve"> to assess</w:t>
      </w:r>
      <w:r w:rsidRPr="0052032C">
        <w:rPr>
          <w:bCs/>
          <w:lang w:eastAsia="ja-JP"/>
        </w:rPr>
        <w:t xml:space="preserve"> overall survival (OS), event-free survival (EFS), disease-free survival (DFS), duration of response (DOR), and time to next anti</w:t>
      </w:r>
      <w:r w:rsidR="007876FE">
        <w:rPr>
          <w:bCs/>
          <w:lang w:eastAsia="ja-JP"/>
        </w:rPr>
        <w:noBreakHyphen/>
      </w:r>
      <w:r w:rsidRPr="0052032C">
        <w:rPr>
          <w:bCs/>
          <w:lang w:eastAsia="ja-JP"/>
        </w:rPr>
        <w:t xml:space="preserve">lymphoma treatment (TTNLT) between the </w:t>
      </w:r>
      <w:r w:rsidR="008531A2">
        <w:rPr>
          <w:bCs/>
          <w:lang w:eastAsia="ja-JP"/>
        </w:rPr>
        <w:t>2</w:t>
      </w:r>
      <w:r w:rsidRPr="0052032C">
        <w:rPr>
          <w:bCs/>
          <w:lang w:eastAsia="ja-JP"/>
        </w:rPr>
        <w:t xml:space="preserve"> arms. EFS, DFS, and DOR are based on investigator assessment.</w:t>
      </w:r>
    </w:p>
    <w:p w14:paraId="70D9C8BE" w14:textId="77777777" w:rsidR="0052032C" w:rsidRPr="0052032C" w:rsidRDefault="0052032C" w:rsidP="0052032C">
      <w:pPr>
        <w:pStyle w:val="Heading6"/>
        <w:rPr>
          <w:lang w:eastAsia="ja-JP"/>
        </w:rPr>
      </w:pPr>
      <w:r w:rsidRPr="0052032C">
        <w:rPr>
          <w:lang w:eastAsia="ja-JP"/>
        </w:rPr>
        <w:t>Schedule of assessments</w:t>
      </w:r>
    </w:p>
    <w:p w14:paraId="6DF71636" w14:textId="0191E9CC" w:rsidR="0052032C" w:rsidRPr="0052032C" w:rsidRDefault="0052032C" w:rsidP="0052032C">
      <w:pPr>
        <w:rPr>
          <w:b/>
          <w:lang w:eastAsia="ja-JP"/>
        </w:rPr>
      </w:pPr>
      <w:r w:rsidRPr="0052032C">
        <w:rPr>
          <w:lang w:eastAsia="ja-JP"/>
        </w:rPr>
        <w:t>Patients were assessed for response and progression once during induction therapy and at EOI. Patients who received maintenance therapy or entered observation were followed clinically every 2 months for 2 years (with CT scans every 4 months for the first year and then every 6</w:t>
      </w:r>
      <w:r w:rsidR="007876FE">
        <w:rPr>
          <w:lang w:eastAsia="ja-JP"/>
        </w:rPr>
        <w:t> </w:t>
      </w:r>
      <w:r w:rsidRPr="0052032C">
        <w:rPr>
          <w:lang w:eastAsia="ja-JP"/>
        </w:rPr>
        <w:t>months for the second year) or until disease progression or patient discontinuation from the study, whichever occurred first.</w:t>
      </w:r>
    </w:p>
    <w:p w14:paraId="3B1BFE4B" w14:textId="77777777" w:rsidR="0052032C" w:rsidRPr="0052032C" w:rsidRDefault="0052032C" w:rsidP="0052032C">
      <w:pPr>
        <w:rPr>
          <w:lang w:eastAsia="ja-JP"/>
        </w:rPr>
      </w:pPr>
      <w:r w:rsidRPr="0052032C">
        <w:rPr>
          <w:lang w:eastAsia="ja-JP"/>
        </w:rPr>
        <w:t xml:space="preserve">In addition, bone marrow trephines were mandatory at screening for all patients with FL and, if positive at screening, for those with a CR at EOI. Bone marrow aspirates were also required at </w:t>
      </w:r>
      <w:r w:rsidRPr="0052032C">
        <w:rPr>
          <w:lang w:eastAsia="ja-JP"/>
        </w:rPr>
        <w:lastRenderedPageBreak/>
        <w:t>screening and subsequently in patients achieving a CR or PR for evaluation of minimal residual disease.</w:t>
      </w:r>
    </w:p>
    <w:p w14:paraId="3BF753A5" w14:textId="0C44CE19" w:rsidR="0052032C" w:rsidRPr="0052032C" w:rsidRDefault="0052032C" w:rsidP="0052032C">
      <w:pPr>
        <w:rPr>
          <w:lang w:eastAsia="ja-JP"/>
        </w:rPr>
      </w:pPr>
      <w:r w:rsidRPr="0052032C">
        <w:rPr>
          <w:vertAlign w:val="superscript"/>
          <w:lang w:eastAsia="ja-JP"/>
        </w:rPr>
        <w:t>18</w:t>
      </w:r>
      <w:r w:rsidRPr="0052032C">
        <w:rPr>
          <w:lang w:eastAsia="ja-JP"/>
        </w:rPr>
        <w:t>F fluorodeoxyglucose PET scans were performed at screening and at induction completion/end of treatment (EOT) visit (only if screening PET was positive) in sites wi</w:t>
      </w:r>
      <w:r>
        <w:rPr>
          <w:lang w:eastAsia="ja-JP"/>
        </w:rPr>
        <w:t xml:space="preserve">th access to a PET scanner. INV and IRC </w:t>
      </w:r>
      <w:r w:rsidRPr="0052032C">
        <w:rPr>
          <w:lang w:eastAsia="ja-JP"/>
        </w:rPr>
        <w:t xml:space="preserve">assessed response with and without PET data </w:t>
      </w:r>
      <w:r w:rsidR="008E396E" w:rsidRPr="0052032C">
        <w:rPr>
          <w:lang w:eastAsia="ja-JP"/>
        </w:rPr>
        <w:t>were</w:t>
      </w:r>
      <w:r w:rsidRPr="0052032C">
        <w:rPr>
          <w:lang w:eastAsia="ja-JP"/>
        </w:rPr>
        <w:t xml:space="preserve"> evaluated in the study but, since PET scans were not available for all patients, results without inclusion of PET were the basis for the main efficacy endpoints in the study.</w:t>
      </w:r>
    </w:p>
    <w:p w14:paraId="1A50B6F6" w14:textId="55C2E497" w:rsidR="0052032C" w:rsidRPr="0052032C" w:rsidRDefault="00BB2C5B" w:rsidP="0052032C">
      <w:pPr>
        <w:pStyle w:val="Heading6"/>
        <w:rPr>
          <w:lang w:eastAsia="ja-JP"/>
        </w:rPr>
      </w:pPr>
      <w:r>
        <w:rPr>
          <w:lang w:eastAsia="ja-JP"/>
        </w:rPr>
        <w:t>Tumour</w:t>
      </w:r>
      <w:r w:rsidR="0052032C">
        <w:rPr>
          <w:lang w:eastAsia="ja-JP"/>
        </w:rPr>
        <w:t xml:space="preserve"> and response e</w:t>
      </w:r>
      <w:r w:rsidR="0052032C" w:rsidRPr="0052032C">
        <w:rPr>
          <w:lang w:eastAsia="ja-JP"/>
        </w:rPr>
        <w:t>valuation</w:t>
      </w:r>
    </w:p>
    <w:p w14:paraId="2587C2ED" w14:textId="1B71F82E" w:rsidR="0052032C" w:rsidRPr="0052032C" w:rsidRDefault="0052032C" w:rsidP="0052032C">
      <w:pPr>
        <w:pStyle w:val="ListBullet"/>
        <w:rPr>
          <w:lang w:eastAsia="ja-JP"/>
        </w:rPr>
      </w:pPr>
      <w:r w:rsidRPr="0052032C">
        <w:rPr>
          <w:lang w:eastAsia="ja-JP"/>
        </w:rPr>
        <w:t xml:space="preserve">All measurable disease must be documented </w:t>
      </w:r>
      <w:r>
        <w:rPr>
          <w:lang w:eastAsia="ja-JP"/>
        </w:rPr>
        <w:t>at Baseline</w:t>
      </w:r>
      <w:r w:rsidRPr="0052032C">
        <w:rPr>
          <w:lang w:eastAsia="ja-JP"/>
        </w:rPr>
        <w:t xml:space="preserve"> and re-assessed within 14 days prior to each subsequent study visit. Response assessments will be performed by the investigator, based on physical examinations, CT/MRI scans, h</w:t>
      </w:r>
      <w:r w:rsidR="00705E66">
        <w:rPr>
          <w:lang w:eastAsia="ja-JP"/>
        </w:rPr>
        <w:t>a</w:t>
      </w:r>
      <w:r w:rsidRPr="0052032C">
        <w:rPr>
          <w:lang w:eastAsia="ja-JP"/>
        </w:rPr>
        <w:t>ematology, laboratory results, and bone marrow examinations, through use of Revised Response Criteria for Malignant Lymphoma (Cheson et al. 2007). Response evaluation by the investigator shall be done with and without FDG-PET results or the PET portion of a combined PET-CT in the eCRF.</w:t>
      </w:r>
    </w:p>
    <w:p w14:paraId="644DC37B" w14:textId="30C85883" w:rsidR="0052032C" w:rsidRPr="0052032C" w:rsidRDefault="0052032C" w:rsidP="0052032C">
      <w:pPr>
        <w:pStyle w:val="ListBullet"/>
        <w:rPr>
          <w:lang w:eastAsia="ja-JP"/>
        </w:rPr>
      </w:pPr>
      <w:r w:rsidRPr="0052032C">
        <w:rPr>
          <w:lang w:eastAsia="ja-JP"/>
        </w:rPr>
        <w:t>CT scans (with contrast) should include chest, abdomen, and pelvis scans; CT scans of the neck should be included if clinically indicated (</w:t>
      </w:r>
      <w:r w:rsidR="00705E66">
        <w:rPr>
          <w:lang w:eastAsia="ja-JP"/>
        </w:rPr>
        <w:t>that is,</w:t>
      </w:r>
      <w:r w:rsidRPr="0052032C">
        <w:rPr>
          <w:lang w:eastAsia="ja-JP"/>
        </w:rPr>
        <w:t xml:space="preserve"> if evidence of disease on physical examination) and must be followed throughout the trial if there is disease involvement </w:t>
      </w:r>
      <w:r>
        <w:rPr>
          <w:lang w:eastAsia="ja-JP"/>
        </w:rPr>
        <w:t>at Baseline</w:t>
      </w:r>
      <w:r w:rsidRPr="0052032C">
        <w:rPr>
          <w:lang w:eastAsia="ja-JP"/>
        </w:rPr>
        <w:t xml:space="preserve">. MRIs of the chest, abdomen, and pelvis with a non-contrast CT scan of the chest may be used in patients for whom CT scans with contrast are </w:t>
      </w:r>
      <w:r w:rsidRPr="008E396E">
        <w:rPr>
          <w:lang w:eastAsia="ja-JP"/>
        </w:rPr>
        <w:t>contraindicated (</w:t>
      </w:r>
      <w:r w:rsidR="004A481D" w:rsidRPr="008E396E">
        <w:rPr>
          <w:lang w:eastAsia="ja-JP"/>
        </w:rPr>
        <w:t xml:space="preserve">that </w:t>
      </w:r>
      <w:proofErr w:type="gramStart"/>
      <w:r w:rsidR="004A481D" w:rsidRPr="008E396E">
        <w:rPr>
          <w:lang w:eastAsia="ja-JP"/>
        </w:rPr>
        <w:t>is,</w:t>
      </w:r>
      <w:proofErr w:type="gramEnd"/>
      <w:r w:rsidRPr="0052032C">
        <w:rPr>
          <w:lang w:eastAsia="ja-JP"/>
        </w:rPr>
        <w:t xml:space="preserve"> patients with contrast allergy or impaired renal clearance). If MRI is used at screening, then MRI should be used throughout the study (same method during the entire study). In addition, the CT portion of a combined FDG-PET/CT scan may be used only if performed with contrast and collected with resolution sufficient to allow accurate and consistent comparison of target lesion measurements with subsequent CT scans. Any time the investigator suspects disease progression, a full </w:t>
      </w:r>
      <w:r w:rsidR="00BB2C5B">
        <w:rPr>
          <w:lang w:eastAsia="ja-JP"/>
        </w:rPr>
        <w:t>tumour</w:t>
      </w:r>
      <w:r w:rsidRPr="0052032C">
        <w:rPr>
          <w:lang w:eastAsia="ja-JP"/>
        </w:rPr>
        <w:t xml:space="preserve"> assessment must be performed, including a CT scan (limited to areas of prior involvement if required by local authorities).</w:t>
      </w:r>
    </w:p>
    <w:p w14:paraId="1651272B" w14:textId="77777777" w:rsidR="0052032C" w:rsidRPr="0052032C" w:rsidRDefault="0052032C" w:rsidP="0052032C">
      <w:pPr>
        <w:pStyle w:val="ListBullet2"/>
        <w:rPr>
          <w:lang w:eastAsia="ja-JP"/>
        </w:rPr>
      </w:pPr>
      <w:r w:rsidRPr="0052032C">
        <w:rPr>
          <w:lang w:eastAsia="ja-JP"/>
        </w:rPr>
        <w:t>In the first 170 patients with follicular lymphoma, an FDG-PET is mandatory where a PET scanner is available. This may require specific approval in some countries. In such instances, FDG-PET becomes mandatory only after necessary approvals have been obtained.</w:t>
      </w:r>
    </w:p>
    <w:p w14:paraId="42585C29" w14:textId="77777777" w:rsidR="0052032C" w:rsidRPr="0052032C" w:rsidRDefault="0052032C" w:rsidP="0052032C">
      <w:pPr>
        <w:pStyle w:val="ListBullet"/>
        <w:rPr>
          <w:lang w:eastAsia="ja-JP"/>
        </w:rPr>
      </w:pPr>
      <w:r w:rsidRPr="0052032C">
        <w:rPr>
          <w:lang w:eastAsia="ja-JP"/>
        </w:rPr>
        <w:t>PET scans are to be performed at screening and at induction completion/end of treatment visit (only if scree</w:t>
      </w:r>
      <w:r>
        <w:rPr>
          <w:lang w:eastAsia="ja-JP"/>
        </w:rPr>
        <w:t xml:space="preserve">ning PET was positive) within 6 to </w:t>
      </w:r>
      <w:r w:rsidRPr="0052032C">
        <w:rPr>
          <w:lang w:eastAsia="ja-JP"/>
        </w:rPr>
        <w:t xml:space="preserve">8 weeks after Day 1 </w:t>
      </w:r>
      <w:r>
        <w:rPr>
          <w:lang w:eastAsia="ja-JP"/>
        </w:rPr>
        <w:t xml:space="preserve">of the last cycle, within 4 to </w:t>
      </w:r>
      <w:r w:rsidRPr="0052032C">
        <w:rPr>
          <w:lang w:eastAsia="ja-JP"/>
        </w:rPr>
        <w:t>8 weeks (in case of early termination due</w:t>
      </w:r>
      <w:r>
        <w:rPr>
          <w:lang w:eastAsia="ja-JP"/>
        </w:rPr>
        <w:t xml:space="preserve"> to adverse event), or within 2 to 8 </w:t>
      </w:r>
      <w:r w:rsidRPr="0052032C">
        <w:rPr>
          <w:lang w:eastAsia="ja-JP"/>
        </w:rPr>
        <w:t>weeks after last dose (in case of early termination due to clinical disease progression).</w:t>
      </w:r>
    </w:p>
    <w:p w14:paraId="52D46BEE" w14:textId="77777777" w:rsidR="0052032C" w:rsidRPr="0052032C" w:rsidRDefault="0052032C" w:rsidP="0052032C">
      <w:pPr>
        <w:pStyle w:val="ListBullet"/>
        <w:rPr>
          <w:lang w:eastAsia="ja-JP"/>
        </w:rPr>
      </w:pPr>
      <w:r w:rsidRPr="0052032C">
        <w:rPr>
          <w:lang w:eastAsia="ja-JP"/>
        </w:rPr>
        <w:t>In the overall study population, FDG-PET remains optional upon investigator’s discretion.</w:t>
      </w:r>
    </w:p>
    <w:p w14:paraId="3A3D7DE6" w14:textId="25C1BC86" w:rsidR="0052032C" w:rsidRPr="0052032C" w:rsidRDefault="0052032C" w:rsidP="0052032C">
      <w:pPr>
        <w:pStyle w:val="ListBullet"/>
        <w:rPr>
          <w:lang w:eastAsia="ja-JP"/>
        </w:rPr>
      </w:pPr>
      <w:r w:rsidRPr="0052032C">
        <w:rPr>
          <w:lang w:eastAsia="ja-JP"/>
        </w:rPr>
        <w:t xml:space="preserve">If the screening PET scan is negative, subsequent FDG-PET scans need not be performed. Any time the investigator suspects disease progression on the basis of PET scan results, a full </w:t>
      </w:r>
      <w:r w:rsidR="00BB2C5B">
        <w:rPr>
          <w:lang w:eastAsia="ja-JP"/>
        </w:rPr>
        <w:t>tumour</w:t>
      </w:r>
      <w:r w:rsidRPr="0052032C">
        <w:rPr>
          <w:lang w:eastAsia="ja-JP"/>
        </w:rPr>
        <w:t xml:space="preserve"> assessment must be performed, including a CT scan (or MRI scan if CT scan is contraindicated), limited to areas of prior involvement (if required by local authorities to limit scans). FDG-PET standardi</w:t>
      </w:r>
      <w:r w:rsidR="007876FE">
        <w:rPr>
          <w:lang w:eastAsia="ja-JP"/>
        </w:rPr>
        <w:t>s</w:t>
      </w:r>
      <w:r w:rsidRPr="0052032C">
        <w:rPr>
          <w:lang w:eastAsia="ja-JP"/>
        </w:rPr>
        <w:t>ed uptake values will be collected.</w:t>
      </w:r>
    </w:p>
    <w:p w14:paraId="6413C4BB" w14:textId="77777777" w:rsidR="0052032C" w:rsidRPr="0052032C" w:rsidRDefault="0052032C" w:rsidP="0052032C">
      <w:pPr>
        <w:pStyle w:val="ListBullet"/>
        <w:rPr>
          <w:lang w:eastAsia="ja-JP"/>
        </w:rPr>
      </w:pPr>
      <w:r w:rsidRPr="0052032C">
        <w:rPr>
          <w:lang w:eastAsia="ja-JP"/>
        </w:rPr>
        <w:t>FDG-PET scan results will be incorporated in an exploratory analysis in a separate response assessment based on physical examinations, relevant clinical information, CT or MRI scans, and bone marrow examinations by the investigator and the IRC.</w:t>
      </w:r>
    </w:p>
    <w:p w14:paraId="656F3484" w14:textId="13B85E46" w:rsidR="0052032C" w:rsidRPr="0052032C" w:rsidRDefault="0052032C" w:rsidP="0052032C">
      <w:pPr>
        <w:pStyle w:val="ListBullet"/>
        <w:rPr>
          <w:lang w:eastAsia="ja-JP"/>
        </w:rPr>
      </w:pPr>
      <w:r w:rsidRPr="0052032C">
        <w:rPr>
          <w:lang w:eastAsia="ja-JP"/>
        </w:rPr>
        <w:t>Bone marrow examinations should include a biopsy for morphology, an aspirate for local h</w:t>
      </w:r>
      <w:r w:rsidR="00705E66">
        <w:rPr>
          <w:lang w:eastAsia="ja-JP"/>
        </w:rPr>
        <w:t>a</w:t>
      </w:r>
      <w:r w:rsidRPr="0052032C">
        <w:rPr>
          <w:lang w:eastAsia="ja-JP"/>
        </w:rPr>
        <w:t xml:space="preserve">ematology (optional, if part of standard of care at site), and an aspirate for </w:t>
      </w:r>
      <w:r>
        <w:rPr>
          <w:lang w:eastAsia="ja-JP"/>
        </w:rPr>
        <w:t>BCL2/IgH (= </w:t>
      </w:r>
      <w:r w:rsidRPr="0052032C">
        <w:rPr>
          <w:lang w:eastAsia="ja-JP"/>
        </w:rPr>
        <w:t xml:space="preserve">MRD) determination. Bone marrow examinations are required at screening for staging purposes in all patients (CR definition requires clearing of a previously infiltrated bone </w:t>
      </w:r>
      <w:r w:rsidRPr="0052032C">
        <w:rPr>
          <w:lang w:eastAsia="ja-JP"/>
        </w:rPr>
        <w:lastRenderedPageBreak/>
        <w:t xml:space="preserve">marrow) and in all patients with follicular lymphoma also for determination of </w:t>
      </w:r>
      <w:r>
        <w:rPr>
          <w:lang w:eastAsia="ja-JP"/>
        </w:rPr>
        <w:t>BCL2/IgH (MRD) baseline levels.</w:t>
      </w:r>
    </w:p>
    <w:p w14:paraId="763E8C15" w14:textId="77777777" w:rsidR="0052032C" w:rsidRDefault="0052032C" w:rsidP="0052032C">
      <w:pPr>
        <w:pStyle w:val="ListBullet"/>
        <w:rPr>
          <w:lang w:eastAsia="ja-JP"/>
        </w:rPr>
      </w:pPr>
      <w:r w:rsidRPr="0052032C">
        <w:rPr>
          <w:lang w:eastAsia="ja-JP"/>
        </w:rPr>
        <w:t>If there was bone marrow infiltration at screening, then a subsequent bone marrow biopsy (trephine) at the induction completion visit is required for clinical response evaluation for all patients who may have achieved a CR. In patients with a PR and continued bone marrow involvement, a subsequent bone marrow examination may be required to confirm a CR at a later time point. An additional bone marrow aspirate may be done if that is standard of care at the site.</w:t>
      </w:r>
    </w:p>
    <w:p w14:paraId="5891038E" w14:textId="2A89A88D" w:rsidR="0052032C" w:rsidRDefault="0052032C" w:rsidP="0052032C">
      <w:pPr>
        <w:pStyle w:val="ListBullet"/>
        <w:rPr>
          <w:lang w:eastAsia="ja-JP"/>
        </w:rPr>
      </w:pPr>
      <w:r w:rsidRPr="0052032C">
        <w:rPr>
          <w:lang w:eastAsia="ja-JP"/>
        </w:rPr>
        <w:t>If bone marrow involvement was diagnosed by morphology at screening, a subsequent bone marrow aspirate for BCL2/IgH (MRD) is required at the induction completion/end</w:t>
      </w:r>
      <w:r w:rsidR="007876FE">
        <w:rPr>
          <w:lang w:eastAsia="ja-JP"/>
        </w:rPr>
        <w:t xml:space="preserve"> </w:t>
      </w:r>
      <w:r w:rsidRPr="0052032C">
        <w:rPr>
          <w:lang w:eastAsia="ja-JP"/>
        </w:rPr>
        <w:t>of</w:t>
      </w:r>
      <w:r w:rsidR="007876FE">
        <w:rPr>
          <w:lang w:eastAsia="ja-JP"/>
        </w:rPr>
        <w:t xml:space="preserve"> </w:t>
      </w:r>
      <w:r w:rsidRPr="0052032C">
        <w:rPr>
          <w:lang w:eastAsia="ja-JP"/>
        </w:rPr>
        <w:t>treatment visit for all patients with follicular lymphoma who achieve a CR or PR (all responders). If bone marrow was free of lymphoma by morphology at screening, a subsequent bone marrow aspirate for BCL2/IgH (MRD) at the induction completion/end</w:t>
      </w:r>
      <w:r w:rsidR="007876FE">
        <w:rPr>
          <w:lang w:eastAsia="ja-JP"/>
        </w:rPr>
        <w:t xml:space="preserve"> </w:t>
      </w:r>
      <w:r w:rsidRPr="0052032C">
        <w:rPr>
          <w:lang w:eastAsia="ja-JP"/>
        </w:rPr>
        <w:t>of</w:t>
      </w:r>
      <w:r w:rsidR="007876FE">
        <w:rPr>
          <w:lang w:eastAsia="ja-JP"/>
        </w:rPr>
        <w:t xml:space="preserve"> </w:t>
      </w:r>
      <w:r w:rsidRPr="0052032C">
        <w:rPr>
          <w:lang w:eastAsia="ja-JP"/>
        </w:rPr>
        <w:t>treatment visit is optional but strongly recommended in responders (CR + PR). This recommendation is based on the observation that, at screening, bone marrow involvement is detectable on the level of minimal residual disease in the large majority of patients even if it appears to be negative by morphology.</w:t>
      </w:r>
    </w:p>
    <w:p w14:paraId="4E42373A" w14:textId="77777777" w:rsidR="0052032C" w:rsidRPr="0052032C" w:rsidRDefault="0052032C" w:rsidP="0052032C">
      <w:pPr>
        <w:pStyle w:val="ListBullet"/>
        <w:rPr>
          <w:lang w:eastAsia="ja-JP"/>
        </w:rPr>
      </w:pPr>
      <w:r w:rsidRPr="0052032C">
        <w:rPr>
          <w:lang w:eastAsia="ja-JP"/>
        </w:rPr>
        <w:t>Any additional (unscheduled) bone marrow examinations performed during the study will be at the discretion of the investigator.</w:t>
      </w:r>
    </w:p>
    <w:p w14:paraId="5D4D8156" w14:textId="77777777" w:rsidR="0052032C" w:rsidRPr="0052032C" w:rsidRDefault="0052032C" w:rsidP="0052032C">
      <w:pPr>
        <w:pStyle w:val="Heading6"/>
        <w:rPr>
          <w:lang w:eastAsia="ja-JP"/>
        </w:rPr>
      </w:pPr>
      <w:r>
        <w:rPr>
          <w:lang w:eastAsia="ja-JP"/>
        </w:rPr>
        <w:t>Patient-reported o</w:t>
      </w:r>
      <w:r w:rsidRPr="0052032C">
        <w:rPr>
          <w:lang w:eastAsia="ja-JP"/>
        </w:rPr>
        <w:t>utcomes</w:t>
      </w:r>
    </w:p>
    <w:p w14:paraId="0167B536" w14:textId="77777777" w:rsidR="0052032C" w:rsidRPr="0052032C" w:rsidRDefault="0052032C" w:rsidP="0052032C">
      <w:pPr>
        <w:rPr>
          <w:lang w:eastAsia="ja-JP"/>
        </w:rPr>
      </w:pPr>
      <w:r w:rsidRPr="0052032C">
        <w:rPr>
          <w:lang w:eastAsia="ja-JP"/>
        </w:rPr>
        <w:t>The PRO questionnaires (FACT-Lym and EQ-5D) should be self-administered at the investigational site. Study personnel should review all questionnaires for completeness before the patient leaves the investigational site. It is important that the questionnaires be administered before any other study procedure is performed during that study visit.</w:t>
      </w:r>
    </w:p>
    <w:p w14:paraId="029F7A7D" w14:textId="77777777" w:rsidR="0052032C" w:rsidRDefault="0052032C" w:rsidP="0052032C">
      <w:pPr>
        <w:pStyle w:val="Heading6"/>
        <w:rPr>
          <w:lang w:eastAsia="ja-JP"/>
        </w:rPr>
      </w:pPr>
      <w:r>
        <w:rPr>
          <w:lang w:eastAsia="ja-JP"/>
        </w:rPr>
        <w:t>Required exploratory b</w:t>
      </w:r>
      <w:r w:rsidRPr="0052032C">
        <w:rPr>
          <w:lang w:eastAsia="ja-JP"/>
        </w:rPr>
        <w:t>iomarkers</w:t>
      </w:r>
    </w:p>
    <w:p w14:paraId="3B2AC4C9" w14:textId="77777777" w:rsidR="0052032C" w:rsidRPr="0052032C" w:rsidRDefault="0052032C" w:rsidP="0052032C">
      <w:pPr>
        <w:rPr>
          <w:lang w:eastAsia="ja-JP"/>
        </w:rPr>
      </w:pPr>
      <w:r>
        <w:rPr>
          <w:lang w:eastAsia="ja-JP"/>
        </w:rPr>
        <w:t>These included:</w:t>
      </w:r>
    </w:p>
    <w:p w14:paraId="72CC1AE8" w14:textId="77777777" w:rsidR="0052032C" w:rsidRPr="0052032C" w:rsidRDefault="0052032C" w:rsidP="0052032C">
      <w:pPr>
        <w:pStyle w:val="ListBullet"/>
        <w:rPr>
          <w:lang w:eastAsia="ja-JP"/>
        </w:rPr>
      </w:pPr>
      <w:r w:rsidRPr="0052032C">
        <w:rPr>
          <w:lang w:eastAsia="ja-JP"/>
        </w:rPr>
        <w:t>Fcγ receptor polymorphisms (only in fully eligible patients)</w:t>
      </w:r>
    </w:p>
    <w:p w14:paraId="1B313D9B" w14:textId="77777777" w:rsidR="0052032C" w:rsidRPr="0052032C" w:rsidRDefault="0052032C" w:rsidP="0052032C">
      <w:pPr>
        <w:pStyle w:val="ListBullet"/>
        <w:rPr>
          <w:lang w:eastAsia="ja-JP"/>
        </w:rPr>
      </w:pPr>
      <w:r w:rsidRPr="0052032C">
        <w:rPr>
          <w:lang w:eastAsia="ja-JP"/>
        </w:rPr>
        <w:t>Tumo</w:t>
      </w:r>
      <w:r>
        <w:rPr>
          <w:lang w:eastAsia="ja-JP"/>
        </w:rPr>
        <w:t>u</w:t>
      </w:r>
      <w:r w:rsidRPr="0052032C">
        <w:rPr>
          <w:lang w:eastAsia="ja-JP"/>
        </w:rPr>
        <w:t>r tissue sample at time of progression/transformation</w:t>
      </w:r>
    </w:p>
    <w:p w14:paraId="4B151895" w14:textId="77777777" w:rsidR="0052032C" w:rsidRPr="0052032C" w:rsidRDefault="0052032C" w:rsidP="0052032C">
      <w:pPr>
        <w:pStyle w:val="ListBullet"/>
        <w:rPr>
          <w:lang w:eastAsia="ja-JP"/>
        </w:rPr>
      </w:pPr>
      <w:r w:rsidRPr="0052032C">
        <w:rPr>
          <w:lang w:eastAsia="ja-JP"/>
        </w:rPr>
        <w:t>A tumo</w:t>
      </w:r>
      <w:r>
        <w:rPr>
          <w:lang w:eastAsia="ja-JP"/>
        </w:rPr>
        <w:t>u</w:t>
      </w:r>
      <w:r w:rsidRPr="0052032C">
        <w:rPr>
          <w:lang w:eastAsia="ja-JP"/>
        </w:rPr>
        <w:t>r sample will be collected at time of progression from patients who undergo such a biopsy as part of the standard of care at their institution for central pathology review. A biopsy at the time of progression is not mandatory.</w:t>
      </w:r>
    </w:p>
    <w:p w14:paraId="035CEB97" w14:textId="0206594A" w:rsidR="0052032C" w:rsidRPr="0052032C" w:rsidRDefault="0052032C" w:rsidP="0052032C">
      <w:pPr>
        <w:pStyle w:val="ListBullet"/>
        <w:rPr>
          <w:lang w:eastAsia="ja-JP"/>
        </w:rPr>
      </w:pPr>
      <w:r w:rsidRPr="0052032C">
        <w:rPr>
          <w:lang w:eastAsia="ja-JP"/>
        </w:rPr>
        <w:t xml:space="preserve">Bone marrow aspirate for BCL2/IgH (MRD) analysis at screening (follicular lymphoma patients only) and at induction completion/early termination (only responders </w:t>
      </w:r>
      <w:r>
        <w:rPr>
          <w:lang w:eastAsia="ja-JP"/>
        </w:rPr>
        <w:t>(</w:t>
      </w:r>
      <w:r w:rsidRPr="0052032C">
        <w:rPr>
          <w:lang w:eastAsia="ja-JP"/>
        </w:rPr>
        <w:t>CR and PR</w:t>
      </w:r>
      <w:r>
        <w:rPr>
          <w:lang w:eastAsia="ja-JP"/>
        </w:rPr>
        <w:t>)</w:t>
      </w:r>
      <w:r w:rsidRPr="0052032C">
        <w:rPr>
          <w:lang w:eastAsia="ja-JP"/>
        </w:rPr>
        <w:t xml:space="preserve"> in whom bone marrow involvement was diagnosed by morphology at screening)</w:t>
      </w:r>
      <w:r w:rsidR="004A481D">
        <w:rPr>
          <w:lang w:eastAsia="ja-JP"/>
        </w:rPr>
        <w:t>.</w:t>
      </w:r>
    </w:p>
    <w:p w14:paraId="1EC6C312" w14:textId="2C56339A" w:rsidR="0052032C" w:rsidRPr="0052032C" w:rsidRDefault="0052032C" w:rsidP="0052032C">
      <w:pPr>
        <w:pStyle w:val="ListBullet"/>
        <w:rPr>
          <w:lang w:eastAsia="ja-JP"/>
        </w:rPr>
      </w:pPr>
      <w:r w:rsidRPr="0052032C">
        <w:rPr>
          <w:lang w:eastAsia="ja-JP"/>
        </w:rPr>
        <w:t>For each required bone marrow examination, a bone marrow aspirate is required for the analysis of clonal BCL2/IgH rearrangement (as a potential marker of tumo</w:t>
      </w:r>
      <w:r w:rsidR="004A481D">
        <w:rPr>
          <w:lang w:eastAsia="ja-JP"/>
        </w:rPr>
        <w:t>u</w:t>
      </w:r>
      <w:r w:rsidRPr="0052032C">
        <w:rPr>
          <w:lang w:eastAsia="ja-JP"/>
        </w:rPr>
        <w:t>r burden).</w:t>
      </w:r>
    </w:p>
    <w:p w14:paraId="4A363A64" w14:textId="5C34631E" w:rsidR="0052032C" w:rsidRPr="0052032C" w:rsidRDefault="0052032C" w:rsidP="0052032C">
      <w:pPr>
        <w:pStyle w:val="ListBullet"/>
        <w:rPr>
          <w:lang w:eastAsia="ja-JP"/>
        </w:rPr>
      </w:pPr>
      <w:r w:rsidRPr="0052032C">
        <w:rPr>
          <w:lang w:eastAsia="ja-JP"/>
        </w:rPr>
        <w:t>Peripheral blood sample for BCL2/IgH (MRD) analysis in all patients with follicular lymphoma at screening, before Cycle 4 Day 1 bendamustine) or Cycle 5 Day 1 (CHOP/CVP), at induction completion/end of treatment, maintenance or observation Month</w:t>
      </w:r>
      <w:r w:rsidR="007876FE">
        <w:rPr>
          <w:lang w:eastAsia="ja-JP"/>
        </w:rPr>
        <w:t>s</w:t>
      </w:r>
      <w:r w:rsidRPr="0052032C">
        <w:rPr>
          <w:lang w:eastAsia="ja-JP"/>
        </w:rPr>
        <w:t xml:space="preserve"> 4, 8, 12, 18, at maintenance or observation completion/end</w:t>
      </w:r>
      <w:r w:rsidR="007876FE">
        <w:rPr>
          <w:lang w:eastAsia="ja-JP"/>
        </w:rPr>
        <w:t xml:space="preserve"> </w:t>
      </w:r>
      <w:r w:rsidRPr="0052032C">
        <w:rPr>
          <w:lang w:eastAsia="ja-JP"/>
        </w:rPr>
        <w:t>of</w:t>
      </w:r>
      <w:r w:rsidR="007876FE">
        <w:rPr>
          <w:lang w:eastAsia="ja-JP"/>
        </w:rPr>
        <w:t xml:space="preserve"> </w:t>
      </w:r>
      <w:r w:rsidRPr="0052032C">
        <w:rPr>
          <w:lang w:eastAsia="ja-JP"/>
        </w:rPr>
        <w:t>tre</w:t>
      </w:r>
      <w:r>
        <w:rPr>
          <w:lang w:eastAsia="ja-JP"/>
        </w:rPr>
        <w:t xml:space="preserve">atment visit, and during follow </w:t>
      </w:r>
      <w:r w:rsidRPr="0052032C">
        <w:rPr>
          <w:lang w:eastAsia="ja-JP"/>
        </w:rPr>
        <w:t>up at Months 30, 36, 42, 48, 60, and 72.</w:t>
      </w:r>
    </w:p>
    <w:p w14:paraId="1D6AF8A7" w14:textId="77777777" w:rsidR="0052032C" w:rsidRPr="0052032C" w:rsidRDefault="0052032C" w:rsidP="0052032C">
      <w:pPr>
        <w:pStyle w:val="Heading5"/>
        <w:rPr>
          <w:rFonts w:eastAsia="Cambria"/>
          <w:lang w:eastAsia="ja-JP"/>
        </w:rPr>
      </w:pPr>
      <w:r w:rsidRPr="0052032C">
        <w:rPr>
          <w:rFonts w:eastAsia="Cambria"/>
          <w:lang w:eastAsia="ja-JP"/>
        </w:rPr>
        <w:t>Randomisation and blinding methods</w:t>
      </w:r>
    </w:p>
    <w:p w14:paraId="2BD1EED8" w14:textId="60CB6B02" w:rsidR="0052032C" w:rsidRPr="0052032C" w:rsidRDefault="0052032C" w:rsidP="0052032C">
      <w:pPr>
        <w:rPr>
          <w:lang w:eastAsia="ja-JP"/>
        </w:rPr>
      </w:pPr>
      <w:r>
        <w:rPr>
          <w:lang w:eastAsia="ja-JP"/>
        </w:rPr>
        <w:t>Patients were randomis</w:t>
      </w:r>
      <w:r w:rsidRPr="0052032C">
        <w:rPr>
          <w:lang w:eastAsia="ja-JP"/>
        </w:rPr>
        <w:t>ed in a 1:1 fashion through an interactive voice response system (IVRS) to the R-chemo arm or the G-chemo arm. Randomi</w:t>
      </w:r>
      <w:r w:rsidR="007876FE">
        <w:rPr>
          <w:lang w:eastAsia="ja-JP"/>
        </w:rPr>
        <w:t>s</w:t>
      </w:r>
      <w:r w:rsidRPr="0052032C">
        <w:rPr>
          <w:lang w:eastAsia="ja-JP"/>
        </w:rPr>
        <w:t>ation occurred separately for the patients with FL and MZL. Randomi</w:t>
      </w:r>
      <w:r w:rsidR="00E906DD">
        <w:rPr>
          <w:lang w:eastAsia="ja-JP"/>
        </w:rPr>
        <w:t>s</w:t>
      </w:r>
      <w:r w:rsidRPr="0052032C">
        <w:rPr>
          <w:lang w:eastAsia="ja-JP"/>
        </w:rPr>
        <w:t>ation was stratified for the following factors:</w:t>
      </w:r>
    </w:p>
    <w:p w14:paraId="2FC49595" w14:textId="77777777" w:rsidR="0052032C" w:rsidRPr="0052032C" w:rsidRDefault="0052032C" w:rsidP="00E906DD">
      <w:pPr>
        <w:pStyle w:val="Numberbullet0"/>
        <w:numPr>
          <w:ilvl w:val="0"/>
          <w:numId w:val="23"/>
        </w:numPr>
        <w:rPr>
          <w:lang w:eastAsia="ja-JP"/>
        </w:rPr>
      </w:pPr>
      <w:r w:rsidRPr="0052032C">
        <w:rPr>
          <w:lang w:eastAsia="ja-JP"/>
        </w:rPr>
        <w:lastRenderedPageBreak/>
        <w:t>Chemotherapy regimen (CHOP, CVP, or bendamustine)</w:t>
      </w:r>
    </w:p>
    <w:p w14:paraId="23AB490D" w14:textId="77777777" w:rsidR="0052032C" w:rsidRPr="0052032C" w:rsidRDefault="0052032C" w:rsidP="00E906DD">
      <w:pPr>
        <w:pStyle w:val="Numberbullet0"/>
        <w:numPr>
          <w:ilvl w:val="0"/>
          <w:numId w:val="23"/>
        </w:numPr>
        <w:rPr>
          <w:lang w:eastAsia="ja-JP"/>
        </w:rPr>
      </w:pPr>
      <w:r w:rsidRPr="0052032C">
        <w:rPr>
          <w:lang w:eastAsia="ja-JP"/>
        </w:rPr>
        <w:t>FLIPI (for FL: low, intermediate, or high)/IPI (for MZL: low/low-intermediate or high-intermediate/high) group (see the protocol for further details)</w:t>
      </w:r>
    </w:p>
    <w:p w14:paraId="7D1E3BFB" w14:textId="77777777" w:rsidR="0052032C" w:rsidRPr="0052032C" w:rsidRDefault="0052032C" w:rsidP="00E906DD">
      <w:pPr>
        <w:pStyle w:val="Numberbullet0"/>
        <w:numPr>
          <w:ilvl w:val="0"/>
          <w:numId w:val="23"/>
        </w:numPr>
        <w:rPr>
          <w:lang w:eastAsia="ja-JP"/>
        </w:rPr>
      </w:pPr>
      <w:r w:rsidRPr="0052032C">
        <w:rPr>
          <w:lang w:eastAsia="ja-JP"/>
        </w:rPr>
        <w:t>Geographic region (Western Europe, Eastern Europe, South and Central America, North America, other)</w:t>
      </w:r>
      <w:r>
        <w:rPr>
          <w:lang w:eastAsia="ja-JP"/>
        </w:rPr>
        <w:t>.</w:t>
      </w:r>
    </w:p>
    <w:p w14:paraId="0BEFF83C" w14:textId="77777777" w:rsidR="0052032C" w:rsidRPr="0052032C" w:rsidRDefault="0052032C" w:rsidP="0052032C">
      <w:pPr>
        <w:rPr>
          <w:lang w:eastAsia="ja-JP"/>
        </w:rPr>
      </w:pPr>
      <w:r w:rsidRPr="0052032C">
        <w:rPr>
          <w:lang w:eastAsia="ja-JP"/>
        </w:rPr>
        <w:t>This was an open-label study; however</w:t>
      </w:r>
      <w:r>
        <w:rPr>
          <w:lang w:eastAsia="ja-JP"/>
        </w:rPr>
        <w:t>,</w:t>
      </w:r>
      <w:r w:rsidRPr="0052032C">
        <w:rPr>
          <w:lang w:eastAsia="ja-JP"/>
        </w:rPr>
        <w:t xml:space="preserve"> the IRC was blinded to treatment assignment throughout. Clinical </w:t>
      </w:r>
      <w:r>
        <w:rPr>
          <w:lang w:eastAsia="ja-JP"/>
        </w:rPr>
        <w:t>s</w:t>
      </w:r>
      <w:r w:rsidRPr="0052032C">
        <w:rPr>
          <w:lang w:eastAsia="ja-JP"/>
        </w:rPr>
        <w:t>cientists from the MAH’s study team reviewed eCRF data for ambiguous, contradictory and/or potentially erroneous data entry as part of routine data cleaning. For these activities, they were not blinded to treatment allocation on an individual patient basis. However, no aggregated efficacy or safety analyses by treatment arm were conducted by the</w:t>
      </w:r>
      <w:r>
        <w:rPr>
          <w:lang w:eastAsia="ja-JP"/>
        </w:rPr>
        <w:t xml:space="preserve"> sponsor</w:t>
      </w:r>
      <w:r w:rsidRPr="0052032C">
        <w:rPr>
          <w:lang w:eastAsia="ja-JP"/>
        </w:rPr>
        <w:t xml:space="preserve"> using unblinded data before the IDMC released the data following the interim analysis.</w:t>
      </w:r>
    </w:p>
    <w:p w14:paraId="1012C694" w14:textId="77777777" w:rsidR="0052032C" w:rsidRPr="0052032C" w:rsidDel="0081373E" w:rsidRDefault="0052032C" w:rsidP="0052032C">
      <w:pPr>
        <w:pStyle w:val="Heading5"/>
        <w:rPr>
          <w:rFonts w:eastAsia="Cambria"/>
          <w:lang w:eastAsia="ja-JP"/>
        </w:rPr>
      </w:pPr>
      <w:r w:rsidRPr="0052032C">
        <w:rPr>
          <w:rFonts w:eastAsia="Cambria"/>
          <w:lang w:eastAsia="ja-JP"/>
        </w:rPr>
        <w:t>Analysis populations</w:t>
      </w:r>
    </w:p>
    <w:p w14:paraId="3B58D8C2" w14:textId="57782F4D" w:rsidR="0052032C" w:rsidRPr="0052032C" w:rsidRDefault="0052032C" w:rsidP="0052032C">
      <w:pPr>
        <w:rPr>
          <w:lang w:eastAsia="ja-JP"/>
        </w:rPr>
      </w:pPr>
      <w:r w:rsidRPr="0052032C">
        <w:rPr>
          <w:lang w:eastAsia="ja-JP"/>
        </w:rPr>
        <w:t>The primary efficacy analysis population is the intent-to-treat follicular lymphoma population (FL ITT, 1202 patients, 601 in ea</w:t>
      </w:r>
      <w:r w:rsidR="004A481D">
        <w:rPr>
          <w:lang w:eastAsia="ja-JP"/>
        </w:rPr>
        <w:t>ch arm), defined as all randomis</w:t>
      </w:r>
      <w:r w:rsidRPr="0052032C">
        <w:rPr>
          <w:lang w:eastAsia="ja-JP"/>
        </w:rPr>
        <w:t>ed patients with follicular histology. Efficacy analyses were conducted according to</w:t>
      </w:r>
      <w:r w:rsidR="004A481D">
        <w:rPr>
          <w:lang w:eastAsia="ja-JP"/>
        </w:rPr>
        <w:t xml:space="preserve"> the intent to </w:t>
      </w:r>
      <w:r w:rsidRPr="0052032C">
        <w:rPr>
          <w:lang w:eastAsia="ja-JP"/>
        </w:rPr>
        <w:t xml:space="preserve">treat (ITT) principle, where patients were grouped according to their </w:t>
      </w:r>
      <w:r w:rsidR="00705E66">
        <w:rPr>
          <w:lang w:eastAsia="ja-JP"/>
        </w:rPr>
        <w:t>randomis</w:t>
      </w:r>
      <w:r w:rsidRPr="0052032C">
        <w:rPr>
          <w:lang w:eastAsia="ja-JP"/>
        </w:rPr>
        <w:t>ed treatment arm regardless of what treatments were actually received.</w:t>
      </w:r>
    </w:p>
    <w:p w14:paraId="5A805EC5" w14:textId="77777777" w:rsidR="0052032C" w:rsidRPr="0052032C" w:rsidRDefault="0052032C" w:rsidP="0052032C">
      <w:pPr>
        <w:rPr>
          <w:lang w:eastAsia="ja-JP"/>
        </w:rPr>
      </w:pPr>
      <w:r w:rsidRPr="0052032C">
        <w:rPr>
          <w:lang w:eastAsia="ja-JP"/>
        </w:rPr>
        <w:t>All primary and secondary efficacy analyses were performed on the FL ITT</w:t>
      </w:r>
      <w:r>
        <w:rPr>
          <w:lang w:eastAsia="ja-JP"/>
        </w:rPr>
        <w:t>.</w:t>
      </w:r>
    </w:p>
    <w:p w14:paraId="09C092AC" w14:textId="77777777" w:rsidR="0052032C" w:rsidRPr="0052032C" w:rsidRDefault="0052032C" w:rsidP="0052032C">
      <w:pPr>
        <w:rPr>
          <w:lang w:eastAsia="ja-JP"/>
        </w:rPr>
      </w:pPr>
      <w:r w:rsidRPr="0052032C">
        <w:rPr>
          <w:lang w:eastAsia="ja-JP"/>
        </w:rPr>
        <w:t xml:space="preserve">The safety analysis population included all patients who received any amount of study drug (obinutuzumab, rituximab, or chemotherapy </w:t>
      </w:r>
      <w:r>
        <w:rPr>
          <w:lang w:eastAsia="ja-JP"/>
        </w:rPr>
        <w:t>(</w:t>
      </w:r>
      <w:r w:rsidRPr="0052032C">
        <w:rPr>
          <w:lang w:eastAsia="ja-JP"/>
        </w:rPr>
        <w:t>CHOP, CVP, or bendamustine</w:t>
      </w:r>
      <w:r>
        <w:rPr>
          <w:lang w:eastAsia="ja-JP"/>
        </w:rPr>
        <w:t>)</w:t>
      </w:r>
      <w:r w:rsidRPr="0052032C">
        <w:rPr>
          <w:lang w:eastAsia="ja-JP"/>
        </w:rPr>
        <w:t>), and patients were analy</w:t>
      </w:r>
      <w:r>
        <w:rPr>
          <w:lang w:eastAsia="ja-JP"/>
        </w:rPr>
        <w:t>s</w:t>
      </w:r>
      <w:r w:rsidRPr="0052032C">
        <w:rPr>
          <w:lang w:eastAsia="ja-JP"/>
        </w:rPr>
        <w:t>ed according to the treatment received (</w:t>
      </w:r>
      <w:r>
        <w:rPr>
          <w:lang w:eastAsia="ja-JP"/>
        </w:rPr>
        <w:t>that is,</w:t>
      </w:r>
      <w:r w:rsidRPr="0052032C">
        <w:rPr>
          <w:lang w:eastAsia="ja-JP"/>
        </w:rPr>
        <w:t xml:space="preserve"> a patient who received obinutuzumab at least once for any reason was analy</w:t>
      </w:r>
      <w:r>
        <w:rPr>
          <w:lang w:eastAsia="ja-JP"/>
        </w:rPr>
        <w:t>s</w:t>
      </w:r>
      <w:r w:rsidRPr="0052032C">
        <w:rPr>
          <w:lang w:eastAsia="ja-JP"/>
        </w:rPr>
        <w:t xml:space="preserve">ed under the G-chemo treatment arm; if only chemotherapy and/or rituximab was </w:t>
      </w:r>
      <w:r>
        <w:rPr>
          <w:lang w:eastAsia="ja-JP"/>
        </w:rPr>
        <w:t>received, the patient was analys</w:t>
      </w:r>
      <w:r w:rsidRPr="0052032C">
        <w:rPr>
          <w:lang w:eastAsia="ja-JP"/>
        </w:rPr>
        <w:t>ed under the R-chemo treatment arm).</w:t>
      </w:r>
    </w:p>
    <w:p w14:paraId="3BC78190" w14:textId="77777777" w:rsidR="0052032C" w:rsidRPr="0052032C" w:rsidRDefault="0052032C" w:rsidP="0052032C">
      <w:pPr>
        <w:rPr>
          <w:lang w:eastAsia="ja-JP"/>
        </w:rPr>
      </w:pPr>
      <w:r w:rsidRPr="0052032C">
        <w:rPr>
          <w:lang w:eastAsia="ja-JP"/>
        </w:rPr>
        <w:t xml:space="preserve">The </w:t>
      </w:r>
      <w:r>
        <w:rPr>
          <w:lang w:eastAsia="ja-JP"/>
        </w:rPr>
        <w:t>‘</w:t>
      </w:r>
      <w:r w:rsidRPr="0052032C">
        <w:rPr>
          <w:lang w:eastAsia="ja-JP"/>
        </w:rPr>
        <w:t>PET evaluable</w:t>
      </w:r>
      <w:r>
        <w:rPr>
          <w:lang w:eastAsia="ja-JP"/>
        </w:rPr>
        <w:t>’</w:t>
      </w:r>
      <w:r w:rsidRPr="0052032C">
        <w:rPr>
          <w:lang w:eastAsia="ja-JP"/>
        </w:rPr>
        <w:t xml:space="preserve"> subset contains all patients who have an answer of </w:t>
      </w:r>
      <w:r>
        <w:rPr>
          <w:lang w:eastAsia="ja-JP"/>
        </w:rPr>
        <w:t>‘Yes’</w:t>
      </w:r>
      <w:r w:rsidRPr="0052032C">
        <w:rPr>
          <w:lang w:eastAsia="ja-JP"/>
        </w:rPr>
        <w:t xml:space="preserve"> to question </w:t>
      </w:r>
      <w:r>
        <w:rPr>
          <w:lang w:eastAsia="ja-JP"/>
        </w:rPr>
        <w:t>‘</w:t>
      </w:r>
      <w:proofErr w:type="gramStart"/>
      <w:r w:rsidRPr="0052032C">
        <w:rPr>
          <w:lang w:eastAsia="ja-JP"/>
        </w:rPr>
        <w:t>Were</w:t>
      </w:r>
      <w:proofErr w:type="gramEnd"/>
      <w:r w:rsidRPr="0052032C">
        <w:rPr>
          <w:lang w:eastAsia="ja-JP"/>
        </w:rPr>
        <w:t xml:space="preserve"> there any PET-avid lesions representing lymphoma?</w:t>
      </w:r>
      <w:r>
        <w:rPr>
          <w:lang w:eastAsia="ja-JP"/>
        </w:rPr>
        <w:t>’</w:t>
      </w:r>
      <w:r w:rsidRPr="0052032C">
        <w:rPr>
          <w:lang w:eastAsia="ja-JP"/>
        </w:rPr>
        <w:t xml:space="preserve"> on PET scan eCRF </w:t>
      </w:r>
      <w:r>
        <w:rPr>
          <w:lang w:eastAsia="ja-JP"/>
        </w:rPr>
        <w:t>at Baseline</w:t>
      </w:r>
      <w:r w:rsidRPr="0052032C">
        <w:rPr>
          <w:lang w:eastAsia="ja-JP"/>
        </w:rPr>
        <w:t xml:space="preserve">. </w:t>
      </w:r>
      <w:r>
        <w:rPr>
          <w:lang w:eastAsia="ja-JP"/>
        </w:rPr>
        <w:t>12</w:t>
      </w:r>
      <w:r w:rsidRPr="0052032C">
        <w:rPr>
          <w:lang w:eastAsia="ja-JP"/>
        </w:rPr>
        <w:t xml:space="preserve"> patients had at least one PET scan although they did not have ethics committee approval to do so. Therefore, these patients were omitted from the PET evaluable subset and ar</w:t>
      </w:r>
      <w:r>
        <w:rPr>
          <w:lang w:eastAsia="ja-JP"/>
        </w:rPr>
        <w:t>e not part of any PET analysis.</w:t>
      </w:r>
    </w:p>
    <w:p w14:paraId="6FC24A2D" w14:textId="77777777" w:rsidR="0052032C" w:rsidRPr="0052032C" w:rsidRDefault="0052032C" w:rsidP="0052032C">
      <w:pPr>
        <w:numPr>
          <w:ilvl w:val="3"/>
          <w:numId w:val="5"/>
        </w:numPr>
        <w:rPr>
          <w:b/>
          <w:bCs/>
          <w:i/>
          <w:lang w:eastAsia="ja-JP"/>
        </w:rPr>
      </w:pPr>
      <w:r w:rsidRPr="0052032C" w:rsidDel="0081373E">
        <w:rPr>
          <w:b/>
          <w:bCs/>
          <w:i/>
          <w:lang w:eastAsia="ja-JP"/>
        </w:rPr>
        <w:t>S</w:t>
      </w:r>
      <w:r w:rsidRPr="0052032C">
        <w:rPr>
          <w:b/>
          <w:bCs/>
          <w:i/>
          <w:lang w:eastAsia="ja-JP"/>
        </w:rPr>
        <w:t>ample size</w:t>
      </w:r>
    </w:p>
    <w:p w14:paraId="0BA48A86" w14:textId="77777777" w:rsidR="0052032C" w:rsidRPr="0052032C" w:rsidRDefault="0052032C" w:rsidP="0052032C">
      <w:pPr>
        <w:rPr>
          <w:lang w:eastAsia="ja-JP"/>
        </w:rPr>
      </w:pPr>
      <w:proofErr w:type="gramStart"/>
      <w:r w:rsidRPr="0052032C">
        <w:rPr>
          <w:lang w:eastAsia="ja-JP"/>
        </w:rPr>
        <w:t>Planned: 1200 patients with FL and 200 patients wit</w:t>
      </w:r>
      <w:r>
        <w:rPr>
          <w:lang w:eastAsia="ja-JP"/>
        </w:rPr>
        <w:t>h marginal zone lymphoma (MZL).</w:t>
      </w:r>
      <w:proofErr w:type="gramEnd"/>
    </w:p>
    <w:p w14:paraId="4262F8FE" w14:textId="77777777" w:rsidR="0052032C" w:rsidRPr="0052032C" w:rsidRDefault="0052032C" w:rsidP="0052032C">
      <w:pPr>
        <w:rPr>
          <w:lang w:eastAsia="ja-JP"/>
        </w:rPr>
      </w:pPr>
      <w:r w:rsidRPr="0052032C">
        <w:rPr>
          <w:lang w:eastAsia="ja-JP"/>
        </w:rPr>
        <w:t>Enrolled and included in primary analysis: 1401 patients of which 1202 pat</w:t>
      </w:r>
      <w:r>
        <w:rPr>
          <w:lang w:eastAsia="ja-JP"/>
        </w:rPr>
        <w:t>ients had FL.</w:t>
      </w:r>
    </w:p>
    <w:p w14:paraId="69F6F898" w14:textId="77777777" w:rsidR="0052032C" w:rsidRPr="0052032C" w:rsidRDefault="0052032C" w:rsidP="0052032C">
      <w:pPr>
        <w:pStyle w:val="Heading6"/>
        <w:rPr>
          <w:lang w:eastAsia="ja-JP"/>
        </w:rPr>
      </w:pPr>
      <w:r w:rsidRPr="0052032C">
        <w:rPr>
          <w:lang w:eastAsia="ja-JP"/>
        </w:rPr>
        <w:t>Determination of sample size</w:t>
      </w:r>
    </w:p>
    <w:p w14:paraId="42ABD4A2" w14:textId="6A764178" w:rsidR="0052032C" w:rsidRPr="0052032C" w:rsidRDefault="0052032C" w:rsidP="0052032C">
      <w:pPr>
        <w:rPr>
          <w:lang w:eastAsia="ja-JP"/>
        </w:rPr>
      </w:pPr>
      <w:r w:rsidRPr="0052032C">
        <w:rPr>
          <w:lang w:eastAsia="ja-JP"/>
        </w:rPr>
        <w:t xml:space="preserve">The primary analysis of the study tested the equality of PFS distributions in the R-chemo and G-chemo arms the following null hypothesis with use of a </w:t>
      </w:r>
      <w:r w:rsidR="008531A2">
        <w:rPr>
          <w:lang w:eastAsia="ja-JP"/>
        </w:rPr>
        <w:t xml:space="preserve">2 </w:t>
      </w:r>
      <w:r w:rsidRPr="0052032C">
        <w:rPr>
          <w:lang w:eastAsia="ja-JP"/>
        </w:rPr>
        <w:t>sided stratified log rank test at an overall 5% significance level:</w:t>
      </w:r>
    </w:p>
    <w:p w14:paraId="55091687" w14:textId="77777777" w:rsidR="0052032C" w:rsidRPr="0052032C" w:rsidRDefault="0052032C" w:rsidP="0052032C">
      <w:pPr>
        <w:pStyle w:val="ListBullet"/>
        <w:rPr>
          <w:lang w:eastAsia="ja-JP"/>
        </w:rPr>
      </w:pPr>
      <w:r w:rsidRPr="0052032C">
        <w:rPr>
          <w:lang w:eastAsia="ja-JP"/>
        </w:rPr>
        <w:t>Equality of PFS distributions in the G-chemo and R-chemo arms in the FL population by investigator assessment:</w:t>
      </w:r>
    </w:p>
    <w:p w14:paraId="58B2246A" w14:textId="77777777" w:rsidR="0052032C" w:rsidRPr="0052032C" w:rsidRDefault="0052032C" w:rsidP="0052032C">
      <w:pPr>
        <w:pStyle w:val="ListBullet2"/>
        <w:rPr>
          <w:vertAlign w:val="subscript"/>
          <w:lang w:eastAsia="ja-JP"/>
        </w:rPr>
      </w:pPr>
      <w:r w:rsidRPr="0052032C">
        <w:rPr>
          <w:lang w:eastAsia="ja-JP"/>
        </w:rPr>
        <w:t>H</w:t>
      </w:r>
      <w:r w:rsidRPr="0052032C">
        <w:rPr>
          <w:vertAlign w:val="subscript"/>
          <w:lang w:eastAsia="ja-JP"/>
        </w:rPr>
        <w:t>0</w:t>
      </w:r>
      <w:r w:rsidRPr="0052032C">
        <w:rPr>
          <w:lang w:eastAsia="ja-JP"/>
        </w:rPr>
        <w:t>: PFS</w:t>
      </w:r>
      <w:r w:rsidRPr="0052032C">
        <w:rPr>
          <w:vertAlign w:val="subscript"/>
          <w:lang w:eastAsia="ja-JP"/>
        </w:rPr>
        <w:t xml:space="preserve">G-chemo </w:t>
      </w:r>
      <w:r w:rsidRPr="0052032C">
        <w:rPr>
          <w:lang w:eastAsia="ja-JP"/>
        </w:rPr>
        <w:t>= PFS</w:t>
      </w:r>
      <w:r w:rsidRPr="0052032C">
        <w:rPr>
          <w:vertAlign w:val="subscript"/>
          <w:lang w:eastAsia="ja-JP"/>
        </w:rPr>
        <w:t xml:space="preserve">R-chemo </w:t>
      </w:r>
      <w:r w:rsidRPr="0052032C">
        <w:rPr>
          <w:lang w:eastAsia="ja-JP"/>
        </w:rPr>
        <w:t>versus H</w:t>
      </w:r>
      <w:r w:rsidRPr="0052032C">
        <w:rPr>
          <w:vertAlign w:val="subscript"/>
          <w:lang w:eastAsia="ja-JP"/>
        </w:rPr>
        <w:t>1</w:t>
      </w:r>
      <w:r w:rsidRPr="0052032C">
        <w:rPr>
          <w:lang w:eastAsia="ja-JP"/>
        </w:rPr>
        <w:t>: S</w:t>
      </w:r>
      <w:r w:rsidRPr="0052032C">
        <w:rPr>
          <w:vertAlign w:val="subscript"/>
          <w:lang w:eastAsia="ja-JP"/>
        </w:rPr>
        <w:t xml:space="preserve">G-chemo </w:t>
      </w:r>
      <w:r w:rsidRPr="0052032C">
        <w:rPr>
          <w:lang w:eastAsia="ja-JP"/>
        </w:rPr>
        <w:t>≠ S</w:t>
      </w:r>
      <w:r w:rsidRPr="0052032C">
        <w:rPr>
          <w:vertAlign w:val="subscript"/>
          <w:lang w:eastAsia="ja-JP"/>
        </w:rPr>
        <w:t>R-chemo</w:t>
      </w:r>
    </w:p>
    <w:p w14:paraId="452BDB83" w14:textId="77777777" w:rsidR="0052032C" w:rsidRPr="0052032C" w:rsidRDefault="0052032C" w:rsidP="0052032C">
      <w:pPr>
        <w:pStyle w:val="ListBullet"/>
        <w:rPr>
          <w:lang w:eastAsia="ja-JP"/>
        </w:rPr>
      </w:pPr>
      <w:r w:rsidRPr="0052032C">
        <w:rPr>
          <w:lang w:eastAsia="ja-JP"/>
        </w:rPr>
        <w:t>In the FL subset, estimates of the number of events required to demonstrate efficacy with respect to PFS were made on the basis of the following assumptions:</w:t>
      </w:r>
    </w:p>
    <w:p w14:paraId="3E9104BC" w14:textId="55BA7C2C" w:rsidR="0052032C" w:rsidRPr="0052032C" w:rsidRDefault="007876FE" w:rsidP="0052032C">
      <w:pPr>
        <w:pStyle w:val="ListBullet2"/>
        <w:rPr>
          <w:lang w:eastAsia="ja-JP"/>
        </w:rPr>
      </w:pPr>
      <w:r>
        <w:rPr>
          <w:lang w:eastAsia="ja-JP"/>
        </w:rPr>
        <w:t xml:space="preserve">2 </w:t>
      </w:r>
      <w:r w:rsidR="0052032C" w:rsidRPr="0052032C">
        <w:rPr>
          <w:lang w:eastAsia="ja-JP"/>
        </w:rPr>
        <w:t>sided log-rank test at the 0.05 level of significance.</w:t>
      </w:r>
    </w:p>
    <w:p w14:paraId="5C6F7976" w14:textId="77777777" w:rsidR="0052032C" w:rsidRPr="0052032C" w:rsidRDefault="0052032C" w:rsidP="0052032C">
      <w:pPr>
        <w:pStyle w:val="ListBullet2"/>
        <w:rPr>
          <w:lang w:eastAsia="ja-JP"/>
        </w:rPr>
      </w:pPr>
      <w:r w:rsidRPr="0052032C">
        <w:rPr>
          <w:lang w:eastAsia="ja-JP"/>
        </w:rPr>
        <w:t>Powered for the follicular lymphoma population.</w:t>
      </w:r>
    </w:p>
    <w:p w14:paraId="3B93838D" w14:textId="57471ED0" w:rsidR="0052032C" w:rsidRPr="0052032C" w:rsidRDefault="0052032C" w:rsidP="0052032C">
      <w:pPr>
        <w:pStyle w:val="ListBullet2"/>
        <w:rPr>
          <w:lang w:eastAsia="ja-JP"/>
        </w:rPr>
      </w:pPr>
      <w:r w:rsidRPr="0052032C">
        <w:rPr>
          <w:lang w:eastAsia="ja-JP"/>
        </w:rPr>
        <w:t>Eighty percent power to detect a hazard ratio for obinutuzumab</w:t>
      </w:r>
      <w:r w:rsidR="00B12345">
        <w:rPr>
          <w:lang w:eastAsia="ja-JP"/>
        </w:rPr>
        <w:t xml:space="preserve"> </w:t>
      </w:r>
      <w:r w:rsidRPr="0052032C">
        <w:rPr>
          <w:lang w:eastAsia="ja-JP"/>
        </w:rPr>
        <w:t>combined chemotherapy versus rituximab</w:t>
      </w:r>
      <w:r w:rsidR="00B12345">
        <w:rPr>
          <w:lang w:eastAsia="ja-JP"/>
        </w:rPr>
        <w:t xml:space="preserve"> </w:t>
      </w:r>
      <w:r w:rsidRPr="0052032C">
        <w:rPr>
          <w:lang w:eastAsia="ja-JP"/>
        </w:rPr>
        <w:t>combined chemotherapy of 0.74, corre</w:t>
      </w:r>
      <w:r>
        <w:rPr>
          <w:lang w:eastAsia="ja-JP"/>
        </w:rPr>
        <w:t xml:space="preserve">sponding to an </w:t>
      </w:r>
      <w:r>
        <w:rPr>
          <w:lang w:eastAsia="ja-JP"/>
        </w:rPr>
        <w:lastRenderedPageBreak/>
        <w:t xml:space="preserve">improvement in 3 </w:t>
      </w:r>
      <w:r w:rsidRPr="0052032C">
        <w:rPr>
          <w:lang w:eastAsia="ja-JP"/>
        </w:rPr>
        <w:t>year PFS from 70.7% to 77.4% or in median PFS from 6 to 8.1 years (35%). Estimates of median PFS are not likely to be reached in either study arm.</w:t>
      </w:r>
    </w:p>
    <w:p w14:paraId="252A9057" w14:textId="77777777" w:rsidR="0052032C" w:rsidRPr="0052032C" w:rsidRDefault="0052032C" w:rsidP="0052032C">
      <w:pPr>
        <w:pStyle w:val="ListBullet2"/>
        <w:rPr>
          <w:lang w:eastAsia="ja-JP"/>
        </w:rPr>
      </w:pPr>
      <w:r w:rsidRPr="0052032C">
        <w:rPr>
          <w:lang w:eastAsia="ja-JP"/>
        </w:rPr>
        <w:t>Exponential distribution of PFS.</w:t>
      </w:r>
    </w:p>
    <w:p w14:paraId="6CF02475" w14:textId="77777777" w:rsidR="0052032C" w:rsidRPr="0052032C" w:rsidRDefault="0052032C" w:rsidP="0052032C">
      <w:pPr>
        <w:pStyle w:val="ListBullet2"/>
        <w:rPr>
          <w:lang w:eastAsia="ja-JP"/>
        </w:rPr>
      </w:pPr>
      <w:r w:rsidRPr="0052032C">
        <w:rPr>
          <w:lang w:eastAsia="ja-JP"/>
        </w:rPr>
        <w:t>An annual dropout rate of 2.5%.</w:t>
      </w:r>
    </w:p>
    <w:p w14:paraId="53B387F3" w14:textId="5E75EA33" w:rsidR="0052032C" w:rsidRPr="0052032C" w:rsidRDefault="0052032C" w:rsidP="0052032C">
      <w:pPr>
        <w:rPr>
          <w:lang w:eastAsia="ja-JP"/>
        </w:rPr>
      </w:pPr>
      <w:r w:rsidRPr="0052032C">
        <w:rPr>
          <w:lang w:eastAsia="ja-JP"/>
        </w:rPr>
        <w:t>Performance of interim analyses on PFS: one futility analysis when approximately 30% of the total (investigator</w:t>
      </w:r>
      <w:r w:rsidR="00B12345">
        <w:rPr>
          <w:lang w:eastAsia="ja-JP"/>
        </w:rPr>
        <w:t xml:space="preserve"> </w:t>
      </w:r>
      <w:r w:rsidRPr="0052032C">
        <w:rPr>
          <w:lang w:eastAsia="ja-JP"/>
        </w:rPr>
        <w:t>assessed) PFS events had occurred (</w:t>
      </w:r>
      <w:r>
        <w:rPr>
          <w:lang w:eastAsia="ja-JP"/>
        </w:rPr>
        <w:t>second</w:t>
      </w:r>
      <w:r w:rsidRPr="0052032C">
        <w:rPr>
          <w:lang w:eastAsia="ja-JP"/>
        </w:rPr>
        <w:t xml:space="preserve"> Interim </w:t>
      </w:r>
      <w:r>
        <w:rPr>
          <w:lang w:eastAsia="ja-JP"/>
        </w:rPr>
        <w:t>(</w:t>
      </w:r>
      <w:r w:rsidRPr="0052032C">
        <w:rPr>
          <w:lang w:eastAsia="ja-JP"/>
        </w:rPr>
        <w:t>futility), and one efficacy analysis (</w:t>
      </w:r>
      <w:r>
        <w:rPr>
          <w:lang w:eastAsia="ja-JP"/>
        </w:rPr>
        <w:t>third</w:t>
      </w:r>
      <w:r w:rsidRPr="0052032C">
        <w:rPr>
          <w:lang w:eastAsia="ja-JP"/>
        </w:rPr>
        <w:t xml:space="preserve"> Interim </w:t>
      </w:r>
      <w:r>
        <w:rPr>
          <w:lang w:eastAsia="ja-JP"/>
        </w:rPr>
        <w:t>(</w:t>
      </w:r>
      <w:r w:rsidRPr="0052032C">
        <w:rPr>
          <w:lang w:eastAsia="ja-JP"/>
        </w:rPr>
        <w:t>efficacy</w:t>
      </w:r>
      <w:r>
        <w:rPr>
          <w:lang w:eastAsia="ja-JP"/>
        </w:rPr>
        <w:t>)</w:t>
      </w:r>
      <w:r w:rsidRPr="0052032C">
        <w:rPr>
          <w:lang w:eastAsia="ja-JP"/>
        </w:rPr>
        <w:t>; see</w:t>
      </w:r>
      <w:r>
        <w:rPr>
          <w:lang w:eastAsia="ja-JP"/>
        </w:rPr>
        <w:t xml:space="preserve"> Table 2, below</w:t>
      </w:r>
      <w:r w:rsidRPr="0052032C">
        <w:rPr>
          <w:lang w:eastAsia="ja-JP"/>
        </w:rPr>
        <w:t>) when approximately 67% of the total (invest</w:t>
      </w:r>
      <w:r>
        <w:rPr>
          <w:lang w:eastAsia="ja-JP"/>
        </w:rPr>
        <w:t xml:space="preserve">igator </w:t>
      </w:r>
      <w:r w:rsidRPr="0052032C">
        <w:rPr>
          <w:lang w:eastAsia="ja-JP"/>
        </w:rPr>
        <w:t>assessed) PFS events had occurred. Efficacy and (non-binding) futility boundaries were calculated using the Lan-DeMets approximation to the O’Brien-Fleming boundary shape.</w:t>
      </w:r>
    </w:p>
    <w:p w14:paraId="29736167" w14:textId="77777777" w:rsidR="0052032C" w:rsidRPr="0052032C" w:rsidRDefault="0052032C" w:rsidP="0052032C">
      <w:pPr>
        <w:rPr>
          <w:lang w:eastAsia="ja-JP"/>
        </w:rPr>
      </w:pPr>
      <w:r w:rsidRPr="0052032C">
        <w:rPr>
          <w:lang w:eastAsia="ja-JP"/>
        </w:rPr>
        <w:t>In addition, a futility analysis on the basis of CR rates at the end of induction (</w:t>
      </w:r>
      <w:r>
        <w:rPr>
          <w:lang w:eastAsia="ja-JP"/>
        </w:rPr>
        <w:t>first</w:t>
      </w:r>
      <w:r w:rsidRPr="0052032C">
        <w:rPr>
          <w:lang w:eastAsia="ja-JP"/>
        </w:rPr>
        <w:t xml:space="preserve"> Interim </w:t>
      </w:r>
      <w:r>
        <w:rPr>
          <w:lang w:eastAsia="ja-JP"/>
        </w:rPr>
        <w:t>(</w:t>
      </w:r>
      <w:r w:rsidRPr="0052032C">
        <w:rPr>
          <w:lang w:eastAsia="ja-JP"/>
        </w:rPr>
        <w:t>futility</w:t>
      </w:r>
      <w:r>
        <w:rPr>
          <w:lang w:eastAsia="ja-JP"/>
        </w:rPr>
        <w:t>)</w:t>
      </w:r>
      <w:r w:rsidRPr="0052032C">
        <w:rPr>
          <w:lang w:eastAsia="ja-JP"/>
        </w:rPr>
        <w:t>; see</w:t>
      </w:r>
      <w:r>
        <w:rPr>
          <w:lang w:eastAsia="ja-JP"/>
        </w:rPr>
        <w:t xml:space="preserve"> Table 2, below</w:t>
      </w:r>
      <w:r w:rsidRPr="0052032C">
        <w:rPr>
          <w:lang w:eastAsia="ja-JP"/>
        </w:rPr>
        <w:t>), as determined by CT (or MRI, but not PET), will be performed on the first 170 randomi</w:t>
      </w:r>
      <w:r>
        <w:rPr>
          <w:lang w:eastAsia="ja-JP"/>
        </w:rPr>
        <w:t>s</w:t>
      </w:r>
      <w:r w:rsidRPr="0052032C">
        <w:rPr>
          <w:lang w:eastAsia="ja-JP"/>
        </w:rPr>
        <w:t>e</w:t>
      </w:r>
      <w:r>
        <w:rPr>
          <w:lang w:eastAsia="ja-JP"/>
        </w:rPr>
        <w:t>d follicular lymphoma patients.</w:t>
      </w:r>
    </w:p>
    <w:p w14:paraId="4A6C6404" w14:textId="77777777" w:rsidR="0052032C" w:rsidRPr="0052032C" w:rsidRDefault="0052032C" w:rsidP="0052032C">
      <w:pPr>
        <w:rPr>
          <w:lang w:eastAsia="ja-JP"/>
        </w:rPr>
      </w:pPr>
      <w:r w:rsidRPr="0052032C">
        <w:rPr>
          <w:lang w:eastAsia="ja-JP"/>
        </w:rPr>
        <w:t xml:space="preserve">With the above assumptions, 370 PFS events are required to achieve 80% </w:t>
      </w:r>
      <w:r>
        <w:rPr>
          <w:lang w:eastAsia="ja-JP"/>
        </w:rPr>
        <w:t>power for the primary analysis.</w:t>
      </w:r>
    </w:p>
    <w:p w14:paraId="3B45BEC0" w14:textId="77777777" w:rsidR="0052032C" w:rsidRPr="0052032C" w:rsidRDefault="0052032C" w:rsidP="0052032C">
      <w:pPr>
        <w:rPr>
          <w:b/>
          <w:lang w:eastAsia="ja-JP"/>
        </w:rPr>
      </w:pPr>
      <w:bookmarkStart w:id="75" w:name="_Ref475104218"/>
      <w:bookmarkStart w:id="76" w:name="_Toc481769202"/>
      <w:proofErr w:type="gramStart"/>
      <w:r w:rsidRPr="0052032C">
        <w:rPr>
          <w:b/>
          <w:lang w:eastAsia="ja-JP"/>
        </w:rPr>
        <w:t xml:space="preserve">Table </w:t>
      </w:r>
      <w:bookmarkEnd w:id="75"/>
      <w:r>
        <w:rPr>
          <w:b/>
          <w:lang w:eastAsia="ja-JP"/>
        </w:rPr>
        <w:t>2.</w:t>
      </w:r>
      <w:proofErr w:type="gramEnd"/>
      <w:r>
        <w:rPr>
          <w:b/>
          <w:lang w:eastAsia="ja-JP"/>
        </w:rPr>
        <w:t xml:space="preserve"> Study BO21223 </w:t>
      </w:r>
      <w:r>
        <w:rPr>
          <w:b/>
          <w:bCs/>
          <w:lang w:eastAsia="ja-JP"/>
        </w:rPr>
        <w:t>Timing of analyses: primary efficacy and f</w:t>
      </w:r>
      <w:r w:rsidRPr="0052032C">
        <w:rPr>
          <w:b/>
          <w:bCs/>
          <w:lang w:eastAsia="ja-JP"/>
        </w:rPr>
        <w:t>utility</w:t>
      </w:r>
      <w:bookmarkEnd w:id="76"/>
    </w:p>
    <w:p w14:paraId="7DB3A8A8" w14:textId="77777777" w:rsidR="0052032C" w:rsidRPr="0052032C" w:rsidRDefault="0052032C" w:rsidP="0052032C">
      <w:pPr>
        <w:rPr>
          <w:lang w:eastAsia="ja-JP"/>
        </w:rPr>
      </w:pPr>
      <w:r w:rsidRPr="0052032C">
        <w:rPr>
          <w:noProof/>
          <w:lang w:eastAsia="en-AU"/>
        </w:rPr>
        <w:drawing>
          <wp:inline distT="0" distB="0" distL="0" distR="0" wp14:anchorId="52BDCD9F" wp14:editId="5A5950D1">
            <wp:extent cx="5040536" cy="2881614"/>
            <wp:effectExtent l="0" t="0" r="8255" b="0"/>
            <wp:docPr id="111" name="Picture 111" descr="Study BO21223 Timing of analyses: primary efficacy and f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36782" cy="2879468"/>
                    </a:xfrm>
                    <a:prstGeom prst="rect">
                      <a:avLst/>
                    </a:prstGeom>
                  </pic:spPr>
                </pic:pic>
              </a:graphicData>
            </a:graphic>
          </wp:inline>
        </w:drawing>
      </w:r>
    </w:p>
    <w:p w14:paraId="705A3E39" w14:textId="77777777" w:rsidR="0052032C" w:rsidRPr="0052032C" w:rsidRDefault="0052032C" w:rsidP="0052032C">
      <w:pPr>
        <w:pStyle w:val="Heading5"/>
        <w:rPr>
          <w:rFonts w:eastAsia="Cambria"/>
          <w:lang w:eastAsia="ja-JP"/>
        </w:rPr>
      </w:pPr>
      <w:bookmarkStart w:id="77" w:name="_Ref480366046"/>
      <w:r w:rsidRPr="0052032C">
        <w:rPr>
          <w:rFonts w:eastAsia="Cambria"/>
          <w:lang w:eastAsia="ja-JP"/>
        </w:rPr>
        <w:t>Statistical methods</w:t>
      </w:r>
      <w:bookmarkEnd w:id="77"/>
    </w:p>
    <w:p w14:paraId="51120106" w14:textId="77777777" w:rsidR="0052032C" w:rsidRPr="0052032C" w:rsidRDefault="0052032C" w:rsidP="0052032C">
      <w:pPr>
        <w:rPr>
          <w:lang w:eastAsia="ja-JP"/>
        </w:rPr>
      </w:pPr>
      <w:r w:rsidRPr="0052032C">
        <w:rPr>
          <w:lang w:eastAsia="ja-JP"/>
        </w:rPr>
        <w:t>The primary analysis of the study will test the equality of PFS distributions in the obinutuzumab plus chemotherapy (G-Chemo) and rituximab plus chemotherapy (R-Chemo) arms, as follows:</w:t>
      </w:r>
    </w:p>
    <w:p w14:paraId="3ABE27CF" w14:textId="77777777" w:rsidR="0052032C" w:rsidRPr="0052032C" w:rsidRDefault="0052032C" w:rsidP="0052032C">
      <w:pPr>
        <w:pStyle w:val="ListBullet"/>
        <w:rPr>
          <w:vertAlign w:val="subscript"/>
          <w:lang w:eastAsia="ja-JP"/>
        </w:rPr>
      </w:pPr>
      <w:r w:rsidRPr="0052032C">
        <w:rPr>
          <w:lang w:eastAsia="ja-JP"/>
        </w:rPr>
        <w:t>H</w:t>
      </w:r>
      <w:r w:rsidRPr="0052032C">
        <w:rPr>
          <w:vertAlign w:val="subscript"/>
          <w:lang w:eastAsia="ja-JP"/>
        </w:rPr>
        <w:t>0</w:t>
      </w:r>
      <w:r w:rsidRPr="0052032C">
        <w:rPr>
          <w:lang w:eastAsia="ja-JP"/>
        </w:rPr>
        <w:t>: PFS</w:t>
      </w:r>
      <w:r w:rsidRPr="0052032C">
        <w:rPr>
          <w:vertAlign w:val="subscript"/>
          <w:lang w:eastAsia="ja-JP"/>
        </w:rPr>
        <w:t xml:space="preserve">G-chemo </w:t>
      </w:r>
      <w:r w:rsidRPr="0052032C">
        <w:rPr>
          <w:lang w:eastAsia="ja-JP"/>
        </w:rPr>
        <w:t>= PFS</w:t>
      </w:r>
      <w:r w:rsidRPr="0052032C">
        <w:rPr>
          <w:vertAlign w:val="subscript"/>
          <w:lang w:eastAsia="ja-JP"/>
        </w:rPr>
        <w:t xml:space="preserve">R-chemo </w:t>
      </w:r>
      <w:r w:rsidRPr="0052032C">
        <w:rPr>
          <w:lang w:eastAsia="ja-JP"/>
        </w:rPr>
        <w:t>versus H</w:t>
      </w:r>
      <w:r w:rsidRPr="0052032C">
        <w:rPr>
          <w:vertAlign w:val="subscript"/>
          <w:lang w:eastAsia="ja-JP"/>
        </w:rPr>
        <w:t>1</w:t>
      </w:r>
      <w:r w:rsidRPr="0052032C">
        <w:rPr>
          <w:lang w:eastAsia="ja-JP"/>
        </w:rPr>
        <w:t>: S</w:t>
      </w:r>
      <w:r w:rsidRPr="0052032C">
        <w:rPr>
          <w:vertAlign w:val="subscript"/>
          <w:lang w:eastAsia="ja-JP"/>
        </w:rPr>
        <w:t xml:space="preserve">G-chemo </w:t>
      </w:r>
      <w:r w:rsidRPr="0052032C">
        <w:rPr>
          <w:lang w:eastAsia="ja-JP"/>
        </w:rPr>
        <w:t>≠ S</w:t>
      </w:r>
      <w:r w:rsidRPr="0052032C">
        <w:rPr>
          <w:vertAlign w:val="subscript"/>
          <w:lang w:eastAsia="ja-JP"/>
        </w:rPr>
        <w:t>R-chemo</w:t>
      </w:r>
    </w:p>
    <w:p w14:paraId="2C0A07DE" w14:textId="4FA7CD7E" w:rsidR="0052032C" w:rsidRPr="0052032C" w:rsidRDefault="0052032C" w:rsidP="0052032C">
      <w:pPr>
        <w:rPr>
          <w:lang w:eastAsia="ja-JP"/>
        </w:rPr>
      </w:pPr>
      <w:r w:rsidRPr="0052032C">
        <w:rPr>
          <w:lang w:eastAsia="ja-JP"/>
        </w:rPr>
        <w:t xml:space="preserve">Treatment comparison will be made using a </w:t>
      </w:r>
      <w:r w:rsidR="008531A2">
        <w:rPr>
          <w:lang w:eastAsia="ja-JP"/>
        </w:rPr>
        <w:t xml:space="preserve">2 </w:t>
      </w:r>
      <w:r w:rsidRPr="0052032C">
        <w:rPr>
          <w:lang w:eastAsia="ja-JP"/>
        </w:rPr>
        <w:t xml:space="preserve">sided stratified log-rank test </w:t>
      </w:r>
      <w:proofErr w:type="gramStart"/>
      <w:r w:rsidRPr="0052032C">
        <w:rPr>
          <w:lang w:eastAsia="ja-JP"/>
        </w:rPr>
        <w:t>(0.05 significance level)</w:t>
      </w:r>
      <w:proofErr w:type="gramEnd"/>
      <w:r w:rsidRPr="0052032C">
        <w:rPr>
          <w:lang w:eastAsia="ja-JP"/>
        </w:rPr>
        <w:t xml:space="preserve"> stratified by chemotherapy regimen (CHOP, CVP, or bendamustine) and FLIPI risk group (low, intermediate, or high). Kaplan-Meier methodology will be used to estimate PFS distribution for each treatment arm. The Kaplan-Meier curve will provide a visual description of the differences across treatment arms. Estimates of the treatment effect will be expressed as hazard ratios through use o</w:t>
      </w:r>
      <w:r>
        <w:rPr>
          <w:lang w:eastAsia="ja-JP"/>
        </w:rPr>
        <w:t xml:space="preserve">f a stratified Cox proportional </w:t>
      </w:r>
      <w:r w:rsidRPr="0052032C">
        <w:rPr>
          <w:lang w:eastAsia="ja-JP"/>
        </w:rPr>
        <w:t>hazards analysis, including 95% confidence limits.</w:t>
      </w:r>
    </w:p>
    <w:p w14:paraId="17DC970F" w14:textId="77777777" w:rsidR="0052032C" w:rsidRPr="0052032C" w:rsidRDefault="0052032C" w:rsidP="0052032C">
      <w:pPr>
        <w:rPr>
          <w:lang w:eastAsia="ja-JP"/>
        </w:rPr>
      </w:pPr>
      <w:r w:rsidRPr="0052032C">
        <w:rPr>
          <w:lang w:eastAsia="ja-JP"/>
        </w:rPr>
        <w:t>Median PFS is not expected to be reac</w:t>
      </w:r>
      <w:r>
        <w:rPr>
          <w:lang w:eastAsia="ja-JP"/>
        </w:rPr>
        <w:t xml:space="preserve">hed in this study; hence, the 3 year and 4 </w:t>
      </w:r>
      <w:r w:rsidRPr="0052032C">
        <w:rPr>
          <w:lang w:eastAsia="ja-JP"/>
        </w:rPr>
        <w:t>year rates will be used to describe PFS in addition to the hazard ratio.</w:t>
      </w:r>
    </w:p>
    <w:p w14:paraId="049BD1E6" w14:textId="77777777" w:rsidR="0052032C" w:rsidRPr="0052032C" w:rsidRDefault="0052032C" w:rsidP="0052032C">
      <w:pPr>
        <w:rPr>
          <w:lang w:eastAsia="ja-JP"/>
        </w:rPr>
      </w:pPr>
      <w:r w:rsidRPr="0052032C">
        <w:rPr>
          <w:lang w:eastAsia="ja-JP"/>
        </w:rPr>
        <w:t>The following sensitivity analyses for PFS will also be performed:</w:t>
      </w:r>
    </w:p>
    <w:p w14:paraId="68D027EA" w14:textId="77777777" w:rsidR="0052032C" w:rsidRPr="0052032C" w:rsidRDefault="0052032C" w:rsidP="0052032C">
      <w:pPr>
        <w:pStyle w:val="ListBullet"/>
        <w:rPr>
          <w:lang w:eastAsia="ja-JP"/>
        </w:rPr>
      </w:pPr>
      <w:r w:rsidRPr="0052032C">
        <w:rPr>
          <w:lang w:eastAsia="ja-JP"/>
        </w:rPr>
        <w:lastRenderedPageBreak/>
        <w:t>An unstratified log-rank test will be performed.</w:t>
      </w:r>
    </w:p>
    <w:p w14:paraId="1498212A" w14:textId="38BB905D" w:rsidR="0052032C" w:rsidRPr="0052032C" w:rsidRDefault="0052032C" w:rsidP="0052032C">
      <w:pPr>
        <w:pStyle w:val="ListBullet"/>
        <w:rPr>
          <w:lang w:eastAsia="ja-JP"/>
        </w:rPr>
      </w:pPr>
      <w:r w:rsidRPr="0052032C">
        <w:rPr>
          <w:lang w:eastAsia="ja-JP"/>
        </w:rPr>
        <w:t>A re-</w:t>
      </w:r>
      <w:r w:rsidR="00705E66">
        <w:rPr>
          <w:lang w:eastAsia="ja-JP"/>
        </w:rPr>
        <w:t>randomis</w:t>
      </w:r>
      <w:r w:rsidRPr="0052032C">
        <w:rPr>
          <w:lang w:eastAsia="ja-JP"/>
        </w:rPr>
        <w:t xml:space="preserve">ation test of the primary endpoint will be performed to assess the sensitivity of the stratified log-rank test to the dynamic </w:t>
      </w:r>
      <w:r>
        <w:rPr>
          <w:lang w:eastAsia="ja-JP"/>
        </w:rPr>
        <w:t>randomis</w:t>
      </w:r>
      <w:r w:rsidRPr="0052032C">
        <w:rPr>
          <w:lang w:eastAsia="ja-JP"/>
        </w:rPr>
        <w:t>ation procedure.</w:t>
      </w:r>
    </w:p>
    <w:p w14:paraId="2B3D03FA" w14:textId="77777777" w:rsidR="0052032C" w:rsidRPr="0052032C" w:rsidRDefault="0052032C" w:rsidP="0052032C">
      <w:pPr>
        <w:pStyle w:val="ListBullet"/>
        <w:rPr>
          <w:lang w:eastAsia="ja-JP"/>
        </w:rPr>
      </w:pPr>
      <w:r>
        <w:rPr>
          <w:lang w:eastAsia="ja-JP"/>
        </w:rPr>
        <w:t xml:space="preserve">The impact of loss to follow up will be assessed by a worst </w:t>
      </w:r>
      <w:r w:rsidRPr="0052032C">
        <w:rPr>
          <w:lang w:eastAsia="ja-JP"/>
        </w:rPr>
        <w:t>case analysis that assigns event outcomes to patients who were lost prior to disease progression in the obinutuzumab arm at the next scheduled disease assessment date and censored outcomes to patients in the rituximab arm at the last disease assessment date.</w:t>
      </w:r>
    </w:p>
    <w:p w14:paraId="5ECE5EBE" w14:textId="77777777" w:rsidR="0052032C" w:rsidRPr="0052032C" w:rsidRDefault="0052032C" w:rsidP="0052032C">
      <w:pPr>
        <w:pStyle w:val="ListBullet"/>
        <w:rPr>
          <w:lang w:eastAsia="ja-JP"/>
        </w:rPr>
      </w:pPr>
      <w:r w:rsidRPr="0052032C">
        <w:rPr>
          <w:lang w:eastAsia="ja-JP"/>
        </w:rPr>
        <w:t>PFS analyses will be performed with censoring at</w:t>
      </w:r>
      <w:r>
        <w:rPr>
          <w:lang w:eastAsia="ja-JP"/>
        </w:rPr>
        <w:t xml:space="preserve"> the initiation of non−protocol </w:t>
      </w:r>
      <w:r w:rsidRPr="0052032C">
        <w:rPr>
          <w:lang w:eastAsia="ja-JP"/>
        </w:rPr>
        <w:t>specified anti-lymphoma therapy to assess potential confounding of the treatment effect estimates by subsequent therapy.</w:t>
      </w:r>
    </w:p>
    <w:p w14:paraId="2E157F75" w14:textId="0EA558C2" w:rsidR="0052032C" w:rsidRPr="0052032C" w:rsidRDefault="0052032C" w:rsidP="0052032C">
      <w:pPr>
        <w:pStyle w:val="ListBullet"/>
        <w:rPr>
          <w:lang w:eastAsia="ja-JP"/>
        </w:rPr>
      </w:pPr>
      <w:r w:rsidRPr="0052032C">
        <w:rPr>
          <w:lang w:eastAsia="ja-JP"/>
        </w:rPr>
        <w:t xml:space="preserve">PFS analyses will be performed with censoring of patients who died more than 6 months after their last </w:t>
      </w:r>
      <w:r w:rsidR="00BB2C5B">
        <w:rPr>
          <w:lang w:eastAsia="ja-JP"/>
        </w:rPr>
        <w:t>tumour</w:t>
      </w:r>
      <w:r w:rsidRPr="0052032C">
        <w:rPr>
          <w:lang w:eastAsia="ja-JP"/>
        </w:rPr>
        <w:t xml:space="preserve"> assessment and showed no sign of progression (</w:t>
      </w:r>
      <w:r w:rsidR="00705E66">
        <w:rPr>
          <w:lang w:eastAsia="ja-JP"/>
        </w:rPr>
        <w:t>that is</w:t>
      </w:r>
      <w:r w:rsidRPr="0052032C">
        <w:rPr>
          <w:lang w:eastAsia="ja-JP"/>
        </w:rPr>
        <w:t xml:space="preserve">, at the last available </w:t>
      </w:r>
      <w:r w:rsidR="00BB2C5B">
        <w:rPr>
          <w:lang w:eastAsia="ja-JP"/>
        </w:rPr>
        <w:t>tumour</w:t>
      </w:r>
      <w:r w:rsidRPr="0052032C">
        <w:rPr>
          <w:lang w:eastAsia="ja-JP"/>
        </w:rPr>
        <w:t xml:space="preserve"> assessment).</w:t>
      </w:r>
    </w:p>
    <w:p w14:paraId="09C77C94" w14:textId="77777777" w:rsidR="0052032C" w:rsidRPr="0052032C" w:rsidRDefault="0052032C" w:rsidP="0052032C">
      <w:pPr>
        <w:pStyle w:val="ListBullet"/>
        <w:rPr>
          <w:lang w:eastAsia="ja-JP"/>
        </w:rPr>
      </w:pPr>
      <w:r w:rsidRPr="0052032C">
        <w:rPr>
          <w:lang w:eastAsia="ja-JP"/>
        </w:rPr>
        <w:t>A multivariate sensitivity analysis of PFS will be p</w:t>
      </w:r>
      <w:r>
        <w:rPr>
          <w:lang w:eastAsia="ja-JP"/>
        </w:rPr>
        <w:t xml:space="preserve">erformed using Cox proportional </w:t>
      </w:r>
      <w:r w:rsidRPr="0052032C">
        <w:rPr>
          <w:lang w:eastAsia="ja-JP"/>
        </w:rPr>
        <w:t>hazards regression to assess the treatment effect after adjustment for potential prognostic factors.</w:t>
      </w:r>
    </w:p>
    <w:p w14:paraId="58AD9C13" w14:textId="77777777" w:rsidR="00226640" w:rsidRDefault="0052032C" w:rsidP="0052032C">
      <w:pPr>
        <w:pStyle w:val="Heading5"/>
        <w:rPr>
          <w:rFonts w:eastAsia="Cambria"/>
          <w:lang w:eastAsia="ja-JP"/>
        </w:rPr>
      </w:pPr>
      <w:bookmarkStart w:id="78" w:name="_Ref475358158"/>
      <w:r w:rsidRPr="0052032C">
        <w:rPr>
          <w:rFonts w:eastAsia="Cambria"/>
          <w:lang w:eastAsia="ja-JP"/>
        </w:rPr>
        <w:t>Participant flow</w:t>
      </w:r>
      <w:bookmarkEnd w:id="78"/>
    </w:p>
    <w:p w14:paraId="1F67D1C3" w14:textId="581C81D5" w:rsidR="0052032C" w:rsidRPr="0052032C" w:rsidRDefault="0052032C" w:rsidP="0052032C">
      <w:pPr>
        <w:rPr>
          <w:lang w:eastAsia="ja-JP"/>
        </w:rPr>
      </w:pPr>
      <w:r w:rsidRPr="0052032C">
        <w:rPr>
          <w:lang w:eastAsia="ja-JP"/>
        </w:rPr>
        <w:t>A total of 1606 patients were screened for entry into this study. There were 205 screen failures, mainly due to not meeting the inclusion/exclusion criteria. Screen failure data is not recorded in the clinical database.</w:t>
      </w:r>
    </w:p>
    <w:p w14:paraId="6CE6EE98" w14:textId="78BFE2CE" w:rsidR="0052032C" w:rsidRPr="0052032C" w:rsidRDefault="0052032C" w:rsidP="0052032C">
      <w:pPr>
        <w:rPr>
          <w:lang w:eastAsia="ja-JP"/>
        </w:rPr>
      </w:pPr>
      <w:r w:rsidRPr="0052032C">
        <w:rPr>
          <w:lang w:eastAsia="ja-JP"/>
        </w:rPr>
        <w:t xml:space="preserve">A total of 1401 patients were </w:t>
      </w:r>
      <w:r w:rsidR="00705E66">
        <w:rPr>
          <w:lang w:eastAsia="ja-JP"/>
        </w:rPr>
        <w:t>randomis</w:t>
      </w:r>
      <w:r w:rsidRPr="0052032C">
        <w:rPr>
          <w:lang w:eastAsia="ja-JP"/>
        </w:rPr>
        <w:t>ed in the study (699 patients to the R-chemo arm and 702 patients to the G-chemo arm). The first p</w:t>
      </w:r>
      <w:r>
        <w:rPr>
          <w:lang w:eastAsia="ja-JP"/>
        </w:rPr>
        <w:t xml:space="preserve">atient was </w:t>
      </w:r>
      <w:r w:rsidR="00705E66">
        <w:rPr>
          <w:lang w:eastAsia="ja-JP"/>
        </w:rPr>
        <w:t>randomis</w:t>
      </w:r>
      <w:r>
        <w:rPr>
          <w:lang w:eastAsia="ja-JP"/>
        </w:rPr>
        <w:t>ed on 6 July</w:t>
      </w:r>
      <w:r w:rsidRPr="0052032C">
        <w:rPr>
          <w:lang w:eastAsia="ja-JP"/>
        </w:rPr>
        <w:t xml:space="preserve"> 2011 and the last patient on 5 February, 2014.</w:t>
      </w:r>
    </w:p>
    <w:p w14:paraId="725C255E" w14:textId="77777777" w:rsidR="0052032C" w:rsidRPr="0052032C" w:rsidRDefault="0052032C" w:rsidP="0052032C">
      <w:pPr>
        <w:rPr>
          <w:lang w:eastAsia="ja-JP"/>
        </w:rPr>
      </w:pPr>
      <w:r w:rsidRPr="0052032C">
        <w:rPr>
          <w:lang w:eastAsia="ja-JP"/>
        </w:rPr>
        <w:t>A total of 1202 follicular lymphoma patients were randomi</w:t>
      </w:r>
      <w:r>
        <w:rPr>
          <w:lang w:eastAsia="ja-JP"/>
        </w:rPr>
        <w:t>s</w:t>
      </w:r>
      <w:r w:rsidRPr="0052032C">
        <w:rPr>
          <w:lang w:eastAsia="ja-JP"/>
        </w:rPr>
        <w:t>ed in the study (601 patients to the R-chemo arm and 601 patients to the G-chemo ar</w:t>
      </w:r>
      <w:r>
        <w:rPr>
          <w:lang w:eastAsia="ja-JP"/>
        </w:rPr>
        <w:t>m).</w:t>
      </w:r>
    </w:p>
    <w:p w14:paraId="54127392" w14:textId="77777777" w:rsidR="0052032C" w:rsidRPr="0052032C" w:rsidRDefault="0052032C" w:rsidP="0052032C">
      <w:pPr>
        <w:rPr>
          <w:lang w:eastAsia="ja-JP"/>
        </w:rPr>
      </w:pPr>
      <w:r w:rsidRPr="0052032C">
        <w:rPr>
          <w:lang w:eastAsia="ja-JP"/>
        </w:rPr>
        <w:t>Of the 1202 patients randomi</w:t>
      </w:r>
      <w:r>
        <w:rPr>
          <w:lang w:eastAsia="ja-JP"/>
        </w:rPr>
        <w:t>s</w:t>
      </w:r>
      <w:r w:rsidRPr="0052032C">
        <w:rPr>
          <w:lang w:eastAsia="ja-JP"/>
        </w:rPr>
        <w:t>ed, 1192 received at least one dose of study medication. Ten patients withdrew from the study after randomi</w:t>
      </w:r>
      <w:r>
        <w:rPr>
          <w:lang w:eastAsia="ja-JP"/>
        </w:rPr>
        <w:t>s</w:t>
      </w:r>
      <w:r w:rsidRPr="0052032C">
        <w:rPr>
          <w:lang w:eastAsia="ja-JP"/>
        </w:rPr>
        <w:t>ation but prior to receiving study treatment. Reasons for not being treated included: withdrawal by subject (5 p</w:t>
      </w:r>
      <w:r>
        <w:rPr>
          <w:lang w:eastAsia="ja-JP"/>
        </w:rPr>
        <w:t>atients), protocol violation (3 </w:t>
      </w:r>
      <w:r w:rsidRPr="0052032C">
        <w:rPr>
          <w:lang w:eastAsia="ja-JP"/>
        </w:rPr>
        <w:t>patients), physician decision (1 patient) and adverse event (1 patient).</w:t>
      </w:r>
    </w:p>
    <w:p w14:paraId="62E87B95" w14:textId="29AEA25D" w:rsidR="0052032C" w:rsidRPr="0052032C" w:rsidRDefault="0052032C" w:rsidP="0052032C">
      <w:pPr>
        <w:rPr>
          <w:lang w:eastAsia="ja-JP"/>
        </w:rPr>
      </w:pPr>
      <w:r w:rsidRPr="0052032C">
        <w:rPr>
          <w:lang w:eastAsia="ja-JP"/>
        </w:rPr>
        <w:t>In total, 1108/1202 patients (92.2%) completed ind</w:t>
      </w:r>
      <w:r>
        <w:rPr>
          <w:lang w:eastAsia="ja-JP"/>
        </w:rPr>
        <w:t>uction treatment. There were 84 </w:t>
      </w:r>
      <w:r w:rsidRPr="0052032C">
        <w:rPr>
          <w:lang w:eastAsia="ja-JP"/>
        </w:rPr>
        <w:t>withdrawals from the st</w:t>
      </w:r>
      <w:r w:rsidR="004A481D">
        <w:rPr>
          <w:lang w:eastAsia="ja-JP"/>
        </w:rPr>
        <w:t>udy during the induction phase (</w:t>
      </w:r>
      <w:r w:rsidRPr="0052032C">
        <w:rPr>
          <w:lang w:eastAsia="ja-JP"/>
        </w:rPr>
        <w:t xml:space="preserve">see </w:t>
      </w:r>
      <w:r w:rsidR="004A481D">
        <w:rPr>
          <w:lang w:eastAsia="ja-JP"/>
        </w:rPr>
        <w:t xml:space="preserve">also </w:t>
      </w:r>
      <w:r w:rsidRPr="004A481D">
        <w:rPr>
          <w:lang w:eastAsia="ja-JP"/>
        </w:rPr>
        <w:t>Section 4.2</w:t>
      </w:r>
      <w:r w:rsidR="004A481D">
        <w:rPr>
          <w:lang w:eastAsia="ja-JP"/>
        </w:rPr>
        <w:t>)</w:t>
      </w:r>
      <w:r w:rsidRPr="004A481D">
        <w:rPr>
          <w:lang w:eastAsia="ja-JP"/>
        </w:rPr>
        <w:t>.</w:t>
      </w:r>
      <w:r w:rsidRPr="0052032C">
        <w:rPr>
          <w:lang w:eastAsia="ja-JP"/>
        </w:rPr>
        <w:t xml:space="preserve"> The percentage of withdrawals during induction was 7.8% (47/601 patients) in the R-chemo arm and 6.2% in the G-chemo arm (37/601 patients). At the time of the clinical cut</w:t>
      </w:r>
      <w:r>
        <w:rPr>
          <w:lang w:eastAsia="ja-JP"/>
        </w:rPr>
        <w:t xml:space="preserve"> </w:t>
      </w:r>
      <w:r w:rsidRPr="0052032C">
        <w:rPr>
          <w:lang w:eastAsia="ja-JP"/>
        </w:rPr>
        <w:t>off, 551/601 (91.7%) and 557/601 (92.7%) patients in R-chemo and G-chemo arms, respectively, had completed the induction phase.</w:t>
      </w:r>
    </w:p>
    <w:p w14:paraId="0BD9F147" w14:textId="3A5670F7" w:rsidR="0052032C" w:rsidRPr="0052032C" w:rsidRDefault="0052032C" w:rsidP="0052032C">
      <w:pPr>
        <w:rPr>
          <w:lang w:eastAsia="ja-JP"/>
        </w:rPr>
      </w:pPr>
      <w:r w:rsidRPr="0052032C">
        <w:rPr>
          <w:lang w:eastAsia="ja-JP"/>
        </w:rPr>
        <w:t>Overall, 1066/1202 patients (88.7%) received at least one dose of rituximab or obinutuzumab in the maintenance phase (527/601 patients (87.7%) in the R-chemo arm and 539/601 patients (89.7%) in the G-chemo arm). Only pa</w:t>
      </w:r>
      <w:r>
        <w:rPr>
          <w:lang w:eastAsia="ja-JP"/>
        </w:rPr>
        <w:t xml:space="preserve">tients with CR or PR at the end of </w:t>
      </w:r>
      <w:r w:rsidRPr="0052032C">
        <w:rPr>
          <w:lang w:eastAsia="ja-JP"/>
        </w:rPr>
        <w:t xml:space="preserve">induction were to enter the maintenance phase. However, </w:t>
      </w:r>
      <w:r>
        <w:rPr>
          <w:lang w:eastAsia="ja-JP"/>
        </w:rPr>
        <w:t>3</w:t>
      </w:r>
      <w:r w:rsidRPr="0052032C">
        <w:rPr>
          <w:lang w:eastAsia="ja-JP"/>
        </w:rPr>
        <w:t xml:space="preserve"> patients in each arm who had stable disease and </w:t>
      </w:r>
      <w:r>
        <w:rPr>
          <w:lang w:eastAsia="ja-JP"/>
        </w:rPr>
        <w:t>1</w:t>
      </w:r>
      <w:r w:rsidRPr="0052032C">
        <w:rPr>
          <w:lang w:eastAsia="ja-JP"/>
        </w:rPr>
        <w:t xml:space="preserve"> patient in each arm who had progressive disease at the end of induction entered the maintenance phase. At the time of the clinical cut</w:t>
      </w:r>
      <w:r>
        <w:rPr>
          <w:lang w:eastAsia="ja-JP"/>
        </w:rPr>
        <w:t xml:space="preserve"> </w:t>
      </w:r>
      <w:r w:rsidRPr="0052032C">
        <w:rPr>
          <w:lang w:eastAsia="ja-JP"/>
        </w:rPr>
        <w:t xml:space="preserve">off, 341/601 (56.7%) and 361/601 (60.1%) patients in R-chemo and G-chemo arms, respectively, had completed the maintenance phase. A further 114/1202 patients (9.5%) were still on study in the maintenance phase, and 250/1202 patients (20.8%) had discontinued from the study during the maintenance phase in the </w:t>
      </w:r>
      <w:r w:rsidR="004A481D">
        <w:rPr>
          <w:lang w:eastAsia="ja-JP"/>
        </w:rPr>
        <w:t>follicular lymphoma population (</w:t>
      </w:r>
      <w:r w:rsidRPr="004A481D">
        <w:rPr>
          <w:lang w:eastAsia="ja-JP"/>
        </w:rPr>
        <w:t>see</w:t>
      </w:r>
      <w:r w:rsidR="004A481D">
        <w:rPr>
          <w:lang w:eastAsia="ja-JP"/>
        </w:rPr>
        <w:t xml:space="preserve"> also</w:t>
      </w:r>
      <w:r w:rsidRPr="004A481D">
        <w:rPr>
          <w:lang w:eastAsia="ja-JP"/>
        </w:rPr>
        <w:t xml:space="preserve"> Section 4.2</w:t>
      </w:r>
      <w:r w:rsidR="00B12345">
        <w:rPr>
          <w:lang w:eastAsia="ja-JP"/>
        </w:rPr>
        <w:t xml:space="preserve"> above</w:t>
      </w:r>
      <w:r w:rsidR="004A481D">
        <w:rPr>
          <w:lang w:eastAsia="ja-JP"/>
        </w:rPr>
        <w:t>)</w:t>
      </w:r>
      <w:r w:rsidRPr="004A481D">
        <w:rPr>
          <w:lang w:eastAsia="ja-JP"/>
        </w:rPr>
        <w:t>.</w:t>
      </w:r>
    </w:p>
    <w:p w14:paraId="4309E4B8" w14:textId="77777777" w:rsidR="0052032C" w:rsidRPr="0052032C" w:rsidRDefault="0052032C" w:rsidP="0052032C">
      <w:pPr>
        <w:pStyle w:val="Heading6"/>
        <w:rPr>
          <w:lang w:eastAsia="ja-JP"/>
        </w:rPr>
      </w:pPr>
      <w:r>
        <w:rPr>
          <w:lang w:eastAsia="ja-JP"/>
        </w:rPr>
        <w:lastRenderedPageBreak/>
        <w:t>Analysis sets</w:t>
      </w:r>
    </w:p>
    <w:p w14:paraId="6D983BF6" w14:textId="470C5701" w:rsidR="0052032C" w:rsidRPr="0052032C" w:rsidRDefault="0052032C" w:rsidP="0052032C">
      <w:pPr>
        <w:pStyle w:val="ListBullet"/>
        <w:rPr>
          <w:lang w:eastAsia="ja-JP"/>
        </w:rPr>
      </w:pPr>
      <w:r w:rsidRPr="0052032C">
        <w:rPr>
          <w:lang w:eastAsia="ja-JP"/>
        </w:rPr>
        <w:t>The FL ITT population was the primary population for efficacy analyses (N = 1202; R</w:t>
      </w:r>
      <w:r w:rsidR="00461768">
        <w:rPr>
          <w:lang w:eastAsia="ja-JP"/>
        </w:rPr>
        <w:noBreakHyphen/>
      </w:r>
      <w:r w:rsidR="003F2588">
        <w:rPr>
          <w:lang w:eastAsia="ja-JP"/>
        </w:rPr>
        <w:t>chemo: 601 versus G-chemo: 601</w:t>
      </w:r>
      <w:r w:rsidRPr="0052032C">
        <w:rPr>
          <w:lang w:eastAsia="ja-JP"/>
        </w:rPr>
        <w:fldChar w:fldCharType="begin"/>
      </w:r>
      <w:r w:rsidRPr="0052032C">
        <w:rPr>
          <w:lang w:eastAsia="ja-JP"/>
        </w:rPr>
        <w:instrText xml:space="preserve"> REF _Ref475358696 \h  \* MERGEFORMAT </w:instrText>
      </w:r>
      <w:r w:rsidRPr="0052032C">
        <w:rPr>
          <w:lang w:eastAsia="ja-JP"/>
        </w:rPr>
      </w:r>
      <w:r w:rsidRPr="0052032C">
        <w:rPr>
          <w:lang w:eastAsia="ja-JP"/>
        </w:rPr>
        <w:fldChar w:fldCharType="separate"/>
      </w:r>
      <w:r w:rsidR="0061379C">
        <w:rPr>
          <w:b/>
          <w:bCs/>
          <w:lang w:val="en-US" w:eastAsia="ja-JP"/>
        </w:rPr>
        <w:t>Error! Reference source not found.</w:t>
      </w:r>
      <w:r w:rsidRPr="0052032C">
        <w:rPr>
          <w:lang w:eastAsia="ja-JP"/>
        </w:rPr>
        <w:fldChar w:fldCharType="end"/>
      </w:r>
      <w:r w:rsidRPr="0052032C">
        <w:rPr>
          <w:lang w:eastAsia="ja-JP"/>
        </w:rPr>
        <w:t>).</w:t>
      </w:r>
    </w:p>
    <w:p w14:paraId="04413366" w14:textId="77777777" w:rsidR="0052032C" w:rsidRPr="0052032C" w:rsidRDefault="0052032C" w:rsidP="0052032C">
      <w:r w:rsidRPr="0052032C">
        <w:t>The safety populations (relevant to this application; MZL as a separate entity is not presented here) on which the safety analyses are based are as follows:</w:t>
      </w:r>
    </w:p>
    <w:p w14:paraId="545D7A3D" w14:textId="05674E75" w:rsidR="0052032C" w:rsidRPr="0052032C" w:rsidRDefault="0052032C" w:rsidP="0052032C">
      <w:pPr>
        <w:pStyle w:val="ListBullet"/>
        <w:rPr>
          <w:lang w:eastAsia="ja-JP"/>
        </w:rPr>
      </w:pPr>
      <w:r w:rsidRPr="0052032C">
        <w:rPr>
          <w:lang w:eastAsia="ja-JP"/>
        </w:rPr>
        <w:t>FL safety population (N = 1192; R-chemo: 597 versus G-chemo: 595). Of 1202 randomi</w:t>
      </w:r>
      <w:r>
        <w:rPr>
          <w:lang w:eastAsia="ja-JP"/>
        </w:rPr>
        <w:t>s</w:t>
      </w:r>
      <w:r w:rsidRPr="0052032C">
        <w:rPr>
          <w:lang w:eastAsia="ja-JP"/>
        </w:rPr>
        <w:t>ed patients with FL, 10 patients (</w:t>
      </w:r>
      <w:r w:rsidR="00461768">
        <w:rPr>
          <w:lang w:eastAsia="ja-JP"/>
        </w:rPr>
        <w:t>4</w:t>
      </w:r>
      <w:r w:rsidR="00461768" w:rsidRPr="0052032C">
        <w:rPr>
          <w:lang w:eastAsia="ja-JP"/>
        </w:rPr>
        <w:t xml:space="preserve"> </w:t>
      </w:r>
      <w:r w:rsidRPr="0052032C">
        <w:rPr>
          <w:lang w:eastAsia="ja-JP"/>
        </w:rPr>
        <w:t>patients in the R-chemo arm and six patients in the G</w:t>
      </w:r>
      <w:r w:rsidR="00461768">
        <w:rPr>
          <w:lang w:eastAsia="ja-JP"/>
        </w:rPr>
        <w:noBreakHyphen/>
      </w:r>
      <w:r w:rsidRPr="0052032C">
        <w:rPr>
          <w:lang w:eastAsia="ja-JP"/>
        </w:rPr>
        <w:t>chemo arm) did not receive any amount of study drug (obinutuzumab, rituximab, or chemotherapy (CHOP, CVP, or bendamustine)) as induction treatment and therefo</w:t>
      </w:r>
      <w:r w:rsidR="004A481D">
        <w:rPr>
          <w:lang w:eastAsia="ja-JP"/>
        </w:rPr>
        <w:t xml:space="preserve">re, per protocol and definition, </w:t>
      </w:r>
      <w:r w:rsidRPr="0052032C">
        <w:rPr>
          <w:lang w:eastAsia="ja-JP"/>
        </w:rPr>
        <w:t xml:space="preserve">were excluded from the FL safety population. One patient with FL </w:t>
      </w:r>
      <w:r w:rsidR="00705E66">
        <w:rPr>
          <w:lang w:eastAsia="ja-JP"/>
        </w:rPr>
        <w:t>randomis</w:t>
      </w:r>
      <w:r w:rsidRPr="0052032C">
        <w:rPr>
          <w:lang w:eastAsia="ja-JP"/>
        </w:rPr>
        <w:t xml:space="preserve">ed to the </w:t>
      </w:r>
      <w:r>
        <w:rPr>
          <w:lang w:eastAsia="ja-JP"/>
        </w:rPr>
        <w:t>R-chemo arm</w:t>
      </w:r>
      <w:r w:rsidRPr="0052032C">
        <w:rPr>
          <w:lang w:eastAsia="ja-JP"/>
        </w:rPr>
        <w:t xml:space="preserve"> received one dose of obinutuzumab in error (1000 mg obinutuzumab on Day 1, Cycle 5) and for the purposes of the safety analyses presented in </w:t>
      </w:r>
      <w:r>
        <w:rPr>
          <w:lang w:eastAsia="ja-JP"/>
        </w:rPr>
        <w:t>Section 8</w:t>
      </w:r>
      <w:r w:rsidR="00461768">
        <w:rPr>
          <w:lang w:eastAsia="ja-JP"/>
        </w:rPr>
        <w:t xml:space="preserve"> (below)</w:t>
      </w:r>
      <w:r w:rsidRPr="0052032C">
        <w:rPr>
          <w:lang w:eastAsia="ja-JP"/>
        </w:rPr>
        <w:t>, is included in the G-chemo arm.</w:t>
      </w:r>
    </w:p>
    <w:p w14:paraId="21275A1E" w14:textId="77777777" w:rsidR="0052032C" w:rsidRPr="0052032C" w:rsidRDefault="0052032C" w:rsidP="0052032C">
      <w:pPr>
        <w:pStyle w:val="ListBullet"/>
        <w:rPr>
          <w:lang w:eastAsia="ja-JP"/>
        </w:rPr>
      </w:pPr>
      <w:r w:rsidRPr="0052032C">
        <w:rPr>
          <w:lang w:eastAsia="ja-JP"/>
        </w:rPr>
        <w:t>Overall safety population (indolent NHL population, N</w:t>
      </w:r>
      <w:r>
        <w:rPr>
          <w:lang w:eastAsia="ja-JP"/>
        </w:rPr>
        <w:t xml:space="preserve"> </w:t>
      </w:r>
      <w:r w:rsidRPr="0052032C">
        <w:rPr>
          <w:lang w:eastAsia="ja-JP"/>
        </w:rPr>
        <w:t>=</w:t>
      </w:r>
      <w:r>
        <w:rPr>
          <w:lang w:eastAsia="ja-JP"/>
        </w:rPr>
        <w:t xml:space="preserve"> </w:t>
      </w:r>
      <w:r w:rsidRPr="0052032C">
        <w:rPr>
          <w:lang w:eastAsia="ja-JP"/>
        </w:rPr>
        <w:t>1390; R-chemo: 692 (</w:t>
      </w:r>
      <w:r>
        <w:rPr>
          <w:lang w:eastAsia="ja-JP"/>
        </w:rPr>
        <w:t>FL: 597, MZL: </w:t>
      </w:r>
      <w:r w:rsidRPr="0052032C">
        <w:rPr>
          <w:lang w:eastAsia="ja-JP"/>
        </w:rPr>
        <w:t>93; other: 2) versus G-chemo: 698 (FL: 595; MZL: 101; other: 2))</w:t>
      </w:r>
      <w:r>
        <w:rPr>
          <w:lang w:eastAsia="ja-JP"/>
        </w:rPr>
        <w:t>.</w:t>
      </w:r>
    </w:p>
    <w:p w14:paraId="7DB8F036" w14:textId="67399E57" w:rsidR="0052032C" w:rsidRPr="0052032C" w:rsidRDefault="0052032C" w:rsidP="0052032C">
      <w:pPr>
        <w:rPr>
          <w:lang w:eastAsia="ja-JP"/>
        </w:rPr>
      </w:pPr>
      <w:r w:rsidRPr="0052032C">
        <w:rPr>
          <w:lang w:eastAsia="ja-JP"/>
        </w:rPr>
        <w:t>The third interim analysis (efficacy) was planned after 67% of the events had occurred (</w:t>
      </w:r>
      <w:r>
        <w:rPr>
          <w:lang w:eastAsia="ja-JP"/>
        </w:rPr>
        <w:t>that is, approximately 248 events (</w:t>
      </w:r>
      <w:r w:rsidRPr="0052032C">
        <w:rPr>
          <w:lang w:eastAsia="ja-JP"/>
        </w:rPr>
        <w:t>see</w:t>
      </w:r>
      <w:r>
        <w:rPr>
          <w:lang w:eastAsia="ja-JP"/>
        </w:rPr>
        <w:t xml:space="preserve"> Table 2, above))</w:t>
      </w:r>
      <w:r w:rsidRPr="0052032C">
        <w:rPr>
          <w:lang w:eastAsia="ja-JP"/>
        </w:rPr>
        <w:t xml:space="preserve"> and all patients had been enrolled and followed for an estimated minimum of 11 months. The clinical </w:t>
      </w:r>
      <w:proofErr w:type="spellStart"/>
      <w:r w:rsidR="008E396E" w:rsidRPr="0052032C">
        <w:rPr>
          <w:lang w:eastAsia="ja-JP"/>
        </w:rPr>
        <w:t>cut</w:t>
      </w:r>
      <w:r w:rsidR="00461768">
        <w:rPr>
          <w:lang w:eastAsia="ja-JP"/>
        </w:rPr>
        <w:t xml:space="preserve"> </w:t>
      </w:r>
      <w:r w:rsidR="008E396E" w:rsidRPr="0052032C">
        <w:rPr>
          <w:lang w:eastAsia="ja-JP"/>
        </w:rPr>
        <w:t>off</w:t>
      </w:r>
      <w:proofErr w:type="spellEnd"/>
      <w:r w:rsidRPr="0052032C">
        <w:rPr>
          <w:lang w:eastAsia="ja-JP"/>
        </w:rPr>
        <w:t xml:space="preserve"> date for the third interim analysis was 31 January 2016. This analysis is now referred to as the primary analysis. The IDMC reviewed the data on 20 May 2016 and recommende</w:t>
      </w:r>
      <w:r>
        <w:rPr>
          <w:lang w:eastAsia="ja-JP"/>
        </w:rPr>
        <w:t>d that the study be fully analys</w:t>
      </w:r>
      <w:r w:rsidRPr="0052032C">
        <w:rPr>
          <w:lang w:eastAsia="ja-JP"/>
        </w:rPr>
        <w:t>ed at this time, as the primary endpoint had been met.</w:t>
      </w:r>
    </w:p>
    <w:p w14:paraId="3AE4341D" w14:textId="77777777" w:rsidR="0052032C" w:rsidRPr="0052032C" w:rsidRDefault="0052032C" w:rsidP="0052032C">
      <w:pPr>
        <w:pStyle w:val="Comment"/>
        <w:rPr>
          <w:lang w:eastAsia="ja-JP"/>
        </w:rPr>
      </w:pPr>
      <w:r w:rsidRPr="0052032C">
        <w:rPr>
          <w:b/>
          <w:lang w:eastAsia="ja-JP"/>
        </w:rPr>
        <w:t xml:space="preserve">Comment:  </w:t>
      </w:r>
      <w:r w:rsidRPr="0052032C">
        <w:rPr>
          <w:lang w:eastAsia="ja-JP"/>
        </w:rPr>
        <w:t>The IDMC stopped the trial for efficacy but also had</w:t>
      </w:r>
      <w:r>
        <w:rPr>
          <w:lang w:eastAsia="ja-JP"/>
        </w:rPr>
        <w:t xml:space="preserve"> comments and a request to the sponsor</w:t>
      </w:r>
      <w:r w:rsidRPr="0052032C">
        <w:rPr>
          <w:lang w:eastAsia="ja-JP"/>
        </w:rPr>
        <w:t xml:space="preserve"> (</w:t>
      </w:r>
      <w:r>
        <w:rPr>
          <w:lang w:eastAsia="ja-JP"/>
        </w:rPr>
        <w:t>see Figure 4, below).</w:t>
      </w:r>
    </w:p>
    <w:p w14:paraId="5FB016F9" w14:textId="77777777" w:rsidR="0052032C" w:rsidRPr="00275451" w:rsidRDefault="0052032C" w:rsidP="00275451">
      <w:pPr>
        <w:pStyle w:val="FigureTitle"/>
      </w:pPr>
      <w:bookmarkStart w:id="79" w:name="_Ref481681346"/>
      <w:bookmarkStart w:id="80" w:name="_Toc481769252"/>
      <w:proofErr w:type="gramStart"/>
      <w:r w:rsidRPr="0052032C">
        <w:rPr>
          <w:lang w:eastAsia="ja-JP"/>
        </w:rPr>
        <w:t xml:space="preserve">Figure </w:t>
      </w:r>
      <w:bookmarkEnd w:id="79"/>
      <w:r>
        <w:rPr>
          <w:lang w:eastAsia="ja-JP"/>
        </w:rPr>
        <w:t>4.</w:t>
      </w:r>
      <w:proofErr w:type="gramEnd"/>
      <w:r w:rsidRPr="0052032C">
        <w:rPr>
          <w:lang w:eastAsia="ja-JP"/>
        </w:rPr>
        <w:t xml:space="preserve"> IDMC recommendation </w:t>
      </w:r>
      <w:r>
        <w:rPr>
          <w:lang w:eastAsia="ja-JP"/>
        </w:rPr>
        <w:t xml:space="preserve">20 </w:t>
      </w:r>
      <w:r w:rsidRPr="0052032C">
        <w:rPr>
          <w:lang w:eastAsia="ja-JP"/>
        </w:rPr>
        <w:t>May 2016</w:t>
      </w:r>
      <w:bookmarkEnd w:id="80"/>
    </w:p>
    <w:p w14:paraId="016E3184" w14:textId="77777777" w:rsidR="0052032C" w:rsidRPr="0052032C" w:rsidRDefault="0052032C" w:rsidP="0052032C">
      <w:pPr>
        <w:rPr>
          <w:lang w:eastAsia="ja-JP"/>
        </w:rPr>
      </w:pPr>
      <w:r w:rsidRPr="0052032C">
        <w:rPr>
          <w:noProof/>
          <w:lang w:eastAsia="en-AU"/>
        </w:rPr>
        <w:drawing>
          <wp:inline distT="0" distB="0" distL="0" distR="0" wp14:anchorId="73A08953" wp14:editId="2F7E546B">
            <wp:extent cx="4329187" cy="1762664"/>
            <wp:effectExtent l="0" t="0" r="0" b="9525"/>
            <wp:docPr id="3" name="Picture 3" descr="Although the IDMC recommends stopping trial for efficacy, because the pre-specified criterion of PFS (INV) defined in the charter has been attained, two major caveats were expressed: 1. If the IRC PFS had been the primary endpoint, the recommendation to stop the study for efficacy after this interim analysis could not have been made. Nevertheless, the hazard ratios based on the INV PFS and IRC PFS assessments were considered consistent. 2. The toxicity with GA101 was higher than with rituximab and the iDMC recommends continuing careful monitoring of adverse events during the survival follow-up period, with special emphasis on the secondary malignancies, which appear to have become increasingly more frequent on the GA101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336126" cy="1765489"/>
                    </a:xfrm>
                    <a:prstGeom prst="rect">
                      <a:avLst/>
                    </a:prstGeom>
                  </pic:spPr>
                </pic:pic>
              </a:graphicData>
            </a:graphic>
          </wp:inline>
        </w:drawing>
      </w:r>
    </w:p>
    <w:p w14:paraId="7B6E4D5F" w14:textId="287C6685" w:rsidR="0052032C" w:rsidRPr="0052032C" w:rsidRDefault="0052032C" w:rsidP="0052032C">
      <w:pPr>
        <w:pStyle w:val="Comment"/>
        <w:rPr>
          <w:lang w:eastAsia="ja-JP"/>
        </w:rPr>
      </w:pPr>
      <w:bookmarkStart w:id="81" w:name="_Ref480374136"/>
      <w:bookmarkStart w:id="82" w:name="_Ref481762367"/>
      <w:r w:rsidRPr="0052032C">
        <w:rPr>
          <w:b/>
          <w:lang w:eastAsia="ja-JP"/>
        </w:rPr>
        <w:t>Question 1</w:t>
      </w:r>
      <w:r w:rsidRPr="0052032C">
        <w:rPr>
          <w:lang w:eastAsia="ja-JP"/>
        </w:rPr>
        <w:t>:</w:t>
      </w:r>
      <w:r>
        <w:rPr>
          <w:lang w:eastAsia="ja-JP"/>
        </w:rPr>
        <w:t xml:space="preserve"> P</w:t>
      </w:r>
      <w:r w:rsidRPr="0052032C">
        <w:rPr>
          <w:lang w:eastAsia="ja-JP"/>
        </w:rPr>
        <w:t xml:space="preserve">articipant flow: There is a discrepancy related to the date of the last enrolled patient between the front page of the clinical study report and </w:t>
      </w:r>
      <w:r w:rsidR="00461768">
        <w:rPr>
          <w:lang w:eastAsia="ja-JP"/>
        </w:rPr>
        <w:t>S</w:t>
      </w:r>
      <w:r w:rsidRPr="0052032C">
        <w:rPr>
          <w:lang w:eastAsia="ja-JP"/>
        </w:rPr>
        <w:t>ection 4.1.1 in the CSR; 5 June 2014</w:t>
      </w:r>
      <w:r>
        <w:rPr>
          <w:lang w:eastAsia="ja-JP"/>
        </w:rPr>
        <w:t xml:space="preserve"> versus </w:t>
      </w:r>
      <w:r w:rsidRPr="0052032C">
        <w:rPr>
          <w:lang w:eastAsia="ja-JP"/>
        </w:rPr>
        <w:t>5 February 2014. What is the correct date</w:t>
      </w:r>
      <w:bookmarkEnd w:id="81"/>
      <w:bookmarkEnd w:id="82"/>
      <w:r w:rsidR="008E396E" w:rsidRPr="0052032C">
        <w:rPr>
          <w:lang w:eastAsia="ja-JP"/>
        </w:rPr>
        <w:t>?</w:t>
      </w:r>
    </w:p>
    <w:p w14:paraId="519B2D19" w14:textId="77777777" w:rsidR="0052032C" w:rsidRPr="0052032C" w:rsidRDefault="0052032C" w:rsidP="0052032C">
      <w:pPr>
        <w:pStyle w:val="Heading5"/>
        <w:rPr>
          <w:rFonts w:eastAsia="Cambria"/>
          <w:lang w:eastAsia="ja-JP"/>
        </w:rPr>
      </w:pPr>
      <w:bookmarkStart w:id="83" w:name="_Ref475361026"/>
      <w:r w:rsidRPr="0052032C">
        <w:rPr>
          <w:rFonts w:eastAsia="Cambria"/>
          <w:lang w:eastAsia="ja-JP"/>
        </w:rPr>
        <w:t>Major protocol violations/deviations</w:t>
      </w:r>
      <w:bookmarkEnd w:id="83"/>
    </w:p>
    <w:p w14:paraId="491DF990" w14:textId="77777777" w:rsidR="0052032C" w:rsidRPr="0052032C" w:rsidRDefault="0052032C" w:rsidP="0052032C">
      <w:pPr>
        <w:rPr>
          <w:lang w:eastAsia="ja-JP"/>
        </w:rPr>
      </w:pPr>
      <w:r w:rsidRPr="0052032C">
        <w:rPr>
          <w:lang w:eastAsia="ja-JP"/>
        </w:rPr>
        <w:t>Overall, 828/1401 patients (59.1%) had at least one protocol deviation</w:t>
      </w:r>
      <w:r>
        <w:rPr>
          <w:lang w:eastAsia="ja-JP"/>
        </w:rPr>
        <w:t>.</w:t>
      </w:r>
    </w:p>
    <w:p w14:paraId="1DFBEF38" w14:textId="77777777" w:rsidR="0052032C" w:rsidRPr="0052032C" w:rsidRDefault="0052032C" w:rsidP="0052032C">
      <w:pPr>
        <w:pStyle w:val="Comment"/>
        <w:rPr>
          <w:lang w:eastAsia="ja-JP"/>
        </w:rPr>
      </w:pPr>
      <w:r w:rsidRPr="0052032C">
        <w:rPr>
          <w:b/>
          <w:lang w:eastAsia="ja-JP"/>
        </w:rPr>
        <w:t>Comment:</w:t>
      </w:r>
      <w:r>
        <w:rPr>
          <w:lang w:eastAsia="ja-JP"/>
        </w:rPr>
        <w:t xml:space="preserve"> </w:t>
      </w:r>
      <w:r w:rsidRPr="0052032C">
        <w:rPr>
          <w:lang w:eastAsia="ja-JP"/>
        </w:rPr>
        <w:t xml:space="preserve"> Protocol deviations were equally distributed between the </w:t>
      </w:r>
      <w:r>
        <w:rPr>
          <w:lang w:eastAsia="ja-JP"/>
        </w:rPr>
        <w:t>2 arms.</w:t>
      </w:r>
    </w:p>
    <w:p w14:paraId="6514EC04" w14:textId="77777777" w:rsidR="0052032C" w:rsidRPr="0052032C" w:rsidRDefault="0052032C" w:rsidP="0052032C">
      <w:pPr>
        <w:pStyle w:val="Heading5"/>
        <w:rPr>
          <w:rFonts w:eastAsia="Cambria"/>
          <w:lang w:eastAsia="ja-JP"/>
        </w:rPr>
      </w:pPr>
      <w:bookmarkStart w:id="84" w:name="_Ref475370481"/>
      <w:r w:rsidRPr="0052032C">
        <w:rPr>
          <w:rFonts w:eastAsia="Cambria"/>
          <w:lang w:eastAsia="ja-JP"/>
        </w:rPr>
        <w:t>Baseline data</w:t>
      </w:r>
      <w:bookmarkEnd w:id="84"/>
    </w:p>
    <w:p w14:paraId="6EAF49E4" w14:textId="77777777" w:rsidR="0052032C" w:rsidRPr="0052032C" w:rsidRDefault="0052032C" w:rsidP="0052032C">
      <w:pPr>
        <w:rPr>
          <w:lang w:eastAsia="ja-JP"/>
        </w:rPr>
      </w:pPr>
      <w:r>
        <w:rPr>
          <w:lang w:eastAsia="ja-JP"/>
        </w:rPr>
        <w:t>At randomis</w:t>
      </w:r>
      <w:r w:rsidRPr="0052032C">
        <w:rPr>
          <w:lang w:eastAsia="ja-JP"/>
        </w:rPr>
        <w:t>ation, patients were stratified by FLIPI (low, intermediate and high), chemotherapy regimen (CHOP, CVP, bendamustine) and geographic region (Eastern Europe, Western Europe, North America, Asia, Other).</w:t>
      </w:r>
    </w:p>
    <w:p w14:paraId="55B29402" w14:textId="4775B9E8" w:rsidR="0052032C" w:rsidRPr="0052032C" w:rsidRDefault="0052032C" w:rsidP="0052032C">
      <w:pPr>
        <w:rPr>
          <w:lang w:eastAsia="ja-JP"/>
        </w:rPr>
      </w:pPr>
      <w:r w:rsidRPr="0052032C">
        <w:rPr>
          <w:lang w:eastAsia="ja-JP"/>
        </w:rPr>
        <w:lastRenderedPageBreak/>
        <w:t xml:space="preserve">There were no imbalances in stratification factors between the </w:t>
      </w:r>
      <w:r w:rsidR="008531A2">
        <w:rPr>
          <w:lang w:eastAsia="ja-JP"/>
        </w:rPr>
        <w:t>2</w:t>
      </w:r>
      <w:r w:rsidRPr="0052032C">
        <w:rPr>
          <w:lang w:eastAsia="ja-JP"/>
        </w:rPr>
        <w:t xml:space="preserve"> arms</w:t>
      </w:r>
      <w:r>
        <w:rPr>
          <w:lang w:eastAsia="ja-JP"/>
        </w:rPr>
        <w:t xml:space="preserve"> based on the eCRF derived data, as shown in Table 3, below.</w:t>
      </w:r>
    </w:p>
    <w:p w14:paraId="3EE4E505" w14:textId="0A69DEF6" w:rsidR="0052032C" w:rsidRPr="0052032C" w:rsidRDefault="0052032C" w:rsidP="0052032C">
      <w:pPr>
        <w:pStyle w:val="Tabletitle"/>
        <w:rPr>
          <w:lang w:eastAsia="ja-JP"/>
        </w:rPr>
      </w:pPr>
      <w:bookmarkStart w:id="85" w:name="_Ref475372934"/>
      <w:bookmarkStart w:id="86" w:name="_Toc481769203"/>
      <w:proofErr w:type="gramStart"/>
      <w:r w:rsidRPr="0052032C">
        <w:rPr>
          <w:lang w:eastAsia="ja-JP"/>
        </w:rPr>
        <w:t xml:space="preserve">Table </w:t>
      </w:r>
      <w:bookmarkEnd w:id="85"/>
      <w:r w:rsidR="00461768">
        <w:rPr>
          <w:lang w:eastAsia="ja-JP"/>
        </w:rPr>
        <w:t>3</w:t>
      </w:r>
      <w:r>
        <w:rPr>
          <w:lang w:eastAsia="ja-JP"/>
        </w:rPr>
        <w:t>.</w:t>
      </w:r>
      <w:proofErr w:type="gramEnd"/>
      <w:r w:rsidRPr="0052032C">
        <w:rPr>
          <w:lang w:eastAsia="ja-JP"/>
        </w:rPr>
        <w:t xml:space="preserve"> </w:t>
      </w:r>
      <w:r>
        <w:rPr>
          <w:lang w:eastAsia="ja-JP"/>
        </w:rPr>
        <w:t>Study BO21223 Stratification factors (FL p</w:t>
      </w:r>
      <w:r w:rsidRPr="0052032C">
        <w:rPr>
          <w:lang w:eastAsia="ja-JP"/>
        </w:rPr>
        <w:t>opulation)</w:t>
      </w:r>
      <w:bookmarkEnd w:id="86"/>
    </w:p>
    <w:p w14:paraId="6E32D7EA" w14:textId="77777777" w:rsidR="0052032C" w:rsidRPr="0052032C" w:rsidRDefault="0052032C" w:rsidP="0052032C">
      <w:pPr>
        <w:rPr>
          <w:lang w:eastAsia="ja-JP"/>
        </w:rPr>
      </w:pPr>
      <w:r w:rsidRPr="0052032C">
        <w:rPr>
          <w:noProof/>
          <w:lang w:eastAsia="en-AU"/>
        </w:rPr>
        <w:drawing>
          <wp:inline distT="0" distB="0" distL="0" distR="0" wp14:anchorId="3D4E6B38" wp14:editId="1C795554">
            <wp:extent cx="3604701" cy="3173951"/>
            <wp:effectExtent l="0" t="0" r="0" b="7620"/>
            <wp:docPr id="122" name="Picture 122" descr="Study BO21223 Stratification factors (F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t="1983" b="5474"/>
                    <a:stretch/>
                  </pic:blipFill>
                  <pic:spPr bwMode="auto">
                    <a:xfrm>
                      <a:off x="0" y="0"/>
                      <a:ext cx="3611377" cy="3179829"/>
                    </a:xfrm>
                    <a:prstGeom prst="rect">
                      <a:avLst/>
                    </a:prstGeom>
                    <a:ln>
                      <a:noFill/>
                    </a:ln>
                    <a:extLst>
                      <a:ext uri="{53640926-AAD7-44D8-BBD7-CCE9431645EC}">
                        <a14:shadowObscured xmlns:a14="http://schemas.microsoft.com/office/drawing/2010/main"/>
                      </a:ext>
                    </a:extLst>
                  </pic:spPr>
                </pic:pic>
              </a:graphicData>
            </a:graphic>
          </wp:inline>
        </w:drawing>
      </w:r>
    </w:p>
    <w:p w14:paraId="2F9229D0" w14:textId="77777777" w:rsidR="0052032C" w:rsidRPr="0052032C" w:rsidRDefault="0052032C" w:rsidP="0052032C">
      <w:pPr>
        <w:rPr>
          <w:lang w:eastAsia="ja-JP"/>
        </w:rPr>
      </w:pPr>
      <w:r w:rsidRPr="0052032C">
        <w:rPr>
          <w:lang w:eastAsia="ja-JP"/>
        </w:rPr>
        <w:t>In the FL population, the treatment arms were in general balanced with respect to demographic factors</w:t>
      </w:r>
      <w:r>
        <w:rPr>
          <w:lang w:eastAsia="ja-JP"/>
        </w:rPr>
        <w:t xml:space="preserve">. </w:t>
      </w:r>
      <w:r w:rsidRPr="0052032C">
        <w:rPr>
          <w:lang w:eastAsia="ja-JP"/>
        </w:rPr>
        <w:t xml:space="preserve">The median age of patients was 59.0 years (range: 23 to 88 years). The majority of patients (68.7%) were less than 65 years of age. The G-chemo arm had </w:t>
      </w:r>
      <w:r>
        <w:rPr>
          <w:lang w:eastAsia="ja-JP"/>
        </w:rPr>
        <w:t xml:space="preserve">proportionally more patients 60 to </w:t>
      </w:r>
      <w:r w:rsidRPr="0052032C">
        <w:rPr>
          <w:lang w:eastAsia="ja-JP"/>
        </w:rPr>
        <w:t>69 years old than the R-chemo arm (34.3%</w:t>
      </w:r>
      <w:r>
        <w:rPr>
          <w:lang w:eastAsia="ja-JP"/>
        </w:rPr>
        <w:t xml:space="preserve"> versus </w:t>
      </w:r>
      <w:r w:rsidRPr="0052032C">
        <w:rPr>
          <w:lang w:eastAsia="ja-JP"/>
        </w:rPr>
        <w:t>28.6%, respectively).</w:t>
      </w:r>
    </w:p>
    <w:p w14:paraId="155AE981" w14:textId="7E36868D" w:rsidR="0052032C" w:rsidRPr="0052032C" w:rsidRDefault="0052032C" w:rsidP="0052032C">
      <w:pPr>
        <w:rPr>
          <w:lang w:eastAsia="ja-JP"/>
        </w:rPr>
      </w:pPr>
      <w:r w:rsidRPr="0052032C">
        <w:rPr>
          <w:lang w:eastAsia="ja-JP"/>
        </w:rPr>
        <w:t xml:space="preserve">The </w:t>
      </w:r>
      <w:r>
        <w:rPr>
          <w:lang w:eastAsia="ja-JP"/>
        </w:rPr>
        <w:t>2</w:t>
      </w:r>
      <w:r w:rsidRPr="0052032C">
        <w:rPr>
          <w:lang w:eastAsia="ja-JP"/>
        </w:rPr>
        <w:t xml:space="preserve"> treatment arms were well balanced with respect to baseline disease characteristics. The overall median time from first diagnosis to </w:t>
      </w:r>
      <w:r w:rsidR="00705E66">
        <w:rPr>
          <w:lang w:eastAsia="ja-JP"/>
        </w:rPr>
        <w:t>randomis</w:t>
      </w:r>
      <w:r w:rsidRPr="0052032C">
        <w:rPr>
          <w:lang w:eastAsia="ja-JP"/>
        </w:rPr>
        <w:t>at</w:t>
      </w:r>
      <w:r>
        <w:rPr>
          <w:lang w:eastAsia="ja-JP"/>
        </w:rPr>
        <w:t>ion was 1.5 months (range: 0.0 to 168.1 </w:t>
      </w:r>
      <w:r w:rsidRPr="0052032C">
        <w:rPr>
          <w:lang w:eastAsia="ja-JP"/>
        </w:rPr>
        <w:t>months)</w:t>
      </w:r>
      <w:r>
        <w:rPr>
          <w:lang w:eastAsia="ja-JP"/>
        </w:rPr>
        <w:t xml:space="preserve">. </w:t>
      </w:r>
      <w:r w:rsidRPr="0052032C">
        <w:rPr>
          <w:lang w:eastAsia="ja-JP"/>
        </w:rPr>
        <w:t xml:space="preserve">The majority of patients had </w:t>
      </w:r>
      <w:r>
        <w:rPr>
          <w:lang w:eastAsia="ja-JP"/>
        </w:rPr>
        <w:t xml:space="preserve">an ECOG performance status of 0 to </w:t>
      </w:r>
      <w:r w:rsidRPr="0052032C">
        <w:rPr>
          <w:lang w:eastAsia="ja-JP"/>
        </w:rPr>
        <w:t xml:space="preserve">1 (96.8%). Overall, 56.5% of patients had Ann Arbor Stage IV disease at study entry. The greatest proportion of patients </w:t>
      </w:r>
      <w:r>
        <w:rPr>
          <w:lang w:eastAsia="ja-JP"/>
        </w:rPr>
        <w:t xml:space="preserve">comprised intermediate and high </w:t>
      </w:r>
      <w:r w:rsidRPr="0052032C">
        <w:rPr>
          <w:lang w:eastAsia="ja-JP"/>
        </w:rPr>
        <w:t>risk FLIPI (37.2% and 41.8% respectively) and FLIPI-2 groups (50.3% and 40.6%, respectively). Nearly half (43.8%) o</w:t>
      </w:r>
      <w:r>
        <w:rPr>
          <w:lang w:eastAsia="ja-JP"/>
        </w:rPr>
        <w:t>f patients had a nodal or extra-</w:t>
      </w:r>
      <w:r w:rsidRPr="0052032C">
        <w:rPr>
          <w:lang w:eastAsia="ja-JP"/>
        </w:rPr>
        <w:t xml:space="preserve">nodal mass over 7 cm in diameter. There was extra-nodal involvement in 65.6% of patients. Overall, 42.3% of patients had 6 indicator lesions </w:t>
      </w:r>
      <w:r>
        <w:rPr>
          <w:lang w:eastAsia="ja-JP"/>
        </w:rPr>
        <w:t>at Baseline</w:t>
      </w:r>
      <w:r w:rsidRPr="0052032C">
        <w:rPr>
          <w:lang w:eastAsia="ja-JP"/>
        </w:rPr>
        <w:t xml:space="preserve">, and 8.9% of patients had liver palpable </w:t>
      </w:r>
      <w:r>
        <w:rPr>
          <w:lang w:eastAsia="ja-JP"/>
        </w:rPr>
        <w:t>at Baseline</w:t>
      </w:r>
      <w:r w:rsidRPr="0052032C">
        <w:rPr>
          <w:lang w:eastAsia="ja-JP"/>
        </w:rPr>
        <w:t>.</w:t>
      </w:r>
    </w:p>
    <w:p w14:paraId="5BBCC4A4" w14:textId="36D5133E" w:rsidR="0052032C" w:rsidRDefault="0052032C" w:rsidP="0052032C">
      <w:pPr>
        <w:pStyle w:val="Comment"/>
        <w:rPr>
          <w:lang w:eastAsia="ja-JP"/>
        </w:rPr>
      </w:pPr>
      <w:r w:rsidRPr="0052032C">
        <w:rPr>
          <w:b/>
          <w:lang w:eastAsia="ja-JP"/>
        </w:rPr>
        <w:t xml:space="preserve">Comment:  </w:t>
      </w:r>
      <w:r w:rsidRPr="0052032C">
        <w:rPr>
          <w:lang w:eastAsia="ja-JP"/>
        </w:rPr>
        <w:t xml:space="preserve">There was approximately the same number of patients </w:t>
      </w:r>
      <w:r w:rsidR="008E396E">
        <w:rPr>
          <w:lang w:eastAsia="ja-JP"/>
        </w:rPr>
        <w:t xml:space="preserve">who were </w:t>
      </w:r>
      <w:r w:rsidRPr="0052032C">
        <w:rPr>
          <w:lang w:eastAsia="ja-JP"/>
        </w:rPr>
        <w:t>≥</w:t>
      </w:r>
      <w:r>
        <w:rPr>
          <w:lang w:eastAsia="ja-JP"/>
        </w:rPr>
        <w:t xml:space="preserve"> </w:t>
      </w:r>
      <w:r w:rsidRPr="0052032C">
        <w:rPr>
          <w:lang w:eastAsia="ja-JP"/>
        </w:rPr>
        <w:t xml:space="preserve">65 years of age in the </w:t>
      </w:r>
      <w:r w:rsidR="00F12A75">
        <w:rPr>
          <w:lang w:eastAsia="ja-JP"/>
        </w:rPr>
        <w:t>2</w:t>
      </w:r>
      <w:r w:rsidR="00F12A75" w:rsidRPr="0052032C">
        <w:rPr>
          <w:lang w:eastAsia="ja-JP"/>
        </w:rPr>
        <w:t xml:space="preserve"> </w:t>
      </w:r>
      <w:r w:rsidRPr="0052032C">
        <w:rPr>
          <w:lang w:eastAsia="ja-JP"/>
        </w:rPr>
        <w:t>arms (187 and 189</w:t>
      </w:r>
      <w:r>
        <w:rPr>
          <w:lang w:eastAsia="ja-JP"/>
        </w:rPr>
        <w:t>).</w:t>
      </w:r>
    </w:p>
    <w:p w14:paraId="73D0AC0E" w14:textId="458E77EC" w:rsidR="0052032C" w:rsidRPr="0052032C" w:rsidRDefault="0052032C" w:rsidP="0052032C">
      <w:pPr>
        <w:pStyle w:val="Comment"/>
        <w:ind w:firstLine="0"/>
        <w:rPr>
          <w:lang w:eastAsia="ja-JP"/>
        </w:rPr>
      </w:pPr>
      <w:r w:rsidRPr="0052032C">
        <w:rPr>
          <w:lang w:eastAsia="ja-JP"/>
        </w:rPr>
        <w:t xml:space="preserve">Baseline data were equal between the </w:t>
      </w:r>
      <w:r w:rsidR="00F12A75">
        <w:rPr>
          <w:lang w:eastAsia="ja-JP"/>
        </w:rPr>
        <w:t>2</w:t>
      </w:r>
      <w:r w:rsidR="00F12A75" w:rsidRPr="0052032C">
        <w:rPr>
          <w:lang w:eastAsia="ja-JP"/>
        </w:rPr>
        <w:t xml:space="preserve"> </w:t>
      </w:r>
      <w:r w:rsidRPr="0052032C">
        <w:rPr>
          <w:lang w:eastAsia="ja-JP"/>
        </w:rPr>
        <w:t>study groups</w:t>
      </w:r>
      <w:r>
        <w:rPr>
          <w:lang w:eastAsia="ja-JP"/>
        </w:rPr>
        <w:t xml:space="preserve"> in FL. Patients with an ECOG</w:t>
      </w:r>
      <w:r w:rsidR="00F12A75">
        <w:rPr>
          <w:lang w:eastAsia="ja-JP"/>
        </w:rPr>
        <w:t> = </w:t>
      </w:r>
      <w:r>
        <w:rPr>
          <w:lang w:eastAsia="ja-JP"/>
        </w:rPr>
        <w:t xml:space="preserve">0 or </w:t>
      </w:r>
      <w:r w:rsidRPr="0052032C">
        <w:rPr>
          <w:lang w:eastAsia="ja-JP"/>
        </w:rPr>
        <w:t xml:space="preserve">1 and a median age at diagnosis of 59 years of age </w:t>
      </w:r>
      <w:r w:rsidR="008E396E">
        <w:rPr>
          <w:lang w:eastAsia="ja-JP"/>
        </w:rPr>
        <w:t>are</w:t>
      </w:r>
      <w:r w:rsidRPr="0052032C">
        <w:rPr>
          <w:lang w:eastAsia="ja-JP"/>
        </w:rPr>
        <w:t xml:space="preserve"> not representative</w:t>
      </w:r>
      <w:r>
        <w:rPr>
          <w:lang w:eastAsia="ja-JP"/>
        </w:rPr>
        <w:t xml:space="preserve"> of the FL population, though.</w:t>
      </w:r>
    </w:p>
    <w:p w14:paraId="2765852E" w14:textId="77777777" w:rsidR="0052032C" w:rsidRPr="0052032C" w:rsidRDefault="0052032C" w:rsidP="0052032C">
      <w:pPr>
        <w:pStyle w:val="Heading5"/>
        <w:rPr>
          <w:rFonts w:eastAsia="Cambria"/>
          <w:lang w:eastAsia="ja-JP"/>
        </w:rPr>
      </w:pPr>
      <w:bookmarkStart w:id="87" w:name="_Ref475455690"/>
      <w:r w:rsidRPr="0052032C">
        <w:rPr>
          <w:rFonts w:eastAsia="Cambria"/>
          <w:lang w:eastAsia="ja-JP"/>
        </w:rPr>
        <w:t>Results for the primary efficacy outcome</w:t>
      </w:r>
      <w:bookmarkEnd w:id="87"/>
    </w:p>
    <w:p w14:paraId="7CB3055B" w14:textId="059B6EAE" w:rsidR="0052032C" w:rsidRPr="0052032C" w:rsidRDefault="0052032C" w:rsidP="0052032C">
      <w:pPr>
        <w:rPr>
          <w:lang w:eastAsia="ja-JP"/>
        </w:rPr>
      </w:pPr>
      <w:r w:rsidRPr="0052032C">
        <w:rPr>
          <w:lang w:eastAsia="ja-JP"/>
        </w:rPr>
        <w:t>A statistically significant and clinically meaningful improvement in the primary endpoint of PFS in the FL population as assessed by Investigator was demonstrated. This occurred at a protocol</w:t>
      </w:r>
      <w:r w:rsidR="00F12A75">
        <w:rPr>
          <w:lang w:eastAsia="ja-JP"/>
        </w:rPr>
        <w:t xml:space="preserve"> </w:t>
      </w:r>
      <w:r w:rsidRPr="0052032C">
        <w:rPr>
          <w:lang w:eastAsia="ja-JP"/>
        </w:rPr>
        <w:t xml:space="preserve">specified interim analysis of efficacy after 245/370 (66%) of events required for the final analysis had occurred </w:t>
      </w:r>
      <w:r>
        <w:rPr>
          <w:lang w:eastAsia="ja-JP"/>
        </w:rPr>
        <w:t>as shown below in Table 4.</w:t>
      </w:r>
      <w:r w:rsidRPr="0052032C">
        <w:rPr>
          <w:lang w:eastAsia="ja-JP"/>
        </w:rPr>
        <w:t xml:space="preserve"> Treatment with G-chemo resulted in a clinically meaningful and statistically significant reduction by 34% in the risk o</w:t>
      </w:r>
      <w:r w:rsidR="00D412E1">
        <w:rPr>
          <w:lang w:eastAsia="ja-JP"/>
        </w:rPr>
        <w:t xml:space="preserve">f an Investigator </w:t>
      </w:r>
      <w:r w:rsidRPr="0052032C">
        <w:rPr>
          <w:lang w:eastAsia="ja-JP"/>
        </w:rPr>
        <w:t xml:space="preserve">assessed PFS event (disease progression/relapse or death) compared with R-chemo (stratified HR 0.66 </w:t>
      </w:r>
      <w:r>
        <w:rPr>
          <w:lang w:eastAsia="ja-JP"/>
        </w:rPr>
        <w:t>(</w:t>
      </w:r>
      <w:r w:rsidRPr="0052032C">
        <w:rPr>
          <w:lang w:eastAsia="ja-JP"/>
        </w:rPr>
        <w:t>95% CI: 0.51, 0.85</w:t>
      </w:r>
      <w:r>
        <w:rPr>
          <w:lang w:eastAsia="ja-JP"/>
        </w:rPr>
        <w:t>)</w:t>
      </w:r>
      <w:r w:rsidRPr="0052032C">
        <w:rPr>
          <w:lang w:eastAsia="ja-JP"/>
        </w:rPr>
        <w:t>; p-value</w:t>
      </w:r>
      <w:r>
        <w:rPr>
          <w:lang w:eastAsia="ja-JP"/>
        </w:rPr>
        <w:t xml:space="preserve"> </w:t>
      </w:r>
      <w:r w:rsidRPr="0052032C">
        <w:rPr>
          <w:lang w:eastAsia="ja-JP"/>
        </w:rPr>
        <w:t>=</w:t>
      </w:r>
      <w:r>
        <w:rPr>
          <w:lang w:eastAsia="ja-JP"/>
        </w:rPr>
        <w:t xml:space="preserve"> </w:t>
      </w:r>
      <w:r w:rsidRPr="0052032C">
        <w:rPr>
          <w:lang w:eastAsia="ja-JP"/>
        </w:rPr>
        <w:t>0.0012, stratified log-</w:t>
      </w:r>
      <w:r w:rsidR="004A481D">
        <w:rPr>
          <w:lang w:eastAsia="ja-JP"/>
        </w:rPr>
        <w:t xml:space="preserve">rank test). The p-value of the </w:t>
      </w:r>
      <w:r w:rsidR="004A481D">
        <w:rPr>
          <w:lang w:eastAsia="ja-JP"/>
        </w:rPr>
        <w:lastRenderedPageBreak/>
        <w:t xml:space="preserve">investigator </w:t>
      </w:r>
      <w:r w:rsidRPr="0052032C">
        <w:rPr>
          <w:lang w:eastAsia="ja-JP"/>
        </w:rPr>
        <w:t>assessed PFS was smaller than the pre-specified interim bounda</w:t>
      </w:r>
      <w:r>
        <w:rPr>
          <w:lang w:eastAsia="ja-JP"/>
        </w:rPr>
        <w:t>ry significance level of 0.012.</w:t>
      </w:r>
    </w:p>
    <w:p w14:paraId="7AE1777B" w14:textId="77777777" w:rsidR="0052032C" w:rsidRPr="0052032C" w:rsidRDefault="0052032C" w:rsidP="0052032C">
      <w:pPr>
        <w:rPr>
          <w:lang w:eastAsia="ja-JP"/>
        </w:rPr>
      </w:pPr>
      <w:r w:rsidRPr="0052032C">
        <w:rPr>
          <w:lang w:eastAsia="ja-JP"/>
        </w:rPr>
        <w:t>The Kaplan–Meier estimated median PFS times were not reached for either arm. On the basis of Kaplan–Meier estimates, 73.3% (95% CI: 68.8, 77.2) of patients in the R-chemo arm and 80.0% (95% CI: 75.9, 83.6) of patients in t</w:t>
      </w:r>
      <w:r>
        <w:rPr>
          <w:lang w:eastAsia="ja-JP"/>
        </w:rPr>
        <w:t xml:space="preserve">he G-chemo arm were progression </w:t>
      </w:r>
      <w:r w:rsidRPr="0052032C">
        <w:rPr>
          <w:lang w:eastAsia="ja-JP"/>
        </w:rPr>
        <w:t>free at 3 years</w:t>
      </w:r>
      <w:r>
        <w:rPr>
          <w:lang w:eastAsia="ja-JP"/>
        </w:rPr>
        <w:t xml:space="preserve"> (see Table 4, below).</w:t>
      </w:r>
      <w:r w:rsidRPr="0052032C">
        <w:rPr>
          <w:lang w:eastAsia="ja-JP"/>
        </w:rPr>
        <w:t xml:space="preserve"> Kaplan-Meier estimates are not considered to be reliable beyond the time point when too few patients are at risk (</w:t>
      </w:r>
      <w:r>
        <w:rPr>
          <w:lang w:eastAsia="ja-JP"/>
        </w:rPr>
        <w:t>that is,</w:t>
      </w:r>
      <w:r w:rsidRPr="0052032C">
        <w:rPr>
          <w:lang w:eastAsia="ja-JP"/>
        </w:rPr>
        <w:t xml:space="preserve"> at least 20% according </w:t>
      </w:r>
      <w:r>
        <w:rPr>
          <w:lang w:eastAsia="ja-JP"/>
        </w:rPr>
        <w:t>to Pocock et al. 2002). After 3 </w:t>
      </w:r>
      <w:r w:rsidRPr="0052032C">
        <w:rPr>
          <w:lang w:eastAsia="ja-JP"/>
        </w:rPr>
        <w:t>years, 160 patients (26.6%) in the R-chemo arm, and 168 patients (28.0%) in the G-chemo were at risk of a PFS event,</w:t>
      </w:r>
      <w:r>
        <w:rPr>
          <w:lang w:eastAsia="ja-JP"/>
        </w:rPr>
        <w:t xml:space="preserve"> as shown below in Figure 5.</w:t>
      </w:r>
    </w:p>
    <w:p w14:paraId="36B19A9A" w14:textId="2A9B58D9" w:rsidR="0052032C" w:rsidRPr="0052032C" w:rsidRDefault="0052032C" w:rsidP="0052032C">
      <w:pPr>
        <w:pStyle w:val="Tabletitle"/>
        <w:rPr>
          <w:lang w:eastAsia="ja-JP"/>
        </w:rPr>
      </w:pPr>
      <w:bookmarkStart w:id="88" w:name="_Ref475454998"/>
      <w:bookmarkStart w:id="89" w:name="_Toc481769204"/>
      <w:proofErr w:type="gramStart"/>
      <w:r w:rsidRPr="0052032C">
        <w:rPr>
          <w:lang w:eastAsia="ja-JP"/>
        </w:rPr>
        <w:t xml:space="preserve">Table </w:t>
      </w:r>
      <w:bookmarkEnd w:id="88"/>
      <w:r>
        <w:rPr>
          <w:lang w:eastAsia="ja-JP"/>
        </w:rPr>
        <w:t>4.</w:t>
      </w:r>
      <w:proofErr w:type="gramEnd"/>
      <w:r w:rsidRPr="0052032C">
        <w:rPr>
          <w:lang w:eastAsia="ja-JP"/>
        </w:rPr>
        <w:t xml:space="preserve"> </w:t>
      </w:r>
      <w:r w:rsidRPr="009E7D81">
        <w:rPr>
          <w:lang w:eastAsia="ja-JP"/>
        </w:rPr>
        <w:t>Study BO21223</w:t>
      </w:r>
      <w:r w:rsidR="009E7D81">
        <w:rPr>
          <w:lang w:eastAsia="ja-JP"/>
        </w:rPr>
        <w:t xml:space="preserve"> o</w:t>
      </w:r>
      <w:r w:rsidRPr="0052032C">
        <w:rPr>
          <w:lang w:eastAsia="ja-JP"/>
        </w:rPr>
        <w:t xml:space="preserve">verview of </w:t>
      </w:r>
      <w:r>
        <w:rPr>
          <w:lang w:eastAsia="ja-JP"/>
        </w:rPr>
        <w:t>e</w:t>
      </w:r>
      <w:r w:rsidRPr="0052032C">
        <w:rPr>
          <w:lang w:eastAsia="ja-JP"/>
        </w:rPr>
        <w:t xml:space="preserve">fficacy: PFS </w:t>
      </w:r>
      <w:r w:rsidR="009E7D81">
        <w:rPr>
          <w:lang w:eastAsia="ja-JP"/>
        </w:rPr>
        <w:t>(INV a</w:t>
      </w:r>
      <w:r w:rsidRPr="0052032C">
        <w:rPr>
          <w:lang w:eastAsia="ja-JP"/>
        </w:rPr>
        <w:t xml:space="preserve">ssessed </w:t>
      </w:r>
      <w:r w:rsidR="009E7D81">
        <w:rPr>
          <w:lang w:eastAsia="ja-JP"/>
        </w:rPr>
        <w:t>e</w:t>
      </w:r>
      <w:r w:rsidRPr="0052032C">
        <w:rPr>
          <w:lang w:eastAsia="ja-JP"/>
        </w:rPr>
        <w:t>ndpoints</w:t>
      </w:r>
      <w:bookmarkEnd w:id="89"/>
      <w:r w:rsidR="009E7D81">
        <w:rPr>
          <w:lang w:eastAsia="ja-JP"/>
        </w:rPr>
        <w:t>)</w:t>
      </w:r>
    </w:p>
    <w:p w14:paraId="5684D598" w14:textId="77777777" w:rsidR="0052032C" w:rsidRPr="0052032C" w:rsidRDefault="0052032C" w:rsidP="0052032C">
      <w:pPr>
        <w:rPr>
          <w:lang w:eastAsia="ja-JP"/>
        </w:rPr>
      </w:pPr>
      <w:r w:rsidRPr="0052032C">
        <w:rPr>
          <w:noProof/>
          <w:lang w:eastAsia="en-AU"/>
        </w:rPr>
        <w:drawing>
          <wp:inline distT="0" distB="0" distL="0" distR="0" wp14:anchorId="76036092" wp14:editId="75CB43CA">
            <wp:extent cx="4972522" cy="2166457"/>
            <wp:effectExtent l="0" t="0" r="0" b="5715"/>
            <wp:docPr id="59" name="Picture 59" descr="Study BO21223 overview of efficacy: PFS (INV assess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242" t="3069" r="2110"/>
                    <a:stretch/>
                  </pic:blipFill>
                  <pic:spPr bwMode="auto">
                    <a:xfrm>
                      <a:off x="0" y="0"/>
                      <a:ext cx="4975418" cy="2167719"/>
                    </a:xfrm>
                    <a:prstGeom prst="rect">
                      <a:avLst/>
                    </a:prstGeom>
                    <a:ln>
                      <a:noFill/>
                    </a:ln>
                    <a:extLst>
                      <a:ext uri="{53640926-AAD7-44D8-BBD7-CCE9431645EC}">
                        <a14:shadowObscured xmlns:a14="http://schemas.microsoft.com/office/drawing/2010/main"/>
                      </a:ext>
                    </a:extLst>
                  </pic:spPr>
                </pic:pic>
              </a:graphicData>
            </a:graphic>
          </wp:inline>
        </w:drawing>
      </w:r>
    </w:p>
    <w:p w14:paraId="2BEE6590" w14:textId="6CBFD9DF" w:rsidR="0052032C" w:rsidRPr="0052032C" w:rsidRDefault="0052032C" w:rsidP="009E7D81">
      <w:pPr>
        <w:keepNext/>
        <w:rPr>
          <w:b/>
          <w:lang w:eastAsia="ja-JP"/>
        </w:rPr>
      </w:pPr>
      <w:bookmarkStart w:id="90" w:name="_Ref475456332"/>
      <w:bookmarkStart w:id="91" w:name="_Toc481769253"/>
      <w:proofErr w:type="gramStart"/>
      <w:r w:rsidRPr="0052032C">
        <w:rPr>
          <w:b/>
          <w:lang w:eastAsia="ja-JP"/>
        </w:rPr>
        <w:t xml:space="preserve">Figure </w:t>
      </w:r>
      <w:bookmarkEnd w:id="90"/>
      <w:r w:rsidR="009E7D81">
        <w:rPr>
          <w:b/>
          <w:lang w:eastAsia="ja-JP"/>
        </w:rPr>
        <w:t>5.</w:t>
      </w:r>
      <w:proofErr w:type="gramEnd"/>
      <w:r w:rsidR="009E7D81">
        <w:rPr>
          <w:b/>
          <w:lang w:eastAsia="ja-JP"/>
        </w:rPr>
        <w:t xml:space="preserve"> Study BO21223 Kaplan-Meier p</w:t>
      </w:r>
      <w:r w:rsidRPr="0052032C">
        <w:rPr>
          <w:b/>
          <w:lang w:eastAsia="ja-JP"/>
        </w:rPr>
        <w:t>lot of PFS by</w:t>
      </w:r>
      <w:r w:rsidR="009E7D81">
        <w:rPr>
          <w:b/>
          <w:lang w:eastAsia="ja-JP"/>
        </w:rPr>
        <w:t xml:space="preserve"> investigator assessment (FL ITT p</w:t>
      </w:r>
      <w:r w:rsidRPr="0052032C">
        <w:rPr>
          <w:b/>
          <w:lang w:eastAsia="ja-JP"/>
        </w:rPr>
        <w:t>opulation)</w:t>
      </w:r>
      <w:bookmarkEnd w:id="91"/>
    </w:p>
    <w:p w14:paraId="73BB06F2" w14:textId="77777777" w:rsidR="0052032C" w:rsidRPr="0052032C" w:rsidRDefault="0052032C" w:rsidP="0052032C">
      <w:pPr>
        <w:rPr>
          <w:lang w:eastAsia="ja-JP"/>
        </w:rPr>
      </w:pPr>
      <w:r w:rsidRPr="0052032C">
        <w:rPr>
          <w:noProof/>
          <w:lang w:eastAsia="en-AU"/>
        </w:rPr>
        <w:drawing>
          <wp:inline distT="0" distB="0" distL="0" distR="0" wp14:anchorId="68E80DB4" wp14:editId="11F49924">
            <wp:extent cx="4919623" cy="2804606"/>
            <wp:effectExtent l="0" t="0" r="0" b="0"/>
            <wp:docPr id="125" name="Picture 125" descr="Study BO21223 Kaplan-Meier plot of PFS by investigator assessment (F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15959" cy="2802517"/>
                    </a:xfrm>
                    <a:prstGeom prst="rect">
                      <a:avLst/>
                    </a:prstGeom>
                  </pic:spPr>
                </pic:pic>
              </a:graphicData>
            </a:graphic>
          </wp:inline>
        </w:drawing>
      </w:r>
    </w:p>
    <w:p w14:paraId="17581C3F" w14:textId="3420FB6A" w:rsidR="0052032C" w:rsidRPr="009E7D81" w:rsidRDefault="0052032C" w:rsidP="0052032C">
      <w:pPr>
        <w:pStyle w:val="Heading5"/>
        <w:rPr>
          <w:rFonts w:eastAsia="Cambria"/>
          <w:lang w:eastAsia="ja-JP"/>
        </w:rPr>
      </w:pPr>
      <w:bookmarkStart w:id="92" w:name="_Results_for_secondary"/>
      <w:bookmarkStart w:id="93" w:name="_Ref475544178"/>
      <w:bookmarkEnd w:id="92"/>
      <w:r w:rsidRPr="0052032C">
        <w:rPr>
          <w:rFonts w:eastAsia="Cambria"/>
          <w:lang w:eastAsia="ja-JP"/>
        </w:rPr>
        <w:t>Results for secondary efficacy outcomes</w:t>
      </w:r>
      <w:bookmarkEnd w:id="93"/>
    </w:p>
    <w:p w14:paraId="2A405589" w14:textId="190A4ED9" w:rsidR="0052032C" w:rsidRPr="0052032C" w:rsidRDefault="009E7D81" w:rsidP="009E7D81">
      <w:pPr>
        <w:pStyle w:val="Heading6"/>
        <w:rPr>
          <w:lang w:eastAsia="ja-JP"/>
        </w:rPr>
      </w:pPr>
      <w:r>
        <w:rPr>
          <w:lang w:eastAsia="ja-JP"/>
        </w:rPr>
        <w:t>PFS as a</w:t>
      </w:r>
      <w:r w:rsidR="0052032C" w:rsidRPr="0052032C">
        <w:rPr>
          <w:lang w:eastAsia="ja-JP"/>
        </w:rPr>
        <w:t xml:space="preserve">ssessed by IRC (FL ITT </w:t>
      </w:r>
      <w:r>
        <w:rPr>
          <w:lang w:eastAsia="ja-JP"/>
        </w:rPr>
        <w:t>p</w:t>
      </w:r>
      <w:r w:rsidR="0052032C" w:rsidRPr="0052032C">
        <w:rPr>
          <w:lang w:eastAsia="ja-JP"/>
        </w:rPr>
        <w:t>opulation)</w:t>
      </w:r>
    </w:p>
    <w:p w14:paraId="011E288A" w14:textId="0E5C3E8B" w:rsidR="0052032C" w:rsidRPr="0052032C" w:rsidRDefault="0052032C" w:rsidP="0052032C">
      <w:pPr>
        <w:rPr>
          <w:lang w:eastAsia="ja-JP"/>
        </w:rPr>
      </w:pPr>
      <w:r w:rsidRPr="0052032C">
        <w:rPr>
          <w:lang w:eastAsia="ja-JP"/>
        </w:rPr>
        <w:t>At the time of the analysis, 218/1202 patients (18.1%) had experienced disease progression according to the IRC’s assessment, or death (</w:t>
      </w:r>
      <w:r w:rsidR="009E7D81">
        <w:rPr>
          <w:lang w:eastAsia="ja-JP"/>
        </w:rPr>
        <w:t>see Table 5, below</w:t>
      </w:r>
      <w:r w:rsidRPr="0052032C">
        <w:rPr>
          <w:lang w:eastAsia="ja-JP"/>
        </w:rPr>
        <w:t>). More patients in the R-chemo arm experienced a PFS event than in the G-chemo arm (125 patients</w:t>
      </w:r>
      <w:r>
        <w:rPr>
          <w:lang w:eastAsia="ja-JP"/>
        </w:rPr>
        <w:t xml:space="preserve"> versus </w:t>
      </w:r>
      <w:r w:rsidRPr="0052032C">
        <w:rPr>
          <w:lang w:eastAsia="ja-JP"/>
        </w:rPr>
        <w:t>93 patients, 20.8%</w:t>
      </w:r>
      <w:r>
        <w:rPr>
          <w:lang w:eastAsia="ja-JP"/>
        </w:rPr>
        <w:t xml:space="preserve"> versus </w:t>
      </w:r>
      <w:r w:rsidRPr="0052032C">
        <w:rPr>
          <w:lang w:eastAsia="ja-JP"/>
        </w:rPr>
        <w:t xml:space="preserve">15.5%). Disease progression was recorded for 106 patients in the R-chemo arm and 69 </w:t>
      </w:r>
      <w:r w:rsidRPr="0052032C">
        <w:rPr>
          <w:lang w:eastAsia="ja-JP"/>
        </w:rPr>
        <w:lastRenderedPageBreak/>
        <w:t>patients in the G-chemo arm (17.6%</w:t>
      </w:r>
      <w:r>
        <w:rPr>
          <w:lang w:eastAsia="ja-JP"/>
        </w:rPr>
        <w:t xml:space="preserve"> versus </w:t>
      </w:r>
      <w:r w:rsidRPr="0052032C">
        <w:rPr>
          <w:lang w:eastAsia="ja-JP"/>
        </w:rPr>
        <w:t>11.5%). There were 19 deaths in the R-chemo arm and 24 death</w:t>
      </w:r>
      <w:r w:rsidR="00BA3F39">
        <w:rPr>
          <w:lang w:eastAsia="ja-JP"/>
        </w:rPr>
        <w:t xml:space="preserve">s in the G-chemo arm before IRC </w:t>
      </w:r>
      <w:r w:rsidRPr="0052032C">
        <w:rPr>
          <w:lang w:eastAsia="ja-JP"/>
        </w:rPr>
        <w:t>assessed progression.</w:t>
      </w:r>
    </w:p>
    <w:p w14:paraId="3AA56DB3" w14:textId="54C1AC4D" w:rsidR="0052032C" w:rsidRPr="0052032C" w:rsidRDefault="0052032C" w:rsidP="0052032C">
      <w:pPr>
        <w:rPr>
          <w:b/>
          <w:lang w:eastAsia="ja-JP"/>
        </w:rPr>
      </w:pPr>
      <w:bookmarkStart w:id="94" w:name="_Ref475544564"/>
      <w:bookmarkStart w:id="95" w:name="_Toc481769205"/>
      <w:proofErr w:type="gramStart"/>
      <w:r w:rsidRPr="0052032C">
        <w:rPr>
          <w:b/>
          <w:lang w:eastAsia="ja-JP"/>
        </w:rPr>
        <w:t xml:space="preserve">Table </w:t>
      </w:r>
      <w:bookmarkEnd w:id="94"/>
      <w:r w:rsidR="00BA3F39">
        <w:rPr>
          <w:b/>
          <w:lang w:eastAsia="ja-JP"/>
        </w:rPr>
        <w:t>5.</w:t>
      </w:r>
      <w:proofErr w:type="gramEnd"/>
      <w:r w:rsidR="00BA3F39">
        <w:rPr>
          <w:b/>
          <w:lang w:eastAsia="ja-JP"/>
        </w:rPr>
        <w:t xml:space="preserve"> Study BO21223 o</w:t>
      </w:r>
      <w:r w:rsidRPr="0052032C">
        <w:rPr>
          <w:b/>
          <w:lang w:eastAsia="ja-JP"/>
        </w:rPr>
        <w:t xml:space="preserve">verview of </w:t>
      </w:r>
      <w:r w:rsidR="00BA3F39">
        <w:rPr>
          <w:b/>
          <w:lang w:eastAsia="ja-JP"/>
        </w:rPr>
        <w:t>e</w:t>
      </w:r>
      <w:r w:rsidRPr="0052032C">
        <w:rPr>
          <w:b/>
          <w:lang w:eastAsia="ja-JP"/>
        </w:rPr>
        <w:t>fficacy: PFS (IRC</w:t>
      </w:r>
      <w:r w:rsidR="00BA3F39">
        <w:rPr>
          <w:b/>
          <w:lang w:eastAsia="ja-JP"/>
        </w:rPr>
        <w:t xml:space="preserve"> assessed e</w:t>
      </w:r>
      <w:r w:rsidRPr="0052032C">
        <w:rPr>
          <w:b/>
          <w:lang w:eastAsia="ja-JP"/>
        </w:rPr>
        <w:t>ndpoints</w:t>
      </w:r>
      <w:bookmarkEnd w:id="95"/>
      <w:r w:rsidR="00BA3F39">
        <w:rPr>
          <w:b/>
          <w:lang w:eastAsia="ja-JP"/>
        </w:rPr>
        <w:t>)</w:t>
      </w:r>
    </w:p>
    <w:p w14:paraId="776E3B99" w14:textId="77777777" w:rsidR="0052032C" w:rsidRPr="0052032C" w:rsidRDefault="0052032C" w:rsidP="0052032C">
      <w:pPr>
        <w:rPr>
          <w:lang w:eastAsia="ja-JP"/>
        </w:rPr>
      </w:pPr>
      <w:r w:rsidRPr="0052032C">
        <w:rPr>
          <w:noProof/>
          <w:lang w:eastAsia="en-AU"/>
        </w:rPr>
        <w:drawing>
          <wp:inline distT="0" distB="0" distL="0" distR="0" wp14:anchorId="457F3B89" wp14:editId="387B7B18">
            <wp:extent cx="5055650" cy="2192942"/>
            <wp:effectExtent l="0" t="0" r="0" b="0"/>
            <wp:docPr id="115" name="Picture 115" descr="Study BO21223 overview of efficacy: PFS (IRC assessed end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55331" cy="2192804"/>
                    </a:xfrm>
                    <a:prstGeom prst="rect">
                      <a:avLst/>
                    </a:prstGeom>
                  </pic:spPr>
                </pic:pic>
              </a:graphicData>
            </a:graphic>
          </wp:inline>
        </w:drawing>
      </w:r>
    </w:p>
    <w:p w14:paraId="0C0FFD08" w14:textId="36F1C9CD" w:rsidR="0052032C" w:rsidRPr="0052032C" w:rsidRDefault="0052032C" w:rsidP="00BA3F39">
      <w:pPr>
        <w:pStyle w:val="Comment"/>
        <w:rPr>
          <w:lang w:eastAsia="ja-JP"/>
        </w:rPr>
      </w:pPr>
      <w:bookmarkStart w:id="96" w:name="_Ref480303622"/>
      <w:r w:rsidRPr="0052032C">
        <w:rPr>
          <w:b/>
          <w:lang w:eastAsia="ja-JP"/>
        </w:rPr>
        <w:t xml:space="preserve">Question </w:t>
      </w:r>
      <w:r w:rsidR="00F12A75">
        <w:rPr>
          <w:b/>
          <w:lang w:eastAsia="ja-JP"/>
        </w:rPr>
        <w:t>2</w:t>
      </w:r>
      <w:r w:rsidRPr="0052032C">
        <w:rPr>
          <w:b/>
          <w:lang w:eastAsia="ja-JP"/>
        </w:rPr>
        <w:t>:</w:t>
      </w:r>
      <w:r w:rsidRPr="0052032C">
        <w:rPr>
          <w:lang w:eastAsia="ja-JP"/>
        </w:rPr>
        <w:t xml:space="preserve"> </w:t>
      </w:r>
      <w:r w:rsidR="00BA3F39">
        <w:rPr>
          <w:lang w:eastAsia="ja-JP"/>
        </w:rPr>
        <w:t xml:space="preserve">Study BO21223 </w:t>
      </w:r>
      <w:r w:rsidRPr="0052032C">
        <w:rPr>
          <w:lang w:eastAsia="ja-JP"/>
        </w:rPr>
        <w:t xml:space="preserve">CSR; There are more deaths but fewer events in the IRS assessed data compared to the investigator assessed </w:t>
      </w:r>
      <w:r w:rsidR="00BA3F39">
        <w:rPr>
          <w:lang w:eastAsia="ja-JP"/>
        </w:rPr>
        <w:t xml:space="preserve">data. The </w:t>
      </w:r>
      <w:r w:rsidR="008E396E">
        <w:rPr>
          <w:lang w:eastAsia="ja-JP"/>
        </w:rPr>
        <w:t>cut-</w:t>
      </w:r>
      <w:r w:rsidR="008E396E" w:rsidRPr="0052032C">
        <w:rPr>
          <w:lang w:eastAsia="ja-JP"/>
        </w:rPr>
        <w:t>off</w:t>
      </w:r>
      <w:r w:rsidRPr="0052032C">
        <w:rPr>
          <w:lang w:eastAsia="ja-JP"/>
        </w:rPr>
        <w:t xml:space="preserve"> date for the study is the same. What is the explanation for the disparity in death numbers?</w:t>
      </w:r>
      <w:bookmarkEnd w:id="96"/>
    </w:p>
    <w:p w14:paraId="5C6AD347" w14:textId="44C7E919" w:rsidR="0052032C" w:rsidRPr="00BA3F39" w:rsidRDefault="0052032C" w:rsidP="001B5207">
      <w:pPr>
        <w:rPr>
          <w:lang w:eastAsia="ja-JP"/>
        </w:rPr>
      </w:pPr>
      <w:r w:rsidRPr="00BA3F39">
        <w:rPr>
          <w:lang w:eastAsia="ja-JP"/>
        </w:rPr>
        <w:t>The secondary (investigator assessed) endpoints were tested following a fixed sequence procedure in the following hierarchical order: PFS in the overall population without PET, CR rate at EOI without PET in FL and in overall population, OS in FL and in overall population, and ORR at EOI without PET in FL and overall population</w:t>
      </w:r>
      <w:r w:rsidR="00996E6D">
        <w:rPr>
          <w:lang w:eastAsia="ja-JP"/>
        </w:rPr>
        <w:t xml:space="preserve"> (see Table 6, below).</w:t>
      </w:r>
      <w:r w:rsidRPr="00BA3F39">
        <w:rPr>
          <w:lang w:eastAsia="ja-JP"/>
        </w:rPr>
        <w:t xml:space="preserve"> The remaining secondary endpoints (including EFS, TTNLT, and DFS) were not adjusted for multiple testing. Based on this fixed sequence, only the first parameter (PFS in the overall population) is considered statistically significant since the next parameter in the sequence (CR rate without PET at the EOI in the FL population) did not meet the prede</w:t>
      </w:r>
      <w:r w:rsidR="00996E6D">
        <w:rPr>
          <w:lang w:eastAsia="ja-JP"/>
        </w:rPr>
        <w:t>fined statistical requirements.</w:t>
      </w:r>
    </w:p>
    <w:p w14:paraId="4B383D22" w14:textId="7F52728C" w:rsidR="0052032C" w:rsidRPr="0052032C" w:rsidRDefault="0052032C" w:rsidP="00275451">
      <w:pPr>
        <w:pStyle w:val="Tabletitle"/>
        <w:rPr>
          <w:lang w:eastAsia="ja-JP"/>
        </w:rPr>
      </w:pPr>
      <w:bookmarkStart w:id="97" w:name="_Ref475543596"/>
      <w:bookmarkStart w:id="98" w:name="_Toc481769206"/>
      <w:proofErr w:type="gramStart"/>
      <w:r w:rsidRPr="0052032C">
        <w:rPr>
          <w:lang w:eastAsia="ja-JP"/>
        </w:rPr>
        <w:t xml:space="preserve">Table </w:t>
      </w:r>
      <w:bookmarkEnd w:id="97"/>
      <w:r w:rsidR="00955C5D">
        <w:rPr>
          <w:lang w:eastAsia="ja-JP"/>
        </w:rPr>
        <w:t>6.</w:t>
      </w:r>
      <w:proofErr w:type="gramEnd"/>
      <w:r w:rsidR="00955C5D">
        <w:rPr>
          <w:lang w:eastAsia="ja-JP"/>
        </w:rPr>
        <w:t xml:space="preserve"> Study BO21223 fixed sequence testing procedure (INV a</w:t>
      </w:r>
      <w:r w:rsidRPr="0052032C">
        <w:rPr>
          <w:lang w:eastAsia="ja-JP"/>
        </w:rPr>
        <w:t>ssessment</w:t>
      </w:r>
      <w:bookmarkEnd w:id="98"/>
      <w:r w:rsidR="00955C5D">
        <w:rPr>
          <w:lang w:eastAsia="ja-JP"/>
        </w:rPr>
        <w:t>)</w:t>
      </w:r>
    </w:p>
    <w:p w14:paraId="478E230F" w14:textId="77777777" w:rsidR="0052032C" w:rsidRPr="0052032C" w:rsidRDefault="0052032C" w:rsidP="0052032C">
      <w:pPr>
        <w:rPr>
          <w:lang w:eastAsia="ja-JP"/>
        </w:rPr>
      </w:pPr>
      <w:r w:rsidRPr="0052032C">
        <w:rPr>
          <w:noProof/>
          <w:lang w:eastAsia="en-AU"/>
        </w:rPr>
        <w:drawing>
          <wp:inline distT="0" distB="0" distL="0" distR="0" wp14:anchorId="6F583FC1" wp14:editId="742E1C76">
            <wp:extent cx="4511544" cy="3481022"/>
            <wp:effectExtent l="0" t="0" r="3810" b="5715"/>
            <wp:docPr id="124" name="Picture 124" descr="Study BO21223 fixed sequence testing procedure (INV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23980" cy="3490617"/>
                    </a:xfrm>
                    <a:prstGeom prst="rect">
                      <a:avLst/>
                    </a:prstGeom>
                  </pic:spPr>
                </pic:pic>
              </a:graphicData>
            </a:graphic>
          </wp:inline>
        </w:drawing>
      </w:r>
    </w:p>
    <w:p w14:paraId="67EB81DD" w14:textId="4A8A3E85" w:rsidR="0052032C" w:rsidRPr="0052032C" w:rsidRDefault="0052032C" w:rsidP="0052032C">
      <w:pPr>
        <w:rPr>
          <w:lang w:eastAsia="ja-JP"/>
        </w:rPr>
      </w:pPr>
      <w:r w:rsidRPr="0052032C">
        <w:rPr>
          <w:lang w:eastAsia="ja-JP"/>
        </w:rPr>
        <w:lastRenderedPageBreak/>
        <w:t>Analysis of overall surviva</w:t>
      </w:r>
      <w:r w:rsidR="00955C5D">
        <w:rPr>
          <w:lang w:eastAsia="ja-JP"/>
        </w:rPr>
        <w:t xml:space="preserve">l (OS) and other secondary time to </w:t>
      </w:r>
      <w:r w:rsidRPr="0052032C">
        <w:rPr>
          <w:lang w:eastAsia="ja-JP"/>
        </w:rPr>
        <w:t>event efficacy analyses (event</w:t>
      </w:r>
      <w:r w:rsidR="00F12A75">
        <w:rPr>
          <w:lang w:eastAsia="ja-JP"/>
        </w:rPr>
        <w:t xml:space="preserve"> </w:t>
      </w:r>
      <w:r w:rsidRPr="0052032C">
        <w:rPr>
          <w:lang w:eastAsia="ja-JP"/>
        </w:rPr>
        <w:t xml:space="preserve">free survival </w:t>
      </w:r>
      <w:r>
        <w:rPr>
          <w:lang w:eastAsia="ja-JP"/>
        </w:rPr>
        <w:t>(</w:t>
      </w:r>
      <w:r w:rsidRPr="0052032C">
        <w:rPr>
          <w:lang w:eastAsia="ja-JP"/>
        </w:rPr>
        <w:t>EFS</w:t>
      </w:r>
      <w:r>
        <w:rPr>
          <w:lang w:eastAsia="ja-JP"/>
        </w:rPr>
        <w:t>)</w:t>
      </w:r>
      <w:r w:rsidRPr="0052032C">
        <w:rPr>
          <w:lang w:eastAsia="ja-JP"/>
        </w:rPr>
        <w:t>, disease</w:t>
      </w:r>
      <w:r w:rsidR="004474CC">
        <w:rPr>
          <w:lang w:eastAsia="ja-JP"/>
        </w:rPr>
        <w:t xml:space="preserve"> </w:t>
      </w:r>
      <w:r w:rsidRPr="0052032C">
        <w:rPr>
          <w:lang w:eastAsia="ja-JP"/>
        </w:rPr>
        <w:t xml:space="preserve">free survival </w:t>
      </w:r>
      <w:r>
        <w:rPr>
          <w:lang w:eastAsia="ja-JP"/>
        </w:rPr>
        <w:t>(</w:t>
      </w:r>
      <w:r w:rsidRPr="0052032C">
        <w:rPr>
          <w:lang w:eastAsia="ja-JP"/>
        </w:rPr>
        <w:t>DFS</w:t>
      </w:r>
      <w:r>
        <w:rPr>
          <w:lang w:eastAsia="ja-JP"/>
        </w:rPr>
        <w:t>)</w:t>
      </w:r>
      <w:r w:rsidRPr="0052032C">
        <w:rPr>
          <w:lang w:eastAsia="ja-JP"/>
        </w:rPr>
        <w:t xml:space="preserve">, duration of response </w:t>
      </w:r>
      <w:r>
        <w:rPr>
          <w:lang w:eastAsia="ja-JP"/>
        </w:rPr>
        <w:t>(</w:t>
      </w:r>
      <w:r w:rsidRPr="0052032C">
        <w:rPr>
          <w:lang w:eastAsia="ja-JP"/>
        </w:rPr>
        <w:t>DOR</w:t>
      </w:r>
      <w:r>
        <w:rPr>
          <w:lang w:eastAsia="ja-JP"/>
        </w:rPr>
        <w:t>)</w:t>
      </w:r>
      <w:r w:rsidRPr="0052032C">
        <w:rPr>
          <w:lang w:eastAsia="ja-JP"/>
        </w:rPr>
        <w:t>, and time to new anti</w:t>
      </w:r>
      <w:r w:rsidR="004474CC">
        <w:rPr>
          <w:lang w:eastAsia="ja-JP"/>
        </w:rPr>
        <w:noBreakHyphen/>
      </w:r>
      <w:r w:rsidRPr="0052032C">
        <w:rPr>
          <w:lang w:eastAsia="ja-JP"/>
        </w:rPr>
        <w:t xml:space="preserve">lymphoma treatment </w:t>
      </w:r>
      <w:r>
        <w:rPr>
          <w:lang w:eastAsia="ja-JP"/>
        </w:rPr>
        <w:t>(</w:t>
      </w:r>
      <w:r w:rsidRPr="0052032C">
        <w:rPr>
          <w:lang w:eastAsia="ja-JP"/>
        </w:rPr>
        <w:t>TTNLT</w:t>
      </w:r>
      <w:r>
        <w:rPr>
          <w:lang w:eastAsia="ja-JP"/>
        </w:rPr>
        <w:t>)</w:t>
      </w:r>
      <w:r w:rsidR="00BD335A">
        <w:rPr>
          <w:lang w:eastAsia="ja-JP"/>
        </w:rPr>
        <w:t>, (see also study design, above)</w:t>
      </w:r>
      <w:r w:rsidR="008E396E" w:rsidRPr="0052032C">
        <w:rPr>
          <w:lang w:eastAsia="ja-JP"/>
        </w:rPr>
        <w:t>;</w:t>
      </w:r>
      <w:r w:rsidRPr="0052032C">
        <w:rPr>
          <w:lang w:eastAsia="ja-JP"/>
        </w:rPr>
        <w:t xml:space="preserve"> sensitivity a</w:t>
      </w:r>
      <w:r w:rsidR="00955C5D">
        <w:rPr>
          <w:lang w:eastAsia="ja-JP"/>
        </w:rPr>
        <w:t xml:space="preserve">nalyses, and subgroup analyses </w:t>
      </w:r>
      <w:r w:rsidRPr="0052032C">
        <w:rPr>
          <w:lang w:eastAsia="ja-JP"/>
        </w:rPr>
        <w:t>did not meet the predefined statistical requirements</w:t>
      </w:r>
      <w:r w:rsidR="00955C5D">
        <w:rPr>
          <w:lang w:eastAsia="ja-JP"/>
        </w:rPr>
        <w:t>.</w:t>
      </w:r>
    </w:p>
    <w:p w14:paraId="50E1F0D9" w14:textId="2825085B" w:rsidR="0052032C" w:rsidRPr="0052032C" w:rsidRDefault="0052032C" w:rsidP="0052032C">
      <w:pPr>
        <w:rPr>
          <w:lang w:eastAsia="ja-JP"/>
        </w:rPr>
      </w:pPr>
      <w:r w:rsidRPr="0052032C">
        <w:rPr>
          <w:lang w:eastAsia="ja-JP"/>
        </w:rPr>
        <w:t>Specifically</w:t>
      </w:r>
      <w:r w:rsidR="00D412E1">
        <w:rPr>
          <w:lang w:eastAsia="ja-JP"/>
        </w:rPr>
        <w:t>,</w:t>
      </w:r>
      <w:r w:rsidRPr="0052032C">
        <w:rPr>
          <w:lang w:eastAsia="ja-JP"/>
        </w:rPr>
        <w:t xml:space="preserve"> for </w:t>
      </w:r>
      <w:r w:rsidRPr="00955C5D">
        <w:rPr>
          <w:lang w:eastAsia="ja-JP"/>
        </w:rPr>
        <w:t>overall survival</w:t>
      </w:r>
      <w:r w:rsidR="00955C5D">
        <w:rPr>
          <w:lang w:eastAsia="ja-JP"/>
        </w:rPr>
        <w:t xml:space="preserve">, at the clinical </w:t>
      </w:r>
      <w:r w:rsidR="00A277C3">
        <w:rPr>
          <w:lang w:eastAsia="ja-JP"/>
        </w:rPr>
        <w:t>cut-</w:t>
      </w:r>
      <w:r w:rsidR="00A277C3" w:rsidRPr="0052032C">
        <w:rPr>
          <w:lang w:eastAsia="ja-JP"/>
        </w:rPr>
        <w:t>off</w:t>
      </w:r>
      <w:r w:rsidRPr="0052032C">
        <w:rPr>
          <w:lang w:eastAsia="ja-JP"/>
        </w:rPr>
        <w:t xml:space="preserve"> date (3</w:t>
      </w:r>
      <w:r w:rsidR="00955C5D">
        <w:rPr>
          <w:lang w:eastAsia="ja-JP"/>
        </w:rPr>
        <w:t>1 January, 2016), a total of 81 randomis</w:t>
      </w:r>
      <w:r w:rsidRPr="0052032C">
        <w:rPr>
          <w:lang w:eastAsia="ja-JP"/>
        </w:rPr>
        <w:t xml:space="preserve">ed patients had died: 46/601 patients (7.7%) in the R-chemo arm and 35/601 patients (5.8%) in the G-chemo arm, and less than 20% of patients had been followed for survival for more than 4 years, hence the data can be considered still immature at this time (stratified HR 0.75 </w:t>
      </w:r>
      <w:r>
        <w:rPr>
          <w:lang w:eastAsia="ja-JP"/>
        </w:rPr>
        <w:t>(</w:t>
      </w:r>
      <w:r w:rsidRPr="0052032C">
        <w:rPr>
          <w:lang w:eastAsia="ja-JP"/>
        </w:rPr>
        <w:t>95% CI: 0.49, 1.17</w:t>
      </w:r>
      <w:r>
        <w:rPr>
          <w:lang w:eastAsia="ja-JP"/>
        </w:rPr>
        <w:t>)</w:t>
      </w:r>
      <w:r w:rsidRPr="0052032C">
        <w:rPr>
          <w:lang w:eastAsia="ja-JP"/>
        </w:rPr>
        <w:t>, stratified log-rank p</w:t>
      </w:r>
      <w:r w:rsidR="00955C5D">
        <w:rPr>
          <w:lang w:eastAsia="ja-JP"/>
        </w:rPr>
        <w:t xml:space="preserve"> </w:t>
      </w:r>
      <w:r w:rsidRPr="0052032C">
        <w:rPr>
          <w:lang w:eastAsia="ja-JP"/>
        </w:rPr>
        <w:t>= 0.21). The most frequent cause of death was adverse event in the G-chemo arm (3.9%</w:t>
      </w:r>
      <w:r>
        <w:rPr>
          <w:lang w:eastAsia="ja-JP"/>
        </w:rPr>
        <w:t xml:space="preserve"> versus </w:t>
      </w:r>
      <w:r w:rsidRPr="0052032C">
        <w:rPr>
          <w:lang w:eastAsia="ja-JP"/>
        </w:rPr>
        <w:t>3.4% in the R-chemo arm), and progressive disease in the R-chemo arm (3.7%</w:t>
      </w:r>
      <w:r>
        <w:rPr>
          <w:lang w:eastAsia="ja-JP"/>
        </w:rPr>
        <w:t xml:space="preserve"> versus </w:t>
      </w:r>
      <w:r w:rsidRPr="0052032C">
        <w:rPr>
          <w:lang w:eastAsia="ja-JP"/>
        </w:rPr>
        <w:t xml:space="preserve">2.0% in the G-chemo arm). Further information on deaths is </w:t>
      </w:r>
      <w:r w:rsidR="00955C5D">
        <w:rPr>
          <w:lang w:eastAsia="ja-JP"/>
        </w:rPr>
        <w:t>provided in the safety section.</w:t>
      </w:r>
    </w:p>
    <w:p w14:paraId="16228E8C" w14:textId="77777777" w:rsidR="0052032C" w:rsidRPr="0052032C" w:rsidRDefault="0052032C" w:rsidP="00955C5D">
      <w:pPr>
        <w:pStyle w:val="Heading6"/>
        <w:rPr>
          <w:lang w:eastAsia="ja-JP"/>
        </w:rPr>
      </w:pPr>
      <w:r w:rsidRPr="0052032C">
        <w:rPr>
          <w:lang w:eastAsia="ja-JP"/>
        </w:rPr>
        <w:t>Patient-reported outcomes in (FL ITT Population)</w:t>
      </w:r>
    </w:p>
    <w:p w14:paraId="46C35040" w14:textId="4CB62D63" w:rsidR="0052032C" w:rsidRPr="0052032C" w:rsidRDefault="0052032C" w:rsidP="0052032C">
      <w:pPr>
        <w:rPr>
          <w:lang w:eastAsia="ja-JP"/>
        </w:rPr>
      </w:pPr>
      <w:r w:rsidRPr="0052032C">
        <w:rPr>
          <w:lang w:eastAsia="ja-JP"/>
        </w:rPr>
        <w:t>There were no notable differences between the treatment arms in any of the FACT-Lym questionnaire subscales or EQ-5D-3L scales over time during the induction and maintenance treatment periods, and follow-up, as evidenced by modest (&lt;</w:t>
      </w:r>
      <w:r w:rsidR="00955C5D">
        <w:rPr>
          <w:lang w:eastAsia="ja-JP"/>
        </w:rPr>
        <w:t xml:space="preserve"> </w:t>
      </w:r>
      <w:r w:rsidRPr="0052032C">
        <w:rPr>
          <w:lang w:eastAsia="ja-JP"/>
        </w:rPr>
        <w:t xml:space="preserve">5%) between arm differences in the mean changes </w:t>
      </w:r>
      <w:r>
        <w:rPr>
          <w:lang w:eastAsia="ja-JP"/>
        </w:rPr>
        <w:t xml:space="preserve">from </w:t>
      </w:r>
      <w:r w:rsidR="004474CC">
        <w:rPr>
          <w:lang w:eastAsia="ja-JP"/>
        </w:rPr>
        <w:t>b</w:t>
      </w:r>
      <w:r>
        <w:rPr>
          <w:lang w:eastAsia="ja-JP"/>
        </w:rPr>
        <w:t>aseline</w:t>
      </w:r>
      <w:r w:rsidRPr="0052032C">
        <w:rPr>
          <w:lang w:eastAsia="ja-JP"/>
        </w:rPr>
        <w:t xml:space="preserve"> scores in FACT-Lym subscales, TOI and Total score, and EQ</w:t>
      </w:r>
      <w:r w:rsidR="004474CC">
        <w:rPr>
          <w:lang w:eastAsia="ja-JP"/>
        </w:rPr>
        <w:noBreakHyphen/>
      </w:r>
      <w:r w:rsidRPr="0052032C">
        <w:rPr>
          <w:lang w:eastAsia="ja-JP"/>
        </w:rPr>
        <w:t>5D</w:t>
      </w:r>
      <w:r w:rsidR="004474CC">
        <w:rPr>
          <w:lang w:eastAsia="ja-JP"/>
        </w:rPr>
        <w:noBreakHyphen/>
      </w:r>
      <w:r w:rsidRPr="0052032C">
        <w:rPr>
          <w:lang w:eastAsia="ja-JP"/>
        </w:rPr>
        <w:t>3L Utility scales.</w:t>
      </w:r>
    </w:p>
    <w:p w14:paraId="4DEA745A" w14:textId="5D00BDCF" w:rsidR="0052032C" w:rsidRPr="0052032C" w:rsidRDefault="0052032C" w:rsidP="0052032C">
      <w:pPr>
        <w:rPr>
          <w:lang w:eastAsia="ja-JP"/>
        </w:rPr>
      </w:pPr>
      <w:r w:rsidRPr="0052032C">
        <w:rPr>
          <w:lang w:eastAsia="ja-JP"/>
        </w:rPr>
        <w:t xml:space="preserve">Although patient scores did not exceed the levels for clinically meaningful change on the </w:t>
      </w:r>
      <w:r w:rsidR="004474CC">
        <w:rPr>
          <w:lang w:eastAsia="ja-JP"/>
        </w:rPr>
        <w:t>4 </w:t>
      </w:r>
      <w:r w:rsidRPr="0052032C">
        <w:rPr>
          <w:lang w:eastAsia="ja-JP"/>
        </w:rPr>
        <w:t>scales of the FACT-G (PWB, SWB, EWB, FWB) on the FACT-Lym in either arm, both arms reported clinically meaningful improvement on the FACT-Lym LYMS (≥</w:t>
      </w:r>
      <w:r w:rsidR="00955C5D">
        <w:rPr>
          <w:lang w:eastAsia="ja-JP"/>
        </w:rPr>
        <w:t xml:space="preserve"> </w:t>
      </w:r>
      <w:r w:rsidRPr="0052032C">
        <w:rPr>
          <w:lang w:eastAsia="ja-JP"/>
        </w:rPr>
        <w:t>3 points), TOI (≥</w:t>
      </w:r>
      <w:r w:rsidR="00955C5D">
        <w:rPr>
          <w:lang w:eastAsia="ja-JP"/>
        </w:rPr>
        <w:t> 6 </w:t>
      </w:r>
      <w:r w:rsidRPr="0052032C">
        <w:rPr>
          <w:lang w:eastAsia="ja-JP"/>
        </w:rPr>
        <w:t>points) and Total scores (≥</w:t>
      </w:r>
      <w:r w:rsidR="00955C5D">
        <w:rPr>
          <w:lang w:eastAsia="ja-JP"/>
        </w:rPr>
        <w:t> </w:t>
      </w:r>
      <w:r w:rsidRPr="0052032C">
        <w:rPr>
          <w:lang w:eastAsia="ja-JP"/>
        </w:rPr>
        <w:t xml:space="preserve">7 points) by the </w:t>
      </w:r>
      <w:r w:rsidR="004474CC">
        <w:rPr>
          <w:lang w:eastAsia="ja-JP"/>
        </w:rPr>
        <w:t>M</w:t>
      </w:r>
      <w:r w:rsidRPr="0052032C">
        <w:rPr>
          <w:lang w:eastAsia="ja-JP"/>
        </w:rPr>
        <w:t>onth 2 maintenance visit. These improvements were continued at the Month 12 maintenance and maintenance completion visits,</w:t>
      </w:r>
      <w:r w:rsidR="00955C5D">
        <w:rPr>
          <w:lang w:eastAsia="ja-JP"/>
        </w:rPr>
        <w:t xml:space="preserve"> as well as the Month 36 follow </w:t>
      </w:r>
      <w:r w:rsidRPr="0052032C">
        <w:rPr>
          <w:lang w:eastAsia="ja-JP"/>
        </w:rPr>
        <w:t>up visit.</w:t>
      </w:r>
    </w:p>
    <w:p w14:paraId="2CA89185" w14:textId="77777777" w:rsidR="0052032C" w:rsidRPr="0052032C" w:rsidRDefault="0052032C" w:rsidP="00955C5D">
      <w:pPr>
        <w:pStyle w:val="Heading5"/>
        <w:rPr>
          <w:lang w:eastAsia="ja-JP"/>
        </w:rPr>
      </w:pPr>
      <w:bookmarkStart w:id="99" w:name="_Ref481592267"/>
      <w:r w:rsidRPr="0052032C">
        <w:rPr>
          <w:lang w:eastAsia="ja-JP"/>
        </w:rPr>
        <w:t>Evaluator commentary</w:t>
      </w:r>
      <w:bookmarkEnd w:id="99"/>
    </w:p>
    <w:p w14:paraId="59E37694" w14:textId="007E971A" w:rsidR="0052032C" w:rsidRPr="0052032C" w:rsidRDefault="0052032C" w:rsidP="0052032C">
      <w:pPr>
        <w:rPr>
          <w:lang w:eastAsia="ja-JP"/>
        </w:rPr>
      </w:pPr>
      <w:r w:rsidRPr="0052032C">
        <w:rPr>
          <w:lang w:eastAsia="ja-JP"/>
        </w:rPr>
        <w:t>The primary endpoint of investigator assessed PFS was statistically significantly superior in the G-chemo arm compared to the R-chemo arm</w:t>
      </w:r>
      <w:r w:rsidR="004474CC">
        <w:rPr>
          <w:lang w:eastAsia="ja-JP"/>
        </w:rPr>
        <w:t xml:space="preserve"> (</w:t>
      </w:r>
      <w:r w:rsidRPr="0052032C">
        <w:rPr>
          <w:lang w:eastAsia="ja-JP"/>
        </w:rPr>
        <w:t xml:space="preserve">see </w:t>
      </w:r>
      <w:r w:rsidR="00955C5D">
        <w:rPr>
          <w:lang w:eastAsia="ja-JP"/>
        </w:rPr>
        <w:t>Table 4</w:t>
      </w:r>
      <w:r w:rsidR="004474CC">
        <w:rPr>
          <w:lang w:eastAsia="ja-JP"/>
        </w:rPr>
        <w:t>,</w:t>
      </w:r>
      <w:r w:rsidR="00955C5D">
        <w:rPr>
          <w:lang w:eastAsia="ja-JP"/>
        </w:rPr>
        <w:t xml:space="preserve"> above</w:t>
      </w:r>
      <w:r w:rsidR="004474CC">
        <w:rPr>
          <w:lang w:eastAsia="ja-JP"/>
        </w:rPr>
        <w:t>)</w:t>
      </w:r>
      <w:r w:rsidR="00955C5D">
        <w:rPr>
          <w:lang w:eastAsia="ja-JP"/>
        </w:rPr>
        <w:t>.</w:t>
      </w:r>
      <w:r w:rsidRPr="0052032C">
        <w:rPr>
          <w:lang w:eastAsia="ja-JP"/>
        </w:rPr>
        <w:t xml:space="preserve"> Approximately 60% had completed the full treatment (induction and maintenance). The secondary endpoints did not meet the predefined statistical requirements. Whether a longer PFS for G-chemo translates into superior overall survival in the long run is still uncertain and this has to be followed closely through regular updates from the</w:t>
      </w:r>
      <w:r>
        <w:rPr>
          <w:lang w:eastAsia="ja-JP"/>
        </w:rPr>
        <w:t xml:space="preserve"> sponsor</w:t>
      </w:r>
      <w:r w:rsidR="00955C5D">
        <w:rPr>
          <w:lang w:eastAsia="ja-JP"/>
        </w:rPr>
        <w:t xml:space="preserve"> to the TGA.</w:t>
      </w:r>
    </w:p>
    <w:p w14:paraId="36FBED34" w14:textId="58A3BCF5" w:rsidR="0052032C" w:rsidRPr="0052032C" w:rsidRDefault="0052032C" w:rsidP="0052032C">
      <w:pPr>
        <w:rPr>
          <w:lang w:eastAsia="ja-JP"/>
        </w:rPr>
      </w:pPr>
      <w:r w:rsidRPr="0052032C">
        <w:rPr>
          <w:lang w:eastAsia="ja-JP"/>
        </w:rPr>
        <w:t>It is also worthwhile noticing the results for the MZL population, although this was not part of the primary objective, with no difference between R-chemo and G-chemo for nodal and splenic MZL, though acknowledging that the numbers are small</w:t>
      </w:r>
      <w:r w:rsidR="00955C5D">
        <w:rPr>
          <w:lang w:eastAsia="ja-JP"/>
        </w:rPr>
        <w:t>.</w:t>
      </w:r>
    </w:p>
    <w:p w14:paraId="79C7B93B" w14:textId="77777777" w:rsidR="0052032C" w:rsidRPr="0052032C" w:rsidRDefault="0052032C" w:rsidP="00955C5D">
      <w:pPr>
        <w:pStyle w:val="Heading3"/>
      </w:pPr>
      <w:bookmarkStart w:id="100" w:name="_Ref271037188"/>
      <w:bookmarkStart w:id="101" w:name="_Ref271037210"/>
      <w:bookmarkStart w:id="102" w:name="_Toc272414655"/>
      <w:bookmarkStart w:id="103" w:name="_Toc290888503"/>
      <w:bookmarkStart w:id="104" w:name="_Toc416353719"/>
      <w:bookmarkStart w:id="105" w:name="_Toc421005270"/>
      <w:bookmarkStart w:id="106" w:name="_Toc432079152"/>
      <w:bookmarkStart w:id="107" w:name="_Toc432080725"/>
      <w:bookmarkStart w:id="108" w:name="_Toc481769160"/>
      <w:bookmarkStart w:id="109" w:name="_Toc241374311"/>
      <w:bookmarkStart w:id="110" w:name="_Ref243294291"/>
      <w:bookmarkStart w:id="111" w:name="_Toc513556351"/>
      <w:r w:rsidRPr="0052032C">
        <w:t>Other efficacy studies</w:t>
      </w:r>
      <w:bookmarkEnd w:id="100"/>
      <w:bookmarkEnd w:id="101"/>
      <w:bookmarkEnd w:id="102"/>
      <w:bookmarkEnd w:id="103"/>
      <w:bookmarkEnd w:id="104"/>
      <w:bookmarkEnd w:id="105"/>
      <w:bookmarkEnd w:id="106"/>
      <w:bookmarkEnd w:id="107"/>
      <w:bookmarkEnd w:id="108"/>
      <w:bookmarkEnd w:id="111"/>
    </w:p>
    <w:bookmarkEnd w:id="109"/>
    <w:bookmarkEnd w:id="110"/>
    <w:p w14:paraId="7E1A085D" w14:textId="77777777" w:rsidR="0052032C" w:rsidRPr="0052032C" w:rsidRDefault="0052032C" w:rsidP="00955C5D">
      <w:pPr>
        <w:pStyle w:val="Heading4"/>
      </w:pPr>
      <w:r>
        <w:t>Study BO</w:t>
      </w:r>
      <w:r w:rsidRPr="0052032C">
        <w:t>21000 (GAUDI)</w:t>
      </w:r>
    </w:p>
    <w:p w14:paraId="47BFC268" w14:textId="6A5BE2BF" w:rsidR="0052032C" w:rsidRPr="0052032C" w:rsidRDefault="0052032C" w:rsidP="0052032C">
      <w:pPr>
        <w:rPr>
          <w:lang w:eastAsia="ja-JP"/>
        </w:rPr>
      </w:pPr>
      <w:r w:rsidRPr="0052032C">
        <w:rPr>
          <w:lang w:eastAsia="ja-JP"/>
        </w:rPr>
        <w:t xml:space="preserve">This application includes the final CSR for </w:t>
      </w:r>
      <w:r>
        <w:rPr>
          <w:lang w:eastAsia="ja-JP"/>
        </w:rPr>
        <w:t>Study BO</w:t>
      </w:r>
      <w:r w:rsidRPr="0052032C">
        <w:rPr>
          <w:lang w:eastAsia="ja-JP"/>
        </w:rPr>
        <w:t>21000 which contains additional data collected from the maintenance period (during</w:t>
      </w:r>
      <w:r w:rsidR="00955C5D">
        <w:rPr>
          <w:lang w:eastAsia="ja-JP"/>
        </w:rPr>
        <w:t xml:space="preserve"> which patients received single </w:t>
      </w:r>
      <w:r w:rsidRPr="0052032C">
        <w:rPr>
          <w:lang w:eastAsia="ja-JP"/>
        </w:rPr>
        <w:t>agent obinutuzumab), and from the post-treatment follow</w:t>
      </w:r>
      <w:r w:rsidR="004474CC">
        <w:rPr>
          <w:lang w:eastAsia="ja-JP"/>
        </w:rPr>
        <w:t xml:space="preserve"> </w:t>
      </w:r>
      <w:r w:rsidRPr="0052032C">
        <w:rPr>
          <w:lang w:eastAsia="ja-JP"/>
        </w:rPr>
        <w:t>up period</w:t>
      </w:r>
      <w:r w:rsidR="00955C5D">
        <w:rPr>
          <w:lang w:eastAsia="ja-JP"/>
        </w:rPr>
        <w:t xml:space="preserve">, as shown below in Table 7. </w:t>
      </w:r>
      <w:r w:rsidRPr="0052032C">
        <w:rPr>
          <w:lang w:eastAsia="ja-JP"/>
        </w:rPr>
        <w:t xml:space="preserve">The </w:t>
      </w:r>
      <w:r w:rsidR="00955C5D">
        <w:rPr>
          <w:lang w:eastAsia="ja-JP"/>
        </w:rPr>
        <w:t>sponsor</w:t>
      </w:r>
      <w:r w:rsidRPr="0052032C">
        <w:rPr>
          <w:lang w:eastAsia="ja-JP"/>
        </w:rPr>
        <w:t xml:space="preserve"> previously filed </w:t>
      </w:r>
      <w:r w:rsidR="004474CC">
        <w:rPr>
          <w:lang w:eastAsia="ja-JP"/>
        </w:rPr>
        <w:t>2</w:t>
      </w:r>
      <w:r w:rsidR="004474CC" w:rsidRPr="0052032C">
        <w:rPr>
          <w:lang w:eastAsia="ja-JP"/>
        </w:rPr>
        <w:t xml:space="preserve"> </w:t>
      </w:r>
      <w:r w:rsidRPr="0052032C">
        <w:rPr>
          <w:lang w:eastAsia="ja-JP"/>
        </w:rPr>
        <w:t xml:space="preserve">primary CSRs for </w:t>
      </w:r>
      <w:r>
        <w:rPr>
          <w:lang w:eastAsia="ja-JP"/>
        </w:rPr>
        <w:t>Study BO</w:t>
      </w:r>
      <w:r w:rsidRPr="0052032C">
        <w:rPr>
          <w:lang w:eastAsia="ja-JP"/>
        </w:rPr>
        <w:t>21000 (Report No. 1036396, January 2012, including patients with relapsed/refractory FL; and Report No. 1050659, Nove</w:t>
      </w:r>
      <w:r w:rsidR="00955C5D">
        <w:rPr>
          <w:lang w:eastAsia="ja-JP"/>
        </w:rPr>
        <w:t xml:space="preserve">mber 2012, including previously </w:t>
      </w:r>
      <w:r w:rsidRPr="0052032C">
        <w:rPr>
          <w:lang w:eastAsia="ja-JP"/>
        </w:rPr>
        <w:t>untreated patients with FL). A full data set from the induction period was reported in the primary CSR (Report No. 1050659).</w:t>
      </w:r>
    </w:p>
    <w:p w14:paraId="5579AAE1" w14:textId="1CCD05AD" w:rsidR="0052032C" w:rsidRPr="0052032C" w:rsidRDefault="0052032C" w:rsidP="0052032C">
      <w:pPr>
        <w:rPr>
          <w:lang w:eastAsia="ja-JP"/>
        </w:rPr>
      </w:pPr>
      <w:r w:rsidRPr="0052032C">
        <w:rPr>
          <w:lang w:eastAsia="ja-JP"/>
        </w:rPr>
        <w:t xml:space="preserve">In </w:t>
      </w:r>
      <w:r>
        <w:rPr>
          <w:lang w:eastAsia="ja-JP"/>
        </w:rPr>
        <w:t>Study BO</w:t>
      </w:r>
      <w:r w:rsidRPr="0052032C">
        <w:rPr>
          <w:lang w:eastAsia="ja-JP"/>
        </w:rPr>
        <w:t xml:space="preserve">21000, the number of scheduled obinutuzumab doses was lower than in </w:t>
      </w:r>
      <w:r w:rsidR="00955C5D">
        <w:rPr>
          <w:lang w:eastAsia="ja-JP"/>
        </w:rPr>
        <w:t>Study </w:t>
      </w:r>
      <w:r>
        <w:rPr>
          <w:lang w:eastAsia="ja-JP"/>
        </w:rPr>
        <w:t>BO</w:t>
      </w:r>
      <w:r w:rsidRPr="0052032C">
        <w:rPr>
          <w:lang w:eastAsia="ja-JP"/>
        </w:rPr>
        <w:t xml:space="preserve">21223 since only </w:t>
      </w:r>
      <w:r w:rsidR="00955C5D">
        <w:rPr>
          <w:lang w:eastAsia="ja-JP"/>
        </w:rPr>
        <w:t>2</w:t>
      </w:r>
      <w:r w:rsidRPr="0052032C">
        <w:rPr>
          <w:lang w:eastAsia="ja-JP"/>
        </w:rPr>
        <w:t xml:space="preserve"> doses of obinutuzumab were scheduled in Cycle 1 (on Day</w:t>
      </w:r>
      <w:r w:rsidR="00955C5D">
        <w:rPr>
          <w:lang w:eastAsia="ja-JP"/>
        </w:rPr>
        <w:t>s</w:t>
      </w:r>
      <w:r w:rsidRPr="0052032C">
        <w:rPr>
          <w:lang w:eastAsia="ja-JP"/>
        </w:rPr>
        <w:t xml:space="preserve"> 1 and 8 in </w:t>
      </w:r>
      <w:r w:rsidR="00955C5D">
        <w:rPr>
          <w:lang w:eastAsia="ja-JP"/>
        </w:rPr>
        <w:t xml:space="preserve">Study </w:t>
      </w:r>
      <w:r w:rsidRPr="0052032C">
        <w:rPr>
          <w:lang w:eastAsia="ja-JP"/>
        </w:rPr>
        <w:t>BO21000</w:t>
      </w:r>
      <w:r>
        <w:rPr>
          <w:lang w:eastAsia="ja-JP"/>
        </w:rPr>
        <w:t xml:space="preserve"> versus </w:t>
      </w:r>
      <w:r w:rsidRPr="0052032C">
        <w:rPr>
          <w:lang w:eastAsia="ja-JP"/>
        </w:rPr>
        <w:t xml:space="preserve">Day 1, 8, and 15 in </w:t>
      </w:r>
      <w:r w:rsidR="00955C5D">
        <w:rPr>
          <w:lang w:eastAsia="ja-JP"/>
        </w:rPr>
        <w:t xml:space="preserve">Study </w:t>
      </w:r>
      <w:r w:rsidRPr="0052032C">
        <w:rPr>
          <w:lang w:eastAsia="ja-JP"/>
        </w:rPr>
        <w:t xml:space="preserve">BO21223), fewer treatment cycles were scheduled during induction (4 or 6 for G-benda and 6 or 8 for G-CHOP in </w:t>
      </w:r>
      <w:r w:rsidR="00955C5D">
        <w:rPr>
          <w:lang w:eastAsia="ja-JP"/>
        </w:rPr>
        <w:t xml:space="preserve">Study </w:t>
      </w:r>
      <w:r w:rsidRPr="0052032C">
        <w:rPr>
          <w:lang w:eastAsia="ja-JP"/>
        </w:rPr>
        <w:t>BO21000</w:t>
      </w:r>
      <w:r>
        <w:rPr>
          <w:lang w:eastAsia="ja-JP"/>
        </w:rPr>
        <w:t xml:space="preserve"> versus </w:t>
      </w:r>
      <w:r w:rsidRPr="0052032C">
        <w:rPr>
          <w:lang w:eastAsia="ja-JP"/>
        </w:rPr>
        <w:lastRenderedPageBreak/>
        <w:t>6 for G-benda and 8 for G-CHOP or G-CVP in BO21223), and because of less frequent maintenance dosing (every 3 months for a total of 8 maintenance doses in BO21000</w:t>
      </w:r>
      <w:r>
        <w:rPr>
          <w:lang w:eastAsia="ja-JP"/>
        </w:rPr>
        <w:t xml:space="preserve"> versus </w:t>
      </w:r>
      <w:r w:rsidRPr="0052032C">
        <w:rPr>
          <w:lang w:eastAsia="ja-JP"/>
        </w:rPr>
        <w:t>every 2 months for a total of 12 maintenance doses in BO21223). The number of planned chemotherapy cycles was also lower in BO21000 than in BO21223, see</w:t>
      </w:r>
      <w:r w:rsidR="00955C5D">
        <w:rPr>
          <w:lang w:eastAsia="ja-JP"/>
        </w:rPr>
        <w:t xml:space="preserve"> Table 7, below.</w:t>
      </w:r>
    </w:p>
    <w:p w14:paraId="379D4B09" w14:textId="6216B80D" w:rsidR="0052032C" w:rsidRPr="0052032C" w:rsidRDefault="0052032C" w:rsidP="0052032C">
      <w:pPr>
        <w:rPr>
          <w:lang w:eastAsia="ja-JP"/>
        </w:rPr>
      </w:pPr>
      <w:r w:rsidRPr="0052032C">
        <w:rPr>
          <w:lang w:eastAsia="ja-JP"/>
        </w:rPr>
        <w:t>The end of the study was defined as the time point when the last patient had completed 2 years of follow</w:t>
      </w:r>
      <w:r w:rsidR="00DE4AF9">
        <w:rPr>
          <w:lang w:eastAsia="ja-JP"/>
        </w:rPr>
        <w:t xml:space="preserve"> </w:t>
      </w:r>
      <w:r w:rsidRPr="0052032C">
        <w:rPr>
          <w:lang w:eastAsia="ja-JP"/>
        </w:rPr>
        <w:t xml:space="preserve">up after receiving the last dose of maintenance therapy (for </w:t>
      </w:r>
      <w:r>
        <w:rPr>
          <w:lang w:eastAsia="ja-JP"/>
        </w:rPr>
        <w:t>Study BO</w:t>
      </w:r>
      <w:r w:rsidRPr="0052032C">
        <w:rPr>
          <w:lang w:eastAsia="ja-JP"/>
        </w:rPr>
        <w:t xml:space="preserve">21000, last patient last visit </w:t>
      </w:r>
      <w:r>
        <w:rPr>
          <w:lang w:eastAsia="ja-JP"/>
        </w:rPr>
        <w:t>(</w:t>
      </w:r>
      <w:r w:rsidRPr="0052032C">
        <w:rPr>
          <w:lang w:eastAsia="ja-JP"/>
        </w:rPr>
        <w:t>LPLV</w:t>
      </w:r>
      <w:r>
        <w:rPr>
          <w:lang w:eastAsia="ja-JP"/>
        </w:rPr>
        <w:t>)</w:t>
      </w:r>
      <w:r w:rsidRPr="0052032C">
        <w:rPr>
          <w:lang w:eastAsia="ja-JP"/>
        </w:rPr>
        <w:t xml:space="preserve"> occurred on 4 November 2015).</w:t>
      </w:r>
    </w:p>
    <w:p w14:paraId="308BC660" w14:textId="73FA4FC9" w:rsidR="0052032C" w:rsidRPr="0052032C" w:rsidRDefault="0052032C" w:rsidP="00955C5D">
      <w:pPr>
        <w:pStyle w:val="Tabletitle"/>
        <w:rPr>
          <w:lang w:eastAsia="ja-JP"/>
        </w:rPr>
      </w:pPr>
      <w:bookmarkStart w:id="112" w:name="_Ref475629957"/>
      <w:bookmarkStart w:id="113" w:name="_Toc481769207"/>
      <w:bookmarkStart w:id="114" w:name="_Toc290888505"/>
      <w:bookmarkStart w:id="115" w:name="_Toc416353721"/>
      <w:proofErr w:type="gramStart"/>
      <w:r w:rsidRPr="0052032C">
        <w:rPr>
          <w:lang w:eastAsia="ja-JP"/>
        </w:rPr>
        <w:t xml:space="preserve">Table </w:t>
      </w:r>
      <w:bookmarkEnd w:id="112"/>
      <w:r w:rsidR="00AD3C1B">
        <w:rPr>
          <w:lang w:eastAsia="ja-JP"/>
        </w:rPr>
        <w:t>7</w:t>
      </w:r>
      <w:r w:rsidR="00955C5D">
        <w:rPr>
          <w:lang w:eastAsia="ja-JP"/>
        </w:rPr>
        <w:t>.</w:t>
      </w:r>
      <w:proofErr w:type="gramEnd"/>
      <w:r w:rsidRPr="0052032C">
        <w:rPr>
          <w:lang w:eastAsia="ja-JP"/>
        </w:rPr>
        <w:t xml:space="preserve"> Summary of </w:t>
      </w:r>
      <w:r>
        <w:rPr>
          <w:lang w:eastAsia="ja-JP"/>
        </w:rPr>
        <w:t>Study BO</w:t>
      </w:r>
      <w:r w:rsidRPr="0052032C">
        <w:rPr>
          <w:lang w:eastAsia="ja-JP"/>
        </w:rPr>
        <w:t>21000 (GAUDI)</w:t>
      </w:r>
      <w:bookmarkEnd w:id="113"/>
    </w:p>
    <w:p w14:paraId="7D462E75" w14:textId="77777777" w:rsidR="0052032C" w:rsidRPr="0052032C" w:rsidRDefault="0052032C" w:rsidP="0052032C">
      <w:pPr>
        <w:rPr>
          <w:lang w:eastAsia="ja-JP"/>
        </w:rPr>
      </w:pPr>
      <w:r w:rsidRPr="0052032C">
        <w:rPr>
          <w:noProof/>
          <w:lang w:eastAsia="en-AU"/>
        </w:rPr>
        <w:drawing>
          <wp:inline distT="0" distB="0" distL="0" distR="0" wp14:anchorId="453C72C7" wp14:editId="316074B5">
            <wp:extent cx="5731510" cy="2393028"/>
            <wp:effectExtent l="0" t="0" r="2540" b="7620"/>
            <wp:docPr id="123" name="Picture 123" descr="Summary of Study BO21000 (GA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393028"/>
                    </a:xfrm>
                    <a:prstGeom prst="rect">
                      <a:avLst/>
                    </a:prstGeom>
                  </pic:spPr>
                </pic:pic>
              </a:graphicData>
            </a:graphic>
          </wp:inline>
        </w:drawing>
      </w:r>
    </w:p>
    <w:p w14:paraId="07A7B351" w14:textId="47B88C57" w:rsidR="0052032C" w:rsidRPr="0052032C" w:rsidRDefault="0052032C" w:rsidP="0052032C">
      <w:pPr>
        <w:rPr>
          <w:lang w:eastAsia="ja-JP"/>
        </w:rPr>
      </w:pPr>
      <w:r w:rsidRPr="0052032C">
        <w:rPr>
          <w:lang w:eastAsia="ja-JP"/>
        </w:rPr>
        <w:t>Patients</w:t>
      </w:r>
      <w:r w:rsidR="00955C5D">
        <w:rPr>
          <w:lang w:eastAsia="ja-JP"/>
        </w:rPr>
        <w:t xml:space="preserve"> with Ann Arbor Stage I to </w:t>
      </w:r>
      <w:r w:rsidRPr="0052032C">
        <w:rPr>
          <w:lang w:eastAsia="ja-JP"/>
        </w:rPr>
        <w:t xml:space="preserve">IV were included as opposed to the pivotal </w:t>
      </w:r>
      <w:r>
        <w:rPr>
          <w:lang w:eastAsia="ja-JP"/>
        </w:rPr>
        <w:t>Study BO</w:t>
      </w:r>
      <w:r w:rsidRPr="0052032C">
        <w:rPr>
          <w:lang w:eastAsia="ja-JP"/>
        </w:rPr>
        <w:t>21223,</w:t>
      </w:r>
      <w:r w:rsidR="00955C5D">
        <w:rPr>
          <w:lang w:eastAsia="ja-JP"/>
        </w:rPr>
        <w:t xml:space="preserve"> where only Ann Arbor Stage III to </w:t>
      </w:r>
      <w:r w:rsidRPr="0052032C">
        <w:rPr>
          <w:lang w:eastAsia="ja-JP"/>
        </w:rPr>
        <w:t>IV and bulky stage II were included.</w:t>
      </w:r>
      <w:bookmarkEnd w:id="114"/>
      <w:bookmarkEnd w:id="115"/>
    </w:p>
    <w:p w14:paraId="4796DFB3" w14:textId="77777777" w:rsidR="0052032C" w:rsidRPr="0052032C" w:rsidRDefault="0052032C" w:rsidP="00955C5D">
      <w:pPr>
        <w:pStyle w:val="Heading4"/>
      </w:pPr>
      <w:r w:rsidRPr="0052032C">
        <w:t>Evaluator commentary: other efficacy studies</w:t>
      </w:r>
    </w:p>
    <w:p w14:paraId="560F3F9F" w14:textId="1DBEB010" w:rsidR="0052032C" w:rsidRPr="0052032C" w:rsidRDefault="0052032C" w:rsidP="0052032C">
      <w:pPr>
        <w:rPr>
          <w:lang w:eastAsia="ja-JP"/>
        </w:rPr>
      </w:pPr>
      <w:r>
        <w:rPr>
          <w:lang w:eastAsia="ja-JP"/>
        </w:rPr>
        <w:t>Study BO</w:t>
      </w:r>
      <w:r w:rsidRPr="0052032C">
        <w:rPr>
          <w:lang w:eastAsia="ja-JP"/>
        </w:rPr>
        <w:t xml:space="preserve">21000 has not been included in the main evaluation of efficacy and safety as the pivotal </w:t>
      </w:r>
      <w:r>
        <w:rPr>
          <w:lang w:eastAsia="ja-JP"/>
        </w:rPr>
        <w:t>Study BO</w:t>
      </w:r>
      <w:r w:rsidRPr="0052032C">
        <w:rPr>
          <w:lang w:eastAsia="ja-JP"/>
        </w:rPr>
        <w:t xml:space="preserve">21223 was a </w:t>
      </w:r>
      <w:r>
        <w:rPr>
          <w:lang w:eastAsia="ja-JP"/>
        </w:rPr>
        <w:t>Phase I</w:t>
      </w:r>
      <w:r w:rsidRPr="0052032C">
        <w:rPr>
          <w:lang w:eastAsia="ja-JP"/>
        </w:rPr>
        <w:t xml:space="preserve">II study with a relevant comparator in which 700 patients received G-chemo compared to 81 patients in part 2 of the </w:t>
      </w:r>
      <w:r>
        <w:rPr>
          <w:lang w:eastAsia="ja-JP"/>
        </w:rPr>
        <w:t>Phase I</w:t>
      </w:r>
      <w:r w:rsidRPr="0052032C">
        <w:rPr>
          <w:lang w:eastAsia="ja-JP"/>
        </w:rPr>
        <w:t xml:space="preserve">b </w:t>
      </w:r>
      <w:r>
        <w:rPr>
          <w:lang w:eastAsia="ja-JP"/>
        </w:rPr>
        <w:t>Study BO</w:t>
      </w:r>
      <w:r w:rsidR="00955C5D">
        <w:rPr>
          <w:lang w:eastAsia="ja-JP"/>
        </w:rPr>
        <w:t>21000.</w:t>
      </w:r>
    </w:p>
    <w:p w14:paraId="22088DFC" w14:textId="77777777" w:rsidR="0052032C" w:rsidRPr="0052032C" w:rsidRDefault="0052032C" w:rsidP="00955C5D">
      <w:pPr>
        <w:pStyle w:val="Heading3"/>
      </w:pPr>
      <w:bookmarkStart w:id="116" w:name="_Ref271126605"/>
      <w:bookmarkStart w:id="117" w:name="_Toc272414657"/>
      <w:bookmarkStart w:id="118" w:name="_Toc290888508"/>
      <w:bookmarkStart w:id="119" w:name="_Toc416353724"/>
      <w:bookmarkStart w:id="120" w:name="_Toc421005272"/>
      <w:bookmarkStart w:id="121" w:name="_Toc432079154"/>
      <w:bookmarkStart w:id="122" w:name="_Toc432080727"/>
      <w:bookmarkStart w:id="123" w:name="_Toc481769161"/>
      <w:bookmarkStart w:id="124" w:name="_Toc513556352"/>
      <w:r w:rsidRPr="0052032C">
        <w:t>Evaluator’s conclusions on clinical efficacy</w:t>
      </w:r>
      <w:bookmarkEnd w:id="116"/>
      <w:bookmarkEnd w:id="117"/>
      <w:bookmarkEnd w:id="118"/>
      <w:bookmarkEnd w:id="119"/>
      <w:bookmarkEnd w:id="120"/>
      <w:bookmarkEnd w:id="121"/>
      <w:bookmarkEnd w:id="122"/>
      <w:bookmarkEnd w:id="123"/>
      <w:bookmarkEnd w:id="124"/>
    </w:p>
    <w:p w14:paraId="3D3BB126" w14:textId="5D204395" w:rsidR="0052032C" w:rsidRPr="0052032C" w:rsidRDefault="0052032C" w:rsidP="0052032C">
      <w:pPr>
        <w:rPr>
          <w:lang w:eastAsia="ja-JP"/>
        </w:rPr>
      </w:pPr>
      <w:r w:rsidRPr="0052032C">
        <w:rPr>
          <w:lang w:eastAsia="ja-JP"/>
        </w:rPr>
        <w:t xml:space="preserve">The pivotal </w:t>
      </w:r>
      <w:r>
        <w:rPr>
          <w:lang w:eastAsia="ja-JP"/>
        </w:rPr>
        <w:t>Study BO</w:t>
      </w:r>
      <w:r w:rsidRPr="0052032C">
        <w:rPr>
          <w:lang w:eastAsia="ja-JP"/>
        </w:rPr>
        <w:t>21223</w:t>
      </w:r>
      <w:r w:rsidR="000B2AEB">
        <w:rPr>
          <w:lang w:eastAsia="ja-JP"/>
        </w:rPr>
        <w:t xml:space="preserve"> (GALLIUM) is a Phase III, open label, multi</w:t>
      </w:r>
      <w:r w:rsidRPr="0052032C">
        <w:rPr>
          <w:lang w:eastAsia="ja-JP"/>
        </w:rPr>
        <w:t>centre, randomi</w:t>
      </w:r>
      <w:r w:rsidR="000B2AEB">
        <w:rPr>
          <w:lang w:eastAsia="ja-JP"/>
        </w:rPr>
        <w:t>s</w:t>
      </w:r>
      <w:r w:rsidRPr="0052032C">
        <w:rPr>
          <w:lang w:eastAsia="ja-JP"/>
        </w:rPr>
        <w:t>ed study to investigate the efficacy and safety of G-chemo followed by G-maintenance therapy for responders (CR or PR), compared to R-chemo followed by R-maintenance therapy for responders, in patients with previously-untreated advanced iNHL (</w:t>
      </w:r>
      <w:r w:rsidR="000B2AEB">
        <w:rPr>
          <w:lang w:eastAsia="ja-JP"/>
        </w:rPr>
        <w:t xml:space="preserve">see Figure 3, above). </w:t>
      </w:r>
      <w:r w:rsidRPr="0052032C">
        <w:rPr>
          <w:lang w:eastAsia="ja-JP"/>
        </w:rPr>
        <w:t xml:space="preserve">The overall population consisted primarily of patients with previously-untreated FL (1202/1401, 85.8%), of which 601 patients were </w:t>
      </w:r>
      <w:r w:rsidR="00705E66">
        <w:rPr>
          <w:lang w:eastAsia="ja-JP"/>
        </w:rPr>
        <w:t>randomis</w:t>
      </w:r>
      <w:r w:rsidRPr="0052032C">
        <w:rPr>
          <w:lang w:eastAsia="ja-JP"/>
        </w:rPr>
        <w:t>ed to the R-chemo arm, and 601 patients were</w:t>
      </w:r>
      <w:r w:rsidR="000B2AEB">
        <w:rPr>
          <w:lang w:eastAsia="ja-JP"/>
        </w:rPr>
        <w:t xml:space="preserve"> </w:t>
      </w:r>
      <w:r w:rsidR="00705E66">
        <w:rPr>
          <w:lang w:eastAsia="ja-JP"/>
        </w:rPr>
        <w:t>randomis</w:t>
      </w:r>
      <w:r w:rsidR="000B2AEB">
        <w:rPr>
          <w:lang w:eastAsia="ja-JP"/>
        </w:rPr>
        <w:t>ed to the G-chemo arm.</w:t>
      </w:r>
    </w:p>
    <w:p w14:paraId="3607C5EA" w14:textId="29ECAB95" w:rsidR="0052032C" w:rsidRPr="0052032C" w:rsidRDefault="0052032C" w:rsidP="0052032C">
      <w:pPr>
        <w:rPr>
          <w:lang w:eastAsia="ja-JP"/>
        </w:rPr>
      </w:pPr>
      <w:r w:rsidRPr="0052032C">
        <w:rPr>
          <w:lang w:eastAsia="ja-JP"/>
        </w:rPr>
        <w:t xml:space="preserve">The primary endpoint of investigator assessed PFS in the FL population was statistically significantly superior for the G-chemo arm compared to the R-chemo arm, see </w:t>
      </w:r>
      <w:r w:rsidR="000B2AEB">
        <w:rPr>
          <w:lang w:eastAsia="ja-JP"/>
        </w:rPr>
        <w:t>Table 4, above.</w:t>
      </w:r>
      <w:r w:rsidRPr="0052032C">
        <w:rPr>
          <w:lang w:eastAsia="ja-JP"/>
        </w:rPr>
        <w:t xml:space="preserve"> Approximately 60% had completed the full treatment (induction and maintenance). </w:t>
      </w:r>
      <w:r w:rsidR="00F03E3F" w:rsidRPr="00F03E3F">
        <w:rPr>
          <w:lang w:eastAsia="ja-JP"/>
        </w:rPr>
        <w:t>The secondary endpoint of investigator assessed PFS in the overall population was also statistically significantly superior. The other secondary endpoints did not meet the predefined statistical requirements</w:t>
      </w:r>
      <w:r w:rsidR="00DE4AF9">
        <w:rPr>
          <w:lang w:eastAsia="ja-JP"/>
        </w:rPr>
        <w:t>.</w:t>
      </w:r>
    </w:p>
    <w:p w14:paraId="634063F1" w14:textId="17A0F1A3" w:rsidR="0052032C" w:rsidRPr="0052032C" w:rsidRDefault="0052032C" w:rsidP="0052032C">
      <w:pPr>
        <w:rPr>
          <w:lang w:eastAsia="ja-JP"/>
        </w:rPr>
      </w:pPr>
      <w:r w:rsidRPr="0052032C">
        <w:rPr>
          <w:lang w:eastAsia="ja-JP"/>
        </w:rPr>
        <w:t>In the end</w:t>
      </w:r>
      <w:r w:rsidR="000B2AEB">
        <w:rPr>
          <w:lang w:eastAsia="ja-JP"/>
        </w:rPr>
        <w:t>,</w:t>
      </w:r>
      <w:r w:rsidRPr="0052032C">
        <w:rPr>
          <w:lang w:eastAsia="ja-JP"/>
        </w:rPr>
        <w:t xml:space="preserve"> long overall survival is the current goal of treatment of follicular lymphoma (as opposed to cure). The data are immature and regular updates on this trial are cruc</w:t>
      </w:r>
      <w:r w:rsidR="000B2AEB">
        <w:rPr>
          <w:lang w:eastAsia="ja-JP"/>
        </w:rPr>
        <w:t>ial to evaluate if obinutuzumab-</w:t>
      </w:r>
      <w:r w:rsidRPr="0052032C">
        <w:rPr>
          <w:lang w:eastAsia="ja-JP"/>
        </w:rPr>
        <w:t xml:space="preserve">chemo in the long run </w:t>
      </w:r>
      <w:r w:rsidR="000B2AEB">
        <w:rPr>
          <w:lang w:eastAsia="ja-JP"/>
        </w:rPr>
        <w:t>is superior to rituximab-chemo.</w:t>
      </w:r>
    </w:p>
    <w:p w14:paraId="38470EC2" w14:textId="777F3271" w:rsidR="0052032C" w:rsidRPr="0052032C" w:rsidRDefault="0052032C" w:rsidP="0052032C">
      <w:pPr>
        <w:rPr>
          <w:lang w:eastAsia="ja-JP"/>
        </w:rPr>
      </w:pPr>
      <w:r w:rsidRPr="0052032C">
        <w:rPr>
          <w:lang w:eastAsia="ja-JP"/>
        </w:rPr>
        <w:lastRenderedPageBreak/>
        <w:t xml:space="preserve">The follicular lymphoma study population is not totally representative of the </w:t>
      </w:r>
      <w:r>
        <w:rPr>
          <w:lang w:eastAsia="ja-JP"/>
        </w:rPr>
        <w:t>‘</w:t>
      </w:r>
      <w:r w:rsidRPr="0052032C">
        <w:rPr>
          <w:lang w:eastAsia="ja-JP"/>
        </w:rPr>
        <w:t>average</w:t>
      </w:r>
      <w:r>
        <w:rPr>
          <w:lang w:eastAsia="ja-JP"/>
        </w:rPr>
        <w:t>’</w:t>
      </w:r>
      <w:r w:rsidRPr="0052032C">
        <w:rPr>
          <w:lang w:eastAsia="ja-JP"/>
        </w:rPr>
        <w:t xml:space="preserve"> FL patient: The median age in the study was 59.0 years and ECOG performance score was 0-1 (for app. 97%). No patients with a CrCL</w:t>
      </w:r>
      <w:r w:rsidR="000B2AEB">
        <w:rPr>
          <w:lang w:eastAsia="ja-JP"/>
        </w:rPr>
        <w:t> </w:t>
      </w:r>
      <w:r w:rsidRPr="0052032C">
        <w:rPr>
          <w:lang w:eastAsia="ja-JP"/>
        </w:rPr>
        <w:t>&lt;</w:t>
      </w:r>
      <w:r w:rsidR="000B2AEB">
        <w:rPr>
          <w:lang w:eastAsia="ja-JP"/>
        </w:rPr>
        <w:t> </w:t>
      </w:r>
      <w:r w:rsidRPr="0052032C">
        <w:rPr>
          <w:lang w:eastAsia="ja-JP"/>
        </w:rPr>
        <w:t>40</w:t>
      </w:r>
      <w:r w:rsidR="000B2AEB">
        <w:rPr>
          <w:lang w:eastAsia="ja-JP"/>
        </w:rPr>
        <w:t xml:space="preserve"> </w:t>
      </w:r>
      <w:r w:rsidRPr="0052032C">
        <w:rPr>
          <w:lang w:eastAsia="ja-JP"/>
        </w:rPr>
        <w:t>mL/min were included</w:t>
      </w:r>
      <w:r w:rsidR="00F03E3F">
        <w:rPr>
          <w:lang w:eastAsia="ja-JP"/>
        </w:rPr>
        <w:t xml:space="preserve"> </w:t>
      </w:r>
      <w:r w:rsidR="00F03E3F" w:rsidRPr="00F03E3F">
        <w:rPr>
          <w:lang w:eastAsia="ja-JP"/>
        </w:rPr>
        <w:t xml:space="preserve">(CrCL &lt; 40 mL/min </w:t>
      </w:r>
      <w:r w:rsidR="00F03E3F">
        <w:rPr>
          <w:lang w:eastAsia="ja-JP"/>
        </w:rPr>
        <w:t>was a study exclusion criterion</w:t>
      </w:r>
      <w:r w:rsidR="00F03E3F" w:rsidRPr="00F03E3F">
        <w:rPr>
          <w:lang w:eastAsia="ja-JP"/>
        </w:rPr>
        <w:t>)</w:t>
      </w:r>
      <w:r w:rsidRPr="0052032C">
        <w:rPr>
          <w:lang w:eastAsia="ja-JP"/>
        </w:rPr>
        <w:t xml:space="preserve">. The median age at diagnosis </w:t>
      </w:r>
      <w:r>
        <w:rPr>
          <w:lang w:eastAsia="ja-JP"/>
        </w:rPr>
        <w:t>‘</w:t>
      </w:r>
      <w:r w:rsidRPr="0052032C">
        <w:rPr>
          <w:lang w:eastAsia="ja-JP"/>
        </w:rPr>
        <w:t>in real life</w:t>
      </w:r>
      <w:r>
        <w:rPr>
          <w:lang w:eastAsia="ja-JP"/>
        </w:rPr>
        <w:t>’</w:t>
      </w:r>
      <w:r w:rsidRPr="0052032C">
        <w:rPr>
          <w:lang w:eastAsia="ja-JP"/>
        </w:rPr>
        <w:t xml:space="preserve"> is approximately 65 years, and as this is mainly a disease of the elderly the ECOG performance score will often exceed 1 and patients will have comorbidities including compromised renal function. This may all affect the efficacy</w:t>
      </w:r>
      <w:r w:rsidR="000B2AEB">
        <w:rPr>
          <w:lang w:eastAsia="ja-JP"/>
        </w:rPr>
        <w:t xml:space="preserve"> and certainly the safety (see Section </w:t>
      </w:r>
      <w:r w:rsidRPr="0052032C">
        <w:rPr>
          <w:lang w:eastAsia="ja-JP"/>
        </w:rPr>
        <w:t>8</w:t>
      </w:r>
      <w:r w:rsidR="000B2AEB">
        <w:rPr>
          <w:lang w:eastAsia="ja-JP"/>
        </w:rPr>
        <w:t xml:space="preserve"> of this report</w:t>
      </w:r>
      <w:r w:rsidR="00DE4AF9">
        <w:rPr>
          <w:lang w:eastAsia="ja-JP"/>
        </w:rPr>
        <w:t>, below</w:t>
      </w:r>
      <w:r w:rsidRPr="0052032C">
        <w:rPr>
          <w:lang w:eastAsia="ja-JP"/>
        </w:rPr>
        <w:t>), and thus ultimately the benefit/risk r</w:t>
      </w:r>
      <w:r w:rsidR="000B2AEB">
        <w:rPr>
          <w:lang w:eastAsia="ja-JP"/>
        </w:rPr>
        <w:t>atio.</w:t>
      </w:r>
    </w:p>
    <w:p w14:paraId="4AF43E28" w14:textId="363061D4" w:rsidR="00C22678" w:rsidRPr="003442FE" w:rsidRDefault="0052032C" w:rsidP="00C22678">
      <w:pPr>
        <w:rPr>
          <w:lang w:eastAsia="ja-JP"/>
        </w:rPr>
      </w:pPr>
      <w:r w:rsidRPr="0052032C">
        <w:rPr>
          <w:lang w:eastAsia="ja-JP"/>
        </w:rPr>
        <w:t xml:space="preserve">The study is in compliance with the TGA adopted EMA </w:t>
      </w:r>
      <w:r>
        <w:rPr>
          <w:lang w:eastAsia="ja-JP"/>
        </w:rPr>
        <w:t>‘</w:t>
      </w:r>
      <w:r w:rsidRPr="0052032C">
        <w:rPr>
          <w:lang w:eastAsia="ja-JP"/>
        </w:rPr>
        <w:t>Guideline on the evaluation of anticancer medicinal products in man (EMA/CHMP/205/95/Rev.4)</w:t>
      </w:r>
      <w:r>
        <w:rPr>
          <w:lang w:eastAsia="ja-JP"/>
        </w:rPr>
        <w:t>’</w:t>
      </w:r>
      <w:r w:rsidR="000B2AEB">
        <w:rPr>
          <w:lang w:eastAsia="ja-JP"/>
        </w:rPr>
        <w:t>.</w:t>
      </w:r>
    </w:p>
    <w:p w14:paraId="17015B27" w14:textId="77777777" w:rsidR="00C22678" w:rsidRPr="003442FE" w:rsidRDefault="00C22678" w:rsidP="00C22678">
      <w:pPr>
        <w:pStyle w:val="Heading2"/>
      </w:pPr>
      <w:bookmarkStart w:id="125" w:name="_Toc513556353"/>
      <w:r w:rsidRPr="003442FE">
        <w:t>Clinical safety</w:t>
      </w:r>
      <w:bookmarkEnd w:id="125"/>
    </w:p>
    <w:p w14:paraId="2A1299BF" w14:textId="77777777" w:rsidR="0052032C" w:rsidRPr="0052032C" w:rsidRDefault="0052032C" w:rsidP="000B2AEB">
      <w:pPr>
        <w:pStyle w:val="Heading3"/>
      </w:pPr>
      <w:bookmarkStart w:id="126" w:name="_Toc272414659"/>
      <w:bookmarkStart w:id="127" w:name="_Toc290888510"/>
      <w:bookmarkStart w:id="128" w:name="_Toc416353726"/>
      <w:bookmarkStart w:id="129" w:name="_Toc421005274"/>
      <w:bookmarkStart w:id="130" w:name="_Toc432079156"/>
      <w:bookmarkStart w:id="131" w:name="_Toc432080729"/>
      <w:bookmarkStart w:id="132" w:name="_Toc481769163"/>
      <w:bookmarkStart w:id="133" w:name="_Toc513556354"/>
      <w:r w:rsidRPr="0052032C">
        <w:t>Studies providing evaluable safety data</w:t>
      </w:r>
      <w:bookmarkEnd w:id="126"/>
      <w:bookmarkEnd w:id="127"/>
      <w:bookmarkEnd w:id="128"/>
      <w:bookmarkEnd w:id="129"/>
      <w:bookmarkEnd w:id="130"/>
      <w:bookmarkEnd w:id="131"/>
      <w:bookmarkEnd w:id="132"/>
      <w:bookmarkEnd w:id="133"/>
    </w:p>
    <w:p w14:paraId="26A0FF2B" w14:textId="77777777" w:rsidR="0052032C" w:rsidRPr="0052032C" w:rsidRDefault="0052032C" w:rsidP="000B2AEB">
      <w:pPr>
        <w:pStyle w:val="Heading4"/>
      </w:pPr>
      <w:bookmarkStart w:id="134" w:name="_Toc421005275"/>
      <w:bookmarkStart w:id="135" w:name="_Toc432079157"/>
      <w:bookmarkStart w:id="136" w:name="_Toc432080730"/>
      <w:bookmarkStart w:id="137" w:name="_Ref478116503"/>
      <w:r w:rsidRPr="0052032C">
        <w:t>Pivotal studies that assessed safety as the sole primary outcome</w:t>
      </w:r>
      <w:bookmarkEnd w:id="134"/>
      <w:bookmarkEnd w:id="135"/>
      <w:bookmarkEnd w:id="136"/>
      <w:bookmarkEnd w:id="137"/>
    </w:p>
    <w:p w14:paraId="3BC66664" w14:textId="493BAB39" w:rsidR="0052032C" w:rsidRPr="0052032C" w:rsidRDefault="0052032C" w:rsidP="0052032C">
      <w:pPr>
        <w:rPr>
          <w:lang w:eastAsia="ja-JP"/>
        </w:rPr>
      </w:pPr>
      <w:r w:rsidRPr="0052032C">
        <w:rPr>
          <w:lang w:eastAsia="ja-JP"/>
        </w:rPr>
        <w:t xml:space="preserve">No </w:t>
      </w:r>
      <w:r w:rsidRPr="000B2AEB">
        <w:t>pivotal</w:t>
      </w:r>
      <w:r w:rsidRPr="0052032C">
        <w:rPr>
          <w:lang w:eastAsia="ja-JP"/>
        </w:rPr>
        <w:t xml:space="preserve"> studies assessed safe</w:t>
      </w:r>
      <w:r w:rsidR="000B2AEB">
        <w:rPr>
          <w:lang w:eastAsia="ja-JP"/>
        </w:rPr>
        <w:t>ty as the sole primary outcome.</w:t>
      </w:r>
    </w:p>
    <w:p w14:paraId="4552D9FA" w14:textId="77777777" w:rsidR="0052032C" w:rsidRPr="0052032C" w:rsidRDefault="0052032C" w:rsidP="000B2AEB">
      <w:pPr>
        <w:pStyle w:val="Heading4"/>
      </w:pPr>
      <w:bookmarkStart w:id="138" w:name="_Ref268776745"/>
      <w:bookmarkStart w:id="139" w:name="_Toc421005276"/>
      <w:bookmarkStart w:id="140" w:name="_Toc432079158"/>
      <w:bookmarkStart w:id="141" w:name="_Toc432080731"/>
      <w:r w:rsidRPr="0052032C">
        <w:t>Pivotal and/or main efficacy studies</w:t>
      </w:r>
      <w:bookmarkEnd w:id="138"/>
      <w:bookmarkEnd w:id="139"/>
      <w:bookmarkEnd w:id="140"/>
      <w:bookmarkEnd w:id="141"/>
    </w:p>
    <w:p w14:paraId="168128E2" w14:textId="3F03D24D" w:rsidR="0052032C" w:rsidRPr="0052032C" w:rsidRDefault="0052032C" w:rsidP="0052032C">
      <w:pPr>
        <w:rPr>
          <w:lang w:eastAsia="ja-JP"/>
        </w:rPr>
      </w:pPr>
      <w:r w:rsidRPr="00E9221E">
        <w:rPr>
          <w:lang w:eastAsia="ja-JP"/>
        </w:rPr>
        <w:t>Study BO21223 (GALLIUM)</w:t>
      </w:r>
      <w:r w:rsidR="00E9221E">
        <w:rPr>
          <w:lang w:eastAsia="ja-JP"/>
        </w:rPr>
        <w:t xml:space="preserve"> is a Phase III, open </w:t>
      </w:r>
      <w:r w:rsidR="001F2E58">
        <w:rPr>
          <w:lang w:eastAsia="ja-JP"/>
        </w:rPr>
        <w:t>label, multicentre, randomis</w:t>
      </w:r>
      <w:r w:rsidRPr="0052032C">
        <w:rPr>
          <w:lang w:eastAsia="ja-JP"/>
        </w:rPr>
        <w:t xml:space="preserve">ed study to investigate the efficacy and safety of G-chemo followed by G-maintenance therapy for responders (CR or PR), compared to R-chemo followed by R-maintenance therapy for responders, in patients with previously-untreated advanced iNHL </w:t>
      </w:r>
      <w:r w:rsidR="001F2E58">
        <w:rPr>
          <w:lang w:eastAsia="ja-JP"/>
        </w:rPr>
        <w:t xml:space="preserve">(see Figure 3, above). </w:t>
      </w:r>
      <w:r w:rsidRPr="0052032C">
        <w:rPr>
          <w:lang w:eastAsia="ja-JP"/>
        </w:rPr>
        <w:t xml:space="preserve">The overall safety population included 1390 patients in </w:t>
      </w:r>
      <w:r w:rsidRPr="001F2E58">
        <w:rPr>
          <w:lang w:eastAsia="ja-JP"/>
        </w:rPr>
        <w:t>total (1192 patients with FL and 194 patients with MZL),</w:t>
      </w:r>
      <w:r w:rsidRPr="0052032C">
        <w:rPr>
          <w:lang w:eastAsia="ja-JP"/>
        </w:rPr>
        <w:t xml:space="preserve"> 692 patients in the R-chemo arm and 698 patients in the G-chemo arm. See </w:t>
      </w:r>
      <w:r w:rsidR="00BD335A">
        <w:rPr>
          <w:lang w:eastAsia="ja-JP"/>
        </w:rPr>
        <w:t>S</w:t>
      </w:r>
      <w:r w:rsidRPr="00BD335A">
        <w:rPr>
          <w:lang w:eastAsia="ja-JP"/>
        </w:rPr>
        <w:t>ection</w:t>
      </w:r>
      <w:r w:rsidR="00AD3C1B">
        <w:rPr>
          <w:lang w:eastAsia="ja-JP"/>
        </w:rPr>
        <w:t xml:space="preserve"> 7.2.1</w:t>
      </w:r>
      <w:r w:rsidR="00F70695">
        <w:rPr>
          <w:lang w:eastAsia="ja-JP"/>
        </w:rPr>
        <w:t xml:space="preserve"> for further details.</w:t>
      </w:r>
    </w:p>
    <w:p w14:paraId="45F3ACDD" w14:textId="16BFF320" w:rsidR="0052032C" w:rsidRPr="0052032C" w:rsidRDefault="0052032C" w:rsidP="0052032C">
      <w:pPr>
        <w:rPr>
          <w:lang w:eastAsia="ja-JP"/>
        </w:rPr>
      </w:pPr>
      <w:r w:rsidRPr="0052032C">
        <w:rPr>
          <w:lang w:eastAsia="ja-JP"/>
        </w:rPr>
        <w:t>In the SCS</w:t>
      </w:r>
      <w:r w:rsidR="005B79FC">
        <w:rPr>
          <w:lang w:eastAsia="ja-JP"/>
        </w:rPr>
        <w:t>,</w:t>
      </w:r>
      <w:r w:rsidRPr="0052032C">
        <w:rPr>
          <w:lang w:eastAsia="ja-JP"/>
        </w:rPr>
        <w:t xml:space="preserve"> the</w:t>
      </w:r>
      <w:r>
        <w:rPr>
          <w:lang w:eastAsia="ja-JP"/>
        </w:rPr>
        <w:t xml:space="preserve"> sponsor</w:t>
      </w:r>
      <w:r w:rsidRPr="0052032C">
        <w:rPr>
          <w:lang w:eastAsia="ja-JP"/>
        </w:rPr>
        <w:t xml:space="preserve"> has chosen to focus mainly on the FL population, which comprises 86% of the total study population, as this population is the one that the indication G-chemo followed by G-maintenance in first line is sought for. In the CSR both the FL populations are described in much more detai</w:t>
      </w:r>
      <w:r w:rsidR="001F2E58">
        <w:rPr>
          <w:lang w:eastAsia="ja-JP"/>
        </w:rPr>
        <w:t xml:space="preserve">l than the overall population. </w:t>
      </w:r>
      <w:r w:rsidRPr="0052032C">
        <w:rPr>
          <w:lang w:eastAsia="ja-JP"/>
        </w:rPr>
        <w:t xml:space="preserve">In the updated PI the safety population described for previously untreated iNHL is the entire cohort in </w:t>
      </w:r>
      <w:r>
        <w:rPr>
          <w:lang w:eastAsia="ja-JP"/>
        </w:rPr>
        <w:t>Study BO</w:t>
      </w:r>
      <w:r w:rsidRPr="0052032C">
        <w:rPr>
          <w:lang w:eastAsia="ja-JP"/>
        </w:rPr>
        <w:t>21223, which is why this is the group evaluated in the following safety sections to the extent that the</w:t>
      </w:r>
      <w:r w:rsidR="001F2E58">
        <w:rPr>
          <w:lang w:eastAsia="ja-JP"/>
        </w:rPr>
        <w:t xml:space="preserve"> data are available.</w:t>
      </w:r>
    </w:p>
    <w:p w14:paraId="303B789F" w14:textId="77777777" w:rsidR="0052032C" w:rsidRPr="0052032C" w:rsidRDefault="0052032C" w:rsidP="0052032C">
      <w:pPr>
        <w:rPr>
          <w:lang w:eastAsia="ja-JP"/>
        </w:rPr>
      </w:pPr>
      <w:r w:rsidRPr="0052032C">
        <w:rPr>
          <w:lang w:eastAsia="ja-JP"/>
        </w:rPr>
        <w:t>The safety outcome measures described in the protocol include:</w:t>
      </w:r>
    </w:p>
    <w:p w14:paraId="748F3989" w14:textId="1C9FBA38" w:rsidR="0052032C" w:rsidRPr="0052032C" w:rsidRDefault="0052032C" w:rsidP="001F2E58">
      <w:pPr>
        <w:pStyle w:val="ListBullet"/>
        <w:rPr>
          <w:lang w:eastAsia="ja-JP"/>
        </w:rPr>
      </w:pPr>
      <w:r w:rsidRPr="0052032C">
        <w:rPr>
          <w:lang w:eastAsia="ja-JP"/>
        </w:rPr>
        <w:t xml:space="preserve">Incidence, nature, and severity of adverse events (including serious adverse events) compared between the </w:t>
      </w:r>
      <w:r w:rsidR="008531A2">
        <w:rPr>
          <w:lang w:eastAsia="ja-JP"/>
        </w:rPr>
        <w:t>2</w:t>
      </w:r>
      <w:r w:rsidRPr="0052032C">
        <w:rPr>
          <w:lang w:eastAsia="ja-JP"/>
        </w:rPr>
        <w:t xml:space="preserve"> treatment arms.</w:t>
      </w:r>
    </w:p>
    <w:p w14:paraId="359F2B71" w14:textId="5CDEDD54" w:rsidR="0052032C" w:rsidRPr="0052032C" w:rsidRDefault="0052032C" w:rsidP="001F2E58">
      <w:pPr>
        <w:pStyle w:val="ListBullet"/>
        <w:rPr>
          <w:lang w:eastAsia="ja-JP"/>
        </w:rPr>
      </w:pPr>
      <w:r w:rsidRPr="0052032C">
        <w:rPr>
          <w:lang w:eastAsia="ja-JP"/>
        </w:rPr>
        <w:t>Deaths</w:t>
      </w:r>
      <w:r w:rsidR="005B79FC">
        <w:rPr>
          <w:lang w:eastAsia="ja-JP"/>
        </w:rPr>
        <w:t>.</w:t>
      </w:r>
    </w:p>
    <w:p w14:paraId="36524C78" w14:textId="77777777" w:rsidR="0052032C" w:rsidRPr="0052032C" w:rsidRDefault="0052032C" w:rsidP="001F2E58">
      <w:pPr>
        <w:pStyle w:val="ListBullet"/>
        <w:rPr>
          <w:lang w:eastAsia="ja-JP"/>
        </w:rPr>
      </w:pPr>
      <w:r w:rsidRPr="0052032C">
        <w:rPr>
          <w:lang w:eastAsia="ja-JP"/>
        </w:rPr>
        <w:t>Changes in vital signs, physical findings, and clinical laboratory results.</w:t>
      </w:r>
    </w:p>
    <w:p w14:paraId="0E4C56D6" w14:textId="4E4F25C4" w:rsidR="0052032C" w:rsidRPr="0052032C" w:rsidRDefault="0052032C" w:rsidP="001F2E58">
      <w:pPr>
        <w:pStyle w:val="ListBullet"/>
        <w:rPr>
          <w:lang w:eastAsia="ja-JP"/>
        </w:rPr>
      </w:pPr>
      <w:r w:rsidRPr="0052032C">
        <w:rPr>
          <w:lang w:eastAsia="ja-JP"/>
        </w:rPr>
        <w:t>Protocol-defined events of special interest/non-se</w:t>
      </w:r>
      <w:r w:rsidR="001F2E58">
        <w:rPr>
          <w:lang w:eastAsia="ja-JP"/>
        </w:rPr>
        <w:t>rious expedited adverse events:</w:t>
      </w:r>
    </w:p>
    <w:p w14:paraId="21AC0EE9" w14:textId="77777777" w:rsidR="0052032C" w:rsidRPr="0052032C" w:rsidRDefault="0052032C" w:rsidP="001F2E58">
      <w:pPr>
        <w:pStyle w:val="ListBullet2"/>
        <w:rPr>
          <w:lang w:eastAsia="ja-JP"/>
        </w:rPr>
      </w:pPr>
      <w:r w:rsidRPr="0052032C">
        <w:rPr>
          <w:lang w:eastAsia="ja-JP"/>
        </w:rPr>
        <w:t>Tumour lysis syndrome</w:t>
      </w:r>
    </w:p>
    <w:p w14:paraId="60C4B8D7" w14:textId="77777777" w:rsidR="0052032C" w:rsidRPr="0052032C" w:rsidRDefault="0052032C" w:rsidP="001F2E58">
      <w:pPr>
        <w:pStyle w:val="ListBullet2"/>
        <w:rPr>
          <w:lang w:eastAsia="ja-JP"/>
        </w:rPr>
      </w:pPr>
      <w:r w:rsidRPr="0052032C">
        <w:rPr>
          <w:lang w:eastAsia="ja-JP"/>
        </w:rPr>
        <w:t>Serious IRR</w:t>
      </w:r>
    </w:p>
    <w:p w14:paraId="75F3F2C8" w14:textId="4D68A2C7" w:rsidR="0052032C" w:rsidRPr="0052032C" w:rsidRDefault="0052032C" w:rsidP="001F2E58">
      <w:pPr>
        <w:pStyle w:val="ListBullet2"/>
        <w:rPr>
          <w:lang w:eastAsia="ja-JP"/>
        </w:rPr>
      </w:pPr>
      <w:r w:rsidRPr="0052032C">
        <w:rPr>
          <w:lang w:eastAsia="ja-JP"/>
        </w:rPr>
        <w:t>Serious neutrop</w:t>
      </w:r>
      <w:r w:rsidR="001F2E58">
        <w:rPr>
          <w:lang w:eastAsia="ja-JP"/>
        </w:rPr>
        <w:t>a</w:t>
      </w:r>
      <w:r w:rsidRPr="0052032C">
        <w:rPr>
          <w:lang w:eastAsia="ja-JP"/>
        </w:rPr>
        <w:t>enia</w:t>
      </w:r>
    </w:p>
    <w:p w14:paraId="2AB5EB54" w14:textId="77777777" w:rsidR="0052032C" w:rsidRPr="0052032C" w:rsidRDefault="0052032C" w:rsidP="001F2E58">
      <w:pPr>
        <w:pStyle w:val="ListBullet2"/>
        <w:rPr>
          <w:lang w:eastAsia="ja-JP"/>
        </w:rPr>
      </w:pPr>
      <w:r w:rsidRPr="0052032C">
        <w:rPr>
          <w:lang w:eastAsia="ja-JP"/>
        </w:rPr>
        <w:t>Serious infections</w:t>
      </w:r>
    </w:p>
    <w:p w14:paraId="2011B4FB" w14:textId="42397D37" w:rsidR="0052032C" w:rsidRPr="0052032C" w:rsidRDefault="0052032C" w:rsidP="001F2E58">
      <w:pPr>
        <w:pStyle w:val="ListBullet2"/>
        <w:rPr>
          <w:lang w:eastAsia="ja-JP"/>
        </w:rPr>
      </w:pPr>
      <w:r w:rsidRPr="0052032C">
        <w:rPr>
          <w:lang w:eastAsia="ja-JP"/>
        </w:rPr>
        <w:t>Hepatitis B reactivation</w:t>
      </w:r>
      <w:r w:rsidR="001F2E58">
        <w:rPr>
          <w:lang w:eastAsia="ja-JP"/>
        </w:rPr>
        <w:t>.</w:t>
      </w:r>
    </w:p>
    <w:p w14:paraId="6258D540" w14:textId="77777777" w:rsidR="0052032C" w:rsidRPr="0052032C" w:rsidRDefault="0052032C" w:rsidP="001F2E58">
      <w:pPr>
        <w:pStyle w:val="Heading4"/>
      </w:pPr>
      <w:bookmarkStart w:id="142" w:name="_Toc421005277"/>
      <w:bookmarkStart w:id="143" w:name="_Toc432079159"/>
      <w:bookmarkStart w:id="144" w:name="_Toc432080732"/>
      <w:r w:rsidRPr="0052032C">
        <w:lastRenderedPageBreak/>
        <w:t>Other studies</w:t>
      </w:r>
      <w:bookmarkEnd w:id="142"/>
      <w:bookmarkEnd w:id="143"/>
      <w:bookmarkEnd w:id="144"/>
    </w:p>
    <w:p w14:paraId="04F9F0D0" w14:textId="77777777" w:rsidR="0052032C" w:rsidRPr="0052032C" w:rsidRDefault="0052032C" w:rsidP="001F2E58">
      <w:pPr>
        <w:pStyle w:val="Heading5"/>
        <w:rPr>
          <w:lang w:eastAsia="ja-JP"/>
        </w:rPr>
      </w:pPr>
      <w:r w:rsidRPr="0052032C">
        <w:rPr>
          <w:lang w:eastAsia="ja-JP"/>
        </w:rPr>
        <w:t>Other efficacy studies</w:t>
      </w:r>
    </w:p>
    <w:p w14:paraId="03981902" w14:textId="47A8BE95" w:rsidR="0052032C" w:rsidRPr="0052032C" w:rsidRDefault="001F2E58" w:rsidP="0052032C">
      <w:pPr>
        <w:rPr>
          <w:lang w:eastAsia="ja-JP"/>
        </w:rPr>
      </w:pPr>
      <w:r>
        <w:rPr>
          <w:lang w:eastAsia="ja-JP"/>
        </w:rPr>
        <w:t>Not applicable.</w:t>
      </w:r>
    </w:p>
    <w:p w14:paraId="742657CE" w14:textId="77777777" w:rsidR="00226640" w:rsidRDefault="0052032C" w:rsidP="001F2E58">
      <w:pPr>
        <w:pStyle w:val="Heading5"/>
        <w:rPr>
          <w:lang w:eastAsia="ja-JP"/>
        </w:rPr>
      </w:pPr>
      <w:r w:rsidRPr="0052032C">
        <w:rPr>
          <w:lang w:eastAsia="ja-JP"/>
        </w:rPr>
        <w:t>Studies with evaluable safety data: dose finding and pharmacology</w:t>
      </w:r>
    </w:p>
    <w:p w14:paraId="205DC130" w14:textId="17495AA0" w:rsidR="0052032C" w:rsidRPr="0052032C" w:rsidRDefault="001F2E58" w:rsidP="0052032C">
      <w:pPr>
        <w:rPr>
          <w:lang w:eastAsia="ja-JP"/>
        </w:rPr>
      </w:pPr>
      <w:r>
        <w:rPr>
          <w:lang w:eastAsia="ja-JP"/>
        </w:rPr>
        <w:t>Not applicable.</w:t>
      </w:r>
    </w:p>
    <w:p w14:paraId="47C901EA" w14:textId="77777777" w:rsidR="0052032C" w:rsidRPr="0052032C" w:rsidRDefault="0052032C" w:rsidP="001F2E58">
      <w:pPr>
        <w:pStyle w:val="Heading5"/>
        <w:rPr>
          <w:lang w:eastAsia="ja-JP"/>
        </w:rPr>
      </w:pPr>
      <w:r w:rsidRPr="0052032C">
        <w:rPr>
          <w:lang w:eastAsia="ja-JP"/>
        </w:rPr>
        <w:t>Studies evaluable for safety only</w:t>
      </w:r>
    </w:p>
    <w:p w14:paraId="055B3FAF" w14:textId="69A6350A" w:rsidR="0052032C" w:rsidRPr="0052032C" w:rsidRDefault="001F2E58" w:rsidP="0052032C">
      <w:pPr>
        <w:rPr>
          <w:lang w:eastAsia="ja-JP"/>
        </w:rPr>
      </w:pPr>
      <w:r>
        <w:rPr>
          <w:lang w:eastAsia="ja-JP"/>
        </w:rPr>
        <w:t>Not applicable.</w:t>
      </w:r>
    </w:p>
    <w:p w14:paraId="18A6CF9A" w14:textId="77777777" w:rsidR="0052032C" w:rsidRPr="0052032C" w:rsidRDefault="0052032C" w:rsidP="001F2E58">
      <w:pPr>
        <w:pStyle w:val="Heading3"/>
      </w:pPr>
      <w:bookmarkStart w:id="145" w:name="_Ref269204367"/>
      <w:bookmarkStart w:id="146" w:name="_Ref271195835"/>
      <w:bookmarkStart w:id="147" w:name="_Ref271195841"/>
      <w:bookmarkStart w:id="148" w:name="_Toc272414660"/>
      <w:bookmarkStart w:id="149" w:name="_Toc290888511"/>
      <w:bookmarkStart w:id="150" w:name="_Toc416353727"/>
      <w:bookmarkStart w:id="151" w:name="_Toc421005283"/>
      <w:bookmarkStart w:id="152" w:name="_Toc432079160"/>
      <w:bookmarkStart w:id="153" w:name="_Toc432080733"/>
      <w:bookmarkStart w:id="154" w:name="_Toc481769164"/>
      <w:bookmarkStart w:id="155" w:name="_Toc513556355"/>
      <w:r w:rsidRPr="0052032C">
        <w:t>Studies that assessed safety as the sole primary outcome</w:t>
      </w:r>
      <w:bookmarkEnd w:id="145"/>
      <w:bookmarkEnd w:id="146"/>
      <w:bookmarkEnd w:id="147"/>
      <w:bookmarkEnd w:id="148"/>
      <w:bookmarkEnd w:id="149"/>
      <w:bookmarkEnd w:id="150"/>
      <w:bookmarkEnd w:id="151"/>
      <w:bookmarkEnd w:id="152"/>
      <w:bookmarkEnd w:id="153"/>
      <w:bookmarkEnd w:id="154"/>
      <w:bookmarkEnd w:id="155"/>
    </w:p>
    <w:p w14:paraId="5277152B" w14:textId="543A5026" w:rsidR="0052032C" w:rsidRPr="0052032C" w:rsidRDefault="0052032C" w:rsidP="0052032C">
      <w:pPr>
        <w:rPr>
          <w:lang w:eastAsia="ja-JP"/>
        </w:rPr>
      </w:pPr>
      <w:r w:rsidRPr="0052032C">
        <w:rPr>
          <w:lang w:eastAsia="ja-JP"/>
        </w:rPr>
        <w:t xml:space="preserve">The primary objective of the Phase </w:t>
      </w:r>
      <w:proofErr w:type="gramStart"/>
      <w:r w:rsidRPr="0052032C">
        <w:rPr>
          <w:lang w:eastAsia="ja-JP"/>
        </w:rPr>
        <w:t>Ib</w:t>
      </w:r>
      <w:proofErr w:type="gramEnd"/>
      <w:r w:rsidRPr="0052032C">
        <w:rPr>
          <w:lang w:eastAsia="ja-JP"/>
        </w:rPr>
        <w:t xml:space="preserve"> </w:t>
      </w:r>
      <w:r w:rsidRPr="001F2E58">
        <w:rPr>
          <w:lang w:eastAsia="ja-JP"/>
        </w:rPr>
        <w:t>Study BO21000 (GAUDI),</w:t>
      </w:r>
      <w:r w:rsidRPr="0052032C">
        <w:rPr>
          <w:lang w:eastAsia="ja-JP"/>
        </w:rPr>
        <w:t xml:space="preserve"> which included 81 </w:t>
      </w:r>
      <w:r w:rsidR="001F2E58" w:rsidRPr="001F2E58">
        <w:rPr>
          <w:lang w:eastAsia="ja-JP"/>
        </w:rPr>
        <w:t xml:space="preserve">first </w:t>
      </w:r>
      <w:r w:rsidRPr="001F2E58">
        <w:rPr>
          <w:lang w:eastAsia="ja-JP"/>
        </w:rPr>
        <w:t>line FL</w:t>
      </w:r>
      <w:r w:rsidRPr="0052032C">
        <w:rPr>
          <w:lang w:eastAsia="ja-JP"/>
        </w:rPr>
        <w:t xml:space="preserve"> patients, was the safety of obinutuzumab (G) in combination with CHOP or bendamustine in this group of patients. This study has not been evaluated in detail as it was a small </w:t>
      </w:r>
      <w:r>
        <w:rPr>
          <w:lang w:eastAsia="ja-JP"/>
        </w:rPr>
        <w:t>Phase I</w:t>
      </w:r>
      <w:r w:rsidRPr="0052032C">
        <w:rPr>
          <w:lang w:eastAsia="ja-JP"/>
        </w:rPr>
        <w:t xml:space="preserve"> study compared to the large </w:t>
      </w:r>
      <w:r>
        <w:rPr>
          <w:lang w:eastAsia="ja-JP"/>
        </w:rPr>
        <w:t>Phase I</w:t>
      </w:r>
      <w:r w:rsidRPr="0052032C">
        <w:rPr>
          <w:lang w:eastAsia="ja-JP"/>
        </w:rPr>
        <w:t xml:space="preserve">II </w:t>
      </w:r>
      <w:r>
        <w:rPr>
          <w:lang w:eastAsia="ja-JP"/>
        </w:rPr>
        <w:t>Study BO</w:t>
      </w:r>
      <w:r w:rsidRPr="0052032C">
        <w:rPr>
          <w:lang w:eastAsia="ja-JP"/>
        </w:rPr>
        <w:t xml:space="preserve">21223, comprising 1390 patients of which 698 received obinutuzumab and chemotherapy. There was no comparator in </w:t>
      </w:r>
      <w:r>
        <w:rPr>
          <w:lang w:eastAsia="ja-JP"/>
        </w:rPr>
        <w:t>Study BO</w:t>
      </w:r>
      <w:r w:rsidRPr="0052032C">
        <w:rPr>
          <w:lang w:eastAsia="ja-JP"/>
        </w:rPr>
        <w:t xml:space="preserve">21000 whereas </w:t>
      </w:r>
      <w:r>
        <w:rPr>
          <w:lang w:eastAsia="ja-JP"/>
        </w:rPr>
        <w:t>Study BO</w:t>
      </w:r>
      <w:r w:rsidRPr="0052032C">
        <w:rPr>
          <w:lang w:eastAsia="ja-JP"/>
        </w:rPr>
        <w:t>21223 has another CD20 antibody (rituximab) as comparator. The results from this study are not inclu</w:t>
      </w:r>
      <w:r w:rsidR="001F2E58">
        <w:rPr>
          <w:lang w:eastAsia="ja-JP"/>
        </w:rPr>
        <w:t>ded in the product information.</w:t>
      </w:r>
    </w:p>
    <w:p w14:paraId="3D7404BD" w14:textId="6D03E94D" w:rsidR="0052032C" w:rsidRDefault="0052032C" w:rsidP="0052032C">
      <w:pPr>
        <w:rPr>
          <w:lang w:eastAsia="ja-JP"/>
        </w:rPr>
      </w:pPr>
      <w:r w:rsidRPr="0052032C">
        <w:rPr>
          <w:lang w:eastAsia="ja-JP"/>
        </w:rPr>
        <w:t xml:space="preserve">An overview of adverse events in </w:t>
      </w:r>
      <w:r>
        <w:rPr>
          <w:lang w:eastAsia="ja-JP"/>
        </w:rPr>
        <w:t>Study BO</w:t>
      </w:r>
      <w:r w:rsidRPr="0052032C">
        <w:rPr>
          <w:lang w:eastAsia="ja-JP"/>
        </w:rPr>
        <w:t xml:space="preserve">21000 compared to the FL population of </w:t>
      </w:r>
      <w:r w:rsidR="001F2E58">
        <w:rPr>
          <w:lang w:eastAsia="ja-JP"/>
        </w:rPr>
        <w:t>Study </w:t>
      </w:r>
      <w:r>
        <w:rPr>
          <w:lang w:eastAsia="ja-JP"/>
        </w:rPr>
        <w:t>BO</w:t>
      </w:r>
      <w:r w:rsidRPr="0052032C">
        <w:rPr>
          <w:lang w:eastAsia="ja-JP"/>
        </w:rPr>
        <w:t>21223 compiled by the</w:t>
      </w:r>
      <w:r>
        <w:rPr>
          <w:lang w:eastAsia="ja-JP"/>
        </w:rPr>
        <w:t xml:space="preserve"> sponsor</w:t>
      </w:r>
      <w:r w:rsidRPr="0052032C">
        <w:rPr>
          <w:lang w:eastAsia="ja-JP"/>
        </w:rPr>
        <w:t xml:space="preserve"> can be found in</w:t>
      </w:r>
      <w:r w:rsidR="00B26933">
        <w:rPr>
          <w:lang w:eastAsia="ja-JP"/>
        </w:rPr>
        <w:t xml:space="preserve"> Table 8, below.</w:t>
      </w:r>
    </w:p>
    <w:p w14:paraId="03CC6E69" w14:textId="6A92D2A7" w:rsidR="00B26933" w:rsidRPr="00B26933" w:rsidRDefault="00B26933" w:rsidP="00B26933">
      <w:pPr>
        <w:pStyle w:val="Tabletitle"/>
        <w:rPr>
          <w:lang w:eastAsia="ja-JP"/>
        </w:rPr>
      </w:pPr>
      <w:proofErr w:type="gramStart"/>
      <w:r>
        <w:rPr>
          <w:lang w:eastAsia="ja-JP"/>
        </w:rPr>
        <w:lastRenderedPageBreak/>
        <w:t>Table 8.</w:t>
      </w:r>
      <w:proofErr w:type="gramEnd"/>
      <w:r>
        <w:rPr>
          <w:lang w:eastAsia="ja-JP"/>
        </w:rPr>
        <w:t xml:space="preserve"> </w:t>
      </w:r>
      <w:r w:rsidRPr="00B26933">
        <w:rPr>
          <w:lang w:eastAsia="ja-JP"/>
        </w:rPr>
        <w:t>Overview of adverse events in previo</w:t>
      </w:r>
      <w:r>
        <w:rPr>
          <w:lang w:eastAsia="ja-JP"/>
        </w:rPr>
        <w:t xml:space="preserve">usly untreated patients with FL </w:t>
      </w:r>
      <w:r w:rsidRPr="00B26933">
        <w:rPr>
          <w:lang w:eastAsia="ja-JP"/>
        </w:rPr>
        <w:t>(safety population</w:t>
      </w:r>
      <w:r>
        <w:rPr>
          <w:lang w:eastAsia="ja-JP"/>
        </w:rPr>
        <w:t>) pivotal Study BO21223 and s</w:t>
      </w:r>
      <w:r w:rsidRPr="00B26933">
        <w:rPr>
          <w:lang w:eastAsia="ja-JP"/>
        </w:rPr>
        <w:t>upportin</w:t>
      </w:r>
      <w:r>
        <w:rPr>
          <w:lang w:eastAsia="ja-JP"/>
        </w:rPr>
        <w:t>g Study BO21000 (entire study p</w:t>
      </w:r>
      <w:r w:rsidRPr="00B26933">
        <w:rPr>
          <w:lang w:eastAsia="ja-JP"/>
        </w:rPr>
        <w:t>eriod)</w:t>
      </w:r>
    </w:p>
    <w:p w14:paraId="128EF956" w14:textId="3000C328" w:rsidR="00B26933" w:rsidRPr="0052032C" w:rsidRDefault="00B26933" w:rsidP="0052032C">
      <w:pPr>
        <w:rPr>
          <w:lang w:eastAsia="ja-JP"/>
        </w:rPr>
      </w:pPr>
      <w:r w:rsidRPr="00B26933">
        <w:rPr>
          <w:noProof/>
          <w:lang w:eastAsia="en-AU"/>
        </w:rPr>
        <w:drawing>
          <wp:inline distT="0" distB="0" distL="0" distR="0" wp14:anchorId="284B9DB0" wp14:editId="5C6A205D">
            <wp:extent cx="4067122" cy="5221904"/>
            <wp:effectExtent l="0" t="0" r="0" b="0"/>
            <wp:docPr id="4" name="Picture 4" descr="Overview of adverse events in previously untreated patients with FL (safety population) pivotal Study BO21223 and supporting Study BO21000 (entire study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225"/>
                    <a:stretch/>
                  </pic:blipFill>
                  <pic:spPr bwMode="auto">
                    <a:xfrm>
                      <a:off x="0" y="0"/>
                      <a:ext cx="4076461" cy="5233894"/>
                    </a:xfrm>
                    <a:prstGeom prst="rect">
                      <a:avLst/>
                    </a:prstGeom>
                    <a:ln>
                      <a:noFill/>
                    </a:ln>
                    <a:extLst>
                      <a:ext uri="{53640926-AAD7-44D8-BBD7-CCE9431645EC}">
                        <a14:shadowObscured xmlns:a14="http://schemas.microsoft.com/office/drawing/2010/main"/>
                      </a:ext>
                    </a:extLst>
                  </pic:spPr>
                </pic:pic>
              </a:graphicData>
            </a:graphic>
          </wp:inline>
        </w:drawing>
      </w:r>
    </w:p>
    <w:p w14:paraId="26E692A4" w14:textId="77777777" w:rsidR="0052032C" w:rsidRPr="0052032C" w:rsidRDefault="0052032C" w:rsidP="00A277C3">
      <w:pPr>
        <w:pStyle w:val="Heading3"/>
      </w:pPr>
      <w:bookmarkStart w:id="156" w:name="_Toc241374318"/>
      <w:bookmarkStart w:id="157" w:name="_Ref271196630"/>
      <w:bookmarkStart w:id="158" w:name="_Toc272414662"/>
      <w:bookmarkStart w:id="159" w:name="_Toc290888526"/>
      <w:bookmarkStart w:id="160" w:name="_Toc416353742"/>
      <w:bookmarkStart w:id="161" w:name="_Toc421005285"/>
      <w:bookmarkStart w:id="162" w:name="_Toc432079162"/>
      <w:bookmarkStart w:id="163" w:name="_Toc432080735"/>
      <w:bookmarkStart w:id="164" w:name="_Ref478741293"/>
      <w:bookmarkStart w:id="165" w:name="_Toc481769165"/>
      <w:bookmarkStart w:id="166" w:name="_Toc513556356"/>
      <w:r w:rsidRPr="0052032C">
        <w:t>Patient exposure</w:t>
      </w:r>
      <w:bookmarkEnd w:id="156"/>
      <w:bookmarkEnd w:id="157"/>
      <w:bookmarkEnd w:id="158"/>
      <w:bookmarkEnd w:id="159"/>
      <w:bookmarkEnd w:id="160"/>
      <w:bookmarkEnd w:id="161"/>
      <w:bookmarkEnd w:id="162"/>
      <w:bookmarkEnd w:id="163"/>
      <w:bookmarkEnd w:id="164"/>
      <w:r w:rsidRPr="0052032C">
        <w:t xml:space="preserve"> (</w:t>
      </w:r>
      <w:r>
        <w:t>Study BO</w:t>
      </w:r>
      <w:r w:rsidRPr="0052032C">
        <w:t>21223)</w:t>
      </w:r>
      <w:bookmarkEnd w:id="165"/>
      <w:bookmarkEnd w:id="166"/>
    </w:p>
    <w:p w14:paraId="7F31B45E" w14:textId="77777777" w:rsidR="006D11BA" w:rsidRDefault="0052032C" w:rsidP="006D11BA">
      <w:pPr>
        <w:pStyle w:val="Heading4"/>
      </w:pPr>
      <w:r w:rsidRPr="001F2E58">
        <w:t>Overall safety population</w:t>
      </w:r>
    </w:p>
    <w:p w14:paraId="76945818" w14:textId="36B7B49C" w:rsidR="0052032C" w:rsidRPr="0052032C" w:rsidRDefault="006D11BA" w:rsidP="0052032C">
      <w:pPr>
        <w:rPr>
          <w:lang w:eastAsia="ja-JP"/>
        </w:rPr>
      </w:pPr>
      <w:r>
        <w:rPr>
          <w:lang w:eastAsia="ja-JP"/>
        </w:rPr>
        <w:t>I</w:t>
      </w:r>
      <w:r w:rsidR="0052032C" w:rsidRPr="0052032C">
        <w:rPr>
          <w:lang w:eastAsia="ja-JP"/>
        </w:rPr>
        <w:t>ndolent NHL population, N</w:t>
      </w:r>
      <w:r w:rsidR="001F2E58">
        <w:rPr>
          <w:lang w:eastAsia="ja-JP"/>
        </w:rPr>
        <w:t xml:space="preserve"> </w:t>
      </w:r>
      <w:r w:rsidR="0052032C" w:rsidRPr="0052032C">
        <w:rPr>
          <w:lang w:eastAsia="ja-JP"/>
        </w:rPr>
        <w:t>=</w:t>
      </w:r>
      <w:r w:rsidR="001F2E58">
        <w:rPr>
          <w:lang w:eastAsia="ja-JP"/>
        </w:rPr>
        <w:t xml:space="preserve"> </w:t>
      </w:r>
      <w:r w:rsidR="0052032C" w:rsidRPr="0052032C">
        <w:rPr>
          <w:lang w:eastAsia="ja-JP"/>
        </w:rPr>
        <w:t>1390; R-chemo: 692 (FL: 597, MZL: 93; other: 2)</w:t>
      </w:r>
      <w:r w:rsidR="0052032C">
        <w:rPr>
          <w:lang w:eastAsia="ja-JP"/>
        </w:rPr>
        <w:t xml:space="preserve"> versus </w:t>
      </w:r>
      <w:r w:rsidR="00A42FF3">
        <w:rPr>
          <w:lang w:eastAsia="ja-JP"/>
        </w:rPr>
        <w:t>G</w:t>
      </w:r>
      <w:r w:rsidR="0013073A">
        <w:rPr>
          <w:lang w:eastAsia="ja-JP"/>
        </w:rPr>
        <w:noBreakHyphen/>
      </w:r>
      <w:r w:rsidR="00A42FF3">
        <w:rPr>
          <w:lang w:eastAsia="ja-JP"/>
        </w:rPr>
        <w:t>chemo: </w:t>
      </w:r>
      <w:r w:rsidR="0052032C" w:rsidRPr="0052032C">
        <w:rPr>
          <w:lang w:eastAsia="ja-JP"/>
        </w:rPr>
        <w:t>698</w:t>
      </w:r>
      <w:r w:rsidR="00A42FF3">
        <w:rPr>
          <w:lang w:eastAsia="ja-JP"/>
        </w:rPr>
        <w:t xml:space="preserve"> (FL: 595; MZL: 101; other: 2)</w:t>
      </w:r>
      <w:r>
        <w:rPr>
          <w:lang w:eastAsia="ja-JP"/>
        </w:rPr>
        <w:t>.</w:t>
      </w:r>
    </w:p>
    <w:p w14:paraId="34048B9A" w14:textId="40989C57" w:rsidR="0052032C" w:rsidRPr="0052032C" w:rsidRDefault="0052032C" w:rsidP="0052032C">
      <w:pPr>
        <w:rPr>
          <w:lang w:eastAsia="ja-JP"/>
        </w:rPr>
      </w:pPr>
      <w:r w:rsidRPr="0052032C">
        <w:rPr>
          <w:lang w:eastAsia="ja-JP"/>
        </w:rPr>
        <w:t>The demographics for the FL population have been described in the efficacy sectio</w:t>
      </w:r>
      <w:r w:rsidR="001F2E58">
        <w:rPr>
          <w:lang w:eastAsia="ja-JP"/>
        </w:rPr>
        <w:t>n</w:t>
      </w:r>
      <w:r w:rsidRPr="0052032C">
        <w:rPr>
          <w:lang w:eastAsia="ja-JP"/>
        </w:rPr>
        <w:t>. The FL population comprise</w:t>
      </w:r>
      <w:r w:rsidR="009A1C3B">
        <w:rPr>
          <w:lang w:eastAsia="ja-JP"/>
        </w:rPr>
        <w:t>d of</w:t>
      </w:r>
      <w:r w:rsidRPr="0052032C">
        <w:rPr>
          <w:lang w:eastAsia="ja-JP"/>
        </w:rPr>
        <w:t xml:space="preserve"> about 86% of the overall safety population. The main differences between the FL and MZL patients are the mean age of 59.0</w:t>
      </w:r>
      <w:r>
        <w:rPr>
          <w:lang w:eastAsia="ja-JP"/>
        </w:rPr>
        <w:t xml:space="preserve"> versus </w:t>
      </w:r>
      <w:r w:rsidRPr="0052032C">
        <w:rPr>
          <w:lang w:eastAsia="ja-JP"/>
        </w:rPr>
        <w:t>63.0 and number of patients ≥</w:t>
      </w:r>
      <w:r w:rsidR="0013073A">
        <w:rPr>
          <w:lang w:eastAsia="ja-JP"/>
        </w:rPr>
        <w:t> </w:t>
      </w:r>
      <w:r w:rsidRPr="0052032C">
        <w:rPr>
          <w:lang w:eastAsia="ja-JP"/>
        </w:rPr>
        <w:t>65 years of age (31.3%</w:t>
      </w:r>
      <w:r>
        <w:rPr>
          <w:lang w:eastAsia="ja-JP"/>
        </w:rPr>
        <w:t xml:space="preserve"> versus </w:t>
      </w:r>
      <w:r w:rsidRPr="0052032C">
        <w:rPr>
          <w:lang w:eastAsia="ja-JP"/>
        </w:rPr>
        <w:t>44.6%), which are likely to have a</w:t>
      </w:r>
      <w:r w:rsidR="006D11BA">
        <w:rPr>
          <w:lang w:eastAsia="ja-JP"/>
        </w:rPr>
        <w:t>n impact on the safety results.</w:t>
      </w:r>
    </w:p>
    <w:p w14:paraId="2D6C6897" w14:textId="6DDE178D" w:rsidR="0052032C" w:rsidRPr="006D11BA" w:rsidRDefault="006D11BA" w:rsidP="00A42FF3">
      <w:pPr>
        <w:pStyle w:val="Heading5"/>
      </w:pPr>
      <w:r>
        <w:t>Induction phase</w:t>
      </w:r>
    </w:p>
    <w:p w14:paraId="32F533EF" w14:textId="39B27D03" w:rsidR="0052032C" w:rsidRPr="0052032C" w:rsidRDefault="0052032C" w:rsidP="0052032C">
      <w:pPr>
        <w:rPr>
          <w:lang w:eastAsia="ja-JP"/>
        </w:rPr>
      </w:pPr>
      <w:r w:rsidRPr="0052032C">
        <w:rPr>
          <w:lang w:eastAsia="ja-JP"/>
        </w:rPr>
        <w:t>At least 90% of the planned cumulative dose of antibody was administered in 99.4% of the R</w:t>
      </w:r>
      <w:r w:rsidR="0013073A">
        <w:rPr>
          <w:lang w:eastAsia="ja-JP"/>
        </w:rPr>
        <w:noBreakHyphen/>
      </w:r>
      <w:r w:rsidRPr="0052032C">
        <w:rPr>
          <w:lang w:eastAsia="ja-JP"/>
        </w:rPr>
        <w:t>chemo arm a</w:t>
      </w:r>
      <w:r w:rsidR="006D11BA">
        <w:rPr>
          <w:lang w:eastAsia="ja-JP"/>
        </w:rPr>
        <w:t>nd in 99.0% in the G-chemo arm.</w:t>
      </w:r>
    </w:p>
    <w:p w14:paraId="03D631D1" w14:textId="2C52129C" w:rsidR="0052032C" w:rsidRPr="0052032C" w:rsidRDefault="0052032C" w:rsidP="0052032C">
      <w:pPr>
        <w:rPr>
          <w:lang w:eastAsia="ja-JP"/>
        </w:rPr>
      </w:pPr>
      <w:r w:rsidRPr="0052032C">
        <w:rPr>
          <w:lang w:eastAsia="ja-JP"/>
        </w:rPr>
        <w:t xml:space="preserve">In </w:t>
      </w:r>
      <w:r w:rsidR="006D11BA">
        <w:rPr>
          <w:lang w:eastAsia="ja-JP"/>
        </w:rPr>
        <w:t xml:space="preserve">Table </w:t>
      </w:r>
      <w:r w:rsidR="004813BE">
        <w:rPr>
          <w:lang w:eastAsia="ja-JP"/>
        </w:rPr>
        <w:t>9</w:t>
      </w:r>
      <w:r w:rsidR="006D11BA">
        <w:rPr>
          <w:lang w:eastAsia="ja-JP"/>
        </w:rPr>
        <w:t xml:space="preserve"> shown below, </w:t>
      </w:r>
      <w:r w:rsidRPr="0052032C">
        <w:rPr>
          <w:lang w:eastAsia="ja-JP"/>
        </w:rPr>
        <w:t>the extent of exposure to individual components of chemotherapy during induction by treatment arms is summarised.</w:t>
      </w:r>
    </w:p>
    <w:p w14:paraId="4B41D82C" w14:textId="6484B2EF" w:rsidR="0052032C" w:rsidRPr="0052032C" w:rsidRDefault="0052032C" w:rsidP="00A42FF3">
      <w:pPr>
        <w:pStyle w:val="Heading5"/>
        <w:rPr>
          <w:lang w:eastAsia="ja-JP"/>
        </w:rPr>
      </w:pPr>
      <w:r w:rsidRPr="0052032C">
        <w:rPr>
          <w:lang w:eastAsia="ja-JP"/>
        </w:rPr>
        <w:lastRenderedPageBreak/>
        <w:t>Maintenance phase</w:t>
      </w:r>
    </w:p>
    <w:p w14:paraId="2DDFA454" w14:textId="681D1219" w:rsidR="0052032C" w:rsidRPr="0052032C" w:rsidRDefault="00AE7194" w:rsidP="0052032C">
      <w:pPr>
        <w:rPr>
          <w:lang w:eastAsia="ja-JP"/>
        </w:rPr>
      </w:pPr>
      <w:r w:rsidRPr="0052032C">
        <w:rPr>
          <w:lang w:eastAsia="ja-JP"/>
        </w:rPr>
        <w:t>60</w:t>
      </w:r>
      <w:r>
        <w:rPr>
          <w:lang w:eastAsia="ja-JP"/>
        </w:rPr>
        <w:t>9</w:t>
      </w:r>
      <w:r w:rsidRPr="0052032C">
        <w:rPr>
          <w:lang w:eastAsia="ja-JP"/>
        </w:rPr>
        <w:t xml:space="preserve"> </w:t>
      </w:r>
      <w:r w:rsidR="0052032C" w:rsidRPr="0052032C">
        <w:rPr>
          <w:lang w:eastAsia="ja-JP"/>
        </w:rPr>
        <w:t>patients in the R-chemo arm and 62</w:t>
      </w:r>
      <w:r>
        <w:rPr>
          <w:lang w:eastAsia="ja-JP"/>
        </w:rPr>
        <w:t>4</w:t>
      </w:r>
      <w:r w:rsidR="0052032C" w:rsidRPr="0052032C">
        <w:rPr>
          <w:lang w:eastAsia="ja-JP"/>
        </w:rPr>
        <w:t xml:space="preserve"> patients in the G-chemo arm received maintenance treatment. In the R-chemo arm 99.0% received ≥ 90% of the cumulative maintenance dose compared to 99.8% o</w:t>
      </w:r>
      <w:r w:rsidR="00820AB9">
        <w:rPr>
          <w:lang w:eastAsia="ja-JP"/>
        </w:rPr>
        <w:t>f patients in the G-chemo arm.</w:t>
      </w:r>
    </w:p>
    <w:p w14:paraId="0C9ABFE7" w14:textId="77777777" w:rsidR="00A42FF3" w:rsidRDefault="0052032C" w:rsidP="00A42FF3">
      <w:pPr>
        <w:pStyle w:val="Heading4"/>
      </w:pPr>
      <w:r w:rsidRPr="0052032C">
        <w:t>FL safety populatio</w:t>
      </w:r>
      <w:r w:rsidR="00A42FF3">
        <w:t>n</w:t>
      </w:r>
    </w:p>
    <w:p w14:paraId="77AFEF39" w14:textId="39CD8F15" w:rsidR="0052032C" w:rsidRPr="0052032C" w:rsidRDefault="0052032C" w:rsidP="0052032C">
      <w:pPr>
        <w:rPr>
          <w:lang w:eastAsia="ja-JP"/>
        </w:rPr>
      </w:pPr>
      <w:r w:rsidRPr="0052032C">
        <w:rPr>
          <w:lang w:eastAsia="ja-JP"/>
        </w:rPr>
        <w:t>N</w:t>
      </w:r>
      <w:r w:rsidR="00A42FF3">
        <w:rPr>
          <w:lang w:eastAsia="ja-JP"/>
        </w:rPr>
        <w:t xml:space="preserve"> </w:t>
      </w:r>
      <w:r w:rsidRPr="0052032C">
        <w:rPr>
          <w:lang w:eastAsia="ja-JP"/>
        </w:rPr>
        <w:t>=</w:t>
      </w:r>
      <w:r w:rsidR="00A42FF3">
        <w:rPr>
          <w:lang w:eastAsia="ja-JP"/>
        </w:rPr>
        <w:t xml:space="preserve"> </w:t>
      </w:r>
      <w:r w:rsidRPr="0052032C">
        <w:rPr>
          <w:lang w:eastAsia="ja-JP"/>
        </w:rPr>
        <w:t>1192; R-chemo: 597</w:t>
      </w:r>
      <w:r>
        <w:rPr>
          <w:lang w:eastAsia="ja-JP"/>
        </w:rPr>
        <w:t xml:space="preserve"> versus </w:t>
      </w:r>
      <w:r w:rsidR="00A42FF3">
        <w:rPr>
          <w:lang w:eastAsia="ja-JP"/>
        </w:rPr>
        <w:t>G-chemo: 595</w:t>
      </w:r>
      <w:r w:rsidRPr="0052032C">
        <w:rPr>
          <w:lang w:eastAsia="ja-JP"/>
        </w:rPr>
        <w:t xml:space="preserve">. Of 1202 </w:t>
      </w:r>
      <w:r w:rsidR="00A42FF3">
        <w:rPr>
          <w:lang w:eastAsia="ja-JP"/>
        </w:rPr>
        <w:t>randomised patients with FL, 10 </w:t>
      </w:r>
      <w:r w:rsidRPr="0052032C">
        <w:rPr>
          <w:lang w:eastAsia="ja-JP"/>
        </w:rPr>
        <w:t>patients (</w:t>
      </w:r>
      <w:r w:rsidR="00A42FF3">
        <w:rPr>
          <w:lang w:eastAsia="ja-JP"/>
        </w:rPr>
        <w:t>4</w:t>
      </w:r>
      <w:r w:rsidRPr="0052032C">
        <w:rPr>
          <w:lang w:eastAsia="ja-JP"/>
        </w:rPr>
        <w:t xml:space="preserve"> patients in the R-chemo arm and </w:t>
      </w:r>
      <w:r w:rsidR="00A42FF3">
        <w:rPr>
          <w:lang w:eastAsia="ja-JP"/>
        </w:rPr>
        <w:t>6</w:t>
      </w:r>
      <w:r w:rsidRPr="0052032C">
        <w:rPr>
          <w:lang w:eastAsia="ja-JP"/>
        </w:rPr>
        <w:t xml:space="preserve"> patients in the G-chemo arm) did not receive any amount of study drug (obinutuzumab, rituximab, or chemotherapy </w:t>
      </w:r>
      <w:r>
        <w:rPr>
          <w:lang w:eastAsia="ja-JP"/>
        </w:rPr>
        <w:t>(</w:t>
      </w:r>
      <w:r w:rsidRPr="0052032C">
        <w:rPr>
          <w:lang w:eastAsia="ja-JP"/>
        </w:rPr>
        <w:t>CHOP, CVP, or bendamustine</w:t>
      </w:r>
      <w:r>
        <w:rPr>
          <w:lang w:eastAsia="ja-JP"/>
        </w:rPr>
        <w:t>)</w:t>
      </w:r>
      <w:r w:rsidRPr="0052032C">
        <w:rPr>
          <w:lang w:eastAsia="ja-JP"/>
        </w:rPr>
        <w:t>) as induction treatment and therefore, per protocol and definition, were excluded from the FL safety population. One patient with FL</w:t>
      </w:r>
      <w:r w:rsidR="00A42FF3">
        <w:rPr>
          <w:lang w:eastAsia="ja-JP"/>
        </w:rPr>
        <w:t xml:space="preserve"> </w:t>
      </w:r>
      <w:r w:rsidR="00705E66">
        <w:rPr>
          <w:lang w:eastAsia="ja-JP"/>
        </w:rPr>
        <w:t>randomis</w:t>
      </w:r>
      <w:r w:rsidR="00A42FF3">
        <w:rPr>
          <w:lang w:eastAsia="ja-JP"/>
        </w:rPr>
        <w:t>ed to the R-chemo arm</w:t>
      </w:r>
      <w:r w:rsidRPr="0052032C">
        <w:rPr>
          <w:lang w:eastAsia="ja-JP"/>
        </w:rPr>
        <w:t xml:space="preserve"> received one dose of obinutuzumab in error (1000 mg obinutuzumab on Day 1, Cycle 5) and for the purposes of the safety analyses presented in </w:t>
      </w:r>
      <w:r w:rsidR="00A42FF3">
        <w:rPr>
          <w:lang w:eastAsia="ja-JP"/>
        </w:rPr>
        <w:t xml:space="preserve">the </w:t>
      </w:r>
      <w:r w:rsidRPr="0052032C">
        <w:rPr>
          <w:lang w:eastAsia="ja-JP"/>
        </w:rPr>
        <w:t>CSR, is included in the G-chemo arm.</w:t>
      </w:r>
    </w:p>
    <w:p w14:paraId="4F938228" w14:textId="0E50C0EF" w:rsidR="0052032C" w:rsidRPr="0052032C" w:rsidRDefault="00A42FF3" w:rsidP="00A42FF3">
      <w:pPr>
        <w:pStyle w:val="Heading5"/>
        <w:rPr>
          <w:lang w:eastAsia="ja-JP"/>
        </w:rPr>
      </w:pPr>
      <w:r>
        <w:rPr>
          <w:lang w:eastAsia="ja-JP"/>
        </w:rPr>
        <w:t>Induction phase</w:t>
      </w:r>
    </w:p>
    <w:p w14:paraId="68F51032" w14:textId="0F72B9E7" w:rsidR="0052032C" w:rsidRPr="0052032C" w:rsidRDefault="0052032C" w:rsidP="0052032C">
      <w:pPr>
        <w:rPr>
          <w:lang w:eastAsia="ja-JP"/>
        </w:rPr>
      </w:pPr>
      <w:r w:rsidRPr="0052032C">
        <w:rPr>
          <w:lang w:eastAsia="ja-JP"/>
        </w:rPr>
        <w:t>At least 90% of the planned cumulative dose of antibody was administered in 99.5% of the R</w:t>
      </w:r>
      <w:r w:rsidR="0013073A">
        <w:rPr>
          <w:lang w:eastAsia="ja-JP"/>
        </w:rPr>
        <w:noBreakHyphen/>
      </w:r>
      <w:r w:rsidRPr="0052032C">
        <w:rPr>
          <w:lang w:eastAsia="ja-JP"/>
        </w:rPr>
        <w:t>chemo arm a</w:t>
      </w:r>
      <w:r w:rsidR="00067D95">
        <w:rPr>
          <w:lang w:eastAsia="ja-JP"/>
        </w:rPr>
        <w:t>nd in 99.7% in the G-chemo arm.</w:t>
      </w:r>
    </w:p>
    <w:p w14:paraId="1C7B3BF0" w14:textId="295AAA5E" w:rsidR="0052032C" w:rsidRPr="0052032C" w:rsidRDefault="0052032C" w:rsidP="0052032C">
      <w:pPr>
        <w:rPr>
          <w:lang w:eastAsia="ja-JP"/>
        </w:rPr>
      </w:pPr>
      <w:r w:rsidRPr="0052032C">
        <w:rPr>
          <w:lang w:eastAsia="ja-JP"/>
        </w:rPr>
        <w:t xml:space="preserve">In </w:t>
      </w:r>
      <w:r w:rsidR="00067D95">
        <w:rPr>
          <w:lang w:eastAsia="ja-JP"/>
        </w:rPr>
        <w:t xml:space="preserve">Table </w:t>
      </w:r>
      <w:r w:rsidR="006D33B3">
        <w:rPr>
          <w:lang w:eastAsia="ja-JP"/>
        </w:rPr>
        <w:t>10</w:t>
      </w:r>
      <w:r w:rsidR="00067D95">
        <w:rPr>
          <w:lang w:eastAsia="ja-JP"/>
        </w:rPr>
        <w:t>, shown below,</w:t>
      </w:r>
      <w:r w:rsidRPr="0052032C">
        <w:rPr>
          <w:lang w:eastAsia="ja-JP"/>
        </w:rPr>
        <w:t xml:space="preserve"> the extent of exposure to individual components of chemotherapy during induction b</w:t>
      </w:r>
      <w:r w:rsidR="00067D95">
        <w:rPr>
          <w:lang w:eastAsia="ja-JP"/>
        </w:rPr>
        <w:t>y treatment arms is summarised.</w:t>
      </w:r>
    </w:p>
    <w:p w14:paraId="3EB71DA3" w14:textId="6A9DFD7C" w:rsidR="0052032C" w:rsidRPr="0052032C" w:rsidRDefault="0052032C" w:rsidP="00067D95">
      <w:pPr>
        <w:pStyle w:val="Heading5"/>
        <w:rPr>
          <w:lang w:eastAsia="ja-JP"/>
        </w:rPr>
      </w:pPr>
      <w:r w:rsidRPr="0052032C">
        <w:rPr>
          <w:lang w:eastAsia="ja-JP"/>
        </w:rPr>
        <w:t>Maintenance phase</w:t>
      </w:r>
    </w:p>
    <w:p w14:paraId="0DF4218F" w14:textId="791DC071" w:rsidR="0052032C" w:rsidRPr="0052032C" w:rsidRDefault="0052032C" w:rsidP="0052032C">
      <w:pPr>
        <w:rPr>
          <w:lang w:eastAsia="ja-JP"/>
        </w:rPr>
      </w:pPr>
      <w:r w:rsidRPr="0052032C">
        <w:rPr>
          <w:lang w:eastAsia="ja-JP"/>
        </w:rPr>
        <w:t xml:space="preserve">526 patients in the R-chemo arm and 540 patients in the G-chemo arm received maintenance treatment. At the time of the clinical </w:t>
      </w:r>
      <w:r w:rsidR="00A277C3" w:rsidRPr="0052032C">
        <w:rPr>
          <w:lang w:eastAsia="ja-JP"/>
        </w:rPr>
        <w:t>cut</w:t>
      </w:r>
      <w:r w:rsidR="00A277C3">
        <w:rPr>
          <w:lang w:eastAsia="ja-JP"/>
        </w:rPr>
        <w:t>-</w:t>
      </w:r>
      <w:r w:rsidR="00A277C3" w:rsidRPr="0052032C">
        <w:rPr>
          <w:lang w:eastAsia="ja-JP"/>
        </w:rPr>
        <w:t>off</w:t>
      </w:r>
      <w:r w:rsidRPr="0052032C">
        <w:rPr>
          <w:lang w:eastAsia="ja-JP"/>
        </w:rPr>
        <w:t xml:space="preserve"> date, 114 patients with FL were still ongoing with maintenance treatment. In the R-chemo arm 99.2% received ≥ 90% of the cumulative maintenance dose compared to 99.8% o</w:t>
      </w:r>
      <w:r w:rsidR="00067D95">
        <w:rPr>
          <w:lang w:eastAsia="ja-JP"/>
        </w:rPr>
        <w:t>f patients in the G-chemo arm.</w:t>
      </w:r>
    </w:p>
    <w:p w14:paraId="69B826AA" w14:textId="1102F09E" w:rsidR="0052032C" w:rsidRPr="0052032C" w:rsidRDefault="0052032C" w:rsidP="00B02BCF">
      <w:pPr>
        <w:pStyle w:val="Tabletitle"/>
        <w:rPr>
          <w:lang w:eastAsia="ja-JP"/>
        </w:rPr>
      </w:pPr>
      <w:bookmarkStart w:id="167" w:name="_Ref478732077"/>
      <w:bookmarkStart w:id="168" w:name="_Toc481769208"/>
      <w:proofErr w:type="gramStart"/>
      <w:r w:rsidRPr="0052032C">
        <w:rPr>
          <w:lang w:eastAsia="ja-JP"/>
        </w:rPr>
        <w:t xml:space="preserve">Table </w:t>
      </w:r>
      <w:bookmarkEnd w:id="167"/>
      <w:r w:rsidR="00B26933">
        <w:rPr>
          <w:lang w:eastAsia="ja-JP"/>
        </w:rPr>
        <w:t>9</w:t>
      </w:r>
      <w:r w:rsidR="00067D95">
        <w:rPr>
          <w:lang w:eastAsia="ja-JP"/>
        </w:rPr>
        <w:t>.</w:t>
      </w:r>
      <w:proofErr w:type="gramEnd"/>
      <w:r w:rsidR="00067D95">
        <w:rPr>
          <w:lang w:eastAsia="ja-JP"/>
        </w:rPr>
        <w:t xml:space="preserve"> Study BO21223 s</w:t>
      </w:r>
      <w:r w:rsidRPr="0052032C">
        <w:rPr>
          <w:lang w:eastAsia="ja-JP"/>
        </w:rPr>
        <w:t>ummary of extent of exposure to chemotherapy during induction in patients with iNHL (Overall safety population</w:t>
      </w:r>
      <w:bookmarkEnd w:id="168"/>
      <w:r w:rsidR="00067D95">
        <w:rPr>
          <w:lang w:eastAsia="ja-JP"/>
        </w:rPr>
        <w:t>)</w:t>
      </w:r>
    </w:p>
    <w:tbl>
      <w:tblPr>
        <w:tblStyle w:val="TableTGAblue"/>
        <w:tblW w:w="0" w:type="auto"/>
        <w:tblLook w:val="04A0" w:firstRow="1" w:lastRow="0" w:firstColumn="1" w:lastColumn="0" w:noHBand="0" w:noVBand="1"/>
      </w:tblPr>
      <w:tblGrid>
        <w:gridCol w:w="2344"/>
        <w:gridCol w:w="1728"/>
        <w:gridCol w:w="1463"/>
        <w:gridCol w:w="1843"/>
        <w:gridCol w:w="1559"/>
      </w:tblGrid>
      <w:tr w:rsidR="0052032C" w:rsidRPr="00A277C3" w14:paraId="191F8B6E" w14:textId="77777777" w:rsidTr="00A277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4" w:type="dxa"/>
          </w:tcPr>
          <w:p w14:paraId="58B03F0B" w14:textId="77777777" w:rsidR="0052032C" w:rsidRPr="00A277C3" w:rsidRDefault="0052032C" w:rsidP="00A277C3">
            <w:pPr>
              <w:rPr>
                <w:szCs w:val="22"/>
                <w:lang w:eastAsia="ja-JP"/>
              </w:rPr>
            </w:pPr>
          </w:p>
        </w:tc>
        <w:tc>
          <w:tcPr>
            <w:tcW w:w="3151" w:type="dxa"/>
            <w:gridSpan w:val="2"/>
          </w:tcPr>
          <w:p w14:paraId="7C6F696D" w14:textId="155A73BE" w:rsidR="0052032C" w:rsidRPr="00A277C3" w:rsidRDefault="0052032C" w:rsidP="00A277C3">
            <w:pPr>
              <w:cnfStyle w:val="100000000000" w:firstRow="1"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R-chemo (n</w:t>
            </w:r>
            <w:r w:rsidR="00067D95" w:rsidRPr="00A277C3">
              <w:rPr>
                <w:szCs w:val="22"/>
                <w:lang w:eastAsia="ja-JP"/>
              </w:rPr>
              <w:t xml:space="preserve"> </w:t>
            </w:r>
            <w:r w:rsidRPr="00A277C3">
              <w:rPr>
                <w:szCs w:val="22"/>
                <w:lang w:eastAsia="ja-JP"/>
              </w:rPr>
              <w:t>=</w:t>
            </w:r>
            <w:r w:rsidR="00067D95" w:rsidRPr="00A277C3">
              <w:rPr>
                <w:szCs w:val="22"/>
                <w:lang w:eastAsia="ja-JP"/>
              </w:rPr>
              <w:t xml:space="preserve"> </w:t>
            </w:r>
            <w:r w:rsidRPr="00A277C3">
              <w:rPr>
                <w:szCs w:val="22"/>
                <w:lang w:eastAsia="ja-JP"/>
              </w:rPr>
              <w:t>692)</w:t>
            </w:r>
          </w:p>
        </w:tc>
        <w:tc>
          <w:tcPr>
            <w:tcW w:w="3402" w:type="dxa"/>
            <w:gridSpan w:val="2"/>
          </w:tcPr>
          <w:p w14:paraId="592C7208" w14:textId="7042C7BE" w:rsidR="0052032C" w:rsidRPr="00A277C3" w:rsidRDefault="0052032C" w:rsidP="00A277C3">
            <w:pPr>
              <w:cnfStyle w:val="100000000000" w:firstRow="1"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G-chemo (n</w:t>
            </w:r>
            <w:r w:rsidR="00067D95" w:rsidRPr="00A277C3">
              <w:rPr>
                <w:szCs w:val="22"/>
                <w:lang w:eastAsia="ja-JP"/>
              </w:rPr>
              <w:t xml:space="preserve"> </w:t>
            </w:r>
            <w:r w:rsidRPr="00A277C3">
              <w:rPr>
                <w:szCs w:val="22"/>
                <w:lang w:eastAsia="ja-JP"/>
              </w:rPr>
              <w:t>=</w:t>
            </w:r>
            <w:r w:rsidR="00067D95" w:rsidRPr="00A277C3">
              <w:rPr>
                <w:szCs w:val="22"/>
                <w:lang w:eastAsia="ja-JP"/>
              </w:rPr>
              <w:t xml:space="preserve"> </w:t>
            </w:r>
            <w:r w:rsidRPr="00A277C3">
              <w:rPr>
                <w:szCs w:val="22"/>
                <w:lang w:eastAsia="ja-JP"/>
              </w:rPr>
              <w:t>698)</w:t>
            </w:r>
          </w:p>
        </w:tc>
      </w:tr>
      <w:tr w:rsidR="0052032C" w:rsidRPr="00A277C3" w14:paraId="21BCDF0A" w14:textId="77777777" w:rsidTr="00275451">
        <w:tc>
          <w:tcPr>
            <w:cnfStyle w:val="001000000000" w:firstRow="0" w:lastRow="0" w:firstColumn="1" w:lastColumn="0" w:oddVBand="0" w:evenVBand="0" w:oddHBand="0" w:evenHBand="0" w:firstRowFirstColumn="0" w:firstRowLastColumn="0" w:lastRowFirstColumn="0" w:lastRowLastColumn="0"/>
            <w:tcW w:w="2344" w:type="dxa"/>
          </w:tcPr>
          <w:p w14:paraId="6A34AB5D" w14:textId="77777777" w:rsidR="0052032C" w:rsidRPr="00A277C3" w:rsidRDefault="0052032C" w:rsidP="00A277C3">
            <w:pPr>
              <w:rPr>
                <w:szCs w:val="22"/>
                <w:lang w:eastAsia="ja-JP"/>
              </w:rPr>
            </w:pPr>
            <w:r w:rsidRPr="00A277C3">
              <w:rPr>
                <w:szCs w:val="22"/>
                <w:lang w:eastAsia="ja-JP"/>
              </w:rPr>
              <w:t>Chemotherapy</w:t>
            </w:r>
          </w:p>
        </w:tc>
        <w:tc>
          <w:tcPr>
            <w:tcW w:w="1728" w:type="dxa"/>
          </w:tcPr>
          <w:p w14:paraId="4A433D4B" w14:textId="3FC1E1F3"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Median treatment duration, weeks</w:t>
            </w:r>
            <w:r w:rsidR="00B02BCF" w:rsidRPr="00A277C3">
              <w:rPr>
                <w:szCs w:val="22"/>
                <w:lang w:eastAsia="ja-JP"/>
              </w:rPr>
              <w:t xml:space="preserve"> </w:t>
            </w:r>
            <w:r w:rsidRPr="00A277C3">
              <w:rPr>
                <w:szCs w:val="22"/>
                <w:lang w:eastAsia="ja-JP"/>
              </w:rPr>
              <w:t>(range)</w:t>
            </w:r>
          </w:p>
        </w:tc>
        <w:tc>
          <w:tcPr>
            <w:tcW w:w="1423" w:type="dxa"/>
          </w:tcPr>
          <w:p w14:paraId="7DC35578" w14:textId="6077992F" w:rsidR="0052032C" w:rsidRPr="00A277C3" w:rsidRDefault="00067D95" w:rsidP="00A277C3">
            <w:pPr>
              <w:cnfStyle w:val="000000000000" w:firstRow="0" w:lastRow="0" w:firstColumn="0" w:lastColumn="0" w:oddVBand="0" w:evenVBand="0" w:oddHBand="0" w:evenHBand="0" w:firstRowFirstColumn="0" w:firstRowLastColumn="0" w:lastRowFirstColumn="0" w:lastRowLastColumn="0"/>
              <w:rPr>
                <w:szCs w:val="22"/>
                <w:vertAlign w:val="superscript"/>
                <w:lang w:eastAsia="ja-JP"/>
              </w:rPr>
            </w:pPr>
            <w:r w:rsidRPr="00A277C3">
              <w:rPr>
                <w:szCs w:val="22"/>
                <w:lang w:eastAsia="ja-JP"/>
              </w:rPr>
              <w:t>Dose intensity</w:t>
            </w:r>
            <w:r w:rsidRPr="00A277C3">
              <w:rPr>
                <w:szCs w:val="22"/>
                <w:vertAlign w:val="superscript"/>
                <w:lang w:eastAsia="ja-JP"/>
              </w:rPr>
              <w:t>1</w:t>
            </w:r>
            <w:r w:rsidR="00B26933" w:rsidRPr="00A277C3">
              <w:rPr>
                <w:szCs w:val="22"/>
                <w:vertAlign w:val="superscript"/>
                <w:lang w:eastAsia="ja-JP"/>
              </w:rPr>
              <w:t xml:space="preserve"> </w:t>
            </w:r>
            <w:r w:rsidR="00B26933" w:rsidRPr="00A277C3">
              <w:rPr>
                <w:szCs w:val="22"/>
                <w:lang w:eastAsia="ja-JP"/>
              </w:rPr>
              <w:t>≥ </w:t>
            </w:r>
            <w:r w:rsidR="0052032C" w:rsidRPr="00A277C3">
              <w:rPr>
                <w:szCs w:val="22"/>
                <w:lang w:eastAsia="ja-JP"/>
              </w:rPr>
              <w:t>90%</w:t>
            </w:r>
          </w:p>
        </w:tc>
        <w:tc>
          <w:tcPr>
            <w:tcW w:w="1843" w:type="dxa"/>
          </w:tcPr>
          <w:p w14:paraId="6AA59445" w14:textId="5B2C872D"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Median treatment duration, weeks</w:t>
            </w:r>
            <w:r w:rsidR="00B02BCF" w:rsidRPr="00A277C3">
              <w:rPr>
                <w:szCs w:val="22"/>
                <w:lang w:eastAsia="ja-JP"/>
              </w:rPr>
              <w:t xml:space="preserve"> </w:t>
            </w:r>
            <w:r w:rsidRPr="00A277C3">
              <w:rPr>
                <w:szCs w:val="22"/>
                <w:lang w:eastAsia="ja-JP"/>
              </w:rPr>
              <w:t>(range)</w:t>
            </w:r>
          </w:p>
        </w:tc>
        <w:tc>
          <w:tcPr>
            <w:tcW w:w="1559" w:type="dxa"/>
          </w:tcPr>
          <w:p w14:paraId="4D17B663" w14:textId="1E85FAFF" w:rsidR="0052032C" w:rsidRPr="00A277C3" w:rsidRDefault="00B26933" w:rsidP="00A277C3">
            <w:pPr>
              <w:cnfStyle w:val="000000000000" w:firstRow="0" w:lastRow="0" w:firstColumn="0" w:lastColumn="0" w:oddVBand="0" w:evenVBand="0" w:oddHBand="0" w:evenHBand="0" w:firstRowFirstColumn="0" w:firstRowLastColumn="0" w:lastRowFirstColumn="0" w:lastRowLastColumn="0"/>
              <w:rPr>
                <w:szCs w:val="22"/>
                <w:vertAlign w:val="superscript"/>
                <w:lang w:eastAsia="ja-JP"/>
              </w:rPr>
            </w:pPr>
            <w:r w:rsidRPr="00A277C3">
              <w:rPr>
                <w:szCs w:val="22"/>
                <w:lang w:eastAsia="ja-JP"/>
              </w:rPr>
              <w:t>Dose intensity</w:t>
            </w:r>
            <w:r w:rsidRPr="00A277C3">
              <w:rPr>
                <w:szCs w:val="22"/>
                <w:vertAlign w:val="superscript"/>
                <w:lang w:eastAsia="ja-JP"/>
              </w:rPr>
              <w:t xml:space="preserve">1 </w:t>
            </w:r>
            <w:r w:rsidRPr="00A277C3">
              <w:rPr>
                <w:szCs w:val="22"/>
                <w:lang w:eastAsia="ja-JP"/>
              </w:rPr>
              <w:t>≥ </w:t>
            </w:r>
            <w:r w:rsidR="0052032C" w:rsidRPr="00A277C3">
              <w:rPr>
                <w:szCs w:val="22"/>
                <w:lang w:eastAsia="ja-JP"/>
              </w:rPr>
              <w:t>90%</w:t>
            </w:r>
          </w:p>
        </w:tc>
      </w:tr>
      <w:tr w:rsidR="0052032C" w:rsidRPr="00A277C3" w14:paraId="55855859" w14:textId="77777777" w:rsidTr="00275451">
        <w:tc>
          <w:tcPr>
            <w:cnfStyle w:val="001000000000" w:firstRow="0" w:lastRow="0" w:firstColumn="1" w:lastColumn="0" w:oddVBand="0" w:evenVBand="0" w:oddHBand="0" w:evenHBand="0" w:firstRowFirstColumn="0" w:firstRowLastColumn="0" w:lastRowFirstColumn="0" w:lastRowLastColumn="0"/>
            <w:tcW w:w="2344" w:type="dxa"/>
          </w:tcPr>
          <w:p w14:paraId="65C54BC3" w14:textId="77777777" w:rsidR="0052032C" w:rsidRPr="00A277C3" w:rsidRDefault="0052032C" w:rsidP="00A277C3">
            <w:pPr>
              <w:rPr>
                <w:szCs w:val="22"/>
                <w:lang w:eastAsia="ja-JP"/>
              </w:rPr>
            </w:pPr>
            <w:r w:rsidRPr="00A277C3">
              <w:rPr>
                <w:szCs w:val="22"/>
                <w:lang w:eastAsia="ja-JP"/>
              </w:rPr>
              <w:t>Bendamustine</w:t>
            </w:r>
          </w:p>
        </w:tc>
        <w:tc>
          <w:tcPr>
            <w:tcW w:w="1728" w:type="dxa"/>
          </w:tcPr>
          <w:p w14:paraId="5CF85C78"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24.29</w:t>
            </w:r>
          </w:p>
          <w:p w14:paraId="3F003F43" w14:textId="0ACC1E60" w:rsidR="0052032C" w:rsidRPr="00A277C3" w:rsidRDefault="00067D95"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 xml:space="preserve">(3.9, </w:t>
            </w:r>
            <w:r w:rsidR="0052032C" w:rsidRPr="00A277C3">
              <w:rPr>
                <w:szCs w:val="22"/>
                <w:lang w:eastAsia="ja-JP"/>
              </w:rPr>
              <w:t>30.0)</w:t>
            </w:r>
          </w:p>
        </w:tc>
        <w:tc>
          <w:tcPr>
            <w:tcW w:w="1423" w:type="dxa"/>
          </w:tcPr>
          <w:p w14:paraId="0787B4C0"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89.6</w:t>
            </w:r>
          </w:p>
        </w:tc>
        <w:tc>
          <w:tcPr>
            <w:tcW w:w="1843" w:type="dxa"/>
          </w:tcPr>
          <w:p w14:paraId="7C2DE132"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24.29</w:t>
            </w:r>
          </w:p>
          <w:p w14:paraId="072524E4" w14:textId="1A148E5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(3.9</w:t>
            </w:r>
            <w:r w:rsidR="00067D95" w:rsidRPr="00A277C3">
              <w:rPr>
                <w:szCs w:val="22"/>
                <w:lang w:eastAsia="ja-JP"/>
              </w:rPr>
              <w:t>,</w:t>
            </w:r>
            <w:r w:rsidRPr="00A277C3">
              <w:rPr>
                <w:szCs w:val="22"/>
                <w:lang w:eastAsia="ja-JP"/>
              </w:rPr>
              <w:t xml:space="preserve"> 31.9)</w:t>
            </w:r>
          </w:p>
        </w:tc>
        <w:tc>
          <w:tcPr>
            <w:tcW w:w="1559" w:type="dxa"/>
          </w:tcPr>
          <w:p w14:paraId="3704FDB2"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87.7</w:t>
            </w:r>
          </w:p>
        </w:tc>
      </w:tr>
      <w:tr w:rsidR="0052032C" w:rsidRPr="00A277C3" w14:paraId="47C25D06" w14:textId="77777777" w:rsidTr="00275451">
        <w:tc>
          <w:tcPr>
            <w:cnfStyle w:val="001000000000" w:firstRow="0" w:lastRow="0" w:firstColumn="1" w:lastColumn="0" w:oddVBand="0" w:evenVBand="0" w:oddHBand="0" w:evenHBand="0" w:firstRowFirstColumn="0" w:firstRowLastColumn="0" w:lastRowFirstColumn="0" w:lastRowLastColumn="0"/>
            <w:tcW w:w="2344" w:type="dxa"/>
          </w:tcPr>
          <w:p w14:paraId="779B417E" w14:textId="77777777" w:rsidR="0052032C" w:rsidRPr="00A277C3" w:rsidRDefault="0052032C" w:rsidP="00A277C3">
            <w:pPr>
              <w:rPr>
                <w:szCs w:val="22"/>
                <w:lang w:eastAsia="ja-JP"/>
              </w:rPr>
            </w:pPr>
            <w:r w:rsidRPr="00A277C3">
              <w:rPr>
                <w:szCs w:val="22"/>
                <w:lang w:eastAsia="ja-JP"/>
              </w:rPr>
              <w:t>Cyclophosphamide</w:t>
            </w:r>
          </w:p>
        </w:tc>
        <w:tc>
          <w:tcPr>
            <w:tcW w:w="1728" w:type="dxa"/>
          </w:tcPr>
          <w:p w14:paraId="1A2C85F2"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19.29</w:t>
            </w:r>
          </w:p>
          <w:p w14:paraId="391B6277" w14:textId="097EE4C6"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(2.6</w:t>
            </w:r>
            <w:r w:rsidR="00067D95" w:rsidRPr="00A277C3">
              <w:rPr>
                <w:szCs w:val="22"/>
                <w:lang w:eastAsia="ja-JP"/>
              </w:rPr>
              <w:t>,</w:t>
            </w:r>
            <w:r w:rsidRPr="00A277C3">
              <w:rPr>
                <w:szCs w:val="22"/>
                <w:lang w:eastAsia="ja-JP"/>
              </w:rPr>
              <w:t xml:space="preserve"> 28.3)</w:t>
            </w:r>
          </w:p>
        </w:tc>
        <w:tc>
          <w:tcPr>
            <w:tcW w:w="1423" w:type="dxa"/>
          </w:tcPr>
          <w:p w14:paraId="6A9D48FE"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95.8</w:t>
            </w:r>
          </w:p>
        </w:tc>
        <w:tc>
          <w:tcPr>
            <w:tcW w:w="1843" w:type="dxa"/>
          </w:tcPr>
          <w:p w14:paraId="2F062957"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20.14</w:t>
            </w:r>
          </w:p>
          <w:p w14:paraId="1A6CCC1E" w14:textId="62C3CC82"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(3.1</w:t>
            </w:r>
            <w:r w:rsidR="00067D95" w:rsidRPr="00A277C3">
              <w:rPr>
                <w:szCs w:val="22"/>
                <w:lang w:eastAsia="ja-JP"/>
              </w:rPr>
              <w:t xml:space="preserve">, </w:t>
            </w:r>
            <w:r w:rsidRPr="00A277C3">
              <w:rPr>
                <w:szCs w:val="22"/>
                <w:lang w:eastAsia="ja-JP"/>
              </w:rPr>
              <w:t>32.3)</w:t>
            </w:r>
          </w:p>
        </w:tc>
        <w:tc>
          <w:tcPr>
            <w:tcW w:w="1559" w:type="dxa"/>
          </w:tcPr>
          <w:p w14:paraId="5ADF68BF"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89.7</w:t>
            </w:r>
          </w:p>
        </w:tc>
      </w:tr>
      <w:tr w:rsidR="0052032C" w:rsidRPr="00A277C3" w14:paraId="7809C0F8" w14:textId="77777777" w:rsidTr="00275451">
        <w:tc>
          <w:tcPr>
            <w:cnfStyle w:val="001000000000" w:firstRow="0" w:lastRow="0" w:firstColumn="1" w:lastColumn="0" w:oddVBand="0" w:evenVBand="0" w:oddHBand="0" w:evenHBand="0" w:firstRowFirstColumn="0" w:firstRowLastColumn="0" w:lastRowFirstColumn="0" w:lastRowLastColumn="0"/>
            <w:tcW w:w="2344" w:type="dxa"/>
          </w:tcPr>
          <w:p w14:paraId="06778FC4" w14:textId="77777777" w:rsidR="0052032C" w:rsidRPr="00A277C3" w:rsidRDefault="0052032C" w:rsidP="00A277C3">
            <w:pPr>
              <w:rPr>
                <w:szCs w:val="22"/>
                <w:lang w:eastAsia="ja-JP"/>
              </w:rPr>
            </w:pPr>
            <w:r w:rsidRPr="00A277C3">
              <w:rPr>
                <w:szCs w:val="22"/>
                <w:lang w:eastAsia="ja-JP"/>
              </w:rPr>
              <w:t>Doxorubicin</w:t>
            </w:r>
          </w:p>
        </w:tc>
        <w:tc>
          <w:tcPr>
            <w:tcW w:w="1728" w:type="dxa"/>
          </w:tcPr>
          <w:p w14:paraId="33D30ADA"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19.14</w:t>
            </w:r>
          </w:p>
          <w:p w14:paraId="42540CF6" w14:textId="02D7CB39"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(4.1</w:t>
            </w:r>
            <w:r w:rsidR="00067D95" w:rsidRPr="00A277C3">
              <w:rPr>
                <w:szCs w:val="22"/>
                <w:lang w:eastAsia="ja-JP"/>
              </w:rPr>
              <w:t>,</w:t>
            </w:r>
            <w:r w:rsidRPr="00A277C3">
              <w:rPr>
                <w:szCs w:val="22"/>
                <w:lang w:eastAsia="ja-JP"/>
              </w:rPr>
              <w:t xml:space="preserve"> 27.1)</w:t>
            </w:r>
          </w:p>
        </w:tc>
        <w:tc>
          <w:tcPr>
            <w:tcW w:w="1423" w:type="dxa"/>
          </w:tcPr>
          <w:p w14:paraId="2D8202F3"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95.5</w:t>
            </w:r>
          </w:p>
        </w:tc>
        <w:tc>
          <w:tcPr>
            <w:tcW w:w="1843" w:type="dxa"/>
          </w:tcPr>
          <w:p w14:paraId="6FB7E5FD"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19.86</w:t>
            </w:r>
          </w:p>
          <w:p w14:paraId="7CFF0036" w14:textId="1363E114"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(3.1</w:t>
            </w:r>
            <w:r w:rsidR="00067D95" w:rsidRPr="00A277C3">
              <w:rPr>
                <w:szCs w:val="22"/>
                <w:lang w:eastAsia="ja-JP"/>
              </w:rPr>
              <w:t xml:space="preserve">, </w:t>
            </w:r>
            <w:r w:rsidRPr="00A277C3">
              <w:rPr>
                <w:szCs w:val="22"/>
                <w:lang w:eastAsia="ja-JP"/>
              </w:rPr>
              <w:t>27.1)</w:t>
            </w:r>
          </w:p>
        </w:tc>
        <w:tc>
          <w:tcPr>
            <w:tcW w:w="1559" w:type="dxa"/>
          </w:tcPr>
          <w:p w14:paraId="5DB807A2"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89.4</w:t>
            </w:r>
          </w:p>
        </w:tc>
      </w:tr>
      <w:tr w:rsidR="0052032C" w:rsidRPr="00A277C3" w14:paraId="31BE85A2" w14:textId="77777777" w:rsidTr="00275451">
        <w:tc>
          <w:tcPr>
            <w:cnfStyle w:val="001000000000" w:firstRow="0" w:lastRow="0" w:firstColumn="1" w:lastColumn="0" w:oddVBand="0" w:evenVBand="0" w:oddHBand="0" w:evenHBand="0" w:firstRowFirstColumn="0" w:firstRowLastColumn="0" w:lastRowFirstColumn="0" w:lastRowLastColumn="0"/>
            <w:tcW w:w="2344" w:type="dxa"/>
          </w:tcPr>
          <w:p w14:paraId="293CD23F" w14:textId="77777777" w:rsidR="0052032C" w:rsidRPr="00A277C3" w:rsidRDefault="0052032C" w:rsidP="00A277C3">
            <w:pPr>
              <w:rPr>
                <w:szCs w:val="22"/>
                <w:lang w:eastAsia="ja-JP"/>
              </w:rPr>
            </w:pPr>
            <w:r w:rsidRPr="00A277C3">
              <w:rPr>
                <w:szCs w:val="22"/>
                <w:lang w:eastAsia="ja-JP"/>
              </w:rPr>
              <w:t>Prednisone</w:t>
            </w:r>
          </w:p>
        </w:tc>
        <w:tc>
          <w:tcPr>
            <w:tcW w:w="1728" w:type="dxa"/>
          </w:tcPr>
          <w:p w14:paraId="1D5A80F2"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19.86</w:t>
            </w:r>
          </w:p>
          <w:p w14:paraId="34119763" w14:textId="1C0A51B5"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(1.3</w:t>
            </w:r>
            <w:r w:rsidR="00067D95" w:rsidRPr="00A277C3">
              <w:rPr>
                <w:szCs w:val="22"/>
                <w:lang w:eastAsia="ja-JP"/>
              </w:rPr>
              <w:t>,</w:t>
            </w:r>
            <w:r w:rsidRPr="00A277C3">
              <w:rPr>
                <w:szCs w:val="22"/>
                <w:lang w:eastAsia="ja-JP"/>
              </w:rPr>
              <w:t xml:space="preserve"> 28.9)</w:t>
            </w:r>
          </w:p>
        </w:tc>
        <w:tc>
          <w:tcPr>
            <w:tcW w:w="1423" w:type="dxa"/>
          </w:tcPr>
          <w:p w14:paraId="21E971C8"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93.8</w:t>
            </w:r>
          </w:p>
        </w:tc>
        <w:tc>
          <w:tcPr>
            <w:tcW w:w="1843" w:type="dxa"/>
          </w:tcPr>
          <w:p w14:paraId="13BEBDB5"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20.86</w:t>
            </w:r>
          </w:p>
          <w:p w14:paraId="17807723" w14:textId="1B7DEA6E"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(3.1</w:t>
            </w:r>
            <w:r w:rsidR="00067D95" w:rsidRPr="00A277C3">
              <w:rPr>
                <w:szCs w:val="22"/>
                <w:lang w:eastAsia="ja-JP"/>
              </w:rPr>
              <w:t>,</w:t>
            </w:r>
            <w:r w:rsidRPr="00A277C3">
              <w:rPr>
                <w:szCs w:val="22"/>
                <w:lang w:eastAsia="ja-JP"/>
              </w:rPr>
              <w:t xml:space="preserve"> 32.9)</w:t>
            </w:r>
          </w:p>
        </w:tc>
        <w:tc>
          <w:tcPr>
            <w:tcW w:w="1559" w:type="dxa"/>
          </w:tcPr>
          <w:p w14:paraId="36673DE7"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94.7</w:t>
            </w:r>
          </w:p>
        </w:tc>
      </w:tr>
      <w:tr w:rsidR="0052032C" w:rsidRPr="00A277C3" w14:paraId="4BB095D7" w14:textId="77777777" w:rsidTr="00275451">
        <w:tc>
          <w:tcPr>
            <w:cnfStyle w:val="001000000000" w:firstRow="0" w:lastRow="0" w:firstColumn="1" w:lastColumn="0" w:oddVBand="0" w:evenVBand="0" w:oddHBand="0" w:evenHBand="0" w:firstRowFirstColumn="0" w:firstRowLastColumn="0" w:lastRowFirstColumn="0" w:lastRowLastColumn="0"/>
            <w:tcW w:w="2344" w:type="dxa"/>
          </w:tcPr>
          <w:p w14:paraId="751972F6" w14:textId="77777777" w:rsidR="0052032C" w:rsidRPr="00A277C3" w:rsidRDefault="0052032C" w:rsidP="00A277C3">
            <w:pPr>
              <w:rPr>
                <w:szCs w:val="22"/>
                <w:lang w:eastAsia="ja-JP"/>
              </w:rPr>
            </w:pPr>
            <w:r w:rsidRPr="00A277C3">
              <w:rPr>
                <w:szCs w:val="22"/>
                <w:lang w:eastAsia="ja-JP"/>
              </w:rPr>
              <w:t>Vincristine</w:t>
            </w:r>
          </w:p>
        </w:tc>
        <w:tc>
          <w:tcPr>
            <w:tcW w:w="1728" w:type="dxa"/>
          </w:tcPr>
          <w:p w14:paraId="6C5C42C6"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19.29</w:t>
            </w:r>
          </w:p>
          <w:p w14:paraId="2A7A8610" w14:textId="7269ED3E"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lastRenderedPageBreak/>
              <w:t>(2.6</w:t>
            </w:r>
            <w:r w:rsidR="00067D95" w:rsidRPr="00A277C3">
              <w:rPr>
                <w:szCs w:val="22"/>
                <w:lang w:eastAsia="ja-JP"/>
              </w:rPr>
              <w:t>,</w:t>
            </w:r>
            <w:r w:rsidRPr="00A277C3">
              <w:rPr>
                <w:szCs w:val="22"/>
                <w:lang w:eastAsia="ja-JP"/>
              </w:rPr>
              <w:t xml:space="preserve"> 28.1)</w:t>
            </w:r>
          </w:p>
        </w:tc>
        <w:tc>
          <w:tcPr>
            <w:tcW w:w="1423" w:type="dxa"/>
          </w:tcPr>
          <w:p w14:paraId="3975EF73"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lastRenderedPageBreak/>
              <w:t>83.0</w:t>
            </w:r>
          </w:p>
        </w:tc>
        <w:tc>
          <w:tcPr>
            <w:tcW w:w="1843" w:type="dxa"/>
          </w:tcPr>
          <w:p w14:paraId="7C6FEE3C"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t>20.14</w:t>
            </w:r>
          </w:p>
          <w:p w14:paraId="6D135D5E" w14:textId="6B396864"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lastRenderedPageBreak/>
              <w:t>(3.1</w:t>
            </w:r>
            <w:r w:rsidR="00067D95" w:rsidRPr="00A277C3">
              <w:rPr>
                <w:szCs w:val="22"/>
                <w:lang w:eastAsia="ja-JP"/>
              </w:rPr>
              <w:t>,</w:t>
            </w:r>
            <w:r w:rsidRPr="00A277C3">
              <w:rPr>
                <w:szCs w:val="22"/>
                <w:lang w:eastAsia="ja-JP"/>
              </w:rPr>
              <w:t xml:space="preserve"> 32.3)</w:t>
            </w:r>
          </w:p>
        </w:tc>
        <w:tc>
          <w:tcPr>
            <w:tcW w:w="1559" w:type="dxa"/>
          </w:tcPr>
          <w:p w14:paraId="1AF1DCCE" w14:textId="77777777" w:rsidR="0052032C" w:rsidRPr="00A277C3" w:rsidRDefault="0052032C" w:rsidP="00A277C3">
            <w:pPr>
              <w:cnfStyle w:val="000000000000" w:firstRow="0" w:lastRow="0" w:firstColumn="0" w:lastColumn="0" w:oddVBand="0" w:evenVBand="0" w:oddHBand="0" w:evenHBand="0" w:firstRowFirstColumn="0" w:firstRowLastColumn="0" w:lastRowFirstColumn="0" w:lastRowLastColumn="0"/>
              <w:rPr>
                <w:szCs w:val="22"/>
                <w:lang w:eastAsia="ja-JP"/>
              </w:rPr>
            </w:pPr>
            <w:r w:rsidRPr="00A277C3">
              <w:rPr>
                <w:szCs w:val="22"/>
                <w:lang w:eastAsia="ja-JP"/>
              </w:rPr>
              <w:lastRenderedPageBreak/>
              <w:t>79.7</w:t>
            </w:r>
          </w:p>
        </w:tc>
      </w:tr>
    </w:tbl>
    <w:p w14:paraId="20B6AB5B" w14:textId="4082F7CD" w:rsidR="0052032C" w:rsidRPr="0052032C" w:rsidRDefault="00067D95" w:rsidP="00275451">
      <w:pPr>
        <w:pStyle w:val="TableDescription"/>
        <w:rPr>
          <w:lang w:eastAsia="ja-JP"/>
        </w:rPr>
      </w:pPr>
      <w:r>
        <w:rPr>
          <w:lang w:eastAsia="ja-JP"/>
        </w:rPr>
        <w:lastRenderedPageBreak/>
        <w:t xml:space="preserve">1) </w:t>
      </w:r>
      <w:r w:rsidR="0052032C" w:rsidRPr="0052032C">
        <w:rPr>
          <w:lang w:eastAsia="ja-JP"/>
        </w:rPr>
        <w:t>Defined as total cumulative dose actually rece</w:t>
      </w:r>
      <w:r>
        <w:rPr>
          <w:lang w:eastAsia="ja-JP"/>
        </w:rPr>
        <w:t>ived/total planned dose x 100%.</w:t>
      </w:r>
    </w:p>
    <w:p w14:paraId="1AD892D5" w14:textId="7FA6C817" w:rsidR="0052032C" w:rsidRPr="0052032C" w:rsidRDefault="0052032C" w:rsidP="00067D95">
      <w:pPr>
        <w:pStyle w:val="Tabletitle"/>
        <w:rPr>
          <w:lang w:eastAsia="ja-JP"/>
        </w:rPr>
      </w:pPr>
      <w:bookmarkStart w:id="169" w:name="_Ref478731994"/>
      <w:bookmarkStart w:id="170" w:name="_Toc481769209"/>
      <w:proofErr w:type="gramStart"/>
      <w:r w:rsidRPr="0052032C">
        <w:rPr>
          <w:lang w:eastAsia="ja-JP"/>
        </w:rPr>
        <w:t>Table</w:t>
      </w:r>
      <w:bookmarkEnd w:id="169"/>
      <w:r w:rsidR="00B02BCF">
        <w:rPr>
          <w:lang w:eastAsia="ja-JP"/>
        </w:rPr>
        <w:t xml:space="preserve"> 10</w:t>
      </w:r>
      <w:r w:rsidR="00067D95">
        <w:rPr>
          <w:lang w:eastAsia="ja-JP"/>
        </w:rPr>
        <w:t>.</w:t>
      </w:r>
      <w:proofErr w:type="gramEnd"/>
      <w:r w:rsidR="00067D95">
        <w:rPr>
          <w:lang w:eastAsia="ja-JP"/>
        </w:rPr>
        <w:t xml:space="preserve"> Study BO21223 summary of e</w:t>
      </w:r>
      <w:r w:rsidRPr="0052032C">
        <w:rPr>
          <w:lang w:eastAsia="ja-JP"/>
        </w:rPr>
        <w:t xml:space="preserve">xtent of </w:t>
      </w:r>
      <w:r w:rsidR="00067D95">
        <w:rPr>
          <w:lang w:eastAsia="ja-JP"/>
        </w:rPr>
        <w:t>e</w:t>
      </w:r>
      <w:r w:rsidRPr="0052032C">
        <w:rPr>
          <w:lang w:eastAsia="ja-JP"/>
        </w:rPr>
        <w:t xml:space="preserve">xposure to </w:t>
      </w:r>
      <w:r w:rsidR="00067D95">
        <w:rPr>
          <w:lang w:eastAsia="ja-JP"/>
        </w:rPr>
        <w:t>c</w:t>
      </w:r>
      <w:r w:rsidRPr="0052032C">
        <w:rPr>
          <w:lang w:eastAsia="ja-JP"/>
        </w:rPr>
        <w:t xml:space="preserve">hemotherapy during </w:t>
      </w:r>
      <w:r w:rsidR="00067D95">
        <w:rPr>
          <w:lang w:eastAsia="ja-JP"/>
        </w:rPr>
        <w:t>i</w:t>
      </w:r>
      <w:r w:rsidRPr="0052032C">
        <w:rPr>
          <w:lang w:eastAsia="ja-JP"/>
        </w:rPr>
        <w:t xml:space="preserve">nduction in </w:t>
      </w:r>
      <w:r w:rsidR="00067D95">
        <w:rPr>
          <w:lang w:eastAsia="ja-JP"/>
        </w:rPr>
        <w:t>p</w:t>
      </w:r>
      <w:r w:rsidRPr="0052032C">
        <w:rPr>
          <w:lang w:eastAsia="ja-JP"/>
        </w:rPr>
        <w:t xml:space="preserve">atients with </w:t>
      </w:r>
      <w:r w:rsidR="00067D95">
        <w:rPr>
          <w:lang w:eastAsia="ja-JP"/>
        </w:rPr>
        <w:t>f</w:t>
      </w:r>
      <w:r w:rsidRPr="0052032C">
        <w:rPr>
          <w:lang w:eastAsia="ja-JP"/>
        </w:rPr>
        <w:t xml:space="preserve">ollicular </w:t>
      </w:r>
      <w:r w:rsidR="00067D95">
        <w:rPr>
          <w:lang w:eastAsia="ja-JP"/>
        </w:rPr>
        <w:t>lymphoma (FL safety p</w:t>
      </w:r>
      <w:r w:rsidRPr="0052032C">
        <w:rPr>
          <w:lang w:eastAsia="ja-JP"/>
        </w:rPr>
        <w:t>opulation)</w:t>
      </w:r>
      <w:bookmarkEnd w:id="170"/>
    </w:p>
    <w:p w14:paraId="0185C7E1" w14:textId="77777777" w:rsidR="0052032C" w:rsidRPr="0052032C" w:rsidRDefault="0052032C" w:rsidP="0052032C">
      <w:pPr>
        <w:rPr>
          <w:lang w:eastAsia="ja-JP"/>
        </w:rPr>
      </w:pPr>
      <w:r w:rsidRPr="0052032C">
        <w:rPr>
          <w:noProof/>
          <w:lang w:eastAsia="en-AU"/>
        </w:rPr>
        <w:drawing>
          <wp:inline distT="0" distB="0" distL="0" distR="0" wp14:anchorId="599A4972" wp14:editId="22A8168F">
            <wp:extent cx="5731510" cy="2706546"/>
            <wp:effectExtent l="0" t="0" r="2540" b="0"/>
            <wp:docPr id="127" name="Picture 127" descr="Study BO21223 summary of extent of exposure to chemotherapy during induction in patients with follicular lymphoma (F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706546"/>
                    </a:xfrm>
                    <a:prstGeom prst="rect">
                      <a:avLst/>
                    </a:prstGeom>
                  </pic:spPr>
                </pic:pic>
              </a:graphicData>
            </a:graphic>
          </wp:inline>
        </w:drawing>
      </w:r>
    </w:p>
    <w:p w14:paraId="4DB40E8F" w14:textId="5E5C06F2" w:rsidR="0052032C" w:rsidRPr="0052032C" w:rsidRDefault="0052032C" w:rsidP="0052032C">
      <w:pPr>
        <w:rPr>
          <w:lang w:eastAsia="ja-JP"/>
        </w:rPr>
      </w:pPr>
      <w:r w:rsidRPr="0052032C">
        <w:rPr>
          <w:lang w:eastAsia="ja-JP"/>
        </w:rPr>
        <w:t xml:space="preserve">More patients in the G-chemo arm </w:t>
      </w:r>
      <w:r>
        <w:rPr>
          <w:lang w:eastAsia="ja-JP"/>
        </w:rPr>
        <w:t>(</w:t>
      </w:r>
      <w:r w:rsidRPr="0052032C">
        <w:rPr>
          <w:lang w:eastAsia="ja-JP"/>
        </w:rPr>
        <w:t>overall safety population</w:t>
      </w:r>
      <w:r>
        <w:rPr>
          <w:lang w:eastAsia="ja-JP"/>
        </w:rPr>
        <w:t>)</w:t>
      </w:r>
      <w:r w:rsidRPr="0052032C">
        <w:rPr>
          <w:lang w:eastAsia="ja-JP"/>
        </w:rPr>
        <w:t xml:space="preserve"> had antibody dose delays (R</w:t>
      </w:r>
      <w:r w:rsidR="0013073A">
        <w:rPr>
          <w:lang w:eastAsia="ja-JP"/>
        </w:rPr>
        <w:noBreakHyphen/>
      </w:r>
      <w:r w:rsidRPr="0052032C">
        <w:rPr>
          <w:lang w:eastAsia="ja-JP"/>
        </w:rPr>
        <w:t>chemo: 41.2% and G-chemo: 55.0%). During the induction phase, a greater proportion of patients in the G-chemo arm had a dose modification of any study medication component (</w:t>
      </w:r>
      <w:r w:rsidR="00B02BCF">
        <w:rPr>
          <w:lang w:eastAsia="ja-JP"/>
        </w:rPr>
        <w:t>that is,</w:t>
      </w:r>
      <w:r w:rsidRPr="0052032C">
        <w:rPr>
          <w:lang w:eastAsia="ja-JP"/>
        </w:rPr>
        <w:t xml:space="preserve"> rituximab/obinutuzumab or any chemotherapy component) compared to the R-chemo arm (R-chem</w:t>
      </w:r>
      <w:r w:rsidR="00067D95">
        <w:rPr>
          <w:lang w:eastAsia="ja-JP"/>
        </w:rPr>
        <w:t>o: 40.2% and G-chemo: 47.7%).</w:t>
      </w:r>
    </w:p>
    <w:p w14:paraId="70189F6F" w14:textId="77777777" w:rsidR="0052032C" w:rsidRPr="0052032C" w:rsidRDefault="0052032C" w:rsidP="00067D95">
      <w:pPr>
        <w:pStyle w:val="Heading3"/>
      </w:pPr>
      <w:bookmarkStart w:id="171" w:name="_Toc241374319"/>
      <w:bookmarkStart w:id="172" w:name="_Ref271044764"/>
      <w:bookmarkStart w:id="173" w:name="_Toc272414663"/>
      <w:bookmarkStart w:id="174" w:name="_Toc290888527"/>
      <w:bookmarkStart w:id="175" w:name="_Toc416353743"/>
      <w:bookmarkStart w:id="176" w:name="_Toc421005286"/>
      <w:bookmarkStart w:id="177" w:name="_Toc432079163"/>
      <w:bookmarkStart w:id="178" w:name="_Toc432080736"/>
      <w:bookmarkStart w:id="179" w:name="_Toc481769166"/>
      <w:bookmarkStart w:id="180" w:name="_Toc513556357"/>
      <w:r w:rsidRPr="0052032C">
        <w:t>Adverse events</w:t>
      </w:r>
      <w:bookmarkEnd w:id="171"/>
      <w:bookmarkEnd w:id="172"/>
      <w:bookmarkEnd w:id="173"/>
      <w:bookmarkEnd w:id="174"/>
      <w:bookmarkEnd w:id="175"/>
      <w:bookmarkEnd w:id="176"/>
      <w:bookmarkEnd w:id="177"/>
      <w:bookmarkEnd w:id="178"/>
      <w:r w:rsidRPr="0052032C">
        <w:t xml:space="preserve"> (</w:t>
      </w:r>
      <w:r>
        <w:t>Study BO</w:t>
      </w:r>
      <w:r w:rsidRPr="0052032C">
        <w:t>21223)</w:t>
      </w:r>
      <w:bookmarkEnd w:id="179"/>
      <w:bookmarkEnd w:id="180"/>
    </w:p>
    <w:p w14:paraId="28EB88EF" w14:textId="6329DC84" w:rsidR="0052032C" w:rsidRPr="0052032C" w:rsidRDefault="0052032C" w:rsidP="0052032C">
      <w:pPr>
        <w:rPr>
          <w:lang w:eastAsia="ja-JP"/>
        </w:rPr>
      </w:pPr>
      <w:r w:rsidRPr="0052032C">
        <w:rPr>
          <w:lang w:eastAsia="ja-JP"/>
        </w:rPr>
        <w:t xml:space="preserve">In the SCS the following is stated: </w:t>
      </w:r>
      <w:r>
        <w:rPr>
          <w:lang w:eastAsia="ja-JP"/>
        </w:rPr>
        <w:t>‘</w:t>
      </w:r>
      <w:r w:rsidRPr="00275451">
        <w:rPr>
          <w:i/>
          <w:lang w:eastAsia="ja-JP"/>
        </w:rPr>
        <w:t>The safety data presented in this SCS are focused on the FL safety population (FL patients who received any amount of study therapy</w:t>
      </w:r>
      <w:r w:rsidR="00067D95" w:rsidRPr="00275451">
        <w:rPr>
          <w:i/>
          <w:lang w:eastAsia="ja-JP"/>
        </w:rPr>
        <w:t>, […]</w:t>
      </w:r>
      <w:r w:rsidRPr="00275451">
        <w:rPr>
          <w:i/>
          <w:lang w:eastAsia="ja-JP"/>
        </w:rPr>
        <w:t xml:space="preserve"> because the indication being sought is for patients with FL</w:t>
      </w:r>
      <w:r w:rsidRPr="0052032C">
        <w:rPr>
          <w:lang w:eastAsia="ja-JP"/>
        </w:rPr>
        <w:t>.</w:t>
      </w:r>
      <w:r>
        <w:rPr>
          <w:lang w:eastAsia="ja-JP"/>
        </w:rPr>
        <w:t>’</w:t>
      </w:r>
      <w:r w:rsidR="00067D95">
        <w:rPr>
          <w:lang w:eastAsia="ja-JP"/>
        </w:rPr>
        <w:t xml:space="preserve"> </w:t>
      </w:r>
      <w:r w:rsidRPr="0052032C">
        <w:rPr>
          <w:lang w:eastAsia="ja-JP"/>
        </w:rPr>
        <w:t xml:space="preserve">In the updated PI the safety population described for previously untreated iNHL is the entire cohort in </w:t>
      </w:r>
      <w:r>
        <w:rPr>
          <w:lang w:eastAsia="ja-JP"/>
        </w:rPr>
        <w:t>Study BO</w:t>
      </w:r>
      <w:r w:rsidRPr="0052032C">
        <w:rPr>
          <w:lang w:eastAsia="ja-JP"/>
        </w:rPr>
        <w:t>21223, which is why this is the group evaluated in the following safety sections a</w:t>
      </w:r>
      <w:r w:rsidR="009270ED">
        <w:rPr>
          <w:lang w:eastAsia="ja-JP"/>
        </w:rPr>
        <w:t>s far as the data is available.</w:t>
      </w:r>
    </w:p>
    <w:p w14:paraId="6EF0F118" w14:textId="77777777" w:rsidR="0052032C" w:rsidRPr="0052032C" w:rsidRDefault="0052032C" w:rsidP="009270ED">
      <w:pPr>
        <w:pStyle w:val="Heading4"/>
      </w:pPr>
      <w:bookmarkStart w:id="181" w:name="_Ref272317284"/>
      <w:bookmarkStart w:id="182" w:name="_Ref272333565"/>
      <w:bookmarkStart w:id="183" w:name="_Toc272414664"/>
      <w:bookmarkStart w:id="184" w:name="_Toc290888528"/>
      <w:bookmarkStart w:id="185" w:name="_Toc416353744"/>
      <w:bookmarkStart w:id="186" w:name="_Toc421005287"/>
      <w:bookmarkStart w:id="187" w:name="_Toc432079164"/>
      <w:bookmarkStart w:id="188" w:name="_Toc432080737"/>
      <w:r w:rsidRPr="0052032C">
        <w:t>All adverse events (irrespective of relationship to study treatment)</w:t>
      </w:r>
      <w:bookmarkEnd w:id="181"/>
      <w:bookmarkEnd w:id="182"/>
      <w:bookmarkEnd w:id="183"/>
      <w:bookmarkEnd w:id="184"/>
      <w:bookmarkEnd w:id="185"/>
      <w:bookmarkEnd w:id="186"/>
      <w:bookmarkEnd w:id="187"/>
      <w:bookmarkEnd w:id="188"/>
    </w:p>
    <w:p w14:paraId="2C5E0F5F" w14:textId="31E0FDE0" w:rsidR="0052032C" w:rsidRPr="0052032C" w:rsidRDefault="0052032C" w:rsidP="0052032C">
      <w:pPr>
        <w:rPr>
          <w:lang w:eastAsia="ja-JP"/>
        </w:rPr>
      </w:pPr>
      <w:r w:rsidRPr="0052032C">
        <w:rPr>
          <w:lang w:eastAsia="ja-JP"/>
        </w:rPr>
        <w:t xml:space="preserve">An overview of types of adverse events is presented in </w:t>
      </w:r>
      <w:r w:rsidR="00B02BCF">
        <w:rPr>
          <w:lang w:eastAsia="ja-JP"/>
        </w:rPr>
        <w:t>Table 11</w:t>
      </w:r>
      <w:r w:rsidRPr="0052032C">
        <w:rPr>
          <w:lang w:eastAsia="ja-JP"/>
        </w:rPr>
        <w:t xml:space="preserve"> for the FL and overall safety population and by treatment phase in the FL population </w:t>
      </w:r>
      <w:r w:rsidR="00B02BCF">
        <w:rPr>
          <w:lang w:eastAsia="ja-JP"/>
        </w:rPr>
        <w:t>in Table 12</w:t>
      </w:r>
      <w:r w:rsidR="009270ED">
        <w:rPr>
          <w:lang w:eastAsia="ja-JP"/>
        </w:rPr>
        <w:t>, both below.</w:t>
      </w:r>
    </w:p>
    <w:p w14:paraId="2F80677C" w14:textId="7464C3AB" w:rsidR="0052032C" w:rsidRPr="0052032C" w:rsidRDefault="0052032C" w:rsidP="009270ED">
      <w:pPr>
        <w:pStyle w:val="Tabletitle"/>
        <w:rPr>
          <w:lang w:eastAsia="ja-JP"/>
        </w:rPr>
      </w:pPr>
      <w:bookmarkStart w:id="189" w:name="_Ref478991750"/>
      <w:bookmarkStart w:id="190" w:name="_Toc481769210"/>
      <w:proofErr w:type="gramStart"/>
      <w:r w:rsidRPr="0052032C">
        <w:rPr>
          <w:lang w:eastAsia="ja-JP"/>
        </w:rPr>
        <w:lastRenderedPageBreak/>
        <w:t xml:space="preserve">Table </w:t>
      </w:r>
      <w:bookmarkEnd w:id="189"/>
      <w:r w:rsidR="00B02BCF">
        <w:rPr>
          <w:lang w:eastAsia="ja-JP"/>
        </w:rPr>
        <w:t>11</w:t>
      </w:r>
      <w:r w:rsidR="009270ED">
        <w:rPr>
          <w:lang w:eastAsia="ja-JP"/>
        </w:rPr>
        <w:t>.</w:t>
      </w:r>
      <w:proofErr w:type="gramEnd"/>
      <w:r w:rsidR="009270ED">
        <w:rPr>
          <w:lang w:eastAsia="ja-JP"/>
        </w:rPr>
        <w:t xml:space="preserve"> Study BO21223 overview of adverse events (FL and overall safety p</w:t>
      </w:r>
      <w:r w:rsidRPr="0052032C">
        <w:rPr>
          <w:lang w:eastAsia="ja-JP"/>
        </w:rPr>
        <w:t>opulation)</w:t>
      </w:r>
      <w:bookmarkEnd w:id="190"/>
    </w:p>
    <w:p w14:paraId="6C0ECDD2" w14:textId="77777777" w:rsidR="0052032C" w:rsidRPr="0052032C" w:rsidRDefault="0052032C" w:rsidP="0052032C">
      <w:pPr>
        <w:rPr>
          <w:lang w:eastAsia="ja-JP"/>
        </w:rPr>
      </w:pPr>
      <w:r w:rsidRPr="0052032C">
        <w:rPr>
          <w:noProof/>
          <w:lang w:eastAsia="en-AU"/>
        </w:rPr>
        <w:drawing>
          <wp:inline distT="0" distB="0" distL="0" distR="0" wp14:anchorId="2072C809" wp14:editId="25763FF2">
            <wp:extent cx="4701540" cy="5654040"/>
            <wp:effectExtent l="0" t="0" r="3810" b="3810"/>
            <wp:docPr id="139" name="Picture 139" descr="Study BO21223 overview of adverse events (FL and overal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4701540" cy="5654040"/>
                    </a:xfrm>
                    <a:prstGeom prst="rect">
                      <a:avLst/>
                    </a:prstGeom>
                  </pic:spPr>
                </pic:pic>
              </a:graphicData>
            </a:graphic>
          </wp:inline>
        </w:drawing>
      </w:r>
    </w:p>
    <w:p w14:paraId="05649C6D" w14:textId="0B835400" w:rsidR="0052032C" w:rsidRPr="0052032C" w:rsidRDefault="0052032C" w:rsidP="009270ED">
      <w:pPr>
        <w:pStyle w:val="Comment"/>
        <w:rPr>
          <w:lang w:eastAsia="ja-JP"/>
        </w:rPr>
      </w:pPr>
      <w:bookmarkStart w:id="191" w:name="_Ref479845512"/>
      <w:bookmarkStart w:id="192" w:name="_Ref481763617"/>
      <w:r w:rsidRPr="0052032C">
        <w:rPr>
          <w:b/>
          <w:lang w:eastAsia="ja-JP"/>
        </w:rPr>
        <w:t xml:space="preserve">Question </w:t>
      </w:r>
      <w:r w:rsidR="0013073A">
        <w:rPr>
          <w:b/>
          <w:lang w:eastAsia="ja-JP"/>
        </w:rPr>
        <w:t>3</w:t>
      </w:r>
      <w:r w:rsidR="009270ED">
        <w:rPr>
          <w:b/>
          <w:lang w:eastAsia="ja-JP"/>
        </w:rPr>
        <w:t>:</w:t>
      </w:r>
      <w:r w:rsidRPr="0052032C">
        <w:rPr>
          <w:b/>
          <w:lang w:eastAsia="ja-JP"/>
        </w:rPr>
        <w:t xml:space="preserve"> </w:t>
      </w:r>
      <w:r w:rsidRPr="0052032C">
        <w:rPr>
          <w:lang w:eastAsia="ja-JP"/>
        </w:rPr>
        <w:t xml:space="preserve">CSR; </w:t>
      </w:r>
      <w:r w:rsidRPr="009270ED">
        <w:rPr>
          <w:lang w:eastAsia="ja-JP"/>
        </w:rPr>
        <w:t>Table 1</w:t>
      </w:r>
      <w:r w:rsidR="009270ED">
        <w:rPr>
          <w:lang w:eastAsia="ja-JP"/>
        </w:rPr>
        <w:t>:</w:t>
      </w:r>
      <w:r w:rsidRPr="0052032C">
        <w:rPr>
          <w:lang w:eastAsia="ja-JP"/>
        </w:rPr>
        <w:t xml:space="preserve"> The proportion of AEs (all categories) in the MZL population was higher than in the FL population. Can the</w:t>
      </w:r>
      <w:r>
        <w:rPr>
          <w:lang w:eastAsia="ja-JP"/>
        </w:rPr>
        <w:t xml:space="preserve"> sponsor</w:t>
      </w:r>
      <w:r w:rsidRPr="0052032C">
        <w:rPr>
          <w:lang w:eastAsia="ja-JP"/>
        </w:rPr>
        <w:t xml:space="preserve"> suggest any explanations for this?</w:t>
      </w:r>
      <w:r w:rsidRPr="0052032C">
        <w:rPr>
          <w:b/>
          <w:lang w:eastAsia="ja-JP"/>
        </w:rPr>
        <w:t xml:space="preserve"> </w:t>
      </w:r>
      <w:proofErr w:type="gramStart"/>
      <w:r w:rsidR="009270ED">
        <w:rPr>
          <w:lang w:eastAsia="ja-JP"/>
        </w:rPr>
        <w:t>(</w:t>
      </w:r>
      <w:r w:rsidR="008E396E">
        <w:rPr>
          <w:lang w:eastAsia="ja-JP"/>
        </w:rPr>
        <w:t>See</w:t>
      </w:r>
      <w:r w:rsidRPr="0052032C">
        <w:rPr>
          <w:lang w:eastAsia="ja-JP"/>
        </w:rPr>
        <w:t xml:space="preserve"> </w:t>
      </w:r>
      <w:bookmarkEnd w:id="191"/>
      <w:bookmarkEnd w:id="192"/>
      <w:r w:rsidR="00B02BCF">
        <w:rPr>
          <w:lang w:eastAsia="ja-JP"/>
        </w:rPr>
        <w:t>Table 11</w:t>
      </w:r>
      <w:r w:rsidR="009270ED">
        <w:rPr>
          <w:lang w:eastAsia="ja-JP"/>
        </w:rPr>
        <w:t xml:space="preserve"> above).</w:t>
      </w:r>
      <w:proofErr w:type="gramEnd"/>
    </w:p>
    <w:p w14:paraId="7FD1BDE9" w14:textId="7C8D94E4" w:rsidR="0052032C" w:rsidRPr="0052032C" w:rsidRDefault="0052032C" w:rsidP="009270ED">
      <w:pPr>
        <w:pStyle w:val="Tabletitle"/>
        <w:rPr>
          <w:lang w:eastAsia="ja-JP"/>
        </w:rPr>
      </w:pPr>
      <w:bookmarkStart w:id="193" w:name="_Ref478979758"/>
      <w:bookmarkStart w:id="194" w:name="_Toc481769211"/>
      <w:proofErr w:type="gramStart"/>
      <w:r w:rsidRPr="0052032C">
        <w:rPr>
          <w:lang w:eastAsia="ja-JP"/>
        </w:rPr>
        <w:lastRenderedPageBreak/>
        <w:t xml:space="preserve">Table </w:t>
      </w:r>
      <w:bookmarkEnd w:id="193"/>
      <w:r w:rsidR="00B02BCF">
        <w:rPr>
          <w:lang w:eastAsia="ja-JP"/>
        </w:rPr>
        <w:t>12</w:t>
      </w:r>
      <w:r w:rsidR="009270ED">
        <w:rPr>
          <w:lang w:eastAsia="ja-JP"/>
        </w:rPr>
        <w:t>.</w:t>
      </w:r>
      <w:proofErr w:type="gramEnd"/>
      <w:r w:rsidR="009270ED">
        <w:rPr>
          <w:lang w:eastAsia="ja-JP"/>
        </w:rPr>
        <w:t xml:space="preserve"> Study BO21223 o</w:t>
      </w:r>
      <w:r w:rsidRPr="0052032C">
        <w:rPr>
          <w:lang w:eastAsia="ja-JP"/>
        </w:rPr>
        <w:t xml:space="preserve">verview of AEs by </w:t>
      </w:r>
      <w:r w:rsidR="009270ED">
        <w:rPr>
          <w:lang w:eastAsia="ja-JP"/>
        </w:rPr>
        <w:t>t</w:t>
      </w:r>
      <w:r w:rsidRPr="0052032C">
        <w:rPr>
          <w:lang w:eastAsia="ja-JP"/>
        </w:rPr>
        <w:t>reatme</w:t>
      </w:r>
      <w:r w:rsidR="009270ED">
        <w:rPr>
          <w:lang w:eastAsia="ja-JP"/>
        </w:rPr>
        <w:t>nt p</w:t>
      </w:r>
      <w:r w:rsidRPr="0052032C">
        <w:rPr>
          <w:lang w:eastAsia="ja-JP"/>
        </w:rPr>
        <w:t xml:space="preserve">hase </w:t>
      </w:r>
      <w:r w:rsidR="009270ED">
        <w:rPr>
          <w:lang w:eastAsia="ja-JP"/>
        </w:rPr>
        <w:t>(FL safety p</w:t>
      </w:r>
      <w:r w:rsidRPr="0052032C">
        <w:rPr>
          <w:lang w:eastAsia="ja-JP"/>
        </w:rPr>
        <w:t>opulation)</w:t>
      </w:r>
      <w:bookmarkEnd w:id="194"/>
    </w:p>
    <w:p w14:paraId="2C6F9C51" w14:textId="77777777" w:rsidR="0052032C" w:rsidRPr="0052032C" w:rsidRDefault="0052032C" w:rsidP="0052032C">
      <w:pPr>
        <w:rPr>
          <w:lang w:eastAsia="ja-JP"/>
        </w:rPr>
      </w:pPr>
      <w:r w:rsidRPr="0052032C">
        <w:rPr>
          <w:noProof/>
          <w:lang w:eastAsia="en-AU"/>
        </w:rPr>
        <w:drawing>
          <wp:inline distT="0" distB="0" distL="0" distR="0" wp14:anchorId="78848A82" wp14:editId="447FF224">
            <wp:extent cx="5255933" cy="4934737"/>
            <wp:effectExtent l="0" t="0" r="1905" b="0"/>
            <wp:docPr id="131" name="Picture 131" descr="Overview of AEs by treatment phase in Study BO21223 (F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6567" cy="4935332"/>
                    </a:xfrm>
                    <a:prstGeom prst="rect">
                      <a:avLst/>
                    </a:prstGeom>
                  </pic:spPr>
                </pic:pic>
              </a:graphicData>
            </a:graphic>
          </wp:inline>
        </w:drawing>
      </w:r>
    </w:p>
    <w:p w14:paraId="529294E6" w14:textId="09C9F4AD" w:rsidR="0052032C" w:rsidRPr="0052032C" w:rsidRDefault="0052032C" w:rsidP="0052032C">
      <w:pPr>
        <w:rPr>
          <w:lang w:eastAsia="ja-JP"/>
        </w:rPr>
      </w:pPr>
      <w:r w:rsidRPr="0052032C">
        <w:rPr>
          <w:lang w:eastAsia="ja-JP"/>
        </w:rPr>
        <w:t xml:space="preserve">The overall incidence of AEs over the entire study period was similar in the </w:t>
      </w:r>
      <w:r w:rsidR="008531A2">
        <w:rPr>
          <w:lang w:eastAsia="ja-JP"/>
        </w:rPr>
        <w:t>2</w:t>
      </w:r>
      <w:r w:rsidRPr="0052032C">
        <w:rPr>
          <w:lang w:eastAsia="ja-JP"/>
        </w:rPr>
        <w:t xml:space="preserve"> treatment arms (678/692 patients </w:t>
      </w:r>
      <w:r>
        <w:rPr>
          <w:lang w:eastAsia="ja-JP"/>
        </w:rPr>
        <w:t>(</w:t>
      </w:r>
      <w:r w:rsidRPr="0052032C">
        <w:rPr>
          <w:lang w:eastAsia="ja-JP"/>
        </w:rPr>
        <w:t>98.0%</w:t>
      </w:r>
      <w:r>
        <w:rPr>
          <w:lang w:eastAsia="ja-JP"/>
        </w:rPr>
        <w:t>)</w:t>
      </w:r>
      <w:r w:rsidRPr="0052032C">
        <w:rPr>
          <w:lang w:eastAsia="ja-JP"/>
        </w:rPr>
        <w:t xml:space="preserve"> with at least one AE in the R-chemo arm compared with 695/698</w:t>
      </w:r>
      <w:r w:rsidR="0013073A">
        <w:rPr>
          <w:lang w:eastAsia="ja-JP"/>
        </w:rPr>
        <w:t> </w:t>
      </w:r>
      <w:r w:rsidRPr="0052032C">
        <w:rPr>
          <w:lang w:eastAsia="ja-JP"/>
        </w:rPr>
        <w:t xml:space="preserve">patients </w:t>
      </w:r>
      <w:r>
        <w:rPr>
          <w:lang w:eastAsia="ja-JP"/>
        </w:rPr>
        <w:t>(</w:t>
      </w:r>
      <w:r w:rsidRPr="0052032C">
        <w:rPr>
          <w:lang w:eastAsia="ja-JP"/>
        </w:rPr>
        <w:t>99.6%</w:t>
      </w:r>
      <w:r>
        <w:rPr>
          <w:lang w:eastAsia="ja-JP"/>
        </w:rPr>
        <w:t>)</w:t>
      </w:r>
      <w:r w:rsidRPr="0052032C">
        <w:rPr>
          <w:lang w:eastAsia="ja-JP"/>
        </w:rPr>
        <w:t xml:space="preserve"> in the G-chemo arm) and a total of 10698 AEs in the R-chemo arm and 12364</w:t>
      </w:r>
      <w:r w:rsidR="0013073A">
        <w:rPr>
          <w:lang w:eastAsia="ja-JP"/>
        </w:rPr>
        <w:t> </w:t>
      </w:r>
      <w:r w:rsidRPr="0052032C">
        <w:rPr>
          <w:lang w:eastAsia="ja-JP"/>
        </w:rPr>
        <w:t>AEs in the G-chemo a</w:t>
      </w:r>
      <w:r w:rsidR="009270ED">
        <w:rPr>
          <w:lang w:eastAsia="ja-JP"/>
        </w:rPr>
        <w:t>rm (overall safety population).</w:t>
      </w:r>
    </w:p>
    <w:p w14:paraId="5C670DC0" w14:textId="14D92066" w:rsidR="0052032C" w:rsidRPr="0052032C" w:rsidRDefault="009270ED" w:rsidP="0052032C">
      <w:pPr>
        <w:rPr>
          <w:lang w:eastAsia="ja-JP"/>
        </w:rPr>
      </w:pPr>
      <w:r>
        <w:rPr>
          <w:lang w:eastAsia="ja-JP"/>
        </w:rPr>
        <w:t xml:space="preserve">The incidence of Grade 3 to </w:t>
      </w:r>
      <w:r w:rsidR="0052032C" w:rsidRPr="0052032C">
        <w:rPr>
          <w:lang w:eastAsia="ja-JP"/>
        </w:rPr>
        <w:t xml:space="preserve">5 AEs during the entire treatment period was higher in the G-chemo arm than in the R-chemo arm (479/692 patients </w:t>
      </w:r>
      <w:r w:rsidR="0052032C">
        <w:rPr>
          <w:lang w:eastAsia="ja-JP"/>
        </w:rPr>
        <w:t>(</w:t>
      </w:r>
      <w:r w:rsidR="0052032C" w:rsidRPr="0052032C">
        <w:rPr>
          <w:lang w:eastAsia="ja-JP"/>
        </w:rPr>
        <w:t>69.2%</w:t>
      </w:r>
      <w:r w:rsidR="0052032C">
        <w:rPr>
          <w:lang w:eastAsia="ja-JP"/>
        </w:rPr>
        <w:t>)</w:t>
      </w:r>
      <w:r w:rsidR="0052032C" w:rsidRPr="0052032C">
        <w:rPr>
          <w:lang w:eastAsia="ja-JP"/>
        </w:rPr>
        <w:t xml:space="preserve"> and 528/698 patients </w:t>
      </w:r>
      <w:r w:rsidR="0052032C">
        <w:rPr>
          <w:lang w:eastAsia="ja-JP"/>
        </w:rPr>
        <w:t>(</w:t>
      </w:r>
      <w:r w:rsidR="0052032C" w:rsidRPr="0052032C">
        <w:rPr>
          <w:lang w:eastAsia="ja-JP"/>
        </w:rPr>
        <w:t>75.6%</w:t>
      </w:r>
      <w:r w:rsidR="0052032C">
        <w:rPr>
          <w:lang w:eastAsia="ja-JP"/>
        </w:rPr>
        <w:t>)</w:t>
      </w:r>
      <w:r>
        <w:rPr>
          <w:lang w:eastAsia="ja-JP"/>
        </w:rPr>
        <w:t>, respectively).</w:t>
      </w:r>
    </w:p>
    <w:p w14:paraId="3D257977" w14:textId="71736D08" w:rsidR="0052032C" w:rsidRPr="0052032C" w:rsidRDefault="0052032C" w:rsidP="0052032C">
      <w:pPr>
        <w:rPr>
          <w:lang w:eastAsia="ja-JP"/>
        </w:rPr>
      </w:pPr>
      <w:r w:rsidRPr="0052032C">
        <w:rPr>
          <w:lang w:eastAsia="ja-JP"/>
        </w:rPr>
        <w:t>An ove</w:t>
      </w:r>
      <w:r w:rsidR="009270ED">
        <w:rPr>
          <w:lang w:eastAsia="ja-JP"/>
        </w:rPr>
        <w:t>rview of AEs of all grades and G</w:t>
      </w:r>
      <w:r w:rsidRPr="0052032C">
        <w:rPr>
          <w:lang w:eastAsia="ja-JP"/>
        </w:rPr>
        <w:t>rade</w:t>
      </w:r>
      <w:r w:rsidR="009270ED">
        <w:rPr>
          <w:lang w:eastAsia="ja-JP"/>
        </w:rPr>
        <w:t xml:space="preserve">s 3 to </w:t>
      </w:r>
      <w:r w:rsidRPr="0052032C">
        <w:rPr>
          <w:lang w:eastAsia="ja-JP"/>
        </w:rPr>
        <w:t>5 by SOC and Preferred Term (in descending order of frequency) is presented</w:t>
      </w:r>
      <w:r w:rsidR="00B02BCF">
        <w:rPr>
          <w:lang w:eastAsia="ja-JP"/>
        </w:rPr>
        <w:t xml:space="preserve"> in Tables 13 and 14</w:t>
      </w:r>
      <w:r w:rsidR="009270ED">
        <w:rPr>
          <w:lang w:eastAsia="ja-JP"/>
        </w:rPr>
        <w:t>, respectively.</w:t>
      </w:r>
    </w:p>
    <w:p w14:paraId="61B190D0" w14:textId="27B18DAF" w:rsidR="0052032C" w:rsidRPr="0052032C" w:rsidRDefault="0052032C" w:rsidP="00F54FD9">
      <w:pPr>
        <w:pStyle w:val="Tabletitle"/>
        <w:rPr>
          <w:lang w:eastAsia="ja-JP"/>
        </w:rPr>
      </w:pPr>
      <w:bookmarkStart w:id="195" w:name="_Ref479181495"/>
      <w:bookmarkStart w:id="196" w:name="_Toc481769212"/>
      <w:proofErr w:type="gramStart"/>
      <w:r w:rsidRPr="0052032C">
        <w:rPr>
          <w:lang w:eastAsia="ja-JP"/>
        </w:rPr>
        <w:t xml:space="preserve">Table </w:t>
      </w:r>
      <w:bookmarkEnd w:id="195"/>
      <w:r w:rsidR="00B02BCF">
        <w:rPr>
          <w:lang w:eastAsia="ja-JP"/>
        </w:rPr>
        <w:t>13</w:t>
      </w:r>
      <w:r w:rsidR="00B57881">
        <w:rPr>
          <w:lang w:eastAsia="ja-JP"/>
        </w:rPr>
        <w:t>.</w:t>
      </w:r>
      <w:proofErr w:type="gramEnd"/>
      <w:r w:rsidRPr="0052032C">
        <w:rPr>
          <w:lang w:eastAsia="ja-JP"/>
        </w:rPr>
        <w:t xml:space="preserve"> Ad</w:t>
      </w:r>
      <w:r w:rsidR="00B57881">
        <w:rPr>
          <w:lang w:eastAsia="ja-JP"/>
        </w:rPr>
        <w:t>verse e</w:t>
      </w:r>
      <w:r w:rsidR="00A81BAE">
        <w:rPr>
          <w:lang w:eastAsia="ja-JP"/>
        </w:rPr>
        <w:t xml:space="preserve">vents of all grades and Grade 3 to </w:t>
      </w:r>
      <w:r w:rsidRPr="0052032C">
        <w:rPr>
          <w:lang w:eastAsia="ja-JP"/>
        </w:rPr>
        <w:t>5 by SOC (overall safety population)</w:t>
      </w:r>
      <w:bookmarkEnd w:id="196"/>
    </w:p>
    <w:tbl>
      <w:tblPr>
        <w:tblStyle w:val="TableTGAblue"/>
        <w:tblW w:w="0" w:type="auto"/>
        <w:tblLook w:val="04A0" w:firstRow="1" w:lastRow="0" w:firstColumn="1" w:lastColumn="0" w:noHBand="0" w:noVBand="1"/>
      </w:tblPr>
      <w:tblGrid>
        <w:gridCol w:w="1898"/>
        <w:gridCol w:w="1836"/>
        <w:gridCol w:w="1761"/>
        <w:gridCol w:w="1911"/>
        <w:gridCol w:w="1836"/>
      </w:tblGrid>
      <w:tr w:rsidR="0052032C" w:rsidRPr="0052032C" w14:paraId="0201292A" w14:textId="77777777" w:rsidTr="00A277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8" w:type="dxa"/>
          </w:tcPr>
          <w:p w14:paraId="740D5972" w14:textId="77777777" w:rsidR="0052032C" w:rsidRPr="00692378" w:rsidRDefault="0052032C" w:rsidP="00A277C3">
            <w:pPr>
              <w:rPr>
                <w:lang w:eastAsia="ja-JP"/>
              </w:rPr>
            </w:pPr>
          </w:p>
        </w:tc>
        <w:tc>
          <w:tcPr>
            <w:tcW w:w="3597" w:type="dxa"/>
            <w:gridSpan w:val="2"/>
          </w:tcPr>
          <w:p w14:paraId="2AE0E6B7" w14:textId="7B8C6E39" w:rsidR="0052032C" w:rsidRPr="00692378" w:rsidRDefault="0052032C" w:rsidP="00A277C3">
            <w:pPr>
              <w:cnfStyle w:val="100000000000" w:firstRow="1" w:lastRow="0" w:firstColumn="0" w:lastColumn="0" w:oddVBand="0" w:evenVBand="0" w:oddHBand="0" w:evenHBand="0" w:firstRowFirstColumn="0" w:firstRowLastColumn="0" w:lastRowFirstColumn="0" w:lastRowLastColumn="0"/>
              <w:rPr>
                <w:lang w:eastAsia="ja-JP"/>
              </w:rPr>
            </w:pPr>
            <w:r w:rsidRPr="00692378">
              <w:rPr>
                <w:lang w:eastAsia="ja-JP"/>
              </w:rPr>
              <w:t>Affected SOCs, AE of all grades</w:t>
            </w:r>
          </w:p>
        </w:tc>
        <w:tc>
          <w:tcPr>
            <w:tcW w:w="3747" w:type="dxa"/>
            <w:gridSpan w:val="2"/>
          </w:tcPr>
          <w:p w14:paraId="7B302B7C" w14:textId="37B6D7EB" w:rsidR="0052032C" w:rsidRPr="00692378" w:rsidRDefault="00F54FD9" w:rsidP="00A277C3">
            <w:pPr>
              <w:ind w:left="96" w:right="251"/>
              <w:cnfStyle w:val="100000000000" w:firstRow="1" w:lastRow="0" w:firstColumn="0" w:lastColumn="0" w:oddVBand="0" w:evenVBand="0" w:oddHBand="0" w:evenHBand="0" w:firstRowFirstColumn="0" w:firstRowLastColumn="0" w:lastRowFirstColumn="0" w:lastRowLastColumn="0"/>
              <w:rPr>
                <w:lang w:eastAsia="ja-JP"/>
              </w:rPr>
            </w:pPr>
            <w:r w:rsidRPr="00692378">
              <w:rPr>
                <w:lang w:eastAsia="ja-JP"/>
              </w:rPr>
              <w:t xml:space="preserve">Affected SOCs, AE Grades 3 to </w:t>
            </w:r>
            <w:r w:rsidR="0052032C" w:rsidRPr="00692378">
              <w:rPr>
                <w:lang w:eastAsia="ja-JP"/>
              </w:rPr>
              <w:t>5</w:t>
            </w:r>
          </w:p>
        </w:tc>
      </w:tr>
      <w:tr w:rsidR="00F54FD9" w:rsidRPr="0052032C" w14:paraId="1D356858" w14:textId="77777777" w:rsidTr="00A277C3">
        <w:trPr>
          <w:cantSplit/>
        </w:trPr>
        <w:tc>
          <w:tcPr>
            <w:cnfStyle w:val="001000000000" w:firstRow="0" w:lastRow="0" w:firstColumn="1" w:lastColumn="0" w:oddVBand="0" w:evenVBand="0" w:oddHBand="0" w:evenHBand="0" w:firstRowFirstColumn="0" w:firstRowLastColumn="0" w:lastRowFirstColumn="0" w:lastRowLastColumn="0"/>
            <w:tcW w:w="1898" w:type="dxa"/>
          </w:tcPr>
          <w:p w14:paraId="5712226B" w14:textId="77777777" w:rsidR="00F54FD9" w:rsidRPr="00692378" w:rsidRDefault="00F54FD9" w:rsidP="00A277C3">
            <w:pPr>
              <w:rPr>
                <w:lang w:eastAsia="ja-JP"/>
              </w:rPr>
            </w:pPr>
          </w:p>
        </w:tc>
        <w:tc>
          <w:tcPr>
            <w:tcW w:w="1836" w:type="dxa"/>
          </w:tcPr>
          <w:p w14:paraId="6DBF5416" w14:textId="22E03E4B" w:rsidR="00F54FD9" w:rsidRPr="00692378" w:rsidRDefault="00F54FD9" w:rsidP="00A277C3">
            <w:pPr>
              <w:cnfStyle w:val="000000000000" w:firstRow="0" w:lastRow="0" w:firstColumn="0" w:lastColumn="0" w:oddVBand="0" w:evenVBand="0" w:oddHBand="0" w:evenHBand="0" w:firstRowFirstColumn="0" w:firstRowLastColumn="0" w:lastRowFirstColumn="0" w:lastRowLastColumn="0"/>
              <w:rPr>
                <w:vertAlign w:val="superscript"/>
                <w:lang w:eastAsia="ja-JP"/>
              </w:rPr>
            </w:pPr>
            <w:r w:rsidRPr="00692378">
              <w:rPr>
                <w:lang w:eastAsia="ja-JP"/>
              </w:rPr>
              <w:t>R-chemo</w:t>
            </w:r>
          </w:p>
        </w:tc>
        <w:tc>
          <w:tcPr>
            <w:tcW w:w="1761" w:type="dxa"/>
          </w:tcPr>
          <w:p w14:paraId="6009BB70" w14:textId="427D689A" w:rsidR="00F54FD9" w:rsidRPr="00692378" w:rsidRDefault="00F54FD9"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G-chemo</w:t>
            </w:r>
          </w:p>
        </w:tc>
        <w:tc>
          <w:tcPr>
            <w:tcW w:w="1911" w:type="dxa"/>
          </w:tcPr>
          <w:p w14:paraId="7068A3CE" w14:textId="0FC298AB" w:rsidR="00F54FD9" w:rsidRPr="00692378" w:rsidRDefault="00F54FD9" w:rsidP="00A277C3">
            <w:pPr>
              <w:ind w:left="96" w:right="251"/>
              <w:cnfStyle w:val="000000000000" w:firstRow="0" w:lastRow="0" w:firstColumn="0" w:lastColumn="0" w:oddVBand="0" w:evenVBand="0" w:oddHBand="0" w:evenHBand="0" w:firstRowFirstColumn="0" w:firstRowLastColumn="0" w:lastRowFirstColumn="0" w:lastRowLastColumn="0"/>
              <w:rPr>
                <w:vertAlign w:val="superscript"/>
                <w:lang w:eastAsia="ja-JP"/>
              </w:rPr>
            </w:pPr>
            <w:r w:rsidRPr="00692378">
              <w:rPr>
                <w:lang w:eastAsia="ja-JP"/>
              </w:rPr>
              <w:t>R-chemo</w:t>
            </w:r>
          </w:p>
        </w:tc>
        <w:tc>
          <w:tcPr>
            <w:tcW w:w="1836" w:type="dxa"/>
          </w:tcPr>
          <w:p w14:paraId="79611A28" w14:textId="2BBF130F" w:rsidR="00F54FD9" w:rsidRPr="00692378" w:rsidRDefault="00F54FD9"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G-chemo</w:t>
            </w:r>
          </w:p>
        </w:tc>
      </w:tr>
      <w:tr w:rsidR="00F54FD9" w:rsidRPr="0052032C" w14:paraId="2E73BC98" w14:textId="77777777" w:rsidTr="00A277C3">
        <w:trPr>
          <w:cantSplit/>
        </w:trPr>
        <w:tc>
          <w:tcPr>
            <w:cnfStyle w:val="001000000000" w:firstRow="0" w:lastRow="0" w:firstColumn="1" w:lastColumn="0" w:oddVBand="0" w:evenVBand="0" w:oddHBand="0" w:evenHBand="0" w:firstRowFirstColumn="0" w:firstRowLastColumn="0" w:lastRowFirstColumn="0" w:lastRowLastColumn="0"/>
            <w:tcW w:w="1898" w:type="dxa"/>
          </w:tcPr>
          <w:p w14:paraId="130BADBF" w14:textId="112D16EE" w:rsidR="00F54FD9" w:rsidRPr="00692378" w:rsidRDefault="00F54FD9" w:rsidP="00A277C3">
            <w:pPr>
              <w:rPr>
                <w:lang w:eastAsia="ja-JP"/>
              </w:rPr>
            </w:pPr>
            <w:r w:rsidRPr="00692378">
              <w:rPr>
                <w:lang w:eastAsia="ja-JP"/>
              </w:rPr>
              <w:t>Popu</w:t>
            </w:r>
            <w:r w:rsidR="00B57881" w:rsidRPr="00692378">
              <w:rPr>
                <w:lang w:eastAsia="ja-JP"/>
              </w:rPr>
              <w:t>l</w:t>
            </w:r>
            <w:r w:rsidRPr="00692378">
              <w:rPr>
                <w:lang w:eastAsia="ja-JP"/>
              </w:rPr>
              <w:t>ation (n)</w:t>
            </w:r>
          </w:p>
        </w:tc>
        <w:tc>
          <w:tcPr>
            <w:tcW w:w="1836" w:type="dxa"/>
          </w:tcPr>
          <w:p w14:paraId="421538C0" w14:textId="53BD76A5" w:rsidR="00F54FD9" w:rsidRPr="00692378" w:rsidRDefault="00F54FD9"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692</w:t>
            </w:r>
          </w:p>
        </w:tc>
        <w:tc>
          <w:tcPr>
            <w:tcW w:w="1761" w:type="dxa"/>
          </w:tcPr>
          <w:p w14:paraId="432EF8B7" w14:textId="267D7621" w:rsidR="00F54FD9" w:rsidRPr="00692378" w:rsidRDefault="00F54FD9"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698</w:t>
            </w:r>
          </w:p>
        </w:tc>
        <w:tc>
          <w:tcPr>
            <w:tcW w:w="1911" w:type="dxa"/>
          </w:tcPr>
          <w:p w14:paraId="7C084B96" w14:textId="36298FD4" w:rsidR="00F54FD9" w:rsidRPr="00692378" w:rsidRDefault="00F54FD9"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692</w:t>
            </w:r>
          </w:p>
        </w:tc>
        <w:tc>
          <w:tcPr>
            <w:tcW w:w="1836" w:type="dxa"/>
          </w:tcPr>
          <w:p w14:paraId="6548A1CA" w14:textId="737F8890" w:rsidR="00F54FD9" w:rsidRPr="00692378" w:rsidRDefault="00F54FD9"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698</w:t>
            </w:r>
          </w:p>
        </w:tc>
      </w:tr>
      <w:tr w:rsidR="00F54FD9" w:rsidRPr="0052032C" w14:paraId="6335AC33" w14:textId="77777777" w:rsidTr="00A277C3">
        <w:trPr>
          <w:cantSplit/>
        </w:trPr>
        <w:tc>
          <w:tcPr>
            <w:cnfStyle w:val="001000000000" w:firstRow="0" w:lastRow="0" w:firstColumn="1" w:lastColumn="0" w:oddVBand="0" w:evenVBand="0" w:oddHBand="0" w:evenHBand="0" w:firstRowFirstColumn="0" w:firstRowLastColumn="0" w:lastRowFirstColumn="0" w:lastRowLastColumn="0"/>
            <w:tcW w:w="1898" w:type="dxa"/>
          </w:tcPr>
          <w:p w14:paraId="02DA6BAC" w14:textId="2916D083" w:rsidR="00F54FD9" w:rsidRPr="00692378" w:rsidRDefault="00F54FD9" w:rsidP="00A277C3">
            <w:pPr>
              <w:rPr>
                <w:lang w:eastAsia="ja-JP"/>
              </w:rPr>
            </w:pPr>
            <w:r w:rsidRPr="00692378">
              <w:rPr>
                <w:lang w:eastAsia="ja-JP"/>
              </w:rPr>
              <w:lastRenderedPageBreak/>
              <w:t>Total number of events</w:t>
            </w:r>
          </w:p>
        </w:tc>
        <w:tc>
          <w:tcPr>
            <w:tcW w:w="1836" w:type="dxa"/>
          </w:tcPr>
          <w:p w14:paraId="1061628E" w14:textId="3B9D37A4" w:rsidR="00F54FD9" w:rsidRPr="00692378" w:rsidRDefault="00F54FD9"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10698</w:t>
            </w:r>
          </w:p>
        </w:tc>
        <w:tc>
          <w:tcPr>
            <w:tcW w:w="1761" w:type="dxa"/>
          </w:tcPr>
          <w:p w14:paraId="030E967E" w14:textId="196C595C" w:rsidR="00F54FD9" w:rsidRPr="00692378" w:rsidRDefault="00F54FD9"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12364</w:t>
            </w:r>
          </w:p>
        </w:tc>
        <w:tc>
          <w:tcPr>
            <w:tcW w:w="1911" w:type="dxa"/>
          </w:tcPr>
          <w:p w14:paraId="61B00D07" w14:textId="6CACDC89" w:rsidR="00F54FD9" w:rsidRPr="00692378" w:rsidRDefault="00F54FD9"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1525</w:t>
            </w:r>
          </w:p>
        </w:tc>
        <w:tc>
          <w:tcPr>
            <w:tcW w:w="1836" w:type="dxa"/>
          </w:tcPr>
          <w:p w14:paraId="39F0BAA9" w14:textId="3E9563DD" w:rsidR="00F54FD9" w:rsidRPr="00692378" w:rsidRDefault="00F54FD9"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1865</w:t>
            </w:r>
          </w:p>
        </w:tc>
      </w:tr>
      <w:tr w:rsidR="0052032C" w:rsidRPr="0052032C" w14:paraId="2D993AA8" w14:textId="77777777" w:rsidTr="00A277C3">
        <w:trPr>
          <w:cantSplit/>
        </w:trPr>
        <w:tc>
          <w:tcPr>
            <w:cnfStyle w:val="001000000000" w:firstRow="0" w:lastRow="0" w:firstColumn="1" w:lastColumn="0" w:oddVBand="0" w:evenVBand="0" w:oddHBand="0" w:evenHBand="0" w:firstRowFirstColumn="0" w:firstRowLastColumn="0" w:lastRowFirstColumn="0" w:lastRowLastColumn="0"/>
            <w:tcW w:w="1898" w:type="dxa"/>
          </w:tcPr>
          <w:p w14:paraId="0194E024" w14:textId="77777777" w:rsidR="0052032C" w:rsidRPr="00692378" w:rsidRDefault="0052032C" w:rsidP="00A277C3">
            <w:pPr>
              <w:rPr>
                <w:lang w:eastAsia="ja-JP"/>
              </w:rPr>
            </w:pPr>
            <w:r w:rsidRPr="00692378">
              <w:rPr>
                <w:lang w:eastAsia="ja-JP"/>
              </w:rPr>
              <w:t>GI Disorders</w:t>
            </w:r>
          </w:p>
        </w:tc>
        <w:tc>
          <w:tcPr>
            <w:tcW w:w="1836" w:type="dxa"/>
          </w:tcPr>
          <w:p w14:paraId="47677B2E"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73.4%</w:t>
            </w:r>
          </w:p>
        </w:tc>
        <w:tc>
          <w:tcPr>
            <w:tcW w:w="1761" w:type="dxa"/>
          </w:tcPr>
          <w:p w14:paraId="67ED63BA"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79.4%</w:t>
            </w:r>
          </w:p>
        </w:tc>
        <w:tc>
          <w:tcPr>
            <w:tcW w:w="1911" w:type="dxa"/>
          </w:tcPr>
          <w:p w14:paraId="1917C35E"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8.5%</w:t>
            </w:r>
          </w:p>
        </w:tc>
        <w:tc>
          <w:tcPr>
            <w:tcW w:w="1836" w:type="dxa"/>
          </w:tcPr>
          <w:p w14:paraId="3FAEBD19"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8.3%</w:t>
            </w:r>
          </w:p>
        </w:tc>
      </w:tr>
      <w:tr w:rsidR="0052032C" w:rsidRPr="0052032C" w14:paraId="5219694F" w14:textId="77777777" w:rsidTr="00A277C3">
        <w:tc>
          <w:tcPr>
            <w:cnfStyle w:val="001000000000" w:firstRow="0" w:lastRow="0" w:firstColumn="1" w:lastColumn="0" w:oddVBand="0" w:evenVBand="0" w:oddHBand="0" w:evenHBand="0" w:firstRowFirstColumn="0" w:firstRowLastColumn="0" w:lastRowFirstColumn="0" w:lastRowLastColumn="0"/>
            <w:tcW w:w="1898" w:type="dxa"/>
          </w:tcPr>
          <w:p w14:paraId="6A6BF8F3" w14:textId="77777777" w:rsidR="0052032C" w:rsidRPr="00692378" w:rsidRDefault="0052032C" w:rsidP="00A277C3">
            <w:pPr>
              <w:rPr>
                <w:lang w:eastAsia="ja-JP"/>
              </w:rPr>
            </w:pPr>
            <w:r w:rsidRPr="00692378">
              <w:rPr>
                <w:lang w:eastAsia="ja-JP"/>
              </w:rPr>
              <w:t>Infections and Infestations</w:t>
            </w:r>
          </w:p>
        </w:tc>
        <w:tc>
          <w:tcPr>
            <w:tcW w:w="1836" w:type="dxa"/>
          </w:tcPr>
          <w:p w14:paraId="4B3A6BC7"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vertAlign w:val="superscript"/>
                <w:lang w:eastAsia="ja-JP"/>
              </w:rPr>
            </w:pPr>
            <w:r w:rsidRPr="00692378">
              <w:rPr>
                <w:lang w:eastAsia="ja-JP"/>
              </w:rPr>
              <w:t>69.5%</w:t>
            </w:r>
            <w:r w:rsidRPr="00692378">
              <w:rPr>
                <w:vertAlign w:val="superscript"/>
                <w:lang w:eastAsia="ja-JP"/>
              </w:rPr>
              <w:t>#</w:t>
            </w:r>
          </w:p>
        </w:tc>
        <w:tc>
          <w:tcPr>
            <w:tcW w:w="1761" w:type="dxa"/>
          </w:tcPr>
          <w:p w14:paraId="1B45818B"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vertAlign w:val="superscript"/>
                <w:lang w:eastAsia="ja-JP"/>
              </w:rPr>
            </w:pPr>
            <w:r w:rsidRPr="00692378">
              <w:rPr>
                <w:lang w:eastAsia="ja-JP"/>
              </w:rPr>
              <w:t>78.1%</w:t>
            </w:r>
            <w:r w:rsidRPr="00692378">
              <w:rPr>
                <w:vertAlign w:val="superscript"/>
                <w:lang w:eastAsia="ja-JP"/>
              </w:rPr>
              <w:t>#</w:t>
            </w:r>
          </w:p>
        </w:tc>
        <w:tc>
          <w:tcPr>
            <w:tcW w:w="1911" w:type="dxa"/>
          </w:tcPr>
          <w:p w14:paraId="54877994"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15.9%</w:t>
            </w:r>
          </w:p>
        </w:tc>
        <w:tc>
          <w:tcPr>
            <w:tcW w:w="1836" w:type="dxa"/>
          </w:tcPr>
          <w:p w14:paraId="6C4FF290"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21.6%</w:t>
            </w:r>
          </w:p>
        </w:tc>
      </w:tr>
      <w:tr w:rsidR="0052032C" w:rsidRPr="0052032C" w14:paraId="41BF376D" w14:textId="77777777" w:rsidTr="00A277C3">
        <w:tc>
          <w:tcPr>
            <w:cnfStyle w:val="001000000000" w:firstRow="0" w:lastRow="0" w:firstColumn="1" w:lastColumn="0" w:oddVBand="0" w:evenVBand="0" w:oddHBand="0" w:evenHBand="0" w:firstRowFirstColumn="0" w:firstRowLastColumn="0" w:lastRowFirstColumn="0" w:lastRowLastColumn="0"/>
            <w:tcW w:w="1898" w:type="dxa"/>
          </w:tcPr>
          <w:p w14:paraId="33E9E43A" w14:textId="77777777" w:rsidR="0052032C" w:rsidRPr="00692378" w:rsidRDefault="0052032C" w:rsidP="00A277C3">
            <w:pPr>
              <w:rPr>
                <w:lang w:eastAsia="ja-JP"/>
              </w:rPr>
            </w:pPr>
            <w:r w:rsidRPr="00692378">
              <w:rPr>
                <w:lang w:eastAsia="ja-JP"/>
              </w:rPr>
              <w:t>General Disorders and Admin. Site Conditions</w:t>
            </w:r>
          </w:p>
        </w:tc>
        <w:tc>
          <w:tcPr>
            <w:tcW w:w="1836" w:type="dxa"/>
          </w:tcPr>
          <w:p w14:paraId="2EE54775"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 xml:space="preserve">68.6% </w:t>
            </w:r>
          </w:p>
        </w:tc>
        <w:tc>
          <w:tcPr>
            <w:tcW w:w="1761" w:type="dxa"/>
          </w:tcPr>
          <w:p w14:paraId="2CF32ACC"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75.5%</w:t>
            </w:r>
          </w:p>
        </w:tc>
        <w:tc>
          <w:tcPr>
            <w:tcW w:w="1911" w:type="dxa"/>
          </w:tcPr>
          <w:p w14:paraId="07BD9F0B"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5.8%</w:t>
            </w:r>
          </w:p>
        </w:tc>
        <w:tc>
          <w:tcPr>
            <w:tcW w:w="1836" w:type="dxa"/>
          </w:tcPr>
          <w:p w14:paraId="108B0EB0"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7.3%</w:t>
            </w:r>
          </w:p>
        </w:tc>
      </w:tr>
      <w:tr w:rsidR="0052032C" w:rsidRPr="0052032C" w14:paraId="4D645039" w14:textId="77777777" w:rsidTr="00A277C3">
        <w:tc>
          <w:tcPr>
            <w:cnfStyle w:val="001000000000" w:firstRow="0" w:lastRow="0" w:firstColumn="1" w:lastColumn="0" w:oddVBand="0" w:evenVBand="0" w:oddHBand="0" w:evenHBand="0" w:firstRowFirstColumn="0" w:firstRowLastColumn="0" w:lastRowFirstColumn="0" w:lastRowLastColumn="0"/>
            <w:tcW w:w="1898" w:type="dxa"/>
          </w:tcPr>
          <w:p w14:paraId="5FBE20FE" w14:textId="77777777" w:rsidR="0052032C" w:rsidRPr="00692378" w:rsidRDefault="0052032C" w:rsidP="00A277C3">
            <w:pPr>
              <w:rPr>
                <w:lang w:eastAsia="ja-JP"/>
              </w:rPr>
            </w:pPr>
            <w:r w:rsidRPr="00692378">
              <w:rPr>
                <w:lang w:eastAsia="ja-JP"/>
              </w:rPr>
              <w:t>Injury, Poisoning and Procedural Complications</w:t>
            </w:r>
          </w:p>
        </w:tc>
        <w:tc>
          <w:tcPr>
            <w:tcW w:w="1836" w:type="dxa"/>
          </w:tcPr>
          <w:p w14:paraId="1C04ACA8"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 xml:space="preserve">55.1% </w:t>
            </w:r>
          </w:p>
        </w:tc>
        <w:tc>
          <w:tcPr>
            <w:tcW w:w="1761" w:type="dxa"/>
          </w:tcPr>
          <w:p w14:paraId="7A607096"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65.6%</w:t>
            </w:r>
          </w:p>
        </w:tc>
        <w:tc>
          <w:tcPr>
            <w:tcW w:w="1911" w:type="dxa"/>
          </w:tcPr>
          <w:p w14:paraId="60CC163D"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6.5%</w:t>
            </w:r>
          </w:p>
        </w:tc>
        <w:tc>
          <w:tcPr>
            <w:tcW w:w="1836" w:type="dxa"/>
          </w:tcPr>
          <w:p w14:paraId="107E03CC"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8.9%</w:t>
            </w:r>
          </w:p>
        </w:tc>
      </w:tr>
      <w:tr w:rsidR="0052032C" w:rsidRPr="0052032C" w14:paraId="136DD927" w14:textId="77777777" w:rsidTr="00A277C3">
        <w:tc>
          <w:tcPr>
            <w:cnfStyle w:val="001000000000" w:firstRow="0" w:lastRow="0" w:firstColumn="1" w:lastColumn="0" w:oddVBand="0" w:evenVBand="0" w:oddHBand="0" w:evenHBand="0" w:firstRowFirstColumn="0" w:firstRowLastColumn="0" w:lastRowFirstColumn="0" w:lastRowLastColumn="0"/>
            <w:tcW w:w="1898" w:type="dxa"/>
          </w:tcPr>
          <w:p w14:paraId="1C666D81" w14:textId="77777777" w:rsidR="0052032C" w:rsidRPr="00692378" w:rsidRDefault="0052032C" w:rsidP="00A277C3">
            <w:pPr>
              <w:rPr>
                <w:lang w:eastAsia="ja-JP"/>
              </w:rPr>
            </w:pPr>
            <w:r w:rsidRPr="00692378">
              <w:rPr>
                <w:lang w:eastAsia="ja-JP"/>
              </w:rPr>
              <w:t>Blood and Lymphatic System Disorders</w:t>
            </w:r>
          </w:p>
        </w:tc>
        <w:tc>
          <w:tcPr>
            <w:tcW w:w="1836" w:type="dxa"/>
          </w:tcPr>
          <w:p w14:paraId="2083BCB1"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 xml:space="preserve">52.5% </w:t>
            </w:r>
          </w:p>
        </w:tc>
        <w:tc>
          <w:tcPr>
            <w:tcW w:w="1761" w:type="dxa"/>
          </w:tcPr>
          <w:p w14:paraId="78EA8912"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58.3%</w:t>
            </w:r>
          </w:p>
        </w:tc>
        <w:tc>
          <w:tcPr>
            <w:tcW w:w="1911" w:type="dxa"/>
          </w:tcPr>
          <w:p w14:paraId="58996F46"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42.2%</w:t>
            </w:r>
          </w:p>
        </w:tc>
        <w:tc>
          <w:tcPr>
            <w:tcW w:w="1836" w:type="dxa"/>
          </w:tcPr>
          <w:p w14:paraId="114EB476"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50.7%</w:t>
            </w:r>
          </w:p>
        </w:tc>
      </w:tr>
      <w:tr w:rsidR="0052032C" w:rsidRPr="0052032C" w14:paraId="0A09B781" w14:textId="77777777" w:rsidTr="00A277C3">
        <w:tc>
          <w:tcPr>
            <w:cnfStyle w:val="001000000000" w:firstRow="0" w:lastRow="0" w:firstColumn="1" w:lastColumn="0" w:oddVBand="0" w:evenVBand="0" w:oddHBand="0" w:evenHBand="0" w:firstRowFirstColumn="0" w:firstRowLastColumn="0" w:lastRowFirstColumn="0" w:lastRowLastColumn="0"/>
            <w:tcW w:w="1898" w:type="dxa"/>
          </w:tcPr>
          <w:p w14:paraId="78306F2D" w14:textId="77777777" w:rsidR="0052032C" w:rsidRPr="00692378" w:rsidRDefault="0052032C" w:rsidP="00A277C3">
            <w:pPr>
              <w:rPr>
                <w:lang w:eastAsia="ja-JP"/>
              </w:rPr>
            </w:pPr>
            <w:r w:rsidRPr="00692378">
              <w:rPr>
                <w:lang w:eastAsia="ja-JP"/>
              </w:rPr>
              <w:t>Respiratory, Thoracic and Mediastinal Disorders</w:t>
            </w:r>
          </w:p>
        </w:tc>
        <w:tc>
          <w:tcPr>
            <w:tcW w:w="1836" w:type="dxa"/>
          </w:tcPr>
          <w:p w14:paraId="75261285"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52.0%</w:t>
            </w:r>
          </w:p>
        </w:tc>
        <w:tc>
          <w:tcPr>
            <w:tcW w:w="1761" w:type="dxa"/>
          </w:tcPr>
          <w:p w14:paraId="50A17E36"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56.4%</w:t>
            </w:r>
          </w:p>
        </w:tc>
        <w:tc>
          <w:tcPr>
            <w:tcW w:w="1911" w:type="dxa"/>
          </w:tcPr>
          <w:p w14:paraId="5E73CE3C"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5.6%</w:t>
            </w:r>
          </w:p>
        </w:tc>
        <w:tc>
          <w:tcPr>
            <w:tcW w:w="1836" w:type="dxa"/>
          </w:tcPr>
          <w:p w14:paraId="1BBBADDD" w14:textId="77777777" w:rsidR="0052032C" w:rsidRPr="00692378" w:rsidRDefault="0052032C" w:rsidP="00A277C3">
            <w:pPr>
              <w:ind w:left="96" w:right="251"/>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9.3%</w:t>
            </w:r>
          </w:p>
        </w:tc>
      </w:tr>
    </w:tbl>
    <w:p w14:paraId="292C2BE1" w14:textId="3F2C55B1" w:rsidR="0052032C" w:rsidRPr="0052032C" w:rsidRDefault="0052032C" w:rsidP="00B57881">
      <w:pPr>
        <w:pStyle w:val="Tabletitle"/>
        <w:rPr>
          <w:lang w:eastAsia="ja-JP"/>
        </w:rPr>
      </w:pPr>
      <w:bookmarkStart w:id="197" w:name="_Ref479181513"/>
      <w:bookmarkStart w:id="198" w:name="_Toc481769213"/>
      <w:proofErr w:type="gramStart"/>
      <w:r w:rsidRPr="0052032C">
        <w:rPr>
          <w:lang w:eastAsia="ja-JP"/>
        </w:rPr>
        <w:t xml:space="preserve">Table </w:t>
      </w:r>
      <w:bookmarkEnd w:id="197"/>
      <w:r w:rsidR="00B02BCF">
        <w:rPr>
          <w:lang w:eastAsia="ja-JP"/>
        </w:rPr>
        <w:t>14</w:t>
      </w:r>
      <w:r w:rsidR="00B57881">
        <w:rPr>
          <w:lang w:eastAsia="ja-JP"/>
        </w:rPr>
        <w:t>.</w:t>
      </w:r>
      <w:proofErr w:type="gramEnd"/>
      <w:r w:rsidRPr="0052032C">
        <w:rPr>
          <w:lang w:eastAsia="ja-JP"/>
        </w:rPr>
        <w:t xml:space="preserve"> Adverse </w:t>
      </w:r>
      <w:r w:rsidR="00B57881">
        <w:rPr>
          <w:lang w:eastAsia="ja-JP"/>
        </w:rPr>
        <w:t xml:space="preserve">events of all grades and Grade 3 to </w:t>
      </w:r>
      <w:r w:rsidRPr="0052032C">
        <w:rPr>
          <w:lang w:eastAsia="ja-JP"/>
        </w:rPr>
        <w:t>5 (overall safety population)</w:t>
      </w:r>
      <w:bookmarkEnd w:id="198"/>
    </w:p>
    <w:tbl>
      <w:tblPr>
        <w:tblStyle w:val="TableTGAblue"/>
        <w:tblW w:w="0" w:type="auto"/>
        <w:tblLook w:val="04A0" w:firstRow="1" w:lastRow="0" w:firstColumn="1" w:lastColumn="0" w:noHBand="0" w:noVBand="1"/>
      </w:tblPr>
      <w:tblGrid>
        <w:gridCol w:w="2464"/>
        <w:gridCol w:w="1694"/>
        <w:gridCol w:w="1694"/>
        <w:gridCol w:w="1695"/>
        <w:gridCol w:w="1695"/>
      </w:tblGrid>
      <w:tr w:rsidR="0052032C" w:rsidRPr="00692378" w14:paraId="3AE4655C" w14:textId="77777777" w:rsidTr="00B578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6" w:type="dxa"/>
          </w:tcPr>
          <w:p w14:paraId="1E9C31A1" w14:textId="77777777" w:rsidR="0052032C" w:rsidRPr="00692378" w:rsidRDefault="0052032C" w:rsidP="00A277C3">
            <w:pPr>
              <w:rPr>
                <w:lang w:eastAsia="ja-JP"/>
              </w:rPr>
            </w:pPr>
          </w:p>
        </w:tc>
        <w:tc>
          <w:tcPr>
            <w:tcW w:w="3652" w:type="dxa"/>
            <w:gridSpan w:val="2"/>
          </w:tcPr>
          <w:p w14:paraId="0EAF4AB2" w14:textId="24D0AA3A" w:rsidR="0052032C" w:rsidRPr="00692378" w:rsidRDefault="0052032C" w:rsidP="00A277C3">
            <w:pPr>
              <w:cnfStyle w:val="100000000000" w:firstRow="1" w:lastRow="0" w:firstColumn="0" w:lastColumn="0" w:oddVBand="0" w:evenVBand="0" w:oddHBand="0" w:evenHBand="0" w:firstRowFirstColumn="0" w:firstRowLastColumn="0" w:lastRowFirstColumn="0" w:lastRowLastColumn="0"/>
              <w:rPr>
                <w:lang w:eastAsia="ja-JP"/>
              </w:rPr>
            </w:pPr>
            <w:r w:rsidRPr="00692378">
              <w:rPr>
                <w:lang w:eastAsia="ja-JP"/>
              </w:rPr>
              <w:t>AE of all grades</w:t>
            </w:r>
          </w:p>
        </w:tc>
        <w:tc>
          <w:tcPr>
            <w:tcW w:w="3654" w:type="dxa"/>
            <w:gridSpan w:val="2"/>
          </w:tcPr>
          <w:p w14:paraId="1BCDA29F" w14:textId="193330BA" w:rsidR="0052032C" w:rsidRPr="00692378" w:rsidRDefault="00B57881" w:rsidP="00A277C3">
            <w:pPr>
              <w:cnfStyle w:val="100000000000" w:firstRow="1" w:lastRow="0" w:firstColumn="0" w:lastColumn="0" w:oddVBand="0" w:evenVBand="0" w:oddHBand="0" w:evenHBand="0" w:firstRowFirstColumn="0" w:firstRowLastColumn="0" w:lastRowFirstColumn="0" w:lastRowLastColumn="0"/>
              <w:rPr>
                <w:lang w:eastAsia="ja-JP"/>
              </w:rPr>
            </w:pPr>
            <w:r w:rsidRPr="00692378">
              <w:rPr>
                <w:lang w:eastAsia="ja-JP"/>
              </w:rPr>
              <w:t xml:space="preserve">AE Grades 3 to </w:t>
            </w:r>
            <w:r w:rsidR="0052032C" w:rsidRPr="00692378">
              <w:rPr>
                <w:lang w:eastAsia="ja-JP"/>
              </w:rPr>
              <w:t>5</w:t>
            </w:r>
          </w:p>
        </w:tc>
      </w:tr>
      <w:tr w:rsidR="00B57881" w:rsidRPr="00692378" w14:paraId="5F4FBDB1" w14:textId="77777777" w:rsidTr="00B57881">
        <w:tc>
          <w:tcPr>
            <w:cnfStyle w:val="001000000000" w:firstRow="0" w:lastRow="0" w:firstColumn="1" w:lastColumn="0" w:oddVBand="0" w:evenVBand="0" w:oddHBand="0" w:evenHBand="0" w:firstRowFirstColumn="0" w:firstRowLastColumn="0" w:lastRowFirstColumn="0" w:lastRowLastColumn="0"/>
            <w:tcW w:w="1936" w:type="dxa"/>
          </w:tcPr>
          <w:p w14:paraId="7BC194B9" w14:textId="77777777" w:rsidR="00B57881" w:rsidRPr="00692378" w:rsidRDefault="00B57881" w:rsidP="00A277C3">
            <w:pPr>
              <w:rPr>
                <w:lang w:eastAsia="ja-JP"/>
              </w:rPr>
            </w:pPr>
          </w:p>
        </w:tc>
        <w:tc>
          <w:tcPr>
            <w:tcW w:w="1826" w:type="dxa"/>
          </w:tcPr>
          <w:p w14:paraId="4C7380A1" w14:textId="33A5139D"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R-chemo</w:t>
            </w:r>
          </w:p>
        </w:tc>
        <w:tc>
          <w:tcPr>
            <w:tcW w:w="1826" w:type="dxa"/>
          </w:tcPr>
          <w:p w14:paraId="061A9169" w14:textId="5EEE2E79"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G-chemo</w:t>
            </w:r>
          </w:p>
        </w:tc>
        <w:tc>
          <w:tcPr>
            <w:tcW w:w="1827" w:type="dxa"/>
          </w:tcPr>
          <w:p w14:paraId="4449125B" w14:textId="266A3E5A"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R-chemo</w:t>
            </w:r>
          </w:p>
        </w:tc>
        <w:tc>
          <w:tcPr>
            <w:tcW w:w="1827" w:type="dxa"/>
          </w:tcPr>
          <w:p w14:paraId="42520327" w14:textId="54E6C1C9"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G-chemo</w:t>
            </w:r>
          </w:p>
        </w:tc>
      </w:tr>
      <w:tr w:rsidR="00B57881" w:rsidRPr="00692378" w14:paraId="2B46FC68" w14:textId="77777777" w:rsidTr="00B57881">
        <w:tc>
          <w:tcPr>
            <w:cnfStyle w:val="001000000000" w:firstRow="0" w:lastRow="0" w:firstColumn="1" w:lastColumn="0" w:oddVBand="0" w:evenVBand="0" w:oddHBand="0" w:evenHBand="0" w:firstRowFirstColumn="0" w:firstRowLastColumn="0" w:lastRowFirstColumn="0" w:lastRowLastColumn="0"/>
            <w:tcW w:w="1936" w:type="dxa"/>
          </w:tcPr>
          <w:p w14:paraId="7BBDEA8F" w14:textId="09D563F5" w:rsidR="00B57881" w:rsidRPr="00692378" w:rsidRDefault="00B57881" w:rsidP="00A277C3">
            <w:pPr>
              <w:rPr>
                <w:lang w:eastAsia="ja-JP"/>
              </w:rPr>
            </w:pPr>
            <w:r w:rsidRPr="00692378">
              <w:rPr>
                <w:lang w:eastAsia="ja-JP"/>
              </w:rPr>
              <w:t>Population (n)</w:t>
            </w:r>
          </w:p>
        </w:tc>
        <w:tc>
          <w:tcPr>
            <w:tcW w:w="1826" w:type="dxa"/>
          </w:tcPr>
          <w:p w14:paraId="3FDC7459" w14:textId="5A686A05"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692</w:t>
            </w:r>
          </w:p>
        </w:tc>
        <w:tc>
          <w:tcPr>
            <w:tcW w:w="1826" w:type="dxa"/>
          </w:tcPr>
          <w:p w14:paraId="076852AD" w14:textId="72B82E9C"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698</w:t>
            </w:r>
          </w:p>
        </w:tc>
        <w:tc>
          <w:tcPr>
            <w:tcW w:w="1827" w:type="dxa"/>
          </w:tcPr>
          <w:p w14:paraId="4838703E" w14:textId="1EE10CFC"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692</w:t>
            </w:r>
          </w:p>
        </w:tc>
        <w:tc>
          <w:tcPr>
            <w:tcW w:w="1827" w:type="dxa"/>
          </w:tcPr>
          <w:p w14:paraId="3836D99C" w14:textId="3ABBF232"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698</w:t>
            </w:r>
          </w:p>
        </w:tc>
      </w:tr>
      <w:tr w:rsidR="00B57881" w:rsidRPr="00692378" w14:paraId="36518934" w14:textId="77777777" w:rsidTr="00B57881">
        <w:tc>
          <w:tcPr>
            <w:cnfStyle w:val="001000000000" w:firstRow="0" w:lastRow="0" w:firstColumn="1" w:lastColumn="0" w:oddVBand="0" w:evenVBand="0" w:oddHBand="0" w:evenHBand="0" w:firstRowFirstColumn="0" w:firstRowLastColumn="0" w:lastRowFirstColumn="0" w:lastRowLastColumn="0"/>
            <w:tcW w:w="1936" w:type="dxa"/>
          </w:tcPr>
          <w:p w14:paraId="6F75C415" w14:textId="710959D8" w:rsidR="00B57881" w:rsidRPr="00692378" w:rsidRDefault="00B57881" w:rsidP="00A277C3">
            <w:pPr>
              <w:rPr>
                <w:lang w:eastAsia="ja-JP"/>
              </w:rPr>
            </w:pPr>
            <w:r w:rsidRPr="00692378">
              <w:rPr>
                <w:lang w:eastAsia="ja-JP"/>
              </w:rPr>
              <w:t>Total number of events</w:t>
            </w:r>
          </w:p>
        </w:tc>
        <w:tc>
          <w:tcPr>
            <w:tcW w:w="1826" w:type="dxa"/>
          </w:tcPr>
          <w:p w14:paraId="13F056E9" w14:textId="0EC89807"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10698</w:t>
            </w:r>
          </w:p>
        </w:tc>
        <w:tc>
          <w:tcPr>
            <w:tcW w:w="1826" w:type="dxa"/>
          </w:tcPr>
          <w:p w14:paraId="0642F719" w14:textId="407CEF07"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12364</w:t>
            </w:r>
          </w:p>
        </w:tc>
        <w:tc>
          <w:tcPr>
            <w:tcW w:w="1827" w:type="dxa"/>
          </w:tcPr>
          <w:p w14:paraId="520E3460" w14:textId="13EAB903"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1525</w:t>
            </w:r>
          </w:p>
        </w:tc>
        <w:tc>
          <w:tcPr>
            <w:tcW w:w="1827" w:type="dxa"/>
          </w:tcPr>
          <w:p w14:paraId="05FC2CDB" w14:textId="2EC856EC" w:rsidR="00B57881" w:rsidRPr="00692378" w:rsidRDefault="00B57881"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1865</w:t>
            </w:r>
          </w:p>
        </w:tc>
      </w:tr>
      <w:tr w:rsidR="0052032C" w:rsidRPr="00692378" w14:paraId="0D485FB4" w14:textId="77777777" w:rsidTr="00B57881">
        <w:tc>
          <w:tcPr>
            <w:cnfStyle w:val="001000000000" w:firstRow="0" w:lastRow="0" w:firstColumn="1" w:lastColumn="0" w:oddVBand="0" w:evenVBand="0" w:oddHBand="0" w:evenHBand="0" w:firstRowFirstColumn="0" w:firstRowLastColumn="0" w:lastRowFirstColumn="0" w:lastRowLastColumn="0"/>
            <w:tcW w:w="1936" w:type="dxa"/>
          </w:tcPr>
          <w:p w14:paraId="67114BB8" w14:textId="77777777" w:rsidR="0052032C" w:rsidRPr="00692378" w:rsidRDefault="0052032C" w:rsidP="00A277C3">
            <w:pPr>
              <w:rPr>
                <w:lang w:eastAsia="ja-JP"/>
              </w:rPr>
            </w:pPr>
            <w:r w:rsidRPr="00692378">
              <w:rPr>
                <w:lang w:eastAsia="ja-JP"/>
              </w:rPr>
              <w:t>Infusion related reactions</w:t>
            </w:r>
          </w:p>
        </w:tc>
        <w:tc>
          <w:tcPr>
            <w:tcW w:w="1826" w:type="dxa"/>
          </w:tcPr>
          <w:p w14:paraId="1D92AEC2"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49.0%</w:t>
            </w:r>
          </w:p>
        </w:tc>
        <w:tc>
          <w:tcPr>
            <w:tcW w:w="1826" w:type="dxa"/>
          </w:tcPr>
          <w:p w14:paraId="1F4704F2"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61.0%</w:t>
            </w:r>
          </w:p>
        </w:tc>
        <w:tc>
          <w:tcPr>
            <w:tcW w:w="1827" w:type="dxa"/>
          </w:tcPr>
          <w:p w14:paraId="029581CC"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4.8%</w:t>
            </w:r>
          </w:p>
        </w:tc>
        <w:tc>
          <w:tcPr>
            <w:tcW w:w="1827" w:type="dxa"/>
          </w:tcPr>
          <w:p w14:paraId="3CA12655"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6.9%</w:t>
            </w:r>
          </w:p>
        </w:tc>
      </w:tr>
      <w:tr w:rsidR="0052032C" w:rsidRPr="00692378" w14:paraId="59865024" w14:textId="77777777" w:rsidTr="00B57881">
        <w:tc>
          <w:tcPr>
            <w:cnfStyle w:val="001000000000" w:firstRow="0" w:lastRow="0" w:firstColumn="1" w:lastColumn="0" w:oddVBand="0" w:evenVBand="0" w:oddHBand="0" w:evenHBand="0" w:firstRowFirstColumn="0" w:firstRowLastColumn="0" w:lastRowFirstColumn="0" w:lastRowLastColumn="0"/>
            <w:tcW w:w="1936" w:type="dxa"/>
          </w:tcPr>
          <w:p w14:paraId="2C8C382F" w14:textId="77777777" w:rsidR="0052032C" w:rsidRPr="00692378" w:rsidRDefault="0052032C" w:rsidP="00A277C3">
            <w:pPr>
              <w:rPr>
                <w:lang w:eastAsia="ja-JP"/>
              </w:rPr>
            </w:pPr>
            <w:r w:rsidRPr="00692378">
              <w:rPr>
                <w:lang w:eastAsia="ja-JP"/>
              </w:rPr>
              <w:t>Nausea</w:t>
            </w:r>
          </w:p>
        </w:tc>
        <w:tc>
          <w:tcPr>
            <w:tcW w:w="1826" w:type="dxa"/>
          </w:tcPr>
          <w:p w14:paraId="1A543AF8"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45.2%</w:t>
            </w:r>
          </w:p>
        </w:tc>
        <w:tc>
          <w:tcPr>
            <w:tcW w:w="1826" w:type="dxa"/>
          </w:tcPr>
          <w:p w14:paraId="2C66F20B"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47.3%</w:t>
            </w:r>
          </w:p>
        </w:tc>
        <w:tc>
          <w:tcPr>
            <w:tcW w:w="1827" w:type="dxa"/>
          </w:tcPr>
          <w:p w14:paraId="04606172"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1.6%</w:t>
            </w:r>
          </w:p>
        </w:tc>
        <w:tc>
          <w:tcPr>
            <w:tcW w:w="1827" w:type="dxa"/>
          </w:tcPr>
          <w:p w14:paraId="008716E7"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1.3%</w:t>
            </w:r>
          </w:p>
        </w:tc>
      </w:tr>
      <w:tr w:rsidR="0052032C" w:rsidRPr="00692378" w14:paraId="0ADC121E" w14:textId="77777777" w:rsidTr="00B57881">
        <w:tc>
          <w:tcPr>
            <w:cnfStyle w:val="001000000000" w:firstRow="0" w:lastRow="0" w:firstColumn="1" w:lastColumn="0" w:oddVBand="0" w:evenVBand="0" w:oddHBand="0" w:evenHBand="0" w:firstRowFirstColumn="0" w:firstRowLastColumn="0" w:lastRowFirstColumn="0" w:lastRowLastColumn="0"/>
            <w:tcW w:w="1936" w:type="dxa"/>
          </w:tcPr>
          <w:p w14:paraId="10BD6613" w14:textId="7279B9E3" w:rsidR="0052032C" w:rsidRPr="00692378" w:rsidRDefault="0052032C" w:rsidP="00A277C3">
            <w:pPr>
              <w:rPr>
                <w:lang w:eastAsia="ja-JP"/>
              </w:rPr>
            </w:pPr>
            <w:r w:rsidRPr="00692378">
              <w:rPr>
                <w:lang w:eastAsia="ja-JP"/>
              </w:rPr>
              <w:t>Neutrop</w:t>
            </w:r>
            <w:r w:rsidR="00B57881" w:rsidRPr="00692378">
              <w:rPr>
                <w:lang w:eastAsia="ja-JP"/>
              </w:rPr>
              <w:t>a</w:t>
            </w:r>
            <w:r w:rsidRPr="00692378">
              <w:rPr>
                <w:lang w:eastAsia="ja-JP"/>
              </w:rPr>
              <w:t>enia</w:t>
            </w:r>
          </w:p>
        </w:tc>
        <w:tc>
          <w:tcPr>
            <w:tcW w:w="1826" w:type="dxa"/>
          </w:tcPr>
          <w:p w14:paraId="4D01A28B"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 xml:space="preserve">43.1% </w:t>
            </w:r>
          </w:p>
        </w:tc>
        <w:tc>
          <w:tcPr>
            <w:tcW w:w="1826" w:type="dxa"/>
          </w:tcPr>
          <w:p w14:paraId="52C59ED0"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48.1%</w:t>
            </w:r>
          </w:p>
        </w:tc>
        <w:tc>
          <w:tcPr>
            <w:tcW w:w="1827" w:type="dxa"/>
          </w:tcPr>
          <w:p w14:paraId="026A761F"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37.9%</w:t>
            </w:r>
          </w:p>
        </w:tc>
        <w:tc>
          <w:tcPr>
            <w:tcW w:w="1827" w:type="dxa"/>
          </w:tcPr>
          <w:p w14:paraId="49422D99"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44.0%</w:t>
            </w:r>
          </w:p>
        </w:tc>
      </w:tr>
      <w:tr w:rsidR="0052032C" w:rsidRPr="00692378" w14:paraId="7BECD1B7" w14:textId="77777777" w:rsidTr="00B57881">
        <w:tc>
          <w:tcPr>
            <w:cnfStyle w:val="001000000000" w:firstRow="0" w:lastRow="0" w:firstColumn="1" w:lastColumn="0" w:oddVBand="0" w:evenVBand="0" w:oddHBand="0" w:evenHBand="0" w:firstRowFirstColumn="0" w:firstRowLastColumn="0" w:lastRowFirstColumn="0" w:lastRowLastColumn="0"/>
            <w:tcW w:w="1936" w:type="dxa"/>
          </w:tcPr>
          <w:p w14:paraId="37AFB09C" w14:textId="77777777" w:rsidR="0052032C" w:rsidRPr="00692378" w:rsidRDefault="0052032C" w:rsidP="00A277C3">
            <w:pPr>
              <w:rPr>
                <w:lang w:eastAsia="ja-JP"/>
              </w:rPr>
            </w:pPr>
            <w:r w:rsidRPr="00692378">
              <w:rPr>
                <w:lang w:eastAsia="ja-JP"/>
              </w:rPr>
              <w:t>Fatigue</w:t>
            </w:r>
          </w:p>
        </w:tc>
        <w:tc>
          <w:tcPr>
            <w:tcW w:w="1826" w:type="dxa"/>
          </w:tcPr>
          <w:p w14:paraId="6A1734D9"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 xml:space="preserve">35.7% </w:t>
            </w:r>
          </w:p>
        </w:tc>
        <w:tc>
          <w:tcPr>
            <w:tcW w:w="1826" w:type="dxa"/>
          </w:tcPr>
          <w:p w14:paraId="1753636B"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37.1%</w:t>
            </w:r>
          </w:p>
        </w:tc>
        <w:tc>
          <w:tcPr>
            <w:tcW w:w="1827" w:type="dxa"/>
          </w:tcPr>
          <w:p w14:paraId="7519B9A3"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0.9%</w:t>
            </w:r>
          </w:p>
        </w:tc>
        <w:tc>
          <w:tcPr>
            <w:tcW w:w="1827" w:type="dxa"/>
          </w:tcPr>
          <w:p w14:paraId="76F3A423"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1.1%</w:t>
            </w:r>
          </w:p>
        </w:tc>
      </w:tr>
      <w:tr w:rsidR="0052032C" w:rsidRPr="00692378" w14:paraId="2724A900" w14:textId="77777777" w:rsidTr="00B57881">
        <w:tc>
          <w:tcPr>
            <w:cnfStyle w:val="001000000000" w:firstRow="0" w:lastRow="0" w:firstColumn="1" w:lastColumn="0" w:oddVBand="0" w:evenVBand="0" w:oddHBand="0" w:evenHBand="0" w:firstRowFirstColumn="0" w:firstRowLastColumn="0" w:lastRowFirstColumn="0" w:lastRowLastColumn="0"/>
            <w:tcW w:w="1936" w:type="dxa"/>
          </w:tcPr>
          <w:p w14:paraId="47365530" w14:textId="77777777" w:rsidR="0052032C" w:rsidRPr="00692378" w:rsidRDefault="0052032C" w:rsidP="00A277C3">
            <w:pPr>
              <w:rPr>
                <w:lang w:eastAsia="ja-JP"/>
              </w:rPr>
            </w:pPr>
            <w:r w:rsidRPr="00692378">
              <w:rPr>
                <w:lang w:eastAsia="ja-JP"/>
              </w:rPr>
              <w:t>Constipation</w:t>
            </w:r>
          </w:p>
        </w:tc>
        <w:tc>
          <w:tcPr>
            <w:tcW w:w="1826" w:type="dxa"/>
          </w:tcPr>
          <w:p w14:paraId="0A6EE816"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 xml:space="preserve">29.6% </w:t>
            </w:r>
          </w:p>
        </w:tc>
        <w:tc>
          <w:tcPr>
            <w:tcW w:w="1826" w:type="dxa"/>
          </w:tcPr>
          <w:p w14:paraId="5BCA38B5"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34.4%</w:t>
            </w:r>
          </w:p>
        </w:tc>
        <w:tc>
          <w:tcPr>
            <w:tcW w:w="1827" w:type="dxa"/>
          </w:tcPr>
          <w:p w14:paraId="77EE51BD"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0.4%</w:t>
            </w:r>
          </w:p>
        </w:tc>
        <w:tc>
          <w:tcPr>
            <w:tcW w:w="1827" w:type="dxa"/>
          </w:tcPr>
          <w:p w14:paraId="0CC2C5A3"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0.4%</w:t>
            </w:r>
          </w:p>
        </w:tc>
      </w:tr>
      <w:tr w:rsidR="0052032C" w:rsidRPr="00692378" w14:paraId="665620C3" w14:textId="77777777" w:rsidTr="00B57881">
        <w:tc>
          <w:tcPr>
            <w:cnfStyle w:val="001000000000" w:firstRow="0" w:lastRow="0" w:firstColumn="1" w:lastColumn="0" w:oddVBand="0" w:evenVBand="0" w:oddHBand="0" w:evenHBand="0" w:firstRowFirstColumn="0" w:firstRowLastColumn="0" w:lastRowFirstColumn="0" w:lastRowLastColumn="0"/>
            <w:tcW w:w="1936" w:type="dxa"/>
          </w:tcPr>
          <w:p w14:paraId="447433F9" w14:textId="42DD22D0" w:rsidR="0052032C" w:rsidRPr="00692378" w:rsidRDefault="0052032C" w:rsidP="00A277C3">
            <w:pPr>
              <w:rPr>
                <w:lang w:eastAsia="ja-JP"/>
              </w:rPr>
            </w:pPr>
            <w:r w:rsidRPr="00692378">
              <w:rPr>
                <w:lang w:eastAsia="ja-JP"/>
              </w:rPr>
              <w:lastRenderedPageBreak/>
              <w:t>Thrombocytop</w:t>
            </w:r>
            <w:r w:rsidR="00B57881" w:rsidRPr="00692378">
              <w:rPr>
                <w:lang w:eastAsia="ja-JP"/>
              </w:rPr>
              <w:t>a</w:t>
            </w:r>
            <w:r w:rsidRPr="00692378">
              <w:rPr>
                <w:lang w:eastAsia="ja-JP"/>
              </w:rPr>
              <w:t>enia</w:t>
            </w:r>
          </w:p>
        </w:tc>
        <w:tc>
          <w:tcPr>
            <w:tcW w:w="1826" w:type="dxa"/>
          </w:tcPr>
          <w:p w14:paraId="38FAC288"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7.2%*</w:t>
            </w:r>
          </w:p>
        </w:tc>
        <w:tc>
          <w:tcPr>
            <w:tcW w:w="1826" w:type="dxa"/>
          </w:tcPr>
          <w:p w14:paraId="0705A48A" w14:textId="37678E4C"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12.5%</w:t>
            </w:r>
          </w:p>
        </w:tc>
        <w:tc>
          <w:tcPr>
            <w:tcW w:w="1827" w:type="dxa"/>
          </w:tcPr>
          <w:p w14:paraId="7E860065"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2.7%</w:t>
            </w:r>
          </w:p>
        </w:tc>
        <w:tc>
          <w:tcPr>
            <w:tcW w:w="1827" w:type="dxa"/>
          </w:tcPr>
          <w:p w14:paraId="75CA20B8" w14:textId="77777777" w:rsidR="0052032C" w:rsidRPr="00692378" w:rsidRDefault="0052032C" w:rsidP="00A277C3">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6.6%</w:t>
            </w:r>
          </w:p>
        </w:tc>
      </w:tr>
    </w:tbl>
    <w:p w14:paraId="1133C4AA" w14:textId="62FF4C5D" w:rsidR="0052032C" w:rsidRPr="0052032C" w:rsidRDefault="0052032C" w:rsidP="00B02BCF">
      <w:pPr>
        <w:pStyle w:val="TableDescription"/>
        <w:rPr>
          <w:lang w:eastAsia="ja-JP"/>
        </w:rPr>
      </w:pPr>
      <w:r w:rsidRPr="0052032C">
        <w:rPr>
          <w:lang w:eastAsia="ja-JP"/>
        </w:rPr>
        <w:t xml:space="preserve">Percentages are based </w:t>
      </w:r>
      <w:r w:rsidR="00B57881">
        <w:rPr>
          <w:lang w:eastAsia="ja-JP"/>
        </w:rPr>
        <w:t>on the n in the column heading.</w:t>
      </w:r>
    </w:p>
    <w:p w14:paraId="1A2B9341" w14:textId="1BCBDC2E" w:rsidR="0052032C" w:rsidRPr="0052032C" w:rsidRDefault="0052032C" w:rsidP="0052032C">
      <w:pPr>
        <w:rPr>
          <w:lang w:eastAsia="ja-JP"/>
        </w:rPr>
      </w:pPr>
      <w:r w:rsidRPr="0052032C">
        <w:rPr>
          <w:lang w:eastAsia="ja-JP"/>
        </w:rPr>
        <w:t>Adverse events (all grades) reported with a difference of at least 2% between the treatment arms, but excluding IRRs reflects the most frequently related AEs described above, whic</w:t>
      </w:r>
      <w:r w:rsidR="009330D3">
        <w:rPr>
          <w:lang w:eastAsia="ja-JP"/>
        </w:rPr>
        <w:t>h are all in favour of R-chemo.</w:t>
      </w:r>
    </w:p>
    <w:p w14:paraId="2BF71950" w14:textId="461587BD" w:rsidR="0052032C" w:rsidRPr="0052032C" w:rsidRDefault="0052032C" w:rsidP="00BE5FC0">
      <w:pPr>
        <w:pStyle w:val="Comment"/>
        <w:rPr>
          <w:lang w:eastAsia="ja-JP"/>
        </w:rPr>
      </w:pPr>
      <w:r w:rsidRPr="00BE5FC0">
        <w:rPr>
          <w:b/>
          <w:lang w:eastAsia="ja-JP"/>
        </w:rPr>
        <w:t xml:space="preserve">Comment: </w:t>
      </w:r>
      <w:r w:rsidR="00BE5FC0" w:rsidRPr="00BE5FC0">
        <w:rPr>
          <w:b/>
          <w:lang w:eastAsia="ja-JP"/>
        </w:rPr>
        <w:t xml:space="preserve"> </w:t>
      </w:r>
      <w:r w:rsidRPr="0052032C">
        <w:rPr>
          <w:lang w:eastAsia="ja-JP"/>
        </w:rPr>
        <w:t xml:space="preserve">It is important for the clinician to see the differences in safety between the </w:t>
      </w:r>
      <w:r w:rsidR="003E441F">
        <w:rPr>
          <w:lang w:eastAsia="ja-JP"/>
        </w:rPr>
        <w:t>2</w:t>
      </w:r>
      <w:r w:rsidRPr="0052032C">
        <w:rPr>
          <w:lang w:eastAsia="ja-JP"/>
        </w:rPr>
        <w:t xml:space="preserve"> anti</w:t>
      </w:r>
      <w:r w:rsidR="003E441F">
        <w:rPr>
          <w:lang w:eastAsia="ja-JP"/>
        </w:rPr>
        <w:noBreakHyphen/>
      </w:r>
      <w:r w:rsidRPr="0052032C">
        <w:rPr>
          <w:lang w:eastAsia="ja-JP"/>
        </w:rPr>
        <w:t>CD20 antibodies, as there may be individual patient related concerns to take into account when choosing which antibody to use. It is therefore essential that this information is provided in the PI</w:t>
      </w:r>
      <w:r w:rsidR="00BE5FC0">
        <w:rPr>
          <w:lang w:eastAsia="ja-JP"/>
        </w:rPr>
        <w:t>.</w:t>
      </w:r>
    </w:p>
    <w:p w14:paraId="3AE7004F" w14:textId="0BA99264" w:rsidR="0052032C" w:rsidRPr="0052032C" w:rsidRDefault="0052032C" w:rsidP="00BE5FC0">
      <w:pPr>
        <w:pStyle w:val="Comment"/>
        <w:rPr>
          <w:lang w:eastAsia="ja-JP"/>
        </w:rPr>
      </w:pPr>
      <w:bookmarkStart w:id="199" w:name="_Ref481764266"/>
      <w:bookmarkStart w:id="200" w:name="_Ref479848573"/>
      <w:r w:rsidRPr="00BE5FC0">
        <w:rPr>
          <w:b/>
          <w:lang w:eastAsia="ja-JP"/>
        </w:rPr>
        <w:t xml:space="preserve">Question </w:t>
      </w:r>
      <w:r w:rsidR="00C17D19">
        <w:rPr>
          <w:b/>
          <w:lang w:eastAsia="ja-JP"/>
        </w:rPr>
        <w:t>4</w:t>
      </w:r>
      <w:r w:rsidRPr="00BE5FC0">
        <w:rPr>
          <w:b/>
          <w:lang w:eastAsia="ja-JP"/>
        </w:rPr>
        <w:t>:</w:t>
      </w:r>
      <w:r w:rsidRPr="0052032C">
        <w:rPr>
          <w:lang w:eastAsia="ja-JP"/>
        </w:rPr>
        <w:t xml:space="preserve"> CSR: Looking at the tabulated overview of AEs by phase in the overall safety population</w:t>
      </w:r>
      <w:r w:rsidR="00BE5FC0">
        <w:rPr>
          <w:lang w:eastAsia="ja-JP"/>
        </w:rPr>
        <w:t xml:space="preserve">, </w:t>
      </w:r>
      <w:r w:rsidRPr="0052032C">
        <w:rPr>
          <w:lang w:eastAsia="ja-JP"/>
        </w:rPr>
        <w:t>the AEs of particular interest such as Infection, Neutrop</w:t>
      </w:r>
      <w:r w:rsidR="00C17D19">
        <w:rPr>
          <w:lang w:eastAsia="ja-JP"/>
        </w:rPr>
        <w:t>a</w:t>
      </w:r>
      <w:r w:rsidRPr="0052032C">
        <w:rPr>
          <w:lang w:eastAsia="ja-JP"/>
        </w:rPr>
        <w:t>enia and Thrombocytop</w:t>
      </w:r>
      <w:r w:rsidR="00BE5FC0">
        <w:rPr>
          <w:lang w:eastAsia="ja-JP"/>
        </w:rPr>
        <w:t>a</w:t>
      </w:r>
      <w:r w:rsidRPr="0052032C">
        <w:rPr>
          <w:lang w:eastAsia="ja-JP"/>
        </w:rPr>
        <w:t xml:space="preserve">enia do not differ substantially from the AEs observed in the FL population </w:t>
      </w:r>
      <w:r w:rsidR="00B02BCF">
        <w:rPr>
          <w:lang w:eastAsia="ja-JP"/>
        </w:rPr>
        <w:t>(see Table 12</w:t>
      </w:r>
      <w:r w:rsidR="00BE5FC0">
        <w:rPr>
          <w:lang w:eastAsia="ja-JP"/>
        </w:rPr>
        <w:t>, above</w:t>
      </w:r>
      <w:r w:rsidRPr="0052032C">
        <w:rPr>
          <w:lang w:eastAsia="ja-JP"/>
        </w:rPr>
        <w:t>), except for the numbers and percentages for Neutrop</w:t>
      </w:r>
      <w:r w:rsidR="00BE5FC0">
        <w:rPr>
          <w:lang w:eastAsia="ja-JP"/>
        </w:rPr>
        <w:t xml:space="preserve">aenia in the follow </w:t>
      </w:r>
      <w:r w:rsidRPr="0052032C">
        <w:rPr>
          <w:lang w:eastAsia="ja-JP"/>
        </w:rPr>
        <w:t>up phase, where there is 1 (2.5%) in the R-chemo arm and 13 (2.5%) in the G-chemo arm as opposed to 5 (in a smaller part of the population) and 10 correspondingly in the FL population presented in</w:t>
      </w:r>
      <w:r w:rsidR="00B02BCF">
        <w:rPr>
          <w:lang w:eastAsia="ja-JP"/>
        </w:rPr>
        <w:t xml:space="preserve"> Table 12</w:t>
      </w:r>
      <w:r w:rsidR="00BE5FC0">
        <w:rPr>
          <w:lang w:eastAsia="ja-JP"/>
        </w:rPr>
        <w:t>.</w:t>
      </w:r>
      <w:r w:rsidRPr="0052032C">
        <w:rPr>
          <w:lang w:eastAsia="ja-JP"/>
        </w:rPr>
        <w:t xml:space="preserve"> Please explain this discrepancy in numbers for neutrop</w:t>
      </w:r>
      <w:r w:rsidR="00BE5FC0">
        <w:rPr>
          <w:lang w:eastAsia="ja-JP"/>
        </w:rPr>
        <w:t>a</w:t>
      </w:r>
      <w:r w:rsidRPr="0052032C">
        <w:rPr>
          <w:lang w:eastAsia="ja-JP"/>
        </w:rPr>
        <w:t>enia in the follow-up phase in the R-chemo arm.</w:t>
      </w:r>
      <w:bookmarkEnd w:id="199"/>
      <w:bookmarkEnd w:id="200"/>
    </w:p>
    <w:p w14:paraId="4B03A539" w14:textId="77777777" w:rsidR="0052032C" w:rsidRPr="0052032C" w:rsidRDefault="0052032C" w:rsidP="00BE5FC0">
      <w:pPr>
        <w:pStyle w:val="Heading5"/>
        <w:rPr>
          <w:lang w:eastAsia="ja-JP"/>
        </w:rPr>
      </w:pPr>
      <w:bookmarkStart w:id="201" w:name="_Ref479681971"/>
      <w:r w:rsidRPr="0052032C">
        <w:rPr>
          <w:lang w:eastAsia="ja-JP"/>
        </w:rPr>
        <w:t>All adverse events by chemotherapy group (FL safety population)</w:t>
      </w:r>
      <w:bookmarkEnd w:id="201"/>
    </w:p>
    <w:p w14:paraId="65E66355" w14:textId="143AB4B9" w:rsidR="0052032C" w:rsidRPr="0052032C" w:rsidRDefault="0052032C" w:rsidP="0052032C">
      <w:pPr>
        <w:rPr>
          <w:lang w:eastAsia="ja-JP"/>
        </w:rPr>
      </w:pPr>
      <w:r w:rsidRPr="0052032C">
        <w:rPr>
          <w:lang w:eastAsia="ja-JP"/>
        </w:rPr>
        <w:t>According to the</w:t>
      </w:r>
      <w:r>
        <w:rPr>
          <w:lang w:eastAsia="ja-JP"/>
        </w:rPr>
        <w:t xml:space="preserve"> sponsor</w:t>
      </w:r>
      <w:r w:rsidRPr="0052032C">
        <w:rPr>
          <w:lang w:eastAsia="ja-JP"/>
        </w:rPr>
        <w:t xml:space="preserve"> the trial was not designed to compare induction regimens. Still there is an overview of adverse events by chemotherapy subgroups in the CSR</w:t>
      </w:r>
      <w:r w:rsidR="003103A8">
        <w:rPr>
          <w:lang w:eastAsia="ja-JP"/>
        </w:rPr>
        <w:t>.</w:t>
      </w:r>
    </w:p>
    <w:p w14:paraId="527D95BC" w14:textId="430529EE" w:rsidR="0052032C" w:rsidRPr="0052032C" w:rsidRDefault="0052032C" w:rsidP="0052032C">
      <w:pPr>
        <w:rPr>
          <w:lang w:eastAsia="ja-JP"/>
        </w:rPr>
      </w:pPr>
      <w:r w:rsidRPr="0052032C">
        <w:rPr>
          <w:lang w:eastAsia="ja-JP"/>
        </w:rPr>
        <w:t>Listed below are the adverse events occurring with ≥</w:t>
      </w:r>
      <w:r w:rsidR="003103A8">
        <w:rPr>
          <w:lang w:eastAsia="ja-JP"/>
        </w:rPr>
        <w:t xml:space="preserve"> </w:t>
      </w:r>
      <w:r w:rsidRPr="0052032C">
        <w:rPr>
          <w:lang w:eastAsia="ja-JP"/>
        </w:rPr>
        <w:t xml:space="preserve">2% difference in the </w:t>
      </w:r>
      <w:r w:rsidR="003E441F">
        <w:rPr>
          <w:lang w:eastAsia="ja-JP"/>
        </w:rPr>
        <w:t>2</w:t>
      </w:r>
      <w:r w:rsidRPr="0052032C">
        <w:rPr>
          <w:lang w:eastAsia="ja-JP"/>
        </w:rPr>
        <w:t xml:space="preserve"> treatment arms. The corresponding overall incidences for the </w:t>
      </w:r>
      <w:r w:rsidRPr="003103A8">
        <w:rPr>
          <w:lang w:eastAsia="ja-JP"/>
        </w:rPr>
        <w:t>entire</w:t>
      </w:r>
      <w:r w:rsidRPr="0052032C">
        <w:rPr>
          <w:lang w:eastAsia="ja-JP"/>
        </w:rPr>
        <w:t xml:space="preserve"> R-chemo and G-che</w:t>
      </w:r>
      <w:r w:rsidR="003103A8">
        <w:rPr>
          <w:lang w:eastAsia="ja-JP"/>
        </w:rPr>
        <w:t>mo FL population are written in brackets:</w:t>
      </w:r>
    </w:p>
    <w:p w14:paraId="36E62FAE" w14:textId="37D6C4D7" w:rsidR="0052032C" w:rsidRPr="003103A8" w:rsidRDefault="0052032C" w:rsidP="0052032C">
      <w:pPr>
        <w:rPr>
          <w:bCs/>
          <w:lang w:eastAsia="ja-JP"/>
        </w:rPr>
      </w:pPr>
      <w:r w:rsidRPr="003103A8">
        <w:rPr>
          <w:bCs/>
          <w:lang w:eastAsia="ja-JP"/>
        </w:rPr>
        <w:t>R-Bendamustine (N</w:t>
      </w:r>
      <w:r w:rsidR="003103A8" w:rsidRPr="003103A8">
        <w:rPr>
          <w:bCs/>
          <w:lang w:eastAsia="ja-JP"/>
        </w:rPr>
        <w:t xml:space="preserve"> </w:t>
      </w:r>
      <w:r w:rsidRPr="003103A8">
        <w:rPr>
          <w:bCs/>
          <w:lang w:eastAsia="ja-JP"/>
        </w:rPr>
        <w:t>=</w:t>
      </w:r>
      <w:r w:rsidR="003103A8" w:rsidRPr="003103A8">
        <w:rPr>
          <w:bCs/>
          <w:lang w:eastAsia="ja-JP"/>
        </w:rPr>
        <w:t xml:space="preserve"> </w:t>
      </w:r>
      <w:r w:rsidRPr="003103A8">
        <w:rPr>
          <w:bCs/>
          <w:lang w:eastAsia="ja-JP"/>
        </w:rPr>
        <w:t>338) versus G-Bendamustine (N</w:t>
      </w:r>
      <w:r w:rsidR="003103A8" w:rsidRPr="003103A8">
        <w:rPr>
          <w:bCs/>
          <w:lang w:eastAsia="ja-JP"/>
        </w:rPr>
        <w:t xml:space="preserve"> </w:t>
      </w:r>
      <w:r w:rsidRPr="003103A8">
        <w:rPr>
          <w:bCs/>
          <w:lang w:eastAsia="ja-JP"/>
        </w:rPr>
        <w:t>=</w:t>
      </w:r>
      <w:r w:rsidR="003103A8" w:rsidRPr="003103A8">
        <w:rPr>
          <w:bCs/>
          <w:lang w:eastAsia="ja-JP"/>
        </w:rPr>
        <w:t xml:space="preserve"> </w:t>
      </w:r>
      <w:r w:rsidRPr="003103A8">
        <w:rPr>
          <w:bCs/>
          <w:lang w:eastAsia="ja-JP"/>
        </w:rPr>
        <w:t>338)</w:t>
      </w:r>
      <w:r w:rsidR="003103A8">
        <w:rPr>
          <w:bCs/>
          <w:lang w:eastAsia="ja-JP"/>
        </w:rPr>
        <w:t>:</w:t>
      </w:r>
    </w:p>
    <w:p w14:paraId="37BFECA5" w14:textId="77777777" w:rsidR="0052032C" w:rsidRPr="003103A8" w:rsidRDefault="0052032C" w:rsidP="003103A8">
      <w:pPr>
        <w:pStyle w:val="ListBullet"/>
        <w:rPr>
          <w:lang w:eastAsia="ja-JP"/>
        </w:rPr>
      </w:pPr>
      <w:r w:rsidRPr="003103A8">
        <w:rPr>
          <w:lang w:eastAsia="ja-JP"/>
        </w:rPr>
        <w:t>Overall incidence of AEs: 97.6% (98.3%) in the R-bendamustine group versus 99.7% (99.5%) in the G-bendamustine group.</w:t>
      </w:r>
    </w:p>
    <w:p w14:paraId="58E645E4" w14:textId="0361CF16" w:rsidR="0052032C" w:rsidRPr="003103A8" w:rsidRDefault="0052032C" w:rsidP="003103A8">
      <w:pPr>
        <w:pStyle w:val="ListBullet"/>
        <w:rPr>
          <w:lang w:eastAsia="ja-JP"/>
        </w:rPr>
      </w:pPr>
      <w:r w:rsidRPr="003103A8">
        <w:rPr>
          <w:lang w:eastAsia="ja-JP"/>
        </w:rPr>
        <w:t>Serious AEs: 45.9% (39.9%) in the R-bendamustine group versus 50.6% (46.1%) in the G</w:t>
      </w:r>
      <w:r w:rsidR="00C17D19">
        <w:rPr>
          <w:lang w:eastAsia="ja-JP"/>
        </w:rPr>
        <w:noBreakHyphen/>
      </w:r>
      <w:r w:rsidRPr="003103A8">
        <w:rPr>
          <w:lang w:eastAsia="ja-JP"/>
        </w:rPr>
        <w:t>bendamustine group.</w:t>
      </w:r>
    </w:p>
    <w:p w14:paraId="15140E67" w14:textId="4BEBD7C9" w:rsidR="0052032C" w:rsidRPr="003103A8" w:rsidRDefault="003103A8" w:rsidP="003103A8">
      <w:pPr>
        <w:pStyle w:val="ListBullet"/>
        <w:rPr>
          <w:lang w:eastAsia="ja-JP"/>
        </w:rPr>
      </w:pPr>
      <w:r>
        <w:rPr>
          <w:lang w:eastAsia="ja-JP"/>
        </w:rPr>
        <w:t xml:space="preserve">Grade 3 to </w:t>
      </w:r>
      <w:r w:rsidR="0052032C" w:rsidRPr="003103A8">
        <w:rPr>
          <w:lang w:eastAsia="ja-JP"/>
        </w:rPr>
        <w:t>5 AEs: 66.3% (67.8%) in the R-bendamustine group versus 68.3% (74.6%) in the G-bendamustine group.</w:t>
      </w:r>
    </w:p>
    <w:p w14:paraId="3D793F57" w14:textId="5A5240C7" w:rsidR="0052032C" w:rsidRPr="003103A8" w:rsidRDefault="0052032C" w:rsidP="003103A8">
      <w:pPr>
        <w:pStyle w:val="ListBullet"/>
        <w:rPr>
          <w:lang w:eastAsia="ja-JP"/>
        </w:rPr>
      </w:pPr>
      <w:r w:rsidRPr="003103A8">
        <w:rPr>
          <w:lang w:eastAsia="ja-JP"/>
        </w:rPr>
        <w:t>Infections: 72.8% (70.0%) in the R-bendamustine group versus 80.5% (77.3%) in the G</w:t>
      </w:r>
      <w:r w:rsidR="00C17D19">
        <w:rPr>
          <w:lang w:eastAsia="ja-JP"/>
        </w:rPr>
        <w:noBreakHyphen/>
      </w:r>
      <w:r w:rsidRPr="003103A8">
        <w:rPr>
          <w:lang w:eastAsia="ja-JP"/>
        </w:rPr>
        <w:t>bendamustine group.</w:t>
      </w:r>
    </w:p>
    <w:p w14:paraId="6F7FAFBD" w14:textId="05E06815" w:rsidR="0052032C" w:rsidRPr="003103A8" w:rsidRDefault="0052032C" w:rsidP="0052032C">
      <w:pPr>
        <w:rPr>
          <w:lang w:eastAsia="ja-JP"/>
        </w:rPr>
      </w:pPr>
      <w:r w:rsidRPr="003103A8">
        <w:rPr>
          <w:lang w:eastAsia="ja-JP"/>
        </w:rPr>
        <w:t>R-CHOP (N</w:t>
      </w:r>
      <w:r w:rsidR="003103A8">
        <w:rPr>
          <w:lang w:eastAsia="ja-JP"/>
        </w:rPr>
        <w:t xml:space="preserve"> </w:t>
      </w:r>
      <w:r w:rsidRPr="003103A8">
        <w:rPr>
          <w:lang w:eastAsia="ja-JP"/>
        </w:rPr>
        <w:t>=</w:t>
      </w:r>
      <w:r w:rsidR="003103A8">
        <w:rPr>
          <w:lang w:eastAsia="ja-JP"/>
        </w:rPr>
        <w:t xml:space="preserve"> </w:t>
      </w:r>
      <w:r w:rsidRPr="003103A8">
        <w:rPr>
          <w:lang w:eastAsia="ja-JP"/>
        </w:rPr>
        <w:t>203) versus G-CHOP (N</w:t>
      </w:r>
      <w:r w:rsidR="003103A8">
        <w:rPr>
          <w:lang w:eastAsia="ja-JP"/>
        </w:rPr>
        <w:t xml:space="preserve"> </w:t>
      </w:r>
      <w:r w:rsidRPr="003103A8">
        <w:rPr>
          <w:lang w:eastAsia="ja-JP"/>
        </w:rPr>
        <w:t>=</w:t>
      </w:r>
      <w:r w:rsidR="003103A8">
        <w:rPr>
          <w:lang w:eastAsia="ja-JP"/>
        </w:rPr>
        <w:t xml:space="preserve"> </w:t>
      </w:r>
      <w:r w:rsidRPr="003103A8">
        <w:rPr>
          <w:lang w:eastAsia="ja-JP"/>
        </w:rPr>
        <w:t>193)</w:t>
      </w:r>
      <w:r w:rsidR="003103A8">
        <w:rPr>
          <w:lang w:eastAsia="ja-JP"/>
        </w:rPr>
        <w:t>:</w:t>
      </w:r>
    </w:p>
    <w:p w14:paraId="1085DC46" w14:textId="77777777" w:rsidR="0052032C" w:rsidRPr="003103A8" w:rsidRDefault="0052032C" w:rsidP="003103A8">
      <w:pPr>
        <w:pStyle w:val="ListBullet"/>
        <w:rPr>
          <w:lang w:eastAsia="ja-JP"/>
        </w:rPr>
      </w:pPr>
      <w:r w:rsidRPr="003103A8">
        <w:rPr>
          <w:lang w:eastAsia="ja-JP"/>
        </w:rPr>
        <w:t>Serious AEs: 31.5% (39.9%) in the R-CHOP group versus 38.3% (46.1%) in the G-CHOP group.</w:t>
      </w:r>
    </w:p>
    <w:p w14:paraId="7A603195" w14:textId="77777777" w:rsidR="0052032C" w:rsidRPr="003103A8" w:rsidRDefault="0052032C" w:rsidP="003103A8">
      <w:pPr>
        <w:pStyle w:val="ListBullet"/>
        <w:rPr>
          <w:lang w:eastAsia="ja-JP"/>
        </w:rPr>
      </w:pPr>
      <w:r w:rsidRPr="003103A8">
        <w:rPr>
          <w:lang w:eastAsia="ja-JP"/>
        </w:rPr>
        <w:t>Grade 3-5 AEs: 74.4% (67.8%) in the R-CHOP group versus 88.1% (74.6%) in the G-CHOP group.</w:t>
      </w:r>
    </w:p>
    <w:p w14:paraId="575B1E42" w14:textId="77777777" w:rsidR="0052032C" w:rsidRPr="003103A8" w:rsidRDefault="0052032C" w:rsidP="003103A8">
      <w:pPr>
        <w:pStyle w:val="ListBullet"/>
        <w:rPr>
          <w:lang w:eastAsia="ja-JP"/>
        </w:rPr>
      </w:pPr>
      <w:r w:rsidRPr="003103A8">
        <w:rPr>
          <w:lang w:eastAsia="ja-JP"/>
        </w:rPr>
        <w:t>Infections: 66.0% (70.0%) in the R-CHOP group versus 73.6% (77.3%) in the G-CHOP group.</w:t>
      </w:r>
    </w:p>
    <w:p w14:paraId="5DA4B100" w14:textId="349B752E" w:rsidR="0052032C" w:rsidRPr="003103A8" w:rsidRDefault="0052032C" w:rsidP="0052032C">
      <w:pPr>
        <w:rPr>
          <w:lang w:eastAsia="ja-JP"/>
        </w:rPr>
      </w:pPr>
      <w:r w:rsidRPr="003103A8">
        <w:rPr>
          <w:lang w:eastAsia="ja-JP"/>
        </w:rPr>
        <w:t>R-CVP (N</w:t>
      </w:r>
      <w:r w:rsidR="003103A8">
        <w:rPr>
          <w:lang w:eastAsia="ja-JP"/>
        </w:rPr>
        <w:t xml:space="preserve"> </w:t>
      </w:r>
      <w:r w:rsidRPr="003103A8">
        <w:rPr>
          <w:lang w:eastAsia="ja-JP"/>
        </w:rPr>
        <w:t>=</w:t>
      </w:r>
      <w:r w:rsidR="003103A8">
        <w:rPr>
          <w:lang w:eastAsia="ja-JP"/>
        </w:rPr>
        <w:t xml:space="preserve"> </w:t>
      </w:r>
      <w:r w:rsidRPr="003103A8">
        <w:rPr>
          <w:lang w:eastAsia="ja-JP"/>
        </w:rPr>
        <w:t>56) versus G-CVP (N</w:t>
      </w:r>
      <w:r w:rsidR="003103A8">
        <w:rPr>
          <w:lang w:eastAsia="ja-JP"/>
        </w:rPr>
        <w:t xml:space="preserve"> </w:t>
      </w:r>
      <w:r w:rsidRPr="003103A8">
        <w:rPr>
          <w:lang w:eastAsia="ja-JP"/>
        </w:rPr>
        <w:t>=</w:t>
      </w:r>
      <w:r w:rsidR="003103A8">
        <w:rPr>
          <w:lang w:eastAsia="ja-JP"/>
        </w:rPr>
        <w:t xml:space="preserve"> </w:t>
      </w:r>
      <w:r w:rsidRPr="003103A8">
        <w:rPr>
          <w:lang w:eastAsia="ja-JP"/>
        </w:rPr>
        <w:t>61)</w:t>
      </w:r>
      <w:r w:rsidR="003103A8">
        <w:rPr>
          <w:lang w:eastAsia="ja-JP"/>
        </w:rPr>
        <w:t>:</w:t>
      </w:r>
    </w:p>
    <w:p w14:paraId="122743D7" w14:textId="77777777" w:rsidR="0052032C" w:rsidRPr="003103A8" w:rsidRDefault="0052032C" w:rsidP="003103A8">
      <w:pPr>
        <w:pStyle w:val="ListBullet"/>
        <w:rPr>
          <w:lang w:eastAsia="ja-JP"/>
        </w:rPr>
      </w:pPr>
      <w:r w:rsidRPr="003103A8">
        <w:rPr>
          <w:lang w:eastAsia="ja-JP"/>
        </w:rPr>
        <w:t>Serious AEs: 33.9% (39.9%) in the R-CVP group versus 42.6% (46.1%) in the G-CVP group.</w:t>
      </w:r>
    </w:p>
    <w:p w14:paraId="076245BB" w14:textId="3AA79BCA" w:rsidR="0052032C" w:rsidRPr="003103A8" w:rsidRDefault="003103A8" w:rsidP="003103A8">
      <w:pPr>
        <w:pStyle w:val="ListBullet"/>
        <w:rPr>
          <w:lang w:eastAsia="ja-JP"/>
        </w:rPr>
      </w:pPr>
      <w:r>
        <w:rPr>
          <w:lang w:eastAsia="ja-JP"/>
        </w:rPr>
        <w:lastRenderedPageBreak/>
        <w:t xml:space="preserve">Grade 3 to </w:t>
      </w:r>
      <w:r w:rsidR="0052032C" w:rsidRPr="003103A8">
        <w:rPr>
          <w:lang w:eastAsia="ja-JP"/>
        </w:rPr>
        <w:t>5 AEs: 53.6% (67.8%) in the R-CVP group versus 65.6% (74.6%) in the G-CVP group.</w:t>
      </w:r>
    </w:p>
    <w:p w14:paraId="6019DA5E" w14:textId="77777777" w:rsidR="0052032C" w:rsidRPr="003103A8" w:rsidRDefault="0052032C" w:rsidP="003103A8">
      <w:pPr>
        <w:pStyle w:val="ListBullet"/>
        <w:rPr>
          <w:lang w:eastAsia="ja-JP"/>
        </w:rPr>
      </w:pPr>
      <w:r w:rsidRPr="003103A8">
        <w:rPr>
          <w:lang w:eastAsia="ja-JP"/>
        </w:rPr>
        <w:t>Infections: 67.9% (70.0%) in the R-CVP group versus 73.8% (77.3%) in the G-CVP group.</w:t>
      </w:r>
    </w:p>
    <w:p w14:paraId="5ADB3445" w14:textId="77777777" w:rsidR="0052032C" w:rsidRPr="003103A8" w:rsidRDefault="0052032C" w:rsidP="003103A8">
      <w:pPr>
        <w:pStyle w:val="ListBullet"/>
        <w:rPr>
          <w:lang w:eastAsia="ja-JP"/>
        </w:rPr>
      </w:pPr>
      <w:r w:rsidRPr="003103A8">
        <w:rPr>
          <w:lang w:eastAsia="ja-JP"/>
        </w:rPr>
        <w:t>The numbers of deaths (for any reason; including progressive disease): 8.9% (7.7%) in the R-CVP group versus 3.3% (5.9%) in the G-CVP group.</w:t>
      </w:r>
    </w:p>
    <w:p w14:paraId="26711907" w14:textId="208BFE91" w:rsidR="0052032C" w:rsidRPr="0052032C" w:rsidRDefault="0052032C" w:rsidP="003103A8">
      <w:pPr>
        <w:pStyle w:val="Comment"/>
        <w:rPr>
          <w:lang w:eastAsia="ja-JP"/>
        </w:rPr>
      </w:pPr>
      <w:r w:rsidRPr="003103A8">
        <w:rPr>
          <w:b/>
          <w:lang w:eastAsia="ja-JP"/>
        </w:rPr>
        <w:t>Comment:</w:t>
      </w:r>
      <w:r w:rsidRPr="0052032C">
        <w:rPr>
          <w:lang w:eastAsia="ja-JP"/>
        </w:rPr>
        <w:t xml:space="preserve"> </w:t>
      </w:r>
      <w:r w:rsidR="003103A8">
        <w:rPr>
          <w:lang w:eastAsia="ja-JP"/>
        </w:rPr>
        <w:t xml:space="preserve"> </w:t>
      </w:r>
      <w:r w:rsidRPr="0052032C">
        <w:rPr>
          <w:lang w:eastAsia="ja-JP"/>
        </w:rPr>
        <w:t>G-bendamustine seems to be the driver for the higher SAEs and infections in the G</w:t>
      </w:r>
      <w:r w:rsidR="00C17D19">
        <w:rPr>
          <w:lang w:eastAsia="ja-JP"/>
        </w:rPr>
        <w:noBreakHyphen/>
      </w:r>
      <w:r w:rsidRPr="0052032C">
        <w:rPr>
          <w:lang w:eastAsia="ja-JP"/>
        </w:rPr>
        <w:t>chemo arm whereas G-CHO</w:t>
      </w:r>
      <w:r w:rsidR="003103A8">
        <w:rPr>
          <w:lang w:eastAsia="ja-JP"/>
        </w:rPr>
        <w:t>P drives the high incidence of Grade 3 to 5 AEs.</w:t>
      </w:r>
    </w:p>
    <w:p w14:paraId="5345FF04" w14:textId="53AFFE87" w:rsidR="0052032C" w:rsidRPr="0052032C" w:rsidRDefault="0052032C" w:rsidP="003103A8">
      <w:pPr>
        <w:pStyle w:val="Comment"/>
        <w:ind w:firstLine="0"/>
        <w:rPr>
          <w:lang w:eastAsia="ja-JP"/>
        </w:rPr>
      </w:pPr>
      <w:r w:rsidRPr="0052032C">
        <w:rPr>
          <w:lang w:eastAsia="ja-JP"/>
        </w:rPr>
        <w:t>The corresponding data for the overall safety population cannot be found in the Dossier, which could be justified by the small number of patients in eac</w:t>
      </w:r>
      <w:r w:rsidR="003103A8">
        <w:rPr>
          <w:lang w:eastAsia="ja-JP"/>
        </w:rPr>
        <w:t>h chemotherapy arm (around 30).</w:t>
      </w:r>
    </w:p>
    <w:p w14:paraId="3F9DFD66" w14:textId="3CFA04B7" w:rsidR="0052032C" w:rsidRPr="003103A8" w:rsidRDefault="0052032C" w:rsidP="003103A8">
      <w:pPr>
        <w:pStyle w:val="Heading4"/>
        <w:rPr>
          <w:lang w:eastAsia="en-US"/>
        </w:rPr>
      </w:pPr>
      <w:bookmarkStart w:id="202" w:name="_Ref272333567"/>
      <w:bookmarkStart w:id="203" w:name="_Toc272414665"/>
      <w:bookmarkStart w:id="204" w:name="_Toc290888529"/>
      <w:bookmarkStart w:id="205" w:name="_Toc416353745"/>
      <w:bookmarkStart w:id="206" w:name="_Toc421005288"/>
      <w:bookmarkStart w:id="207" w:name="_Toc432079165"/>
      <w:bookmarkStart w:id="208" w:name="_Toc432080738"/>
      <w:r w:rsidRPr="0052032C">
        <w:t>Treatment related adverse events (adverse drug reactions)</w:t>
      </w:r>
      <w:bookmarkEnd w:id="202"/>
      <w:bookmarkEnd w:id="203"/>
      <w:bookmarkEnd w:id="204"/>
      <w:bookmarkEnd w:id="205"/>
      <w:bookmarkEnd w:id="206"/>
      <w:bookmarkEnd w:id="207"/>
      <w:bookmarkEnd w:id="208"/>
    </w:p>
    <w:p w14:paraId="2B0F0FA4" w14:textId="35B1C636" w:rsidR="0052032C" w:rsidRPr="0052032C" w:rsidRDefault="0052032C" w:rsidP="0052032C">
      <w:pPr>
        <w:rPr>
          <w:lang w:eastAsia="ja-JP"/>
        </w:rPr>
      </w:pPr>
      <w:r w:rsidRPr="0052032C">
        <w:rPr>
          <w:lang w:eastAsia="ja-JP"/>
        </w:rPr>
        <w:t xml:space="preserve">Related AEs were observed in 634/692 patients (91.6%) in the R-chemo arm and 663/698 patients (95.0%) in the G-chemo arm in the overall safety population. Related AEs were most frequently reported in the following </w:t>
      </w:r>
      <w:r w:rsidRPr="003103A8">
        <w:rPr>
          <w:lang w:eastAsia="ja-JP"/>
        </w:rPr>
        <w:t>SOCs</w:t>
      </w:r>
      <w:r w:rsidRPr="0052032C">
        <w:rPr>
          <w:lang w:eastAsia="ja-JP"/>
        </w:rPr>
        <w:t xml:space="preserve"> (percentages expressed as R-chemo</w:t>
      </w:r>
      <w:r>
        <w:rPr>
          <w:lang w:eastAsia="ja-JP"/>
        </w:rPr>
        <w:t xml:space="preserve"> versus </w:t>
      </w:r>
      <w:r w:rsidRPr="0052032C">
        <w:rPr>
          <w:lang w:eastAsia="ja-JP"/>
        </w:rPr>
        <w:t>G-chemo):</w:t>
      </w:r>
    </w:p>
    <w:p w14:paraId="7BD7DB65" w14:textId="77777777" w:rsidR="0052032C" w:rsidRPr="0052032C" w:rsidRDefault="0052032C" w:rsidP="00A5199F">
      <w:pPr>
        <w:pStyle w:val="ListBullet"/>
        <w:rPr>
          <w:lang w:eastAsia="ja-JP"/>
        </w:rPr>
      </w:pPr>
      <w:r w:rsidRPr="0052032C">
        <w:rPr>
          <w:lang w:eastAsia="ja-JP"/>
        </w:rPr>
        <w:t>Gastrointestinal Disorders (60.7%</w:t>
      </w:r>
      <w:r>
        <w:rPr>
          <w:lang w:eastAsia="ja-JP"/>
        </w:rPr>
        <w:t xml:space="preserve"> versus </w:t>
      </w:r>
      <w:r w:rsidRPr="0052032C">
        <w:rPr>
          <w:lang w:eastAsia="ja-JP"/>
        </w:rPr>
        <w:t>63.6%)</w:t>
      </w:r>
    </w:p>
    <w:p w14:paraId="2308A336" w14:textId="77777777" w:rsidR="0052032C" w:rsidRPr="0052032C" w:rsidRDefault="0052032C" w:rsidP="00A5199F">
      <w:pPr>
        <w:pStyle w:val="ListBullet"/>
        <w:rPr>
          <w:lang w:eastAsia="ja-JP"/>
        </w:rPr>
      </w:pPr>
      <w:r w:rsidRPr="0052032C">
        <w:rPr>
          <w:lang w:eastAsia="ja-JP"/>
        </w:rPr>
        <w:t>General Disorders and Administration Site Conditions (51.3%</w:t>
      </w:r>
      <w:r>
        <w:rPr>
          <w:lang w:eastAsia="ja-JP"/>
        </w:rPr>
        <w:t xml:space="preserve"> versus </w:t>
      </w:r>
      <w:r w:rsidRPr="0052032C">
        <w:rPr>
          <w:lang w:eastAsia="ja-JP"/>
        </w:rPr>
        <w:t>61.5%)</w:t>
      </w:r>
    </w:p>
    <w:p w14:paraId="1D6A094A" w14:textId="77777777" w:rsidR="0052032C" w:rsidRPr="0052032C" w:rsidRDefault="0052032C" w:rsidP="00A5199F">
      <w:pPr>
        <w:pStyle w:val="ListBullet"/>
        <w:rPr>
          <w:lang w:eastAsia="ja-JP"/>
        </w:rPr>
      </w:pPr>
      <w:r w:rsidRPr="0052032C">
        <w:rPr>
          <w:lang w:eastAsia="ja-JP"/>
        </w:rPr>
        <w:t>Injury, Poisoning and Procedural Complications (49.0%</w:t>
      </w:r>
      <w:r>
        <w:rPr>
          <w:lang w:eastAsia="ja-JP"/>
        </w:rPr>
        <w:t xml:space="preserve"> versus </w:t>
      </w:r>
      <w:r w:rsidRPr="0052032C">
        <w:rPr>
          <w:lang w:eastAsia="ja-JP"/>
        </w:rPr>
        <w:t>61.2%)</w:t>
      </w:r>
    </w:p>
    <w:p w14:paraId="07F317FB" w14:textId="24D0951B" w:rsidR="0052032C" w:rsidRPr="0052032C" w:rsidRDefault="0052032C" w:rsidP="00A5199F">
      <w:pPr>
        <w:pStyle w:val="ListBullet"/>
        <w:rPr>
          <w:lang w:eastAsia="ja-JP"/>
        </w:rPr>
      </w:pPr>
      <w:r w:rsidRPr="0052032C">
        <w:rPr>
          <w:lang w:eastAsia="ja-JP"/>
        </w:rPr>
        <w:t>Blood and Lymphatic System Disorders (48.3%</w:t>
      </w:r>
      <w:r>
        <w:rPr>
          <w:lang w:eastAsia="ja-JP"/>
        </w:rPr>
        <w:t xml:space="preserve"> versus </w:t>
      </w:r>
      <w:r w:rsidRPr="0052032C">
        <w:rPr>
          <w:lang w:eastAsia="ja-JP"/>
        </w:rPr>
        <w:t>54.0%)</w:t>
      </w:r>
      <w:r w:rsidR="00A5199F">
        <w:rPr>
          <w:lang w:eastAsia="ja-JP"/>
        </w:rPr>
        <w:t>.</w:t>
      </w:r>
    </w:p>
    <w:p w14:paraId="51481989" w14:textId="70FA0DA1" w:rsidR="0052032C" w:rsidRPr="0052032C" w:rsidRDefault="0052032C" w:rsidP="0052032C">
      <w:pPr>
        <w:rPr>
          <w:lang w:eastAsia="ja-JP"/>
        </w:rPr>
      </w:pPr>
      <w:r w:rsidRPr="0052032C">
        <w:rPr>
          <w:lang w:eastAsia="ja-JP"/>
        </w:rPr>
        <w:t xml:space="preserve">This is in line with the data for the FL population, </w:t>
      </w:r>
      <w:r w:rsidR="00F96D99">
        <w:rPr>
          <w:lang w:eastAsia="ja-JP"/>
        </w:rPr>
        <w:t>[from a table]</w:t>
      </w:r>
      <w:r w:rsidR="00B33B49">
        <w:rPr>
          <w:lang w:eastAsia="ja-JP"/>
        </w:rPr>
        <w:t xml:space="preserve"> in the CSR</w:t>
      </w:r>
    </w:p>
    <w:p w14:paraId="1CB29C3F" w14:textId="2CBE7A25" w:rsidR="0052032C" w:rsidRPr="0052032C" w:rsidRDefault="0052032C" w:rsidP="00F96D99">
      <w:pPr>
        <w:pStyle w:val="Comment"/>
        <w:rPr>
          <w:lang w:eastAsia="ja-JP"/>
        </w:rPr>
      </w:pPr>
      <w:r w:rsidRPr="00F96D99">
        <w:rPr>
          <w:b/>
          <w:lang w:eastAsia="ja-JP"/>
        </w:rPr>
        <w:t xml:space="preserve">Comment: </w:t>
      </w:r>
      <w:r w:rsidR="00F96D99" w:rsidRPr="00F96D99">
        <w:rPr>
          <w:b/>
          <w:lang w:eastAsia="ja-JP"/>
        </w:rPr>
        <w:t xml:space="preserve"> </w:t>
      </w:r>
      <w:r w:rsidRPr="0052032C">
        <w:rPr>
          <w:lang w:eastAsia="ja-JP"/>
        </w:rPr>
        <w:t>The safety data presented above favour R-chemo</w:t>
      </w:r>
      <w:r>
        <w:rPr>
          <w:lang w:eastAsia="ja-JP"/>
        </w:rPr>
        <w:t xml:space="preserve"> versus </w:t>
      </w:r>
      <w:r w:rsidRPr="0052032C">
        <w:rPr>
          <w:lang w:eastAsia="ja-JP"/>
        </w:rPr>
        <w:t>G-chemo.</w:t>
      </w:r>
    </w:p>
    <w:p w14:paraId="0B20CB6C" w14:textId="77777777" w:rsidR="0052032C" w:rsidRPr="0052032C" w:rsidRDefault="0052032C" w:rsidP="00F96D99">
      <w:pPr>
        <w:pStyle w:val="Heading4"/>
      </w:pPr>
      <w:bookmarkStart w:id="209" w:name="_Toc241374320"/>
      <w:bookmarkStart w:id="210" w:name="_Ref272333507"/>
      <w:bookmarkStart w:id="211" w:name="_Toc272414666"/>
      <w:bookmarkStart w:id="212" w:name="_Toc290888530"/>
      <w:bookmarkStart w:id="213" w:name="_Toc416353746"/>
      <w:bookmarkStart w:id="214" w:name="_Toc421005289"/>
      <w:bookmarkStart w:id="215" w:name="_Toc432079166"/>
      <w:bookmarkStart w:id="216" w:name="_Toc432080739"/>
      <w:r w:rsidRPr="0052032C">
        <w:t>Deaths and other serious adverse events</w:t>
      </w:r>
      <w:bookmarkEnd w:id="209"/>
      <w:bookmarkEnd w:id="210"/>
      <w:bookmarkEnd w:id="211"/>
      <w:bookmarkEnd w:id="212"/>
      <w:bookmarkEnd w:id="213"/>
      <w:bookmarkEnd w:id="214"/>
      <w:bookmarkEnd w:id="215"/>
      <w:bookmarkEnd w:id="216"/>
    </w:p>
    <w:p w14:paraId="042899FF" w14:textId="77777777" w:rsidR="0052032C" w:rsidRPr="0052032C" w:rsidRDefault="0052032C" w:rsidP="00F96D99">
      <w:pPr>
        <w:pStyle w:val="Heading5"/>
        <w:rPr>
          <w:lang w:eastAsia="ja-JP"/>
        </w:rPr>
      </w:pPr>
      <w:r w:rsidRPr="0052032C">
        <w:rPr>
          <w:lang w:eastAsia="ja-JP"/>
        </w:rPr>
        <w:t>Deaths</w:t>
      </w:r>
    </w:p>
    <w:p w14:paraId="24A8821D" w14:textId="000DCEAD" w:rsidR="0052032C" w:rsidRPr="0052032C" w:rsidRDefault="0052032C" w:rsidP="0052032C">
      <w:pPr>
        <w:rPr>
          <w:lang w:eastAsia="ja-JP"/>
        </w:rPr>
      </w:pPr>
      <w:r w:rsidRPr="0052032C">
        <w:rPr>
          <w:lang w:eastAsia="ja-JP"/>
        </w:rPr>
        <w:t>There were more deaths in the R-chemo</w:t>
      </w:r>
      <w:r>
        <w:rPr>
          <w:lang w:eastAsia="ja-JP"/>
        </w:rPr>
        <w:t xml:space="preserve"> versus </w:t>
      </w:r>
      <w:r w:rsidRPr="0052032C">
        <w:rPr>
          <w:lang w:eastAsia="ja-JP"/>
        </w:rPr>
        <w:t>the G-chemo arm</w:t>
      </w:r>
      <w:r w:rsidR="003E6EBC">
        <w:rPr>
          <w:lang w:eastAsia="ja-JP"/>
        </w:rPr>
        <w:t>, as shown in Table 1</w:t>
      </w:r>
      <w:r w:rsidR="004813BE">
        <w:rPr>
          <w:lang w:eastAsia="ja-JP"/>
        </w:rPr>
        <w:t>5</w:t>
      </w:r>
      <w:r w:rsidR="003E6EBC">
        <w:rPr>
          <w:lang w:eastAsia="ja-JP"/>
        </w:rPr>
        <w:t xml:space="preserve">, below. </w:t>
      </w:r>
      <w:r w:rsidRPr="0052032C">
        <w:rPr>
          <w:lang w:eastAsia="ja-JP"/>
        </w:rPr>
        <w:t>The deaths in the G-chemo arm were mainly due to an adverse event, whereas in the R-chemo arm they were almost equally due to progressive disease or an AE.</w:t>
      </w:r>
    </w:p>
    <w:p w14:paraId="6F944808" w14:textId="77777777" w:rsidR="0052032C" w:rsidRPr="0052032C" w:rsidRDefault="0052032C" w:rsidP="0052032C">
      <w:pPr>
        <w:rPr>
          <w:lang w:eastAsia="ja-JP"/>
        </w:rPr>
      </w:pPr>
      <w:r w:rsidRPr="0052032C">
        <w:rPr>
          <w:lang w:eastAsia="ja-JP"/>
        </w:rPr>
        <w:t xml:space="preserve">In the </w:t>
      </w:r>
      <w:r w:rsidRPr="003E6EBC">
        <w:t>MZL population</w:t>
      </w:r>
      <w:r w:rsidRPr="0052032C">
        <w:rPr>
          <w:lang w:eastAsia="ja-JP"/>
        </w:rPr>
        <w:t>, 18.3% in the R chemo arm and 14.9% in the G chemo arm died during the study for any reason. The most common cause of death in the R-chemo arm was progressive disease (R-chemo arm: 7.5% and G-chemo arm: 1.0%). Adverse event was the most common cause of death in the G chemo arm (R chemo arm: 6.5%; G chemo arm: 11.9%).</w:t>
      </w:r>
    </w:p>
    <w:p w14:paraId="269C4F46" w14:textId="34EB6201" w:rsidR="0052032C" w:rsidRPr="0052032C" w:rsidRDefault="0052032C" w:rsidP="00B33B49">
      <w:pPr>
        <w:pStyle w:val="Tabletitle"/>
        <w:rPr>
          <w:lang w:eastAsia="ja-JP"/>
        </w:rPr>
      </w:pPr>
      <w:bookmarkStart w:id="217" w:name="_Ref478996600"/>
      <w:bookmarkStart w:id="218" w:name="_Toc481769214"/>
      <w:proofErr w:type="gramStart"/>
      <w:r w:rsidRPr="0052032C">
        <w:rPr>
          <w:lang w:eastAsia="ja-JP"/>
        </w:rPr>
        <w:t xml:space="preserve">Table </w:t>
      </w:r>
      <w:r w:rsidR="004813BE">
        <w:rPr>
          <w:lang w:eastAsia="ja-JP"/>
        </w:rPr>
        <w:t>15</w:t>
      </w:r>
      <w:bookmarkEnd w:id="217"/>
      <w:r w:rsidR="004813BE">
        <w:rPr>
          <w:lang w:eastAsia="ja-JP"/>
        </w:rPr>
        <w:t>.</w:t>
      </w:r>
      <w:proofErr w:type="gramEnd"/>
      <w:r w:rsidR="003E6EBC">
        <w:rPr>
          <w:lang w:eastAsia="ja-JP"/>
        </w:rPr>
        <w:t xml:space="preserve"> Summary of deaths (overall safety p</w:t>
      </w:r>
      <w:r w:rsidRPr="0052032C">
        <w:rPr>
          <w:lang w:eastAsia="ja-JP"/>
        </w:rPr>
        <w:t>opulation)</w:t>
      </w:r>
      <w:bookmarkEnd w:id="218"/>
    </w:p>
    <w:p w14:paraId="5599E75A" w14:textId="77777777" w:rsidR="0052032C" w:rsidRPr="0052032C" w:rsidRDefault="0052032C" w:rsidP="0052032C">
      <w:pPr>
        <w:rPr>
          <w:lang w:eastAsia="ja-JP"/>
        </w:rPr>
      </w:pPr>
      <w:r w:rsidRPr="0052032C">
        <w:rPr>
          <w:noProof/>
          <w:lang w:eastAsia="en-AU"/>
        </w:rPr>
        <w:drawing>
          <wp:inline distT="0" distB="0" distL="0" distR="0" wp14:anchorId="3618EDFD" wp14:editId="7B793700">
            <wp:extent cx="4360403" cy="1258463"/>
            <wp:effectExtent l="0" t="0" r="2540" b="0"/>
            <wp:docPr id="141" name="Picture 141" descr="Summary of deaths (overal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Lst>
                    </a:blip>
                    <a:srcRect l="2731" t="5170" b="7881"/>
                    <a:stretch/>
                  </pic:blipFill>
                  <pic:spPr bwMode="auto">
                    <a:xfrm>
                      <a:off x="0" y="0"/>
                      <a:ext cx="4387925" cy="1266406"/>
                    </a:xfrm>
                    <a:prstGeom prst="rect">
                      <a:avLst/>
                    </a:prstGeom>
                    <a:ln>
                      <a:noFill/>
                    </a:ln>
                    <a:extLst>
                      <a:ext uri="{53640926-AAD7-44D8-BBD7-CCE9431645EC}">
                        <a14:shadowObscured xmlns:a14="http://schemas.microsoft.com/office/drawing/2010/main"/>
                      </a:ext>
                    </a:extLst>
                  </pic:spPr>
                </pic:pic>
              </a:graphicData>
            </a:graphic>
          </wp:inline>
        </w:drawing>
      </w:r>
    </w:p>
    <w:p w14:paraId="4F906A14" w14:textId="2260B93B" w:rsidR="0052032C" w:rsidRPr="003E6EBC" w:rsidRDefault="003E6EBC" w:rsidP="0052032C">
      <w:pPr>
        <w:rPr>
          <w:u w:val="single"/>
          <w:lang w:eastAsia="ja-JP"/>
        </w:rPr>
      </w:pPr>
      <w:r w:rsidRPr="003E6EBC">
        <w:rPr>
          <w:i/>
        </w:rPr>
        <w:t>G-chemo AE deaths</w:t>
      </w:r>
      <w:r>
        <w:rPr>
          <w:i/>
        </w:rPr>
        <w:t xml:space="preserve">: </w:t>
      </w:r>
      <w:r w:rsidR="0052032C" w:rsidRPr="0052032C">
        <w:rPr>
          <w:lang w:eastAsia="ja-JP"/>
        </w:rPr>
        <w:t>There were 16 deaths (2.3%) in the SOC Infections and Infestations compared to 4 (0.6%) in the R-chemo arm, which is the main diffe</w:t>
      </w:r>
      <w:r>
        <w:rPr>
          <w:lang w:eastAsia="ja-JP"/>
        </w:rPr>
        <w:t xml:space="preserve">rence between the </w:t>
      </w:r>
      <w:r w:rsidR="003E441F">
        <w:rPr>
          <w:lang w:eastAsia="ja-JP"/>
        </w:rPr>
        <w:t>2</w:t>
      </w:r>
      <w:r>
        <w:rPr>
          <w:lang w:eastAsia="ja-JP"/>
        </w:rPr>
        <w:t xml:space="preserve"> arms for d</w:t>
      </w:r>
      <w:r w:rsidR="0052032C" w:rsidRPr="0052032C">
        <w:rPr>
          <w:lang w:eastAsia="ja-JP"/>
        </w:rPr>
        <w:t>eaths</w:t>
      </w:r>
      <w:r>
        <w:rPr>
          <w:lang w:eastAsia="ja-JP"/>
        </w:rPr>
        <w:t>.</w:t>
      </w:r>
    </w:p>
    <w:p w14:paraId="7242587B" w14:textId="77777777" w:rsidR="0052032C" w:rsidRPr="0052032C" w:rsidRDefault="0052032C" w:rsidP="003E6EBC">
      <w:pPr>
        <w:pStyle w:val="Heading5"/>
        <w:rPr>
          <w:lang w:eastAsia="ja-JP"/>
        </w:rPr>
      </w:pPr>
      <w:bookmarkStart w:id="219" w:name="_Ref479852722"/>
      <w:r w:rsidRPr="0052032C">
        <w:rPr>
          <w:lang w:eastAsia="ja-JP"/>
        </w:rPr>
        <w:t>SAEs</w:t>
      </w:r>
      <w:bookmarkEnd w:id="219"/>
    </w:p>
    <w:p w14:paraId="76495101" w14:textId="362A83EC" w:rsidR="0052032C" w:rsidRPr="0052032C" w:rsidRDefault="0052032C" w:rsidP="0052032C">
      <w:pPr>
        <w:rPr>
          <w:lang w:eastAsia="ja-JP"/>
        </w:rPr>
      </w:pPr>
      <w:r w:rsidRPr="0052032C">
        <w:rPr>
          <w:lang w:eastAsia="ja-JP"/>
        </w:rPr>
        <w:t xml:space="preserve">From </w:t>
      </w:r>
      <w:r w:rsidR="003E6EBC">
        <w:rPr>
          <w:lang w:eastAsia="ja-JP"/>
        </w:rPr>
        <w:t>the CSR:</w:t>
      </w:r>
    </w:p>
    <w:p w14:paraId="75B589F9" w14:textId="77777777" w:rsidR="0052032C" w:rsidRPr="0052032C" w:rsidRDefault="0052032C" w:rsidP="0052032C">
      <w:pPr>
        <w:rPr>
          <w:lang w:eastAsia="ja-JP"/>
        </w:rPr>
      </w:pPr>
      <w:r w:rsidRPr="0052032C">
        <w:rPr>
          <w:lang w:eastAsia="ja-JP"/>
        </w:rPr>
        <w:lastRenderedPageBreak/>
        <w:t>A total of 286/692 patients (41.3%) in the R-chemo arm experienced 554 SAEs and 340/698 patients (48.7%) in the G-chemo arm experienced 797 SAEs.</w:t>
      </w:r>
    </w:p>
    <w:p w14:paraId="507B03FA" w14:textId="73AEE11A" w:rsidR="0052032C" w:rsidRPr="0052032C" w:rsidRDefault="0052032C" w:rsidP="0052032C">
      <w:pPr>
        <w:rPr>
          <w:lang w:eastAsia="ja-JP"/>
        </w:rPr>
      </w:pPr>
      <w:r w:rsidRPr="0052032C">
        <w:rPr>
          <w:lang w:eastAsia="ja-JP"/>
        </w:rPr>
        <w:t>The most frequently affected SOCs (overall incidence of SAEs in each SOC ≥ 5% in the G-chemo arm) are listed (percentages expressed as R-chemo</w:t>
      </w:r>
      <w:r>
        <w:rPr>
          <w:lang w:eastAsia="ja-JP"/>
        </w:rPr>
        <w:t xml:space="preserve"> versus </w:t>
      </w:r>
      <w:r w:rsidRPr="0052032C">
        <w:rPr>
          <w:lang w:eastAsia="ja-JP"/>
        </w:rPr>
        <w:t>G-chemo):</w:t>
      </w:r>
    </w:p>
    <w:p w14:paraId="1A5464AA" w14:textId="16FE8607" w:rsidR="0052032C" w:rsidRPr="0052032C" w:rsidRDefault="0052032C" w:rsidP="003E6EBC">
      <w:pPr>
        <w:pStyle w:val="ListBullet"/>
        <w:rPr>
          <w:lang w:eastAsia="ja-JP"/>
        </w:rPr>
      </w:pPr>
      <w:r w:rsidRPr="0052032C">
        <w:rPr>
          <w:lang w:eastAsia="ja-JP"/>
        </w:rPr>
        <w:t>Infections and Infestations (15.0%</w:t>
      </w:r>
      <w:r>
        <w:rPr>
          <w:lang w:eastAsia="ja-JP"/>
        </w:rPr>
        <w:t xml:space="preserve"> versus </w:t>
      </w:r>
      <w:r w:rsidRPr="0052032C">
        <w:rPr>
          <w:lang w:eastAsia="ja-JP"/>
        </w:rPr>
        <w:t>20.8%; total number of events 143</w:t>
      </w:r>
      <w:r>
        <w:rPr>
          <w:lang w:eastAsia="ja-JP"/>
        </w:rPr>
        <w:t xml:space="preserve"> versus </w:t>
      </w:r>
      <w:r w:rsidRPr="0052032C">
        <w:rPr>
          <w:lang w:eastAsia="ja-JP"/>
        </w:rPr>
        <w:t>217)</w:t>
      </w:r>
    </w:p>
    <w:p w14:paraId="32A6953E" w14:textId="77777777" w:rsidR="0052032C" w:rsidRPr="0052032C" w:rsidRDefault="0052032C" w:rsidP="003E6EBC">
      <w:pPr>
        <w:pStyle w:val="ListBullet"/>
        <w:rPr>
          <w:lang w:eastAsia="ja-JP"/>
        </w:rPr>
      </w:pPr>
      <w:r w:rsidRPr="0052032C">
        <w:rPr>
          <w:lang w:eastAsia="ja-JP"/>
        </w:rPr>
        <w:t>Blood and Lymphatic System Disorders (8.7%</w:t>
      </w:r>
      <w:r>
        <w:rPr>
          <w:lang w:eastAsia="ja-JP"/>
        </w:rPr>
        <w:t xml:space="preserve"> versus </w:t>
      </w:r>
      <w:r w:rsidRPr="0052032C">
        <w:rPr>
          <w:lang w:eastAsia="ja-JP"/>
        </w:rPr>
        <w:t>9.6%; total number of events 87</w:t>
      </w:r>
      <w:r>
        <w:rPr>
          <w:lang w:eastAsia="ja-JP"/>
        </w:rPr>
        <w:t xml:space="preserve"> versus </w:t>
      </w:r>
      <w:r w:rsidRPr="0052032C">
        <w:rPr>
          <w:lang w:eastAsia="ja-JP"/>
        </w:rPr>
        <w:t>100)</w:t>
      </w:r>
    </w:p>
    <w:p w14:paraId="3BB829F0" w14:textId="3D687D74" w:rsidR="0052032C" w:rsidRPr="0052032C" w:rsidRDefault="0052032C" w:rsidP="003E6EBC">
      <w:pPr>
        <w:pStyle w:val="ListBullet"/>
        <w:rPr>
          <w:lang w:eastAsia="ja-JP"/>
        </w:rPr>
      </w:pPr>
      <w:r w:rsidRPr="0052032C">
        <w:rPr>
          <w:lang w:eastAsia="ja-JP"/>
        </w:rPr>
        <w:t>Gastrointestinal Disorders (4.6%</w:t>
      </w:r>
      <w:r>
        <w:rPr>
          <w:lang w:eastAsia="ja-JP"/>
        </w:rPr>
        <w:t xml:space="preserve"> versus </w:t>
      </w:r>
      <w:r w:rsidRPr="0052032C">
        <w:rPr>
          <w:lang w:eastAsia="ja-JP"/>
        </w:rPr>
        <w:t>7.6%; total number of events 47</w:t>
      </w:r>
      <w:r>
        <w:rPr>
          <w:lang w:eastAsia="ja-JP"/>
        </w:rPr>
        <w:t xml:space="preserve"> versus </w:t>
      </w:r>
      <w:r w:rsidRPr="0052032C">
        <w:rPr>
          <w:lang w:eastAsia="ja-JP"/>
        </w:rPr>
        <w:t>74)</w:t>
      </w:r>
    </w:p>
    <w:p w14:paraId="232DC1CB" w14:textId="77777777" w:rsidR="0052032C" w:rsidRPr="0052032C" w:rsidRDefault="0052032C" w:rsidP="003E6EBC">
      <w:pPr>
        <w:pStyle w:val="ListBullet"/>
        <w:rPr>
          <w:lang w:eastAsia="ja-JP"/>
        </w:rPr>
      </w:pPr>
      <w:r w:rsidRPr="0052032C">
        <w:rPr>
          <w:lang w:eastAsia="ja-JP"/>
        </w:rPr>
        <w:t>Injury, Poisoning and Procedural Complications (4.2%</w:t>
      </w:r>
      <w:r>
        <w:rPr>
          <w:lang w:eastAsia="ja-JP"/>
        </w:rPr>
        <w:t xml:space="preserve"> versus </w:t>
      </w:r>
      <w:r w:rsidRPr="0052032C">
        <w:rPr>
          <w:lang w:eastAsia="ja-JP"/>
        </w:rPr>
        <w:t>7.6%), the difference driven mainly by the higher incidence of serious IRRs in the G-chemo arm (2.6%</w:t>
      </w:r>
      <w:r>
        <w:rPr>
          <w:lang w:eastAsia="ja-JP"/>
        </w:rPr>
        <w:t xml:space="preserve"> versus </w:t>
      </w:r>
      <w:r w:rsidRPr="0052032C">
        <w:rPr>
          <w:lang w:eastAsia="ja-JP"/>
        </w:rPr>
        <w:t>5.2%; total number of events 33</w:t>
      </w:r>
      <w:r>
        <w:rPr>
          <w:lang w:eastAsia="ja-JP"/>
        </w:rPr>
        <w:t xml:space="preserve"> versus </w:t>
      </w:r>
      <w:r w:rsidRPr="0052032C">
        <w:rPr>
          <w:lang w:eastAsia="ja-JP"/>
        </w:rPr>
        <w:t>64)</w:t>
      </w:r>
    </w:p>
    <w:p w14:paraId="2D7047E9" w14:textId="77777777" w:rsidR="0052032C" w:rsidRPr="0052032C" w:rsidRDefault="0052032C" w:rsidP="003E6EBC">
      <w:pPr>
        <w:pStyle w:val="ListBullet"/>
        <w:rPr>
          <w:lang w:eastAsia="ja-JP"/>
        </w:rPr>
      </w:pPr>
      <w:r w:rsidRPr="0052032C">
        <w:rPr>
          <w:lang w:eastAsia="ja-JP"/>
        </w:rPr>
        <w:t>General Disorders and Administration Site Conditions (6.5%</w:t>
      </w:r>
      <w:r>
        <w:rPr>
          <w:lang w:eastAsia="ja-JP"/>
        </w:rPr>
        <w:t xml:space="preserve"> versus </w:t>
      </w:r>
      <w:r w:rsidRPr="0052032C">
        <w:rPr>
          <w:lang w:eastAsia="ja-JP"/>
        </w:rPr>
        <w:t>7.3%; total number of events 48</w:t>
      </w:r>
      <w:r>
        <w:rPr>
          <w:lang w:eastAsia="ja-JP"/>
        </w:rPr>
        <w:t xml:space="preserve"> versus </w:t>
      </w:r>
      <w:r w:rsidRPr="0052032C">
        <w:rPr>
          <w:lang w:eastAsia="ja-JP"/>
        </w:rPr>
        <w:t>61)</w:t>
      </w:r>
    </w:p>
    <w:p w14:paraId="47839434" w14:textId="77777777" w:rsidR="0052032C" w:rsidRPr="0052032C" w:rsidRDefault="0052032C" w:rsidP="003E6EBC">
      <w:pPr>
        <w:pStyle w:val="ListBullet"/>
        <w:rPr>
          <w:lang w:eastAsia="ja-JP"/>
        </w:rPr>
      </w:pPr>
      <w:r w:rsidRPr="0052032C">
        <w:rPr>
          <w:lang w:eastAsia="ja-JP"/>
        </w:rPr>
        <w:t>Respiratory, Thoracic and Mediastinal Disorders (5.6%</w:t>
      </w:r>
      <w:r>
        <w:rPr>
          <w:lang w:eastAsia="ja-JP"/>
        </w:rPr>
        <w:t xml:space="preserve"> versus </w:t>
      </w:r>
      <w:r w:rsidRPr="0052032C">
        <w:rPr>
          <w:lang w:eastAsia="ja-JP"/>
        </w:rPr>
        <w:t>6.4%; total number of events 42</w:t>
      </w:r>
      <w:r>
        <w:rPr>
          <w:lang w:eastAsia="ja-JP"/>
        </w:rPr>
        <w:t xml:space="preserve"> versus </w:t>
      </w:r>
      <w:r w:rsidRPr="0052032C">
        <w:rPr>
          <w:lang w:eastAsia="ja-JP"/>
        </w:rPr>
        <w:t>56)</w:t>
      </w:r>
    </w:p>
    <w:p w14:paraId="1DD97193" w14:textId="77777777" w:rsidR="0052032C" w:rsidRPr="0052032C" w:rsidRDefault="0052032C" w:rsidP="003E6EBC">
      <w:pPr>
        <w:pStyle w:val="ListBullet"/>
        <w:rPr>
          <w:lang w:eastAsia="ja-JP"/>
        </w:rPr>
      </w:pPr>
      <w:r w:rsidRPr="0052032C">
        <w:rPr>
          <w:lang w:eastAsia="ja-JP"/>
        </w:rPr>
        <w:t>Neoplasms Benign, Malignant and Unspecified (including Cysts and Polyps) (3.8%</w:t>
      </w:r>
      <w:r>
        <w:rPr>
          <w:lang w:eastAsia="ja-JP"/>
        </w:rPr>
        <w:t xml:space="preserve"> versus </w:t>
      </w:r>
      <w:r w:rsidRPr="0052032C">
        <w:rPr>
          <w:lang w:eastAsia="ja-JP"/>
        </w:rPr>
        <w:t>6.0%; total number of events 28</w:t>
      </w:r>
      <w:r>
        <w:rPr>
          <w:lang w:eastAsia="ja-JP"/>
        </w:rPr>
        <w:t xml:space="preserve"> versus </w:t>
      </w:r>
      <w:r w:rsidRPr="0052032C">
        <w:rPr>
          <w:lang w:eastAsia="ja-JP"/>
        </w:rPr>
        <w:t>49)</w:t>
      </w:r>
    </w:p>
    <w:p w14:paraId="39E6D058" w14:textId="2B3E695C" w:rsidR="0052032C" w:rsidRPr="0052032C" w:rsidRDefault="0052032C" w:rsidP="003E6EBC">
      <w:pPr>
        <w:pStyle w:val="ListBullet"/>
        <w:rPr>
          <w:lang w:eastAsia="ja-JP"/>
        </w:rPr>
      </w:pPr>
      <w:r w:rsidRPr="0052032C">
        <w:rPr>
          <w:lang w:eastAsia="ja-JP"/>
        </w:rPr>
        <w:t>Cardiac Disorders (2.0%</w:t>
      </w:r>
      <w:r>
        <w:rPr>
          <w:lang w:eastAsia="ja-JP"/>
        </w:rPr>
        <w:t xml:space="preserve"> versus </w:t>
      </w:r>
      <w:r w:rsidRPr="0052032C">
        <w:rPr>
          <w:lang w:eastAsia="ja-JP"/>
        </w:rPr>
        <w:t>5.9%; total number of events 15</w:t>
      </w:r>
      <w:r>
        <w:rPr>
          <w:lang w:eastAsia="ja-JP"/>
        </w:rPr>
        <w:t xml:space="preserve"> versus </w:t>
      </w:r>
      <w:r w:rsidRPr="0052032C">
        <w:rPr>
          <w:lang w:eastAsia="ja-JP"/>
        </w:rPr>
        <w:t>46)</w:t>
      </w:r>
      <w:r w:rsidR="00C17D19">
        <w:rPr>
          <w:lang w:eastAsia="ja-JP"/>
        </w:rPr>
        <w:t>.</w:t>
      </w:r>
    </w:p>
    <w:p w14:paraId="66D3A5CB" w14:textId="29EE187F" w:rsidR="0052032C" w:rsidRPr="0052032C" w:rsidRDefault="0052032C" w:rsidP="0052032C">
      <w:pPr>
        <w:rPr>
          <w:lang w:eastAsia="ja-JP"/>
        </w:rPr>
      </w:pPr>
      <w:r w:rsidRPr="0052032C">
        <w:rPr>
          <w:lang w:eastAsia="ja-JP"/>
        </w:rPr>
        <w:t xml:space="preserve">The corresponding information for the FL population (from </w:t>
      </w:r>
      <w:r w:rsidR="003E6EBC">
        <w:rPr>
          <w:lang w:eastAsia="ja-JP"/>
        </w:rPr>
        <w:t>the CSR):</w:t>
      </w:r>
    </w:p>
    <w:p w14:paraId="608C572D" w14:textId="3D8D75E8" w:rsidR="0052032C" w:rsidRPr="0052032C" w:rsidRDefault="0052032C" w:rsidP="0052032C">
      <w:pPr>
        <w:rPr>
          <w:lang w:eastAsia="ja-JP"/>
        </w:rPr>
      </w:pPr>
      <w:r w:rsidRPr="0052032C">
        <w:rPr>
          <w:lang w:eastAsia="ja-JP"/>
        </w:rPr>
        <w:t>A total of 238/597 patients (39.9%) in the R-chemo arm e</w:t>
      </w:r>
      <w:r w:rsidR="003E6EBC">
        <w:rPr>
          <w:lang w:eastAsia="ja-JP"/>
        </w:rPr>
        <w:t>xperienced 450 SAEs and 274/595 </w:t>
      </w:r>
      <w:r w:rsidRPr="0052032C">
        <w:rPr>
          <w:lang w:eastAsia="ja-JP"/>
        </w:rPr>
        <w:t>patients (46.1%) in the G-</w:t>
      </w:r>
      <w:r w:rsidR="003E6EBC">
        <w:rPr>
          <w:lang w:eastAsia="ja-JP"/>
        </w:rPr>
        <w:t>chemo arm experienced 590 SAEs.</w:t>
      </w:r>
    </w:p>
    <w:p w14:paraId="02F951E9" w14:textId="4D237A00" w:rsidR="0052032C" w:rsidRPr="0052032C" w:rsidRDefault="0052032C" w:rsidP="0052032C">
      <w:pPr>
        <w:rPr>
          <w:lang w:eastAsia="ja-JP"/>
        </w:rPr>
      </w:pPr>
      <w:r w:rsidRPr="0052032C">
        <w:rPr>
          <w:lang w:eastAsia="ja-JP"/>
        </w:rPr>
        <w:t>The most frequently affected SOCs (overall incidence of SAEs in each SOC ≥5% in the G-chemo arm) are listed (percentages expressed as R-chemo</w:t>
      </w:r>
      <w:r>
        <w:rPr>
          <w:lang w:eastAsia="ja-JP"/>
        </w:rPr>
        <w:t xml:space="preserve"> versus </w:t>
      </w:r>
      <w:r w:rsidR="003E6EBC">
        <w:rPr>
          <w:lang w:eastAsia="ja-JP"/>
        </w:rPr>
        <w:t>G-chemo):</w:t>
      </w:r>
    </w:p>
    <w:p w14:paraId="31C81516" w14:textId="77777777" w:rsidR="0052032C" w:rsidRPr="0052032C" w:rsidRDefault="0052032C" w:rsidP="003E6EBC">
      <w:pPr>
        <w:pStyle w:val="ListBullet"/>
        <w:rPr>
          <w:lang w:eastAsia="ja-JP"/>
        </w:rPr>
      </w:pPr>
      <w:r w:rsidRPr="0052032C">
        <w:rPr>
          <w:lang w:eastAsia="ja-JP"/>
        </w:rPr>
        <w:t>Infections and Infestations (14.4%</w:t>
      </w:r>
      <w:r>
        <w:rPr>
          <w:lang w:eastAsia="ja-JP"/>
        </w:rPr>
        <w:t xml:space="preserve"> versus </w:t>
      </w:r>
      <w:r w:rsidRPr="0052032C">
        <w:rPr>
          <w:lang w:eastAsia="ja-JP"/>
        </w:rPr>
        <w:t>18.2%)</w:t>
      </w:r>
    </w:p>
    <w:p w14:paraId="63DDC4BC" w14:textId="77777777" w:rsidR="0052032C" w:rsidRPr="0052032C" w:rsidRDefault="0052032C" w:rsidP="003E6EBC">
      <w:pPr>
        <w:pStyle w:val="ListBullet"/>
        <w:rPr>
          <w:lang w:eastAsia="ja-JP"/>
        </w:rPr>
      </w:pPr>
      <w:r w:rsidRPr="0052032C">
        <w:rPr>
          <w:lang w:eastAsia="ja-JP"/>
        </w:rPr>
        <w:t>Blood and Lymphatic System Disorders (7.9%</w:t>
      </w:r>
      <w:r>
        <w:rPr>
          <w:lang w:eastAsia="ja-JP"/>
        </w:rPr>
        <w:t xml:space="preserve"> versus </w:t>
      </w:r>
      <w:r w:rsidRPr="0052032C">
        <w:rPr>
          <w:lang w:eastAsia="ja-JP"/>
        </w:rPr>
        <w:t>9.4%)</w:t>
      </w:r>
    </w:p>
    <w:p w14:paraId="4DD145AD" w14:textId="77777777" w:rsidR="0052032C" w:rsidRPr="0052032C" w:rsidRDefault="0052032C" w:rsidP="003E6EBC">
      <w:pPr>
        <w:pStyle w:val="ListBullet"/>
        <w:rPr>
          <w:lang w:eastAsia="ja-JP"/>
        </w:rPr>
      </w:pPr>
      <w:r w:rsidRPr="0052032C">
        <w:rPr>
          <w:lang w:eastAsia="ja-JP"/>
        </w:rPr>
        <w:t>Gastrointestinal Disorders (4.7%</w:t>
      </w:r>
      <w:r>
        <w:rPr>
          <w:lang w:eastAsia="ja-JP"/>
        </w:rPr>
        <w:t xml:space="preserve"> versus </w:t>
      </w:r>
      <w:r w:rsidRPr="0052032C">
        <w:rPr>
          <w:lang w:eastAsia="ja-JP"/>
        </w:rPr>
        <w:t>7.2%)</w:t>
      </w:r>
    </w:p>
    <w:p w14:paraId="706ACE78" w14:textId="77777777" w:rsidR="0052032C" w:rsidRPr="0052032C" w:rsidRDefault="0052032C" w:rsidP="003E6EBC">
      <w:pPr>
        <w:pStyle w:val="ListBullet"/>
        <w:rPr>
          <w:lang w:eastAsia="ja-JP"/>
        </w:rPr>
      </w:pPr>
      <w:r w:rsidRPr="0052032C">
        <w:rPr>
          <w:lang w:eastAsia="ja-JP"/>
        </w:rPr>
        <w:t>Injury, Poisoning and Procedural Complications (3.5%</w:t>
      </w:r>
      <w:r>
        <w:rPr>
          <w:lang w:eastAsia="ja-JP"/>
        </w:rPr>
        <w:t xml:space="preserve"> versus </w:t>
      </w:r>
      <w:r w:rsidRPr="0052032C">
        <w:rPr>
          <w:lang w:eastAsia="ja-JP"/>
        </w:rPr>
        <w:t>6.9%), the difference driven mainly by the higher incidence of serious IRRs in the G-chemo arm (1.8%</w:t>
      </w:r>
      <w:r>
        <w:rPr>
          <w:lang w:eastAsia="ja-JP"/>
        </w:rPr>
        <w:t xml:space="preserve"> versus </w:t>
      </w:r>
      <w:r w:rsidRPr="0052032C">
        <w:rPr>
          <w:lang w:eastAsia="ja-JP"/>
        </w:rPr>
        <w:t>4.5 %)</w:t>
      </w:r>
    </w:p>
    <w:p w14:paraId="4C7FBC84" w14:textId="77777777" w:rsidR="0052032C" w:rsidRPr="0052032C" w:rsidRDefault="0052032C" w:rsidP="003E6EBC">
      <w:pPr>
        <w:pStyle w:val="ListBullet"/>
        <w:rPr>
          <w:lang w:eastAsia="ja-JP"/>
        </w:rPr>
      </w:pPr>
      <w:r w:rsidRPr="0052032C">
        <w:rPr>
          <w:lang w:eastAsia="ja-JP"/>
        </w:rPr>
        <w:t>Neoplasms Benign, Malignant and Unspecified (including Cysts and Polyps) (3.5%</w:t>
      </w:r>
      <w:r>
        <w:rPr>
          <w:lang w:eastAsia="ja-JP"/>
        </w:rPr>
        <w:t xml:space="preserve"> versus </w:t>
      </w:r>
      <w:r w:rsidRPr="0052032C">
        <w:rPr>
          <w:lang w:eastAsia="ja-JP"/>
        </w:rPr>
        <w:t>6.4%)</w:t>
      </w:r>
    </w:p>
    <w:p w14:paraId="5B6FF595" w14:textId="77777777" w:rsidR="0052032C" w:rsidRPr="0052032C" w:rsidRDefault="0052032C" w:rsidP="003E6EBC">
      <w:pPr>
        <w:pStyle w:val="ListBullet"/>
        <w:rPr>
          <w:lang w:eastAsia="ja-JP"/>
        </w:rPr>
      </w:pPr>
      <w:r w:rsidRPr="0052032C">
        <w:rPr>
          <w:lang w:eastAsia="ja-JP"/>
        </w:rPr>
        <w:t>Respiratory, Thoracic and Mediastinal Disorders (5.0%</w:t>
      </w:r>
      <w:r>
        <w:rPr>
          <w:lang w:eastAsia="ja-JP"/>
        </w:rPr>
        <w:t xml:space="preserve"> versus </w:t>
      </w:r>
      <w:r w:rsidRPr="0052032C">
        <w:rPr>
          <w:lang w:eastAsia="ja-JP"/>
        </w:rPr>
        <w:t>5.5%)</w:t>
      </w:r>
    </w:p>
    <w:p w14:paraId="712D48F7" w14:textId="76F111B5" w:rsidR="0052032C" w:rsidRPr="0052032C" w:rsidRDefault="0052032C" w:rsidP="003E6EBC">
      <w:pPr>
        <w:pStyle w:val="ListBullet"/>
        <w:rPr>
          <w:lang w:eastAsia="ja-JP"/>
        </w:rPr>
      </w:pPr>
      <w:r w:rsidRPr="0052032C">
        <w:rPr>
          <w:lang w:eastAsia="ja-JP"/>
        </w:rPr>
        <w:t>General Disorders and Administration Site Conditions (5.7%</w:t>
      </w:r>
      <w:r>
        <w:rPr>
          <w:lang w:eastAsia="ja-JP"/>
        </w:rPr>
        <w:t xml:space="preserve"> versus </w:t>
      </w:r>
      <w:r w:rsidRPr="0052032C">
        <w:rPr>
          <w:lang w:eastAsia="ja-JP"/>
        </w:rPr>
        <w:t>5.0%)</w:t>
      </w:r>
      <w:r w:rsidR="003E6EBC">
        <w:rPr>
          <w:lang w:eastAsia="ja-JP"/>
        </w:rPr>
        <w:t>.</w:t>
      </w:r>
    </w:p>
    <w:p w14:paraId="6A750DBA" w14:textId="3C7F6DF8" w:rsidR="0052032C" w:rsidRPr="0052032C" w:rsidRDefault="0052032C" w:rsidP="00B33B49">
      <w:pPr>
        <w:pStyle w:val="Comment"/>
        <w:rPr>
          <w:lang w:eastAsia="ja-JP"/>
        </w:rPr>
      </w:pPr>
      <w:r w:rsidRPr="00B33B49">
        <w:rPr>
          <w:b/>
          <w:lang w:eastAsia="ja-JP"/>
        </w:rPr>
        <w:t>Comment:</w:t>
      </w:r>
      <w:r w:rsidRPr="0052032C">
        <w:rPr>
          <w:lang w:eastAsia="ja-JP"/>
        </w:rPr>
        <w:t xml:space="preserve"> </w:t>
      </w:r>
      <w:r w:rsidR="00B33B49">
        <w:rPr>
          <w:lang w:eastAsia="ja-JP"/>
        </w:rPr>
        <w:t xml:space="preserve"> </w:t>
      </w:r>
      <w:r w:rsidRPr="0052032C">
        <w:rPr>
          <w:lang w:eastAsia="ja-JP"/>
        </w:rPr>
        <w:t xml:space="preserve">There are more SAEs in the G-chemo arm compared to the R-chemo arm in both the overall and FL safety population. There are generally more SAEs in the overall safety population (the population in the PI) than in the FL population, which is not unexpected, as the median age of the FL population is 59.0 years and 63.0 years for the MZL population. The percentage of patients </w:t>
      </w:r>
      <w:r w:rsidR="008E396E">
        <w:rPr>
          <w:lang w:eastAsia="ja-JP"/>
        </w:rPr>
        <w:t xml:space="preserve">who are </w:t>
      </w:r>
      <w:r w:rsidRPr="0052032C">
        <w:rPr>
          <w:lang w:eastAsia="ja-JP"/>
        </w:rPr>
        <w:t xml:space="preserve">≥ 65 years of age is 31.3% in the FL population and 44.6% in the MZL population, and although the MZL population only constitute 14% of the overall safety population this apparently has an impact on the overall safety data together with other factors. As the average age at diagnosis for FL patients is 65 years, the lower average age (and good performance status) in this study does not reflect the FL population as a whole, and </w:t>
      </w:r>
      <w:r w:rsidRPr="0052032C">
        <w:rPr>
          <w:lang w:eastAsia="ja-JP"/>
        </w:rPr>
        <w:lastRenderedPageBreak/>
        <w:t>these data demonstrate that this has to be taken into account when choosing which anti-CD20 antibody to use in ad</w:t>
      </w:r>
      <w:r w:rsidR="00235F4A">
        <w:rPr>
          <w:lang w:eastAsia="ja-JP"/>
        </w:rPr>
        <w:t>dition to considering efficacy.</w:t>
      </w:r>
    </w:p>
    <w:p w14:paraId="279C7CC0" w14:textId="77777777" w:rsidR="0052032C" w:rsidRPr="0052032C" w:rsidRDefault="0052032C" w:rsidP="00B33B49">
      <w:pPr>
        <w:pStyle w:val="Heading4"/>
      </w:pPr>
      <w:bookmarkStart w:id="220" w:name="_Toc241374325"/>
      <w:bookmarkStart w:id="221" w:name="_Ref272333477"/>
      <w:bookmarkStart w:id="222" w:name="_Toc272414667"/>
      <w:bookmarkStart w:id="223" w:name="_Toc290888531"/>
      <w:bookmarkStart w:id="224" w:name="_Toc416353747"/>
      <w:bookmarkStart w:id="225" w:name="_Toc421005290"/>
      <w:bookmarkStart w:id="226" w:name="_Toc432079167"/>
      <w:bookmarkStart w:id="227" w:name="_Toc432080740"/>
      <w:r w:rsidRPr="0052032C">
        <w:t>Discontinuations due to adverse events</w:t>
      </w:r>
      <w:bookmarkEnd w:id="220"/>
      <w:bookmarkEnd w:id="221"/>
      <w:bookmarkEnd w:id="222"/>
      <w:bookmarkEnd w:id="223"/>
      <w:bookmarkEnd w:id="224"/>
      <w:bookmarkEnd w:id="225"/>
      <w:bookmarkEnd w:id="226"/>
      <w:bookmarkEnd w:id="227"/>
    </w:p>
    <w:p w14:paraId="396AA5F8" w14:textId="502FE3B1" w:rsidR="0052032C" w:rsidRPr="0052032C" w:rsidRDefault="0052032C" w:rsidP="0052032C">
      <w:pPr>
        <w:rPr>
          <w:lang w:eastAsia="ja-JP"/>
        </w:rPr>
      </w:pPr>
      <w:r w:rsidRPr="0052032C">
        <w:rPr>
          <w:lang w:eastAsia="ja-JP"/>
        </w:rPr>
        <w:t>The treatment arms were balanced (≤</w:t>
      </w:r>
      <w:r w:rsidR="00B33B49">
        <w:rPr>
          <w:lang w:eastAsia="ja-JP"/>
        </w:rPr>
        <w:t xml:space="preserve"> </w:t>
      </w:r>
      <w:r w:rsidRPr="0052032C">
        <w:rPr>
          <w:lang w:eastAsia="ja-JP"/>
        </w:rPr>
        <w:t>1% difference) with respect to AEs within all the SOCs that led to withdrawal of study medication and were mainl</w:t>
      </w:r>
      <w:r w:rsidR="00B33B49">
        <w:rPr>
          <w:lang w:eastAsia="ja-JP"/>
        </w:rPr>
        <w:t>y in the same SOCs as the SAEs.</w:t>
      </w:r>
    </w:p>
    <w:p w14:paraId="4B6DFB3A" w14:textId="6CA1ACD8" w:rsidR="0052032C" w:rsidRPr="0052032C" w:rsidRDefault="0052032C" w:rsidP="0052032C">
      <w:pPr>
        <w:rPr>
          <w:lang w:eastAsia="ja-JP"/>
        </w:rPr>
      </w:pPr>
      <w:r w:rsidRPr="0052032C">
        <w:rPr>
          <w:lang w:eastAsia="ja-JP"/>
        </w:rPr>
        <w:t>AEs with an overall incidence of ≥</w:t>
      </w:r>
      <w:r w:rsidR="00B33B49">
        <w:rPr>
          <w:lang w:eastAsia="ja-JP"/>
        </w:rPr>
        <w:t xml:space="preserve"> </w:t>
      </w:r>
      <w:r w:rsidRPr="0052032C">
        <w:rPr>
          <w:lang w:eastAsia="ja-JP"/>
        </w:rPr>
        <w:t>1% in the G-chemo that led to withdrawal (R-chemo</w:t>
      </w:r>
      <w:r>
        <w:rPr>
          <w:lang w:eastAsia="ja-JP"/>
        </w:rPr>
        <w:t xml:space="preserve"> versus </w:t>
      </w:r>
      <w:r w:rsidRPr="0052032C">
        <w:rPr>
          <w:lang w:eastAsia="ja-JP"/>
        </w:rPr>
        <w:t>G</w:t>
      </w:r>
      <w:r w:rsidR="00C17D19">
        <w:rPr>
          <w:lang w:eastAsia="ja-JP"/>
        </w:rPr>
        <w:noBreakHyphen/>
      </w:r>
      <w:r w:rsidRPr="0052032C">
        <w:rPr>
          <w:lang w:eastAsia="ja-JP"/>
        </w:rPr>
        <w:t xml:space="preserve">chemo) (the corresponding percentages for the FL population are written in </w:t>
      </w:r>
      <w:r w:rsidRPr="00B33B49">
        <w:rPr>
          <w:lang w:eastAsia="ja-JP"/>
        </w:rPr>
        <w:t>italics</w:t>
      </w:r>
      <w:r w:rsidRPr="0052032C">
        <w:rPr>
          <w:lang w:eastAsia="ja-JP"/>
        </w:rPr>
        <w:t>):</w:t>
      </w:r>
    </w:p>
    <w:p w14:paraId="554BBBA2" w14:textId="77777777" w:rsidR="0052032C" w:rsidRPr="0052032C" w:rsidRDefault="0052032C" w:rsidP="00B33B49">
      <w:pPr>
        <w:pStyle w:val="ListBullet"/>
        <w:rPr>
          <w:lang w:eastAsia="ja-JP"/>
        </w:rPr>
      </w:pPr>
      <w:r w:rsidRPr="0052032C">
        <w:rPr>
          <w:lang w:eastAsia="ja-JP"/>
        </w:rPr>
        <w:t xml:space="preserve">Infections and Infestations (22/692 patients </w:t>
      </w:r>
      <w:r>
        <w:rPr>
          <w:lang w:eastAsia="ja-JP"/>
        </w:rPr>
        <w:t>(</w:t>
      </w:r>
      <w:r w:rsidRPr="0052032C">
        <w:rPr>
          <w:lang w:eastAsia="ja-JP"/>
        </w:rPr>
        <w:t>3.2%</w:t>
      </w:r>
      <w:r>
        <w:rPr>
          <w:lang w:eastAsia="ja-JP"/>
        </w:rPr>
        <w:t>)</w:t>
      </w:r>
      <w:r w:rsidRPr="0052032C">
        <w:rPr>
          <w:lang w:eastAsia="ja-JP"/>
        </w:rPr>
        <w:t xml:space="preserve"> </w:t>
      </w:r>
      <w:r w:rsidRPr="0052032C">
        <w:rPr>
          <w:i/>
          <w:lang w:eastAsia="ja-JP"/>
        </w:rPr>
        <w:t>(3.2%)</w:t>
      </w:r>
      <w:r>
        <w:rPr>
          <w:lang w:eastAsia="ja-JP"/>
        </w:rPr>
        <w:t xml:space="preserve"> versus </w:t>
      </w:r>
      <w:r w:rsidRPr="0052032C">
        <w:rPr>
          <w:lang w:eastAsia="ja-JP"/>
        </w:rPr>
        <w:t xml:space="preserve">36/698 patients </w:t>
      </w:r>
      <w:r>
        <w:rPr>
          <w:lang w:eastAsia="ja-JP"/>
        </w:rPr>
        <w:t>(</w:t>
      </w:r>
      <w:r w:rsidRPr="0052032C">
        <w:rPr>
          <w:lang w:eastAsia="ja-JP"/>
        </w:rPr>
        <w:t>5.2%</w:t>
      </w:r>
      <w:r>
        <w:rPr>
          <w:lang w:eastAsia="ja-JP"/>
        </w:rPr>
        <w:t>)</w:t>
      </w:r>
      <w:r w:rsidRPr="0052032C">
        <w:rPr>
          <w:lang w:eastAsia="ja-JP"/>
        </w:rPr>
        <w:t xml:space="preserve"> </w:t>
      </w:r>
      <w:r w:rsidRPr="0052032C">
        <w:rPr>
          <w:i/>
          <w:lang w:eastAsia="ja-JP"/>
        </w:rPr>
        <w:t>(4.7%)</w:t>
      </w:r>
      <w:r w:rsidRPr="0052032C">
        <w:rPr>
          <w:lang w:eastAsia="ja-JP"/>
        </w:rPr>
        <w:t>), most frequently pneumonia (0.6%</w:t>
      </w:r>
      <w:r>
        <w:rPr>
          <w:lang w:eastAsia="ja-JP"/>
        </w:rPr>
        <w:t xml:space="preserve"> versus </w:t>
      </w:r>
      <w:r w:rsidRPr="0052032C">
        <w:rPr>
          <w:lang w:eastAsia="ja-JP"/>
        </w:rPr>
        <w:t xml:space="preserve">1.3%) </w:t>
      </w:r>
      <w:r w:rsidRPr="0052032C">
        <w:rPr>
          <w:i/>
          <w:lang w:eastAsia="ja-JP"/>
        </w:rPr>
        <w:t>(0.5%</w:t>
      </w:r>
      <w:r>
        <w:rPr>
          <w:i/>
          <w:lang w:eastAsia="ja-JP"/>
        </w:rPr>
        <w:t xml:space="preserve"> versus </w:t>
      </w:r>
      <w:r w:rsidRPr="0052032C">
        <w:rPr>
          <w:i/>
          <w:lang w:eastAsia="ja-JP"/>
        </w:rPr>
        <w:t>1.5%)</w:t>
      </w:r>
    </w:p>
    <w:p w14:paraId="556A0E57" w14:textId="1170D548" w:rsidR="0052032C" w:rsidRPr="0052032C" w:rsidRDefault="0052032C" w:rsidP="00B33B49">
      <w:pPr>
        <w:pStyle w:val="ListBullet"/>
        <w:rPr>
          <w:lang w:eastAsia="ja-JP"/>
        </w:rPr>
      </w:pPr>
      <w:r w:rsidRPr="0052032C">
        <w:rPr>
          <w:lang w:eastAsia="ja-JP"/>
        </w:rPr>
        <w:t xml:space="preserve">Blood and Lymphatic System Disorders (21/692 patients </w:t>
      </w:r>
      <w:r>
        <w:rPr>
          <w:lang w:eastAsia="ja-JP"/>
        </w:rPr>
        <w:t>(</w:t>
      </w:r>
      <w:r w:rsidRPr="0052032C">
        <w:rPr>
          <w:lang w:eastAsia="ja-JP"/>
        </w:rPr>
        <w:t>3.0%</w:t>
      </w:r>
      <w:r>
        <w:rPr>
          <w:lang w:eastAsia="ja-JP"/>
        </w:rPr>
        <w:t>)</w:t>
      </w:r>
      <w:r w:rsidRPr="0052032C">
        <w:rPr>
          <w:lang w:eastAsia="ja-JP"/>
        </w:rPr>
        <w:t xml:space="preserve"> </w:t>
      </w:r>
      <w:r w:rsidRPr="0052032C">
        <w:rPr>
          <w:i/>
          <w:lang w:eastAsia="ja-JP"/>
        </w:rPr>
        <w:t>(2.3%)</w:t>
      </w:r>
      <w:r>
        <w:rPr>
          <w:i/>
          <w:lang w:eastAsia="ja-JP"/>
        </w:rPr>
        <w:t xml:space="preserve"> versus </w:t>
      </w:r>
      <w:r w:rsidRPr="0052032C">
        <w:rPr>
          <w:lang w:eastAsia="ja-JP"/>
        </w:rPr>
        <w:t xml:space="preserve">24/698 patients </w:t>
      </w:r>
      <w:r>
        <w:rPr>
          <w:lang w:eastAsia="ja-JP"/>
        </w:rPr>
        <w:t>(</w:t>
      </w:r>
      <w:r w:rsidRPr="0052032C">
        <w:rPr>
          <w:lang w:eastAsia="ja-JP"/>
        </w:rPr>
        <w:t>3.4%</w:t>
      </w:r>
      <w:r>
        <w:rPr>
          <w:lang w:eastAsia="ja-JP"/>
        </w:rPr>
        <w:t>)</w:t>
      </w:r>
      <w:r w:rsidRPr="0052032C">
        <w:rPr>
          <w:lang w:eastAsia="ja-JP"/>
        </w:rPr>
        <w:t xml:space="preserve"> </w:t>
      </w:r>
      <w:r w:rsidRPr="0052032C">
        <w:rPr>
          <w:i/>
          <w:lang w:eastAsia="ja-JP"/>
        </w:rPr>
        <w:t>(2.9%)</w:t>
      </w:r>
      <w:r w:rsidRPr="0052032C">
        <w:rPr>
          <w:lang w:eastAsia="ja-JP"/>
        </w:rPr>
        <w:t>)</w:t>
      </w:r>
      <w:r w:rsidRPr="0052032C">
        <w:rPr>
          <w:i/>
          <w:lang w:eastAsia="ja-JP"/>
        </w:rPr>
        <w:t xml:space="preserve">, </w:t>
      </w:r>
      <w:r w:rsidRPr="0052032C">
        <w:rPr>
          <w:lang w:eastAsia="ja-JP"/>
        </w:rPr>
        <w:t>most frequently neutro</w:t>
      </w:r>
      <w:r w:rsidR="009E0FA6">
        <w:rPr>
          <w:lang w:eastAsia="ja-JP"/>
        </w:rPr>
        <w:t>paenia</w:t>
      </w:r>
      <w:r w:rsidRPr="0052032C">
        <w:rPr>
          <w:lang w:eastAsia="ja-JP"/>
        </w:rPr>
        <w:t xml:space="preserve"> (2.2%</w:t>
      </w:r>
      <w:r>
        <w:rPr>
          <w:lang w:eastAsia="ja-JP"/>
        </w:rPr>
        <w:t xml:space="preserve"> versus </w:t>
      </w:r>
      <w:r w:rsidRPr="0052032C">
        <w:rPr>
          <w:lang w:eastAsia="ja-JP"/>
        </w:rPr>
        <w:t xml:space="preserve">2.7%) </w:t>
      </w:r>
      <w:r w:rsidRPr="0052032C">
        <w:rPr>
          <w:i/>
          <w:lang w:eastAsia="ja-JP"/>
        </w:rPr>
        <w:t>(2.0%</w:t>
      </w:r>
      <w:r>
        <w:rPr>
          <w:i/>
          <w:lang w:eastAsia="ja-JP"/>
        </w:rPr>
        <w:t xml:space="preserve"> versus </w:t>
      </w:r>
      <w:r w:rsidRPr="0052032C">
        <w:rPr>
          <w:i/>
          <w:lang w:eastAsia="ja-JP"/>
        </w:rPr>
        <w:t>2.2%)</w:t>
      </w:r>
    </w:p>
    <w:p w14:paraId="60B50D4C" w14:textId="77777777" w:rsidR="0052032C" w:rsidRPr="0052032C" w:rsidRDefault="0052032C" w:rsidP="00B33B49">
      <w:pPr>
        <w:pStyle w:val="ListBullet"/>
        <w:rPr>
          <w:lang w:eastAsia="ja-JP"/>
        </w:rPr>
      </w:pPr>
      <w:r w:rsidRPr="0052032C">
        <w:rPr>
          <w:lang w:eastAsia="ja-JP"/>
        </w:rPr>
        <w:t xml:space="preserve">Nervous System Disorders (24/692 patients </w:t>
      </w:r>
      <w:r>
        <w:rPr>
          <w:lang w:eastAsia="ja-JP"/>
        </w:rPr>
        <w:t>(</w:t>
      </w:r>
      <w:r w:rsidRPr="0052032C">
        <w:rPr>
          <w:lang w:eastAsia="ja-JP"/>
        </w:rPr>
        <w:t>3.5%</w:t>
      </w:r>
      <w:r>
        <w:rPr>
          <w:lang w:eastAsia="ja-JP"/>
        </w:rPr>
        <w:t>)</w:t>
      </w:r>
      <w:r w:rsidRPr="0052032C">
        <w:rPr>
          <w:lang w:eastAsia="ja-JP"/>
        </w:rPr>
        <w:t xml:space="preserve"> </w:t>
      </w:r>
      <w:r w:rsidRPr="0052032C">
        <w:rPr>
          <w:i/>
          <w:lang w:eastAsia="ja-JP"/>
        </w:rPr>
        <w:t>(3.7%)</w:t>
      </w:r>
      <w:r>
        <w:rPr>
          <w:i/>
          <w:lang w:eastAsia="ja-JP"/>
        </w:rPr>
        <w:t xml:space="preserve"> versus </w:t>
      </w:r>
      <w:r w:rsidRPr="0052032C">
        <w:rPr>
          <w:lang w:eastAsia="ja-JP"/>
        </w:rPr>
        <w:t xml:space="preserve">21/698 patients </w:t>
      </w:r>
      <w:r>
        <w:rPr>
          <w:lang w:eastAsia="ja-JP"/>
        </w:rPr>
        <w:t>(</w:t>
      </w:r>
      <w:r w:rsidRPr="0052032C">
        <w:rPr>
          <w:lang w:eastAsia="ja-JP"/>
        </w:rPr>
        <w:t>3.0%</w:t>
      </w:r>
      <w:r>
        <w:rPr>
          <w:lang w:eastAsia="ja-JP"/>
        </w:rPr>
        <w:t>)</w:t>
      </w:r>
      <w:r w:rsidRPr="0052032C">
        <w:rPr>
          <w:lang w:eastAsia="ja-JP"/>
        </w:rPr>
        <w:t xml:space="preserve"> </w:t>
      </w:r>
      <w:r w:rsidRPr="0052032C">
        <w:rPr>
          <w:i/>
          <w:lang w:eastAsia="ja-JP"/>
        </w:rPr>
        <w:t>(3.0%)</w:t>
      </w:r>
      <w:r w:rsidRPr="0052032C">
        <w:rPr>
          <w:lang w:eastAsia="ja-JP"/>
        </w:rPr>
        <w:t>), most frequently peripheral sensory neuropathy (1.2%</w:t>
      </w:r>
      <w:r>
        <w:rPr>
          <w:lang w:eastAsia="ja-JP"/>
        </w:rPr>
        <w:t xml:space="preserve"> versus </w:t>
      </w:r>
      <w:r w:rsidRPr="0052032C">
        <w:rPr>
          <w:lang w:eastAsia="ja-JP"/>
        </w:rPr>
        <w:t xml:space="preserve">1.0%) </w:t>
      </w:r>
      <w:r w:rsidRPr="0052032C">
        <w:rPr>
          <w:i/>
          <w:lang w:eastAsia="ja-JP"/>
        </w:rPr>
        <w:t>(1.3%</w:t>
      </w:r>
      <w:r>
        <w:rPr>
          <w:i/>
          <w:lang w:eastAsia="ja-JP"/>
        </w:rPr>
        <w:t xml:space="preserve"> versus </w:t>
      </w:r>
      <w:r w:rsidRPr="0052032C">
        <w:rPr>
          <w:i/>
          <w:lang w:eastAsia="ja-JP"/>
        </w:rPr>
        <w:t>1.0%)</w:t>
      </w:r>
    </w:p>
    <w:p w14:paraId="1CCC19D1" w14:textId="77777777" w:rsidR="0052032C" w:rsidRPr="0052032C" w:rsidRDefault="0052032C" w:rsidP="00B33B49">
      <w:pPr>
        <w:pStyle w:val="ListBullet"/>
        <w:rPr>
          <w:lang w:eastAsia="ja-JP"/>
        </w:rPr>
      </w:pPr>
      <w:r w:rsidRPr="0052032C">
        <w:rPr>
          <w:lang w:eastAsia="ja-JP"/>
        </w:rPr>
        <w:t xml:space="preserve">Neoplasms Benign, Malignant and Unspecified (11/692 patients </w:t>
      </w:r>
      <w:r>
        <w:rPr>
          <w:lang w:eastAsia="ja-JP"/>
        </w:rPr>
        <w:t>(</w:t>
      </w:r>
      <w:r w:rsidRPr="0052032C">
        <w:rPr>
          <w:lang w:eastAsia="ja-JP"/>
        </w:rPr>
        <w:t>1.6%</w:t>
      </w:r>
      <w:r>
        <w:rPr>
          <w:lang w:eastAsia="ja-JP"/>
        </w:rPr>
        <w:t xml:space="preserve">) versus </w:t>
      </w:r>
      <w:r w:rsidRPr="0052032C">
        <w:rPr>
          <w:lang w:eastAsia="ja-JP"/>
        </w:rPr>
        <w:t xml:space="preserve">17/698 patients </w:t>
      </w:r>
      <w:r>
        <w:rPr>
          <w:lang w:eastAsia="ja-JP"/>
        </w:rPr>
        <w:t>(</w:t>
      </w:r>
      <w:r w:rsidRPr="0052032C">
        <w:rPr>
          <w:lang w:eastAsia="ja-JP"/>
        </w:rPr>
        <w:t>2.4%</w:t>
      </w:r>
      <w:r>
        <w:rPr>
          <w:lang w:eastAsia="ja-JP"/>
        </w:rPr>
        <w:t>)</w:t>
      </w:r>
      <w:r w:rsidRPr="0052032C">
        <w:rPr>
          <w:lang w:eastAsia="ja-JP"/>
        </w:rPr>
        <w:t xml:space="preserve">) </w:t>
      </w:r>
      <w:r w:rsidRPr="0052032C">
        <w:rPr>
          <w:i/>
          <w:lang w:eastAsia="ja-JP"/>
        </w:rPr>
        <w:t>(1.3%</w:t>
      </w:r>
      <w:r>
        <w:rPr>
          <w:i/>
          <w:lang w:eastAsia="ja-JP"/>
        </w:rPr>
        <w:t xml:space="preserve"> versus </w:t>
      </w:r>
      <w:r w:rsidRPr="0052032C">
        <w:rPr>
          <w:i/>
          <w:lang w:eastAsia="ja-JP"/>
        </w:rPr>
        <w:t>2.5%)</w:t>
      </w:r>
    </w:p>
    <w:p w14:paraId="5D072E68" w14:textId="77777777" w:rsidR="0052032C" w:rsidRPr="0052032C" w:rsidRDefault="0052032C" w:rsidP="00B33B49">
      <w:pPr>
        <w:pStyle w:val="ListBullet"/>
        <w:rPr>
          <w:lang w:eastAsia="ja-JP"/>
        </w:rPr>
      </w:pPr>
      <w:r w:rsidRPr="0052032C">
        <w:rPr>
          <w:lang w:eastAsia="ja-JP"/>
        </w:rPr>
        <w:t xml:space="preserve">Respiratory, Thoracic and Mediastinal Disorders (10/692 patients </w:t>
      </w:r>
      <w:r>
        <w:rPr>
          <w:lang w:eastAsia="ja-JP"/>
        </w:rPr>
        <w:t>(</w:t>
      </w:r>
      <w:r w:rsidRPr="0052032C">
        <w:rPr>
          <w:lang w:eastAsia="ja-JP"/>
        </w:rPr>
        <w:t>1.4%</w:t>
      </w:r>
      <w:r>
        <w:rPr>
          <w:lang w:eastAsia="ja-JP"/>
        </w:rPr>
        <w:t xml:space="preserve">) versus </w:t>
      </w:r>
      <w:r w:rsidRPr="0052032C">
        <w:rPr>
          <w:lang w:eastAsia="ja-JP"/>
        </w:rPr>
        <w:t xml:space="preserve">10/698 patients </w:t>
      </w:r>
      <w:r>
        <w:rPr>
          <w:lang w:eastAsia="ja-JP"/>
        </w:rPr>
        <w:t>(</w:t>
      </w:r>
      <w:r w:rsidRPr="0052032C">
        <w:rPr>
          <w:lang w:eastAsia="ja-JP"/>
        </w:rPr>
        <w:t>1.4%</w:t>
      </w:r>
      <w:r>
        <w:rPr>
          <w:lang w:eastAsia="ja-JP"/>
        </w:rPr>
        <w:t>)</w:t>
      </w:r>
      <w:r w:rsidRPr="0052032C">
        <w:rPr>
          <w:lang w:eastAsia="ja-JP"/>
        </w:rPr>
        <w:t xml:space="preserve">) </w:t>
      </w:r>
      <w:r w:rsidRPr="0052032C">
        <w:rPr>
          <w:i/>
          <w:lang w:eastAsia="ja-JP"/>
        </w:rPr>
        <w:t>(ND)</w:t>
      </w:r>
    </w:p>
    <w:p w14:paraId="778C308F" w14:textId="77777777" w:rsidR="0052032C" w:rsidRPr="0052032C" w:rsidRDefault="0052032C" w:rsidP="00B33B49">
      <w:pPr>
        <w:pStyle w:val="ListBullet"/>
        <w:rPr>
          <w:lang w:eastAsia="ja-JP"/>
        </w:rPr>
      </w:pPr>
      <w:r w:rsidRPr="0052032C">
        <w:rPr>
          <w:lang w:eastAsia="ja-JP"/>
        </w:rPr>
        <w:t xml:space="preserve">Gastrointestinal Disorders (8/692 patients </w:t>
      </w:r>
      <w:r>
        <w:rPr>
          <w:lang w:eastAsia="ja-JP"/>
        </w:rPr>
        <w:t>(</w:t>
      </w:r>
      <w:r w:rsidRPr="0052032C">
        <w:rPr>
          <w:lang w:eastAsia="ja-JP"/>
        </w:rPr>
        <w:t>1.2%</w:t>
      </w:r>
      <w:r>
        <w:rPr>
          <w:lang w:eastAsia="ja-JP"/>
        </w:rPr>
        <w:t xml:space="preserve">) versus </w:t>
      </w:r>
      <w:r w:rsidRPr="0052032C">
        <w:rPr>
          <w:lang w:eastAsia="ja-JP"/>
        </w:rPr>
        <w:t xml:space="preserve">8/698 patients </w:t>
      </w:r>
      <w:r>
        <w:rPr>
          <w:lang w:eastAsia="ja-JP"/>
        </w:rPr>
        <w:t>(</w:t>
      </w:r>
      <w:r w:rsidRPr="0052032C">
        <w:rPr>
          <w:lang w:eastAsia="ja-JP"/>
        </w:rPr>
        <w:t>1.1%</w:t>
      </w:r>
      <w:r>
        <w:rPr>
          <w:lang w:eastAsia="ja-JP"/>
        </w:rPr>
        <w:t>)</w:t>
      </w:r>
      <w:r w:rsidRPr="0052032C">
        <w:rPr>
          <w:lang w:eastAsia="ja-JP"/>
        </w:rPr>
        <w:t xml:space="preserve">) </w:t>
      </w:r>
      <w:r w:rsidRPr="0052032C">
        <w:rPr>
          <w:i/>
          <w:lang w:eastAsia="ja-JP"/>
        </w:rPr>
        <w:t>(1.2%</w:t>
      </w:r>
      <w:r>
        <w:rPr>
          <w:i/>
          <w:lang w:eastAsia="ja-JP"/>
        </w:rPr>
        <w:t xml:space="preserve"> versus </w:t>
      </w:r>
      <w:r w:rsidRPr="0052032C">
        <w:rPr>
          <w:i/>
          <w:lang w:eastAsia="ja-JP"/>
        </w:rPr>
        <w:t>1.0%)</w:t>
      </w:r>
    </w:p>
    <w:p w14:paraId="582FC38D" w14:textId="420C1718" w:rsidR="0052032C" w:rsidRPr="0052032C" w:rsidRDefault="0052032C" w:rsidP="00B33B49">
      <w:pPr>
        <w:pStyle w:val="ListBullet"/>
        <w:rPr>
          <w:lang w:eastAsia="ja-JP"/>
        </w:rPr>
      </w:pPr>
      <w:r w:rsidRPr="0052032C">
        <w:rPr>
          <w:lang w:eastAsia="ja-JP"/>
        </w:rPr>
        <w:t xml:space="preserve">Injury, Poisoning and Procedural Complications (4/692 patients </w:t>
      </w:r>
      <w:r>
        <w:rPr>
          <w:lang w:eastAsia="ja-JP"/>
        </w:rPr>
        <w:t>(</w:t>
      </w:r>
      <w:r w:rsidRPr="0052032C">
        <w:rPr>
          <w:lang w:eastAsia="ja-JP"/>
        </w:rPr>
        <w:t>0.6%</w:t>
      </w:r>
      <w:r>
        <w:rPr>
          <w:lang w:eastAsia="ja-JP"/>
        </w:rPr>
        <w:t xml:space="preserve">) versus </w:t>
      </w:r>
      <w:r w:rsidRPr="0052032C">
        <w:rPr>
          <w:lang w:eastAsia="ja-JP"/>
        </w:rPr>
        <w:t xml:space="preserve">7/698 patients </w:t>
      </w:r>
      <w:r>
        <w:rPr>
          <w:lang w:eastAsia="ja-JP"/>
        </w:rPr>
        <w:t>(</w:t>
      </w:r>
      <w:r w:rsidRPr="0052032C">
        <w:rPr>
          <w:lang w:eastAsia="ja-JP"/>
        </w:rPr>
        <w:t>1.0%</w:t>
      </w:r>
      <w:r>
        <w:rPr>
          <w:lang w:eastAsia="ja-JP"/>
        </w:rPr>
        <w:t>)</w:t>
      </w:r>
      <w:r w:rsidRPr="0052032C">
        <w:rPr>
          <w:lang w:eastAsia="ja-JP"/>
        </w:rPr>
        <w:t>), most frequently IRRs (0.4%</w:t>
      </w:r>
      <w:r>
        <w:rPr>
          <w:lang w:eastAsia="ja-JP"/>
        </w:rPr>
        <w:t xml:space="preserve"> versus </w:t>
      </w:r>
      <w:r w:rsidRPr="0052032C">
        <w:rPr>
          <w:lang w:eastAsia="ja-JP"/>
        </w:rPr>
        <w:t xml:space="preserve">1.0%) </w:t>
      </w:r>
      <w:r w:rsidRPr="0052032C">
        <w:rPr>
          <w:i/>
          <w:lang w:eastAsia="ja-JP"/>
        </w:rPr>
        <w:t>(0.3%</w:t>
      </w:r>
      <w:r>
        <w:rPr>
          <w:i/>
          <w:lang w:eastAsia="ja-JP"/>
        </w:rPr>
        <w:t xml:space="preserve"> versus </w:t>
      </w:r>
      <w:r w:rsidRPr="0052032C">
        <w:rPr>
          <w:i/>
          <w:lang w:eastAsia="ja-JP"/>
        </w:rPr>
        <w:t>0.7%)</w:t>
      </w:r>
      <w:r w:rsidR="00C17D19">
        <w:rPr>
          <w:i/>
          <w:lang w:eastAsia="ja-JP"/>
        </w:rPr>
        <w:t>.</w:t>
      </w:r>
    </w:p>
    <w:p w14:paraId="00E0ED50" w14:textId="586D31F1" w:rsidR="0052032C" w:rsidRPr="0052032C" w:rsidRDefault="0052032C" w:rsidP="00B33B49">
      <w:pPr>
        <w:pStyle w:val="Comment"/>
        <w:rPr>
          <w:lang w:eastAsia="ja-JP"/>
        </w:rPr>
      </w:pPr>
      <w:r w:rsidRPr="00B33B49">
        <w:rPr>
          <w:b/>
          <w:lang w:eastAsia="ja-JP"/>
        </w:rPr>
        <w:t>Comment:</w:t>
      </w:r>
      <w:r w:rsidRPr="0052032C">
        <w:rPr>
          <w:lang w:eastAsia="ja-JP"/>
        </w:rPr>
        <w:t xml:space="preserve"> </w:t>
      </w:r>
      <w:r w:rsidR="00B33B49">
        <w:rPr>
          <w:lang w:eastAsia="ja-JP"/>
        </w:rPr>
        <w:t xml:space="preserve"> From the CSR (FL population; and overall population): </w:t>
      </w:r>
      <w:r>
        <w:rPr>
          <w:lang w:eastAsia="ja-JP"/>
        </w:rPr>
        <w:t>‘</w:t>
      </w:r>
      <w:r w:rsidRPr="0052032C">
        <w:rPr>
          <w:lang w:eastAsia="ja-JP"/>
        </w:rPr>
        <w:t>A patient listing of AEs that led to withdrawal from any study medication is available.</w:t>
      </w:r>
      <w:r>
        <w:rPr>
          <w:lang w:eastAsia="ja-JP"/>
        </w:rPr>
        <w:t>’</w:t>
      </w:r>
      <w:r w:rsidRPr="0052032C">
        <w:rPr>
          <w:lang w:eastAsia="ja-JP"/>
        </w:rPr>
        <w:t xml:space="preserve"> When opening the links</w:t>
      </w:r>
      <w:r w:rsidR="00B33B49">
        <w:rPr>
          <w:lang w:eastAsia="ja-JP"/>
        </w:rPr>
        <w:t>,</w:t>
      </w:r>
      <w:r w:rsidRPr="0052032C">
        <w:rPr>
          <w:lang w:eastAsia="ja-JP"/>
        </w:rPr>
        <w:t xml:space="preserve"> a list of patients who withdrew from the study is pres</w:t>
      </w:r>
      <w:r w:rsidR="00B33B49">
        <w:rPr>
          <w:lang w:eastAsia="ja-JP"/>
        </w:rPr>
        <w:t>ented but no corresponding AEs.</w:t>
      </w:r>
    </w:p>
    <w:p w14:paraId="311FB58C" w14:textId="783EC226" w:rsidR="0052032C" w:rsidRPr="00B33B49" w:rsidRDefault="0052032C" w:rsidP="00B33B49">
      <w:pPr>
        <w:pStyle w:val="Comment"/>
        <w:rPr>
          <w:b/>
          <w:lang w:eastAsia="ja-JP"/>
        </w:rPr>
      </w:pPr>
      <w:bookmarkStart w:id="228" w:name="_Ref481675324"/>
      <w:r w:rsidRPr="0052032C">
        <w:rPr>
          <w:b/>
          <w:lang w:eastAsia="ja-JP"/>
        </w:rPr>
        <w:t>Question</w:t>
      </w:r>
      <w:r w:rsidR="00DC73BE">
        <w:rPr>
          <w:b/>
          <w:lang w:eastAsia="ja-JP"/>
        </w:rPr>
        <w:t xml:space="preserve"> 5</w:t>
      </w:r>
      <w:r w:rsidRPr="0052032C">
        <w:rPr>
          <w:b/>
          <w:lang w:eastAsia="ja-JP"/>
        </w:rPr>
        <w:t xml:space="preserve">: </w:t>
      </w:r>
      <w:r w:rsidRPr="0052032C">
        <w:rPr>
          <w:lang w:eastAsia="ja-JP"/>
        </w:rPr>
        <w:t xml:space="preserve">A patient listing of </w:t>
      </w:r>
      <w:r w:rsidRPr="00B33B49">
        <w:rPr>
          <w:lang w:eastAsia="ja-JP"/>
        </w:rPr>
        <w:t>AEs that</w:t>
      </w:r>
      <w:r w:rsidRPr="0052032C">
        <w:rPr>
          <w:lang w:eastAsia="ja-JP"/>
        </w:rPr>
        <w:t xml:space="preserve"> led to withdrawal from any study medication in </w:t>
      </w:r>
      <w:r w:rsidR="00B33B49">
        <w:rPr>
          <w:lang w:eastAsia="ja-JP"/>
        </w:rPr>
        <w:t>Study </w:t>
      </w:r>
      <w:r>
        <w:rPr>
          <w:lang w:eastAsia="ja-JP"/>
        </w:rPr>
        <w:t>BO</w:t>
      </w:r>
      <w:r w:rsidR="00B33B49">
        <w:rPr>
          <w:lang w:eastAsia="ja-JP"/>
        </w:rPr>
        <w:t>21223, as indicated on 2 pages</w:t>
      </w:r>
      <w:r w:rsidRPr="0052032C">
        <w:rPr>
          <w:lang w:eastAsia="ja-JP"/>
        </w:rPr>
        <w:t xml:space="preserve"> in the CSR cannot be found. Can the</w:t>
      </w:r>
      <w:r>
        <w:rPr>
          <w:lang w:eastAsia="ja-JP"/>
        </w:rPr>
        <w:t xml:space="preserve"> sponsor</w:t>
      </w:r>
      <w:r w:rsidRPr="0052032C">
        <w:rPr>
          <w:lang w:eastAsia="ja-JP"/>
        </w:rPr>
        <w:t xml:space="preserve"> provide these lists</w:t>
      </w:r>
      <w:r w:rsidRPr="009B525E">
        <w:rPr>
          <w:lang w:eastAsia="ja-JP"/>
        </w:rPr>
        <w:t>?</w:t>
      </w:r>
      <w:bookmarkEnd w:id="228"/>
    </w:p>
    <w:p w14:paraId="288486CA" w14:textId="254E631F" w:rsidR="0052032C" w:rsidRPr="0052032C" w:rsidRDefault="0052032C" w:rsidP="00B33B49">
      <w:pPr>
        <w:pStyle w:val="Heading4"/>
      </w:pPr>
      <w:r w:rsidRPr="0052032C">
        <w:t>Dose mod</w:t>
      </w:r>
      <w:r w:rsidR="00B33B49">
        <w:t>ification due to adverse events</w:t>
      </w:r>
    </w:p>
    <w:p w14:paraId="7F33BF6E" w14:textId="0AE68ECD" w:rsidR="0052032C" w:rsidRPr="0052032C" w:rsidRDefault="0052032C" w:rsidP="0052032C">
      <w:pPr>
        <w:rPr>
          <w:lang w:eastAsia="ja-JP"/>
        </w:rPr>
      </w:pPr>
      <w:r w:rsidRPr="0052032C">
        <w:rPr>
          <w:lang w:eastAsia="ja-JP"/>
        </w:rPr>
        <w:t>For the FL population the foll</w:t>
      </w:r>
      <w:r w:rsidR="00B33B49">
        <w:rPr>
          <w:lang w:eastAsia="ja-JP"/>
        </w:rPr>
        <w:t>owing information is presented:</w:t>
      </w:r>
    </w:p>
    <w:p w14:paraId="7F43ED2C" w14:textId="4A00FE0D" w:rsidR="0052032C" w:rsidRPr="00B33B49" w:rsidRDefault="0052032C" w:rsidP="00B33B49">
      <w:r w:rsidRPr="00B33B49">
        <w:t>Modifications to any study medication were most frequently (≥</w:t>
      </w:r>
      <w:r w:rsidR="00B33B49">
        <w:t xml:space="preserve"> </w:t>
      </w:r>
      <w:r w:rsidRPr="00B33B49">
        <w:t>10% in either treatment arm) due to AEs in the following SOCs (R-chemo versus G-chemo):</w:t>
      </w:r>
    </w:p>
    <w:p w14:paraId="6BEEA7E5" w14:textId="77777777" w:rsidR="0052032C" w:rsidRPr="0052032C" w:rsidRDefault="0052032C" w:rsidP="00B33B49">
      <w:pPr>
        <w:pStyle w:val="ListBullet"/>
        <w:rPr>
          <w:lang w:eastAsia="ja-JP"/>
        </w:rPr>
      </w:pPr>
      <w:r w:rsidRPr="0052032C">
        <w:rPr>
          <w:lang w:eastAsia="ja-JP"/>
        </w:rPr>
        <w:t>Injury, Poisoning and Procedural Complications (32.2%</w:t>
      </w:r>
      <w:r>
        <w:rPr>
          <w:lang w:eastAsia="ja-JP"/>
        </w:rPr>
        <w:t xml:space="preserve"> versus </w:t>
      </w:r>
      <w:r w:rsidRPr="0052032C">
        <w:rPr>
          <w:lang w:eastAsia="ja-JP"/>
        </w:rPr>
        <w:t>38.5%), mainly due to IRRs which occurred at a higher frequency in the G-chemo arm (31.0%</w:t>
      </w:r>
      <w:r>
        <w:rPr>
          <w:lang w:eastAsia="ja-JP"/>
        </w:rPr>
        <w:t xml:space="preserve"> versus </w:t>
      </w:r>
      <w:r w:rsidRPr="0052032C">
        <w:rPr>
          <w:lang w:eastAsia="ja-JP"/>
        </w:rPr>
        <w:t>38.5%)</w:t>
      </w:r>
    </w:p>
    <w:p w14:paraId="3DABE039" w14:textId="30B2D38B" w:rsidR="0052032C" w:rsidRPr="0052032C" w:rsidRDefault="0052032C" w:rsidP="00B33B49">
      <w:pPr>
        <w:pStyle w:val="ListBullet"/>
        <w:rPr>
          <w:lang w:eastAsia="ja-JP"/>
        </w:rPr>
      </w:pPr>
      <w:r w:rsidRPr="0052032C">
        <w:rPr>
          <w:lang w:eastAsia="ja-JP"/>
        </w:rPr>
        <w:t>Blood and Lymphatic System Disorder (22.8%</w:t>
      </w:r>
      <w:r>
        <w:rPr>
          <w:lang w:eastAsia="ja-JP"/>
        </w:rPr>
        <w:t xml:space="preserve"> versus </w:t>
      </w:r>
      <w:r w:rsidRPr="0052032C">
        <w:rPr>
          <w:lang w:eastAsia="ja-JP"/>
        </w:rPr>
        <w:t>34.8%), mainly neutro</w:t>
      </w:r>
      <w:r w:rsidR="009E0FA6">
        <w:rPr>
          <w:lang w:eastAsia="ja-JP"/>
        </w:rPr>
        <w:t>paenia</w:t>
      </w:r>
      <w:r w:rsidRPr="0052032C">
        <w:rPr>
          <w:lang w:eastAsia="ja-JP"/>
        </w:rPr>
        <w:t xml:space="preserve"> (19.1%</w:t>
      </w:r>
      <w:r>
        <w:rPr>
          <w:lang w:eastAsia="ja-JP"/>
        </w:rPr>
        <w:t xml:space="preserve"> versus </w:t>
      </w:r>
      <w:r w:rsidRPr="0052032C">
        <w:rPr>
          <w:lang w:eastAsia="ja-JP"/>
        </w:rPr>
        <w:t>28.6%)</w:t>
      </w:r>
    </w:p>
    <w:p w14:paraId="05C5B112" w14:textId="576A51AA" w:rsidR="0052032C" w:rsidRPr="0052032C" w:rsidRDefault="0052032C" w:rsidP="00B33B49">
      <w:pPr>
        <w:pStyle w:val="ListBullet"/>
        <w:rPr>
          <w:lang w:eastAsia="ja-JP"/>
        </w:rPr>
      </w:pPr>
      <w:r w:rsidRPr="0052032C">
        <w:rPr>
          <w:lang w:eastAsia="ja-JP"/>
        </w:rPr>
        <w:t>Respiratory, Thoracic and Mediastinal Disorders (15.7%</w:t>
      </w:r>
      <w:r>
        <w:rPr>
          <w:lang w:eastAsia="ja-JP"/>
        </w:rPr>
        <w:t xml:space="preserve"> versus </w:t>
      </w:r>
      <w:r w:rsidRPr="0052032C">
        <w:rPr>
          <w:lang w:eastAsia="ja-JP"/>
        </w:rPr>
        <w:t>16.1%), mainly dyspnea (4.4%</w:t>
      </w:r>
      <w:r>
        <w:rPr>
          <w:lang w:eastAsia="ja-JP"/>
        </w:rPr>
        <w:t xml:space="preserve"> versus </w:t>
      </w:r>
      <w:r w:rsidRPr="0052032C">
        <w:rPr>
          <w:lang w:eastAsia="ja-JP"/>
        </w:rPr>
        <w:t>6.2%)</w:t>
      </w:r>
    </w:p>
    <w:p w14:paraId="0C26A229" w14:textId="77777777" w:rsidR="0052032C" w:rsidRPr="0052032C" w:rsidRDefault="0052032C" w:rsidP="00B33B49">
      <w:pPr>
        <w:pStyle w:val="ListBullet"/>
        <w:rPr>
          <w:lang w:eastAsia="ja-JP"/>
        </w:rPr>
      </w:pPr>
      <w:r w:rsidRPr="0052032C">
        <w:rPr>
          <w:lang w:eastAsia="ja-JP"/>
        </w:rPr>
        <w:t>General Disorders and Administration Site Conditions (13.6%</w:t>
      </w:r>
      <w:r>
        <w:rPr>
          <w:lang w:eastAsia="ja-JP"/>
        </w:rPr>
        <w:t xml:space="preserve"> versus </w:t>
      </w:r>
      <w:r w:rsidRPr="0052032C">
        <w:rPr>
          <w:lang w:eastAsia="ja-JP"/>
        </w:rPr>
        <w:t>22.2%); mainly chills (4.2%</w:t>
      </w:r>
      <w:r>
        <w:rPr>
          <w:lang w:eastAsia="ja-JP"/>
        </w:rPr>
        <w:t xml:space="preserve"> versus </w:t>
      </w:r>
      <w:r w:rsidRPr="0052032C">
        <w:rPr>
          <w:lang w:eastAsia="ja-JP"/>
        </w:rPr>
        <w:t>10.9%) and pyrexia (3.0%</w:t>
      </w:r>
      <w:r>
        <w:rPr>
          <w:lang w:eastAsia="ja-JP"/>
        </w:rPr>
        <w:t xml:space="preserve"> versus </w:t>
      </w:r>
      <w:r w:rsidRPr="0052032C">
        <w:rPr>
          <w:lang w:eastAsia="ja-JP"/>
        </w:rPr>
        <w:t>7.2%)</w:t>
      </w:r>
    </w:p>
    <w:p w14:paraId="4127AF39" w14:textId="77777777" w:rsidR="0052032C" w:rsidRPr="0052032C" w:rsidRDefault="0052032C" w:rsidP="00B33B49">
      <w:pPr>
        <w:pStyle w:val="ListBullet"/>
        <w:rPr>
          <w:lang w:eastAsia="ja-JP"/>
        </w:rPr>
      </w:pPr>
      <w:r w:rsidRPr="0052032C">
        <w:rPr>
          <w:lang w:eastAsia="ja-JP"/>
        </w:rPr>
        <w:lastRenderedPageBreak/>
        <w:t>Infections and Infestations (12.1%</w:t>
      </w:r>
      <w:r>
        <w:rPr>
          <w:lang w:eastAsia="ja-JP"/>
        </w:rPr>
        <w:t xml:space="preserve"> versus </w:t>
      </w:r>
      <w:r w:rsidRPr="0052032C">
        <w:rPr>
          <w:lang w:eastAsia="ja-JP"/>
        </w:rPr>
        <w:t>16.0%); no infection or infestation had a notably higher frequency in the G-chemo arm</w:t>
      </w:r>
    </w:p>
    <w:p w14:paraId="2A79FD9E" w14:textId="77777777" w:rsidR="0052032C" w:rsidRPr="0052032C" w:rsidRDefault="0052032C" w:rsidP="00B33B49">
      <w:pPr>
        <w:pStyle w:val="ListBullet"/>
        <w:rPr>
          <w:lang w:eastAsia="ja-JP"/>
        </w:rPr>
      </w:pPr>
      <w:r w:rsidRPr="0052032C">
        <w:rPr>
          <w:lang w:eastAsia="ja-JP"/>
        </w:rPr>
        <w:t>Skin and Subcutaneous Tissue Disorders (12.6%</w:t>
      </w:r>
      <w:r>
        <w:rPr>
          <w:lang w:eastAsia="ja-JP"/>
        </w:rPr>
        <w:t xml:space="preserve"> versus </w:t>
      </w:r>
      <w:r w:rsidRPr="0052032C">
        <w:rPr>
          <w:lang w:eastAsia="ja-JP"/>
        </w:rPr>
        <w:t>9.9%), mainly rash (5.0%</w:t>
      </w:r>
      <w:r>
        <w:rPr>
          <w:lang w:eastAsia="ja-JP"/>
        </w:rPr>
        <w:t xml:space="preserve"> versus </w:t>
      </w:r>
      <w:r w:rsidRPr="0052032C">
        <w:rPr>
          <w:lang w:eastAsia="ja-JP"/>
        </w:rPr>
        <w:t>2.2%) and pruritus (3.4%</w:t>
      </w:r>
      <w:r>
        <w:rPr>
          <w:lang w:eastAsia="ja-JP"/>
        </w:rPr>
        <w:t xml:space="preserve"> versus </w:t>
      </w:r>
      <w:r w:rsidRPr="0052032C">
        <w:rPr>
          <w:lang w:eastAsia="ja-JP"/>
        </w:rPr>
        <w:t>2.5%) (both more frequent in the R-chemo arm)</w:t>
      </w:r>
    </w:p>
    <w:p w14:paraId="25035D0F" w14:textId="77777777" w:rsidR="0052032C" w:rsidRPr="0052032C" w:rsidRDefault="0052032C" w:rsidP="00B33B49">
      <w:pPr>
        <w:pStyle w:val="ListBullet"/>
        <w:rPr>
          <w:lang w:eastAsia="ja-JP"/>
        </w:rPr>
      </w:pPr>
      <w:r w:rsidRPr="0052032C">
        <w:rPr>
          <w:lang w:eastAsia="ja-JP"/>
        </w:rPr>
        <w:t>Nervous System Disorders (9.2%</w:t>
      </w:r>
      <w:r>
        <w:rPr>
          <w:lang w:eastAsia="ja-JP"/>
        </w:rPr>
        <w:t xml:space="preserve"> versus </w:t>
      </w:r>
      <w:r w:rsidRPr="0052032C">
        <w:rPr>
          <w:lang w:eastAsia="ja-JP"/>
        </w:rPr>
        <w:t>12.9%), mainly peripheral sensory neuropathy (1.8%</w:t>
      </w:r>
      <w:r>
        <w:rPr>
          <w:lang w:eastAsia="ja-JP"/>
        </w:rPr>
        <w:t xml:space="preserve"> versus </w:t>
      </w:r>
      <w:r w:rsidRPr="0052032C">
        <w:rPr>
          <w:lang w:eastAsia="ja-JP"/>
        </w:rPr>
        <w:t>3.4%)</w:t>
      </w:r>
    </w:p>
    <w:p w14:paraId="177DD1C3" w14:textId="60F03369" w:rsidR="0052032C" w:rsidRPr="0052032C" w:rsidRDefault="0052032C" w:rsidP="0052032C">
      <w:pPr>
        <w:pStyle w:val="ListBullet"/>
        <w:rPr>
          <w:lang w:eastAsia="ja-JP"/>
        </w:rPr>
      </w:pPr>
      <w:r w:rsidRPr="0052032C">
        <w:rPr>
          <w:lang w:eastAsia="ja-JP"/>
        </w:rPr>
        <w:t>Gastrointestinal Disorders (8.7%</w:t>
      </w:r>
      <w:r>
        <w:rPr>
          <w:lang w:eastAsia="ja-JP"/>
        </w:rPr>
        <w:t xml:space="preserve"> versus </w:t>
      </w:r>
      <w:r w:rsidRPr="0052032C">
        <w:rPr>
          <w:lang w:eastAsia="ja-JP"/>
        </w:rPr>
        <w:t>12.8%), mainly nausea (3.4%</w:t>
      </w:r>
      <w:r>
        <w:rPr>
          <w:lang w:eastAsia="ja-JP"/>
        </w:rPr>
        <w:t xml:space="preserve"> versus </w:t>
      </w:r>
      <w:r w:rsidRPr="0052032C">
        <w:rPr>
          <w:lang w:eastAsia="ja-JP"/>
        </w:rPr>
        <w:t>5.9%) and vomiting (1.5%</w:t>
      </w:r>
      <w:r>
        <w:rPr>
          <w:lang w:eastAsia="ja-JP"/>
        </w:rPr>
        <w:t xml:space="preserve"> versus </w:t>
      </w:r>
      <w:r w:rsidRPr="0052032C">
        <w:rPr>
          <w:lang w:eastAsia="ja-JP"/>
        </w:rPr>
        <w:t>3.5%)</w:t>
      </w:r>
      <w:r w:rsidR="00B33B49">
        <w:rPr>
          <w:lang w:eastAsia="ja-JP"/>
        </w:rPr>
        <w:t>.</w:t>
      </w:r>
    </w:p>
    <w:p w14:paraId="50E4E0E2" w14:textId="24CBBC41" w:rsidR="0052032C" w:rsidRPr="00B33B49" w:rsidRDefault="0052032C" w:rsidP="00B33B49">
      <w:r w:rsidRPr="00B33B49">
        <w:t>Modifications to the rate of infusion/infusion delays of antibody (FL population) were more frequent in the G-chemo arm (389/595 patients (65.4%)) compared to the R-chemo arm (329/597 patients (55.1%)). The main drivers for the difference between the treatment arms were the higher frequency of IRRs, neutro</w:t>
      </w:r>
      <w:r w:rsidR="009E0FA6">
        <w:t>paenia</w:t>
      </w:r>
      <w:r w:rsidRPr="00B33B49">
        <w:t xml:space="preserve"> and infections/infestations in the G-chemo arm.</w:t>
      </w:r>
    </w:p>
    <w:p w14:paraId="082AC16F" w14:textId="36167180" w:rsidR="0052032C" w:rsidRPr="00B33B49" w:rsidRDefault="0052032C" w:rsidP="00B33B49">
      <w:r w:rsidRPr="00B33B49">
        <w:t>Chemotherapy dose modifications due to AEs (FL population) were more frequent in the G-chemo arm (37.5%) compared to the R-chemo arm (32.0%). According to the CSR no individual AEs were the main drivers for the difference in in</w:t>
      </w:r>
      <w:r w:rsidR="00B33B49">
        <w:t>cidence between treatment arms.</w:t>
      </w:r>
    </w:p>
    <w:p w14:paraId="03C3DA7B" w14:textId="3701C6C1" w:rsidR="0052032C" w:rsidRPr="0052032C" w:rsidRDefault="0052032C" w:rsidP="00B33B49">
      <w:pPr>
        <w:pStyle w:val="Comment"/>
        <w:rPr>
          <w:lang w:eastAsia="ja-JP"/>
        </w:rPr>
      </w:pPr>
      <w:bookmarkStart w:id="229" w:name="_Ref479853840"/>
      <w:r w:rsidRPr="0052032C">
        <w:rPr>
          <w:b/>
          <w:lang w:eastAsia="ja-JP"/>
        </w:rPr>
        <w:t xml:space="preserve">Question </w:t>
      </w:r>
      <w:r w:rsidR="00C17D19">
        <w:rPr>
          <w:b/>
          <w:lang w:eastAsia="ja-JP"/>
        </w:rPr>
        <w:t>6</w:t>
      </w:r>
      <w:r w:rsidRPr="0052032C">
        <w:rPr>
          <w:b/>
          <w:lang w:eastAsia="ja-JP"/>
        </w:rPr>
        <w:t>:</w:t>
      </w:r>
      <w:r w:rsidRPr="0052032C">
        <w:rPr>
          <w:lang w:eastAsia="ja-JP"/>
        </w:rPr>
        <w:t xml:space="preserve"> </w:t>
      </w:r>
      <w:r w:rsidR="00B33B49">
        <w:rPr>
          <w:lang w:eastAsia="ja-JP"/>
        </w:rPr>
        <w:t xml:space="preserve">For a section of the CSR: The evaluator was </w:t>
      </w:r>
      <w:r w:rsidRPr="0052032C">
        <w:rPr>
          <w:lang w:eastAsia="ja-JP"/>
        </w:rPr>
        <w:t>unable to locate the information regarding dose modifications due to adverse events for the overall safety population (only for the FL population). What are the corresponding data for the overall safety population?</w:t>
      </w:r>
      <w:bookmarkEnd w:id="229"/>
    </w:p>
    <w:p w14:paraId="0BA140E8" w14:textId="7A9F818A" w:rsidR="0052032C" w:rsidRPr="0052032C" w:rsidRDefault="0052032C" w:rsidP="00B33B49">
      <w:pPr>
        <w:pStyle w:val="Heading4"/>
      </w:pPr>
      <w:r w:rsidRPr="0052032C">
        <w:t xml:space="preserve">Adverse </w:t>
      </w:r>
      <w:r w:rsidR="00B33B49" w:rsidRPr="0052032C">
        <w:t>events of particular and special interest</w:t>
      </w:r>
    </w:p>
    <w:p w14:paraId="1442644B" w14:textId="4C5A73A5" w:rsidR="0052032C" w:rsidRPr="0052032C" w:rsidRDefault="0052032C" w:rsidP="0052032C">
      <w:pPr>
        <w:rPr>
          <w:lang w:eastAsia="ja-JP"/>
        </w:rPr>
      </w:pPr>
      <w:r w:rsidRPr="0052032C">
        <w:rPr>
          <w:lang w:eastAsia="ja-JP"/>
        </w:rPr>
        <w:t>Adverse events of particular interest (AEPIs) included all events of special interest (</w:t>
      </w:r>
      <w:r w:rsidRPr="00EF0C88">
        <w:rPr>
          <w:lang w:eastAsia="ja-JP"/>
        </w:rPr>
        <w:t xml:space="preserve">AESI; </w:t>
      </w:r>
      <w:r w:rsidR="00EF0C88">
        <w:rPr>
          <w:lang w:eastAsia="ja-JP"/>
        </w:rPr>
        <w:t>numbers or percentages given in italics</w:t>
      </w:r>
      <w:r w:rsidRPr="00EF0C88">
        <w:rPr>
          <w:lang w:eastAsia="ja-JP"/>
        </w:rPr>
        <w:t>)</w:t>
      </w:r>
      <w:r w:rsidRPr="0052032C">
        <w:rPr>
          <w:lang w:eastAsia="ja-JP"/>
        </w:rPr>
        <w:t xml:space="preserve"> and additionally, all events for which a separate analysis has been performed; see</w:t>
      </w:r>
      <w:r w:rsidR="00EF0C88">
        <w:rPr>
          <w:lang w:eastAsia="ja-JP"/>
        </w:rPr>
        <w:t xml:space="preserve"> Table 1</w:t>
      </w:r>
      <w:r w:rsidR="009330D3">
        <w:rPr>
          <w:lang w:eastAsia="ja-JP"/>
        </w:rPr>
        <w:t>6</w:t>
      </w:r>
      <w:r w:rsidR="00EF0C88">
        <w:rPr>
          <w:lang w:eastAsia="ja-JP"/>
        </w:rPr>
        <w:t xml:space="preserve"> </w:t>
      </w:r>
      <w:r w:rsidR="00C17D19">
        <w:rPr>
          <w:lang w:eastAsia="ja-JP"/>
        </w:rPr>
        <w:t>(</w:t>
      </w:r>
      <w:r w:rsidR="00EF0C88">
        <w:rPr>
          <w:lang w:eastAsia="ja-JP"/>
        </w:rPr>
        <w:t>shown below</w:t>
      </w:r>
      <w:r w:rsidR="00C17D19">
        <w:rPr>
          <w:lang w:eastAsia="ja-JP"/>
        </w:rPr>
        <w:t>)</w:t>
      </w:r>
      <w:r w:rsidR="00EF0C88">
        <w:rPr>
          <w:lang w:eastAsia="ja-JP"/>
        </w:rPr>
        <w:t xml:space="preserve"> for an overview</w:t>
      </w:r>
      <w:r w:rsidRPr="0052032C">
        <w:rPr>
          <w:lang w:eastAsia="ja-JP"/>
        </w:rPr>
        <w:t>. AEPIs were defined prior to the primary analysis based on the mode of action of obinutuzumab and the need to gat</w:t>
      </w:r>
      <w:r w:rsidR="003E6EBC">
        <w:rPr>
          <w:lang w:eastAsia="ja-JP"/>
        </w:rPr>
        <w:t>her further safety information.</w:t>
      </w:r>
    </w:p>
    <w:p w14:paraId="520E4D6A" w14:textId="72CE7240" w:rsidR="0052032C" w:rsidRPr="0052032C" w:rsidRDefault="0052032C" w:rsidP="00A277C3">
      <w:pPr>
        <w:pStyle w:val="Tabletitle"/>
        <w:pageBreakBefore/>
        <w:rPr>
          <w:lang w:eastAsia="ja-JP"/>
        </w:rPr>
      </w:pPr>
      <w:bookmarkStart w:id="230" w:name="_Ref479257402"/>
      <w:bookmarkStart w:id="231" w:name="_Toc481769215"/>
      <w:proofErr w:type="gramStart"/>
      <w:r w:rsidRPr="0052032C">
        <w:rPr>
          <w:lang w:eastAsia="ja-JP"/>
        </w:rPr>
        <w:lastRenderedPageBreak/>
        <w:t xml:space="preserve">Table </w:t>
      </w:r>
      <w:bookmarkEnd w:id="230"/>
      <w:r w:rsidR="00A47C7C">
        <w:rPr>
          <w:lang w:eastAsia="ja-JP"/>
        </w:rPr>
        <w:t>1</w:t>
      </w:r>
      <w:r w:rsidR="009330D3">
        <w:rPr>
          <w:lang w:eastAsia="ja-JP"/>
        </w:rPr>
        <w:t>6</w:t>
      </w:r>
      <w:r w:rsidR="003E6EBC">
        <w:rPr>
          <w:lang w:eastAsia="ja-JP"/>
        </w:rPr>
        <w:t>.</w:t>
      </w:r>
      <w:proofErr w:type="gramEnd"/>
      <w:r w:rsidRPr="0052032C">
        <w:rPr>
          <w:lang w:eastAsia="ja-JP"/>
        </w:rPr>
        <w:t xml:space="preserve"> AEs of </w:t>
      </w:r>
      <w:r w:rsidR="003E6EBC">
        <w:rPr>
          <w:lang w:eastAsia="ja-JP"/>
        </w:rPr>
        <w:t>particular interest and AE</w:t>
      </w:r>
      <w:r w:rsidR="003E6EBC" w:rsidRPr="0052032C">
        <w:rPr>
          <w:lang w:eastAsia="ja-JP"/>
        </w:rPr>
        <w:t>s of special interest</w:t>
      </w:r>
      <w:bookmarkEnd w:id="231"/>
    </w:p>
    <w:tbl>
      <w:tblPr>
        <w:tblStyle w:val="TableTGAblue"/>
        <w:tblW w:w="9322" w:type="dxa"/>
        <w:tblLook w:val="0020" w:firstRow="1" w:lastRow="0" w:firstColumn="0" w:lastColumn="0" w:noHBand="0" w:noVBand="0"/>
      </w:tblPr>
      <w:tblGrid>
        <w:gridCol w:w="2518"/>
        <w:gridCol w:w="6804"/>
      </w:tblGrid>
      <w:tr w:rsidR="0052032C" w:rsidRPr="0052032C" w14:paraId="28226F8A" w14:textId="77777777" w:rsidTr="00275451">
        <w:trPr>
          <w:cnfStyle w:val="100000000000" w:firstRow="1" w:lastRow="0" w:firstColumn="0" w:lastColumn="0" w:oddVBand="0" w:evenVBand="0" w:oddHBand="0" w:evenHBand="0" w:firstRowFirstColumn="0" w:firstRowLastColumn="0" w:lastRowFirstColumn="0" w:lastRowLastColumn="0"/>
          <w:cantSplit/>
          <w:trHeight w:hRule="exact" w:val="695"/>
          <w:tblHeader/>
        </w:trPr>
        <w:tc>
          <w:tcPr>
            <w:tcW w:w="2518" w:type="dxa"/>
          </w:tcPr>
          <w:p w14:paraId="09BCAFE1" w14:textId="77777777" w:rsidR="0052032C" w:rsidRPr="003E6EBC" w:rsidRDefault="0052032C" w:rsidP="00A277C3">
            <w:pPr>
              <w:rPr>
                <w:lang w:eastAsia="ja-JP"/>
              </w:rPr>
            </w:pPr>
            <w:bookmarkStart w:id="232" w:name="Table_2_AEs_of_Particular_Interest_and_A"/>
            <w:bookmarkStart w:id="233" w:name="bookmark0"/>
            <w:bookmarkEnd w:id="232"/>
            <w:bookmarkEnd w:id="233"/>
            <w:r w:rsidRPr="003E6EBC">
              <w:rPr>
                <w:lang w:eastAsia="ja-JP"/>
              </w:rPr>
              <w:t>Adverse Event of Particular Interest</w:t>
            </w:r>
          </w:p>
        </w:tc>
        <w:tc>
          <w:tcPr>
            <w:tcW w:w="6804" w:type="dxa"/>
          </w:tcPr>
          <w:p w14:paraId="653472BB" w14:textId="77777777" w:rsidR="0052032C" w:rsidRPr="003E6EBC" w:rsidRDefault="0052032C" w:rsidP="00A277C3">
            <w:pPr>
              <w:rPr>
                <w:lang w:eastAsia="ja-JP"/>
              </w:rPr>
            </w:pPr>
            <w:r w:rsidRPr="003E6EBC">
              <w:rPr>
                <w:lang w:eastAsia="ja-JP"/>
              </w:rPr>
              <w:t>Definition</w:t>
            </w:r>
          </w:p>
        </w:tc>
      </w:tr>
      <w:tr w:rsidR="0052032C" w:rsidRPr="0052032C" w14:paraId="33E0F442" w14:textId="77777777" w:rsidTr="00275451">
        <w:trPr>
          <w:trHeight w:hRule="exact" w:val="5978"/>
        </w:trPr>
        <w:tc>
          <w:tcPr>
            <w:tcW w:w="2518" w:type="dxa"/>
          </w:tcPr>
          <w:p w14:paraId="4C1DC16C" w14:textId="77777777" w:rsidR="0052032C" w:rsidRPr="0052032C" w:rsidRDefault="0052032C" w:rsidP="00A277C3">
            <w:pPr>
              <w:rPr>
                <w:lang w:eastAsia="ja-JP"/>
              </w:rPr>
            </w:pPr>
            <w:r w:rsidRPr="0052032C">
              <w:rPr>
                <w:lang w:eastAsia="ja-JP"/>
              </w:rPr>
              <w:t>Infusion Related Reactions (IRRs)</w:t>
            </w:r>
          </w:p>
        </w:tc>
        <w:tc>
          <w:tcPr>
            <w:tcW w:w="6804" w:type="dxa"/>
          </w:tcPr>
          <w:p w14:paraId="2C92203B" w14:textId="77777777" w:rsidR="0052032C" w:rsidRPr="0052032C" w:rsidRDefault="0052032C" w:rsidP="00A277C3">
            <w:pPr>
              <w:rPr>
                <w:lang w:eastAsia="ja-JP"/>
              </w:rPr>
            </w:pPr>
            <w:r w:rsidRPr="0052032C">
              <w:rPr>
                <w:lang w:eastAsia="ja-JP"/>
              </w:rPr>
              <w:t>IRRs are defined as AEs that are deemed related to any study treatment (not specific to obinutuzumab) by the investigator, which occurred during infusion or within 24 hours from the end of infusion.</w:t>
            </w:r>
          </w:p>
          <w:p w14:paraId="7CEB42A9" w14:textId="4377E62B" w:rsidR="0052032C" w:rsidRPr="0052032C" w:rsidRDefault="0052032C" w:rsidP="00A277C3">
            <w:pPr>
              <w:rPr>
                <w:lang w:eastAsia="ja-JP"/>
              </w:rPr>
            </w:pPr>
            <w:r w:rsidRPr="0052032C">
              <w:rPr>
                <w:lang w:eastAsia="ja-JP"/>
              </w:rPr>
              <w:t xml:space="preserve">Note: IRRs encompass AEs reported as the MedDRA PT </w:t>
            </w:r>
            <w:r>
              <w:rPr>
                <w:lang w:eastAsia="ja-JP"/>
              </w:rPr>
              <w:t>‘</w:t>
            </w:r>
            <w:r w:rsidRPr="0052032C">
              <w:rPr>
                <w:lang w:eastAsia="ja-JP"/>
              </w:rPr>
              <w:t>Infusion related reaction</w:t>
            </w:r>
            <w:r>
              <w:rPr>
                <w:lang w:eastAsia="ja-JP"/>
              </w:rPr>
              <w:t>’</w:t>
            </w:r>
            <w:r w:rsidRPr="0052032C">
              <w:rPr>
                <w:lang w:eastAsia="ja-JP"/>
              </w:rPr>
              <w:t xml:space="preserve"> (within the System Organ Class </w:t>
            </w:r>
            <w:r>
              <w:rPr>
                <w:lang w:eastAsia="ja-JP"/>
              </w:rPr>
              <w:t>‘</w:t>
            </w:r>
            <w:r w:rsidRPr="0052032C">
              <w:rPr>
                <w:lang w:eastAsia="ja-JP"/>
              </w:rPr>
              <w:t>Injury, Poisoning and Procedural Complications</w:t>
            </w:r>
            <w:r>
              <w:rPr>
                <w:lang w:eastAsia="ja-JP"/>
              </w:rPr>
              <w:t>’</w:t>
            </w:r>
            <w:r w:rsidRPr="0052032C">
              <w:rPr>
                <w:lang w:eastAsia="ja-JP"/>
              </w:rPr>
              <w:t>) together with repor</w:t>
            </w:r>
            <w:r w:rsidR="003E6EBC">
              <w:rPr>
                <w:lang w:eastAsia="ja-JP"/>
              </w:rPr>
              <w:t>ted signs and symptoms of IRRs.</w:t>
            </w:r>
          </w:p>
          <w:p w14:paraId="68693551" w14:textId="77777777" w:rsidR="0052032C" w:rsidRPr="0052032C" w:rsidRDefault="0052032C" w:rsidP="00A277C3">
            <w:pPr>
              <w:rPr>
                <w:lang w:eastAsia="ja-JP"/>
              </w:rPr>
            </w:pPr>
            <w:r w:rsidRPr="0052032C">
              <w:rPr>
                <w:lang w:eastAsia="ja-JP"/>
              </w:rPr>
              <w:t>In addition to the above IRR definition, antibody related IRRs and investigator assessed IRR will be investigated for exploratory assessment of IRR. The following definition will be used for exploratory purposes only:</w:t>
            </w:r>
          </w:p>
          <w:p w14:paraId="272F623B" w14:textId="77777777" w:rsidR="0052032C" w:rsidRPr="0052032C" w:rsidRDefault="0052032C" w:rsidP="00A277C3">
            <w:r w:rsidRPr="0052032C">
              <w:t>Antibody related IRRs defined as obinutuzumab/rituximab treatment-related AEs that occurred during or within 24 hours from end of infusion,</w:t>
            </w:r>
          </w:p>
          <w:p w14:paraId="5FD84A4C" w14:textId="77777777" w:rsidR="0052032C" w:rsidRPr="0052032C" w:rsidRDefault="0052032C" w:rsidP="00A277C3">
            <w:r w:rsidRPr="0052032C">
              <w:t>Investigator assessed IRRs defined as All AEs ticked as ‘AE qualifies as part of an Infusion Related Reaction’.</w:t>
            </w:r>
          </w:p>
          <w:p w14:paraId="07A72FC9" w14:textId="645FCA9E" w:rsidR="0052032C" w:rsidRPr="0052032C" w:rsidRDefault="0052032C" w:rsidP="00A277C3">
            <w:pPr>
              <w:rPr>
                <w:lang w:eastAsia="ja-JP"/>
              </w:rPr>
            </w:pPr>
            <w:r w:rsidRPr="009B525E">
              <w:rPr>
                <w:i/>
                <w:lang w:eastAsia="ja-JP"/>
              </w:rPr>
              <w:t>C</w:t>
            </w:r>
            <w:r w:rsidRPr="0052032C">
              <w:rPr>
                <w:i/>
                <w:iCs/>
                <w:lang w:eastAsia="ja-JP"/>
              </w:rPr>
              <w:t xml:space="preserve">hemotherapy related IRRs are defined as any chemotherapy </w:t>
            </w:r>
            <w:r w:rsidR="003E6EBC">
              <w:rPr>
                <w:i/>
                <w:iCs/>
                <w:lang w:eastAsia="ja-JP"/>
              </w:rPr>
              <w:t>treatment</w:t>
            </w:r>
            <w:r w:rsidRPr="0052032C">
              <w:rPr>
                <w:i/>
                <w:iCs/>
                <w:lang w:eastAsia="ja-JP"/>
              </w:rPr>
              <w:t xml:space="preserve"> related AEs that occurred during or within 24 hours from the end of infusion.</w:t>
            </w:r>
          </w:p>
        </w:tc>
      </w:tr>
      <w:tr w:rsidR="0052032C" w:rsidRPr="0052032C" w14:paraId="3243A707" w14:textId="77777777" w:rsidTr="00275451">
        <w:trPr>
          <w:trHeight w:hRule="exact" w:val="956"/>
        </w:trPr>
        <w:tc>
          <w:tcPr>
            <w:tcW w:w="2518" w:type="dxa"/>
          </w:tcPr>
          <w:p w14:paraId="58075155" w14:textId="56B030E3" w:rsidR="0052032C" w:rsidRPr="0052032C" w:rsidRDefault="0052032C" w:rsidP="00A277C3">
            <w:pPr>
              <w:rPr>
                <w:lang w:eastAsia="ja-JP"/>
              </w:rPr>
            </w:pPr>
            <w:r w:rsidRPr="0052032C">
              <w:rPr>
                <w:lang w:eastAsia="ja-JP"/>
              </w:rPr>
              <w:t>Neutrop</w:t>
            </w:r>
            <w:r w:rsidR="00EC2399">
              <w:rPr>
                <w:lang w:eastAsia="ja-JP"/>
              </w:rPr>
              <w:t>a</w:t>
            </w:r>
            <w:r w:rsidRPr="0052032C">
              <w:rPr>
                <w:lang w:eastAsia="ja-JP"/>
              </w:rPr>
              <w:t>enic Events</w:t>
            </w:r>
          </w:p>
        </w:tc>
        <w:tc>
          <w:tcPr>
            <w:tcW w:w="6804" w:type="dxa"/>
          </w:tcPr>
          <w:p w14:paraId="2BC7FD0D" w14:textId="5A32BC58" w:rsidR="0052032C" w:rsidRPr="0052032C" w:rsidRDefault="0052032C" w:rsidP="00A277C3">
            <w:pPr>
              <w:rPr>
                <w:lang w:eastAsia="ja-JP"/>
              </w:rPr>
            </w:pPr>
            <w:r w:rsidRPr="0052032C">
              <w:rPr>
                <w:lang w:eastAsia="ja-JP"/>
              </w:rPr>
              <w:t xml:space="preserve">Defined according to the </w:t>
            </w:r>
            <w:r w:rsidR="00EC2399">
              <w:rPr>
                <w:lang w:eastAsia="ja-JP"/>
              </w:rPr>
              <w:t>sponsor’s standard</w:t>
            </w:r>
            <w:r w:rsidRPr="0052032C">
              <w:rPr>
                <w:lang w:eastAsia="ja-JP"/>
              </w:rPr>
              <w:t xml:space="preserve"> AEGT </w:t>
            </w:r>
            <w:r>
              <w:rPr>
                <w:lang w:eastAsia="ja-JP"/>
              </w:rPr>
              <w:t>‘</w:t>
            </w:r>
            <w:r w:rsidRPr="0052032C">
              <w:rPr>
                <w:lang w:eastAsia="ja-JP"/>
              </w:rPr>
              <w:t>*Neutro</w:t>
            </w:r>
            <w:r w:rsidR="009E0FA6">
              <w:rPr>
                <w:lang w:eastAsia="ja-JP"/>
              </w:rPr>
              <w:t>paenia</w:t>
            </w:r>
            <w:r w:rsidRPr="0052032C">
              <w:rPr>
                <w:lang w:eastAsia="ja-JP"/>
              </w:rPr>
              <w:t xml:space="preserve"> and associated complications</w:t>
            </w:r>
            <w:r>
              <w:rPr>
                <w:lang w:eastAsia="ja-JP"/>
              </w:rPr>
              <w:t>’</w:t>
            </w:r>
            <w:r w:rsidRPr="0052032C">
              <w:rPr>
                <w:lang w:eastAsia="ja-JP"/>
              </w:rPr>
              <w:t>, and based on reported AEs rather than laboratory values.</w:t>
            </w:r>
          </w:p>
        </w:tc>
      </w:tr>
      <w:tr w:rsidR="0052032C" w:rsidRPr="0052032C" w14:paraId="1D338014" w14:textId="77777777" w:rsidTr="00275451">
        <w:trPr>
          <w:trHeight w:hRule="exact" w:val="713"/>
        </w:trPr>
        <w:tc>
          <w:tcPr>
            <w:tcW w:w="2518" w:type="dxa"/>
          </w:tcPr>
          <w:p w14:paraId="686B8012" w14:textId="779DC146" w:rsidR="0052032C" w:rsidRPr="0052032C" w:rsidRDefault="0052032C" w:rsidP="00A277C3">
            <w:pPr>
              <w:rPr>
                <w:lang w:eastAsia="ja-JP"/>
              </w:rPr>
            </w:pPr>
            <w:r w:rsidRPr="0052032C">
              <w:rPr>
                <w:lang w:eastAsia="ja-JP"/>
              </w:rPr>
              <w:t xml:space="preserve">Prolonged </w:t>
            </w:r>
            <w:r w:rsidRPr="00D54037">
              <w:rPr>
                <w:lang w:eastAsia="ja-JP"/>
              </w:rPr>
              <w:t>Neutrop</w:t>
            </w:r>
            <w:r w:rsidR="00EC2399" w:rsidRPr="00D54037">
              <w:rPr>
                <w:lang w:eastAsia="ja-JP"/>
              </w:rPr>
              <w:t>a</w:t>
            </w:r>
            <w:r w:rsidR="00D54037" w:rsidRPr="00D54037">
              <w:rPr>
                <w:lang w:eastAsia="ja-JP"/>
              </w:rPr>
              <w:t>enia</w:t>
            </w:r>
            <w:r w:rsidR="00D54037">
              <w:rPr>
                <w:vertAlign w:val="superscript"/>
                <w:lang w:eastAsia="ja-JP"/>
              </w:rPr>
              <w:t>1</w:t>
            </w:r>
          </w:p>
        </w:tc>
        <w:tc>
          <w:tcPr>
            <w:tcW w:w="6804" w:type="dxa"/>
          </w:tcPr>
          <w:p w14:paraId="7F1D2C25" w14:textId="116389C8" w:rsidR="0052032C" w:rsidRPr="0052032C" w:rsidRDefault="0052032C" w:rsidP="00A277C3">
            <w:pPr>
              <w:rPr>
                <w:lang w:eastAsia="ja-JP"/>
              </w:rPr>
            </w:pPr>
            <w:r w:rsidRPr="0052032C">
              <w:rPr>
                <w:lang w:eastAsia="ja-JP"/>
              </w:rPr>
              <w:t xml:space="preserve">Initial </w:t>
            </w:r>
            <w:r w:rsidR="00A47C7C">
              <w:rPr>
                <w:lang w:eastAsia="ja-JP"/>
              </w:rPr>
              <w:t>ANC &lt; 1.0 x</w:t>
            </w:r>
            <w:r w:rsidR="00D54037">
              <w:rPr>
                <w:lang w:eastAsia="ja-JP"/>
              </w:rPr>
              <w:t xml:space="preserve"> 109/L following LAA</w:t>
            </w:r>
            <w:r w:rsidR="00D54037">
              <w:rPr>
                <w:vertAlign w:val="superscript"/>
                <w:lang w:eastAsia="ja-JP"/>
              </w:rPr>
              <w:t>2</w:t>
            </w:r>
            <w:r w:rsidR="00A47C7C">
              <w:rPr>
                <w:lang w:eastAsia="ja-JP"/>
              </w:rPr>
              <w:t xml:space="preserve"> and ANC &lt; 1.0 x</w:t>
            </w:r>
            <w:r w:rsidRPr="0052032C">
              <w:rPr>
                <w:lang w:eastAsia="ja-JP"/>
              </w:rPr>
              <w:t xml:space="preserve"> 109/L at last previous visit before LAA</w:t>
            </w:r>
            <w:r w:rsidR="00C17D19">
              <w:rPr>
                <w:lang w:eastAsia="ja-JP"/>
              </w:rPr>
              <w:t>.</w:t>
            </w:r>
          </w:p>
        </w:tc>
      </w:tr>
      <w:tr w:rsidR="0052032C" w:rsidRPr="0052032C" w14:paraId="4297F920" w14:textId="77777777" w:rsidTr="00275451">
        <w:trPr>
          <w:trHeight w:hRule="exact" w:val="821"/>
        </w:trPr>
        <w:tc>
          <w:tcPr>
            <w:tcW w:w="2518" w:type="dxa"/>
          </w:tcPr>
          <w:p w14:paraId="5BC543D3" w14:textId="519D7EB3" w:rsidR="0052032C" w:rsidRPr="00D54037" w:rsidRDefault="00EC2399" w:rsidP="00A277C3">
            <w:pPr>
              <w:rPr>
                <w:vertAlign w:val="superscript"/>
                <w:lang w:eastAsia="ja-JP"/>
              </w:rPr>
            </w:pPr>
            <w:r>
              <w:rPr>
                <w:lang w:eastAsia="ja-JP"/>
              </w:rPr>
              <w:t>Late-onset Neutropaenia</w:t>
            </w:r>
            <w:r w:rsidR="00D54037">
              <w:rPr>
                <w:vertAlign w:val="superscript"/>
                <w:lang w:eastAsia="ja-JP"/>
              </w:rPr>
              <w:t>1</w:t>
            </w:r>
          </w:p>
        </w:tc>
        <w:tc>
          <w:tcPr>
            <w:tcW w:w="6804" w:type="dxa"/>
          </w:tcPr>
          <w:p w14:paraId="39C7D736" w14:textId="451352FD" w:rsidR="0052032C" w:rsidRPr="0052032C" w:rsidRDefault="0052032C" w:rsidP="00A277C3">
            <w:pPr>
              <w:rPr>
                <w:lang w:eastAsia="ja-JP"/>
              </w:rPr>
            </w:pPr>
            <w:r w:rsidRPr="0052032C">
              <w:rPr>
                <w:lang w:eastAsia="ja-JP"/>
              </w:rPr>
              <w:t>Initial A</w:t>
            </w:r>
            <w:r w:rsidR="00A47C7C">
              <w:rPr>
                <w:lang w:eastAsia="ja-JP"/>
              </w:rPr>
              <w:t xml:space="preserve">NC &lt; 1.0 x </w:t>
            </w:r>
            <w:r w:rsidR="00D54037">
              <w:rPr>
                <w:lang w:eastAsia="ja-JP"/>
              </w:rPr>
              <w:t>109/L following LAA</w:t>
            </w:r>
            <w:r w:rsidR="00D54037">
              <w:rPr>
                <w:vertAlign w:val="superscript"/>
                <w:lang w:eastAsia="ja-JP"/>
              </w:rPr>
              <w:t>3</w:t>
            </w:r>
            <w:r w:rsidRPr="0052032C">
              <w:rPr>
                <w:lang w:eastAsia="ja-JP"/>
              </w:rPr>
              <w:t xml:space="preserve"> and </w:t>
            </w:r>
            <w:r w:rsidR="00A47C7C">
              <w:rPr>
                <w:lang w:eastAsia="ja-JP"/>
              </w:rPr>
              <w:t xml:space="preserve">ANC within normal range (NR) (≥ 1.0 x </w:t>
            </w:r>
            <w:r w:rsidRPr="0052032C">
              <w:rPr>
                <w:lang w:eastAsia="ja-JP"/>
              </w:rPr>
              <w:t>109/L) at last previous visit before LAA</w:t>
            </w:r>
            <w:r w:rsidR="00C17D19">
              <w:rPr>
                <w:lang w:eastAsia="ja-JP"/>
              </w:rPr>
              <w:t>.</w:t>
            </w:r>
          </w:p>
        </w:tc>
      </w:tr>
      <w:tr w:rsidR="0052032C" w:rsidRPr="0052032C" w14:paraId="5A670D92" w14:textId="77777777" w:rsidTr="00275451">
        <w:trPr>
          <w:trHeight w:hRule="exact" w:val="677"/>
        </w:trPr>
        <w:tc>
          <w:tcPr>
            <w:tcW w:w="2518" w:type="dxa"/>
          </w:tcPr>
          <w:p w14:paraId="5B3D178A" w14:textId="77777777" w:rsidR="0052032C" w:rsidRPr="0052032C" w:rsidRDefault="0052032C" w:rsidP="00A277C3">
            <w:pPr>
              <w:rPr>
                <w:lang w:eastAsia="ja-JP"/>
              </w:rPr>
            </w:pPr>
            <w:r w:rsidRPr="0052032C">
              <w:rPr>
                <w:lang w:eastAsia="ja-JP"/>
              </w:rPr>
              <w:t>All Infections</w:t>
            </w:r>
          </w:p>
        </w:tc>
        <w:tc>
          <w:tcPr>
            <w:tcW w:w="6804" w:type="dxa"/>
          </w:tcPr>
          <w:p w14:paraId="51BCFDF2" w14:textId="77777777" w:rsidR="0052032C" w:rsidRPr="0052032C" w:rsidRDefault="0052032C" w:rsidP="00A277C3">
            <w:pPr>
              <w:rPr>
                <w:lang w:eastAsia="ja-JP"/>
              </w:rPr>
            </w:pPr>
            <w:r w:rsidRPr="0052032C">
              <w:rPr>
                <w:lang w:eastAsia="ja-JP"/>
              </w:rPr>
              <w:t xml:space="preserve">Defined as all PTs included in the system organ class (SOC) of </w:t>
            </w:r>
            <w:r>
              <w:rPr>
                <w:lang w:eastAsia="ja-JP"/>
              </w:rPr>
              <w:t>‘</w:t>
            </w:r>
            <w:r w:rsidRPr="0052032C">
              <w:rPr>
                <w:lang w:eastAsia="ja-JP"/>
              </w:rPr>
              <w:t>Infections and infestations</w:t>
            </w:r>
            <w:r>
              <w:rPr>
                <w:lang w:eastAsia="ja-JP"/>
              </w:rPr>
              <w:t>’</w:t>
            </w:r>
            <w:r w:rsidRPr="0052032C">
              <w:rPr>
                <w:lang w:eastAsia="ja-JP"/>
              </w:rPr>
              <w:t>.</w:t>
            </w:r>
          </w:p>
        </w:tc>
      </w:tr>
      <w:tr w:rsidR="0052032C" w:rsidRPr="0052032C" w14:paraId="60AAA7D2" w14:textId="77777777" w:rsidTr="00275451">
        <w:trPr>
          <w:trHeight w:hRule="exact" w:val="767"/>
        </w:trPr>
        <w:tc>
          <w:tcPr>
            <w:tcW w:w="2518" w:type="dxa"/>
          </w:tcPr>
          <w:p w14:paraId="3E808004" w14:textId="77777777" w:rsidR="0052032C" w:rsidRPr="0052032C" w:rsidRDefault="0052032C" w:rsidP="00A277C3">
            <w:pPr>
              <w:rPr>
                <w:lang w:eastAsia="ja-JP"/>
              </w:rPr>
            </w:pPr>
            <w:r w:rsidRPr="0052032C">
              <w:rPr>
                <w:lang w:eastAsia="ja-JP"/>
              </w:rPr>
              <w:t>All TLS events</w:t>
            </w:r>
          </w:p>
        </w:tc>
        <w:tc>
          <w:tcPr>
            <w:tcW w:w="6804" w:type="dxa"/>
          </w:tcPr>
          <w:p w14:paraId="62BBFB75" w14:textId="5FEC35C3" w:rsidR="0052032C" w:rsidRPr="0052032C" w:rsidRDefault="0052032C" w:rsidP="00A277C3">
            <w:pPr>
              <w:rPr>
                <w:lang w:eastAsia="ja-JP"/>
              </w:rPr>
            </w:pPr>
            <w:r w:rsidRPr="0052032C">
              <w:rPr>
                <w:lang w:eastAsia="ja-JP"/>
              </w:rPr>
              <w:t xml:space="preserve">Defined by the PT </w:t>
            </w:r>
            <w:r>
              <w:rPr>
                <w:lang w:eastAsia="ja-JP"/>
              </w:rPr>
              <w:t>‘</w:t>
            </w:r>
            <w:r w:rsidR="00D54037">
              <w:rPr>
                <w:lang w:eastAsia="ja-JP"/>
              </w:rPr>
              <w:t>tumour lysis syndrome’</w:t>
            </w:r>
            <w:r w:rsidRPr="0052032C">
              <w:rPr>
                <w:lang w:eastAsia="ja-JP"/>
              </w:rPr>
              <w:t xml:space="preserve">, from the SOC </w:t>
            </w:r>
            <w:r>
              <w:rPr>
                <w:lang w:eastAsia="ja-JP"/>
              </w:rPr>
              <w:t>‘</w:t>
            </w:r>
            <w:r w:rsidRPr="0052032C">
              <w:rPr>
                <w:lang w:eastAsia="ja-JP"/>
              </w:rPr>
              <w:t>Metabolism and Nutrition Disorders</w:t>
            </w:r>
            <w:r>
              <w:rPr>
                <w:lang w:eastAsia="ja-JP"/>
              </w:rPr>
              <w:t>’</w:t>
            </w:r>
            <w:r w:rsidRPr="0052032C">
              <w:rPr>
                <w:lang w:eastAsia="ja-JP"/>
              </w:rPr>
              <w:t>.</w:t>
            </w:r>
          </w:p>
        </w:tc>
      </w:tr>
      <w:tr w:rsidR="0052032C" w:rsidRPr="0052032C" w14:paraId="4404CF26" w14:textId="77777777" w:rsidTr="00275451">
        <w:trPr>
          <w:trHeight w:hRule="exact" w:val="785"/>
        </w:trPr>
        <w:tc>
          <w:tcPr>
            <w:tcW w:w="2518" w:type="dxa"/>
          </w:tcPr>
          <w:p w14:paraId="0DF507D9" w14:textId="67705AD3" w:rsidR="0052032C" w:rsidRPr="0052032C" w:rsidRDefault="0052032C" w:rsidP="00A277C3">
            <w:pPr>
              <w:rPr>
                <w:lang w:eastAsia="ja-JP"/>
              </w:rPr>
            </w:pPr>
            <w:r w:rsidRPr="0052032C">
              <w:rPr>
                <w:lang w:eastAsia="ja-JP"/>
              </w:rPr>
              <w:t>Thrombocyto</w:t>
            </w:r>
            <w:r w:rsidR="009E0FA6">
              <w:rPr>
                <w:lang w:eastAsia="ja-JP"/>
              </w:rPr>
              <w:t>paenia</w:t>
            </w:r>
          </w:p>
        </w:tc>
        <w:tc>
          <w:tcPr>
            <w:tcW w:w="6804" w:type="dxa"/>
          </w:tcPr>
          <w:p w14:paraId="0C3ABA2C" w14:textId="5C594F34" w:rsidR="0052032C" w:rsidRPr="0052032C" w:rsidRDefault="0052032C" w:rsidP="00A277C3">
            <w:pPr>
              <w:rPr>
                <w:lang w:eastAsia="ja-JP"/>
              </w:rPr>
            </w:pPr>
            <w:r w:rsidRPr="0052032C">
              <w:rPr>
                <w:lang w:eastAsia="ja-JP"/>
              </w:rPr>
              <w:t xml:space="preserve">Defined using standardized MedDRA query (SMQ) </w:t>
            </w:r>
            <w:r>
              <w:rPr>
                <w:lang w:eastAsia="ja-JP"/>
              </w:rPr>
              <w:t>‘</w:t>
            </w:r>
            <w:r w:rsidRPr="0052032C">
              <w:rPr>
                <w:lang w:eastAsia="ja-JP"/>
              </w:rPr>
              <w:t>Haematopoietic Thrombocyto</w:t>
            </w:r>
            <w:r w:rsidR="009E0FA6">
              <w:rPr>
                <w:lang w:eastAsia="ja-JP"/>
              </w:rPr>
              <w:t>paenia</w:t>
            </w:r>
            <w:r w:rsidRPr="0052032C">
              <w:rPr>
                <w:lang w:eastAsia="ja-JP"/>
              </w:rPr>
              <w:t xml:space="preserve"> narrow</w:t>
            </w:r>
            <w:r>
              <w:rPr>
                <w:lang w:eastAsia="ja-JP"/>
              </w:rPr>
              <w:t>’</w:t>
            </w:r>
            <w:r w:rsidRPr="0052032C">
              <w:rPr>
                <w:lang w:eastAsia="ja-JP"/>
              </w:rPr>
              <w:t xml:space="preserve"> (20000031n).</w:t>
            </w:r>
          </w:p>
        </w:tc>
      </w:tr>
      <w:tr w:rsidR="0052032C" w:rsidRPr="0052032C" w14:paraId="119BE82E" w14:textId="77777777" w:rsidTr="00275451">
        <w:trPr>
          <w:trHeight w:hRule="exact" w:val="947"/>
        </w:trPr>
        <w:tc>
          <w:tcPr>
            <w:tcW w:w="2518" w:type="dxa"/>
          </w:tcPr>
          <w:p w14:paraId="078BC23E" w14:textId="2C198E67" w:rsidR="0052032C" w:rsidRPr="0052032C" w:rsidRDefault="0052032C" w:rsidP="00A277C3">
            <w:pPr>
              <w:rPr>
                <w:lang w:eastAsia="ja-JP"/>
              </w:rPr>
            </w:pPr>
            <w:r w:rsidRPr="0052032C">
              <w:rPr>
                <w:lang w:eastAsia="ja-JP"/>
              </w:rPr>
              <w:t>Acute Thrombocytop</w:t>
            </w:r>
            <w:r w:rsidR="00EC2399">
              <w:rPr>
                <w:lang w:eastAsia="ja-JP"/>
              </w:rPr>
              <w:t>a</w:t>
            </w:r>
            <w:r w:rsidRPr="0052032C">
              <w:rPr>
                <w:lang w:eastAsia="ja-JP"/>
              </w:rPr>
              <w:t>enia</w:t>
            </w:r>
          </w:p>
        </w:tc>
        <w:tc>
          <w:tcPr>
            <w:tcW w:w="6804" w:type="dxa"/>
          </w:tcPr>
          <w:p w14:paraId="17A78B69" w14:textId="68FE9E3A" w:rsidR="0052032C" w:rsidRPr="0052032C" w:rsidRDefault="0052032C" w:rsidP="00A277C3">
            <w:pPr>
              <w:rPr>
                <w:lang w:eastAsia="ja-JP"/>
              </w:rPr>
            </w:pPr>
            <w:r w:rsidRPr="0052032C">
              <w:rPr>
                <w:lang w:eastAsia="ja-JP"/>
              </w:rPr>
              <w:t>Defined as thrombocyto</w:t>
            </w:r>
            <w:r w:rsidR="009E0FA6">
              <w:rPr>
                <w:lang w:eastAsia="ja-JP"/>
              </w:rPr>
              <w:t>paenia</w:t>
            </w:r>
            <w:r w:rsidRPr="0052032C">
              <w:rPr>
                <w:lang w:eastAsia="ja-JP"/>
              </w:rPr>
              <w:t xml:space="preserve"> (using SMQ </w:t>
            </w:r>
            <w:r>
              <w:rPr>
                <w:lang w:eastAsia="ja-JP"/>
              </w:rPr>
              <w:t>‘</w:t>
            </w:r>
            <w:r w:rsidRPr="0052032C">
              <w:rPr>
                <w:lang w:eastAsia="ja-JP"/>
              </w:rPr>
              <w:t>Haematopoietic thrombocyto</w:t>
            </w:r>
            <w:r w:rsidR="009E0FA6">
              <w:rPr>
                <w:lang w:eastAsia="ja-JP"/>
              </w:rPr>
              <w:t>paenia</w:t>
            </w:r>
            <w:r w:rsidRPr="0052032C">
              <w:rPr>
                <w:lang w:eastAsia="ja-JP"/>
              </w:rPr>
              <w:t xml:space="preserve"> narrow</w:t>
            </w:r>
            <w:r>
              <w:rPr>
                <w:lang w:eastAsia="ja-JP"/>
              </w:rPr>
              <w:t>’</w:t>
            </w:r>
            <w:r w:rsidRPr="0052032C">
              <w:rPr>
                <w:lang w:eastAsia="ja-JP"/>
              </w:rPr>
              <w:t xml:space="preserve"> (20000031n)) occurring during or within 24 hours post infusion.</w:t>
            </w:r>
          </w:p>
        </w:tc>
      </w:tr>
      <w:tr w:rsidR="0052032C" w:rsidRPr="0052032C" w14:paraId="060F2B46" w14:textId="77777777" w:rsidTr="00275451">
        <w:trPr>
          <w:trHeight w:hRule="exact" w:val="452"/>
        </w:trPr>
        <w:tc>
          <w:tcPr>
            <w:tcW w:w="2518" w:type="dxa"/>
          </w:tcPr>
          <w:p w14:paraId="2526E68F" w14:textId="77777777" w:rsidR="0052032C" w:rsidRPr="0052032C" w:rsidRDefault="0052032C" w:rsidP="00A277C3">
            <w:pPr>
              <w:rPr>
                <w:lang w:eastAsia="ja-JP"/>
              </w:rPr>
            </w:pPr>
            <w:r w:rsidRPr="0052032C">
              <w:rPr>
                <w:lang w:eastAsia="ja-JP"/>
              </w:rPr>
              <w:t>GI Perforation</w:t>
            </w:r>
          </w:p>
        </w:tc>
        <w:tc>
          <w:tcPr>
            <w:tcW w:w="6804" w:type="dxa"/>
          </w:tcPr>
          <w:p w14:paraId="6067B81D" w14:textId="77777777" w:rsidR="0052032C" w:rsidRPr="0052032C" w:rsidRDefault="0052032C" w:rsidP="00A277C3">
            <w:pPr>
              <w:rPr>
                <w:lang w:eastAsia="ja-JP"/>
              </w:rPr>
            </w:pPr>
            <w:r w:rsidRPr="0052032C">
              <w:rPr>
                <w:lang w:eastAsia="ja-JP"/>
              </w:rPr>
              <w:t xml:space="preserve">Defined using SMQ </w:t>
            </w:r>
            <w:r>
              <w:rPr>
                <w:lang w:eastAsia="ja-JP"/>
              </w:rPr>
              <w:t>‘</w:t>
            </w:r>
            <w:r w:rsidRPr="0052032C">
              <w:rPr>
                <w:lang w:eastAsia="ja-JP"/>
              </w:rPr>
              <w:t>Gastrointestinal perforation</w:t>
            </w:r>
            <w:r>
              <w:rPr>
                <w:lang w:eastAsia="ja-JP"/>
              </w:rPr>
              <w:t>’</w:t>
            </w:r>
            <w:r w:rsidRPr="0052032C">
              <w:rPr>
                <w:lang w:eastAsia="ja-JP"/>
              </w:rPr>
              <w:t xml:space="preserve"> (20000107 narrow).</w:t>
            </w:r>
          </w:p>
        </w:tc>
      </w:tr>
      <w:tr w:rsidR="0052032C" w:rsidRPr="0052032C" w14:paraId="6990F87D" w14:textId="77777777" w:rsidTr="00275451">
        <w:trPr>
          <w:trHeight w:hRule="exact" w:val="470"/>
        </w:trPr>
        <w:tc>
          <w:tcPr>
            <w:tcW w:w="2518" w:type="dxa"/>
          </w:tcPr>
          <w:p w14:paraId="0EFBBDC7" w14:textId="77777777" w:rsidR="0052032C" w:rsidRPr="0052032C" w:rsidRDefault="0052032C" w:rsidP="00A277C3">
            <w:pPr>
              <w:rPr>
                <w:lang w:eastAsia="ja-JP"/>
              </w:rPr>
            </w:pPr>
            <w:r w:rsidRPr="0052032C">
              <w:rPr>
                <w:lang w:eastAsia="ja-JP"/>
              </w:rPr>
              <w:t>Cardiac Events</w:t>
            </w:r>
          </w:p>
        </w:tc>
        <w:tc>
          <w:tcPr>
            <w:tcW w:w="6804" w:type="dxa"/>
          </w:tcPr>
          <w:p w14:paraId="6AAC283F" w14:textId="77777777" w:rsidR="0052032C" w:rsidRPr="0052032C" w:rsidRDefault="0052032C" w:rsidP="00A277C3">
            <w:pPr>
              <w:rPr>
                <w:lang w:eastAsia="ja-JP"/>
              </w:rPr>
            </w:pPr>
            <w:r w:rsidRPr="0052032C">
              <w:rPr>
                <w:lang w:eastAsia="ja-JP"/>
              </w:rPr>
              <w:t xml:space="preserve">Defined under the SOC </w:t>
            </w:r>
            <w:r>
              <w:rPr>
                <w:lang w:eastAsia="ja-JP"/>
              </w:rPr>
              <w:t>‘</w:t>
            </w:r>
            <w:r w:rsidRPr="0052032C">
              <w:rPr>
                <w:lang w:eastAsia="ja-JP"/>
              </w:rPr>
              <w:t>Cardiac disorders</w:t>
            </w:r>
            <w:r>
              <w:rPr>
                <w:lang w:eastAsia="ja-JP"/>
              </w:rPr>
              <w:t>’</w:t>
            </w:r>
            <w:r w:rsidRPr="0052032C">
              <w:rPr>
                <w:lang w:eastAsia="ja-JP"/>
              </w:rPr>
              <w:t>.</w:t>
            </w:r>
          </w:p>
        </w:tc>
      </w:tr>
      <w:tr w:rsidR="0052032C" w:rsidRPr="0052032C" w14:paraId="702E8F80" w14:textId="77777777" w:rsidTr="00275451">
        <w:trPr>
          <w:trHeight w:hRule="exact" w:val="974"/>
        </w:trPr>
        <w:tc>
          <w:tcPr>
            <w:tcW w:w="2518" w:type="dxa"/>
          </w:tcPr>
          <w:p w14:paraId="7999BA0F" w14:textId="77777777" w:rsidR="0052032C" w:rsidRPr="0052032C" w:rsidRDefault="0052032C" w:rsidP="00A277C3">
            <w:pPr>
              <w:rPr>
                <w:lang w:eastAsia="ja-JP"/>
              </w:rPr>
            </w:pPr>
            <w:r w:rsidRPr="0052032C">
              <w:rPr>
                <w:lang w:eastAsia="ja-JP"/>
              </w:rPr>
              <w:lastRenderedPageBreak/>
              <w:t>Second Malignancy</w:t>
            </w:r>
          </w:p>
        </w:tc>
        <w:tc>
          <w:tcPr>
            <w:tcW w:w="6804" w:type="dxa"/>
          </w:tcPr>
          <w:p w14:paraId="1983CBCF" w14:textId="77777777" w:rsidR="0052032C" w:rsidRPr="0052032C" w:rsidRDefault="0052032C" w:rsidP="00A277C3">
            <w:pPr>
              <w:rPr>
                <w:lang w:eastAsia="ja-JP"/>
              </w:rPr>
            </w:pPr>
            <w:r w:rsidRPr="0052032C">
              <w:rPr>
                <w:lang w:eastAsia="ja-JP"/>
              </w:rPr>
              <w:t xml:space="preserve">Defined by any PT under the SOC </w:t>
            </w:r>
            <w:r>
              <w:rPr>
                <w:lang w:eastAsia="ja-JP"/>
              </w:rPr>
              <w:t>‘</w:t>
            </w:r>
            <w:r w:rsidRPr="0052032C">
              <w:rPr>
                <w:lang w:eastAsia="ja-JP"/>
              </w:rPr>
              <w:t>Neoplasms benign, malignant and unspecified (incl. cysts and polyps)</w:t>
            </w:r>
            <w:r>
              <w:rPr>
                <w:lang w:eastAsia="ja-JP"/>
              </w:rPr>
              <w:t>’</w:t>
            </w:r>
            <w:r w:rsidRPr="0052032C">
              <w:rPr>
                <w:lang w:eastAsia="ja-JP"/>
              </w:rPr>
              <w:t xml:space="preserve"> starting 6 months after the first study drug intake.</w:t>
            </w:r>
          </w:p>
        </w:tc>
      </w:tr>
      <w:tr w:rsidR="00EC2399" w:rsidRPr="0052032C" w14:paraId="60528AB1" w14:textId="77777777" w:rsidTr="00A277C3">
        <w:trPr>
          <w:trHeight w:hRule="exact" w:val="3078"/>
        </w:trPr>
        <w:tc>
          <w:tcPr>
            <w:tcW w:w="2518" w:type="dxa"/>
          </w:tcPr>
          <w:p w14:paraId="60FC1B5E" w14:textId="33CB3464" w:rsidR="00EC2399" w:rsidRPr="0052032C" w:rsidRDefault="00EC2399" w:rsidP="00A277C3">
            <w:pPr>
              <w:rPr>
                <w:lang w:eastAsia="ja-JP"/>
              </w:rPr>
            </w:pPr>
            <w:r w:rsidRPr="0052032C">
              <w:rPr>
                <w:lang w:eastAsia="ja-JP"/>
              </w:rPr>
              <w:t>Hepatitis B reactivation</w:t>
            </w:r>
          </w:p>
        </w:tc>
        <w:tc>
          <w:tcPr>
            <w:tcW w:w="6804" w:type="dxa"/>
          </w:tcPr>
          <w:p w14:paraId="15A5BC0B" w14:textId="77777777" w:rsidR="00EC2399" w:rsidRPr="0052032C" w:rsidRDefault="00EC2399" w:rsidP="00A277C3">
            <w:pPr>
              <w:rPr>
                <w:lang w:eastAsia="ja-JP"/>
              </w:rPr>
            </w:pPr>
            <w:r w:rsidRPr="0052032C">
              <w:rPr>
                <w:lang w:eastAsia="ja-JP"/>
              </w:rPr>
              <w:t>If either one of the followings is met:</w:t>
            </w:r>
          </w:p>
          <w:p w14:paraId="122BB210" w14:textId="0B09036C" w:rsidR="00EC2399" w:rsidRPr="0052032C" w:rsidRDefault="00EC2399" w:rsidP="00A277C3">
            <w:pPr>
              <w:rPr>
                <w:lang w:eastAsia="ja-JP"/>
              </w:rPr>
            </w:pPr>
            <w:r w:rsidRPr="0052032C">
              <w:rPr>
                <w:lang w:eastAsia="ja-JP"/>
              </w:rPr>
              <w:t xml:space="preserve">A Hepatitis B reactivation AE, </w:t>
            </w:r>
            <w:r w:rsidR="00546E24">
              <w:rPr>
                <w:lang w:eastAsia="ja-JP"/>
              </w:rPr>
              <w:t>that is,</w:t>
            </w:r>
            <w:r w:rsidRPr="0052032C">
              <w:rPr>
                <w:lang w:eastAsia="ja-JP"/>
              </w:rPr>
              <w:t xml:space="preserve"> all AEs that have the response to the question ‘The AE is non-serious and qualifies for expedited reporting to the</w:t>
            </w:r>
            <w:r>
              <w:rPr>
                <w:lang w:eastAsia="ja-JP"/>
              </w:rPr>
              <w:t xml:space="preserve"> sponsor</w:t>
            </w:r>
            <w:r w:rsidRPr="0052032C">
              <w:rPr>
                <w:lang w:eastAsia="ja-JP"/>
              </w:rPr>
              <w:t xml:space="preserve"> per protocol due to the following criteria:’ selected as ‘Hepatitis B reactivation’ on the AE eCRF page.</w:t>
            </w:r>
          </w:p>
          <w:p w14:paraId="42B2CC40" w14:textId="73D4EC5F" w:rsidR="00EC2399" w:rsidRPr="0052032C" w:rsidRDefault="00EC2399" w:rsidP="00A277C3">
            <w:pPr>
              <w:rPr>
                <w:lang w:eastAsia="ja-JP"/>
              </w:rPr>
            </w:pPr>
            <w:r w:rsidRPr="0052032C">
              <w:rPr>
                <w:lang w:eastAsia="ja-JP"/>
              </w:rPr>
              <w:t>An elevation of H</w:t>
            </w:r>
            <w:r w:rsidR="00512FBA">
              <w:rPr>
                <w:lang w:eastAsia="ja-JP"/>
              </w:rPr>
              <w:t xml:space="preserve">BV DNA post baseline (HBV DNA </w:t>
            </w:r>
            <w:r w:rsidR="003E03C8">
              <w:rPr>
                <w:lang w:eastAsia="ja-JP"/>
              </w:rPr>
              <w:t xml:space="preserve">≥ </w:t>
            </w:r>
            <w:r w:rsidRPr="0052032C">
              <w:rPr>
                <w:lang w:eastAsia="ja-JP"/>
              </w:rPr>
              <w:t>100 IU/mL), using central laboratory results. HBV DNA positive is considered HBV-DNA ≥</w:t>
            </w:r>
            <w:r w:rsidR="00512FBA">
              <w:rPr>
                <w:lang w:eastAsia="ja-JP"/>
              </w:rPr>
              <w:t xml:space="preserve"> </w:t>
            </w:r>
            <w:r w:rsidRPr="0052032C">
              <w:rPr>
                <w:lang w:eastAsia="ja-JP"/>
              </w:rPr>
              <w:t>100 IU/mL in the reporting of Hepatitis B</w:t>
            </w:r>
            <w:r w:rsidR="00C17D19">
              <w:rPr>
                <w:lang w:eastAsia="ja-JP"/>
              </w:rPr>
              <w:t xml:space="preserve"> </w:t>
            </w:r>
            <w:r w:rsidRPr="0052032C">
              <w:rPr>
                <w:lang w:eastAsia="ja-JP"/>
              </w:rPr>
              <w:t>reactivation.</w:t>
            </w:r>
          </w:p>
        </w:tc>
      </w:tr>
      <w:tr w:rsidR="00EC2399" w:rsidRPr="0052032C" w14:paraId="593F1A4A" w14:textId="77777777" w:rsidTr="00A277C3">
        <w:trPr>
          <w:trHeight w:hRule="exact" w:val="1034"/>
        </w:trPr>
        <w:tc>
          <w:tcPr>
            <w:tcW w:w="2518" w:type="dxa"/>
          </w:tcPr>
          <w:p w14:paraId="2A6EEE90" w14:textId="03C04B83" w:rsidR="00EC2399" w:rsidRPr="00EC2399" w:rsidRDefault="00EC2399" w:rsidP="00A277C3">
            <w:r w:rsidRPr="00EC2399">
              <w:t>Adverse Event of Special Interest (AESI)</w:t>
            </w:r>
          </w:p>
        </w:tc>
        <w:tc>
          <w:tcPr>
            <w:tcW w:w="6804" w:type="dxa"/>
          </w:tcPr>
          <w:p w14:paraId="7CC2D3AA" w14:textId="49E8AE44" w:rsidR="00EC2399" w:rsidRPr="00EC2399" w:rsidRDefault="00EC2399" w:rsidP="00A277C3"/>
        </w:tc>
      </w:tr>
      <w:tr w:rsidR="00EC2399" w:rsidRPr="0052032C" w14:paraId="17EA8CD0" w14:textId="77777777" w:rsidTr="00275451">
        <w:trPr>
          <w:trHeight w:hRule="exact" w:val="974"/>
        </w:trPr>
        <w:tc>
          <w:tcPr>
            <w:tcW w:w="2518" w:type="dxa"/>
          </w:tcPr>
          <w:p w14:paraId="4FF00224" w14:textId="71A2EA4E" w:rsidR="00EC2399" w:rsidRPr="00EC2399" w:rsidRDefault="00EC2399" w:rsidP="00A277C3">
            <w:r w:rsidRPr="00EC2399">
              <w:t>IRRs (serious)</w:t>
            </w:r>
          </w:p>
        </w:tc>
        <w:tc>
          <w:tcPr>
            <w:tcW w:w="6804" w:type="dxa"/>
          </w:tcPr>
          <w:p w14:paraId="458EF219" w14:textId="1203B204" w:rsidR="00EC2399" w:rsidRPr="0052032C" w:rsidRDefault="00EC2399" w:rsidP="00A277C3">
            <w:pPr>
              <w:rPr>
                <w:lang w:eastAsia="ja-JP"/>
              </w:rPr>
            </w:pPr>
            <w:r w:rsidRPr="0052032C">
              <w:rPr>
                <w:lang w:eastAsia="ja-JP"/>
              </w:rPr>
              <w:t>Serious AEs related to study treatment (not specific to obinutuzumab) which occurred during infusion or within 24 hours from the end of infusion.</w:t>
            </w:r>
          </w:p>
        </w:tc>
      </w:tr>
      <w:tr w:rsidR="00EC2399" w:rsidRPr="0052032C" w14:paraId="76BEF923" w14:textId="77777777" w:rsidTr="00275451">
        <w:trPr>
          <w:trHeight w:hRule="exact" w:val="731"/>
        </w:trPr>
        <w:tc>
          <w:tcPr>
            <w:tcW w:w="2518" w:type="dxa"/>
          </w:tcPr>
          <w:p w14:paraId="2FE784FA" w14:textId="27868FD0" w:rsidR="00EC2399" w:rsidRPr="00EC2399" w:rsidRDefault="00EC2399" w:rsidP="00A277C3">
            <w:r w:rsidRPr="00EC2399">
              <w:t>Neutrop</w:t>
            </w:r>
            <w:r w:rsidR="00546E24">
              <w:t>a</w:t>
            </w:r>
            <w:r w:rsidRPr="00EC2399">
              <w:t>enic Events (serious)</w:t>
            </w:r>
          </w:p>
        </w:tc>
        <w:tc>
          <w:tcPr>
            <w:tcW w:w="6804" w:type="dxa"/>
          </w:tcPr>
          <w:p w14:paraId="5FE53213" w14:textId="7047EECF" w:rsidR="00EC2399" w:rsidRPr="0052032C" w:rsidRDefault="00EC2399" w:rsidP="00A277C3">
            <w:pPr>
              <w:rPr>
                <w:lang w:eastAsia="ja-JP"/>
              </w:rPr>
            </w:pPr>
            <w:r w:rsidRPr="0052032C">
              <w:rPr>
                <w:lang w:eastAsia="ja-JP"/>
              </w:rPr>
              <w:t xml:space="preserve">Serious AEs in the </w:t>
            </w:r>
            <w:r>
              <w:rPr>
                <w:lang w:eastAsia="ja-JP"/>
              </w:rPr>
              <w:t>sponsor’s</w:t>
            </w:r>
            <w:r w:rsidRPr="0052032C">
              <w:rPr>
                <w:lang w:eastAsia="ja-JP"/>
              </w:rPr>
              <w:t xml:space="preserve"> AEGT </w:t>
            </w:r>
            <w:r>
              <w:rPr>
                <w:lang w:eastAsia="ja-JP"/>
              </w:rPr>
              <w:t>‘</w:t>
            </w:r>
            <w:r w:rsidRPr="0052032C">
              <w:rPr>
                <w:lang w:eastAsia="ja-JP"/>
              </w:rPr>
              <w:t>*Neutrop</w:t>
            </w:r>
            <w:r w:rsidR="00546E24">
              <w:rPr>
                <w:lang w:eastAsia="ja-JP"/>
              </w:rPr>
              <w:t>a</w:t>
            </w:r>
            <w:r w:rsidRPr="0052032C">
              <w:rPr>
                <w:lang w:eastAsia="ja-JP"/>
              </w:rPr>
              <w:t>enia and associated complications</w:t>
            </w:r>
            <w:r>
              <w:rPr>
                <w:lang w:eastAsia="ja-JP"/>
              </w:rPr>
              <w:t>’</w:t>
            </w:r>
            <w:r w:rsidRPr="0052032C">
              <w:rPr>
                <w:lang w:eastAsia="ja-JP"/>
              </w:rPr>
              <w:t>.</w:t>
            </w:r>
          </w:p>
        </w:tc>
      </w:tr>
      <w:tr w:rsidR="00EC2399" w:rsidRPr="0052032C" w14:paraId="6FFF36B8" w14:textId="77777777" w:rsidTr="00275451">
        <w:trPr>
          <w:trHeight w:hRule="exact" w:val="452"/>
        </w:trPr>
        <w:tc>
          <w:tcPr>
            <w:tcW w:w="2518" w:type="dxa"/>
          </w:tcPr>
          <w:p w14:paraId="7EF39807" w14:textId="1C6356E1" w:rsidR="00EC2399" w:rsidRPr="00EC2399" w:rsidRDefault="00EC2399" w:rsidP="00A277C3">
            <w:r w:rsidRPr="00EC2399">
              <w:t>Infections (serious)</w:t>
            </w:r>
          </w:p>
        </w:tc>
        <w:tc>
          <w:tcPr>
            <w:tcW w:w="6804" w:type="dxa"/>
          </w:tcPr>
          <w:p w14:paraId="621C3A8E" w14:textId="2A08B3C8" w:rsidR="00EC2399" w:rsidRPr="0052032C" w:rsidRDefault="00EC2399" w:rsidP="00A277C3">
            <w:pPr>
              <w:rPr>
                <w:lang w:eastAsia="ja-JP"/>
              </w:rPr>
            </w:pPr>
            <w:r w:rsidRPr="0052032C">
              <w:rPr>
                <w:lang w:eastAsia="ja-JP"/>
              </w:rPr>
              <w:t xml:space="preserve">Serious AEs in the SOC </w:t>
            </w:r>
            <w:r>
              <w:rPr>
                <w:lang w:eastAsia="ja-JP"/>
              </w:rPr>
              <w:t>‘</w:t>
            </w:r>
            <w:r w:rsidRPr="0052032C">
              <w:rPr>
                <w:lang w:eastAsia="ja-JP"/>
              </w:rPr>
              <w:t>Infections and infestations</w:t>
            </w:r>
            <w:r>
              <w:rPr>
                <w:lang w:eastAsia="ja-JP"/>
              </w:rPr>
              <w:t>’</w:t>
            </w:r>
            <w:r w:rsidRPr="0052032C">
              <w:rPr>
                <w:lang w:eastAsia="ja-JP"/>
              </w:rPr>
              <w:t>.</w:t>
            </w:r>
          </w:p>
        </w:tc>
      </w:tr>
      <w:tr w:rsidR="00EC2399" w:rsidRPr="0052032C" w14:paraId="0FA4BD48" w14:textId="77777777" w:rsidTr="00275451">
        <w:trPr>
          <w:trHeight w:hRule="exact" w:val="974"/>
        </w:trPr>
        <w:tc>
          <w:tcPr>
            <w:tcW w:w="2518" w:type="dxa"/>
          </w:tcPr>
          <w:p w14:paraId="7650ED64" w14:textId="2AE5C26B" w:rsidR="00EC2399" w:rsidRPr="00EC2399" w:rsidRDefault="00EC2399" w:rsidP="00A277C3">
            <w:r w:rsidRPr="00EC2399">
              <w:t>TLS (all grades and irrespective of seriousness)</w:t>
            </w:r>
          </w:p>
        </w:tc>
        <w:tc>
          <w:tcPr>
            <w:tcW w:w="6804" w:type="dxa"/>
          </w:tcPr>
          <w:p w14:paraId="19AFFDB5" w14:textId="4A7CE3CF" w:rsidR="00EC2399" w:rsidRPr="0052032C" w:rsidRDefault="00EC2399" w:rsidP="00A277C3">
            <w:pPr>
              <w:rPr>
                <w:lang w:eastAsia="ja-JP"/>
              </w:rPr>
            </w:pPr>
            <w:r w:rsidRPr="0052032C">
              <w:rPr>
                <w:lang w:eastAsia="ja-JP"/>
              </w:rPr>
              <w:t xml:space="preserve">Defined by the PT </w:t>
            </w:r>
            <w:r>
              <w:rPr>
                <w:lang w:eastAsia="ja-JP"/>
              </w:rPr>
              <w:t>‘</w:t>
            </w:r>
            <w:r w:rsidR="00BB2C5B">
              <w:rPr>
                <w:lang w:eastAsia="ja-JP"/>
              </w:rPr>
              <w:t>Tumour</w:t>
            </w:r>
            <w:r w:rsidRPr="0052032C">
              <w:rPr>
                <w:lang w:eastAsia="ja-JP"/>
              </w:rPr>
              <w:t xml:space="preserve"> Lysis Syndrome</w:t>
            </w:r>
            <w:r>
              <w:rPr>
                <w:lang w:eastAsia="ja-JP"/>
              </w:rPr>
              <w:t>’</w:t>
            </w:r>
            <w:r w:rsidRPr="0052032C">
              <w:rPr>
                <w:lang w:eastAsia="ja-JP"/>
              </w:rPr>
              <w:t xml:space="preserve">, from the SOC </w:t>
            </w:r>
            <w:r>
              <w:rPr>
                <w:lang w:eastAsia="ja-JP"/>
              </w:rPr>
              <w:t>‘</w:t>
            </w:r>
            <w:r w:rsidRPr="0052032C">
              <w:rPr>
                <w:lang w:eastAsia="ja-JP"/>
              </w:rPr>
              <w:t>Metabolism and Nutrition Disorders</w:t>
            </w:r>
            <w:r>
              <w:rPr>
                <w:lang w:eastAsia="ja-JP"/>
              </w:rPr>
              <w:t>’</w:t>
            </w:r>
            <w:r w:rsidRPr="0052032C">
              <w:rPr>
                <w:lang w:eastAsia="ja-JP"/>
              </w:rPr>
              <w:t>.</w:t>
            </w:r>
          </w:p>
        </w:tc>
      </w:tr>
    </w:tbl>
    <w:p w14:paraId="423C6BAD" w14:textId="7B9A13D9" w:rsidR="0052032C" w:rsidRPr="0052032C" w:rsidRDefault="0052032C" w:rsidP="00B737DD">
      <w:pPr>
        <w:pStyle w:val="TableDescription"/>
        <w:rPr>
          <w:lang w:eastAsia="ja-JP"/>
        </w:rPr>
      </w:pPr>
      <w:bookmarkStart w:id="234" w:name="3.9.6.2_Laboratory_Data"/>
      <w:bookmarkEnd w:id="234"/>
      <w:r w:rsidRPr="0052032C">
        <w:rPr>
          <w:lang w:eastAsia="ja-JP"/>
        </w:rPr>
        <w:t xml:space="preserve">AE </w:t>
      </w:r>
      <w:r w:rsidR="00D54037">
        <w:rPr>
          <w:lang w:eastAsia="ja-JP"/>
        </w:rPr>
        <w:t xml:space="preserve">= adverse event; IRR = infusion related reaction; NR = normal range; SMQ = Standardized MedDRA Query; SOC = System Organ Class; TLS = </w:t>
      </w:r>
      <w:r w:rsidRPr="0052032C">
        <w:rPr>
          <w:lang w:eastAsia="ja-JP"/>
        </w:rPr>
        <w:t>tumo</w:t>
      </w:r>
      <w:r w:rsidR="00D54037">
        <w:rPr>
          <w:lang w:eastAsia="ja-JP"/>
        </w:rPr>
        <w:t>u</w:t>
      </w:r>
      <w:r w:rsidRPr="0052032C">
        <w:rPr>
          <w:lang w:eastAsia="ja-JP"/>
        </w:rPr>
        <w:t>r lysis syndrome.</w:t>
      </w:r>
      <w:r w:rsidR="00B737DD">
        <w:rPr>
          <w:lang w:eastAsia="ja-JP"/>
        </w:rPr>
        <w:t xml:space="preserve"> </w:t>
      </w:r>
      <w:r w:rsidR="00D54037">
        <w:rPr>
          <w:lang w:eastAsia="ja-JP"/>
        </w:rPr>
        <w:t xml:space="preserve">1) </w:t>
      </w:r>
      <w:r w:rsidRPr="0052032C">
        <w:rPr>
          <w:lang w:eastAsia="ja-JP"/>
        </w:rPr>
        <w:t>For patients who have had at least one dose of antibody and reached last antibody administration (LAA). Patients with no neutrophil assessment during the time interval will be excluded from this analysis. Patients wi</w:t>
      </w:r>
      <w:r w:rsidR="00D54037">
        <w:rPr>
          <w:lang w:eastAsia="ja-JP"/>
        </w:rPr>
        <w:t xml:space="preserve">ll be censored at point of NALT; 2) </w:t>
      </w:r>
      <w:r w:rsidRPr="0052032C">
        <w:rPr>
          <w:lang w:eastAsia="ja-JP"/>
        </w:rPr>
        <w:t xml:space="preserve">LAA Interval: LAA </w:t>
      </w:r>
      <w:r w:rsidR="003E03C8">
        <w:rPr>
          <w:lang w:eastAsia="ja-JP"/>
        </w:rPr>
        <w:t xml:space="preserve">+ 24 days, LAA + </w:t>
      </w:r>
      <w:r w:rsidR="00D54037">
        <w:rPr>
          <w:lang w:eastAsia="ja-JP"/>
        </w:rPr>
        <w:t xml:space="preserve">41 days; 3) </w:t>
      </w:r>
      <w:r w:rsidR="003E03C8">
        <w:rPr>
          <w:lang w:eastAsia="ja-JP"/>
        </w:rPr>
        <w:t xml:space="preserve">LAA Interval: LAA + 24 days, LAA + </w:t>
      </w:r>
      <w:r w:rsidRPr="0052032C">
        <w:rPr>
          <w:lang w:eastAsia="ja-JP"/>
        </w:rPr>
        <w:t>200 days.</w:t>
      </w:r>
      <w:r w:rsidR="00B737DD">
        <w:rPr>
          <w:lang w:eastAsia="ja-JP"/>
        </w:rPr>
        <w:t xml:space="preserve"> </w:t>
      </w:r>
      <w:r w:rsidRPr="0052032C">
        <w:rPr>
          <w:lang w:eastAsia="ja-JP"/>
        </w:rPr>
        <w:t>The data in this section is compiled from the CSR</w:t>
      </w:r>
      <w:r w:rsidR="00B737DD">
        <w:rPr>
          <w:lang w:eastAsia="ja-JP"/>
        </w:rPr>
        <w:t>.</w:t>
      </w:r>
    </w:p>
    <w:p w14:paraId="2C4C5463" w14:textId="1D21B8CE" w:rsidR="0052032C" w:rsidRPr="0052032C" w:rsidRDefault="0052032C" w:rsidP="00B737DD">
      <w:pPr>
        <w:pStyle w:val="Comment"/>
        <w:rPr>
          <w:lang w:eastAsia="ja-JP"/>
        </w:rPr>
      </w:pPr>
      <w:r w:rsidRPr="00D54037">
        <w:rPr>
          <w:b/>
          <w:lang w:eastAsia="ja-JP"/>
        </w:rPr>
        <w:t xml:space="preserve">Comment: </w:t>
      </w:r>
      <w:r w:rsidR="00D54037" w:rsidRPr="00D54037">
        <w:rPr>
          <w:b/>
          <w:lang w:eastAsia="ja-JP"/>
        </w:rPr>
        <w:t xml:space="preserve"> </w:t>
      </w:r>
      <w:r w:rsidR="00B737DD">
        <w:rPr>
          <w:lang w:eastAsia="ja-JP"/>
        </w:rPr>
        <w:t>The d</w:t>
      </w:r>
      <w:r w:rsidRPr="0052032C">
        <w:rPr>
          <w:lang w:eastAsia="ja-JP"/>
        </w:rPr>
        <w:t xml:space="preserve">ossier primarily details these events in the FL population with the general argument (for the entire safety section) that this is the population for which the indication is sought although the PI includes the entire safety population. Less detail is supplied for the overall safety population apart from a </w:t>
      </w:r>
      <w:r w:rsidR="00B737DD">
        <w:rPr>
          <w:lang w:eastAsia="ja-JP"/>
        </w:rPr>
        <w:t>4</w:t>
      </w:r>
      <w:r w:rsidRPr="0052032C">
        <w:rPr>
          <w:lang w:eastAsia="ja-JP"/>
        </w:rPr>
        <w:t xml:space="preserve"> page overview for the IRRs with links to tables in the dossier</w:t>
      </w:r>
      <w:r w:rsidR="00B737DD">
        <w:rPr>
          <w:lang w:eastAsia="ja-JP"/>
        </w:rPr>
        <w:t>.</w:t>
      </w:r>
    </w:p>
    <w:p w14:paraId="65D54A28" w14:textId="77777777" w:rsidR="00226640" w:rsidRDefault="0052032C" w:rsidP="00B737DD">
      <w:pPr>
        <w:pStyle w:val="Heading5"/>
        <w:rPr>
          <w:lang w:eastAsia="ja-JP"/>
        </w:rPr>
      </w:pPr>
      <w:bookmarkStart w:id="235" w:name="_Ref479761930"/>
      <w:r w:rsidRPr="0052032C">
        <w:rPr>
          <w:lang w:eastAsia="ja-JP"/>
        </w:rPr>
        <w:t>Infusion related reactions (IRRs)</w:t>
      </w:r>
      <w:bookmarkEnd w:id="235"/>
    </w:p>
    <w:p w14:paraId="59636E57" w14:textId="7E037610" w:rsidR="0052032C" w:rsidRPr="0052032C" w:rsidRDefault="0052032C" w:rsidP="0052032C">
      <w:pPr>
        <w:rPr>
          <w:lang w:eastAsia="ja-JP"/>
        </w:rPr>
      </w:pPr>
      <w:r w:rsidRPr="0052032C">
        <w:rPr>
          <w:lang w:eastAsia="ja-JP"/>
        </w:rPr>
        <w:t>IRRs were more frequent in the G-chemo arm compared to the R-chemo arm</w:t>
      </w:r>
      <w:r w:rsidR="00B737DD">
        <w:rPr>
          <w:lang w:eastAsia="ja-JP"/>
        </w:rPr>
        <w:t>, as show in Table</w:t>
      </w:r>
      <w:r w:rsidR="00546E24">
        <w:rPr>
          <w:lang w:eastAsia="ja-JP"/>
        </w:rPr>
        <w:t> </w:t>
      </w:r>
      <w:r w:rsidR="00B737DD">
        <w:rPr>
          <w:lang w:eastAsia="ja-JP"/>
        </w:rPr>
        <w:t>1</w:t>
      </w:r>
      <w:r w:rsidR="003E03C8">
        <w:rPr>
          <w:lang w:eastAsia="ja-JP"/>
        </w:rPr>
        <w:t>7</w:t>
      </w:r>
      <w:r w:rsidR="00B737DD">
        <w:rPr>
          <w:lang w:eastAsia="ja-JP"/>
        </w:rPr>
        <w:t xml:space="preserve"> below.</w:t>
      </w:r>
    </w:p>
    <w:p w14:paraId="568CEDF9" w14:textId="6B7BAE0D" w:rsidR="0052032C" w:rsidRPr="0052032C" w:rsidRDefault="003E03C8" w:rsidP="00B737DD">
      <w:pPr>
        <w:pStyle w:val="Tabletitle"/>
        <w:rPr>
          <w:lang w:eastAsia="ja-JP"/>
        </w:rPr>
      </w:pPr>
      <w:bookmarkStart w:id="236" w:name="_Toc481769216"/>
      <w:proofErr w:type="gramStart"/>
      <w:r>
        <w:rPr>
          <w:lang w:eastAsia="ja-JP"/>
        </w:rPr>
        <w:lastRenderedPageBreak/>
        <w:t>Table 17</w:t>
      </w:r>
      <w:r w:rsidR="00B737DD">
        <w:rPr>
          <w:lang w:eastAsia="ja-JP"/>
        </w:rPr>
        <w:t>.</w:t>
      </w:r>
      <w:proofErr w:type="gramEnd"/>
      <w:r w:rsidR="0052032C" w:rsidRPr="0052032C">
        <w:rPr>
          <w:lang w:eastAsia="ja-JP"/>
        </w:rPr>
        <w:t xml:space="preserve"> Summary of AEs and SAEs IRRs (FL safety population and </w:t>
      </w:r>
      <w:r w:rsidR="00B737DD">
        <w:rPr>
          <w:lang w:eastAsia="ja-JP"/>
        </w:rPr>
        <w:t>o</w:t>
      </w:r>
      <w:r w:rsidR="0052032C" w:rsidRPr="0052032C">
        <w:rPr>
          <w:lang w:eastAsia="ja-JP"/>
        </w:rPr>
        <w:t>verall safety population)</w:t>
      </w:r>
      <w:bookmarkEnd w:id="236"/>
    </w:p>
    <w:tbl>
      <w:tblPr>
        <w:tblStyle w:val="TableTGAblue"/>
        <w:tblW w:w="9180" w:type="dxa"/>
        <w:tblLook w:val="04A0" w:firstRow="1" w:lastRow="0" w:firstColumn="1" w:lastColumn="0" w:noHBand="0" w:noVBand="1"/>
      </w:tblPr>
      <w:tblGrid>
        <w:gridCol w:w="3510"/>
        <w:gridCol w:w="2898"/>
        <w:gridCol w:w="2772"/>
      </w:tblGrid>
      <w:tr w:rsidR="00B737DD" w:rsidRPr="0052032C" w14:paraId="243815BF" w14:textId="77777777" w:rsidTr="00D266EA">
        <w:trPr>
          <w:cnfStyle w:val="100000000000" w:firstRow="1" w:lastRow="0" w:firstColumn="0" w:lastColumn="0" w:oddVBand="0" w:evenVBand="0" w:oddHBand="0" w:evenHBand="0" w:firstRowFirstColumn="0" w:firstRowLastColumn="0" w:lastRowFirstColumn="0" w:lastRowLastColumn="0"/>
          <w:trHeight w:val="763"/>
          <w:tblHeader/>
        </w:trPr>
        <w:tc>
          <w:tcPr>
            <w:cnfStyle w:val="001000000000" w:firstRow="0" w:lastRow="0" w:firstColumn="1" w:lastColumn="0" w:oddVBand="0" w:evenVBand="0" w:oddHBand="0" w:evenHBand="0" w:firstRowFirstColumn="0" w:firstRowLastColumn="0" w:lastRowFirstColumn="0" w:lastRowLastColumn="0"/>
            <w:tcW w:w="3510" w:type="dxa"/>
          </w:tcPr>
          <w:p w14:paraId="779258A6" w14:textId="77777777" w:rsidR="0052032C" w:rsidRPr="00692378" w:rsidRDefault="0052032C" w:rsidP="00D266EA">
            <w:pPr>
              <w:rPr>
                <w:lang w:eastAsia="ja-JP"/>
              </w:rPr>
            </w:pPr>
          </w:p>
        </w:tc>
        <w:tc>
          <w:tcPr>
            <w:tcW w:w="2898" w:type="dxa"/>
          </w:tcPr>
          <w:p w14:paraId="445FC76C" w14:textId="70E0A248" w:rsidR="0052032C" w:rsidRPr="00692378" w:rsidRDefault="0052032C" w:rsidP="00D266EA">
            <w:pPr>
              <w:cnfStyle w:val="100000000000" w:firstRow="1" w:lastRow="0" w:firstColumn="0" w:lastColumn="0" w:oddVBand="0" w:evenVBand="0" w:oddHBand="0" w:evenHBand="0" w:firstRowFirstColumn="0" w:firstRowLastColumn="0" w:lastRowFirstColumn="0" w:lastRowLastColumn="0"/>
              <w:rPr>
                <w:lang w:eastAsia="ja-JP"/>
              </w:rPr>
            </w:pPr>
            <w:r w:rsidRPr="00692378">
              <w:rPr>
                <w:lang w:eastAsia="ja-JP"/>
              </w:rPr>
              <w:t>R-chemo (N</w:t>
            </w:r>
            <w:r w:rsidR="00B737DD" w:rsidRPr="00692378">
              <w:rPr>
                <w:lang w:eastAsia="ja-JP"/>
              </w:rPr>
              <w:t xml:space="preserve"> </w:t>
            </w:r>
            <w:r w:rsidRPr="00692378">
              <w:rPr>
                <w:lang w:eastAsia="ja-JP"/>
              </w:rPr>
              <w:t>=</w:t>
            </w:r>
            <w:r w:rsidR="00B737DD" w:rsidRPr="00692378">
              <w:rPr>
                <w:lang w:eastAsia="ja-JP"/>
              </w:rPr>
              <w:t xml:space="preserve"> </w:t>
            </w:r>
            <w:r w:rsidRPr="00692378">
              <w:rPr>
                <w:lang w:eastAsia="ja-JP"/>
              </w:rPr>
              <w:t>597) (N</w:t>
            </w:r>
            <w:r w:rsidR="00B737DD" w:rsidRPr="00692378">
              <w:rPr>
                <w:lang w:eastAsia="ja-JP"/>
              </w:rPr>
              <w:t> </w:t>
            </w:r>
            <w:r w:rsidRPr="00692378">
              <w:rPr>
                <w:lang w:eastAsia="ja-JP"/>
              </w:rPr>
              <w:t>=</w:t>
            </w:r>
            <w:r w:rsidR="00B737DD" w:rsidRPr="00692378">
              <w:rPr>
                <w:lang w:eastAsia="ja-JP"/>
              </w:rPr>
              <w:t> </w:t>
            </w:r>
            <w:r w:rsidRPr="00692378">
              <w:rPr>
                <w:lang w:eastAsia="ja-JP"/>
              </w:rPr>
              <w:t>692)</w:t>
            </w:r>
          </w:p>
        </w:tc>
        <w:tc>
          <w:tcPr>
            <w:tcW w:w="2772" w:type="dxa"/>
          </w:tcPr>
          <w:p w14:paraId="29726276" w14:textId="0134E74B" w:rsidR="0052032C" w:rsidRPr="00692378" w:rsidRDefault="0052032C" w:rsidP="00D266EA">
            <w:pPr>
              <w:cnfStyle w:val="100000000000" w:firstRow="1" w:lastRow="0" w:firstColumn="0" w:lastColumn="0" w:oddVBand="0" w:evenVBand="0" w:oddHBand="0" w:evenHBand="0" w:firstRowFirstColumn="0" w:firstRowLastColumn="0" w:lastRowFirstColumn="0" w:lastRowLastColumn="0"/>
              <w:rPr>
                <w:lang w:eastAsia="ja-JP"/>
              </w:rPr>
            </w:pPr>
            <w:r w:rsidRPr="00692378">
              <w:rPr>
                <w:lang w:eastAsia="ja-JP"/>
              </w:rPr>
              <w:t>G-chemo (N</w:t>
            </w:r>
            <w:r w:rsidR="00B737DD" w:rsidRPr="00692378">
              <w:rPr>
                <w:lang w:eastAsia="ja-JP"/>
              </w:rPr>
              <w:t> </w:t>
            </w:r>
            <w:r w:rsidRPr="00692378">
              <w:rPr>
                <w:lang w:eastAsia="ja-JP"/>
              </w:rPr>
              <w:t>=</w:t>
            </w:r>
            <w:r w:rsidR="00B737DD" w:rsidRPr="00692378">
              <w:rPr>
                <w:lang w:eastAsia="ja-JP"/>
              </w:rPr>
              <w:t> </w:t>
            </w:r>
            <w:r w:rsidRPr="00692378">
              <w:rPr>
                <w:lang w:eastAsia="ja-JP"/>
              </w:rPr>
              <w:t>595) (N</w:t>
            </w:r>
            <w:r w:rsidR="00B737DD" w:rsidRPr="00692378">
              <w:rPr>
                <w:lang w:eastAsia="ja-JP"/>
              </w:rPr>
              <w:t> </w:t>
            </w:r>
            <w:r w:rsidRPr="00692378">
              <w:rPr>
                <w:lang w:eastAsia="ja-JP"/>
              </w:rPr>
              <w:t>=</w:t>
            </w:r>
            <w:r w:rsidR="00B737DD" w:rsidRPr="00692378">
              <w:rPr>
                <w:lang w:eastAsia="ja-JP"/>
              </w:rPr>
              <w:t> </w:t>
            </w:r>
            <w:r w:rsidRPr="00692378">
              <w:rPr>
                <w:lang w:eastAsia="ja-JP"/>
              </w:rPr>
              <w:t>698)</w:t>
            </w:r>
          </w:p>
        </w:tc>
      </w:tr>
      <w:tr w:rsidR="00B737DD" w:rsidRPr="0052032C" w14:paraId="768DECA1" w14:textId="77777777" w:rsidTr="00275451">
        <w:tc>
          <w:tcPr>
            <w:cnfStyle w:val="001000000000" w:firstRow="0" w:lastRow="0" w:firstColumn="1" w:lastColumn="0" w:oddVBand="0" w:evenVBand="0" w:oddHBand="0" w:evenHBand="0" w:firstRowFirstColumn="0" w:firstRowLastColumn="0" w:lastRowFirstColumn="0" w:lastRowLastColumn="0"/>
            <w:tcW w:w="3510" w:type="dxa"/>
          </w:tcPr>
          <w:p w14:paraId="16A701CD" w14:textId="0E4929BA" w:rsidR="0052032C" w:rsidRPr="00692378" w:rsidRDefault="0052032C" w:rsidP="00D266EA">
            <w:pPr>
              <w:rPr>
                <w:lang w:eastAsia="ja-JP"/>
              </w:rPr>
            </w:pPr>
            <w:r w:rsidRPr="00692378">
              <w:rPr>
                <w:lang w:eastAsia="ja-JP"/>
              </w:rPr>
              <w:t xml:space="preserve">No. of patients with at least </w:t>
            </w:r>
            <w:r w:rsidR="00B737DD" w:rsidRPr="00692378">
              <w:rPr>
                <w:lang w:eastAsia="ja-JP"/>
              </w:rPr>
              <w:t>1</w:t>
            </w:r>
            <w:r w:rsidRPr="00692378">
              <w:rPr>
                <w:lang w:eastAsia="ja-JP"/>
              </w:rPr>
              <w:t xml:space="preserve"> AE</w:t>
            </w:r>
          </w:p>
        </w:tc>
        <w:tc>
          <w:tcPr>
            <w:tcW w:w="2898" w:type="dxa"/>
          </w:tcPr>
          <w:p w14:paraId="1FFCDEE8" w14:textId="57DD38EB" w:rsidR="0052032C" w:rsidRPr="00692378" w:rsidRDefault="00B737DD"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 xml:space="preserve">349 (58.5%), </w:t>
            </w:r>
            <w:r w:rsidR="0052032C" w:rsidRPr="00692378">
              <w:rPr>
                <w:lang w:eastAsia="ja-JP"/>
              </w:rPr>
              <w:t>401 (57.9%)</w:t>
            </w:r>
          </w:p>
        </w:tc>
        <w:tc>
          <w:tcPr>
            <w:tcW w:w="2772" w:type="dxa"/>
          </w:tcPr>
          <w:p w14:paraId="43001E0F" w14:textId="53A370C0"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406 (68.2%)</w:t>
            </w:r>
            <w:r w:rsidR="00B737DD" w:rsidRPr="00692378">
              <w:rPr>
                <w:lang w:eastAsia="ja-JP"/>
              </w:rPr>
              <w:t xml:space="preserve">, </w:t>
            </w:r>
            <w:r w:rsidRPr="00692378">
              <w:rPr>
                <w:lang w:eastAsia="ja-JP"/>
              </w:rPr>
              <w:t>486 (69.6%)</w:t>
            </w:r>
          </w:p>
        </w:tc>
      </w:tr>
      <w:tr w:rsidR="00B737DD" w:rsidRPr="0052032C" w14:paraId="060D6F20" w14:textId="77777777" w:rsidTr="00275451">
        <w:tc>
          <w:tcPr>
            <w:cnfStyle w:val="001000000000" w:firstRow="0" w:lastRow="0" w:firstColumn="1" w:lastColumn="0" w:oddVBand="0" w:evenVBand="0" w:oddHBand="0" w:evenHBand="0" w:firstRowFirstColumn="0" w:firstRowLastColumn="0" w:lastRowFirstColumn="0" w:lastRowLastColumn="0"/>
            <w:tcW w:w="3510" w:type="dxa"/>
          </w:tcPr>
          <w:p w14:paraId="3DBBCBC2" w14:textId="77777777" w:rsidR="0052032C" w:rsidRPr="00692378" w:rsidRDefault="0052032C" w:rsidP="00D266EA">
            <w:r w:rsidRPr="00692378">
              <w:t>No. of patients with serious AE</w:t>
            </w:r>
          </w:p>
        </w:tc>
        <w:tc>
          <w:tcPr>
            <w:tcW w:w="2898" w:type="dxa"/>
          </w:tcPr>
          <w:p w14:paraId="6884A146" w14:textId="357EA9C3" w:rsidR="0052032C" w:rsidRPr="00692378" w:rsidRDefault="00B737DD"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 xml:space="preserve">14 (2.3%), </w:t>
            </w:r>
            <w:r w:rsidR="0052032C" w:rsidRPr="00692378">
              <w:rPr>
                <w:lang w:eastAsia="ja-JP"/>
              </w:rPr>
              <w:t>23 (3.3%)</w:t>
            </w:r>
          </w:p>
        </w:tc>
        <w:tc>
          <w:tcPr>
            <w:tcW w:w="2772" w:type="dxa"/>
          </w:tcPr>
          <w:p w14:paraId="432BE56D" w14:textId="746437FC"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33 (5.5%)</w:t>
            </w:r>
            <w:r w:rsidR="00B737DD" w:rsidRPr="00692378">
              <w:rPr>
                <w:lang w:eastAsia="ja-JP"/>
              </w:rPr>
              <w:t xml:space="preserve">, </w:t>
            </w:r>
            <w:r w:rsidRPr="00692378">
              <w:rPr>
                <w:lang w:eastAsia="ja-JP"/>
              </w:rPr>
              <w:t>43 (6.2%)</w:t>
            </w:r>
          </w:p>
        </w:tc>
      </w:tr>
      <w:tr w:rsidR="00B737DD" w:rsidRPr="0052032C" w14:paraId="448BE311" w14:textId="77777777" w:rsidTr="00275451">
        <w:tc>
          <w:tcPr>
            <w:cnfStyle w:val="001000000000" w:firstRow="0" w:lastRow="0" w:firstColumn="1" w:lastColumn="0" w:oddVBand="0" w:evenVBand="0" w:oddHBand="0" w:evenHBand="0" w:firstRowFirstColumn="0" w:firstRowLastColumn="0" w:lastRowFirstColumn="0" w:lastRowLastColumn="0"/>
            <w:tcW w:w="3510" w:type="dxa"/>
          </w:tcPr>
          <w:p w14:paraId="4C6CE103" w14:textId="77777777" w:rsidR="0052032C" w:rsidRPr="00692378" w:rsidRDefault="0052032C" w:rsidP="00D266EA">
            <w:pPr>
              <w:rPr>
                <w:lang w:eastAsia="ja-JP"/>
              </w:rPr>
            </w:pPr>
            <w:r w:rsidRPr="00692378">
              <w:rPr>
                <w:lang w:eastAsia="ja-JP"/>
              </w:rPr>
              <w:t>Total number of AEs:</w:t>
            </w:r>
          </w:p>
          <w:p w14:paraId="08010763" w14:textId="77777777" w:rsidR="0052032C" w:rsidRPr="00692378" w:rsidRDefault="0052032C" w:rsidP="00D266EA">
            <w:pPr>
              <w:rPr>
                <w:lang w:eastAsia="ja-JP"/>
              </w:rPr>
            </w:pPr>
            <w:r w:rsidRPr="00692378">
              <w:rPr>
                <w:lang w:eastAsia="ja-JP"/>
              </w:rPr>
              <w:t>Grade 1:</w:t>
            </w:r>
          </w:p>
          <w:p w14:paraId="2A850588" w14:textId="77777777" w:rsidR="0052032C" w:rsidRPr="00692378" w:rsidRDefault="0052032C" w:rsidP="00D266EA">
            <w:pPr>
              <w:rPr>
                <w:lang w:eastAsia="ja-JP"/>
              </w:rPr>
            </w:pPr>
            <w:r w:rsidRPr="00692378">
              <w:rPr>
                <w:lang w:eastAsia="ja-JP"/>
              </w:rPr>
              <w:t>Grade 2:</w:t>
            </w:r>
          </w:p>
          <w:p w14:paraId="4C31FE75" w14:textId="77777777" w:rsidR="0052032C" w:rsidRPr="00692378" w:rsidRDefault="0052032C" w:rsidP="00D266EA">
            <w:pPr>
              <w:rPr>
                <w:lang w:eastAsia="ja-JP"/>
              </w:rPr>
            </w:pPr>
            <w:r w:rsidRPr="00692378">
              <w:rPr>
                <w:lang w:eastAsia="ja-JP"/>
              </w:rPr>
              <w:t>Grade 3:</w:t>
            </w:r>
          </w:p>
          <w:p w14:paraId="34FBB65B" w14:textId="77777777" w:rsidR="0052032C" w:rsidRPr="00692378" w:rsidRDefault="0052032C" w:rsidP="00D266EA">
            <w:pPr>
              <w:rPr>
                <w:lang w:eastAsia="ja-JP"/>
              </w:rPr>
            </w:pPr>
            <w:r w:rsidRPr="00692378">
              <w:rPr>
                <w:lang w:eastAsia="ja-JP"/>
              </w:rPr>
              <w:t>Grade 4:</w:t>
            </w:r>
          </w:p>
        </w:tc>
        <w:tc>
          <w:tcPr>
            <w:tcW w:w="2898" w:type="dxa"/>
          </w:tcPr>
          <w:p w14:paraId="378F9175" w14:textId="5791B8AE"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1540</w:t>
            </w:r>
            <w:r w:rsidR="00B737DD" w:rsidRPr="00692378">
              <w:rPr>
                <w:lang w:eastAsia="ja-JP"/>
              </w:rPr>
              <w:t>, 1833</w:t>
            </w:r>
          </w:p>
          <w:p w14:paraId="19CC0B86" w14:textId="618D8842"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867</w:t>
            </w:r>
            <w:r w:rsidR="00B737DD" w:rsidRPr="00692378">
              <w:rPr>
                <w:lang w:eastAsia="ja-JP"/>
              </w:rPr>
              <w:t xml:space="preserve">, </w:t>
            </w:r>
            <w:r w:rsidRPr="00692378">
              <w:rPr>
                <w:lang w:eastAsia="ja-JP"/>
              </w:rPr>
              <w:t>1004</w:t>
            </w:r>
          </w:p>
          <w:p w14:paraId="43E2DB3C" w14:textId="62E1939E"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595</w:t>
            </w:r>
            <w:r w:rsidR="00B737DD" w:rsidRPr="00692378">
              <w:rPr>
                <w:lang w:eastAsia="ja-JP"/>
              </w:rPr>
              <w:t xml:space="preserve">, </w:t>
            </w:r>
            <w:r w:rsidRPr="00692378">
              <w:rPr>
                <w:lang w:eastAsia="ja-JP"/>
              </w:rPr>
              <w:t>725</w:t>
            </w:r>
          </w:p>
          <w:p w14:paraId="7101788B" w14:textId="40752463"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75</w:t>
            </w:r>
            <w:r w:rsidR="00B737DD" w:rsidRPr="00692378">
              <w:rPr>
                <w:lang w:eastAsia="ja-JP"/>
              </w:rPr>
              <w:t xml:space="preserve">, </w:t>
            </w:r>
            <w:r w:rsidRPr="00692378">
              <w:rPr>
                <w:lang w:eastAsia="ja-JP"/>
              </w:rPr>
              <w:t>98</w:t>
            </w:r>
          </w:p>
          <w:p w14:paraId="607A4DFA" w14:textId="050C2FA4"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3</w:t>
            </w:r>
            <w:r w:rsidR="00B737DD" w:rsidRPr="00692378">
              <w:rPr>
                <w:lang w:eastAsia="ja-JP"/>
              </w:rPr>
              <w:t xml:space="preserve">, </w:t>
            </w:r>
            <w:r w:rsidRPr="00692378">
              <w:rPr>
                <w:lang w:eastAsia="ja-JP"/>
              </w:rPr>
              <w:t>6</w:t>
            </w:r>
          </w:p>
        </w:tc>
        <w:tc>
          <w:tcPr>
            <w:tcW w:w="2772" w:type="dxa"/>
          </w:tcPr>
          <w:p w14:paraId="4F0E55CC" w14:textId="08B20261"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2023</w:t>
            </w:r>
            <w:r w:rsidR="00B737DD" w:rsidRPr="00692378">
              <w:rPr>
                <w:lang w:eastAsia="ja-JP"/>
              </w:rPr>
              <w:t xml:space="preserve">, </w:t>
            </w:r>
            <w:r w:rsidRPr="00692378">
              <w:rPr>
                <w:lang w:eastAsia="ja-JP"/>
              </w:rPr>
              <w:t>2483</w:t>
            </w:r>
          </w:p>
          <w:p w14:paraId="73FE551D" w14:textId="3C9FD73D"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1105</w:t>
            </w:r>
            <w:r w:rsidR="00B737DD" w:rsidRPr="00692378">
              <w:rPr>
                <w:lang w:eastAsia="ja-JP"/>
              </w:rPr>
              <w:t xml:space="preserve">, </w:t>
            </w:r>
            <w:r w:rsidRPr="00692378">
              <w:rPr>
                <w:lang w:eastAsia="ja-JP"/>
              </w:rPr>
              <w:t>1328</w:t>
            </w:r>
          </w:p>
          <w:p w14:paraId="7F1429D9" w14:textId="396EECE1"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765</w:t>
            </w:r>
            <w:r w:rsidR="00B737DD" w:rsidRPr="00692378">
              <w:rPr>
                <w:lang w:eastAsia="ja-JP"/>
              </w:rPr>
              <w:t xml:space="preserve">, </w:t>
            </w:r>
            <w:r w:rsidRPr="00692378">
              <w:rPr>
                <w:lang w:eastAsia="ja-JP"/>
              </w:rPr>
              <w:t>973</w:t>
            </w:r>
          </w:p>
          <w:p w14:paraId="439674D3" w14:textId="75BBAEDD"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124</w:t>
            </w:r>
            <w:r w:rsidR="00B737DD" w:rsidRPr="00692378">
              <w:rPr>
                <w:lang w:eastAsia="ja-JP"/>
              </w:rPr>
              <w:t xml:space="preserve">, </w:t>
            </w:r>
            <w:r w:rsidRPr="00692378">
              <w:rPr>
                <w:lang w:eastAsia="ja-JP"/>
              </w:rPr>
              <w:t>147</w:t>
            </w:r>
          </w:p>
          <w:p w14:paraId="7E0C9A64" w14:textId="255F8E93"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29</w:t>
            </w:r>
            <w:r w:rsidR="00B737DD" w:rsidRPr="00692378">
              <w:rPr>
                <w:lang w:eastAsia="ja-JP"/>
              </w:rPr>
              <w:t xml:space="preserve">, </w:t>
            </w:r>
            <w:r w:rsidRPr="00692378">
              <w:rPr>
                <w:lang w:eastAsia="ja-JP"/>
              </w:rPr>
              <w:t>35</w:t>
            </w:r>
          </w:p>
        </w:tc>
      </w:tr>
      <w:tr w:rsidR="00B737DD" w:rsidRPr="0052032C" w14:paraId="4902ACAE" w14:textId="77777777" w:rsidTr="00275451">
        <w:tc>
          <w:tcPr>
            <w:cnfStyle w:val="001000000000" w:firstRow="0" w:lastRow="0" w:firstColumn="1" w:lastColumn="0" w:oddVBand="0" w:evenVBand="0" w:oddHBand="0" w:evenHBand="0" w:firstRowFirstColumn="0" w:firstRowLastColumn="0" w:lastRowFirstColumn="0" w:lastRowLastColumn="0"/>
            <w:tcW w:w="3510" w:type="dxa"/>
          </w:tcPr>
          <w:p w14:paraId="4592DD04" w14:textId="77777777" w:rsidR="0052032C" w:rsidRPr="00692378" w:rsidRDefault="0052032C" w:rsidP="00D266EA">
            <w:pPr>
              <w:rPr>
                <w:lang w:eastAsia="ja-JP"/>
              </w:rPr>
            </w:pPr>
            <w:r w:rsidRPr="00692378">
              <w:rPr>
                <w:lang w:eastAsia="ja-JP"/>
              </w:rPr>
              <w:t>No. of serious AEs</w:t>
            </w:r>
          </w:p>
        </w:tc>
        <w:tc>
          <w:tcPr>
            <w:tcW w:w="2898" w:type="dxa"/>
          </w:tcPr>
          <w:p w14:paraId="2E35B420" w14:textId="6CBA0A39"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31</w:t>
            </w:r>
            <w:r w:rsidR="00B737DD" w:rsidRPr="00692378">
              <w:rPr>
                <w:lang w:eastAsia="ja-JP"/>
              </w:rPr>
              <w:t xml:space="preserve">, </w:t>
            </w:r>
            <w:r w:rsidRPr="00692378">
              <w:rPr>
                <w:lang w:eastAsia="ja-JP"/>
              </w:rPr>
              <w:t>49</w:t>
            </w:r>
          </w:p>
        </w:tc>
        <w:tc>
          <w:tcPr>
            <w:tcW w:w="2772" w:type="dxa"/>
          </w:tcPr>
          <w:p w14:paraId="5D4C0903" w14:textId="4FC7F16D"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82</w:t>
            </w:r>
            <w:r w:rsidR="00B737DD" w:rsidRPr="00692378">
              <w:rPr>
                <w:lang w:eastAsia="ja-JP"/>
              </w:rPr>
              <w:t xml:space="preserve">, </w:t>
            </w:r>
            <w:r w:rsidRPr="00692378">
              <w:rPr>
                <w:lang w:eastAsia="ja-JP"/>
              </w:rPr>
              <w:t>111</w:t>
            </w:r>
          </w:p>
        </w:tc>
      </w:tr>
    </w:tbl>
    <w:p w14:paraId="5D5981B5" w14:textId="5A1680CC" w:rsidR="0052032C" w:rsidRPr="00B737DD" w:rsidRDefault="0052032C" w:rsidP="00B737DD">
      <w:r w:rsidRPr="00B737DD">
        <w:t>The main difference between arms was driven by the IR</w:t>
      </w:r>
      <w:r w:rsidR="00B737DD">
        <w:t>Rs occurring in Cycle 1, Day 1.</w:t>
      </w:r>
    </w:p>
    <w:p w14:paraId="4DD1DDA3" w14:textId="0A5E8811" w:rsidR="0052032C" w:rsidRPr="0052032C" w:rsidRDefault="0052032C" w:rsidP="0052032C">
      <w:pPr>
        <w:rPr>
          <w:lang w:eastAsia="ja-JP"/>
        </w:rPr>
      </w:pPr>
      <w:r w:rsidRPr="0052032C">
        <w:rPr>
          <w:lang w:eastAsia="ja-JP"/>
        </w:rPr>
        <w:t>The incidence of IRRs in Cycle 2 decreased dramatically in the G-chemo arm, and continued to decrease in subsequent cycles. The incidence of IRRs in Cycles 2</w:t>
      </w:r>
      <w:r w:rsidR="00942FE8">
        <w:rPr>
          <w:lang w:eastAsia="ja-JP"/>
        </w:rPr>
        <w:t xml:space="preserve"> to </w:t>
      </w:r>
      <w:r w:rsidRPr="0052032C">
        <w:rPr>
          <w:lang w:eastAsia="ja-JP"/>
        </w:rPr>
        <w:t>5 in the R-chemo arm decreased from Cycle 2 onwards and continued to decrease with each cycle. In Cycle 2 and 3 the incidence of IRRs was higher in the R-chemo arm than the G-chemo arm</w:t>
      </w:r>
      <w:r w:rsidR="00942FE8">
        <w:rPr>
          <w:lang w:eastAsia="ja-JP"/>
        </w:rPr>
        <w:t>,</w:t>
      </w:r>
      <w:r w:rsidRPr="0052032C">
        <w:rPr>
          <w:lang w:eastAsia="ja-JP"/>
        </w:rPr>
        <w:t xml:space="preserve"> and from Cycle 4 onwards (during induction and maintenance) the incidence was comparable in the </w:t>
      </w:r>
      <w:r w:rsidR="00546E24">
        <w:rPr>
          <w:lang w:eastAsia="ja-JP"/>
        </w:rPr>
        <w:t>2</w:t>
      </w:r>
      <w:r w:rsidR="00546E24" w:rsidRPr="0052032C">
        <w:rPr>
          <w:lang w:eastAsia="ja-JP"/>
        </w:rPr>
        <w:t xml:space="preserve"> </w:t>
      </w:r>
      <w:r w:rsidRPr="0052032C">
        <w:rPr>
          <w:lang w:eastAsia="ja-JP"/>
        </w:rPr>
        <w:t>arms.</w:t>
      </w:r>
    </w:p>
    <w:p w14:paraId="6C4723F0" w14:textId="4DF311FD" w:rsidR="0052032C" w:rsidRPr="0052032C" w:rsidRDefault="00942FE8" w:rsidP="0052032C">
      <w:pPr>
        <w:rPr>
          <w:lang w:eastAsia="ja-JP"/>
        </w:rPr>
      </w:pPr>
      <w:r>
        <w:rPr>
          <w:lang w:eastAsia="ja-JP"/>
        </w:rPr>
        <w:t xml:space="preserve">In high </w:t>
      </w:r>
      <w:r w:rsidR="0052032C" w:rsidRPr="0052032C">
        <w:rPr>
          <w:lang w:eastAsia="ja-JP"/>
        </w:rPr>
        <w:t xml:space="preserve">risk (FL) patients (high tumour burden and/or high peripheral lymphocyte count) the antibody infusion could be split over </w:t>
      </w:r>
      <w:r>
        <w:rPr>
          <w:lang w:eastAsia="ja-JP"/>
        </w:rPr>
        <w:t>2</w:t>
      </w:r>
      <w:r w:rsidR="0052032C" w:rsidRPr="0052032C">
        <w:rPr>
          <w:lang w:eastAsia="ja-JP"/>
        </w:rPr>
        <w:t xml:space="preserve"> days. 14/15 patients (93.3%) in the R-chemo arm and 39/43 patients (90.7%) in the G-chemo arm receiving a split dose experienced an infusion related AE, compared to 335/582 patients (57.6%) and 367/552 patients (66.5%), respectively</w:t>
      </w:r>
      <w:r>
        <w:rPr>
          <w:lang w:eastAsia="ja-JP"/>
        </w:rPr>
        <w:t>.</w:t>
      </w:r>
    </w:p>
    <w:p w14:paraId="003A9FA2" w14:textId="058DF5E8" w:rsidR="0052032C" w:rsidRPr="0052032C" w:rsidRDefault="0052032C" w:rsidP="0052032C">
      <w:pPr>
        <w:rPr>
          <w:lang w:eastAsia="ja-JP"/>
        </w:rPr>
      </w:pPr>
      <w:r w:rsidRPr="0052032C">
        <w:rPr>
          <w:lang w:eastAsia="ja-JP"/>
        </w:rPr>
        <w:t>For the definition of IRR</w:t>
      </w:r>
      <w:r w:rsidR="00942FE8">
        <w:rPr>
          <w:lang w:eastAsia="ja-JP"/>
        </w:rPr>
        <w:t>, see Table 1</w:t>
      </w:r>
      <w:r w:rsidR="006B4FD4">
        <w:rPr>
          <w:lang w:eastAsia="ja-JP"/>
        </w:rPr>
        <w:t>6</w:t>
      </w:r>
      <w:r w:rsidR="00942FE8">
        <w:rPr>
          <w:lang w:eastAsia="ja-JP"/>
        </w:rPr>
        <w:t xml:space="preserve"> above.</w:t>
      </w:r>
    </w:p>
    <w:p w14:paraId="63871197" w14:textId="7FAA8C38" w:rsidR="00942FE8" w:rsidRDefault="0052032C" w:rsidP="00942FE8">
      <w:pPr>
        <w:pStyle w:val="Comment"/>
        <w:rPr>
          <w:lang w:eastAsia="ja-JP"/>
        </w:rPr>
      </w:pPr>
      <w:r w:rsidRPr="00942FE8">
        <w:rPr>
          <w:b/>
          <w:lang w:eastAsia="ja-JP"/>
        </w:rPr>
        <w:t>Comment:</w:t>
      </w:r>
      <w:r w:rsidRPr="0052032C">
        <w:rPr>
          <w:lang w:eastAsia="ja-JP"/>
        </w:rPr>
        <w:t xml:space="preserve"> </w:t>
      </w:r>
      <w:r w:rsidR="00942FE8">
        <w:rPr>
          <w:lang w:eastAsia="ja-JP"/>
        </w:rPr>
        <w:t xml:space="preserve"> </w:t>
      </w:r>
      <w:r w:rsidRPr="0052032C">
        <w:rPr>
          <w:lang w:eastAsia="ja-JP"/>
        </w:rPr>
        <w:t xml:space="preserve">There were more IRRs in the overall population compared to the follicular population. Elderly patients have more </w:t>
      </w:r>
      <w:proofErr w:type="gramStart"/>
      <w:r w:rsidRPr="0052032C">
        <w:rPr>
          <w:lang w:eastAsia="ja-JP"/>
        </w:rPr>
        <w:t>co</w:t>
      </w:r>
      <w:r w:rsidR="008E396E">
        <w:rPr>
          <w:lang w:eastAsia="ja-JP"/>
        </w:rPr>
        <w:t>-</w:t>
      </w:r>
      <w:r w:rsidRPr="0052032C">
        <w:rPr>
          <w:lang w:eastAsia="ja-JP"/>
        </w:rPr>
        <w:t>morbidities</w:t>
      </w:r>
      <w:proofErr w:type="gramEnd"/>
      <w:r w:rsidRPr="0052032C">
        <w:rPr>
          <w:lang w:eastAsia="ja-JP"/>
        </w:rPr>
        <w:t>, for instance cardiovascular problems, which could be an issue in relation to IRRs and subsequently th</w:t>
      </w:r>
      <w:r w:rsidR="00942FE8">
        <w:rPr>
          <w:lang w:eastAsia="ja-JP"/>
        </w:rPr>
        <w:t>e choice of anti-CD20 antibody.</w:t>
      </w:r>
    </w:p>
    <w:p w14:paraId="6ECFEDC6" w14:textId="1DF6FE4F" w:rsidR="0052032C" w:rsidRPr="0052032C" w:rsidRDefault="0052032C" w:rsidP="00942FE8">
      <w:pPr>
        <w:pStyle w:val="Comment"/>
        <w:ind w:firstLine="0"/>
        <w:rPr>
          <w:lang w:eastAsia="ja-JP"/>
        </w:rPr>
      </w:pPr>
      <w:r w:rsidRPr="0052032C">
        <w:rPr>
          <w:lang w:eastAsia="ja-JP"/>
        </w:rPr>
        <w:t xml:space="preserve">There is a 450 page listing of all patients and their IRRs in the CSR but </w:t>
      </w:r>
      <w:r w:rsidR="004E437D">
        <w:rPr>
          <w:lang w:eastAsia="ja-JP"/>
        </w:rPr>
        <w:t>the evaluator</w:t>
      </w:r>
      <w:r w:rsidR="004E437D" w:rsidRPr="0052032C">
        <w:rPr>
          <w:lang w:eastAsia="ja-JP"/>
        </w:rPr>
        <w:t xml:space="preserve"> </w:t>
      </w:r>
      <w:r w:rsidRPr="0052032C">
        <w:rPr>
          <w:lang w:eastAsia="ja-JP"/>
        </w:rPr>
        <w:t>cannot find any list of the various IRR preferred terms by incidence (for instance nausea, vomiting, pyrexia, chills, flushing, chest pain, hypertension, hypotension, rash, and pruritus). The most frequently reported IRR related symptoms (≥</w:t>
      </w:r>
      <w:r w:rsidR="00942FE8">
        <w:rPr>
          <w:lang w:eastAsia="ja-JP"/>
        </w:rPr>
        <w:t xml:space="preserve"> </w:t>
      </w:r>
      <w:r w:rsidRPr="0052032C">
        <w:rPr>
          <w:lang w:eastAsia="ja-JP"/>
        </w:rPr>
        <w:t xml:space="preserve">5%) </w:t>
      </w:r>
      <w:r w:rsidR="00942FE8">
        <w:rPr>
          <w:lang w:eastAsia="ja-JP"/>
        </w:rPr>
        <w:t xml:space="preserve">are listed in the annotated PI </w:t>
      </w:r>
      <w:r w:rsidRPr="0052032C">
        <w:rPr>
          <w:lang w:eastAsia="ja-JP"/>
        </w:rPr>
        <w:t xml:space="preserve">with reference to </w:t>
      </w:r>
      <w:r>
        <w:rPr>
          <w:lang w:eastAsia="ja-JP"/>
        </w:rPr>
        <w:t>Study BO</w:t>
      </w:r>
      <w:r w:rsidRPr="0052032C">
        <w:rPr>
          <w:lang w:eastAsia="ja-JP"/>
        </w:rPr>
        <w:t>21223 CSR, so the data supporting that list has to be presented for the overall safety population</w:t>
      </w:r>
      <w:r w:rsidR="00942FE8">
        <w:rPr>
          <w:lang w:eastAsia="ja-JP"/>
        </w:rPr>
        <w:t>.</w:t>
      </w:r>
    </w:p>
    <w:p w14:paraId="39E1B639" w14:textId="48E6C0A9" w:rsidR="0052032C" w:rsidRPr="0052032C" w:rsidRDefault="0052032C" w:rsidP="00942FE8">
      <w:pPr>
        <w:pStyle w:val="Heading5"/>
        <w:rPr>
          <w:lang w:eastAsia="ja-JP"/>
        </w:rPr>
      </w:pPr>
      <w:bookmarkStart w:id="237" w:name="_Ref479338940"/>
      <w:bookmarkStart w:id="238" w:name="_Ref479694645"/>
      <w:proofErr w:type="spellStart"/>
      <w:r w:rsidRPr="0052032C">
        <w:rPr>
          <w:lang w:eastAsia="ja-JP"/>
        </w:rPr>
        <w:t>Neutrop</w:t>
      </w:r>
      <w:r w:rsidR="00942FE8">
        <w:rPr>
          <w:lang w:eastAsia="ja-JP"/>
        </w:rPr>
        <w:t>a</w:t>
      </w:r>
      <w:r w:rsidRPr="0052032C">
        <w:rPr>
          <w:lang w:eastAsia="ja-JP"/>
        </w:rPr>
        <w:t>enic</w:t>
      </w:r>
      <w:proofErr w:type="spellEnd"/>
      <w:r w:rsidRPr="0052032C">
        <w:rPr>
          <w:lang w:eastAsia="ja-JP"/>
        </w:rPr>
        <w:t xml:space="preserve"> </w:t>
      </w:r>
      <w:r w:rsidR="00D266EA">
        <w:rPr>
          <w:lang w:eastAsia="ja-JP"/>
        </w:rPr>
        <w:t>e</w:t>
      </w:r>
      <w:r w:rsidRPr="0052032C">
        <w:rPr>
          <w:lang w:eastAsia="ja-JP"/>
        </w:rPr>
        <w:t>vents</w:t>
      </w:r>
      <w:bookmarkEnd w:id="237"/>
      <w:r w:rsidRPr="0052032C">
        <w:rPr>
          <w:lang w:eastAsia="ja-JP"/>
        </w:rPr>
        <w:t xml:space="preserve"> (overall safety population)</w:t>
      </w:r>
      <w:bookmarkEnd w:id="238"/>
    </w:p>
    <w:p w14:paraId="231874C3" w14:textId="206283F6" w:rsidR="0052032C" w:rsidRPr="00942FE8" w:rsidRDefault="0052032C" w:rsidP="0052032C">
      <w:pPr>
        <w:rPr>
          <w:lang w:eastAsia="ja-JP"/>
        </w:rPr>
      </w:pPr>
      <w:r w:rsidRPr="00942FE8">
        <w:rPr>
          <w:lang w:eastAsia="ja-JP"/>
        </w:rPr>
        <w:t>The incidence of neutrop</w:t>
      </w:r>
      <w:r w:rsidR="00546E24">
        <w:rPr>
          <w:lang w:eastAsia="ja-JP"/>
        </w:rPr>
        <w:t>a</w:t>
      </w:r>
      <w:r w:rsidRPr="00942FE8">
        <w:rPr>
          <w:lang w:eastAsia="ja-JP"/>
        </w:rPr>
        <w:t>enia AEs in the FL population (defined using the</w:t>
      </w:r>
      <w:r w:rsidR="00942FE8">
        <w:rPr>
          <w:lang w:eastAsia="ja-JP"/>
        </w:rPr>
        <w:t xml:space="preserve"> sponsor’s</w:t>
      </w:r>
      <w:r w:rsidRPr="00942FE8">
        <w:rPr>
          <w:lang w:eastAsia="ja-JP"/>
        </w:rPr>
        <w:t xml:space="preserve"> standard </w:t>
      </w:r>
      <w:r w:rsidR="00942FE8">
        <w:rPr>
          <w:lang w:eastAsia="ja-JP"/>
        </w:rPr>
        <w:t xml:space="preserve">AEGT </w:t>
      </w:r>
      <w:r w:rsidRPr="00942FE8">
        <w:rPr>
          <w:lang w:eastAsia="ja-JP"/>
        </w:rPr>
        <w:t>‘Neutrop</w:t>
      </w:r>
      <w:r w:rsidR="00942FE8">
        <w:rPr>
          <w:lang w:eastAsia="ja-JP"/>
        </w:rPr>
        <w:t>a</w:t>
      </w:r>
      <w:r w:rsidRPr="00942FE8">
        <w:rPr>
          <w:lang w:eastAsia="ja-JP"/>
        </w:rPr>
        <w:t>enia and associated complications’) was hig</w:t>
      </w:r>
      <w:r w:rsidR="00942FE8">
        <w:rPr>
          <w:lang w:eastAsia="ja-JP"/>
        </w:rPr>
        <w:t>her in the G-chemo arm (301/595 </w:t>
      </w:r>
      <w:r w:rsidRPr="00942FE8">
        <w:rPr>
          <w:lang w:eastAsia="ja-JP"/>
        </w:rPr>
        <w:t>patients (50.6%)) than in the R-chemo arm (269/597 patients (45.1%)</w:t>
      </w:r>
      <w:r w:rsidR="00942FE8">
        <w:rPr>
          <w:lang w:eastAsia="ja-JP"/>
        </w:rPr>
        <w:t>).</w:t>
      </w:r>
    </w:p>
    <w:p w14:paraId="7C441E53" w14:textId="37FAC4E3" w:rsidR="0052032C" w:rsidRPr="00942FE8" w:rsidRDefault="0052032C" w:rsidP="0052032C">
      <w:pPr>
        <w:rPr>
          <w:lang w:eastAsia="ja-JP"/>
        </w:rPr>
      </w:pPr>
      <w:r w:rsidRPr="00942FE8">
        <w:rPr>
          <w:lang w:eastAsia="ja-JP"/>
        </w:rPr>
        <w:t>The summari</w:t>
      </w:r>
      <w:r w:rsidR="00942FE8">
        <w:rPr>
          <w:lang w:eastAsia="ja-JP"/>
        </w:rPr>
        <w:t>s</w:t>
      </w:r>
      <w:r w:rsidRPr="00942FE8">
        <w:rPr>
          <w:lang w:eastAsia="ja-JP"/>
        </w:rPr>
        <w:t>ed data for the overall safety population, listed in the CSR</w:t>
      </w:r>
      <w:r w:rsidR="00942FE8">
        <w:rPr>
          <w:lang w:eastAsia="ja-JP"/>
        </w:rPr>
        <w:t xml:space="preserve"> and the corresponding summaris</w:t>
      </w:r>
      <w:r w:rsidRPr="00942FE8">
        <w:rPr>
          <w:lang w:eastAsia="ja-JP"/>
        </w:rPr>
        <w:t xml:space="preserve">ed data for the </w:t>
      </w:r>
      <w:r w:rsidRPr="006B4FD4">
        <w:rPr>
          <w:lang w:eastAsia="ja-JP"/>
        </w:rPr>
        <w:t xml:space="preserve">FL population </w:t>
      </w:r>
      <w:r w:rsidRPr="00942FE8">
        <w:rPr>
          <w:lang w:eastAsia="ja-JP"/>
        </w:rPr>
        <w:t>(</w:t>
      </w:r>
      <w:r w:rsidRPr="00942FE8">
        <w:rPr>
          <w:i/>
          <w:lang w:eastAsia="ja-JP"/>
        </w:rPr>
        <w:t>in italics)</w:t>
      </w:r>
      <w:r w:rsidRPr="00942FE8">
        <w:rPr>
          <w:lang w:eastAsia="ja-JP"/>
        </w:rPr>
        <w:t>, listed in the CSR</w:t>
      </w:r>
      <w:r w:rsidR="00942FE8">
        <w:rPr>
          <w:lang w:eastAsia="ja-JP"/>
        </w:rPr>
        <w:t xml:space="preserve"> </w:t>
      </w:r>
      <w:r w:rsidRPr="00942FE8">
        <w:rPr>
          <w:lang w:eastAsia="ja-JP"/>
        </w:rPr>
        <w:t>are as follows (percentages shown for R-</w:t>
      </w:r>
      <w:r w:rsidR="00942FE8">
        <w:rPr>
          <w:lang w:eastAsia="ja-JP"/>
        </w:rPr>
        <w:t>chemo followed by G-chemo arm):</w:t>
      </w:r>
    </w:p>
    <w:p w14:paraId="5C4C4CEA" w14:textId="77777777" w:rsidR="0052032C" w:rsidRPr="00942FE8" w:rsidRDefault="0052032C" w:rsidP="00D266EA">
      <w:pPr>
        <w:pStyle w:val="ListBullet"/>
        <w:rPr>
          <w:lang w:eastAsia="ja-JP"/>
        </w:rPr>
      </w:pPr>
      <w:r w:rsidRPr="00942FE8">
        <w:rPr>
          <w:lang w:eastAsia="ja-JP"/>
        </w:rPr>
        <w:lastRenderedPageBreak/>
        <w:t xml:space="preserve">Incidence higher in G-chemo arm (44.9% versus 50.4%) </w:t>
      </w:r>
      <w:r w:rsidRPr="00942FE8">
        <w:rPr>
          <w:i/>
          <w:lang w:eastAsia="ja-JP"/>
        </w:rPr>
        <w:t>(45.1% versus 50.6%)</w:t>
      </w:r>
    </w:p>
    <w:p w14:paraId="762F8319" w14:textId="6796A69A" w:rsidR="0052032C" w:rsidRPr="00942FE8" w:rsidRDefault="0052032C" w:rsidP="00D266EA">
      <w:pPr>
        <w:pStyle w:val="ListBullet"/>
        <w:rPr>
          <w:lang w:eastAsia="ja-JP"/>
        </w:rPr>
      </w:pPr>
      <w:r w:rsidRPr="00942FE8">
        <w:rPr>
          <w:lang w:eastAsia="ja-JP"/>
        </w:rPr>
        <w:t>Grade 3</w:t>
      </w:r>
      <w:r w:rsidR="00546E24">
        <w:rPr>
          <w:lang w:eastAsia="ja-JP"/>
        </w:rPr>
        <w:t xml:space="preserve"> to </w:t>
      </w:r>
      <w:r w:rsidRPr="00942FE8">
        <w:rPr>
          <w:lang w:eastAsia="ja-JP"/>
        </w:rPr>
        <w:t>5 more frequent in G-chemo arm (39.7% versus 46.1%) (39.5% versus 45.9%)</w:t>
      </w:r>
    </w:p>
    <w:p w14:paraId="17C54AF9" w14:textId="2ED7A18E" w:rsidR="0052032C" w:rsidRPr="00942FE8" w:rsidRDefault="0052032C" w:rsidP="00D266EA">
      <w:pPr>
        <w:pStyle w:val="ListBullet"/>
        <w:rPr>
          <w:lang w:eastAsia="ja-JP"/>
        </w:rPr>
      </w:pPr>
      <w:r w:rsidRPr="00942FE8">
        <w:rPr>
          <w:lang w:eastAsia="ja-JP"/>
        </w:rPr>
        <w:t>One Grade 5 neutrop</w:t>
      </w:r>
      <w:r w:rsidR="00546E24">
        <w:rPr>
          <w:lang w:eastAsia="ja-JP"/>
        </w:rPr>
        <w:t>a</w:t>
      </w:r>
      <w:r w:rsidRPr="00942FE8">
        <w:rPr>
          <w:lang w:eastAsia="ja-JP"/>
        </w:rPr>
        <w:t>enia AE in the R-chemo arm (MZL population)</w:t>
      </w:r>
    </w:p>
    <w:p w14:paraId="06D9F3B9" w14:textId="215DA3D2" w:rsidR="0052032C" w:rsidRPr="00942FE8" w:rsidRDefault="0052032C" w:rsidP="00D266EA">
      <w:pPr>
        <w:pStyle w:val="ListBullet"/>
        <w:rPr>
          <w:lang w:eastAsia="ja-JP"/>
        </w:rPr>
      </w:pPr>
      <w:r w:rsidRPr="00942FE8">
        <w:rPr>
          <w:lang w:eastAsia="ja-JP"/>
        </w:rPr>
        <w:t>Serious neutrop</w:t>
      </w:r>
      <w:r w:rsidR="00546E24">
        <w:rPr>
          <w:lang w:eastAsia="ja-JP"/>
        </w:rPr>
        <w:t>a</w:t>
      </w:r>
      <w:r w:rsidRPr="00942FE8">
        <w:rPr>
          <w:lang w:eastAsia="ja-JP"/>
        </w:rPr>
        <w:t xml:space="preserve">enia AEs comparable (7.9% versus 8.9%) </w:t>
      </w:r>
      <w:r w:rsidRPr="00942FE8">
        <w:rPr>
          <w:i/>
          <w:lang w:eastAsia="ja-JP"/>
        </w:rPr>
        <w:t>(7.4% versus 8.4%)</w:t>
      </w:r>
    </w:p>
    <w:p w14:paraId="7267BBB3" w14:textId="77777777" w:rsidR="0052032C" w:rsidRPr="00942FE8" w:rsidRDefault="0052032C" w:rsidP="00D266EA">
      <w:pPr>
        <w:pStyle w:val="ListBullet"/>
        <w:rPr>
          <w:i/>
          <w:lang w:eastAsia="ja-JP"/>
        </w:rPr>
      </w:pPr>
      <w:r w:rsidRPr="00942FE8">
        <w:rPr>
          <w:lang w:eastAsia="ja-JP"/>
        </w:rPr>
        <w:t xml:space="preserve">Patients with treatment withdrawn due to AE comparable (5.5% versus 6.3%) </w:t>
      </w:r>
      <w:r w:rsidRPr="00942FE8">
        <w:rPr>
          <w:i/>
          <w:lang w:eastAsia="ja-JP"/>
        </w:rPr>
        <w:t>(5.2% versus 5.0%)</w:t>
      </w:r>
    </w:p>
    <w:p w14:paraId="1098A469" w14:textId="2A600318" w:rsidR="0052032C" w:rsidRPr="00942FE8" w:rsidRDefault="0052032C" w:rsidP="00D266EA">
      <w:pPr>
        <w:pStyle w:val="ListBullet"/>
        <w:rPr>
          <w:lang w:eastAsia="ja-JP"/>
        </w:rPr>
      </w:pPr>
      <w:r w:rsidRPr="00942FE8">
        <w:rPr>
          <w:lang w:eastAsia="ja-JP"/>
        </w:rPr>
        <w:t>Prolonged neutrop</w:t>
      </w:r>
      <w:r w:rsidR="00942FE8">
        <w:rPr>
          <w:lang w:eastAsia="ja-JP"/>
        </w:rPr>
        <w:t>a</w:t>
      </w:r>
      <w:r w:rsidRPr="00942FE8">
        <w:rPr>
          <w:lang w:eastAsia="ja-JP"/>
        </w:rPr>
        <w:t xml:space="preserve">enia occurred in 0.8% </w:t>
      </w:r>
      <w:r w:rsidRPr="00942FE8">
        <w:rPr>
          <w:i/>
          <w:lang w:eastAsia="ja-JP"/>
        </w:rPr>
        <w:t>(0.6%)</w:t>
      </w:r>
      <w:r w:rsidRPr="00942FE8">
        <w:rPr>
          <w:lang w:eastAsia="ja-JP"/>
        </w:rPr>
        <w:t xml:space="preserve"> of patients in the R-chemo arm and 0.9% </w:t>
      </w:r>
      <w:r w:rsidRPr="00942FE8">
        <w:rPr>
          <w:i/>
          <w:lang w:eastAsia="ja-JP"/>
        </w:rPr>
        <w:t>(0.9%)</w:t>
      </w:r>
      <w:r w:rsidRPr="00942FE8">
        <w:rPr>
          <w:lang w:eastAsia="ja-JP"/>
        </w:rPr>
        <w:t xml:space="preserve"> of patients in the G-chemo arm (based on laboratory ANC assessment).</w:t>
      </w:r>
    </w:p>
    <w:p w14:paraId="4AE816A7" w14:textId="40638643" w:rsidR="0052032C" w:rsidRPr="00942FE8" w:rsidRDefault="0052032C" w:rsidP="00D266EA">
      <w:pPr>
        <w:pStyle w:val="ListBullet"/>
        <w:rPr>
          <w:lang w:eastAsia="ja-JP"/>
        </w:rPr>
      </w:pPr>
      <w:r w:rsidRPr="00942FE8">
        <w:rPr>
          <w:lang w:eastAsia="ja-JP"/>
        </w:rPr>
        <w:t>Late onset neutrop</w:t>
      </w:r>
      <w:r w:rsidR="00942FE8">
        <w:rPr>
          <w:lang w:eastAsia="ja-JP"/>
        </w:rPr>
        <w:t>a</w:t>
      </w:r>
      <w:r w:rsidRPr="00942FE8">
        <w:rPr>
          <w:lang w:eastAsia="ja-JP"/>
        </w:rPr>
        <w:t xml:space="preserve">enia occurred in 4.1% </w:t>
      </w:r>
      <w:r w:rsidRPr="00942FE8">
        <w:rPr>
          <w:i/>
          <w:lang w:eastAsia="ja-JP"/>
        </w:rPr>
        <w:t xml:space="preserve">(4.1%) </w:t>
      </w:r>
      <w:r w:rsidRPr="00942FE8">
        <w:rPr>
          <w:lang w:eastAsia="ja-JP"/>
        </w:rPr>
        <w:t xml:space="preserve">of patients in the R-chemo arm and 3.9% </w:t>
      </w:r>
      <w:r w:rsidRPr="00942FE8">
        <w:rPr>
          <w:i/>
          <w:lang w:eastAsia="ja-JP"/>
        </w:rPr>
        <w:t xml:space="preserve">(3.8%) </w:t>
      </w:r>
      <w:r w:rsidRPr="00942FE8">
        <w:rPr>
          <w:lang w:eastAsia="ja-JP"/>
        </w:rPr>
        <w:t>of patients in the G-chemo arm (based on laboratory ANC assessment).</w:t>
      </w:r>
    </w:p>
    <w:p w14:paraId="2929D7F2" w14:textId="35A3AF87" w:rsidR="0052032C" w:rsidRPr="00942FE8" w:rsidRDefault="0052032C" w:rsidP="00942FE8">
      <w:pPr>
        <w:pStyle w:val="Comment"/>
        <w:rPr>
          <w:lang w:eastAsia="ja-JP"/>
        </w:rPr>
      </w:pPr>
      <w:r w:rsidRPr="00942FE8">
        <w:rPr>
          <w:b/>
          <w:lang w:eastAsia="ja-JP"/>
        </w:rPr>
        <w:t>Comment:</w:t>
      </w:r>
      <w:r w:rsidRPr="00942FE8">
        <w:rPr>
          <w:lang w:eastAsia="ja-JP"/>
        </w:rPr>
        <w:t xml:space="preserve"> </w:t>
      </w:r>
      <w:r w:rsidR="00942FE8">
        <w:rPr>
          <w:lang w:eastAsia="ja-JP"/>
        </w:rPr>
        <w:t xml:space="preserve"> </w:t>
      </w:r>
      <w:r w:rsidRPr="00942FE8">
        <w:rPr>
          <w:lang w:eastAsia="ja-JP"/>
        </w:rPr>
        <w:t>There were generally more AEs related to neutro</w:t>
      </w:r>
      <w:r w:rsidR="009E0FA6">
        <w:rPr>
          <w:lang w:eastAsia="ja-JP"/>
        </w:rPr>
        <w:t>paenia</w:t>
      </w:r>
      <w:r w:rsidRPr="00942FE8">
        <w:rPr>
          <w:lang w:eastAsia="ja-JP"/>
        </w:rPr>
        <w:t xml:space="preserve"> in the G-chemo arm compared to the R-chemo, which again can have implications for the choice of therapy depending on individual patient characteristics such as comorbidity and age and also renal function, as patients with renal impairment (CrCL</w:t>
      </w:r>
      <w:r w:rsidR="00942FE8">
        <w:rPr>
          <w:lang w:eastAsia="ja-JP"/>
        </w:rPr>
        <w:t xml:space="preserve"> </w:t>
      </w:r>
      <w:r w:rsidRPr="00942FE8">
        <w:rPr>
          <w:lang w:eastAsia="ja-JP"/>
        </w:rPr>
        <w:t>&lt;</w:t>
      </w:r>
      <w:r w:rsidR="00942FE8">
        <w:rPr>
          <w:lang w:eastAsia="ja-JP"/>
        </w:rPr>
        <w:t xml:space="preserve"> 50</w:t>
      </w:r>
      <w:r w:rsidR="004E437D">
        <w:rPr>
          <w:lang w:eastAsia="ja-JP"/>
        </w:rPr>
        <w:t xml:space="preserve"> </w:t>
      </w:r>
      <w:r w:rsidR="00942FE8">
        <w:rPr>
          <w:lang w:eastAsia="ja-JP"/>
        </w:rPr>
        <w:t>mL</w:t>
      </w:r>
      <w:r w:rsidRPr="00942FE8">
        <w:rPr>
          <w:lang w:eastAsia="ja-JP"/>
        </w:rPr>
        <w:t>/min) are more at risk of n</w:t>
      </w:r>
      <w:r w:rsidR="00942FE8">
        <w:rPr>
          <w:lang w:eastAsia="ja-JP"/>
        </w:rPr>
        <w:t>eutro</w:t>
      </w:r>
      <w:r w:rsidR="009E0FA6">
        <w:rPr>
          <w:lang w:eastAsia="ja-JP"/>
        </w:rPr>
        <w:t>paenia</w:t>
      </w:r>
      <w:r w:rsidR="00942FE8">
        <w:rPr>
          <w:lang w:eastAsia="ja-JP"/>
        </w:rPr>
        <w:t>, according to the PI.</w:t>
      </w:r>
    </w:p>
    <w:p w14:paraId="454E1935" w14:textId="77777777" w:rsidR="0052032C" w:rsidRPr="0052032C" w:rsidRDefault="0052032C" w:rsidP="0052032C">
      <w:pPr>
        <w:numPr>
          <w:ilvl w:val="3"/>
          <w:numId w:val="5"/>
        </w:numPr>
        <w:rPr>
          <w:b/>
          <w:bCs/>
          <w:i/>
          <w:lang w:eastAsia="ja-JP"/>
        </w:rPr>
      </w:pPr>
      <w:bookmarkStart w:id="239" w:name="_Ref479683626"/>
      <w:r w:rsidRPr="0052032C">
        <w:rPr>
          <w:b/>
          <w:bCs/>
          <w:i/>
          <w:lang w:eastAsia="ja-JP"/>
        </w:rPr>
        <w:t>All infections (overall safety population)</w:t>
      </w:r>
      <w:bookmarkEnd w:id="239"/>
    </w:p>
    <w:p w14:paraId="6029EC3B" w14:textId="172D23A6" w:rsidR="0052032C" w:rsidRPr="0052032C" w:rsidRDefault="0052032C" w:rsidP="0052032C">
      <w:pPr>
        <w:rPr>
          <w:lang w:eastAsia="ja-JP"/>
        </w:rPr>
      </w:pPr>
      <w:r w:rsidRPr="0052032C">
        <w:rPr>
          <w:lang w:eastAsia="ja-JP"/>
        </w:rPr>
        <w:t xml:space="preserve">The data for the overall safety population is presented below, but as the dossier has more details for the </w:t>
      </w:r>
      <w:r w:rsidRPr="0052032C">
        <w:rPr>
          <w:i/>
          <w:lang w:eastAsia="ja-JP"/>
        </w:rPr>
        <w:t>FL safety population</w:t>
      </w:r>
      <w:r w:rsidRPr="0052032C">
        <w:rPr>
          <w:lang w:eastAsia="ja-JP"/>
        </w:rPr>
        <w:t xml:space="preserve">, these are also presented (in </w:t>
      </w:r>
      <w:r w:rsidRPr="0052032C">
        <w:rPr>
          <w:i/>
          <w:lang w:eastAsia="ja-JP"/>
        </w:rPr>
        <w:t>italics</w:t>
      </w:r>
      <w:r w:rsidRPr="0052032C">
        <w:rPr>
          <w:lang w:eastAsia="ja-JP"/>
        </w:rPr>
        <w:t>). Percentages shown for R</w:t>
      </w:r>
      <w:r w:rsidR="00942FE8">
        <w:rPr>
          <w:lang w:eastAsia="ja-JP"/>
        </w:rPr>
        <w:t>-chemo followed by G-chemo arm:</w:t>
      </w:r>
    </w:p>
    <w:p w14:paraId="43587571" w14:textId="77777777" w:rsidR="0052032C" w:rsidRPr="0052032C" w:rsidRDefault="0052032C" w:rsidP="00942FE8">
      <w:pPr>
        <w:pStyle w:val="ListBullet"/>
        <w:rPr>
          <w:lang w:eastAsia="ja-JP"/>
        </w:rPr>
      </w:pPr>
      <w:r w:rsidRPr="0052032C">
        <w:rPr>
          <w:lang w:eastAsia="ja-JP"/>
        </w:rPr>
        <w:t>Incidence higher in G-chemo arm (69.5%</w:t>
      </w:r>
      <w:r>
        <w:rPr>
          <w:lang w:eastAsia="ja-JP"/>
        </w:rPr>
        <w:t xml:space="preserve"> versus </w:t>
      </w:r>
      <w:r w:rsidRPr="0052032C">
        <w:rPr>
          <w:lang w:eastAsia="ja-JP"/>
        </w:rPr>
        <w:t xml:space="preserve">78.1%) </w:t>
      </w:r>
      <w:r w:rsidRPr="0052032C">
        <w:rPr>
          <w:i/>
          <w:lang w:eastAsia="ja-JP"/>
        </w:rPr>
        <w:t>(70.0%</w:t>
      </w:r>
      <w:r>
        <w:rPr>
          <w:i/>
          <w:lang w:eastAsia="ja-JP"/>
        </w:rPr>
        <w:t xml:space="preserve"> versus </w:t>
      </w:r>
      <w:r w:rsidRPr="0052032C">
        <w:rPr>
          <w:i/>
          <w:lang w:eastAsia="ja-JP"/>
        </w:rPr>
        <w:t>77.3%)</w:t>
      </w:r>
    </w:p>
    <w:p w14:paraId="630AB2EB" w14:textId="77777777" w:rsidR="00226640" w:rsidRDefault="0052032C" w:rsidP="00942FE8">
      <w:pPr>
        <w:pStyle w:val="ListBullet"/>
        <w:rPr>
          <w:i/>
          <w:lang w:eastAsia="ja-JP"/>
        </w:rPr>
      </w:pPr>
      <w:r w:rsidRPr="0052032C">
        <w:rPr>
          <w:lang w:eastAsia="ja-JP"/>
        </w:rPr>
        <w:t>Grade 3</w:t>
      </w:r>
      <w:r w:rsidR="00942FE8">
        <w:rPr>
          <w:lang w:eastAsia="ja-JP"/>
        </w:rPr>
        <w:t xml:space="preserve"> to </w:t>
      </w:r>
      <w:r w:rsidRPr="0052032C">
        <w:rPr>
          <w:lang w:eastAsia="ja-JP"/>
        </w:rPr>
        <w:t>5 more frequent in G-chemo arm (15.9%</w:t>
      </w:r>
      <w:r>
        <w:rPr>
          <w:lang w:eastAsia="ja-JP"/>
        </w:rPr>
        <w:t xml:space="preserve"> versus </w:t>
      </w:r>
      <w:r w:rsidRPr="0052032C">
        <w:rPr>
          <w:lang w:eastAsia="ja-JP"/>
        </w:rPr>
        <w:t xml:space="preserve">21.8%)* </w:t>
      </w:r>
      <w:r w:rsidRPr="0052032C">
        <w:rPr>
          <w:i/>
          <w:lang w:eastAsia="ja-JP"/>
        </w:rPr>
        <w:t>(15.6%</w:t>
      </w:r>
      <w:r>
        <w:rPr>
          <w:i/>
          <w:lang w:eastAsia="ja-JP"/>
        </w:rPr>
        <w:t xml:space="preserve"> versus </w:t>
      </w:r>
      <w:r w:rsidRPr="0052032C">
        <w:rPr>
          <w:i/>
          <w:lang w:eastAsia="ja-JP"/>
        </w:rPr>
        <w:t>20.0%)</w:t>
      </w:r>
    </w:p>
    <w:p w14:paraId="58241CEA" w14:textId="428AD498" w:rsidR="0052032C" w:rsidRPr="0052032C" w:rsidRDefault="00942FE8" w:rsidP="00942FE8">
      <w:pPr>
        <w:pStyle w:val="ListBullet"/>
        <w:rPr>
          <w:lang w:eastAsia="ja-JP"/>
        </w:rPr>
      </w:pPr>
      <w:r>
        <w:rPr>
          <w:lang w:eastAsia="ja-JP"/>
        </w:rPr>
        <w:t xml:space="preserve">Incidence of Grade 3 to </w:t>
      </w:r>
      <w:r w:rsidR="0052032C" w:rsidRPr="0052032C">
        <w:rPr>
          <w:lang w:eastAsia="ja-JP"/>
        </w:rPr>
        <w:t xml:space="preserve">5 was lower among G-chemo patients who received G-CSF prophylaxis (17.2%) </w:t>
      </w:r>
      <w:r w:rsidR="0052032C" w:rsidRPr="0052032C">
        <w:rPr>
          <w:i/>
          <w:lang w:eastAsia="ja-JP"/>
        </w:rPr>
        <w:t xml:space="preserve">(15.5%) </w:t>
      </w:r>
      <w:r w:rsidR="0052032C" w:rsidRPr="0052032C">
        <w:rPr>
          <w:lang w:eastAsia="ja-JP"/>
        </w:rPr>
        <w:t xml:space="preserve">compared to those who did not (23.6%) </w:t>
      </w:r>
      <w:r w:rsidR="0052032C" w:rsidRPr="0052032C">
        <w:rPr>
          <w:i/>
          <w:lang w:eastAsia="ja-JP"/>
        </w:rPr>
        <w:t>(21.8%)</w:t>
      </w:r>
    </w:p>
    <w:p w14:paraId="171FBE6D" w14:textId="77777777" w:rsidR="00226640" w:rsidRDefault="0052032C" w:rsidP="00942FE8">
      <w:pPr>
        <w:pStyle w:val="ListBullet"/>
        <w:rPr>
          <w:i/>
          <w:lang w:eastAsia="ja-JP"/>
        </w:rPr>
      </w:pPr>
      <w:r w:rsidRPr="0052032C">
        <w:rPr>
          <w:lang w:eastAsia="ja-JP"/>
        </w:rPr>
        <w:t>Grade 5 infections more frequent in G-chemo arm (0.6%</w:t>
      </w:r>
      <w:r>
        <w:rPr>
          <w:lang w:eastAsia="ja-JP"/>
        </w:rPr>
        <w:t xml:space="preserve"> versus </w:t>
      </w:r>
      <w:r w:rsidRPr="0052032C">
        <w:rPr>
          <w:lang w:eastAsia="ja-JP"/>
        </w:rPr>
        <w:t xml:space="preserve">2.3%) </w:t>
      </w:r>
      <w:r w:rsidRPr="0052032C">
        <w:rPr>
          <w:i/>
          <w:lang w:eastAsia="ja-JP"/>
        </w:rPr>
        <w:t>and for the FL population</w:t>
      </w:r>
      <w:r w:rsidRPr="0052032C">
        <w:rPr>
          <w:lang w:eastAsia="ja-JP"/>
        </w:rPr>
        <w:t xml:space="preserve"> </w:t>
      </w:r>
      <w:r w:rsidRPr="0052032C">
        <w:rPr>
          <w:i/>
          <w:lang w:eastAsia="ja-JP"/>
        </w:rPr>
        <w:t>2/597 (0.3%) and 10/595 (1.6%) patients, respectively.</w:t>
      </w:r>
    </w:p>
    <w:p w14:paraId="5DB86211" w14:textId="2C7ECA33" w:rsidR="0052032C" w:rsidRPr="00942FE8" w:rsidRDefault="0052032C" w:rsidP="00942FE8">
      <w:pPr>
        <w:pStyle w:val="ListBullet"/>
        <w:rPr>
          <w:lang w:eastAsia="ja-JP"/>
        </w:rPr>
      </w:pPr>
      <w:r w:rsidRPr="00942FE8">
        <w:rPr>
          <w:lang w:eastAsia="ja-JP"/>
        </w:rPr>
        <w:t xml:space="preserve">Serious infection AEs more frequent in G-chemo arm (15.0% versus 20.8%) </w:t>
      </w:r>
      <w:r w:rsidRPr="00942FE8">
        <w:rPr>
          <w:i/>
          <w:lang w:eastAsia="ja-JP"/>
        </w:rPr>
        <w:t>(14.4% versus 18.2%)</w:t>
      </w:r>
    </w:p>
    <w:p w14:paraId="0597039E" w14:textId="77777777" w:rsidR="0052032C" w:rsidRPr="0052032C" w:rsidRDefault="0052032C" w:rsidP="00942FE8">
      <w:pPr>
        <w:pStyle w:val="ListBullet"/>
        <w:rPr>
          <w:lang w:eastAsia="ja-JP"/>
        </w:rPr>
      </w:pPr>
      <w:r w:rsidRPr="0052032C">
        <w:rPr>
          <w:lang w:eastAsia="ja-JP"/>
        </w:rPr>
        <w:t>Patients with treatment withdrawn due to AE comparable (4.6%</w:t>
      </w:r>
      <w:r>
        <w:rPr>
          <w:lang w:eastAsia="ja-JP"/>
        </w:rPr>
        <w:t xml:space="preserve"> versus </w:t>
      </w:r>
      <w:r w:rsidRPr="0052032C">
        <w:rPr>
          <w:lang w:eastAsia="ja-JP"/>
        </w:rPr>
        <w:t xml:space="preserve">6.6%) </w:t>
      </w:r>
      <w:r w:rsidRPr="0052032C">
        <w:rPr>
          <w:i/>
          <w:lang w:eastAsia="ja-JP"/>
        </w:rPr>
        <w:t>(4.5%</w:t>
      </w:r>
      <w:r>
        <w:rPr>
          <w:i/>
          <w:lang w:eastAsia="ja-JP"/>
        </w:rPr>
        <w:t xml:space="preserve"> versus </w:t>
      </w:r>
      <w:r w:rsidRPr="0052032C">
        <w:rPr>
          <w:i/>
          <w:lang w:eastAsia="ja-JP"/>
        </w:rPr>
        <w:t>6.1%)</w:t>
      </w:r>
    </w:p>
    <w:p w14:paraId="0D7264EC" w14:textId="77777777" w:rsidR="0052032C" w:rsidRPr="0052032C" w:rsidRDefault="0052032C" w:rsidP="00942FE8">
      <w:pPr>
        <w:pStyle w:val="ListBullet"/>
        <w:rPr>
          <w:lang w:eastAsia="ja-JP"/>
        </w:rPr>
      </w:pPr>
      <w:r w:rsidRPr="0052032C">
        <w:rPr>
          <w:lang w:eastAsia="ja-JP"/>
        </w:rPr>
        <w:t>No cases of progressive multifocal leukoencephalopathy (PML) were reported in either treatment arm.</w:t>
      </w:r>
    </w:p>
    <w:p w14:paraId="78965EC3" w14:textId="72F09052" w:rsidR="0052032C" w:rsidRPr="0052032C" w:rsidRDefault="0052032C" w:rsidP="00942FE8">
      <w:pPr>
        <w:pStyle w:val="ListBullet"/>
        <w:rPr>
          <w:lang w:eastAsia="ja-JP"/>
        </w:rPr>
      </w:pPr>
      <w:r w:rsidRPr="0052032C">
        <w:rPr>
          <w:lang w:eastAsia="ja-JP"/>
        </w:rPr>
        <w:t xml:space="preserve">Opportunistic infections </w:t>
      </w:r>
      <w:r w:rsidRPr="0052032C">
        <w:rPr>
          <w:i/>
          <w:lang w:eastAsia="ja-JP"/>
        </w:rPr>
        <w:t>in the FL safety population (</w:t>
      </w:r>
      <w:r w:rsidR="00942FE8">
        <w:rPr>
          <w:i/>
          <w:lang w:eastAsia="ja-JP"/>
        </w:rPr>
        <w:t>sponsor’s</w:t>
      </w:r>
      <w:r w:rsidRPr="0052032C">
        <w:rPr>
          <w:i/>
          <w:lang w:eastAsia="ja-JP"/>
        </w:rPr>
        <w:t xml:space="preserve"> standard AEGT Opportunistic infections):</w:t>
      </w:r>
    </w:p>
    <w:p w14:paraId="3BBE6569" w14:textId="304D35A3" w:rsidR="0052032C" w:rsidRPr="0052032C" w:rsidRDefault="00942FE8" w:rsidP="00942FE8">
      <w:pPr>
        <w:pStyle w:val="ListBullet2"/>
        <w:rPr>
          <w:lang w:eastAsia="ja-JP"/>
        </w:rPr>
      </w:pPr>
      <w:r>
        <w:rPr>
          <w:lang w:eastAsia="ja-JP"/>
        </w:rPr>
        <w:t>3 patients in the R-chemo arm</w:t>
      </w:r>
    </w:p>
    <w:p w14:paraId="12454FAE" w14:textId="0B7159DE" w:rsidR="0052032C" w:rsidRPr="006B4FD4" w:rsidRDefault="00942FE8" w:rsidP="00942FE8">
      <w:pPr>
        <w:pStyle w:val="ListBullet2"/>
        <w:rPr>
          <w:i/>
          <w:lang w:eastAsia="ja-JP"/>
        </w:rPr>
      </w:pPr>
      <w:r w:rsidRPr="006B4FD4">
        <w:rPr>
          <w:i/>
          <w:lang w:eastAsia="ja-JP"/>
        </w:rPr>
        <w:t>9 patients in the G-chemo arm.</w:t>
      </w:r>
    </w:p>
    <w:p w14:paraId="080E7438" w14:textId="2402688B" w:rsidR="0052032C" w:rsidRPr="006B4FD4" w:rsidRDefault="0052032C" w:rsidP="0052032C">
      <w:pPr>
        <w:rPr>
          <w:i/>
          <w:lang w:eastAsia="ja-JP"/>
        </w:rPr>
      </w:pPr>
      <w:r w:rsidRPr="006B4FD4">
        <w:rPr>
          <w:i/>
          <w:lang w:eastAsia="ja-JP"/>
        </w:rPr>
        <w:t xml:space="preserve">No Grade 4 or 5 opportunistic infections AEs were reported. One of the </w:t>
      </w:r>
      <w:r w:rsidR="00942FE8" w:rsidRPr="006B4FD4">
        <w:rPr>
          <w:i/>
          <w:lang w:eastAsia="ja-JP"/>
        </w:rPr>
        <w:t>3</w:t>
      </w:r>
      <w:r w:rsidRPr="006B4FD4">
        <w:rPr>
          <w:i/>
          <w:lang w:eastAsia="ja-JP"/>
        </w:rPr>
        <w:t xml:space="preserve"> AEs in the R-chemo arm, and </w:t>
      </w:r>
      <w:r w:rsidR="00942FE8" w:rsidRPr="006B4FD4">
        <w:rPr>
          <w:i/>
          <w:lang w:eastAsia="ja-JP"/>
        </w:rPr>
        <w:t>6</w:t>
      </w:r>
      <w:r w:rsidRPr="006B4FD4">
        <w:rPr>
          <w:i/>
          <w:lang w:eastAsia="ja-JP"/>
        </w:rPr>
        <w:t xml:space="preserve"> of the 12 AEs in the G-chemo arm were Grade 3 AEs</w:t>
      </w:r>
      <w:r w:rsidR="00942FE8" w:rsidRPr="006B4FD4">
        <w:rPr>
          <w:i/>
          <w:lang w:eastAsia="ja-JP"/>
        </w:rPr>
        <w:t>.</w:t>
      </w:r>
    </w:p>
    <w:p w14:paraId="2009BC36" w14:textId="77777777" w:rsidR="00226640" w:rsidRDefault="0052032C" w:rsidP="0052032C">
      <w:pPr>
        <w:rPr>
          <w:lang w:eastAsia="ja-JP"/>
        </w:rPr>
      </w:pPr>
      <w:r w:rsidRPr="006B4FD4">
        <w:rPr>
          <w:b/>
          <w:lang w:eastAsia="ja-JP"/>
        </w:rPr>
        <w:t xml:space="preserve">Comment: </w:t>
      </w:r>
      <w:r w:rsidR="006B4FD4">
        <w:rPr>
          <w:lang w:eastAsia="ja-JP"/>
        </w:rPr>
        <w:t xml:space="preserve"> </w:t>
      </w:r>
      <w:r w:rsidRPr="0052032C">
        <w:rPr>
          <w:lang w:eastAsia="ja-JP"/>
        </w:rPr>
        <w:t>Data for the overall safety population cannot be found in the dossier.</w:t>
      </w:r>
    </w:p>
    <w:p w14:paraId="2144D60C" w14:textId="37D92268" w:rsidR="0052032C" w:rsidRPr="0052032C" w:rsidRDefault="0052032C" w:rsidP="0052032C">
      <w:pPr>
        <w:rPr>
          <w:lang w:eastAsia="ja-JP"/>
        </w:rPr>
      </w:pPr>
      <w:r w:rsidRPr="0052032C">
        <w:rPr>
          <w:lang w:eastAsia="ja-JP"/>
        </w:rPr>
        <w:t>*Prophylactic</w:t>
      </w:r>
      <w:r w:rsidR="00942FE8">
        <w:rPr>
          <w:lang w:eastAsia="ja-JP"/>
        </w:rPr>
        <w:t xml:space="preserve"> G-CSF reduced the Grade 3 to </w:t>
      </w:r>
      <w:r w:rsidRPr="0052032C">
        <w:rPr>
          <w:lang w:eastAsia="ja-JP"/>
        </w:rPr>
        <w:t>5 infection</w:t>
      </w:r>
      <w:r w:rsidR="00942FE8">
        <w:rPr>
          <w:lang w:eastAsia="ja-JP"/>
        </w:rPr>
        <w:t>s (see Table 1</w:t>
      </w:r>
      <w:r w:rsidR="006B4FD4">
        <w:rPr>
          <w:lang w:eastAsia="ja-JP"/>
        </w:rPr>
        <w:t>8</w:t>
      </w:r>
      <w:r w:rsidR="00942FE8">
        <w:rPr>
          <w:lang w:eastAsia="ja-JP"/>
        </w:rPr>
        <w:t>, below).</w:t>
      </w:r>
    </w:p>
    <w:p w14:paraId="68D43D3C" w14:textId="146C6FBE" w:rsidR="0052032C" w:rsidRPr="0052032C" w:rsidRDefault="0052032C" w:rsidP="00942FE8">
      <w:pPr>
        <w:pStyle w:val="Tabletitle"/>
        <w:rPr>
          <w:lang w:eastAsia="ja-JP"/>
        </w:rPr>
      </w:pPr>
      <w:bookmarkStart w:id="240" w:name="_Ref479766648"/>
      <w:bookmarkStart w:id="241" w:name="_Toc481769217"/>
      <w:proofErr w:type="gramStart"/>
      <w:r w:rsidRPr="0052032C">
        <w:rPr>
          <w:lang w:eastAsia="ja-JP"/>
        </w:rPr>
        <w:lastRenderedPageBreak/>
        <w:t xml:space="preserve">Table </w:t>
      </w:r>
      <w:bookmarkEnd w:id="240"/>
      <w:r w:rsidR="006B4FD4">
        <w:rPr>
          <w:lang w:eastAsia="ja-JP"/>
        </w:rPr>
        <w:t>18</w:t>
      </w:r>
      <w:r w:rsidR="00942FE8">
        <w:rPr>
          <w:lang w:eastAsia="ja-JP"/>
        </w:rPr>
        <w:t>.</w:t>
      </w:r>
      <w:proofErr w:type="gramEnd"/>
      <w:r w:rsidRPr="0052032C">
        <w:rPr>
          <w:lang w:eastAsia="ja-JP"/>
        </w:rPr>
        <w:t xml:space="preserve"> AE for infections related to the use of G-CSF (overall safety population)</w:t>
      </w:r>
      <w:bookmarkEnd w:id="241"/>
    </w:p>
    <w:p w14:paraId="313E0D73" w14:textId="77777777" w:rsidR="0052032C" w:rsidRPr="0052032C" w:rsidRDefault="0052032C" w:rsidP="0052032C">
      <w:pPr>
        <w:rPr>
          <w:lang w:eastAsia="ja-JP"/>
        </w:rPr>
      </w:pPr>
      <w:r w:rsidRPr="0052032C">
        <w:rPr>
          <w:noProof/>
          <w:lang w:eastAsia="en-AU"/>
        </w:rPr>
        <w:drawing>
          <wp:inline distT="0" distB="0" distL="0" distR="0" wp14:anchorId="36404424" wp14:editId="5100E652">
            <wp:extent cx="5731510" cy="1977861"/>
            <wp:effectExtent l="0" t="0" r="2540" b="3810"/>
            <wp:docPr id="126" name="Picture 126" descr="AE for infections related to the use of G-CSF (overall safety population)" title="AE for infections related to the use of G-CSF (overal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5731510" cy="1977861"/>
                    </a:xfrm>
                    <a:prstGeom prst="rect">
                      <a:avLst/>
                    </a:prstGeom>
                  </pic:spPr>
                </pic:pic>
              </a:graphicData>
            </a:graphic>
          </wp:inline>
        </w:drawing>
      </w:r>
    </w:p>
    <w:p w14:paraId="1B352976" w14:textId="353F6EBE" w:rsidR="0052032C" w:rsidRPr="0052032C" w:rsidRDefault="0052032C" w:rsidP="00333382">
      <w:pPr>
        <w:pStyle w:val="Comment"/>
        <w:rPr>
          <w:lang w:eastAsia="ja-JP"/>
        </w:rPr>
      </w:pPr>
      <w:r w:rsidRPr="00333382">
        <w:rPr>
          <w:b/>
          <w:lang w:eastAsia="ja-JP"/>
        </w:rPr>
        <w:t>Comment:</w:t>
      </w:r>
      <w:r w:rsidRPr="0052032C">
        <w:rPr>
          <w:lang w:eastAsia="ja-JP"/>
        </w:rPr>
        <w:t xml:space="preserve"> </w:t>
      </w:r>
      <w:r w:rsidR="00333382">
        <w:rPr>
          <w:lang w:eastAsia="ja-JP"/>
        </w:rPr>
        <w:t xml:space="preserve"> </w:t>
      </w:r>
      <w:r w:rsidRPr="0052032C">
        <w:rPr>
          <w:lang w:eastAsia="ja-JP"/>
        </w:rPr>
        <w:t>The difference between t</w:t>
      </w:r>
      <w:r w:rsidR="00333382">
        <w:rPr>
          <w:lang w:eastAsia="ja-JP"/>
        </w:rPr>
        <w:t xml:space="preserve">he R-chemo and G-chemo arm for Grade 3 to </w:t>
      </w:r>
      <w:r w:rsidRPr="0052032C">
        <w:rPr>
          <w:lang w:eastAsia="ja-JP"/>
        </w:rPr>
        <w:t>5 infections is even higher when patients receiving G-CSF are excluded (16.4%</w:t>
      </w:r>
      <w:r>
        <w:rPr>
          <w:lang w:eastAsia="ja-JP"/>
        </w:rPr>
        <w:t xml:space="preserve"> versus </w:t>
      </w:r>
      <w:r w:rsidR="00333382">
        <w:rPr>
          <w:lang w:eastAsia="ja-JP"/>
        </w:rPr>
        <w:t>23.6%).</w:t>
      </w:r>
    </w:p>
    <w:p w14:paraId="618444DE" w14:textId="77777777" w:rsidR="0052032C" w:rsidRPr="0052032C" w:rsidRDefault="0052032C" w:rsidP="00333382">
      <w:pPr>
        <w:pStyle w:val="Heading5"/>
        <w:rPr>
          <w:lang w:eastAsia="ja-JP"/>
        </w:rPr>
      </w:pPr>
      <w:r w:rsidRPr="0052032C">
        <w:rPr>
          <w:lang w:eastAsia="ja-JP"/>
        </w:rPr>
        <w:t>All TLS events (overall safety population)</w:t>
      </w:r>
    </w:p>
    <w:p w14:paraId="2A52F0E9" w14:textId="4AF40BDC" w:rsidR="0052032C" w:rsidRPr="0052032C" w:rsidRDefault="0052032C" w:rsidP="0052032C">
      <w:pPr>
        <w:rPr>
          <w:lang w:eastAsia="ja-JP"/>
        </w:rPr>
      </w:pPr>
      <w:r w:rsidRPr="0052032C">
        <w:rPr>
          <w:lang w:eastAsia="ja-JP"/>
        </w:rPr>
        <w:t xml:space="preserve">Data for the </w:t>
      </w:r>
      <w:r w:rsidRPr="0052032C">
        <w:rPr>
          <w:i/>
          <w:lang w:eastAsia="ja-JP"/>
        </w:rPr>
        <w:t>FL safety population</w:t>
      </w:r>
      <w:r w:rsidRPr="0052032C">
        <w:rPr>
          <w:lang w:eastAsia="ja-JP"/>
        </w:rPr>
        <w:t xml:space="preserve"> are presented in </w:t>
      </w:r>
      <w:r w:rsidRPr="0052032C">
        <w:rPr>
          <w:i/>
          <w:lang w:eastAsia="ja-JP"/>
        </w:rPr>
        <w:t>italics.</w:t>
      </w:r>
      <w:r w:rsidR="00333382">
        <w:rPr>
          <w:lang w:eastAsia="ja-JP"/>
        </w:rPr>
        <w:t xml:space="preserve"> </w:t>
      </w:r>
      <w:r w:rsidRPr="0052032C">
        <w:rPr>
          <w:lang w:eastAsia="ja-JP"/>
        </w:rPr>
        <w:t>Percentages shown for R</w:t>
      </w:r>
      <w:r w:rsidR="00333382">
        <w:rPr>
          <w:lang w:eastAsia="ja-JP"/>
        </w:rPr>
        <w:t>-chemo followed by G-chemo arm:</w:t>
      </w:r>
    </w:p>
    <w:p w14:paraId="4AF0E293" w14:textId="77777777" w:rsidR="0052032C" w:rsidRPr="0052032C" w:rsidRDefault="0052032C" w:rsidP="00333382">
      <w:pPr>
        <w:pStyle w:val="ListBullet"/>
        <w:rPr>
          <w:lang w:eastAsia="ja-JP"/>
        </w:rPr>
      </w:pPr>
      <w:r w:rsidRPr="00333382">
        <w:rPr>
          <w:lang w:eastAsia="ja-JP"/>
        </w:rPr>
        <w:t>Incidence of TLS AEs comparable</w:t>
      </w:r>
      <w:r w:rsidRPr="0052032C">
        <w:rPr>
          <w:lang w:eastAsia="ja-JP"/>
        </w:rPr>
        <w:t xml:space="preserve"> (0.4%</w:t>
      </w:r>
      <w:r>
        <w:rPr>
          <w:lang w:eastAsia="ja-JP"/>
        </w:rPr>
        <w:t xml:space="preserve"> versus </w:t>
      </w:r>
      <w:r w:rsidRPr="0052032C">
        <w:rPr>
          <w:lang w:eastAsia="ja-JP"/>
        </w:rPr>
        <w:t xml:space="preserve">0.9%) </w:t>
      </w:r>
      <w:r w:rsidRPr="0052032C">
        <w:rPr>
          <w:i/>
          <w:lang w:eastAsia="ja-JP"/>
        </w:rPr>
        <w:t>(0.5%</w:t>
      </w:r>
      <w:r>
        <w:rPr>
          <w:i/>
          <w:lang w:eastAsia="ja-JP"/>
        </w:rPr>
        <w:t xml:space="preserve"> versus </w:t>
      </w:r>
      <w:r w:rsidRPr="0052032C">
        <w:rPr>
          <w:i/>
          <w:lang w:eastAsia="ja-JP"/>
        </w:rPr>
        <w:t>1.0%)</w:t>
      </w:r>
    </w:p>
    <w:p w14:paraId="163109A1" w14:textId="77777777" w:rsidR="0052032C" w:rsidRPr="0052032C" w:rsidRDefault="0052032C" w:rsidP="00333382">
      <w:pPr>
        <w:pStyle w:val="ListBullet"/>
        <w:rPr>
          <w:lang w:eastAsia="ja-JP"/>
        </w:rPr>
      </w:pPr>
      <w:r w:rsidRPr="0052032C">
        <w:rPr>
          <w:lang w:eastAsia="ja-JP"/>
        </w:rPr>
        <w:t>All classed as Grade 3 or 4</w:t>
      </w:r>
    </w:p>
    <w:p w14:paraId="24C33349" w14:textId="77777777" w:rsidR="00226640" w:rsidRDefault="0052032C" w:rsidP="00333382">
      <w:pPr>
        <w:pStyle w:val="ListBullet"/>
        <w:rPr>
          <w:lang w:eastAsia="ja-JP"/>
        </w:rPr>
      </w:pPr>
      <w:r w:rsidRPr="0052032C">
        <w:rPr>
          <w:lang w:eastAsia="ja-JP"/>
        </w:rPr>
        <w:t>No fatal TLS AEs</w:t>
      </w:r>
    </w:p>
    <w:p w14:paraId="49D80190" w14:textId="30862196" w:rsidR="0052032C" w:rsidRPr="0052032C" w:rsidRDefault="0052032C" w:rsidP="00333382">
      <w:pPr>
        <w:pStyle w:val="ListBullet"/>
        <w:rPr>
          <w:lang w:eastAsia="ja-JP"/>
        </w:rPr>
      </w:pPr>
      <w:r w:rsidRPr="0052032C">
        <w:rPr>
          <w:lang w:eastAsia="ja-JP"/>
        </w:rPr>
        <w:t>Serious TLS 0.1%</w:t>
      </w:r>
      <w:r>
        <w:rPr>
          <w:lang w:eastAsia="ja-JP"/>
        </w:rPr>
        <w:t xml:space="preserve"> versus </w:t>
      </w:r>
      <w:r w:rsidRPr="0052032C">
        <w:rPr>
          <w:lang w:eastAsia="ja-JP"/>
        </w:rPr>
        <w:t xml:space="preserve">0.4% </w:t>
      </w:r>
      <w:r w:rsidRPr="0052032C">
        <w:rPr>
          <w:i/>
          <w:lang w:eastAsia="ja-JP"/>
        </w:rPr>
        <w:t>(0.2%</w:t>
      </w:r>
      <w:r>
        <w:rPr>
          <w:i/>
          <w:lang w:eastAsia="ja-JP"/>
        </w:rPr>
        <w:t xml:space="preserve"> versus </w:t>
      </w:r>
      <w:r w:rsidRPr="0052032C">
        <w:rPr>
          <w:i/>
          <w:lang w:eastAsia="ja-JP"/>
        </w:rPr>
        <w:t>0.5%)</w:t>
      </w:r>
    </w:p>
    <w:p w14:paraId="42CBC508" w14:textId="44E80082" w:rsidR="0052032C" w:rsidRPr="0052032C" w:rsidRDefault="0052032C" w:rsidP="0052032C">
      <w:pPr>
        <w:pStyle w:val="ListBullet"/>
        <w:rPr>
          <w:lang w:eastAsia="ja-JP"/>
        </w:rPr>
      </w:pPr>
      <w:r w:rsidRPr="0052032C">
        <w:rPr>
          <w:lang w:eastAsia="ja-JP"/>
        </w:rPr>
        <w:t>No TLS AEs led to treatment withdrawal</w:t>
      </w:r>
      <w:r w:rsidR="00333382">
        <w:rPr>
          <w:lang w:eastAsia="ja-JP"/>
        </w:rPr>
        <w:t>.</w:t>
      </w:r>
    </w:p>
    <w:p w14:paraId="1E52AD55" w14:textId="63919705" w:rsidR="0052032C" w:rsidRPr="0052032C" w:rsidRDefault="0052032C" w:rsidP="00353B40">
      <w:pPr>
        <w:pStyle w:val="Heading5"/>
        <w:rPr>
          <w:lang w:eastAsia="ja-JP"/>
        </w:rPr>
      </w:pPr>
      <w:r w:rsidRPr="0052032C">
        <w:rPr>
          <w:lang w:eastAsia="ja-JP"/>
        </w:rPr>
        <w:t>Thrombocyto</w:t>
      </w:r>
      <w:r w:rsidR="009E0FA6">
        <w:rPr>
          <w:lang w:eastAsia="ja-JP"/>
        </w:rPr>
        <w:t>paenia</w:t>
      </w:r>
      <w:r w:rsidRPr="0052032C">
        <w:rPr>
          <w:lang w:eastAsia="ja-JP"/>
        </w:rPr>
        <w:t xml:space="preserve"> (overall safety population)</w:t>
      </w:r>
    </w:p>
    <w:p w14:paraId="64D05F28" w14:textId="77777777" w:rsidR="0052032C" w:rsidRPr="0052032C" w:rsidRDefault="0052032C" w:rsidP="0052032C">
      <w:pPr>
        <w:rPr>
          <w:lang w:eastAsia="ja-JP"/>
        </w:rPr>
      </w:pPr>
      <w:r w:rsidRPr="0052032C">
        <w:rPr>
          <w:lang w:eastAsia="ja-JP"/>
        </w:rPr>
        <w:t xml:space="preserve">Data for the </w:t>
      </w:r>
      <w:r w:rsidRPr="0052032C">
        <w:rPr>
          <w:i/>
          <w:lang w:eastAsia="ja-JP"/>
        </w:rPr>
        <w:t>FL safety population</w:t>
      </w:r>
      <w:r w:rsidRPr="0052032C">
        <w:rPr>
          <w:lang w:eastAsia="ja-JP"/>
        </w:rPr>
        <w:t xml:space="preserve"> are presented in </w:t>
      </w:r>
      <w:r w:rsidRPr="0052032C">
        <w:rPr>
          <w:i/>
          <w:lang w:eastAsia="ja-JP"/>
        </w:rPr>
        <w:t>italics</w:t>
      </w:r>
      <w:r w:rsidRPr="0052032C">
        <w:rPr>
          <w:lang w:eastAsia="ja-JP"/>
        </w:rPr>
        <w:t>. Percentages shown for R-chemo followed by G-chemo arm:</w:t>
      </w:r>
    </w:p>
    <w:p w14:paraId="28DF7419" w14:textId="77777777" w:rsidR="0052032C" w:rsidRPr="0052032C" w:rsidRDefault="0052032C" w:rsidP="005440F6">
      <w:pPr>
        <w:pStyle w:val="ListBullet"/>
        <w:rPr>
          <w:i/>
          <w:lang w:eastAsia="ja-JP"/>
        </w:rPr>
      </w:pPr>
      <w:r w:rsidRPr="005440F6">
        <w:rPr>
          <w:lang w:eastAsia="ja-JP"/>
        </w:rPr>
        <w:t>Incidence higher in G-chemo arm</w:t>
      </w:r>
      <w:r w:rsidRPr="0052032C">
        <w:rPr>
          <w:lang w:eastAsia="ja-JP"/>
        </w:rPr>
        <w:t xml:space="preserve"> (7.2%</w:t>
      </w:r>
      <w:r>
        <w:rPr>
          <w:lang w:eastAsia="ja-JP"/>
        </w:rPr>
        <w:t xml:space="preserve"> versus </w:t>
      </w:r>
      <w:r w:rsidRPr="0052032C">
        <w:rPr>
          <w:lang w:eastAsia="ja-JP"/>
        </w:rPr>
        <w:t xml:space="preserve">12.5%) </w:t>
      </w:r>
      <w:r w:rsidRPr="0052032C">
        <w:rPr>
          <w:i/>
          <w:lang w:eastAsia="ja-JP"/>
        </w:rPr>
        <w:t>(7.5</w:t>
      </w:r>
      <w:r>
        <w:rPr>
          <w:i/>
          <w:lang w:eastAsia="ja-JP"/>
        </w:rPr>
        <w:t xml:space="preserve"> </w:t>
      </w:r>
      <w:proofErr w:type="gramStart"/>
      <w:r>
        <w:rPr>
          <w:i/>
          <w:lang w:eastAsia="ja-JP"/>
        </w:rPr>
        <w:t>versus</w:t>
      </w:r>
      <w:proofErr w:type="gramEnd"/>
      <w:r>
        <w:rPr>
          <w:i/>
          <w:lang w:eastAsia="ja-JP"/>
        </w:rPr>
        <w:t xml:space="preserve"> </w:t>
      </w:r>
      <w:r w:rsidRPr="0052032C">
        <w:rPr>
          <w:i/>
          <w:lang w:eastAsia="ja-JP"/>
        </w:rPr>
        <w:t>11.4%)</w:t>
      </w:r>
    </w:p>
    <w:p w14:paraId="1F75B282" w14:textId="635B97DF" w:rsidR="0052032C" w:rsidRPr="0052032C" w:rsidRDefault="0052032C" w:rsidP="005440F6">
      <w:pPr>
        <w:pStyle w:val="ListBullet"/>
        <w:rPr>
          <w:lang w:eastAsia="ja-JP"/>
        </w:rPr>
      </w:pPr>
      <w:r w:rsidRPr="0052032C">
        <w:rPr>
          <w:lang w:eastAsia="ja-JP"/>
        </w:rPr>
        <w:t>No Grade 5 thrombocyto</w:t>
      </w:r>
      <w:r w:rsidR="009E0FA6">
        <w:rPr>
          <w:lang w:eastAsia="ja-JP"/>
        </w:rPr>
        <w:t>paenia</w:t>
      </w:r>
      <w:r w:rsidRPr="0052032C">
        <w:rPr>
          <w:lang w:eastAsia="ja-JP"/>
        </w:rPr>
        <w:t xml:space="preserve"> AEs</w:t>
      </w:r>
    </w:p>
    <w:p w14:paraId="014DED63" w14:textId="77777777" w:rsidR="0052032C" w:rsidRPr="0052032C" w:rsidRDefault="0052032C" w:rsidP="005440F6">
      <w:pPr>
        <w:pStyle w:val="ListBullet"/>
        <w:rPr>
          <w:lang w:eastAsia="ja-JP"/>
        </w:rPr>
      </w:pPr>
      <w:r w:rsidRPr="0052032C">
        <w:rPr>
          <w:lang w:eastAsia="ja-JP"/>
        </w:rPr>
        <w:t>Grade 3-4 more frequent in G-chemo arm (2.7%</w:t>
      </w:r>
      <w:r>
        <w:rPr>
          <w:lang w:eastAsia="ja-JP"/>
        </w:rPr>
        <w:t xml:space="preserve"> versus </w:t>
      </w:r>
      <w:r w:rsidRPr="0052032C">
        <w:rPr>
          <w:lang w:eastAsia="ja-JP"/>
        </w:rPr>
        <w:t xml:space="preserve">6.6%) </w:t>
      </w:r>
      <w:r w:rsidRPr="0052032C">
        <w:rPr>
          <w:i/>
          <w:lang w:eastAsia="ja-JP"/>
        </w:rPr>
        <w:t>(2.7%</w:t>
      </w:r>
      <w:r>
        <w:rPr>
          <w:i/>
          <w:lang w:eastAsia="ja-JP"/>
        </w:rPr>
        <w:t xml:space="preserve"> versus </w:t>
      </w:r>
      <w:r w:rsidRPr="0052032C">
        <w:rPr>
          <w:i/>
          <w:lang w:eastAsia="ja-JP"/>
        </w:rPr>
        <w:t>6.1%)</w:t>
      </w:r>
    </w:p>
    <w:p w14:paraId="25989F5F" w14:textId="4BDE25EB" w:rsidR="0052032C" w:rsidRPr="0052032C" w:rsidRDefault="0052032C" w:rsidP="005440F6">
      <w:pPr>
        <w:pStyle w:val="ListBullet"/>
        <w:rPr>
          <w:lang w:eastAsia="ja-JP"/>
        </w:rPr>
      </w:pPr>
      <w:r w:rsidRPr="0052032C">
        <w:rPr>
          <w:lang w:eastAsia="ja-JP"/>
        </w:rPr>
        <w:t>Serious thrombocyto</w:t>
      </w:r>
      <w:r w:rsidR="009E0FA6">
        <w:rPr>
          <w:lang w:eastAsia="ja-JP"/>
        </w:rPr>
        <w:t>paenia</w:t>
      </w:r>
      <w:r w:rsidRPr="0052032C">
        <w:rPr>
          <w:lang w:eastAsia="ja-JP"/>
        </w:rPr>
        <w:t xml:space="preserve"> 0.3%</w:t>
      </w:r>
      <w:r>
        <w:rPr>
          <w:lang w:eastAsia="ja-JP"/>
        </w:rPr>
        <w:t xml:space="preserve"> versus </w:t>
      </w:r>
      <w:r w:rsidRPr="0052032C">
        <w:rPr>
          <w:lang w:eastAsia="ja-JP"/>
        </w:rPr>
        <w:t xml:space="preserve">0.7% </w:t>
      </w:r>
      <w:r w:rsidRPr="0052032C">
        <w:rPr>
          <w:i/>
          <w:lang w:eastAsia="ja-JP"/>
        </w:rPr>
        <w:t>(0.2%</w:t>
      </w:r>
      <w:r>
        <w:rPr>
          <w:i/>
          <w:lang w:eastAsia="ja-JP"/>
        </w:rPr>
        <w:t xml:space="preserve"> versus </w:t>
      </w:r>
      <w:r w:rsidRPr="0052032C">
        <w:rPr>
          <w:i/>
          <w:lang w:eastAsia="ja-JP"/>
        </w:rPr>
        <w:t>0.7%)</w:t>
      </w:r>
    </w:p>
    <w:p w14:paraId="6B26C006" w14:textId="4A0CA406" w:rsidR="0052032C" w:rsidRPr="0052032C" w:rsidRDefault="0052032C" w:rsidP="005440F6">
      <w:pPr>
        <w:pStyle w:val="ListBullet"/>
        <w:rPr>
          <w:lang w:eastAsia="ja-JP"/>
        </w:rPr>
      </w:pPr>
      <w:r w:rsidRPr="0052032C">
        <w:rPr>
          <w:lang w:eastAsia="ja-JP"/>
        </w:rPr>
        <w:t>Patients with treatment withdrawn due to AE comparable (2.0%</w:t>
      </w:r>
      <w:r>
        <w:rPr>
          <w:lang w:eastAsia="ja-JP"/>
        </w:rPr>
        <w:t xml:space="preserve"> versus </w:t>
      </w:r>
      <w:r w:rsidRPr="0052032C">
        <w:rPr>
          <w:lang w:eastAsia="ja-JP"/>
        </w:rPr>
        <w:t xml:space="preserve">2.3%) </w:t>
      </w:r>
      <w:r w:rsidRPr="0052032C">
        <w:rPr>
          <w:i/>
          <w:lang w:eastAsia="ja-JP"/>
        </w:rPr>
        <w:t>(2.2%</w:t>
      </w:r>
      <w:r w:rsidR="00353B40">
        <w:rPr>
          <w:i/>
          <w:lang w:eastAsia="ja-JP"/>
        </w:rPr>
        <w:t> </w:t>
      </w:r>
      <w:r>
        <w:rPr>
          <w:i/>
          <w:lang w:eastAsia="ja-JP"/>
        </w:rPr>
        <w:t xml:space="preserve">versus </w:t>
      </w:r>
      <w:r w:rsidRPr="0052032C">
        <w:rPr>
          <w:i/>
          <w:lang w:eastAsia="ja-JP"/>
        </w:rPr>
        <w:t>2.9%)</w:t>
      </w:r>
      <w:r w:rsidR="00353B40">
        <w:rPr>
          <w:i/>
          <w:lang w:eastAsia="ja-JP"/>
        </w:rPr>
        <w:t>.</w:t>
      </w:r>
    </w:p>
    <w:p w14:paraId="7AB413AD" w14:textId="7E6D3195" w:rsidR="0052032C" w:rsidRPr="0052032C" w:rsidRDefault="0052032C" w:rsidP="0052032C">
      <w:pPr>
        <w:rPr>
          <w:lang w:eastAsia="ja-JP"/>
        </w:rPr>
      </w:pPr>
      <w:r w:rsidRPr="0052032C">
        <w:rPr>
          <w:lang w:eastAsia="ja-JP"/>
        </w:rPr>
        <w:t xml:space="preserve">Information about abnormal laboratory results is given in </w:t>
      </w:r>
      <w:r w:rsidR="006B4FD4">
        <w:rPr>
          <w:lang w:eastAsia="ja-JP"/>
        </w:rPr>
        <w:t>Section 8.5.4</w:t>
      </w:r>
      <w:r w:rsidR="00546E24">
        <w:rPr>
          <w:lang w:eastAsia="ja-JP"/>
        </w:rPr>
        <w:t>, below</w:t>
      </w:r>
      <w:r w:rsidR="006B4FD4">
        <w:rPr>
          <w:lang w:eastAsia="ja-JP"/>
        </w:rPr>
        <w:t>.</w:t>
      </w:r>
    </w:p>
    <w:p w14:paraId="6963D3F9" w14:textId="426A71D0" w:rsidR="0052032C" w:rsidRPr="0052032C" w:rsidRDefault="0052032C" w:rsidP="00353B40">
      <w:pPr>
        <w:pStyle w:val="Heading5"/>
        <w:rPr>
          <w:lang w:eastAsia="ja-JP"/>
        </w:rPr>
      </w:pPr>
      <w:r w:rsidRPr="0052032C">
        <w:rPr>
          <w:lang w:eastAsia="ja-JP"/>
        </w:rPr>
        <w:t>Acute thrombocytop</w:t>
      </w:r>
      <w:r w:rsidR="00546E24">
        <w:rPr>
          <w:lang w:eastAsia="ja-JP"/>
        </w:rPr>
        <w:t>a</w:t>
      </w:r>
      <w:r w:rsidRPr="0052032C">
        <w:rPr>
          <w:lang w:eastAsia="ja-JP"/>
        </w:rPr>
        <w:t>enia (overall safety population)</w:t>
      </w:r>
    </w:p>
    <w:p w14:paraId="35C7E8AD" w14:textId="4EAD022E" w:rsidR="0052032C" w:rsidRPr="0052032C" w:rsidRDefault="0052032C" w:rsidP="0052032C">
      <w:pPr>
        <w:rPr>
          <w:lang w:eastAsia="ja-JP"/>
        </w:rPr>
      </w:pPr>
      <w:r w:rsidRPr="0052032C">
        <w:rPr>
          <w:lang w:eastAsia="ja-JP"/>
        </w:rPr>
        <w:t>Acute thrombocyto</w:t>
      </w:r>
      <w:r w:rsidR="009E0FA6">
        <w:rPr>
          <w:lang w:eastAsia="ja-JP"/>
        </w:rPr>
        <w:t>paenia</w:t>
      </w:r>
      <w:r w:rsidRPr="0052032C">
        <w:rPr>
          <w:lang w:eastAsia="ja-JP"/>
        </w:rPr>
        <w:t xml:space="preserve"> was defined as </w:t>
      </w:r>
      <w:r w:rsidR="008E396E">
        <w:rPr>
          <w:lang w:eastAsia="ja-JP"/>
        </w:rPr>
        <w:t>‘</w:t>
      </w:r>
      <w:r w:rsidRPr="0052032C">
        <w:rPr>
          <w:lang w:eastAsia="ja-JP"/>
        </w:rPr>
        <w:t>thrombocytop</w:t>
      </w:r>
      <w:r w:rsidR="00546E24">
        <w:rPr>
          <w:lang w:eastAsia="ja-JP"/>
        </w:rPr>
        <w:t>a</w:t>
      </w:r>
      <w:r w:rsidRPr="0052032C">
        <w:rPr>
          <w:lang w:eastAsia="ja-JP"/>
        </w:rPr>
        <w:t>enia occurring during or within 24</w:t>
      </w:r>
      <w:r w:rsidR="00546E24">
        <w:rPr>
          <w:lang w:eastAsia="ja-JP"/>
        </w:rPr>
        <w:t> </w:t>
      </w:r>
      <w:r w:rsidRPr="0052032C">
        <w:rPr>
          <w:lang w:eastAsia="ja-JP"/>
        </w:rPr>
        <w:t>hours after the infusion</w:t>
      </w:r>
      <w:r w:rsidR="008E396E">
        <w:rPr>
          <w:lang w:eastAsia="ja-JP"/>
        </w:rPr>
        <w:t>’</w:t>
      </w:r>
      <w:r w:rsidRPr="0052032C">
        <w:rPr>
          <w:lang w:eastAsia="ja-JP"/>
        </w:rPr>
        <w:t xml:space="preserve">. Data for the </w:t>
      </w:r>
      <w:r w:rsidRPr="0052032C">
        <w:rPr>
          <w:i/>
          <w:lang w:eastAsia="ja-JP"/>
        </w:rPr>
        <w:t>FL safety population</w:t>
      </w:r>
      <w:r w:rsidRPr="0052032C">
        <w:rPr>
          <w:lang w:eastAsia="ja-JP"/>
        </w:rPr>
        <w:t xml:space="preserve"> are presented in </w:t>
      </w:r>
      <w:r w:rsidRPr="0052032C">
        <w:rPr>
          <w:i/>
          <w:lang w:eastAsia="ja-JP"/>
        </w:rPr>
        <w:t>italics</w:t>
      </w:r>
      <w:r w:rsidRPr="0052032C">
        <w:rPr>
          <w:lang w:eastAsia="ja-JP"/>
        </w:rPr>
        <w:t>. Percentages shown for R-chemo followed by G-chemo arm (when the numbers are small the number of patients is presented):</w:t>
      </w:r>
    </w:p>
    <w:p w14:paraId="5135F9EE" w14:textId="77777777" w:rsidR="0052032C" w:rsidRPr="0052032C" w:rsidRDefault="0052032C" w:rsidP="005440F6">
      <w:pPr>
        <w:pStyle w:val="ListBullet"/>
        <w:rPr>
          <w:lang w:eastAsia="ja-JP"/>
        </w:rPr>
      </w:pPr>
      <w:r w:rsidRPr="0052032C">
        <w:rPr>
          <w:lang w:eastAsia="ja-JP"/>
        </w:rPr>
        <w:t>Incidence higher in G-chemo arm (0.1%</w:t>
      </w:r>
      <w:r>
        <w:rPr>
          <w:lang w:eastAsia="ja-JP"/>
        </w:rPr>
        <w:t xml:space="preserve"> versus </w:t>
      </w:r>
      <w:r w:rsidRPr="0052032C">
        <w:rPr>
          <w:lang w:eastAsia="ja-JP"/>
        </w:rPr>
        <w:t xml:space="preserve">1.1%) </w:t>
      </w:r>
      <w:r w:rsidRPr="0052032C">
        <w:rPr>
          <w:i/>
          <w:lang w:eastAsia="ja-JP"/>
        </w:rPr>
        <w:t xml:space="preserve">(0/597 </w:t>
      </w:r>
      <w:r>
        <w:rPr>
          <w:i/>
          <w:lang w:eastAsia="ja-JP"/>
        </w:rPr>
        <w:t>(</w:t>
      </w:r>
      <w:r w:rsidRPr="0052032C">
        <w:rPr>
          <w:i/>
          <w:lang w:eastAsia="ja-JP"/>
        </w:rPr>
        <w:t>0%</w:t>
      </w:r>
      <w:r>
        <w:rPr>
          <w:i/>
          <w:lang w:eastAsia="ja-JP"/>
        </w:rPr>
        <w:t xml:space="preserve">) versus </w:t>
      </w:r>
      <w:r w:rsidRPr="0052032C">
        <w:rPr>
          <w:i/>
          <w:lang w:eastAsia="ja-JP"/>
        </w:rPr>
        <w:t xml:space="preserve">7/595 </w:t>
      </w:r>
      <w:r>
        <w:rPr>
          <w:i/>
          <w:lang w:eastAsia="ja-JP"/>
        </w:rPr>
        <w:t>(</w:t>
      </w:r>
      <w:r w:rsidRPr="0052032C">
        <w:rPr>
          <w:i/>
          <w:lang w:eastAsia="ja-JP"/>
        </w:rPr>
        <w:t>1.2%</w:t>
      </w:r>
      <w:r>
        <w:rPr>
          <w:i/>
          <w:lang w:eastAsia="ja-JP"/>
        </w:rPr>
        <w:t>)</w:t>
      </w:r>
      <w:r w:rsidRPr="0052032C">
        <w:rPr>
          <w:i/>
          <w:lang w:eastAsia="ja-JP"/>
        </w:rPr>
        <w:t>)</w:t>
      </w:r>
    </w:p>
    <w:p w14:paraId="1EC20B6F" w14:textId="21DD1342" w:rsidR="0052032C" w:rsidRPr="0052032C" w:rsidRDefault="0052032C" w:rsidP="005440F6">
      <w:pPr>
        <w:pStyle w:val="ListBullet"/>
        <w:rPr>
          <w:lang w:eastAsia="ja-JP"/>
        </w:rPr>
      </w:pPr>
      <w:r w:rsidRPr="0052032C">
        <w:rPr>
          <w:lang w:eastAsia="ja-JP"/>
        </w:rPr>
        <w:t>No Grade 5 acute thrombocytop</w:t>
      </w:r>
      <w:r w:rsidR="00546E24">
        <w:rPr>
          <w:lang w:eastAsia="ja-JP"/>
        </w:rPr>
        <w:t>a</w:t>
      </w:r>
      <w:r w:rsidRPr="0052032C">
        <w:rPr>
          <w:lang w:eastAsia="ja-JP"/>
        </w:rPr>
        <w:t>enia AEs</w:t>
      </w:r>
    </w:p>
    <w:p w14:paraId="153D715A" w14:textId="5E398B48" w:rsidR="0052032C" w:rsidRPr="005440F6" w:rsidRDefault="0052032C" w:rsidP="005440F6">
      <w:pPr>
        <w:pStyle w:val="ListBullet"/>
        <w:rPr>
          <w:lang w:eastAsia="ja-JP"/>
        </w:rPr>
      </w:pPr>
      <w:r w:rsidRPr="005440F6">
        <w:rPr>
          <w:lang w:eastAsia="ja-JP"/>
        </w:rPr>
        <w:t>Grade 3</w:t>
      </w:r>
      <w:r w:rsidR="00546E24">
        <w:rPr>
          <w:lang w:eastAsia="ja-JP"/>
        </w:rPr>
        <w:t xml:space="preserve"> or </w:t>
      </w:r>
      <w:r w:rsidRPr="005440F6">
        <w:rPr>
          <w:lang w:eastAsia="ja-JP"/>
        </w:rPr>
        <w:t>4</w:t>
      </w:r>
      <w:r w:rsidR="00546E24">
        <w:rPr>
          <w:lang w:eastAsia="ja-JP"/>
        </w:rPr>
        <w:t xml:space="preserve"> events</w:t>
      </w:r>
      <w:r w:rsidRPr="005440F6">
        <w:rPr>
          <w:lang w:eastAsia="ja-JP"/>
        </w:rPr>
        <w:t xml:space="preserve"> more frequent in G-chemo arm 1/692 and 7/698 (0.1% versus 7/0.9%) </w:t>
      </w:r>
      <w:r w:rsidRPr="005440F6">
        <w:rPr>
          <w:i/>
          <w:lang w:eastAsia="ja-JP"/>
        </w:rPr>
        <w:t>(0 versus 8 patients)</w:t>
      </w:r>
    </w:p>
    <w:p w14:paraId="71323CDE" w14:textId="21EAB540" w:rsidR="0052032C" w:rsidRPr="0052032C" w:rsidRDefault="0052032C" w:rsidP="005440F6">
      <w:pPr>
        <w:pStyle w:val="ListBullet"/>
        <w:rPr>
          <w:lang w:eastAsia="ja-JP"/>
        </w:rPr>
      </w:pPr>
      <w:r w:rsidRPr="0052032C">
        <w:rPr>
          <w:lang w:eastAsia="ja-JP"/>
        </w:rPr>
        <w:lastRenderedPageBreak/>
        <w:t>Serious thrombocyto</w:t>
      </w:r>
      <w:r w:rsidR="009E0FA6">
        <w:rPr>
          <w:lang w:eastAsia="ja-JP"/>
        </w:rPr>
        <w:t>paenia</w:t>
      </w:r>
      <w:r w:rsidRPr="0052032C">
        <w:rPr>
          <w:lang w:eastAsia="ja-JP"/>
        </w:rPr>
        <w:t xml:space="preserve"> 1/692 and 4/698 (0.1%</w:t>
      </w:r>
      <w:r>
        <w:rPr>
          <w:lang w:eastAsia="ja-JP"/>
        </w:rPr>
        <w:t xml:space="preserve"> versus </w:t>
      </w:r>
      <w:r w:rsidRPr="0052032C">
        <w:rPr>
          <w:lang w:eastAsia="ja-JP"/>
        </w:rPr>
        <w:t xml:space="preserve">0.3%) </w:t>
      </w:r>
      <w:r w:rsidRPr="0052032C">
        <w:rPr>
          <w:i/>
          <w:lang w:eastAsia="ja-JP"/>
        </w:rPr>
        <w:t>(0</w:t>
      </w:r>
      <w:r>
        <w:rPr>
          <w:i/>
          <w:lang w:eastAsia="ja-JP"/>
        </w:rPr>
        <w:t xml:space="preserve"> versus </w:t>
      </w:r>
      <w:r w:rsidRPr="0052032C">
        <w:rPr>
          <w:i/>
          <w:lang w:eastAsia="ja-JP"/>
        </w:rPr>
        <w:t>2 patients)</w:t>
      </w:r>
    </w:p>
    <w:p w14:paraId="142A6903" w14:textId="0A25EA22" w:rsidR="0052032C" w:rsidRPr="0052032C" w:rsidRDefault="0052032C" w:rsidP="0052032C">
      <w:pPr>
        <w:pStyle w:val="ListBullet"/>
        <w:rPr>
          <w:lang w:eastAsia="ja-JP"/>
        </w:rPr>
      </w:pPr>
      <w:r w:rsidRPr="0052032C">
        <w:rPr>
          <w:lang w:eastAsia="ja-JP"/>
        </w:rPr>
        <w:t>No patients had treatment withdrawn due to AE</w:t>
      </w:r>
      <w:r w:rsidR="00546E24">
        <w:rPr>
          <w:lang w:eastAsia="ja-JP"/>
        </w:rPr>
        <w:t>.</w:t>
      </w:r>
    </w:p>
    <w:p w14:paraId="3A0B4C64" w14:textId="77777777" w:rsidR="0052032C" w:rsidRPr="0052032C" w:rsidRDefault="0052032C" w:rsidP="005440F6">
      <w:pPr>
        <w:pStyle w:val="Heading5"/>
        <w:rPr>
          <w:lang w:eastAsia="ja-JP"/>
        </w:rPr>
      </w:pPr>
      <w:r w:rsidRPr="0052032C">
        <w:rPr>
          <w:lang w:eastAsia="ja-JP"/>
        </w:rPr>
        <w:t>Haemorrhagic events (overall safety population)</w:t>
      </w:r>
    </w:p>
    <w:p w14:paraId="5E7E69EC" w14:textId="4438110C" w:rsidR="0052032C" w:rsidRPr="0052032C" w:rsidRDefault="0052032C" w:rsidP="0052032C">
      <w:pPr>
        <w:rPr>
          <w:lang w:eastAsia="ja-JP"/>
        </w:rPr>
      </w:pPr>
      <w:r w:rsidRPr="0052032C">
        <w:rPr>
          <w:lang w:eastAsia="ja-JP"/>
        </w:rPr>
        <w:t xml:space="preserve">According to the CSR, haemorrhagic events were defined by any MedDRA preferred term from the following SMQs </w:t>
      </w:r>
      <w:r>
        <w:rPr>
          <w:lang w:eastAsia="ja-JP"/>
        </w:rPr>
        <w:t>(</w:t>
      </w:r>
      <w:r w:rsidRPr="0052032C">
        <w:rPr>
          <w:lang w:eastAsia="ja-JP"/>
        </w:rPr>
        <w:t>all of them narrow</w:t>
      </w:r>
      <w:r>
        <w:rPr>
          <w:lang w:eastAsia="ja-JP"/>
        </w:rPr>
        <w:t>)</w:t>
      </w:r>
      <w:r w:rsidRPr="0052032C">
        <w:rPr>
          <w:lang w:eastAsia="ja-JP"/>
        </w:rPr>
        <w:t xml:space="preserve">: </w:t>
      </w:r>
      <w:r>
        <w:rPr>
          <w:lang w:eastAsia="ja-JP"/>
        </w:rPr>
        <w:t>‘</w:t>
      </w:r>
      <w:r w:rsidRPr="0052032C">
        <w:rPr>
          <w:lang w:eastAsia="ja-JP"/>
        </w:rPr>
        <w:t>Haemorrhagic cerebrovascular conditions</w:t>
      </w:r>
      <w:r>
        <w:rPr>
          <w:lang w:eastAsia="ja-JP"/>
        </w:rPr>
        <w:t>’</w:t>
      </w:r>
      <w:r w:rsidRPr="0052032C">
        <w:rPr>
          <w:lang w:eastAsia="ja-JP"/>
        </w:rPr>
        <w:t xml:space="preserve"> </w:t>
      </w:r>
      <w:r>
        <w:rPr>
          <w:lang w:eastAsia="ja-JP"/>
        </w:rPr>
        <w:t>(</w:t>
      </w:r>
      <w:r w:rsidRPr="0052032C">
        <w:rPr>
          <w:lang w:eastAsia="ja-JP"/>
        </w:rPr>
        <w:t>20000064</w:t>
      </w:r>
      <w:r>
        <w:rPr>
          <w:lang w:eastAsia="ja-JP"/>
        </w:rPr>
        <w:t>)</w:t>
      </w:r>
      <w:r w:rsidRPr="0052032C">
        <w:rPr>
          <w:lang w:eastAsia="ja-JP"/>
        </w:rPr>
        <w:t xml:space="preserve">, </w:t>
      </w:r>
      <w:r>
        <w:rPr>
          <w:lang w:eastAsia="ja-JP"/>
        </w:rPr>
        <w:t>‘</w:t>
      </w:r>
      <w:r w:rsidRPr="0052032C">
        <w:rPr>
          <w:lang w:eastAsia="ja-JP"/>
        </w:rPr>
        <w:t>Haemorrhage laboratory terms</w:t>
      </w:r>
      <w:r>
        <w:rPr>
          <w:lang w:eastAsia="ja-JP"/>
        </w:rPr>
        <w:t>’</w:t>
      </w:r>
      <w:r w:rsidRPr="0052032C">
        <w:rPr>
          <w:lang w:eastAsia="ja-JP"/>
        </w:rPr>
        <w:t xml:space="preserve"> </w:t>
      </w:r>
      <w:r>
        <w:rPr>
          <w:lang w:eastAsia="ja-JP"/>
        </w:rPr>
        <w:t>(</w:t>
      </w:r>
      <w:r w:rsidRPr="0052032C">
        <w:rPr>
          <w:lang w:eastAsia="ja-JP"/>
        </w:rPr>
        <w:t>20000040</w:t>
      </w:r>
      <w:r>
        <w:rPr>
          <w:lang w:eastAsia="ja-JP"/>
        </w:rPr>
        <w:t>)</w:t>
      </w:r>
      <w:r w:rsidRPr="0052032C">
        <w:rPr>
          <w:lang w:eastAsia="ja-JP"/>
        </w:rPr>
        <w:t xml:space="preserve"> and </w:t>
      </w:r>
      <w:r>
        <w:rPr>
          <w:lang w:eastAsia="ja-JP"/>
        </w:rPr>
        <w:t>‘</w:t>
      </w:r>
      <w:r w:rsidRPr="0052032C">
        <w:rPr>
          <w:lang w:eastAsia="ja-JP"/>
        </w:rPr>
        <w:t>Haemorrhage excluding laboratory terms</w:t>
      </w:r>
      <w:r>
        <w:rPr>
          <w:lang w:eastAsia="ja-JP"/>
        </w:rPr>
        <w:t>’</w:t>
      </w:r>
      <w:r w:rsidRPr="0052032C">
        <w:rPr>
          <w:lang w:eastAsia="ja-JP"/>
        </w:rPr>
        <w:t xml:space="preserve"> </w:t>
      </w:r>
      <w:r>
        <w:rPr>
          <w:lang w:eastAsia="ja-JP"/>
        </w:rPr>
        <w:t>(</w:t>
      </w:r>
      <w:r w:rsidRPr="0052032C">
        <w:rPr>
          <w:lang w:eastAsia="ja-JP"/>
        </w:rPr>
        <w:t>20000039</w:t>
      </w:r>
      <w:r>
        <w:rPr>
          <w:lang w:eastAsia="ja-JP"/>
        </w:rPr>
        <w:t>)</w:t>
      </w:r>
      <w:r w:rsidRPr="0052032C">
        <w:rPr>
          <w:lang w:eastAsia="ja-JP"/>
        </w:rPr>
        <w:t xml:space="preserve">). The events were similar </w:t>
      </w:r>
      <w:r w:rsidR="005440F6">
        <w:rPr>
          <w:lang w:eastAsia="ja-JP"/>
        </w:rPr>
        <w:t xml:space="preserve">in the </w:t>
      </w:r>
      <w:r w:rsidR="00546E24">
        <w:rPr>
          <w:lang w:eastAsia="ja-JP"/>
        </w:rPr>
        <w:t xml:space="preserve">2 </w:t>
      </w:r>
      <w:r w:rsidR="005440F6">
        <w:rPr>
          <w:lang w:eastAsia="ja-JP"/>
        </w:rPr>
        <w:t>treatment arms:</w:t>
      </w:r>
    </w:p>
    <w:p w14:paraId="32B27B85" w14:textId="77777777" w:rsidR="0052032C" w:rsidRPr="0052032C" w:rsidRDefault="0052032C" w:rsidP="0052032C">
      <w:pPr>
        <w:rPr>
          <w:lang w:eastAsia="ja-JP"/>
        </w:rPr>
      </w:pPr>
      <w:r w:rsidRPr="0052032C">
        <w:rPr>
          <w:lang w:eastAsia="ja-JP"/>
        </w:rPr>
        <w:t xml:space="preserve">Data for the </w:t>
      </w:r>
      <w:r w:rsidRPr="0052032C">
        <w:rPr>
          <w:i/>
          <w:lang w:eastAsia="ja-JP"/>
        </w:rPr>
        <w:t>FL safety population</w:t>
      </w:r>
      <w:r w:rsidRPr="0052032C">
        <w:rPr>
          <w:lang w:eastAsia="ja-JP"/>
        </w:rPr>
        <w:t xml:space="preserve"> are presented in </w:t>
      </w:r>
      <w:r w:rsidRPr="0052032C">
        <w:rPr>
          <w:i/>
          <w:lang w:eastAsia="ja-JP"/>
        </w:rPr>
        <w:t>italics</w:t>
      </w:r>
      <w:r w:rsidRPr="0052032C">
        <w:rPr>
          <w:lang w:eastAsia="ja-JP"/>
        </w:rPr>
        <w:t>. Percentages shown for R-chemo followed by G-chemo arm:</w:t>
      </w:r>
    </w:p>
    <w:p w14:paraId="04396FAB" w14:textId="4C369B00" w:rsidR="0052032C" w:rsidRPr="000F3C9D" w:rsidRDefault="0052032C" w:rsidP="005440F6">
      <w:pPr>
        <w:pStyle w:val="ListBullet"/>
        <w:rPr>
          <w:lang w:eastAsia="ja-JP"/>
        </w:rPr>
      </w:pPr>
      <w:r w:rsidRPr="000F3C9D">
        <w:rPr>
          <w:lang w:eastAsia="ja-JP"/>
        </w:rPr>
        <w:t xml:space="preserve">Similar incidence in the </w:t>
      </w:r>
      <w:r w:rsidR="000F3C9D">
        <w:rPr>
          <w:lang w:eastAsia="ja-JP"/>
        </w:rPr>
        <w:t>2</w:t>
      </w:r>
      <w:r w:rsidRPr="000F3C9D">
        <w:rPr>
          <w:lang w:eastAsia="ja-JP"/>
        </w:rPr>
        <w:t xml:space="preserve"> treatment arms (10.4% R-chemo versus 10.0% G-chemo) </w:t>
      </w:r>
      <w:r w:rsidRPr="000F3C9D">
        <w:rPr>
          <w:i/>
          <w:lang w:eastAsia="ja-JP"/>
        </w:rPr>
        <w:t>(10.4% versus 9.6%)</w:t>
      </w:r>
    </w:p>
    <w:p w14:paraId="2A7D9823" w14:textId="7EF0C4FF" w:rsidR="0052032C" w:rsidRPr="000F3C9D" w:rsidRDefault="0052032C" w:rsidP="005440F6">
      <w:pPr>
        <w:pStyle w:val="ListBullet"/>
        <w:rPr>
          <w:lang w:eastAsia="ja-JP"/>
        </w:rPr>
      </w:pPr>
      <w:r w:rsidRPr="000F3C9D">
        <w:rPr>
          <w:lang w:eastAsia="ja-JP"/>
        </w:rPr>
        <w:t>Majority of h</w:t>
      </w:r>
      <w:r w:rsidR="000F3C9D">
        <w:rPr>
          <w:lang w:eastAsia="ja-JP"/>
        </w:rPr>
        <w:t>a</w:t>
      </w:r>
      <w:r w:rsidR="00B71C50">
        <w:rPr>
          <w:lang w:eastAsia="ja-JP"/>
        </w:rPr>
        <w:t xml:space="preserve">emorrhagic events were Grade 1 or </w:t>
      </w:r>
      <w:r w:rsidRPr="000F3C9D">
        <w:rPr>
          <w:lang w:eastAsia="ja-JP"/>
        </w:rPr>
        <w:t xml:space="preserve">2, and there were </w:t>
      </w:r>
      <w:r w:rsidR="00B71C50">
        <w:rPr>
          <w:lang w:eastAsia="ja-JP"/>
        </w:rPr>
        <w:t>2</w:t>
      </w:r>
      <w:r w:rsidRPr="000F3C9D">
        <w:rPr>
          <w:lang w:eastAsia="ja-JP"/>
        </w:rPr>
        <w:t xml:space="preserve"> Grade 5 AEs in each arm</w:t>
      </w:r>
    </w:p>
    <w:p w14:paraId="2F424637" w14:textId="49640206" w:rsidR="0052032C" w:rsidRPr="000F3C9D" w:rsidRDefault="0052032C" w:rsidP="005440F6">
      <w:pPr>
        <w:pStyle w:val="ListBullet"/>
        <w:rPr>
          <w:lang w:eastAsia="ja-JP"/>
        </w:rPr>
      </w:pPr>
      <w:r w:rsidRPr="000F3C9D">
        <w:rPr>
          <w:lang w:eastAsia="ja-JP"/>
        </w:rPr>
        <w:t>Similar incidence of serious h</w:t>
      </w:r>
      <w:r w:rsidR="00B71C50">
        <w:rPr>
          <w:lang w:eastAsia="ja-JP"/>
        </w:rPr>
        <w:t>a</w:t>
      </w:r>
      <w:r w:rsidRPr="000F3C9D">
        <w:rPr>
          <w:lang w:eastAsia="ja-JP"/>
        </w:rPr>
        <w:t xml:space="preserve">emorrhagic events (1.0% R-chemo versus 1.1% G-chemo) </w:t>
      </w:r>
      <w:r w:rsidRPr="000F3C9D">
        <w:rPr>
          <w:i/>
          <w:lang w:eastAsia="ja-JP"/>
        </w:rPr>
        <w:t>(1.0% versus 1.1%)</w:t>
      </w:r>
    </w:p>
    <w:p w14:paraId="1C8C7B1B" w14:textId="2786E2D5" w:rsidR="0052032C" w:rsidRPr="000F3C9D" w:rsidRDefault="00CB5CD0" w:rsidP="005440F6">
      <w:pPr>
        <w:pStyle w:val="ListBullet"/>
        <w:rPr>
          <w:lang w:eastAsia="ja-JP"/>
        </w:rPr>
      </w:pPr>
      <w:r>
        <w:rPr>
          <w:lang w:eastAsia="ja-JP"/>
        </w:rPr>
        <w:t>O</w:t>
      </w:r>
      <w:r w:rsidRPr="000F3C9D">
        <w:rPr>
          <w:lang w:eastAsia="ja-JP"/>
        </w:rPr>
        <w:t xml:space="preserve">ne </w:t>
      </w:r>
      <w:r w:rsidR="0052032C" w:rsidRPr="000F3C9D">
        <w:rPr>
          <w:lang w:eastAsia="ja-JP"/>
        </w:rPr>
        <w:t>patient in the R-chemo arm was withdrawn from treatment due to h</w:t>
      </w:r>
      <w:r w:rsidR="00B71C50">
        <w:rPr>
          <w:lang w:eastAsia="ja-JP"/>
        </w:rPr>
        <w:t>a</w:t>
      </w:r>
      <w:r w:rsidR="0052032C" w:rsidRPr="000F3C9D">
        <w:rPr>
          <w:lang w:eastAsia="ja-JP"/>
        </w:rPr>
        <w:t>emorrhagic AE</w:t>
      </w:r>
    </w:p>
    <w:p w14:paraId="545B8D74" w14:textId="35F2C710" w:rsidR="0052032C" w:rsidRPr="000F3C9D" w:rsidRDefault="0052032C" w:rsidP="005440F6">
      <w:pPr>
        <w:pStyle w:val="ListBullet"/>
        <w:rPr>
          <w:lang w:eastAsia="ja-JP"/>
        </w:rPr>
      </w:pPr>
      <w:r w:rsidRPr="000F3C9D">
        <w:rPr>
          <w:lang w:eastAsia="ja-JP"/>
        </w:rPr>
        <w:t>The incidence of h</w:t>
      </w:r>
      <w:r w:rsidR="00B71C50">
        <w:rPr>
          <w:lang w:eastAsia="ja-JP"/>
        </w:rPr>
        <w:t>a</w:t>
      </w:r>
      <w:r w:rsidRPr="000F3C9D">
        <w:rPr>
          <w:lang w:eastAsia="ja-JP"/>
        </w:rPr>
        <w:t>emorrhagic events was greater in the G-chemo arm during Cycle 1 (1.3% in the R-chemo arm versus 2.4% in the G-chemo arm), but comparable for all other cycles</w:t>
      </w:r>
    </w:p>
    <w:p w14:paraId="574E8264" w14:textId="3DCB7227" w:rsidR="0052032C" w:rsidRPr="000F3C9D" w:rsidRDefault="0052032C" w:rsidP="005440F6">
      <w:pPr>
        <w:pStyle w:val="ListBullet"/>
        <w:rPr>
          <w:lang w:eastAsia="ja-JP"/>
        </w:rPr>
      </w:pPr>
      <w:r w:rsidRPr="000F3C9D">
        <w:rPr>
          <w:lang w:eastAsia="ja-JP"/>
        </w:rPr>
        <w:t xml:space="preserve">The </w:t>
      </w:r>
      <w:r w:rsidR="00546E24">
        <w:rPr>
          <w:lang w:eastAsia="ja-JP"/>
        </w:rPr>
        <w:t>5</w:t>
      </w:r>
      <w:r w:rsidR="00546E24" w:rsidRPr="000F3C9D">
        <w:rPr>
          <w:lang w:eastAsia="ja-JP"/>
        </w:rPr>
        <w:t xml:space="preserve"> </w:t>
      </w:r>
      <w:r w:rsidRPr="000F3C9D">
        <w:rPr>
          <w:lang w:eastAsia="ja-JP"/>
        </w:rPr>
        <w:t>most frequently observed h</w:t>
      </w:r>
      <w:r w:rsidR="00B71C50">
        <w:rPr>
          <w:lang w:eastAsia="ja-JP"/>
        </w:rPr>
        <w:t>a</w:t>
      </w:r>
      <w:r w:rsidRPr="000F3C9D">
        <w:rPr>
          <w:lang w:eastAsia="ja-JP"/>
        </w:rPr>
        <w:t xml:space="preserve">emorrhagic events were epistaxis (2.2% versus 1.9%) </w:t>
      </w:r>
      <w:r w:rsidRPr="000F3C9D">
        <w:rPr>
          <w:i/>
          <w:lang w:eastAsia="ja-JP"/>
        </w:rPr>
        <w:t>(2.3% versus 1.8 %)</w:t>
      </w:r>
      <w:r w:rsidRPr="000F3C9D">
        <w:rPr>
          <w:lang w:eastAsia="ja-JP"/>
        </w:rPr>
        <w:t xml:space="preserve">, contusion (1.7% versus 1.9%) </w:t>
      </w:r>
      <w:r w:rsidRPr="000F3C9D">
        <w:rPr>
          <w:i/>
          <w:lang w:eastAsia="ja-JP"/>
        </w:rPr>
        <w:t>(1.8% versus 2.0%)</w:t>
      </w:r>
      <w:r w:rsidRPr="000F3C9D">
        <w:rPr>
          <w:lang w:eastAsia="ja-JP"/>
        </w:rPr>
        <w:t>, h</w:t>
      </w:r>
      <w:r w:rsidR="00B71C50">
        <w:rPr>
          <w:lang w:eastAsia="ja-JP"/>
        </w:rPr>
        <w:t>a</w:t>
      </w:r>
      <w:r w:rsidRPr="000F3C9D">
        <w:rPr>
          <w:lang w:eastAsia="ja-JP"/>
        </w:rPr>
        <w:t xml:space="preserve">ematuria (0.7% versus 0.9%) </w:t>
      </w:r>
      <w:r w:rsidRPr="000F3C9D">
        <w:rPr>
          <w:i/>
          <w:lang w:eastAsia="ja-JP"/>
        </w:rPr>
        <w:t>(0.5% versus 0.8%)</w:t>
      </w:r>
      <w:r w:rsidRPr="000F3C9D">
        <w:rPr>
          <w:lang w:eastAsia="ja-JP"/>
        </w:rPr>
        <w:t>, h</w:t>
      </w:r>
      <w:r w:rsidR="00546E24">
        <w:rPr>
          <w:lang w:eastAsia="ja-JP"/>
        </w:rPr>
        <w:t>a</w:t>
      </w:r>
      <w:r w:rsidRPr="000F3C9D">
        <w:rPr>
          <w:lang w:eastAsia="ja-JP"/>
        </w:rPr>
        <w:t xml:space="preserve">ematoma (0.7% versus 0.6%) </w:t>
      </w:r>
      <w:r w:rsidRPr="000F3C9D">
        <w:rPr>
          <w:i/>
          <w:lang w:eastAsia="ja-JP"/>
        </w:rPr>
        <w:t>(0.7% versus 0.3%)</w:t>
      </w:r>
      <w:r w:rsidRPr="000F3C9D">
        <w:rPr>
          <w:lang w:eastAsia="ja-JP"/>
        </w:rPr>
        <w:t>, and conjunctival h</w:t>
      </w:r>
      <w:r w:rsidR="00B71C50">
        <w:rPr>
          <w:lang w:eastAsia="ja-JP"/>
        </w:rPr>
        <w:t>a</w:t>
      </w:r>
      <w:r w:rsidRPr="000F3C9D">
        <w:rPr>
          <w:lang w:eastAsia="ja-JP"/>
        </w:rPr>
        <w:t xml:space="preserve">emorrhage (1.3% versus 0.0%) </w:t>
      </w:r>
      <w:r w:rsidRPr="000F3C9D">
        <w:rPr>
          <w:i/>
          <w:lang w:eastAsia="ja-JP"/>
        </w:rPr>
        <w:t>(1.3% versus 0.0%)</w:t>
      </w:r>
      <w:r w:rsidRPr="000F3C9D">
        <w:rPr>
          <w:lang w:eastAsia="ja-JP"/>
        </w:rPr>
        <w:t>.</w:t>
      </w:r>
    </w:p>
    <w:p w14:paraId="184CBF61" w14:textId="40E704A1" w:rsidR="0052032C" w:rsidRPr="0052032C" w:rsidRDefault="0052032C" w:rsidP="0052032C">
      <w:pPr>
        <w:pStyle w:val="ListBullet"/>
        <w:rPr>
          <w:lang w:eastAsia="ja-JP"/>
        </w:rPr>
      </w:pPr>
      <w:r w:rsidRPr="000F3C9D">
        <w:rPr>
          <w:lang w:eastAsia="ja-JP"/>
        </w:rPr>
        <w:t>The type</w:t>
      </w:r>
      <w:r w:rsidR="00B71C50">
        <w:rPr>
          <w:lang w:eastAsia="ja-JP"/>
        </w:rPr>
        <w:t>s</w:t>
      </w:r>
      <w:r w:rsidRPr="000F3C9D">
        <w:rPr>
          <w:lang w:eastAsia="ja-JP"/>
        </w:rPr>
        <w:t xml:space="preserve"> of h</w:t>
      </w:r>
      <w:r w:rsidR="00B71C50">
        <w:rPr>
          <w:lang w:eastAsia="ja-JP"/>
        </w:rPr>
        <w:t>a</w:t>
      </w:r>
      <w:r w:rsidRPr="000F3C9D">
        <w:rPr>
          <w:lang w:eastAsia="ja-JP"/>
        </w:rPr>
        <w:t>emorrhagic events were comparable (&lt;</w:t>
      </w:r>
      <w:r w:rsidR="00B71C50">
        <w:rPr>
          <w:lang w:eastAsia="ja-JP"/>
        </w:rPr>
        <w:t xml:space="preserve"> </w:t>
      </w:r>
      <w:r w:rsidRPr="000F3C9D">
        <w:rPr>
          <w:lang w:eastAsia="ja-JP"/>
        </w:rPr>
        <w:t xml:space="preserve">1% difference between the </w:t>
      </w:r>
      <w:r w:rsidR="00546E24">
        <w:rPr>
          <w:lang w:eastAsia="ja-JP"/>
        </w:rPr>
        <w:t>2 </w:t>
      </w:r>
      <w:r w:rsidRPr="000F3C9D">
        <w:rPr>
          <w:lang w:eastAsia="ja-JP"/>
        </w:rPr>
        <w:t>treatment arms), except for conjunctival h</w:t>
      </w:r>
      <w:r w:rsidR="00B71C50">
        <w:rPr>
          <w:lang w:eastAsia="ja-JP"/>
        </w:rPr>
        <w:t>a</w:t>
      </w:r>
      <w:r w:rsidRPr="000F3C9D">
        <w:rPr>
          <w:lang w:eastAsia="ja-JP"/>
        </w:rPr>
        <w:t>emorrhage which was more frequently observed in the R-chemo arm (1.3% versus 0.0% in the G-chemo arm)</w:t>
      </w:r>
      <w:r w:rsidR="00B71C50">
        <w:rPr>
          <w:lang w:eastAsia="ja-JP"/>
        </w:rPr>
        <w:t>.</w:t>
      </w:r>
    </w:p>
    <w:p w14:paraId="5356B0CC" w14:textId="77777777" w:rsidR="0052032C" w:rsidRPr="0052032C" w:rsidRDefault="0052032C" w:rsidP="00B71C50">
      <w:pPr>
        <w:pStyle w:val="Heading5"/>
        <w:rPr>
          <w:lang w:eastAsia="ja-JP"/>
        </w:rPr>
      </w:pPr>
      <w:r w:rsidRPr="0052032C">
        <w:rPr>
          <w:lang w:eastAsia="ja-JP"/>
        </w:rPr>
        <w:t>GI perforation (overall safety population)</w:t>
      </w:r>
    </w:p>
    <w:p w14:paraId="3FC963AB" w14:textId="77777777" w:rsidR="0052032C" w:rsidRPr="0052032C" w:rsidRDefault="0052032C" w:rsidP="0052032C">
      <w:pPr>
        <w:rPr>
          <w:lang w:eastAsia="ja-JP"/>
        </w:rPr>
      </w:pPr>
      <w:r w:rsidRPr="0052032C">
        <w:rPr>
          <w:lang w:eastAsia="ja-JP"/>
        </w:rPr>
        <w:t xml:space="preserve">Data for the </w:t>
      </w:r>
      <w:r w:rsidRPr="0052032C">
        <w:rPr>
          <w:i/>
          <w:lang w:eastAsia="ja-JP"/>
        </w:rPr>
        <w:t>FL safety population</w:t>
      </w:r>
      <w:r w:rsidRPr="0052032C">
        <w:rPr>
          <w:lang w:eastAsia="ja-JP"/>
        </w:rPr>
        <w:t xml:space="preserve"> are presented in </w:t>
      </w:r>
      <w:r w:rsidRPr="0052032C">
        <w:rPr>
          <w:i/>
          <w:lang w:eastAsia="ja-JP"/>
        </w:rPr>
        <w:t>italics</w:t>
      </w:r>
      <w:r w:rsidRPr="0052032C">
        <w:rPr>
          <w:lang w:eastAsia="ja-JP"/>
        </w:rPr>
        <w:t>. Percentages shown for R-chemo followed by G-chemo arm:</w:t>
      </w:r>
    </w:p>
    <w:p w14:paraId="2C015DA1" w14:textId="77777777" w:rsidR="0052032C" w:rsidRPr="0052032C" w:rsidRDefault="0052032C" w:rsidP="00B71C50">
      <w:pPr>
        <w:pStyle w:val="ListBullet"/>
        <w:rPr>
          <w:lang w:eastAsia="ja-JP"/>
        </w:rPr>
      </w:pPr>
      <w:r w:rsidRPr="0052032C">
        <w:rPr>
          <w:lang w:eastAsia="ja-JP"/>
        </w:rPr>
        <w:t>Incidence of GI perforation AEs comparable (0.4%</w:t>
      </w:r>
      <w:r>
        <w:rPr>
          <w:lang w:eastAsia="ja-JP"/>
        </w:rPr>
        <w:t xml:space="preserve"> versus </w:t>
      </w:r>
      <w:r w:rsidRPr="0052032C">
        <w:rPr>
          <w:lang w:eastAsia="ja-JP"/>
        </w:rPr>
        <w:t xml:space="preserve">0.6%) </w:t>
      </w:r>
      <w:r w:rsidRPr="0052032C">
        <w:rPr>
          <w:i/>
          <w:lang w:eastAsia="ja-JP"/>
        </w:rPr>
        <w:t>(0.5%</w:t>
      </w:r>
      <w:r>
        <w:rPr>
          <w:i/>
          <w:lang w:eastAsia="ja-JP"/>
        </w:rPr>
        <w:t xml:space="preserve"> versus </w:t>
      </w:r>
      <w:r w:rsidRPr="0052032C">
        <w:rPr>
          <w:i/>
          <w:lang w:eastAsia="ja-JP"/>
        </w:rPr>
        <w:t>0.7%)</w:t>
      </w:r>
    </w:p>
    <w:p w14:paraId="4B71C068" w14:textId="77777777" w:rsidR="0052032C" w:rsidRPr="0052032C" w:rsidRDefault="0052032C" w:rsidP="00B71C50">
      <w:pPr>
        <w:pStyle w:val="ListBullet"/>
        <w:rPr>
          <w:lang w:eastAsia="ja-JP"/>
        </w:rPr>
      </w:pPr>
      <w:r w:rsidRPr="0052032C">
        <w:rPr>
          <w:lang w:eastAsia="ja-JP"/>
        </w:rPr>
        <w:t>No Grade 5 GI perforation AEs</w:t>
      </w:r>
    </w:p>
    <w:p w14:paraId="65EF243B" w14:textId="3AB71FE0" w:rsidR="0052032C" w:rsidRPr="0052032C" w:rsidRDefault="00B71C50" w:rsidP="00B71C50">
      <w:pPr>
        <w:pStyle w:val="ListBullet"/>
        <w:rPr>
          <w:lang w:eastAsia="ja-JP"/>
        </w:rPr>
      </w:pPr>
      <w:r>
        <w:rPr>
          <w:lang w:eastAsia="ja-JP"/>
        </w:rPr>
        <w:t xml:space="preserve">Grade 3 or </w:t>
      </w:r>
      <w:r w:rsidR="0052032C" w:rsidRPr="0052032C">
        <w:rPr>
          <w:lang w:eastAsia="ja-JP"/>
        </w:rPr>
        <w:t>4 more frequent in G-chemo arm (0/0.0%</w:t>
      </w:r>
      <w:r w:rsidR="0052032C">
        <w:rPr>
          <w:lang w:eastAsia="ja-JP"/>
        </w:rPr>
        <w:t xml:space="preserve"> versus </w:t>
      </w:r>
      <w:r w:rsidR="0052032C" w:rsidRPr="0052032C">
        <w:rPr>
          <w:lang w:eastAsia="ja-JP"/>
        </w:rPr>
        <w:t xml:space="preserve">3/0.4%) </w:t>
      </w:r>
      <w:r w:rsidR="0052032C" w:rsidRPr="0052032C">
        <w:rPr>
          <w:i/>
          <w:lang w:eastAsia="ja-JP"/>
        </w:rPr>
        <w:t>(0</w:t>
      </w:r>
      <w:r w:rsidR="0052032C">
        <w:rPr>
          <w:i/>
          <w:lang w:eastAsia="ja-JP"/>
        </w:rPr>
        <w:t xml:space="preserve"> versus </w:t>
      </w:r>
      <w:r w:rsidR="0052032C" w:rsidRPr="0052032C">
        <w:rPr>
          <w:i/>
          <w:lang w:eastAsia="ja-JP"/>
        </w:rPr>
        <w:t>3 patients)</w:t>
      </w:r>
    </w:p>
    <w:p w14:paraId="224DCC18" w14:textId="77777777" w:rsidR="0052032C" w:rsidRPr="0052032C" w:rsidRDefault="0052032C" w:rsidP="00B71C50">
      <w:pPr>
        <w:pStyle w:val="ListBullet"/>
        <w:rPr>
          <w:lang w:eastAsia="ja-JP"/>
        </w:rPr>
      </w:pPr>
      <w:r w:rsidRPr="0052032C">
        <w:rPr>
          <w:lang w:eastAsia="ja-JP"/>
        </w:rPr>
        <w:t>Serious GI perforation AEs 0/0.0%</w:t>
      </w:r>
      <w:r>
        <w:rPr>
          <w:lang w:eastAsia="ja-JP"/>
        </w:rPr>
        <w:t xml:space="preserve"> versus </w:t>
      </w:r>
      <w:r w:rsidRPr="0052032C">
        <w:rPr>
          <w:lang w:eastAsia="ja-JP"/>
        </w:rPr>
        <w:t xml:space="preserve">3/0.4% </w:t>
      </w:r>
      <w:r w:rsidRPr="0052032C">
        <w:rPr>
          <w:i/>
          <w:lang w:eastAsia="ja-JP"/>
        </w:rPr>
        <w:t>(0</w:t>
      </w:r>
      <w:r>
        <w:rPr>
          <w:i/>
          <w:lang w:eastAsia="ja-JP"/>
        </w:rPr>
        <w:t xml:space="preserve"> versus </w:t>
      </w:r>
      <w:r w:rsidRPr="0052032C">
        <w:rPr>
          <w:i/>
          <w:lang w:eastAsia="ja-JP"/>
        </w:rPr>
        <w:t>3 patients)</w:t>
      </w:r>
    </w:p>
    <w:p w14:paraId="6FCAC2E2" w14:textId="4717914D" w:rsidR="0052032C" w:rsidRPr="0052032C" w:rsidRDefault="0052032C" w:rsidP="0052032C">
      <w:pPr>
        <w:pStyle w:val="ListBullet"/>
        <w:rPr>
          <w:lang w:eastAsia="ja-JP"/>
        </w:rPr>
      </w:pPr>
      <w:r w:rsidRPr="0052032C">
        <w:rPr>
          <w:lang w:eastAsia="ja-JP"/>
        </w:rPr>
        <w:t>No patients had treatment withdrawn due to AE</w:t>
      </w:r>
      <w:r w:rsidR="00B71C50">
        <w:rPr>
          <w:lang w:eastAsia="ja-JP"/>
        </w:rPr>
        <w:t>.</w:t>
      </w:r>
    </w:p>
    <w:p w14:paraId="50A3486B" w14:textId="77777777" w:rsidR="0052032C" w:rsidRPr="0052032C" w:rsidRDefault="0052032C" w:rsidP="00B71C50">
      <w:pPr>
        <w:pStyle w:val="Heading5"/>
        <w:rPr>
          <w:lang w:eastAsia="ja-JP"/>
        </w:rPr>
      </w:pPr>
      <w:bookmarkStart w:id="242" w:name="_Ref479600795"/>
      <w:r w:rsidRPr="0052032C">
        <w:rPr>
          <w:lang w:eastAsia="ja-JP"/>
        </w:rPr>
        <w:t>Cardiac events (overall safety population)</w:t>
      </w:r>
      <w:bookmarkEnd w:id="242"/>
    </w:p>
    <w:p w14:paraId="231E1580" w14:textId="77777777" w:rsidR="0052032C" w:rsidRPr="0052032C" w:rsidRDefault="0052032C" w:rsidP="0052032C">
      <w:pPr>
        <w:rPr>
          <w:lang w:eastAsia="ja-JP"/>
        </w:rPr>
      </w:pPr>
      <w:r w:rsidRPr="0052032C">
        <w:rPr>
          <w:lang w:eastAsia="ja-JP"/>
        </w:rPr>
        <w:t xml:space="preserve">Data for the </w:t>
      </w:r>
      <w:r w:rsidRPr="0052032C">
        <w:rPr>
          <w:i/>
          <w:lang w:eastAsia="ja-JP"/>
        </w:rPr>
        <w:t>FL safety population</w:t>
      </w:r>
      <w:r w:rsidRPr="0052032C">
        <w:rPr>
          <w:lang w:eastAsia="ja-JP"/>
        </w:rPr>
        <w:t xml:space="preserve"> are presented in </w:t>
      </w:r>
      <w:r w:rsidRPr="0052032C">
        <w:rPr>
          <w:i/>
          <w:lang w:eastAsia="ja-JP"/>
        </w:rPr>
        <w:t>italics</w:t>
      </w:r>
      <w:r w:rsidRPr="0052032C">
        <w:rPr>
          <w:lang w:eastAsia="ja-JP"/>
        </w:rPr>
        <w:t>. Percentages shown for R-chemo followed by G-chemo arm:</w:t>
      </w:r>
    </w:p>
    <w:p w14:paraId="542BA72A" w14:textId="77777777" w:rsidR="0052032C" w:rsidRPr="0052032C" w:rsidRDefault="0052032C" w:rsidP="00B71C50">
      <w:pPr>
        <w:pStyle w:val="ListBullet"/>
        <w:rPr>
          <w:lang w:eastAsia="ja-JP"/>
        </w:rPr>
      </w:pPr>
      <w:r w:rsidRPr="0052032C">
        <w:rPr>
          <w:lang w:eastAsia="ja-JP"/>
        </w:rPr>
        <w:t>Greater incidence in G-chemo arm (9.7%</w:t>
      </w:r>
      <w:r>
        <w:rPr>
          <w:lang w:eastAsia="ja-JP"/>
        </w:rPr>
        <w:t xml:space="preserve"> versus </w:t>
      </w:r>
      <w:r w:rsidRPr="0052032C">
        <w:rPr>
          <w:lang w:eastAsia="ja-JP"/>
        </w:rPr>
        <w:t xml:space="preserve">14.6%) </w:t>
      </w:r>
      <w:r w:rsidRPr="0052032C">
        <w:rPr>
          <w:i/>
          <w:lang w:eastAsia="ja-JP"/>
        </w:rPr>
        <w:t>(9.7%</w:t>
      </w:r>
      <w:r>
        <w:rPr>
          <w:i/>
          <w:lang w:eastAsia="ja-JP"/>
        </w:rPr>
        <w:t xml:space="preserve"> versus </w:t>
      </w:r>
      <w:r w:rsidRPr="0052032C">
        <w:rPr>
          <w:i/>
          <w:lang w:eastAsia="ja-JP"/>
        </w:rPr>
        <w:t>13.1%)</w:t>
      </w:r>
    </w:p>
    <w:p w14:paraId="29B8E408" w14:textId="77777777" w:rsidR="0052032C" w:rsidRPr="0052032C" w:rsidRDefault="0052032C" w:rsidP="00B71C50">
      <w:pPr>
        <w:pStyle w:val="ListBullet"/>
        <w:rPr>
          <w:lang w:eastAsia="ja-JP"/>
        </w:rPr>
      </w:pPr>
      <w:r w:rsidRPr="0052032C">
        <w:rPr>
          <w:lang w:eastAsia="ja-JP"/>
        </w:rPr>
        <w:t>Higher incidence in G-chemo arm due to higher incidence of tachycardia (1.6%</w:t>
      </w:r>
      <w:r>
        <w:rPr>
          <w:lang w:eastAsia="ja-JP"/>
        </w:rPr>
        <w:t xml:space="preserve"> versus </w:t>
      </w:r>
      <w:r w:rsidRPr="0052032C">
        <w:rPr>
          <w:lang w:eastAsia="ja-JP"/>
        </w:rPr>
        <w:t xml:space="preserve">3.0%) </w:t>
      </w:r>
      <w:r w:rsidRPr="0052032C">
        <w:rPr>
          <w:i/>
          <w:lang w:eastAsia="ja-JP"/>
        </w:rPr>
        <w:t>(1.2</w:t>
      </w:r>
      <w:r>
        <w:rPr>
          <w:i/>
          <w:lang w:eastAsia="ja-JP"/>
        </w:rPr>
        <w:t xml:space="preserve"> </w:t>
      </w:r>
      <w:proofErr w:type="gramStart"/>
      <w:r>
        <w:rPr>
          <w:i/>
          <w:lang w:eastAsia="ja-JP"/>
        </w:rPr>
        <w:t>versus</w:t>
      </w:r>
      <w:proofErr w:type="gramEnd"/>
      <w:r>
        <w:rPr>
          <w:i/>
          <w:lang w:eastAsia="ja-JP"/>
        </w:rPr>
        <w:t xml:space="preserve"> </w:t>
      </w:r>
      <w:r w:rsidRPr="0052032C">
        <w:rPr>
          <w:i/>
          <w:lang w:eastAsia="ja-JP"/>
        </w:rPr>
        <w:t>2.7%)</w:t>
      </w:r>
      <w:r w:rsidRPr="0052032C">
        <w:rPr>
          <w:lang w:eastAsia="ja-JP"/>
        </w:rPr>
        <w:t>, atrial fibrillation (1.4%</w:t>
      </w:r>
      <w:r>
        <w:rPr>
          <w:lang w:eastAsia="ja-JP"/>
        </w:rPr>
        <w:t xml:space="preserve"> versus </w:t>
      </w:r>
      <w:r w:rsidRPr="0052032C">
        <w:rPr>
          <w:lang w:eastAsia="ja-JP"/>
        </w:rPr>
        <w:t xml:space="preserve">2.4%) </w:t>
      </w:r>
      <w:r w:rsidRPr="0052032C">
        <w:rPr>
          <w:i/>
          <w:lang w:eastAsia="ja-JP"/>
        </w:rPr>
        <w:t>(1.3%</w:t>
      </w:r>
      <w:r>
        <w:rPr>
          <w:i/>
          <w:lang w:eastAsia="ja-JP"/>
        </w:rPr>
        <w:t xml:space="preserve"> versus </w:t>
      </w:r>
      <w:r w:rsidRPr="0052032C">
        <w:rPr>
          <w:i/>
          <w:lang w:eastAsia="ja-JP"/>
        </w:rPr>
        <w:t>2.7%)</w:t>
      </w:r>
      <w:r w:rsidRPr="0052032C">
        <w:rPr>
          <w:lang w:eastAsia="ja-JP"/>
        </w:rPr>
        <w:t>, sinus tachycardia (0.4%</w:t>
      </w:r>
      <w:r>
        <w:rPr>
          <w:lang w:eastAsia="ja-JP"/>
        </w:rPr>
        <w:t xml:space="preserve"> versus </w:t>
      </w:r>
      <w:r w:rsidRPr="0052032C">
        <w:rPr>
          <w:lang w:eastAsia="ja-JP"/>
        </w:rPr>
        <w:t xml:space="preserve">1.3%) </w:t>
      </w:r>
      <w:r w:rsidRPr="0052032C">
        <w:rPr>
          <w:i/>
          <w:lang w:eastAsia="ja-JP"/>
        </w:rPr>
        <w:t>(0.5%</w:t>
      </w:r>
      <w:r>
        <w:rPr>
          <w:i/>
          <w:lang w:eastAsia="ja-JP"/>
        </w:rPr>
        <w:t xml:space="preserve"> versus </w:t>
      </w:r>
      <w:r w:rsidRPr="0052032C">
        <w:rPr>
          <w:i/>
          <w:lang w:eastAsia="ja-JP"/>
        </w:rPr>
        <w:t>1.3%)</w:t>
      </w:r>
      <w:r w:rsidRPr="0052032C">
        <w:rPr>
          <w:lang w:eastAsia="ja-JP"/>
        </w:rPr>
        <w:t>, bradycardia (0.3%</w:t>
      </w:r>
      <w:r>
        <w:rPr>
          <w:lang w:eastAsia="ja-JP"/>
        </w:rPr>
        <w:t xml:space="preserve"> versus </w:t>
      </w:r>
      <w:r w:rsidRPr="0052032C">
        <w:rPr>
          <w:lang w:eastAsia="ja-JP"/>
        </w:rPr>
        <w:t>0.9%), sinus bradycardia (0.0%</w:t>
      </w:r>
      <w:r>
        <w:rPr>
          <w:lang w:eastAsia="ja-JP"/>
        </w:rPr>
        <w:t xml:space="preserve"> versus </w:t>
      </w:r>
      <w:r w:rsidRPr="0052032C">
        <w:rPr>
          <w:lang w:eastAsia="ja-JP"/>
        </w:rPr>
        <w:t xml:space="preserve">1.0%) </w:t>
      </w:r>
      <w:r w:rsidRPr="0052032C">
        <w:rPr>
          <w:i/>
          <w:lang w:eastAsia="ja-JP"/>
        </w:rPr>
        <w:t>(0%</w:t>
      </w:r>
      <w:r>
        <w:rPr>
          <w:i/>
          <w:lang w:eastAsia="ja-JP"/>
        </w:rPr>
        <w:t xml:space="preserve"> versus </w:t>
      </w:r>
      <w:r w:rsidRPr="0052032C">
        <w:rPr>
          <w:i/>
          <w:lang w:eastAsia="ja-JP"/>
        </w:rPr>
        <w:t>1.2%)</w:t>
      </w:r>
      <w:r w:rsidRPr="0052032C">
        <w:rPr>
          <w:lang w:eastAsia="ja-JP"/>
        </w:rPr>
        <w:t>, arrhythmia (0.0%</w:t>
      </w:r>
      <w:r>
        <w:rPr>
          <w:lang w:eastAsia="ja-JP"/>
        </w:rPr>
        <w:t xml:space="preserve"> versus </w:t>
      </w:r>
      <w:r w:rsidRPr="0052032C">
        <w:rPr>
          <w:lang w:eastAsia="ja-JP"/>
        </w:rPr>
        <w:t>0.7%), and acute myocardial infarction (0.0%</w:t>
      </w:r>
      <w:r>
        <w:rPr>
          <w:lang w:eastAsia="ja-JP"/>
        </w:rPr>
        <w:t xml:space="preserve"> versus </w:t>
      </w:r>
      <w:r w:rsidRPr="0052032C">
        <w:rPr>
          <w:lang w:eastAsia="ja-JP"/>
        </w:rPr>
        <w:t xml:space="preserve">0.6%) </w:t>
      </w:r>
      <w:r w:rsidRPr="0052032C">
        <w:rPr>
          <w:i/>
          <w:lang w:eastAsia="ja-JP"/>
        </w:rPr>
        <w:t>(0%</w:t>
      </w:r>
      <w:r>
        <w:rPr>
          <w:i/>
          <w:lang w:eastAsia="ja-JP"/>
        </w:rPr>
        <w:t xml:space="preserve"> versus </w:t>
      </w:r>
      <w:r w:rsidRPr="0052032C">
        <w:rPr>
          <w:i/>
          <w:lang w:eastAsia="ja-JP"/>
        </w:rPr>
        <w:t>0.7%)</w:t>
      </w:r>
    </w:p>
    <w:p w14:paraId="3510BE5B" w14:textId="77777777" w:rsidR="0052032C" w:rsidRPr="0052032C" w:rsidRDefault="0052032C" w:rsidP="00B71C50">
      <w:pPr>
        <w:pStyle w:val="ListBullet"/>
        <w:rPr>
          <w:lang w:eastAsia="ja-JP"/>
        </w:rPr>
      </w:pPr>
      <w:r w:rsidRPr="0052032C">
        <w:rPr>
          <w:lang w:eastAsia="ja-JP"/>
        </w:rPr>
        <w:lastRenderedPageBreak/>
        <w:t>The incidence was still higher in G-chemo arm when IRRs were excluded (7.8%</w:t>
      </w:r>
      <w:r>
        <w:rPr>
          <w:lang w:eastAsia="ja-JP"/>
        </w:rPr>
        <w:t xml:space="preserve"> versus </w:t>
      </w:r>
      <w:r w:rsidRPr="0052032C">
        <w:rPr>
          <w:lang w:eastAsia="ja-JP"/>
        </w:rPr>
        <w:t xml:space="preserve">11.2%) </w:t>
      </w:r>
      <w:r w:rsidRPr="0052032C">
        <w:rPr>
          <w:i/>
          <w:lang w:eastAsia="ja-JP"/>
        </w:rPr>
        <w:t>(8.2%</w:t>
      </w:r>
      <w:r>
        <w:rPr>
          <w:i/>
          <w:lang w:eastAsia="ja-JP"/>
        </w:rPr>
        <w:t xml:space="preserve"> versus </w:t>
      </w:r>
      <w:r w:rsidRPr="0052032C">
        <w:rPr>
          <w:i/>
          <w:lang w:eastAsia="ja-JP"/>
        </w:rPr>
        <w:t>9.6%)</w:t>
      </w:r>
    </w:p>
    <w:p w14:paraId="5E636C6B" w14:textId="36835F27" w:rsidR="0052032C" w:rsidRPr="0052032C" w:rsidRDefault="00E533C6" w:rsidP="00B71C50">
      <w:pPr>
        <w:pStyle w:val="ListBullet"/>
        <w:rPr>
          <w:lang w:eastAsia="ja-JP"/>
        </w:rPr>
      </w:pPr>
      <w:r>
        <w:rPr>
          <w:lang w:eastAsia="ja-JP"/>
        </w:rPr>
        <w:t>2</w:t>
      </w:r>
      <w:r w:rsidRPr="0052032C">
        <w:rPr>
          <w:lang w:eastAsia="ja-JP"/>
        </w:rPr>
        <w:t xml:space="preserve"> </w:t>
      </w:r>
      <w:r w:rsidR="0052032C" w:rsidRPr="0052032C">
        <w:rPr>
          <w:lang w:eastAsia="ja-JP"/>
        </w:rPr>
        <w:t xml:space="preserve">fatal cardiac AEs in the R-chemo arm (cardiac arrest and myocardial infarction), and </w:t>
      </w:r>
      <w:r>
        <w:rPr>
          <w:lang w:eastAsia="ja-JP"/>
        </w:rPr>
        <w:t>3</w:t>
      </w:r>
      <w:r w:rsidRPr="0052032C">
        <w:rPr>
          <w:lang w:eastAsia="ja-JP"/>
        </w:rPr>
        <w:t xml:space="preserve"> </w:t>
      </w:r>
      <w:r w:rsidR="0052032C" w:rsidRPr="0052032C">
        <w:rPr>
          <w:lang w:eastAsia="ja-JP"/>
        </w:rPr>
        <w:t>in the G-chemo arm (</w:t>
      </w:r>
      <w:r w:rsidR="00546E24">
        <w:rPr>
          <w:lang w:eastAsia="ja-JP"/>
        </w:rPr>
        <w:t>2</w:t>
      </w:r>
      <w:r w:rsidR="00546E24" w:rsidRPr="0052032C">
        <w:rPr>
          <w:lang w:eastAsia="ja-JP"/>
        </w:rPr>
        <w:t xml:space="preserve"> </w:t>
      </w:r>
      <w:r w:rsidR="0052032C" w:rsidRPr="0052032C">
        <w:rPr>
          <w:lang w:eastAsia="ja-JP"/>
        </w:rPr>
        <w:t>cases of cardiogenic shock, and one cardiac failure).</w:t>
      </w:r>
    </w:p>
    <w:p w14:paraId="27432A07" w14:textId="776D570F" w:rsidR="0052032C" w:rsidRPr="0052032C" w:rsidRDefault="0052032C" w:rsidP="00B71C50">
      <w:pPr>
        <w:pStyle w:val="ListBullet"/>
        <w:rPr>
          <w:lang w:eastAsia="ja-JP"/>
        </w:rPr>
      </w:pPr>
      <w:r w:rsidRPr="0052032C">
        <w:rPr>
          <w:lang w:eastAsia="ja-JP"/>
        </w:rPr>
        <w:t>Greater incidence of serious cardiac AEs in the G-chemo arm (2.0%</w:t>
      </w:r>
      <w:r>
        <w:rPr>
          <w:lang w:eastAsia="ja-JP"/>
        </w:rPr>
        <w:t xml:space="preserve"> versus </w:t>
      </w:r>
      <w:r w:rsidRPr="0052032C">
        <w:rPr>
          <w:lang w:eastAsia="ja-JP"/>
        </w:rPr>
        <w:t xml:space="preserve">5.9%) </w:t>
      </w:r>
      <w:r w:rsidRPr="0052032C">
        <w:rPr>
          <w:i/>
          <w:lang w:eastAsia="ja-JP"/>
        </w:rPr>
        <w:t xml:space="preserve">(12/597 </w:t>
      </w:r>
      <w:r>
        <w:rPr>
          <w:i/>
          <w:lang w:eastAsia="ja-JP"/>
        </w:rPr>
        <w:t>(</w:t>
      </w:r>
      <w:r w:rsidRPr="0052032C">
        <w:rPr>
          <w:i/>
          <w:lang w:eastAsia="ja-JP"/>
        </w:rPr>
        <w:t>2.0%</w:t>
      </w:r>
      <w:r>
        <w:rPr>
          <w:i/>
          <w:lang w:eastAsia="ja-JP"/>
        </w:rPr>
        <w:t xml:space="preserve">) versus </w:t>
      </w:r>
      <w:r w:rsidRPr="0052032C">
        <w:rPr>
          <w:i/>
          <w:lang w:eastAsia="ja-JP"/>
        </w:rPr>
        <w:t xml:space="preserve">26/595 </w:t>
      </w:r>
      <w:r>
        <w:rPr>
          <w:i/>
          <w:lang w:eastAsia="ja-JP"/>
        </w:rPr>
        <w:t>(</w:t>
      </w:r>
      <w:r w:rsidRPr="0052032C">
        <w:rPr>
          <w:i/>
          <w:lang w:eastAsia="ja-JP"/>
        </w:rPr>
        <w:t>4.4%</w:t>
      </w:r>
      <w:r>
        <w:rPr>
          <w:i/>
          <w:lang w:eastAsia="ja-JP"/>
        </w:rPr>
        <w:t>)</w:t>
      </w:r>
      <w:r w:rsidRPr="0052032C">
        <w:rPr>
          <w:i/>
          <w:lang w:eastAsia="ja-JP"/>
        </w:rPr>
        <w:t>)</w:t>
      </w:r>
      <w:r w:rsidR="00B71C50">
        <w:rPr>
          <w:i/>
          <w:lang w:eastAsia="ja-JP"/>
        </w:rPr>
        <w:t>.</w:t>
      </w:r>
    </w:p>
    <w:p w14:paraId="56B00A42" w14:textId="68E619CE" w:rsidR="0052032C" w:rsidRPr="0052032C" w:rsidRDefault="0052032C" w:rsidP="00B71C50">
      <w:pPr>
        <w:pStyle w:val="Comment"/>
        <w:rPr>
          <w:lang w:eastAsia="ja-JP"/>
        </w:rPr>
      </w:pPr>
      <w:r w:rsidRPr="00B71C50">
        <w:rPr>
          <w:b/>
          <w:lang w:eastAsia="ja-JP"/>
        </w:rPr>
        <w:t xml:space="preserve">Comment: </w:t>
      </w:r>
      <w:r w:rsidR="00B71C50" w:rsidRPr="00B71C50">
        <w:rPr>
          <w:b/>
          <w:lang w:eastAsia="ja-JP"/>
        </w:rPr>
        <w:t xml:space="preserve"> </w:t>
      </w:r>
      <w:r w:rsidRPr="0052032C">
        <w:rPr>
          <w:lang w:eastAsia="ja-JP"/>
        </w:rPr>
        <w:t xml:space="preserve">Generally it looks like there are more </w:t>
      </w:r>
      <w:proofErr w:type="gramStart"/>
      <w:r w:rsidRPr="0052032C">
        <w:rPr>
          <w:lang w:eastAsia="ja-JP"/>
        </w:rPr>
        <w:t>cardiac</w:t>
      </w:r>
      <w:proofErr w:type="gramEnd"/>
      <w:r w:rsidRPr="0052032C">
        <w:rPr>
          <w:lang w:eastAsia="ja-JP"/>
        </w:rPr>
        <w:t xml:space="preserve"> AEs in the G-chemo arm in the overall population than in the FL population while it was approximately the same for the R</w:t>
      </w:r>
      <w:r w:rsidR="002470A0">
        <w:rPr>
          <w:lang w:eastAsia="ja-JP"/>
        </w:rPr>
        <w:noBreakHyphen/>
      </w:r>
      <w:r w:rsidRPr="0052032C">
        <w:rPr>
          <w:lang w:eastAsia="ja-JP"/>
        </w:rPr>
        <w:t>chemo arm (see overall AEs and SAEs). The average age of the MZL population was 63.0 and for the FL population 59.0. More patients proportionally had bendamustine in the MZL arm. The</w:t>
      </w:r>
      <w:r>
        <w:rPr>
          <w:lang w:eastAsia="ja-JP"/>
        </w:rPr>
        <w:t xml:space="preserve"> sponsor</w:t>
      </w:r>
      <w:r w:rsidRPr="0052032C">
        <w:rPr>
          <w:lang w:eastAsia="ja-JP"/>
        </w:rPr>
        <w:t xml:space="preserve"> has previously argued that there were more patients with stage IV disease in the MZL arm compared to the FL arm, but this is the nature of at least the splenic and nodal MZL, which constitute about 2/3 of the MZL population. The MZL population only constitute 14% of the overall safety population and still it affects the safety data making </w:t>
      </w:r>
      <w:r w:rsidR="00CB5CD0">
        <w:rPr>
          <w:lang w:eastAsia="ja-JP"/>
        </w:rPr>
        <w:t>the evaluator</w:t>
      </w:r>
      <w:r w:rsidR="00CB5CD0" w:rsidRPr="0052032C">
        <w:rPr>
          <w:lang w:eastAsia="ja-JP"/>
        </w:rPr>
        <w:t xml:space="preserve"> </w:t>
      </w:r>
      <w:r w:rsidRPr="0052032C">
        <w:rPr>
          <w:lang w:eastAsia="ja-JP"/>
        </w:rPr>
        <w:t>worry that age plays a large part in the higher incidence of AEs in the G-chemo arm in</w:t>
      </w:r>
      <w:r w:rsidR="00B71C50">
        <w:rPr>
          <w:lang w:eastAsia="ja-JP"/>
        </w:rPr>
        <w:t xml:space="preserve"> the overall safety population.</w:t>
      </w:r>
    </w:p>
    <w:p w14:paraId="548053C6" w14:textId="5E78EE58" w:rsidR="0052032C" w:rsidRPr="00B71C50" w:rsidRDefault="0052032C" w:rsidP="00B71C50">
      <w:pPr>
        <w:pStyle w:val="Comment"/>
        <w:rPr>
          <w:b/>
          <w:lang w:eastAsia="ja-JP"/>
        </w:rPr>
      </w:pPr>
      <w:bookmarkStart w:id="243" w:name="_Ref479857246"/>
      <w:r w:rsidRPr="0052032C">
        <w:rPr>
          <w:b/>
          <w:lang w:eastAsia="ja-JP"/>
        </w:rPr>
        <w:t xml:space="preserve">Question </w:t>
      </w:r>
      <w:r w:rsidR="002470A0">
        <w:rPr>
          <w:b/>
          <w:lang w:eastAsia="ja-JP"/>
        </w:rPr>
        <w:t>7</w:t>
      </w:r>
      <w:r w:rsidRPr="0052032C">
        <w:rPr>
          <w:b/>
          <w:lang w:eastAsia="ja-JP"/>
        </w:rPr>
        <w:t>:</w:t>
      </w:r>
      <w:r w:rsidRPr="0052032C">
        <w:rPr>
          <w:lang w:eastAsia="ja-JP"/>
        </w:rPr>
        <w:t xml:space="preserve"> The</w:t>
      </w:r>
      <w:r>
        <w:rPr>
          <w:lang w:eastAsia="ja-JP"/>
        </w:rPr>
        <w:t xml:space="preserve"> sponsor</w:t>
      </w:r>
      <w:r w:rsidRPr="0052032C">
        <w:rPr>
          <w:lang w:eastAsia="ja-JP"/>
        </w:rPr>
        <w:t xml:space="preserve"> is asked to comment on possible reasons for the higher incidence of cardiac AEs in the MZL population (and as such the overall safety population, which is the safety population in the PI) compared to the FL population</w:t>
      </w:r>
      <w:bookmarkEnd w:id="243"/>
      <w:r w:rsidR="00B71C50">
        <w:rPr>
          <w:lang w:eastAsia="ja-JP"/>
        </w:rPr>
        <w:t>.</w:t>
      </w:r>
    </w:p>
    <w:p w14:paraId="5A1AA400" w14:textId="77777777" w:rsidR="0052032C" w:rsidRPr="0052032C" w:rsidRDefault="0052032C" w:rsidP="00B573F1">
      <w:pPr>
        <w:pStyle w:val="Heading5"/>
        <w:rPr>
          <w:lang w:eastAsia="ja-JP"/>
        </w:rPr>
      </w:pPr>
      <w:r w:rsidRPr="0052032C">
        <w:rPr>
          <w:lang w:eastAsia="ja-JP"/>
        </w:rPr>
        <w:t>Second malignancies (overall safety population)</w:t>
      </w:r>
    </w:p>
    <w:p w14:paraId="4B12825E" w14:textId="77777777" w:rsidR="0052032C" w:rsidRPr="0052032C" w:rsidRDefault="0052032C" w:rsidP="0052032C">
      <w:pPr>
        <w:rPr>
          <w:lang w:eastAsia="ja-JP"/>
        </w:rPr>
      </w:pPr>
      <w:r w:rsidRPr="0052032C">
        <w:rPr>
          <w:lang w:eastAsia="ja-JP"/>
        </w:rPr>
        <w:t xml:space="preserve">Data for the </w:t>
      </w:r>
      <w:r w:rsidRPr="0052032C">
        <w:rPr>
          <w:i/>
          <w:lang w:eastAsia="ja-JP"/>
        </w:rPr>
        <w:t>FL safety population</w:t>
      </w:r>
      <w:r w:rsidRPr="0052032C">
        <w:rPr>
          <w:lang w:eastAsia="ja-JP"/>
        </w:rPr>
        <w:t xml:space="preserve"> are presented in </w:t>
      </w:r>
      <w:r w:rsidRPr="0052032C">
        <w:rPr>
          <w:i/>
          <w:lang w:eastAsia="ja-JP"/>
        </w:rPr>
        <w:t>italics</w:t>
      </w:r>
      <w:r w:rsidRPr="0052032C">
        <w:rPr>
          <w:lang w:eastAsia="ja-JP"/>
        </w:rPr>
        <w:t>. Percentages shown for R-chemo followed by G-chemo arm:</w:t>
      </w:r>
    </w:p>
    <w:p w14:paraId="20203F58" w14:textId="77777777" w:rsidR="0052032C" w:rsidRPr="0052032C" w:rsidRDefault="0052032C" w:rsidP="00B573F1">
      <w:pPr>
        <w:pStyle w:val="ListBullet"/>
        <w:rPr>
          <w:lang w:eastAsia="ja-JP"/>
        </w:rPr>
      </w:pPr>
      <w:r w:rsidRPr="0052032C">
        <w:rPr>
          <w:lang w:eastAsia="ja-JP"/>
        </w:rPr>
        <w:t>Greater incidence of SOC defined second malignancies in G-chemo arm (7.5%</w:t>
      </w:r>
      <w:r>
        <w:rPr>
          <w:lang w:eastAsia="ja-JP"/>
        </w:rPr>
        <w:t xml:space="preserve"> versus </w:t>
      </w:r>
      <w:r w:rsidRPr="0052032C">
        <w:rPr>
          <w:lang w:eastAsia="ja-JP"/>
        </w:rPr>
        <w:t xml:space="preserve">10.3%) </w:t>
      </w:r>
      <w:r w:rsidRPr="0052032C">
        <w:rPr>
          <w:i/>
          <w:lang w:eastAsia="ja-JP"/>
        </w:rPr>
        <w:t xml:space="preserve">(42/597 </w:t>
      </w:r>
      <w:r>
        <w:rPr>
          <w:i/>
          <w:lang w:eastAsia="ja-JP"/>
        </w:rPr>
        <w:t>(</w:t>
      </w:r>
      <w:r w:rsidRPr="0052032C">
        <w:rPr>
          <w:i/>
          <w:lang w:eastAsia="ja-JP"/>
        </w:rPr>
        <w:t>7.0%</w:t>
      </w:r>
      <w:r>
        <w:rPr>
          <w:i/>
          <w:lang w:eastAsia="ja-JP"/>
        </w:rPr>
        <w:t xml:space="preserve">) versus </w:t>
      </w:r>
      <w:r w:rsidRPr="0052032C">
        <w:rPr>
          <w:i/>
          <w:lang w:eastAsia="ja-JP"/>
        </w:rPr>
        <w:t xml:space="preserve">62/595 </w:t>
      </w:r>
      <w:r>
        <w:rPr>
          <w:i/>
          <w:lang w:eastAsia="ja-JP"/>
        </w:rPr>
        <w:t>(</w:t>
      </w:r>
      <w:r w:rsidRPr="0052032C">
        <w:rPr>
          <w:i/>
          <w:lang w:eastAsia="ja-JP"/>
        </w:rPr>
        <w:t>10.4%</w:t>
      </w:r>
      <w:r>
        <w:rPr>
          <w:i/>
          <w:lang w:eastAsia="ja-JP"/>
        </w:rPr>
        <w:t>)</w:t>
      </w:r>
      <w:r w:rsidRPr="0052032C">
        <w:rPr>
          <w:i/>
          <w:lang w:eastAsia="ja-JP"/>
        </w:rPr>
        <w:t>)</w:t>
      </w:r>
    </w:p>
    <w:p w14:paraId="102ADBBA" w14:textId="2CDA86E5" w:rsidR="0052032C" w:rsidRPr="0052032C" w:rsidRDefault="0052032C" w:rsidP="00B573F1">
      <w:pPr>
        <w:pStyle w:val="ListBullet"/>
        <w:rPr>
          <w:lang w:eastAsia="ja-JP"/>
        </w:rPr>
      </w:pPr>
      <w:r w:rsidRPr="0052032C">
        <w:rPr>
          <w:lang w:eastAsia="ja-JP"/>
        </w:rPr>
        <w:t>SMQ-defined second malignancies were also more frequent in the G-chemo arm (5.5%</w:t>
      </w:r>
      <w:r>
        <w:rPr>
          <w:lang w:eastAsia="ja-JP"/>
        </w:rPr>
        <w:t xml:space="preserve"> versus </w:t>
      </w:r>
      <w:r w:rsidRPr="0052032C">
        <w:rPr>
          <w:lang w:eastAsia="ja-JP"/>
        </w:rPr>
        <w:t xml:space="preserve">7.2%) </w:t>
      </w:r>
      <w:r w:rsidRPr="0052032C">
        <w:rPr>
          <w:i/>
          <w:lang w:eastAsia="ja-JP"/>
        </w:rPr>
        <w:t>(5.0%</w:t>
      </w:r>
      <w:r>
        <w:rPr>
          <w:i/>
          <w:lang w:eastAsia="ja-JP"/>
        </w:rPr>
        <w:t xml:space="preserve"> versus </w:t>
      </w:r>
      <w:r w:rsidRPr="0052032C">
        <w:rPr>
          <w:i/>
          <w:lang w:eastAsia="ja-JP"/>
        </w:rPr>
        <w:t>7.2%)</w:t>
      </w:r>
      <w:r w:rsidR="00B573F1">
        <w:rPr>
          <w:i/>
          <w:lang w:eastAsia="ja-JP"/>
        </w:rPr>
        <w:t>.</w:t>
      </w:r>
    </w:p>
    <w:p w14:paraId="573C305B" w14:textId="1A81C5BD" w:rsidR="0052032C" w:rsidRPr="0052032C" w:rsidRDefault="0052032C" w:rsidP="0052032C">
      <w:pPr>
        <w:rPr>
          <w:lang w:eastAsia="ja-JP"/>
        </w:rPr>
      </w:pPr>
      <w:r w:rsidRPr="0052032C">
        <w:rPr>
          <w:lang w:eastAsia="ja-JP"/>
        </w:rPr>
        <w:t>From the CSR</w:t>
      </w:r>
      <w:r w:rsidR="00B573F1">
        <w:rPr>
          <w:lang w:eastAsia="ja-JP"/>
        </w:rPr>
        <w:t xml:space="preserve">, </w:t>
      </w:r>
      <w:r w:rsidRPr="0052032C">
        <w:rPr>
          <w:lang w:eastAsia="ja-JP"/>
        </w:rPr>
        <w:t xml:space="preserve">regarding the </w:t>
      </w:r>
      <w:r w:rsidR="00B573F1">
        <w:rPr>
          <w:lang w:eastAsia="ja-JP"/>
        </w:rPr>
        <w:t>follicular lymphoma population:</w:t>
      </w:r>
    </w:p>
    <w:p w14:paraId="3B17FF55" w14:textId="605C7F22" w:rsidR="0052032C" w:rsidRPr="0052032C" w:rsidRDefault="0052032C" w:rsidP="0052032C">
      <w:pPr>
        <w:rPr>
          <w:lang w:eastAsia="ja-JP"/>
        </w:rPr>
      </w:pPr>
      <w:r w:rsidRPr="0052032C">
        <w:rPr>
          <w:lang w:eastAsia="ja-JP"/>
        </w:rPr>
        <w:t xml:space="preserve">There were 11 fatal second malignancies reported; </w:t>
      </w:r>
      <w:r w:rsidR="00B573F1">
        <w:rPr>
          <w:lang w:eastAsia="ja-JP"/>
        </w:rPr>
        <w:t>5</w:t>
      </w:r>
      <w:r w:rsidRPr="0052032C">
        <w:rPr>
          <w:lang w:eastAsia="ja-JP"/>
        </w:rPr>
        <w:t xml:space="preserve"> in the R-chemo arm (neuroendocrine carcinoma of the skin, gastric cancer, colon cancer, malignant melanoma, and lung adenocarcinoma), and </w:t>
      </w:r>
      <w:r w:rsidR="00B573F1">
        <w:rPr>
          <w:lang w:eastAsia="ja-JP"/>
        </w:rPr>
        <w:t>6</w:t>
      </w:r>
      <w:r w:rsidRPr="0052032C">
        <w:rPr>
          <w:lang w:eastAsia="ja-JP"/>
        </w:rPr>
        <w:t xml:space="preserve"> in the G-chemo arm (non-small cell lung cancer </w:t>
      </w:r>
      <w:r>
        <w:rPr>
          <w:lang w:eastAsia="ja-JP"/>
        </w:rPr>
        <w:t>(</w:t>
      </w:r>
      <w:r w:rsidR="002470A0">
        <w:rPr>
          <w:lang w:eastAsia="ja-JP"/>
        </w:rPr>
        <w:t xml:space="preserve">2 </w:t>
      </w:r>
      <w:r w:rsidRPr="0052032C">
        <w:rPr>
          <w:lang w:eastAsia="ja-JP"/>
        </w:rPr>
        <w:t>AEs</w:t>
      </w:r>
      <w:r>
        <w:rPr>
          <w:lang w:eastAsia="ja-JP"/>
        </w:rPr>
        <w:t>)</w:t>
      </w:r>
      <w:r w:rsidRPr="0052032C">
        <w:rPr>
          <w:lang w:eastAsia="ja-JP"/>
        </w:rPr>
        <w:t>, hepatic neoplasm, prostate cancer, myelodysplastic syndrome, and acute lymphocytic leuk</w:t>
      </w:r>
      <w:r w:rsidR="006B4FD4">
        <w:rPr>
          <w:lang w:eastAsia="ja-JP"/>
        </w:rPr>
        <w:t>a</w:t>
      </w:r>
      <w:r w:rsidRPr="0052032C">
        <w:rPr>
          <w:lang w:eastAsia="ja-JP"/>
        </w:rPr>
        <w:t>emia).</w:t>
      </w:r>
    </w:p>
    <w:p w14:paraId="1AC71C91" w14:textId="1DD0BCFF" w:rsidR="0052032C" w:rsidRPr="0052032C" w:rsidRDefault="0052032C" w:rsidP="00B573F1">
      <w:pPr>
        <w:pStyle w:val="Comment"/>
        <w:rPr>
          <w:lang w:eastAsia="ja-JP"/>
        </w:rPr>
      </w:pPr>
      <w:r w:rsidRPr="00B573F1">
        <w:rPr>
          <w:b/>
          <w:lang w:eastAsia="ja-JP"/>
        </w:rPr>
        <w:t>Comment:</w:t>
      </w:r>
      <w:r w:rsidRPr="0052032C">
        <w:rPr>
          <w:lang w:eastAsia="ja-JP"/>
        </w:rPr>
        <w:t xml:space="preserve"> </w:t>
      </w:r>
      <w:r w:rsidR="00B573F1">
        <w:rPr>
          <w:lang w:eastAsia="ja-JP"/>
        </w:rPr>
        <w:t xml:space="preserve"> </w:t>
      </w:r>
      <w:r w:rsidRPr="0052032C">
        <w:rPr>
          <w:lang w:eastAsia="ja-JP"/>
        </w:rPr>
        <w:t>There is no obvious difference between the R- and G-chemo arms with regards to malignancies. This was a concern raised by the IDMC</w:t>
      </w:r>
      <w:bookmarkStart w:id="244" w:name="Temp1"/>
      <w:bookmarkEnd w:id="244"/>
      <w:r w:rsidRPr="0052032C">
        <w:rPr>
          <w:lang w:eastAsia="ja-JP"/>
        </w:rPr>
        <w:t xml:space="preserve"> when the study was stopped in the third interim assessment, see </w:t>
      </w:r>
      <w:r w:rsidR="00B573F1">
        <w:rPr>
          <w:lang w:eastAsia="ja-JP"/>
        </w:rPr>
        <w:t>Figure 4, above.</w:t>
      </w:r>
    </w:p>
    <w:p w14:paraId="639F9DF9" w14:textId="77777777" w:rsidR="0052032C" w:rsidRPr="0052032C" w:rsidRDefault="0052032C" w:rsidP="00B573F1">
      <w:pPr>
        <w:pStyle w:val="Heading5"/>
        <w:rPr>
          <w:lang w:eastAsia="ja-JP"/>
        </w:rPr>
      </w:pPr>
      <w:bookmarkStart w:id="245" w:name="_Ref479258617"/>
      <w:r w:rsidRPr="0052032C">
        <w:rPr>
          <w:lang w:eastAsia="ja-JP"/>
        </w:rPr>
        <w:t>Hepatitis B reactivation (FL safety population)</w:t>
      </w:r>
      <w:bookmarkEnd w:id="245"/>
    </w:p>
    <w:p w14:paraId="7D7C353E" w14:textId="57861B09" w:rsidR="0052032C" w:rsidRPr="0052032C" w:rsidRDefault="00820AB9" w:rsidP="0052032C">
      <w:pPr>
        <w:rPr>
          <w:lang w:eastAsia="ja-JP"/>
        </w:rPr>
      </w:pPr>
      <w:r>
        <w:rPr>
          <w:lang w:eastAsia="ja-JP"/>
        </w:rPr>
        <w:t xml:space="preserve">7 </w:t>
      </w:r>
      <w:r w:rsidR="0052032C" w:rsidRPr="0052032C">
        <w:rPr>
          <w:lang w:eastAsia="ja-JP"/>
        </w:rPr>
        <w:t>patients of 53 HepB core Ab</w:t>
      </w:r>
      <w:r w:rsidR="0052032C" w:rsidRPr="0052032C">
        <w:rPr>
          <w:vertAlign w:val="superscript"/>
          <w:lang w:eastAsia="ja-JP"/>
        </w:rPr>
        <w:t>+</w:t>
      </w:r>
      <w:r w:rsidR="0052032C" w:rsidRPr="0052032C">
        <w:rPr>
          <w:lang w:eastAsia="ja-JP"/>
        </w:rPr>
        <w:t xml:space="preserve"> patients (13.2%) in the R-chemo arm and </w:t>
      </w:r>
      <w:r>
        <w:rPr>
          <w:lang w:eastAsia="ja-JP"/>
        </w:rPr>
        <w:t>5</w:t>
      </w:r>
      <w:r w:rsidR="006B4FD4">
        <w:rPr>
          <w:lang w:eastAsia="ja-JP"/>
        </w:rPr>
        <w:t xml:space="preserve"> of 29 HepB core Ab+ </w:t>
      </w:r>
      <w:r w:rsidR="0052032C" w:rsidRPr="0052032C">
        <w:rPr>
          <w:lang w:eastAsia="ja-JP"/>
        </w:rPr>
        <w:t xml:space="preserve">patients (17.2%) in the G-chemo arm had reactivation according to the definition in </w:t>
      </w:r>
      <w:r w:rsidR="00B573F1">
        <w:rPr>
          <w:lang w:eastAsia="ja-JP"/>
        </w:rPr>
        <w:t>Table 1</w:t>
      </w:r>
      <w:r w:rsidR="00DC73BE">
        <w:rPr>
          <w:lang w:eastAsia="ja-JP"/>
        </w:rPr>
        <w:t>4</w:t>
      </w:r>
      <w:r w:rsidR="0052032C" w:rsidRPr="0052032C">
        <w:rPr>
          <w:lang w:eastAsia="ja-JP"/>
        </w:rPr>
        <w:t>. HBV DNA ≥</w:t>
      </w:r>
      <w:r w:rsidR="00B573F1">
        <w:rPr>
          <w:lang w:eastAsia="ja-JP"/>
        </w:rPr>
        <w:t xml:space="preserve"> </w:t>
      </w:r>
      <w:r w:rsidR="0052032C" w:rsidRPr="0052032C">
        <w:rPr>
          <w:lang w:eastAsia="ja-JP"/>
        </w:rPr>
        <w:t>100</w:t>
      </w:r>
      <w:r w:rsidR="00B573F1">
        <w:rPr>
          <w:lang w:eastAsia="ja-JP"/>
        </w:rPr>
        <w:t xml:space="preserve"> IU/mL occurred in 3</w:t>
      </w:r>
      <w:r w:rsidR="0052032C" w:rsidRPr="0052032C">
        <w:rPr>
          <w:lang w:eastAsia="ja-JP"/>
        </w:rPr>
        <w:t xml:space="preserve"> patients in each arm. </w:t>
      </w:r>
      <w:r w:rsidR="00B573F1">
        <w:rPr>
          <w:lang w:eastAsia="ja-JP"/>
        </w:rPr>
        <w:t>5</w:t>
      </w:r>
      <w:r w:rsidR="0052032C" w:rsidRPr="0052032C">
        <w:rPr>
          <w:lang w:eastAsia="ja-JP"/>
        </w:rPr>
        <w:t xml:space="preserve"> AEs of HBV reactivation were reported: </w:t>
      </w:r>
      <w:r w:rsidR="00B573F1">
        <w:rPr>
          <w:lang w:eastAsia="ja-JP"/>
        </w:rPr>
        <w:t>2</w:t>
      </w:r>
      <w:r w:rsidR="0052032C" w:rsidRPr="0052032C">
        <w:rPr>
          <w:lang w:eastAsia="ja-JP"/>
        </w:rPr>
        <w:t xml:space="preserve"> in the R-chemo arm and </w:t>
      </w:r>
      <w:r w:rsidR="00B573F1">
        <w:rPr>
          <w:lang w:eastAsia="ja-JP"/>
        </w:rPr>
        <w:t>3</w:t>
      </w:r>
      <w:r w:rsidR="0052032C" w:rsidRPr="0052032C">
        <w:rPr>
          <w:lang w:eastAsia="ja-JP"/>
        </w:rPr>
        <w:t xml:space="preserve"> in the G-chemo arm. One new case of hepatitis B reactivation in the R-chemo arm was reported as Grade 3 </w:t>
      </w:r>
      <w:r w:rsidR="002470A0">
        <w:rPr>
          <w:lang w:eastAsia="ja-JP"/>
        </w:rPr>
        <w:t>h</w:t>
      </w:r>
      <w:r w:rsidR="0052032C" w:rsidRPr="0052032C">
        <w:rPr>
          <w:lang w:eastAsia="ja-JP"/>
        </w:rPr>
        <w:t>epatitis viral</w:t>
      </w:r>
      <w:r w:rsidR="00B573F1">
        <w:rPr>
          <w:lang w:eastAsia="ja-JP"/>
        </w:rPr>
        <w:t>.</w:t>
      </w:r>
    </w:p>
    <w:p w14:paraId="0312B0B5" w14:textId="004E499F" w:rsidR="0052032C" w:rsidRPr="0052032C" w:rsidRDefault="0052032C" w:rsidP="0052032C">
      <w:pPr>
        <w:pStyle w:val="Heading3"/>
      </w:pPr>
      <w:bookmarkStart w:id="246" w:name="_Toc241374321"/>
      <w:bookmarkStart w:id="247" w:name="_Ref271044780"/>
      <w:bookmarkStart w:id="248" w:name="_Ref271196640"/>
      <w:bookmarkStart w:id="249" w:name="_Ref272333085"/>
      <w:bookmarkStart w:id="250" w:name="_Toc272414668"/>
      <w:bookmarkStart w:id="251" w:name="_Toc290888532"/>
      <w:bookmarkStart w:id="252" w:name="_Toc416353748"/>
      <w:bookmarkStart w:id="253" w:name="_Toc421005291"/>
      <w:bookmarkStart w:id="254" w:name="_Toc432079168"/>
      <w:bookmarkStart w:id="255" w:name="_Toc432080741"/>
      <w:bookmarkStart w:id="256" w:name="_Toc481769167"/>
      <w:bookmarkStart w:id="257" w:name="_Toc513556358"/>
      <w:r w:rsidRPr="0052032C">
        <w:lastRenderedPageBreak/>
        <w:t xml:space="preserve">Evaluation of issues </w:t>
      </w:r>
      <w:bookmarkEnd w:id="246"/>
      <w:bookmarkEnd w:id="247"/>
      <w:bookmarkEnd w:id="248"/>
      <w:bookmarkEnd w:id="249"/>
      <w:bookmarkEnd w:id="250"/>
      <w:bookmarkEnd w:id="251"/>
      <w:bookmarkEnd w:id="252"/>
      <w:bookmarkEnd w:id="253"/>
      <w:r w:rsidRPr="0052032C">
        <w:t>with possible regulatory impact</w:t>
      </w:r>
      <w:bookmarkEnd w:id="254"/>
      <w:bookmarkEnd w:id="255"/>
      <w:bookmarkEnd w:id="256"/>
      <w:bookmarkEnd w:id="257"/>
    </w:p>
    <w:p w14:paraId="7F11C15A" w14:textId="77777777" w:rsidR="0052032C" w:rsidRPr="0052032C" w:rsidRDefault="0052032C" w:rsidP="00B573F1">
      <w:pPr>
        <w:pStyle w:val="Heading4"/>
      </w:pPr>
      <w:bookmarkStart w:id="258" w:name="_Toc272414669"/>
      <w:bookmarkStart w:id="259" w:name="_Toc290888533"/>
      <w:bookmarkStart w:id="260" w:name="_Toc416353749"/>
      <w:bookmarkStart w:id="261" w:name="_Toc421005292"/>
      <w:bookmarkStart w:id="262" w:name="_Toc432079169"/>
      <w:bookmarkStart w:id="263" w:name="_Toc432080742"/>
      <w:r w:rsidRPr="0052032C">
        <w:t>Liver function</w:t>
      </w:r>
      <w:bookmarkEnd w:id="258"/>
      <w:bookmarkEnd w:id="259"/>
      <w:bookmarkEnd w:id="260"/>
      <w:bookmarkEnd w:id="261"/>
      <w:r w:rsidRPr="0052032C">
        <w:t xml:space="preserve"> and liver toxicity</w:t>
      </w:r>
      <w:bookmarkEnd w:id="262"/>
      <w:bookmarkEnd w:id="263"/>
    </w:p>
    <w:p w14:paraId="6733A357" w14:textId="7CD728A9" w:rsidR="0052032C" w:rsidRPr="0052032C" w:rsidRDefault="0052032C" w:rsidP="0052032C">
      <w:pPr>
        <w:rPr>
          <w:lang w:eastAsia="ja-JP"/>
        </w:rPr>
      </w:pPr>
      <w:r w:rsidRPr="0052032C">
        <w:rPr>
          <w:lang w:eastAsia="ja-JP"/>
        </w:rPr>
        <w:t xml:space="preserve">The following information regarding liver related laboratory abnormalities for the </w:t>
      </w:r>
      <w:r w:rsidRPr="00820AB9">
        <w:rPr>
          <w:lang w:eastAsia="ja-JP"/>
        </w:rPr>
        <w:t xml:space="preserve">FL population </w:t>
      </w:r>
      <w:r w:rsidRPr="0052032C">
        <w:rPr>
          <w:lang w:eastAsia="ja-JP"/>
        </w:rPr>
        <w:t xml:space="preserve">is </w:t>
      </w:r>
      <w:r w:rsidR="00B573F1">
        <w:rPr>
          <w:lang w:eastAsia="ja-JP"/>
        </w:rPr>
        <w:t>taken from the CSR.</w:t>
      </w:r>
    </w:p>
    <w:p w14:paraId="430E24EF" w14:textId="01667F36" w:rsidR="0052032C" w:rsidRPr="0052032C" w:rsidRDefault="0052032C" w:rsidP="00B573F1">
      <w:pPr>
        <w:pStyle w:val="Tabletitle"/>
        <w:rPr>
          <w:lang w:eastAsia="ja-JP"/>
        </w:rPr>
      </w:pPr>
      <w:bookmarkStart w:id="264" w:name="_Ref479258736"/>
      <w:bookmarkStart w:id="265" w:name="_Toc481769218"/>
      <w:proofErr w:type="gramStart"/>
      <w:r w:rsidRPr="0052032C">
        <w:rPr>
          <w:lang w:eastAsia="ja-JP"/>
        </w:rPr>
        <w:t xml:space="preserve">Table </w:t>
      </w:r>
      <w:bookmarkEnd w:id="264"/>
      <w:r w:rsidR="00CB5CD0">
        <w:rPr>
          <w:lang w:eastAsia="ja-JP"/>
        </w:rPr>
        <w:t>1</w:t>
      </w:r>
      <w:r w:rsidR="006B4FD4">
        <w:rPr>
          <w:lang w:eastAsia="ja-JP"/>
        </w:rPr>
        <w:t>9</w:t>
      </w:r>
      <w:r w:rsidR="00B573F1">
        <w:rPr>
          <w:lang w:eastAsia="ja-JP"/>
        </w:rPr>
        <w:t>.</w:t>
      </w:r>
      <w:proofErr w:type="gramEnd"/>
      <w:r w:rsidRPr="0052032C">
        <w:rPr>
          <w:lang w:eastAsia="ja-JP"/>
        </w:rPr>
        <w:t xml:space="preserve"> Liver related chemistry laboratory parameters (FL population)</w:t>
      </w:r>
      <w:bookmarkEnd w:id="265"/>
    </w:p>
    <w:p w14:paraId="10ABC6FC" w14:textId="77777777" w:rsidR="0052032C" w:rsidRPr="0052032C" w:rsidRDefault="0052032C" w:rsidP="0052032C">
      <w:pPr>
        <w:rPr>
          <w:lang w:eastAsia="ja-JP"/>
        </w:rPr>
      </w:pPr>
      <w:r w:rsidRPr="0052032C">
        <w:rPr>
          <w:noProof/>
          <w:lang w:eastAsia="en-AU"/>
        </w:rPr>
        <w:drawing>
          <wp:inline distT="0" distB="0" distL="0" distR="0" wp14:anchorId="6DA527EB" wp14:editId="1FAF4868">
            <wp:extent cx="3476231" cy="3946269"/>
            <wp:effectExtent l="0" t="0" r="0" b="0"/>
            <wp:docPr id="140" name="Picture 140" descr="Liver related chemistry laboratory parameters (FL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Lst>
                    </a:blip>
                    <a:srcRect t="2429"/>
                    <a:stretch/>
                  </pic:blipFill>
                  <pic:spPr bwMode="auto">
                    <a:xfrm>
                      <a:off x="0" y="0"/>
                      <a:ext cx="3485026" cy="3956253"/>
                    </a:xfrm>
                    <a:prstGeom prst="rect">
                      <a:avLst/>
                    </a:prstGeom>
                    <a:ln>
                      <a:noFill/>
                    </a:ln>
                    <a:extLst>
                      <a:ext uri="{53640926-AAD7-44D8-BBD7-CCE9431645EC}">
                        <a14:shadowObscured xmlns:a14="http://schemas.microsoft.com/office/drawing/2010/main"/>
                      </a:ext>
                    </a:extLst>
                  </pic:spPr>
                </pic:pic>
              </a:graphicData>
            </a:graphic>
          </wp:inline>
        </w:drawing>
      </w:r>
    </w:p>
    <w:p w14:paraId="1BCEAC37" w14:textId="5423DFCD" w:rsidR="0052032C" w:rsidRPr="0052032C" w:rsidRDefault="0052032C" w:rsidP="00B573F1">
      <w:pPr>
        <w:pStyle w:val="Comment"/>
        <w:rPr>
          <w:lang w:eastAsia="ja-JP"/>
        </w:rPr>
      </w:pPr>
      <w:r w:rsidRPr="00B573F1">
        <w:rPr>
          <w:b/>
          <w:lang w:eastAsia="ja-JP"/>
        </w:rPr>
        <w:t>Comment:</w:t>
      </w:r>
      <w:r w:rsidRPr="0052032C">
        <w:rPr>
          <w:lang w:eastAsia="ja-JP"/>
        </w:rPr>
        <w:t xml:space="preserve"> </w:t>
      </w:r>
      <w:r w:rsidR="00B573F1">
        <w:rPr>
          <w:lang w:eastAsia="ja-JP"/>
        </w:rPr>
        <w:t xml:space="preserve"> </w:t>
      </w:r>
      <w:r w:rsidRPr="0052032C">
        <w:rPr>
          <w:lang w:eastAsia="ja-JP"/>
        </w:rPr>
        <w:t>There is no data for the overall safety population (although there may be data in the 105</w:t>
      </w:r>
      <w:r w:rsidR="002470A0">
        <w:rPr>
          <w:lang w:eastAsia="ja-JP"/>
        </w:rPr>
        <w:t>,</w:t>
      </w:r>
      <w:r w:rsidRPr="0052032C">
        <w:rPr>
          <w:lang w:eastAsia="ja-JP"/>
        </w:rPr>
        <w:t>000 pages of data listings that does not have a proper ToC and is subdivided without any proper headings). There does not seem to be any difference betwee</w:t>
      </w:r>
      <w:r w:rsidR="00DD2B78">
        <w:rPr>
          <w:lang w:eastAsia="ja-JP"/>
        </w:rPr>
        <w:t>n the R-chemo and G-chemo arms.</w:t>
      </w:r>
    </w:p>
    <w:p w14:paraId="503EBF72" w14:textId="7F4DA245" w:rsidR="0052032C" w:rsidRPr="0052032C" w:rsidRDefault="0052032C" w:rsidP="0052032C">
      <w:pPr>
        <w:rPr>
          <w:lang w:eastAsia="ja-JP"/>
        </w:rPr>
      </w:pPr>
      <w:r w:rsidRPr="0052032C">
        <w:rPr>
          <w:lang w:eastAsia="ja-JP"/>
        </w:rPr>
        <w:t xml:space="preserve">For Hepatitis B reactivation see </w:t>
      </w:r>
      <w:r w:rsidR="006B4FD4">
        <w:rPr>
          <w:lang w:eastAsia="ja-JP"/>
        </w:rPr>
        <w:t>Section 8.4.6.11</w:t>
      </w:r>
      <w:bookmarkStart w:id="266" w:name="_Toc272414670"/>
      <w:bookmarkStart w:id="267" w:name="_Toc290888534"/>
      <w:bookmarkStart w:id="268" w:name="_Toc416353750"/>
      <w:bookmarkStart w:id="269" w:name="_Toc421005293"/>
      <w:bookmarkStart w:id="270" w:name="_Toc432079170"/>
      <w:bookmarkStart w:id="271" w:name="_Toc432080743"/>
      <w:r w:rsidR="002470A0">
        <w:rPr>
          <w:lang w:eastAsia="ja-JP"/>
        </w:rPr>
        <w:t xml:space="preserve"> (above)</w:t>
      </w:r>
      <w:r w:rsidR="006B4FD4">
        <w:rPr>
          <w:lang w:eastAsia="ja-JP"/>
        </w:rPr>
        <w:t>.</w:t>
      </w:r>
    </w:p>
    <w:p w14:paraId="12435301" w14:textId="77777777" w:rsidR="0052032C" w:rsidRPr="0052032C" w:rsidRDefault="0052032C" w:rsidP="00C7366C">
      <w:pPr>
        <w:pStyle w:val="Heading4"/>
      </w:pPr>
      <w:bookmarkStart w:id="272" w:name="_Ref479602540"/>
      <w:r w:rsidRPr="0052032C">
        <w:t>Renal function</w:t>
      </w:r>
      <w:bookmarkEnd w:id="266"/>
      <w:bookmarkEnd w:id="267"/>
      <w:bookmarkEnd w:id="268"/>
      <w:bookmarkEnd w:id="269"/>
      <w:r w:rsidRPr="0052032C">
        <w:t xml:space="preserve"> and renal toxicity</w:t>
      </w:r>
      <w:bookmarkEnd w:id="270"/>
      <w:bookmarkEnd w:id="271"/>
      <w:bookmarkEnd w:id="272"/>
    </w:p>
    <w:p w14:paraId="3BD417FE" w14:textId="4EC80062" w:rsidR="0052032C" w:rsidRPr="0052032C" w:rsidRDefault="0052032C" w:rsidP="0052032C">
      <w:pPr>
        <w:rPr>
          <w:lang w:eastAsia="ja-JP"/>
        </w:rPr>
      </w:pPr>
      <w:r w:rsidRPr="0052032C">
        <w:rPr>
          <w:lang w:eastAsia="ja-JP"/>
        </w:rPr>
        <w:t xml:space="preserve">The </w:t>
      </w:r>
      <w:r w:rsidR="00C7366C">
        <w:rPr>
          <w:lang w:eastAsia="ja-JP"/>
        </w:rPr>
        <w:t>2</w:t>
      </w:r>
      <w:r w:rsidRPr="0052032C">
        <w:rPr>
          <w:lang w:eastAsia="ja-JP"/>
        </w:rPr>
        <w:t xml:space="preserve"> arms were comparable with relation to change in kidney parameters. There were more patients in the G-chemo arm with high potassium and an AE for hypokal</w:t>
      </w:r>
      <w:r w:rsidR="00BC003E">
        <w:rPr>
          <w:lang w:eastAsia="ja-JP"/>
        </w:rPr>
        <w:t>a</w:t>
      </w:r>
      <w:r w:rsidRPr="0052032C">
        <w:rPr>
          <w:lang w:eastAsia="ja-JP"/>
        </w:rPr>
        <w:t xml:space="preserve">emia in the overall safety population; for the FL population the numbers </w:t>
      </w:r>
      <w:r w:rsidR="00AE7194">
        <w:rPr>
          <w:lang w:eastAsia="ja-JP"/>
        </w:rPr>
        <w:t>for h</w:t>
      </w:r>
      <w:r w:rsidR="002470A0">
        <w:rPr>
          <w:lang w:eastAsia="ja-JP"/>
        </w:rPr>
        <w:t>y</w:t>
      </w:r>
      <w:r w:rsidR="00AE7194">
        <w:rPr>
          <w:lang w:eastAsia="ja-JP"/>
        </w:rPr>
        <w:t xml:space="preserve">pokalaemia </w:t>
      </w:r>
      <w:r w:rsidRPr="0052032C">
        <w:rPr>
          <w:lang w:eastAsia="ja-JP"/>
        </w:rPr>
        <w:t>were almost identical; 6.4%</w:t>
      </w:r>
      <w:r>
        <w:rPr>
          <w:lang w:eastAsia="ja-JP"/>
        </w:rPr>
        <w:t xml:space="preserve"> versus </w:t>
      </w:r>
      <w:r w:rsidRPr="0052032C">
        <w:rPr>
          <w:lang w:eastAsia="ja-JP"/>
        </w:rPr>
        <w:t>3.7% for R-chemo). There were also more patients with high uric acid in this arm; 29.2%</w:t>
      </w:r>
      <w:r>
        <w:rPr>
          <w:lang w:eastAsia="ja-JP"/>
        </w:rPr>
        <w:t xml:space="preserve"> versus </w:t>
      </w:r>
      <w:r w:rsidR="00820AB9">
        <w:rPr>
          <w:lang w:eastAsia="ja-JP"/>
        </w:rPr>
        <w:t>23.0% for R-chemo.</w:t>
      </w:r>
    </w:p>
    <w:p w14:paraId="52A941D1" w14:textId="6FBF2E9F" w:rsidR="0052032C" w:rsidRPr="0052032C" w:rsidRDefault="0052032C" w:rsidP="0052032C">
      <w:pPr>
        <w:rPr>
          <w:lang w:eastAsia="ja-JP"/>
        </w:rPr>
      </w:pPr>
      <w:r w:rsidRPr="0052032C">
        <w:rPr>
          <w:lang w:eastAsia="ja-JP"/>
        </w:rPr>
        <w:t>The incidence of AEs by creatinine clearance is summari</w:t>
      </w:r>
      <w:r w:rsidR="00BC003E">
        <w:rPr>
          <w:lang w:eastAsia="ja-JP"/>
        </w:rPr>
        <w:t>s</w:t>
      </w:r>
      <w:r w:rsidRPr="0052032C">
        <w:rPr>
          <w:lang w:eastAsia="ja-JP"/>
        </w:rPr>
        <w:t>ed</w:t>
      </w:r>
      <w:r w:rsidR="00BC003E">
        <w:rPr>
          <w:lang w:eastAsia="ja-JP"/>
        </w:rPr>
        <w:t xml:space="preserve"> below</w:t>
      </w:r>
      <w:r w:rsidRPr="0052032C">
        <w:rPr>
          <w:lang w:eastAsia="ja-JP"/>
        </w:rPr>
        <w:t xml:space="preserve"> in </w:t>
      </w:r>
      <w:r w:rsidR="006B4FD4">
        <w:rPr>
          <w:lang w:eastAsia="ja-JP"/>
        </w:rPr>
        <w:t>Table 20</w:t>
      </w:r>
      <w:r w:rsidR="00BC003E">
        <w:rPr>
          <w:lang w:eastAsia="ja-JP"/>
        </w:rPr>
        <w:t>.</w:t>
      </w:r>
    </w:p>
    <w:p w14:paraId="424EC0E6" w14:textId="5B6F37FB" w:rsidR="0052032C" w:rsidRPr="0052032C" w:rsidRDefault="0052032C" w:rsidP="0052032C">
      <w:pPr>
        <w:rPr>
          <w:lang w:eastAsia="ja-JP"/>
        </w:rPr>
      </w:pPr>
      <w:r w:rsidRPr="0052032C">
        <w:rPr>
          <w:lang w:eastAsia="ja-JP"/>
        </w:rPr>
        <w:t>In both treatment groups, the incidence of deaths, deaths due to AEs, Grade 3</w:t>
      </w:r>
      <w:r w:rsidR="00BC003E">
        <w:rPr>
          <w:lang w:eastAsia="ja-JP"/>
        </w:rPr>
        <w:t xml:space="preserve"> to </w:t>
      </w:r>
      <w:r w:rsidRPr="0052032C">
        <w:rPr>
          <w:lang w:eastAsia="ja-JP"/>
        </w:rPr>
        <w:t>5 AEs, SAEs, and AE leading to withdrawal from treatment was higher in patients with a creatinine clearance &lt;</w:t>
      </w:r>
      <w:r w:rsidR="00BC003E">
        <w:rPr>
          <w:lang w:eastAsia="ja-JP"/>
        </w:rPr>
        <w:t> </w:t>
      </w:r>
      <w:r w:rsidRPr="0052032C">
        <w:rPr>
          <w:lang w:eastAsia="ja-JP"/>
        </w:rPr>
        <w:t>50 mL/min compared with patients with creatinine clearance ≥</w:t>
      </w:r>
      <w:r w:rsidR="00BC003E">
        <w:rPr>
          <w:lang w:eastAsia="ja-JP"/>
        </w:rPr>
        <w:t xml:space="preserve"> </w:t>
      </w:r>
      <w:r w:rsidRPr="0052032C">
        <w:rPr>
          <w:lang w:eastAsia="ja-JP"/>
        </w:rPr>
        <w:t>50 mL/min</w:t>
      </w:r>
      <w:r w:rsidR="00BC003E">
        <w:rPr>
          <w:lang w:eastAsia="ja-JP"/>
        </w:rPr>
        <w:t xml:space="preserve"> (see Table </w:t>
      </w:r>
      <w:r w:rsidR="00CB5CD0">
        <w:rPr>
          <w:lang w:eastAsia="ja-JP"/>
        </w:rPr>
        <w:t>20</w:t>
      </w:r>
      <w:r w:rsidR="00BC003E">
        <w:rPr>
          <w:lang w:eastAsia="ja-JP"/>
        </w:rPr>
        <w:t>, below).</w:t>
      </w:r>
    </w:p>
    <w:p w14:paraId="624B0674" w14:textId="10FD5D60" w:rsidR="0052032C" w:rsidRPr="0052032C" w:rsidRDefault="0052032C" w:rsidP="0052032C">
      <w:pPr>
        <w:rPr>
          <w:lang w:eastAsia="ja-JP"/>
        </w:rPr>
      </w:pPr>
      <w:r w:rsidRPr="0052032C">
        <w:rPr>
          <w:lang w:eastAsia="ja-JP"/>
        </w:rPr>
        <w:t>Dea</w:t>
      </w:r>
      <w:r w:rsidR="00BC003E">
        <w:rPr>
          <w:lang w:eastAsia="ja-JP"/>
        </w:rPr>
        <w:t xml:space="preserve">ths, deaths due to AEs, Grade 3 to </w:t>
      </w:r>
      <w:r w:rsidRPr="0052032C">
        <w:rPr>
          <w:lang w:eastAsia="ja-JP"/>
        </w:rPr>
        <w:t xml:space="preserve">5 AEs, SAEs, and AE leading to withdrawal from treatment were more frequent in patients in the G-chemo arm in patients with a creatinine clearance </w:t>
      </w:r>
      <w:r w:rsidRPr="0052032C">
        <w:rPr>
          <w:lang w:eastAsia="ja-JP"/>
        </w:rPr>
        <w:lastRenderedPageBreak/>
        <w:t>&lt;</w:t>
      </w:r>
      <w:r w:rsidR="00BC003E">
        <w:rPr>
          <w:lang w:eastAsia="ja-JP"/>
        </w:rPr>
        <w:t> 50 </w:t>
      </w:r>
      <w:r w:rsidRPr="0052032C">
        <w:rPr>
          <w:lang w:eastAsia="ja-JP"/>
        </w:rPr>
        <w:t>mL/min (</w:t>
      </w:r>
      <w:r w:rsidR="00BC003E">
        <w:rPr>
          <w:lang w:eastAsia="ja-JP"/>
        </w:rPr>
        <w:t xml:space="preserve">see Table </w:t>
      </w:r>
      <w:r w:rsidR="006D33B3">
        <w:rPr>
          <w:lang w:eastAsia="ja-JP"/>
        </w:rPr>
        <w:t>20</w:t>
      </w:r>
      <w:r w:rsidR="00BC003E">
        <w:rPr>
          <w:lang w:eastAsia="ja-JP"/>
        </w:rPr>
        <w:t xml:space="preserve">). 4 </w:t>
      </w:r>
      <w:r w:rsidRPr="0052032C">
        <w:rPr>
          <w:lang w:eastAsia="ja-JP"/>
        </w:rPr>
        <w:t>patients with CrCL &lt;</w:t>
      </w:r>
      <w:r w:rsidR="00BC003E">
        <w:rPr>
          <w:lang w:eastAsia="ja-JP"/>
        </w:rPr>
        <w:t> </w:t>
      </w:r>
      <w:r w:rsidRPr="0052032C">
        <w:rPr>
          <w:lang w:eastAsia="ja-JP"/>
        </w:rPr>
        <w:t xml:space="preserve">50 mL/min died due to an AE; </w:t>
      </w:r>
      <w:r w:rsidR="00820AB9">
        <w:rPr>
          <w:lang w:eastAsia="ja-JP"/>
        </w:rPr>
        <w:t>2</w:t>
      </w:r>
      <w:r w:rsidRPr="0052032C">
        <w:rPr>
          <w:lang w:eastAsia="ja-JP"/>
        </w:rPr>
        <w:t xml:space="preserve"> in the R</w:t>
      </w:r>
      <w:r w:rsidR="003E441F">
        <w:rPr>
          <w:lang w:eastAsia="ja-JP"/>
        </w:rPr>
        <w:noBreakHyphen/>
      </w:r>
      <w:r w:rsidRPr="0052032C">
        <w:rPr>
          <w:lang w:eastAsia="ja-JP"/>
        </w:rPr>
        <w:t xml:space="preserve">chemo arm and </w:t>
      </w:r>
      <w:r w:rsidR="003E441F">
        <w:rPr>
          <w:lang w:eastAsia="ja-JP"/>
        </w:rPr>
        <w:t>2</w:t>
      </w:r>
      <w:r w:rsidRPr="0052032C">
        <w:rPr>
          <w:lang w:eastAsia="ja-JP"/>
        </w:rPr>
        <w:t xml:space="preserve"> in the G-chemo arm.</w:t>
      </w:r>
    </w:p>
    <w:p w14:paraId="7DCF6222" w14:textId="790D9391" w:rsidR="0052032C" w:rsidRPr="0052032C" w:rsidRDefault="0052032C" w:rsidP="00BC003E">
      <w:pPr>
        <w:pStyle w:val="Tabletitle"/>
        <w:rPr>
          <w:lang w:eastAsia="ja-JP"/>
        </w:rPr>
      </w:pPr>
      <w:bookmarkStart w:id="273" w:name="_Ref479262059"/>
      <w:bookmarkStart w:id="274" w:name="_Toc481769219"/>
      <w:proofErr w:type="gramStart"/>
      <w:r w:rsidRPr="0052032C">
        <w:rPr>
          <w:lang w:eastAsia="ja-JP"/>
        </w:rPr>
        <w:t xml:space="preserve">Table </w:t>
      </w:r>
      <w:bookmarkEnd w:id="273"/>
      <w:r w:rsidR="00C33717">
        <w:rPr>
          <w:lang w:eastAsia="ja-JP"/>
        </w:rPr>
        <w:t>20</w:t>
      </w:r>
      <w:r w:rsidR="00D05B91">
        <w:rPr>
          <w:lang w:eastAsia="ja-JP"/>
        </w:rPr>
        <w:t>.</w:t>
      </w:r>
      <w:proofErr w:type="gramEnd"/>
      <w:r w:rsidR="00BC003E">
        <w:rPr>
          <w:lang w:eastAsia="ja-JP"/>
        </w:rPr>
        <w:t xml:space="preserve"> Adverse events by creatinine c</w:t>
      </w:r>
      <w:r w:rsidRPr="0052032C">
        <w:rPr>
          <w:lang w:eastAsia="ja-JP"/>
        </w:rPr>
        <w:t>learance &lt;</w:t>
      </w:r>
      <w:r w:rsidR="00BC003E">
        <w:rPr>
          <w:lang w:eastAsia="ja-JP"/>
        </w:rPr>
        <w:t> </w:t>
      </w:r>
      <w:r w:rsidRPr="0052032C">
        <w:rPr>
          <w:lang w:eastAsia="ja-JP"/>
        </w:rPr>
        <w:t>50 mL/min and ≥</w:t>
      </w:r>
      <w:r w:rsidR="00BC003E">
        <w:rPr>
          <w:lang w:eastAsia="ja-JP"/>
        </w:rPr>
        <w:t> 50 mL/min (FL s</w:t>
      </w:r>
      <w:r w:rsidRPr="0052032C">
        <w:rPr>
          <w:lang w:eastAsia="ja-JP"/>
        </w:rPr>
        <w:t xml:space="preserve">afety </w:t>
      </w:r>
      <w:r w:rsidR="00BC003E">
        <w:rPr>
          <w:lang w:eastAsia="ja-JP"/>
        </w:rPr>
        <w:t>p</w:t>
      </w:r>
      <w:r w:rsidRPr="0052032C">
        <w:rPr>
          <w:lang w:eastAsia="ja-JP"/>
        </w:rPr>
        <w:t>opulation)</w:t>
      </w:r>
      <w:bookmarkEnd w:id="274"/>
    </w:p>
    <w:p w14:paraId="17F4BD0C" w14:textId="77777777" w:rsidR="0052032C" w:rsidRPr="0052032C" w:rsidRDefault="0052032C" w:rsidP="0052032C">
      <w:pPr>
        <w:rPr>
          <w:lang w:eastAsia="ja-JP"/>
        </w:rPr>
      </w:pPr>
      <w:r w:rsidRPr="0052032C">
        <w:rPr>
          <w:noProof/>
          <w:lang w:eastAsia="en-AU"/>
        </w:rPr>
        <w:drawing>
          <wp:inline distT="0" distB="0" distL="0" distR="0" wp14:anchorId="3FD783B4" wp14:editId="22799380">
            <wp:extent cx="4224377" cy="2144233"/>
            <wp:effectExtent l="0" t="0" r="5080" b="8890"/>
            <wp:docPr id="147" name="Picture 147" descr="Adverse events by creatinine clearance &lt; 50 mL/min and ≥ 50 mL/min (F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29052" cy="2146606"/>
                    </a:xfrm>
                    <a:prstGeom prst="rect">
                      <a:avLst/>
                    </a:prstGeom>
                  </pic:spPr>
                </pic:pic>
              </a:graphicData>
            </a:graphic>
          </wp:inline>
        </w:drawing>
      </w:r>
    </w:p>
    <w:p w14:paraId="087FEEA8" w14:textId="4383F212" w:rsidR="0052032C" w:rsidRPr="0052032C" w:rsidRDefault="0052032C" w:rsidP="00BC003E">
      <w:pPr>
        <w:pStyle w:val="Comment"/>
        <w:rPr>
          <w:lang w:eastAsia="ja-JP"/>
        </w:rPr>
      </w:pPr>
      <w:bookmarkStart w:id="275" w:name="_Toc272414671"/>
      <w:bookmarkStart w:id="276" w:name="_Toc290888535"/>
      <w:bookmarkStart w:id="277" w:name="_Toc416353751"/>
      <w:bookmarkStart w:id="278" w:name="_Toc421005294"/>
      <w:bookmarkStart w:id="279" w:name="_Toc432079171"/>
      <w:bookmarkStart w:id="280" w:name="_Toc432080744"/>
      <w:r w:rsidRPr="00BC003E">
        <w:rPr>
          <w:b/>
          <w:lang w:eastAsia="ja-JP"/>
        </w:rPr>
        <w:t xml:space="preserve">Comment: </w:t>
      </w:r>
      <w:r w:rsidR="00BC003E" w:rsidRPr="00BC003E">
        <w:rPr>
          <w:b/>
          <w:lang w:eastAsia="ja-JP"/>
        </w:rPr>
        <w:t xml:space="preserve"> </w:t>
      </w:r>
      <w:r w:rsidRPr="0052032C">
        <w:rPr>
          <w:lang w:eastAsia="ja-JP"/>
        </w:rPr>
        <w:t>There were more SAEs in the G-chemo arm in patients with a CrCL &lt;</w:t>
      </w:r>
      <w:r w:rsidR="00BC003E">
        <w:rPr>
          <w:lang w:eastAsia="ja-JP"/>
        </w:rPr>
        <w:t> </w:t>
      </w:r>
      <w:r w:rsidRPr="0052032C">
        <w:rPr>
          <w:lang w:eastAsia="ja-JP"/>
        </w:rPr>
        <w:t>50</w:t>
      </w:r>
      <w:r w:rsidR="00BC003E">
        <w:rPr>
          <w:lang w:eastAsia="ja-JP"/>
        </w:rPr>
        <w:t xml:space="preserve"> </w:t>
      </w:r>
      <w:r w:rsidRPr="0052032C">
        <w:rPr>
          <w:lang w:eastAsia="ja-JP"/>
        </w:rPr>
        <w:t>m</w:t>
      </w:r>
      <w:r w:rsidR="00BC003E">
        <w:rPr>
          <w:lang w:eastAsia="ja-JP"/>
        </w:rPr>
        <w:t>L</w:t>
      </w:r>
      <w:r w:rsidRPr="0052032C">
        <w:rPr>
          <w:lang w:eastAsia="ja-JP"/>
        </w:rPr>
        <w:t xml:space="preserve">/min compared to the corresponding R-chemo arm. The average age at diagnosis for </w:t>
      </w:r>
      <w:r w:rsidR="00AE7194">
        <w:rPr>
          <w:lang w:eastAsia="ja-JP"/>
        </w:rPr>
        <w:t xml:space="preserve">Australian </w:t>
      </w:r>
      <w:r w:rsidRPr="0052032C">
        <w:rPr>
          <w:lang w:eastAsia="ja-JP"/>
        </w:rPr>
        <w:t xml:space="preserve">patients with FL is </w:t>
      </w:r>
      <w:r w:rsidR="00AE7194">
        <w:rPr>
          <w:lang w:eastAsia="ja-JP"/>
        </w:rPr>
        <w:t>60</w:t>
      </w:r>
      <w:r w:rsidR="002470A0">
        <w:rPr>
          <w:lang w:eastAsia="ja-JP"/>
        </w:rPr>
        <w:t xml:space="preserve"> to </w:t>
      </w:r>
      <w:r w:rsidRPr="0052032C">
        <w:rPr>
          <w:lang w:eastAsia="ja-JP"/>
        </w:rPr>
        <w:t>65 years of age (5</w:t>
      </w:r>
      <w:r w:rsidR="00AE7194">
        <w:rPr>
          <w:lang w:eastAsia="ja-JP"/>
        </w:rPr>
        <w:t>7.</w:t>
      </w:r>
      <w:r w:rsidRPr="0052032C">
        <w:rPr>
          <w:lang w:eastAsia="ja-JP"/>
        </w:rPr>
        <w:t>9 years at commencement of therapy in this study). With increasing age CrCL declines. It is therefore very important to stress the higher AEs with declining kidney function especially neutrop</w:t>
      </w:r>
      <w:r w:rsidR="00DD2B78">
        <w:rPr>
          <w:lang w:eastAsia="ja-JP"/>
        </w:rPr>
        <w:t>a</w:t>
      </w:r>
      <w:r w:rsidRPr="0052032C">
        <w:rPr>
          <w:lang w:eastAsia="ja-JP"/>
        </w:rPr>
        <w:t xml:space="preserve">enia and infections (as noted in the PI under </w:t>
      </w:r>
      <w:r w:rsidR="00BC003E">
        <w:rPr>
          <w:lang w:eastAsia="ja-JP"/>
        </w:rPr>
        <w:t>‘</w:t>
      </w:r>
      <w:r w:rsidR="00BC003E" w:rsidRPr="0052032C">
        <w:rPr>
          <w:lang w:eastAsia="ja-JP"/>
        </w:rPr>
        <w:t>Precautions</w:t>
      </w:r>
      <w:r w:rsidR="00BC003E">
        <w:rPr>
          <w:lang w:eastAsia="ja-JP"/>
        </w:rPr>
        <w:t>’).</w:t>
      </w:r>
    </w:p>
    <w:p w14:paraId="2EF34E7E" w14:textId="77777777" w:rsidR="0052032C" w:rsidRPr="0052032C" w:rsidRDefault="0052032C" w:rsidP="00BC003E">
      <w:pPr>
        <w:pStyle w:val="Heading4"/>
      </w:pPr>
      <w:r w:rsidRPr="0052032C">
        <w:t>Other clinical chemistry</w:t>
      </w:r>
      <w:bookmarkEnd w:id="275"/>
      <w:bookmarkEnd w:id="276"/>
      <w:bookmarkEnd w:id="277"/>
      <w:bookmarkEnd w:id="278"/>
      <w:bookmarkEnd w:id="279"/>
      <w:bookmarkEnd w:id="280"/>
    </w:p>
    <w:p w14:paraId="575130A4" w14:textId="79996C81" w:rsidR="0052032C" w:rsidRPr="0052032C" w:rsidRDefault="0052032C" w:rsidP="0052032C">
      <w:pPr>
        <w:rPr>
          <w:lang w:eastAsia="ja-JP"/>
        </w:rPr>
      </w:pPr>
      <w:r w:rsidRPr="0052032C">
        <w:rPr>
          <w:lang w:eastAsia="ja-JP"/>
        </w:rPr>
        <w:t xml:space="preserve">Grade 3 and 4 high uric acid level in the </w:t>
      </w:r>
      <w:r w:rsidRPr="00BC003E">
        <w:t>FL population</w:t>
      </w:r>
      <w:r w:rsidRPr="0052032C">
        <w:rPr>
          <w:lang w:eastAsia="ja-JP"/>
        </w:rPr>
        <w:t xml:space="preserve"> was seen more frequently in the G-chemo arm (percentages shown for R-chemo followed by G-chemo arm): 125 (21.3%) and 10 (1.7%)</w:t>
      </w:r>
      <w:r>
        <w:rPr>
          <w:lang w:eastAsia="ja-JP"/>
        </w:rPr>
        <w:t xml:space="preserve"> versus </w:t>
      </w:r>
      <w:r w:rsidRPr="0052032C">
        <w:rPr>
          <w:lang w:eastAsia="ja-JP"/>
        </w:rPr>
        <w:t>154 (26.3%) and 17 (2.9%), respectively</w:t>
      </w:r>
      <w:r w:rsidR="00BC003E">
        <w:rPr>
          <w:lang w:eastAsia="ja-JP"/>
        </w:rPr>
        <w:t>.</w:t>
      </w:r>
      <w:bookmarkStart w:id="281" w:name="_Toc272414672"/>
      <w:bookmarkStart w:id="282" w:name="_Toc290888536"/>
      <w:bookmarkStart w:id="283" w:name="_Toc416353752"/>
      <w:bookmarkStart w:id="284" w:name="_Toc421005295"/>
      <w:bookmarkStart w:id="285" w:name="_Toc432079172"/>
      <w:bookmarkStart w:id="286" w:name="_Toc432080745"/>
    </w:p>
    <w:p w14:paraId="60C3F671" w14:textId="77777777" w:rsidR="0052032C" w:rsidRPr="0052032C" w:rsidRDefault="0052032C" w:rsidP="00BC003E">
      <w:pPr>
        <w:pStyle w:val="Heading4"/>
      </w:pPr>
      <w:bookmarkStart w:id="287" w:name="_Ref479348623"/>
      <w:r w:rsidRPr="0052032C">
        <w:t>Haematology</w:t>
      </w:r>
      <w:bookmarkEnd w:id="281"/>
      <w:bookmarkEnd w:id="282"/>
      <w:bookmarkEnd w:id="283"/>
      <w:bookmarkEnd w:id="284"/>
      <w:r w:rsidRPr="0052032C">
        <w:t xml:space="preserve"> and haematological toxicity</w:t>
      </w:r>
      <w:bookmarkEnd w:id="285"/>
      <w:bookmarkEnd w:id="286"/>
      <w:bookmarkEnd w:id="287"/>
    </w:p>
    <w:p w14:paraId="13C88C5F" w14:textId="7A47459C" w:rsidR="0052032C" w:rsidRPr="0052032C" w:rsidRDefault="0052032C" w:rsidP="0052032C">
      <w:pPr>
        <w:rPr>
          <w:lang w:eastAsia="ja-JP"/>
        </w:rPr>
      </w:pPr>
      <w:r w:rsidRPr="0052032C">
        <w:rPr>
          <w:lang w:eastAsia="ja-JP"/>
        </w:rPr>
        <w:t xml:space="preserve">The main differences in haematological laboratory </w:t>
      </w:r>
      <w:r w:rsidRPr="00BC003E">
        <w:t>parameters in the FL population</w:t>
      </w:r>
      <w:r w:rsidRPr="0052032C">
        <w:rPr>
          <w:lang w:eastAsia="ja-JP"/>
        </w:rPr>
        <w:t xml:space="preserve"> were seen for neutrophils and platelets</w:t>
      </w:r>
      <w:r w:rsidR="00C33717">
        <w:rPr>
          <w:lang w:eastAsia="ja-JP"/>
        </w:rPr>
        <w:t>, as shown below in Table 21</w:t>
      </w:r>
      <w:r w:rsidR="00BC003E">
        <w:rPr>
          <w:lang w:eastAsia="ja-JP"/>
        </w:rPr>
        <w:t xml:space="preserve">, </w:t>
      </w:r>
      <w:r w:rsidRPr="0052032C">
        <w:rPr>
          <w:lang w:eastAsia="ja-JP"/>
        </w:rPr>
        <w:t xml:space="preserve">in particular a higher incidence of </w:t>
      </w:r>
      <w:r w:rsidR="00BC003E">
        <w:rPr>
          <w:lang w:eastAsia="ja-JP"/>
        </w:rPr>
        <w:t>G</w:t>
      </w:r>
      <w:r w:rsidRPr="0052032C">
        <w:rPr>
          <w:lang w:eastAsia="ja-JP"/>
        </w:rPr>
        <w:t>rade 4 neutrop</w:t>
      </w:r>
      <w:r w:rsidR="00820AB9">
        <w:rPr>
          <w:lang w:eastAsia="ja-JP"/>
        </w:rPr>
        <w:t>a</w:t>
      </w:r>
      <w:r w:rsidRPr="0052032C">
        <w:rPr>
          <w:lang w:eastAsia="ja-JP"/>
        </w:rPr>
        <w:t>enia in the G-chemo arm (36.65</w:t>
      </w:r>
      <w:r>
        <w:rPr>
          <w:lang w:eastAsia="ja-JP"/>
        </w:rPr>
        <w:t xml:space="preserve"> versus </w:t>
      </w:r>
      <w:r w:rsidR="00BC003E">
        <w:rPr>
          <w:lang w:eastAsia="ja-JP"/>
        </w:rPr>
        <w:t>29.5%).</w:t>
      </w:r>
    </w:p>
    <w:p w14:paraId="0FBDCA6B" w14:textId="08B86C49" w:rsidR="0052032C" w:rsidRPr="0052032C" w:rsidRDefault="0052032C" w:rsidP="00BC003E">
      <w:pPr>
        <w:pStyle w:val="Tabletitle"/>
        <w:rPr>
          <w:lang w:eastAsia="ja-JP"/>
        </w:rPr>
      </w:pPr>
      <w:bookmarkStart w:id="288" w:name="_Ref479337789"/>
      <w:bookmarkStart w:id="289" w:name="_Toc481769220"/>
      <w:r w:rsidRPr="0052032C">
        <w:rPr>
          <w:lang w:eastAsia="ja-JP"/>
        </w:rPr>
        <w:t xml:space="preserve">Table </w:t>
      </w:r>
      <w:r w:rsidR="008E396E">
        <w:rPr>
          <w:lang w:eastAsia="ja-JP"/>
        </w:rPr>
        <w:t>21:</w:t>
      </w:r>
      <w:bookmarkEnd w:id="288"/>
      <w:r w:rsidRPr="0052032C">
        <w:rPr>
          <w:lang w:eastAsia="ja-JP"/>
        </w:rPr>
        <w:t xml:space="preserve"> Neutrophils and platelets in the FL safety population</w:t>
      </w:r>
      <w:bookmarkEnd w:id="289"/>
    </w:p>
    <w:p w14:paraId="7F0B1D4B" w14:textId="77777777" w:rsidR="0052032C" w:rsidRPr="0052032C" w:rsidRDefault="0052032C" w:rsidP="0052032C">
      <w:pPr>
        <w:rPr>
          <w:lang w:eastAsia="ja-JP"/>
        </w:rPr>
      </w:pPr>
      <w:r w:rsidRPr="0052032C">
        <w:rPr>
          <w:noProof/>
          <w:lang w:eastAsia="en-AU"/>
        </w:rPr>
        <w:drawing>
          <wp:inline distT="0" distB="0" distL="0" distR="0" wp14:anchorId="5A593047" wp14:editId="2D1C678C">
            <wp:extent cx="3250238" cy="1942155"/>
            <wp:effectExtent l="0" t="0" r="7620" b="1270"/>
            <wp:docPr id="133" name="Picture 133" descr="Neutrophils and platelets in the F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3260431" cy="1948246"/>
                    </a:xfrm>
                    <a:prstGeom prst="rect">
                      <a:avLst/>
                    </a:prstGeom>
                  </pic:spPr>
                </pic:pic>
              </a:graphicData>
            </a:graphic>
          </wp:inline>
        </w:drawing>
      </w:r>
    </w:p>
    <w:p w14:paraId="44721D31" w14:textId="7ADCB91C" w:rsidR="0052032C" w:rsidRPr="0052032C" w:rsidRDefault="0052032C" w:rsidP="0052032C">
      <w:pPr>
        <w:rPr>
          <w:lang w:eastAsia="ja-JP"/>
        </w:rPr>
      </w:pPr>
      <w:r w:rsidRPr="0052032C">
        <w:rPr>
          <w:lang w:eastAsia="ja-JP"/>
        </w:rPr>
        <w:t>Neutrop</w:t>
      </w:r>
      <w:r w:rsidR="00BC003E">
        <w:rPr>
          <w:lang w:eastAsia="ja-JP"/>
        </w:rPr>
        <w:t>a</w:t>
      </w:r>
      <w:r w:rsidRPr="0052032C">
        <w:rPr>
          <w:lang w:eastAsia="ja-JP"/>
        </w:rPr>
        <w:t xml:space="preserve">enia is an AEPI and AESI and for further information and discussion see </w:t>
      </w:r>
      <w:r w:rsidR="00C33717">
        <w:rPr>
          <w:lang w:eastAsia="ja-JP"/>
        </w:rPr>
        <w:t>Section 8.4.6.</w:t>
      </w:r>
      <w:bookmarkStart w:id="290" w:name="_Toc272414675"/>
      <w:bookmarkStart w:id="291" w:name="_Toc290888539"/>
      <w:bookmarkStart w:id="292" w:name="_Toc416353754"/>
      <w:bookmarkStart w:id="293" w:name="_Toc421005297"/>
      <w:bookmarkStart w:id="294" w:name="_Toc432079174"/>
      <w:bookmarkStart w:id="295" w:name="_Toc432080747"/>
      <w:r w:rsidR="00C33717">
        <w:rPr>
          <w:lang w:eastAsia="ja-JP"/>
        </w:rPr>
        <w:t>2</w:t>
      </w:r>
      <w:r w:rsidR="002470A0">
        <w:rPr>
          <w:lang w:eastAsia="ja-JP"/>
        </w:rPr>
        <w:t>, above</w:t>
      </w:r>
      <w:r w:rsidR="00C33717">
        <w:rPr>
          <w:lang w:eastAsia="ja-JP"/>
        </w:rPr>
        <w:t>.</w:t>
      </w:r>
    </w:p>
    <w:p w14:paraId="68D6C0B6" w14:textId="77777777" w:rsidR="0052032C" w:rsidRPr="0052032C" w:rsidRDefault="0052032C" w:rsidP="009B5069">
      <w:pPr>
        <w:pStyle w:val="Heading4"/>
      </w:pPr>
      <w:r w:rsidRPr="0052032C">
        <w:lastRenderedPageBreak/>
        <w:t>Electrocardiograph</w:t>
      </w:r>
      <w:bookmarkEnd w:id="290"/>
      <w:bookmarkEnd w:id="291"/>
      <w:bookmarkEnd w:id="292"/>
      <w:bookmarkEnd w:id="293"/>
      <w:r w:rsidRPr="0052032C">
        <w:t xml:space="preserve"> findings and cardiovascular safety</w:t>
      </w:r>
      <w:bookmarkEnd w:id="294"/>
      <w:bookmarkEnd w:id="295"/>
    </w:p>
    <w:p w14:paraId="11ABE3C8" w14:textId="6C14CE6C" w:rsidR="0052032C" w:rsidRPr="0052032C" w:rsidRDefault="0052032C" w:rsidP="0052032C">
      <w:pPr>
        <w:rPr>
          <w:lang w:eastAsia="ja-JP"/>
        </w:rPr>
      </w:pPr>
      <w:r w:rsidRPr="0052032C">
        <w:rPr>
          <w:lang w:eastAsia="ja-JP"/>
        </w:rPr>
        <w:t xml:space="preserve">According to the </w:t>
      </w:r>
      <w:r w:rsidR="009B5069">
        <w:rPr>
          <w:lang w:eastAsia="ja-JP"/>
        </w:rPr>
        <w:t xml:space="preserve">CSR, </w:t>
      </w:r>
      <w:r w:rsidRPr="0052032C">
        <w:rPr>
          <w:lang w:eastAsia="ja-JP"/>
        </w:rPr>
        <w:t>regard</w:t>
      </w:r>
      <w:r w:rsidR="009B5069">
        <w:rPr>
          <w:lang w:eastAsia="ja-JP"/>
        </w:rPr>
        <w:t>ing the FL population:</w:t>
      </w:r>
    </w:p>
    <w:p w14:paraId="0A4E2515" w14:textId="77777777" w:rsidR="0052032C" w:rsidRPr="0052032C" w:rsidRDefault="0052032C" w:rsidP="0052032C">
      <w:pPr>
        <w:rPr>
          <w:lang w:eastAsia="ja-JP"/>
        </w:rPr>
      </w:pPr>
      <w:r w:rsidRPr="0052032C">
        <w:rPr>
          <w:lang w:eastAsia="ja-JP"/>
        </w:rPr>
        <w:t>ECGs were performed at screening and at end of induction, or early withdrawal. Individual 12-Lead ECG data are provided. Clinically important ECG abnormalities had to be reported as AEs or SAEs:</w:t>
      </w:r>
    </w:p>
    <w:p w14:paraId="72F15DA8" w14:textId="35E21EF2" w:rsidR="0052032C" w:rsidRPr="0052032C" w:rsidRDefault="008E396E" w:rsidP="009B5069">
      <w:pPr>
        <w:pStyle w:val="ListBullet"/>
        <w:rPr>
          <w:lang w:eastAsia="ja-JP"/>
        </w:rPr>
      </w:pPr>
      <w:r>
        <w:rPr>
          <w:lang w:eastAsia="ja-JP"/>
        </w:rPr>
        <w:t>O</w:t>
      </w:r>
      <w:r w:rsidR="0052032C" w:rsidRPr="0052032C">
        <w:rPr>
          <w:lang w:eastAsia="ja-JP"/>
        </w:rPr>
        <w:t>ne patient in each treatment arm had ECG QT prolonged</w:t>
      </w:r>
    </w:p>
    <w:p w14:paraId="30A2FDBA" w14:textId="532783B2" w:rsidR="0052032C" w:rsidRPr="0052032C" w:rsidRDefault="008E396E" w:rsidP="009B5069">
      <w:pPr>
        <w:pStyle w:val="ListBullet"/>
        <w:rPr>
          <w:lang w:eastAsia="ja-JP"/>
        </w:rPr>
      </w:pPr>
      <w:r>
        <w:rPr>
          <w:lang w:eastAsia="ja-JP"/>
        </w:rPr>
        <w:t>O</w:t>
      </w:r>
      <w:r w:rsidR="0052032C" w:rsidRPr="0052032C">
        <w:rPr>
          <w:lang w:eastAsia="ja-JP"/>
        </w:rPr>
        <w:t>ne patient in the R-chemo arm had ECG ST segment elevation</w:t>
      </w:r>
    </w:p>
    <w:p w14:paraId="77ECA09C" w14:textId="302D411B" w:rsidR="0052032C" w:rsidRPr="0052032C" w:rsidRDefault="008E396E" w:rsidP="009B5069">
      <w:pPr>
        <w:pStyle w:val="ListBullet"/>
        <w:rPr>
          <w:lang w:eastAsia="ja-JP"/>
        </w:rPr>
      </w:pPr>
      <w:r>
        <w:rPr>
          <w:lang w:eastAsia="ja-JP"/>
        </w:rPr>
        <w:t>O</w:t>
      </w:r>
      <w:r w:rsidR="0052032C" w:rsidRPr="0052032C">
        <w:rPr>
          <w:lang w:eastAsia="ja-JP"/>
        </w:rPr>
        <w:t>ne patient in the R-chemo arm had ECG T wave inversion.</w:t>
      </w:r>
    </w:p>
    <w:p w14:paraId="1544A918" w14:textId="00B659BE" w:rsidR="0052032C" w:rsidRPr="0052032C" w:rsidRDefault="0052032C" w:rsidP="0052032C">
      <w:pPr>
        <w:rPr>
          <w:lang w:eastAsia="ja-JP"/>
        </w:rPr>
      </w:pPr>
      <w:r w:rsidRPr="0052032C">
        <w:rPr>
          <w:lang w:eastAsia="ja-JP"/>
        </w:rPr>
        <w:t xml:space="preserve">Cardiac events are an AEPI and are discussed in </w:t>
      </w:r>
      <w:r w:rsidR="00C33717">
        <w:rPr>
          <w:lang w:eastAsia="ja-JP"/>
        </w:rPr>
        <w:t>Section 8.4.6.9</w:t>
      </w:r>
      <w:r w:rsidR="002470A0">
        <w:rPr>
          <w:lang w:eastAsia="ja-JP"/>
        </w:rPr>
        <w:t>, above</w:t>
      </w:r>
      <w:r w:rsidR="00C33717">
        <w:rPr>
          <w:lang w:eastAsia="ja-JP"/>
        </w:rPr>
        <w:t>.</w:t>
      </w:r>
    </w:p>
    <w:p w14:paraId="0617AA88" w14:textId="77777777" w:rsidR="0052032C" w:rsidRPr="0052032C" w:rsidRDefault="0052032C" w:rsidP="009B5069">
      <w:pPr>
        <w:pStyle w:val="Heading4"/>
      </w:pPr>
      <w:bookmarkStart w:id="296" w:name="_Toc272414676"/>
      <w:bookmarkStart w:id="297" w:name="_Toc290888540"/>
      <w:bookmarkStart w:id="298" w:name="_Toc416353755"/>
      <w:bookmarkStart w:id="299" w:name="_Toc421005298"/>
      <w:bookmarkStart w:id="300" w:name="_Toc432079175"/>
      <w:bookmarkStart w:id="301" w:name="_Toc432080748"/>
      <w:r w:rsidRPr="0052032C">
        <w:t>Vital signs</w:t>
      </w:r>
      <w:bookmarkEnd w:id="296"/>
      <w:bookmarkEnd w:id="297"/>
      <w:bookmarkEnd w:id="298"/>
      <w:bookmarkEnd w:id="299"/>
      <w:r w:rsidRPr="0052032C">
        <w:t xml:space="preserve"> and clinical examination findings</w:t>
      </w:r>
      <w:bookmarkEnd w:id="300"/>
      <w:bookmarkEnd w:id="301"/>
      <w:r w:rsidRPr="0052032C">
        <w:t xml:space="preserve"> (FL safety population)</w:t>
      </w:r>
    </w:p>
    <w:p w14:paraId="7413C6DC" w14:textId="55EAC95E" w:rsidR="0052032C" w:rsidRPr="0052032C" w:rsidRDefault="0052032C" w:rsidP="0052032C">
      <w:pPr>
        <w:rPr>
          <w:lang w:eastAsia="ja-JP"/>
        </w:rPr>
      </w:pPr>
      <w:bookmarkStart w:id="302" w:name="_Toc432079176"/>
      <w:bookmarkStart w:id="303" w:name="_Toc432080749"/>
      <w:r w:rsidRPr="0052032C">
        <w:rPr>
          <w:lang w:eastAsia="ja-JP"/>
        </w:rPr>
        <w:t>According to the clinical study report no clinically relevant trends were apparent in either treatment arm in blood pressure, pulse rate, or temperature t</w:t>
      </w:r>
      <w:r w:rsidR="009B5069">
        <w:rPr>
          <w:lang w:eastAsia="ja-JP"/>
        </w:rPr>
        <w:t>hroughout the treatment period.</w:t>
      </w:r>
    </w:p>
    <w:p w14:paraId="35C0DF88" w14:textId="77777777" w:rsidR="0052032C" w:rsidRPr="0052032C" w:rsidRDefault="0052032C" w:rsidP="009B5069">
      <w:pPr>
        <w:pStyle w:val="Heading4"/>
      </w:pPr>
      <w:r w:rsidRPr="0052032C">
        <w:t>Immunogenicity and immunological events</w:t>
      </w:r>
      <w:bookmarkEnd w:id="302"/>
      <w:bookmarkEnd w:id="303"/>
    </w:p>
    <w:p w14:paraId="5DDD557D" w14:textId="79E3DD86" w:rsidR="0052032C" w:rsidRPr="0052032C" w:rsidRDefault="0052032C" w:rsidP="0052032C">
      <w:pPr>
        <w:rPr>
          <w:lang w:eastAsia="ja-JP"/>
        </w:rPr>
      </w:pPr>
      <w:r w:rsidRPr="0052032C">
        <w:rPr>
          <w:lang w:eastAsia="ja-JP"/>
        </w:rPr>
        <w:t>No patients in the G-chemo arm had a detectable positive HAHA result for anti-obinutuzumab a</w:t>
      </w:r>
      <w:bookmarkStart w:id="304" w:name="_Toc432079177"/>
      <w:bookmarkStart w:id="305" w:name="_Toc432080750"/>
      <w:r w:rsidR="009B5069">
        <w:rPr>
          <w:lang w:eastAsia="ja-JP"/>
        </w:rPr>
        <w:t>ntibodies after Cycle 1, Day 1.</w:t>
      </w:r>
    </w:p>
    <w:p w14:paraId="0F259247" w14:textId="77777777" w:rsidR="0052032C" w:rsidRPr="0052032C" w:rsidRDefault="0052032C" w:rsidP="009B5069">
      <w:pPr>
        <w:pStyle w:val="Heading4"/>
      </w:pPr>
      <w:bookmarkStart w:id="306" w:name="_Ref479602830"/>
      <w:r w:rsidRPr="0052032C">
        <w:t>Serious skin reactions</w:t>
      </w:r>
      <w:bookmarkEnd w:id="304"/>
      <w:bookmarkEnd w:id="305"/>
      <w:bookmarkEnd w:id="306"/>
    </w:p>
    <w:p w14:paraId="2F69568E" w14:textId="69073337" w:rsidR="0052032C" w:rsidRPr="0052032C" w:rsidRDefault="0052032C" w:rsidP="0052032C">
      <w:pPr>
        <w:rPr>
          <w:lang w:eastAsia="ja-JP"/>
        </w:rPr>
      </w:pPr>
      <w:r w:rsidRPr="0052032C">
        <w:rPr>
          <w:lang w:eastAsia="ja-JP"/>
        </w:rPr>
        <w:t xml:space="preserve">Frequents AEs for the PT Skin disorders are presented in </w:t>
      </w:r>
      <w:r w:rsidR="009B5069">
        <w:rPr>
          <w:lang w:eastAsia="ja-JP"/>
        </w:rPr>
        <w:t>Table 2</w:t>
      </w:r>
      <w:r w:rsidR="00C33717">
        <w:rPr>
          <w:lang w:eastAsia="ja-JP"/>
        </w:rPr>
        <w:t>2</w:t>
      </w:r>
      <w:r w:rsidR="009B5069">
        <w:rPr>
          <w:lang w:eastAsia="ja-JP"/>
        </w:rPr>
        <w:t xml:space="preserve"> (FL safety population).</w:t>
      </w:r>
    </w:p>
    <w:p w14:paraId="772A583B" w14:textId="791B3042" w:rsidR="0052032C" w:rsidRPr="0052032C" w:rsidRDefault="009B5069" w:rsidP="0052032C">
      <w:pPr>
        <w:rPr>
          <w:lang w:eastAsia="ja-JP"/>
        </w:rPr>
      </w:pPr>
      <w:r>
        <w:rPr>
          <w:lang w:eastAsia="ja-JP"/>
        </w:rPr>
        <w:t xml:space="preserve">No Grade 3 to </w:t>
      </w:r>
      <w:r w:rsidR="0052032C" w:rsidRPr="0052032C">
        <w:rPr>
          <w:lang w:eastAsia="ja-JP"/>
        </w:rPr>
        <w:t>5 adverse events with an incidence &gt;</w:t>
      </w:r>
      <w:r>
        <w:rPr>
          <w:lang w:eastAsia="ja-JP"/>
        </w:rPr>
        <w:t xml:space="preserve"> </w:t>
      </w:r>
      <w:r w:rsidR="0052032C" w:rsidRPr="0052032C">
        <w:rPr>
          <w:lang w:eastAsia="ja-JP"/>
        </w:rPr>
        <w:t>2% or an SAE with an incidence &gt;</w:t>
      </w:r>
      <w:r>
        <w:rPr>
          <w:lang w:eastAsia="ja-JP"/>
        </w:rPr>
        <w:t xml:space="preserve"> </w:t>
      </w:r>
      <w:r w:rsidR="0052032C" w:rsidRPr="0052032C">
        <w:rPr>
          <w:lang w:eastAsia="ja-JP"/>
        </w:rPr>
        <w:t>1% were observed in the SOC Skin and Subcutaneous Tissue Disorders for the entire safety population. There is no mention of Stevens Johnson syndrome, DRESS or toxic epidermal necrolysis.</w:t>
      </w:r>
    </w:p>
    <w:p w14:paraId="2E87B6B0" w14:textId="6C5918BD" w:rsidR="0052032C" w:rsidRPr="0052032C" w:rsidRDefault="0052032C" w:rsidP="009B5069">
      <w:pPr>
        <w:pStyle w:val="Tabletitle"/>
        <w:rPr>
          <w:lang w:eastAsia="ja-JP"/>
        </w:rPr>
      </w:pPr>
      <w:bookmarkStart w:id="307" w:name="_Ref479603197"/>
      <w:bookmarkStart w:id="308" w:name="_Toc481769221"/>
      <w:proofErr w:type="gramStart"/>
      <w:r w:rsidRPr="0052032C">
        <w:rPr>
          <w:lang w:eastAsia="ja-JP"/>
        </w:rPr>
        <w:t xml:space="preserve">Table </w:t>
      </w:r>
      <w:bookmarkEnd w:id="307"/>
      <w:r w:rsidR="00C33717">
        <w:rPr>
          <w:lang w:eastAsia="ja-JP"/>
        </w:rPr>
        <w:t>22</w:t>
      </w:r>
      <w:r w:rsidR="009B5069">
        <w:rPr>
          <w:lang w:eastAsia="ja-JP"/>
        </w:rPr>
        <w:t>.</w:t>
      </w:r>
      <w:proofErr w:type="gramEnd"/>
      <w:r w:rsidR="009B5069">
        <w:rPr>
          <w:lang w:eastAsia="ja-JP"/>
        </w:rPr>
        <w:t xml:space="preserve"> </w:t>
      </w:r>
      <w:r w:rsidRPr="0052032C">
        <w:rPr>
          <w:lang w:eastAsia="ja-JP"/>
        </w:rPr>
        <w:t>Adverse</w:t>
      </w:r>
      <w:r w:rsidR="009B5069">
        <w:rPr>
          <w:lang w:eastAsia="ja-JP"/>
        </w:rPr>
        <w:t xml:space="preserve"> events</w:t>
      </w:r>
      <w:r w:rsidRPr="0052032C">
        <w:rPr>
          <w:lang w:eastAsia="ja-JP"/>
        </w:rPr>
        <w:t xml:space="preserve"> with </w:t>
      </w:r>
      <w:r w:rsidR="009B5069" w:rsidRPr="0052032C">
        <w:rPr>
          <w:lang w:eastAsia="ja-JP"/>
        </w:rPr>
        <w:t xml:space="preserve">an incidence rate of at least 10% in either treatment arm </w:t>
      </w:r>
      <w:r w:rsidRPr="0052032C">
        <w:rPr>
          <w:lang w:eastAsia="ja-JP"/>
        </w:rPr>
        <w:t xml:space="preserve">in </w:t>
      </w:r>
      <w:r>
        <w:rPr>
          <w:lang w:eastAsia="ja-JP"/>
        </w:rPr>
        <w:t>Study BO</w:t>
      </w:r>
      <w:r w:rsidRPr="0052032C">
        <w:rPr>
          <w:lang w:eastAsia="ja-JP"/>
        </w:rPr>
        <w:t xml:space="preserve">21223 (FL </w:t>
      </w:r>
      <w:r w:rsidR="009B5069">
        <w:rPr>
          <w:lang w:eastAsia="ja-JP"/>
        </w:rPr>
        <w:t>s</w:t>
      </w:r>
      <w:r w:rsidRPr="0052032C">
        <w:rPr>
          <w:lang w:eastAsia="ja-JP"/>
        </w:rPr>
        <w:t xml:space="preserve">afety </w:t>
      </w:r>
      <w:r w:rsidR="009B5069">
        <w:rPr>
          <w:lang w:eastAsia="ja-JP"/>
        </w:rPr>
        <w:t>p</w:t>
      </w:r>
      <w:r w:rsidRPr="0052032C">
        <w:rPr>
          <w:lang w:eastAsia="ja-JP"/>
        </w:rPr>
        <w:t>opulation)</w:t>
      </w:r>
      <w:bookmarkEnd w:id="308"/>
    </w:p>
    <w:p w14:paraId="27783D1B" w14:textId="77777777" w:rsidR="0052032C" w:rsidRPr="0052032C" w:rsidRDefault="0052032C" w:rsidP="0052032C">
      <w:pPr>
        <w:rPr>
          <w:lang w:eastAsia="ja-JP"/>
        </w:rPr>
      </w:pPr>
      <w:r w:rsidRPr="0052032C">
        <w:rPr>
          <w:noProof/>
          <w:lang w:eastAsia="en-AU"/>
        </w:rPr>
        <w:drawing>
          <wp:inline distT="0" distB="0" distL="0" distR="0" wp14:anchorId="0955DEA5" wp14:editId="35BD3BBA">
            <wp:extent cx="5123663" cy="1110127"/>
            <wp:effectExtent l="0" t="0" r="1270" b="0"/>
            <wp:docPr id="144" name="Picture 144" descr="Adverse events with an incidence rate of at least 10% in either treatment arm in Study BO21223 (F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19847" cy="1109300"/>
                    </a:xfrm>
                    <a:prstGeom prst="rect">
                      <a:avLst/>
                    </a:prstGeom>
                  </pic:spPr>
                </pic:pic>
              </a:graphicData>
            </a:graphic>
          </wp:inline>
        </w:drawing>
      </w:r>
    </w:p>
    <w:p w14:paraId="32AD220C" w14:textId="1F290289" w:rsidR="0052032C" w:rsidRPr="0052032C" w:rsidRDefault="0052032C" w:rsidP="009B5069">
      <w:pPr>
        <w:pStyle w:val="Comment"/>
        <w:rPr>
          <w:lang w:eastAsia="ja-JP"/>
        </w:rPr>
      </w:pPr>
      <w:r w:rsidRPr="009B5069">
        <w:rPr>
          <w:b/>
          <w:lang w:eastAsia="ja-JP"/>
        </w:rPr>
        <w:t xml:space="preserve">Comment: </w:t>
      </w:r>
      <w:r w:rsidR="009B5069" w:rsidRPr="009B5069">
        <w:rPr>
          <w:b/>
          <w:lang w:eastAsia="ja-JP"/>
        </w:rPr>
        <w:t xml:space="preserve"> </w:t>
      </w:r>
      <w:r w:rsidRPr="0052032C">
        <w:rPr>
          <w:lang w:eastAsia="ja-JP"/>
        </w:rPr>
        <w:t>There does not seem to be any major differences between R- and G-ch</w:t>
      </w:r>
      <w:bookmarkStart w:id="309" w:name="_Toc272414678"/>
      <w:bookmarkStart w:id="310" w:name="_Toc290888542"/>
      <w:bookmarkStart w:id="311" w:name="_Toc416353757"/>
      <w:bookmarkStart w:id="312" w:name="_Toc421005300"/>
      <w:bookmarkStart w:id="313" w:name="_Toc432079178"/>
      <w:bookmarkStart w:id="314" w:name="_Toc432080751"/>
      <w:r w:rsidR="009B5069">
        <w:rPr>
          <w:lang w:eastAsia="ja-JP"/>
        </w:rPr>
        <w:t>emo for the SOC Skin disorders.</w:t>
      </w:r>
    </w:p>
    <w:p w14:paraId="36FFE24E" w14:textId="77777777" w:rsidR="0052032C" w:rsidRPr="0052032C" w:rsidRDefault="0052032C" w:rsidP="009B5069">
      <w:pPr>
        <w:pStyle w:val="Heading3"/>
      </w:pPr>
      <w:bookmarkStart w:id="315" w:name="_Toc272414686"/>
      <w:bookmarkStart w:id="316" w:name="_Ref273005527"/>
      <w:bookmarkStart w:id="317" w:name="_Toc290888550"/>
      <w:bookmarkStart w:id="318" w:name="_Toc416353765"/>
      <w:bookmarkStart w:id="319" w:name="_Toc421005308"/>
      <w:bookmarkStart w:id="320" w:name="_Toc432079179"/>
      <w:bookmarkStart w:id="321" w:name="_Toc432080752"/>
      <w:bookmarkStart w:id="322" w:name="_Toc481769168"/>
      <w:bookmarkStart w:id="323" w:name="_Toc513556359"/>
      <w:bookmarkEnd w:id="309"/>
      <w:bookmarkEnd w:id="310"/>
      <w:bookmarkEnd w:id="311"/>
      <w:bookmarkEnd w:id="312"/>
      <w:bookmarkEnd w:id="313"/>
      <w:bookmarkEnd w:id="314"/>
      <w:r w:rsidRPr="0052032C">
        <w:t>Other safety issues</w:t>
      </w:r>
      <w:bookmarkEnd w:id="315"/>
      <w:bookmarkEnd w:id="316"/>
      <w:bookmarkEnd w:id="317"/>
      <w:bookmarkEnd w:id="318"/>
      <w:bookmarkEnd w:id="319"/>
      <w:bookmarkEnd w:id="320"/>
      <w:bookmarkEnd w:id="321"/>
      <w:bookmarkEnd w:id="322"/>
      <w:bookmarkEnd w:id="323"/>
    </w:p>
    <w:p w14:paraId="119989CE" w14:textId="77777777" w:rsidR="0052032C" w:rsidRPr="0052032C" w:rsidRDefault="0052032C" w:rsidP="009B5069">
      <w:pPr>
        <w:pStyle w:val="Heading4"/>
      </w:pPr>
      <w:bookmarkStart w:id="324" w:name="_Toc241374322"/>
      <w:bookmarkStart w:id="325" w:name="_Ref272331212"/>
      <w:bookmarkStart w:id="326" w:name="_Toc272414687"/>
      <w:bookmarkStart w:id="327" w:name="_Toc290888551"/>
      <w:bookmarkStart w:id="328" w:name="_Toc416353766"/>
      <w:bookmarkStart w:id="329" w:name="_Toc421005309"/>
      <w:bookmarkStart w:id="330" w:name="_Toc432079180"/>
      <w:bookmarkStart w:id="331" w:name="_Toc432080753"/>
      <w:r w:rsidRPr="0052032C">
        <w:t>Safety in special populations</w:t>
      </w:r>
      <w:bookmarkEnd w:id="324"/>
      <w:bookmarkEnd w:id="325"/>
      <w:bookmarkEnd w:id="326"/>
      <w:bookmarkEnd w:id="327"/>
      <w:bookmarkEnd w:id="328"/>
      <w:bookmarkEnd w:id="329"/>
      <w:bookmarkEnd w:id="330"/>
      <w:bookmarkEnd w:id="331"/>
    </w:p>
    <w:p w14:paraId="015A4B76" w14:textId="77777777" w:rsidR="00226640" w:rsidRDefault="009B5069" w:rsidP="009B5069">
      <w:pPr>
        <w:pStyle w:val="Heading5"/>
        <w:rPr>
          <w:lang w:eastAsia="ja-JP"/>
        </w:rPr>
      </w:pPr>
      <w:bookmarkStart w:id="332" w:name="_Ref479674161"/>
      <w:r>
        <w:rPr>
          <w:lang w:eastAsia="ja-JP"/>
        </w:rPr>
        <w:t>Age and s</w:t>
      </w:r>
      <w:r w:rsidR="0052032C" w:rsidRPr="0052032C">
        <w:rPr>
          <w:lang w:eastAsia="ja-JP"/>
        </w:rPr>
        <w:t>ex</w:t>
      </w:r>
      <w:bookmarkEnd w:id="332"/>
    </w:p>
    <w:p w14:paraId="536D13B1" w14:textId="6F934F68" w:rsidR="0052032C" w:rsidRPr="0052032C" w:rsidRDefault="0052032C" w:rsidP="0052032C">
      <w:pPr>
        <w:rPr>
          <w:lang w:eastAsia="ja-JP"/>
        </w:rPr>
      </w:pPr>
      <w:r w:rsidRPr="0052032C">
        <w:rPr>
          <w:lang w:eastAsia="ja-JP"/>
        </w:rPr>
        <w:t xml:space="preserve">The adverse events by age group and sex in the overall safety population are depicted </w:t>
      </w:r>
      <w:r w:rsidR="00C33717">
        <w:rPr>
          <w:lang w:eastAsia="ja-JP"/>
        </w:rPr>
        <w:t>in Table 23</w:t>
      </w:r>
      <w:r w:rsidR="009B5069">
        <w:rPr>
          <w:lang w:eastAsia="ja-JP"/>
        </w:rPr>
        <w:t>, below.</w:t>
      </w:r>
    </w:p>
    <w:p w14:paraId="1A99511C" w14:textId="4CD2CE78" w:rsidR="0052032C" w:rsidRPr="0052032C" w:rsidRDefault="0052032C" w:rsidP="009B5069">
      <w:pPr>
        <w:pStyle w:val="Tabletitle"/>
        <w:rPr>
          <w:lang w:eastAsia="ja-JP"/>
        </w:rPr>
      </w:pPr>
      <w:bookmarkStart w:id="333" w:name="_Ref479672892"/>
      <w:bookmarkStart w:id="334" w:name="_Toc481769222"/>
      <w:proofErr w:type="gramStart"/>
      <w:r w:rsidRPr="0052032C">
        <w:rPr>
          <w:lang w:eastAsia="ja-JP"/>
        </w:rPr>
        <w:lastRenderedPageBreak/>
        <w:t xml:space="preserve">Table </w:t>
      </w:r>
      <w:bookmarkEnd w:id="333"/>
      <w:r w:rsidR="00C33717">
        <w:rPr>
          <w:lang w:eastAsia="ja-JP"/>
        </w:rPr>
        <w:t>23</w:t>
      </w:r>
      <w:r w:rsidR="009B5069">
        <w:rPr>
          <w:lang w:eastAsia="ja-JP"/>
        </w:rPr>
        <w:t>.</w:t>
      </w:r>
      <w:proofErr w:type="gramEnd"/>
      <w:r w:rsidR="009B5069">
        <w:rPr>
          <w:lang w:eastAsia="ja-JP"/>
        </w:rPr>
        <w:t xml:space="preserve"> </w:t>
      </w:r>
      <w:r w:rsidRPr="0052032C">
        <w:rPr>
          <w:lang w:eastAsia="ja-JP"/>
        </w:rPr>
        <w:t xml:space="preserve">Adverse </w:t>
      </w:r>
      <w:r w:rsidR="009B5069" w:rsidRPr="0052032C">
        <w:rPr>
          <w:lang w:eastAsia="ja-JP"/>
        </w:rPr>
        <w:t xml:space="preserve">events by age group and sex </w:t>
      </w:r>
      <w:r w:rsidRPr="0052032C">
        <w:rPr>
          <w:lang w:eastAsia="ja-JP"/>
        </w:rPr>
        <w:t>(</w:t>
      </w:r>
      <w:r w:rsidR="009B5069" w:rsidRPr="0052032C">
        <w:rPr>
          <w:lang w:eastAsia="ja-JP"/>
        </w:rPr>
        <w:t>overall safety population)</w:t>
      </w:r>
      <w:bookmarkEnd w:id="334"/>
    </w:p>
    <w:p w14:paraId="06C9508E" w14:textId="77777777" w:rsidR="0052032C" w:rsidRPr="0052032C" w:rsidRDefault="0052032C" w:rsidP="0052032C">
      <w:pPr>
        <w:rPr>
          <w:lang w:eastAsia="ja-JP"/>
        </w:rPr>
      </w:pPr>
      <w:r w:rsidRPr="0052032C">
        <w:rPr>
          <w:noProof/>
          <w:lang w:eastAsia="en-AU"/>
        </w:rPr>
        <w:drawing>
          <wp:inline distT="0" distB="0" distL="0" distR="0" wp14:anchorId="62F52D5E" wp14:editId="37A92E8E">
            <wp:extent cx="5395225" cy="3132061"/>
            <wp:effectExtent l="0" t="0" r="0" b="0"/>
            <wp:docPr id="143" name="Picture 143" descr="Adverse events by age group and sex (overall safety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Lst>
                    </a:blip>
                    <a:srcRect t="3930"/>
                    <a:stretch/>
                  </pic:blipFill>
                  <pic:spPr bwMode="auto">
                    <a:xfrm>
                      <a:off x="0" y="0"/>
                      <a:ext cx="5398782" cy="3134126"/>
                    </a:xfrm>
                    <a:prstGeom prst="rect">
                      <a:avLst/>
                    </a:prstGeom>
                    <a:ln>
                      <a:noFill/>
                    </a:ln>
                    <a:extLst>
                      <a:ext uri="{53640926-AAD7-44D8-BBD7-CCE9431645EC}">
                        <a14:shadowObscured xmlns:a14="http://schemas.microsoft.com/office/drawing/2010/main"/>
                      </a:ext>
                    </a:extLst>
                  </pic:spPr>
                </pic:pic>
              </a:graphicData>
            </a:graphic>
          </wp:inline>
        </w:drawing>
      </w:r>
    </w:p>
    <w:p w14:paraId="24116A46" w14:textId="37529225" w:rsidR="0052032C" w:rsidRPr="009B5069" w:rsidRDefault="0052032C" w:rsidP="009B5069">
      <w:r w:rsidRPr="009B5069">
        <w:t>For the FL safety population the sponsor states</w:t>
      </w:r>
      <w:r w:rsidR="009B5069" w:rsidRPr="009B5069">
        <w:t>:</w:t>
      </w:r>
    </w:p>
    <w:p w14:paraId="2058C074" w14:textId="7DB28962" w:rsidR="009B5069" w:rsidRDefault="0052032C" w:rsidP="0052032C">
      <w:r w:rsidRPr="009B5069">
        <w:t xml:space="preserve">The incidence of AEs was similar in the </w:t>
      </w:r>
      <w:r w:rsidR="008B5FE0">
        <w:t>2</w:t>
      </w:r>
      <w:r w:rsidRPr="009B5069">
        <w:t xml:space="preserve"> age groups in both treatment arms, including related AEs (using a </w:t>
      </w:r>
      <w:r w:rsidR="008E396E" w:rsidRPr="009B5069">
        <w:t>cut</w:t>
      </w:r>
      <w:r w:rsidR="008E396E">
        <w:t>-</w:t>
      </w:r>
      <w:r w:rsidR="008E396E" w:rsidRPr="009B5069">
        <w:t>off</w:t>
      </w:r>
      <w:r w:rsidRPr="009B5069">
        <w:t xml:space="preserve"> of 5% to indicate a difference). However, in both treatment arms, the incidence of SAEs was higher in patients ≥</w:t>
      </w:r>
      <w:r w:rsidR="009B5069">
        <w:t xml:space="preserve"> </w:t>
      </w:r>
      <w:r w:rsidRPr="009B5069">
        <w:t>65 years old than in younger patients, as was the incidence of AEs leading to death and the incidence of AEs leading to withdrawal from any treatment (</w:t>
      </w:r>
      <w:r w:rsidR="00C33717">
        <w:t>see Table 24</w:t>
      </w:r>
      <w:r w:rsidR="009B5069">
        <w:t xml:space="preserve"> below).</w:t>
      </w:r>
    </w:p>
    <w:p w14:paraId="291CE3C3" w14:textId="5C7D4A16" w:rsidR="0052032C" w:rsidRPr="0052032C" w:rsidRDefault="0052032C" w:rsidP="0052032C">
      <w:r w:rsidRPr="0052032C">
        <w:rPr>
          <w:lang w:eastAsia="ja-JP"/>
        </w:rPr>
        <w:t xml:space="preserve">The incidence of </w:t>
      </w:r>
      <w:r w:rsidR="009B5069">
        <w:rPr>
          <w:lang w:eastAsia="ja-JP"/>
        </w:rPr>
        <w:t xml:space="preserve">AEs, deaths, fatal AEs, Grade 3 to </w:t>
      </w:r>
      <w:r w:rsidRPr="0052032C">
        <w:rPr>
          <w:lang w:eastAsia="ja-JP"/>
        </w:rPr>
        <w:t xml:space="preserve">5 AEs, and serious AEs was similar (using a </w:t>
      </w:r>
      <w:r w:rsidR="008E396E" w:rsidRPr="0052032C">
        <w:rPr>
          <w:lang w:eastAsia="ja-JP"/>
        </w:rPr>
        <w:t>cut</w:t>
      </w:r>
      <w:r w:rsidR="008E396E">
        <w:rPr>
          <w:lang w:eastAsia="ja-JP"/>
        </w:rPr>
        <w:t>-</w:t>
      </w:r>
      <w:r w:rsidR="008E396E" w:rsidRPr="0052032C">
        <w:rPr>
          <w:lang w:eastAsia="ja-JP"/>
        </w:rPr>
        <w:t>off</w:t>
      </w:r>
      <w:r w:rsidRPr="0052032C">
        <w:rPr>
          <w:lang w:eastAsia="ja-JP"/>
        </w:rPr>
        <w:t xml:space="preserve"> of 5% to indicate a difference between arms) for both males and for females.</w:t>
      </w:r>
    </w:p>
    <w:p w14:paraId="545A7932" w14:textId="1410A038" w:rsidR="0052032C" w:rsidRPr="0052032C" w:rsidRDefault="0052032C" w:rsidP="0052032C">
      <w:pPr>
        <w:rPr>
          <w:b/>
          <w:lang w:eastAsia="ja-JP"/>
        </w:rPr>
      </w:pPr>
      <w:bookmarkStart w:id="335" w:name="_Ref479672909"/>
      <w:bookmarkStart w:id="336" w:name="_Toc481769223"/>
      <w:proofErr w:type="gramStart"/>
      <w:r w:rsidRPr="0052032C">
        <w:rPr>
          <w:b/>
          <w:lang w:eastAsia="ja-JP"/>
        </w:rPr>
        <w:t xml:space="preserve">Table </w:t>
      </w:r>
      <w:bookmarkEnd w:id="335"/>
      <w:r w:rsidR="00C33717">
        <w:rPr>
          <w:b/>
          <w:lang w:eastAsia="ja-JP"/>
        </w:rPr>
        <w:t>24</w:t>
      </w:r>
      <w:r w:rsidR="009B5069">
        <w:rPr>
          <w:b/>
          <w:lang w:eastAsia="ja-JP"/>
        </w:rPr>
        <w:t>.</w:t>
      </w:r>
      <w:proofErr w:type="gramEnd"/>
      <w:r w:rsidR="009B5069">
        <w:rPr>
          <w:b/>
          <w:lang w:eastAsia="ja-JP"/>
        </w:rPr>
        <w:t xml:space="preserve"> </w:t>
      </w:r>
      <w:r w:rsidRPr="0052032C">
        <w:rPr>
          <w:b/>
          <w:lang w:eastAsia="ja-JP"/>
        </w:rPr>
        <w:t xml:space="preserve">Adverse </w:t>
      </w:r>
      <w:r w:rsidR="009B5069">
        <w:rPr>
          <w:b/>
          <w:lang w:eastAsia="ja-JP"/>
        </w:rPr>
        <w:t>events by age group and sex (FL</w:t>
      </w:r>
      <w:r w:rsidR="009B5069" w:rsidRPr="0052032C">
        <w:rPr>
          <w:b/>
          <w:lang w:eastAsia="ja-JP"/>
        </w:rPr>
        <w:t xml:space="preserve"> safety population)</w:t>
      </w:r>
      <w:bookmarkEnd w:id="336"/>
    </w:p>
    <w:p w14:paraId="2DE84656" w14:textId="77777777" w:rsidR="0052032C" w:rsidRPr="0052032C" w:rsidRDefault="0052032C" w:rsidP="0052032C">
      <w:pPr>
        <w:rPr>
          <w:lang w:eastAsia="ja-JP"/>
        </w:rPr>
      </w:pPr>
      <w:r w:rsidRPr="0052032C">
        <w:rPr>
          <w:noProof/>
          <w:lang w:eastAsia="en-AU"/>
        </w:rPr>
        <w:drawing>
          <wp:inline distT="0" distB="0" distL="0" distR="0" wp14:anchorId="3C821452" wp14:editId="706BCB36">
            <wp:extent cx="5592198" cy="2833884"/>
            <wp:effectExtent l="0" t="0" r="8890" b="5080"/>
            <wp:docPr id="132" name="Picture 132" descr="Adverse events by age group and sex (F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Lst>
                    </a:blip>
                    <a:srcRect l="2374" t="4890" b="3377"/>
                    <a:stretch/>
                  </pic:blipFill>
                  <pic:spPr bwMode="auto">
                    <a:xfrm>
                      <a:off x="0" y="0"/>
                      <a:ext cx="5595472" cy="2835543"/>
                    </a:xfrm>
                    <a:prstGeom prst="rect">
                      <a:avLst/>
                    </a:prstGeom>
                    <a:ln>
                      <a:noFill/>
                    </a:ln>
                    <a:extLst>
                      <a:ext uri="{53640926-AAD7-44D8-BBD7-CCE9431645EC}">
                        <a14:shadowObscured xmlns:a14="http://schemas.microsoft.com/office/drawing/2010/main"/>
                      </a:ext>
                    </a:extLst>
                  </pic:spPr>
                </pic:pic>
              </a:graphicData>
            </a:graphic>
          </wp:inline>
        </w:drawing>
      </w:r>
    </w:p>
    <w:p w14:paraId="162AA294" w14:textId="37EA7614" w:rsidR="0052032C" w:rsidRPr="0052032C" w:rsidRDefault="0052032C" w:rsidP="008A49BF">
      <w:pPr>
        <w:pStyle w:val="Comment"/>
        <w:rPr>
          <w:lang w:eastAsia="ja-JP"/>
        </w:rPr>
      </w:pPr>
      <w:r w:rsidRPr="008A49BF">
        <w:rPr>
          <w:b/>
          <w:lang w:eastAsia="ja-JP"/>
        </w:rPr>
        <w:t xml:space="preserve">Comment: </w:t>
      </w:r>
      <w:r w:rsidR="00C33717">
        <w:rPr>
          <w:b/>
          <w:lang w:eastAsia="ja-JP"/>
        </w:rPr>
        <w:t xml:space="preserve"> </w:t>
      </w:r>
      <w:r w:rsidR="00D05B91" w:rsidRPr="00C33717">
        <w:rPr>
          <w:lang w:eastAsia="ja-JP"/>
        </w:rPr>
        <w:t>For t</w:t>
      </w:r>
      <w:r w:rsidRPr="00C33717">
        <w:rPr>
          <w:lang w:eastAsia="ja-JP"/>
        </w:rPr>
        <w:t>he</w:t>
      </w:r>
      <w:r w:rsidR="00D05B91" w:rsidRPr="00C33717">
        <w:rPr>
          <w:lang w:eastAsia="ja-JP"/>
        </w:rPr>
        <w:t xml:space="preserve"> </w:t>
      </w:r>
      <w:r w:rsidRPr="00C33717">
        <w:rPr>
          <w:lang w:eastAsia="ja-JP"/>
        </w:rPr>
        <w:t xml:space="preserve">above </w:t>
      </w:r>
      <w:r w:rsidR="00D05B91" w:rsidRPr="00C33717">
        <w:rPr>
          <w:lang w:eastAsia="ja-JP"/>
        </w:rPr>
        <w:t>sponsor</w:t>
      </w:r>
      <w:r w:rsidR="002470A0">
        <w:rPr>
          <w:lang w:eastAsia="ja-JP"/>
        </w:rPr>
        <w:t xml:space="preserve"> </w:t>
      </w:r>
      <w:r w:rsidRPr="00C33717">
        <w:rPr>
          <w:lang w:eastAsia="ja-JP"/>
        </w:rPr>
        <w:t>mentioned SAEs in patients</w:t>
      </w:r>
      <w:r w:rsidRPr="0052032C">
        <w:rPr>
          <w:lang w:eastAsia="ja-JP"/>
        </w:rPr>
        <w:t xml:space="preserve"> </w:t>
      </w:r>
      <w:r w:rsidR="008E396E">
        <w:rPr>
          <w:lang w:eastAsia="ja-JP"/>
        </w:rPr>
        <w:t xml:space="preserve">who were </w:t>
      </w:r>
      <w:r w:rsidRPr="0052032C">
        <w:rPr>
          <w:lang w:eastAsia="ja-JP"/>
        </w:rPr>
        <w:t>≥</w:t>
      </w:r>
      <w:r w:rsidR="008A49BF">
        <w:rPr>
          <w:lang w:eastAsia="ja-JP"/>
        </w:rPr>
        <w:t xml:space="preserve"> </w:t>
      </w:r>
      <w:r w:rsidRPr="0052032C">
        <w:rPr>
          <w:lang w:eastAsia="ja-JP"/>
        </w:rPr>
        <w:t>65 years of age</w:t>
      </w:r>
      <w:r w:rsidR="00D05B91">
        <w:rPr>
          <w:lang w:eastAsia="ja-JP"/>
        </w:rPr>
        <w:t>,</w:t>
      </w:r>
      <w:r w:rsidRPr="0052032C">
        <w:rPr>
          <w:lang w:eastAsia="ja-JP"/>
        </w:rPr>
        <w:t xml:space="preserve"> the incidence was demonstrably higher in the G-chemo arm compared to the R-chemo arm especially in the overall safety population; see highlighted text in </w:t>
      </w:r>
      <w:r w:rsidR="008A49BF">
        <w:rPr>
          <w:lang w:eastAsia="ja-JP"/>
        </w:rPr>
        <w:t>Table 2</w:t>
      </w:r>
      <w:r w:rsidR="00DC73BE">
        <w:rPr>
          <w:lang w:eastAsia="ja-JP"/>
        </w:rPr>
        <w:t>3</w:t>
      </w:r>
      <w:r w:rsidR="008A49BF">
        <w:rPr>
          <w:lang w:eastAsia="ja-JP"/>
        </w:rPr>
        <w:t xml:space="preserve">, </w:t>
      </w:r>
      <w:r w:rsidR="008A49BF">
        <w:rPr>
          <w:lang w:eastAsia="ja-JP"/>
        </w:rPr>
        <w:lastRenderedPageBreak/>
        <w:t xml:space="preserve">above. </w:t>
      </w:r>
      <w:r w:rsidRPr="0052032C">
        <w:rPr>
          <w:lang w:eastAsia="ja-JP"/>
        </w:rPr>
        <w:t>This has to be taken into account when choosing a CD20 antibody-chemo regimen for a person ≥</w:t>
      </w:r>
      <w:r w:rsidR="008A49BF">
        <w:rPr>
          <w:lang w:eastAsia="ja-JP"/>
        </w:rPr>
        <w:t xml:space="preserve"> </w:t>
      </w:r>
      <w:r w:rsidRPr="0052032C">
        <w:rPr>
          <w:lang w:eastAsia="ja-JP"/>
        </w:rPr>
        <w:t>65 years of age. This has to be made clear in the PI with relevant differences specified</w:t>
      </w:r>
      <w:r w:rsidR="008A49BF">
        <w:rPr>
          <w:lang w:eastAsia="ja-JP"/>
        </w:rPr>
        <w:t>.</w:t>
      </w:r>
    </w:p>
    <w:p w14:paraId="7CABB3AC" w14:textId="77777777" w:rsidR="0052032C" w:rsidRPr="0052032C" w:rsidRDefault="0052032C" w:rsidP="008A49BF">
      <w:pPr>
        <w:pStyle w:val="Heading5"/>
        <w:rPr>
          <w:lang w:eastAsia="ja-JP"/>
        </w:rPr>
      </w:pPr>
      <w:r w:rsidRPr="0052032C">
        <w:rPr>
          <w:lang w:eastAsia="ja-JP"/>
        </w:rPr>
        <w:t>Pregnancies (FL safety population)</w:t>
      </w:r>
    </w:p>
    <w:p w14:paraId="6218B841" w14:textId="73C1C2F2" w:rsidR="0052032C" w:rsidRPr="0052032C" w:rsidRDefault="00FA3256" w:rsidP="0052032C">
      <w:pPr>
        <w:rPr>
          <w:lang w:eastAsia="ja-JP"/>
        </w:rPr>
      </w:pPr>
      <w:r>
        <w:rPr>
          <w:lang w:eastAsia="ja-JP"/>
        </w:rPr>
        <w:t xml:space="preserve">4 </w:t>
      </w:r>
      <w:r w:rsidR="0052032C" w:rsidRPr="0052032C">
        <w:rPr>
          <w:lang w:eastAsia="ja-JP"/>
        </w:rPr>
        <w:t xml:space="preserve">pregnancies were reported in </w:t>
      </w:r>
      <w:r w:rsidR="0052032C">
        <w:rPr>
          <w:lang w:eastAsia="ja-JP"/>
        </w:rPr>
        <w:t>Study BO</w:t>
      </w:r>
      <w:r>
        <w:rPr>
          <w:lang w:eastAsia="ja-JP"/>
        </w:rPr>
        <w:t>21223.</w:t>
      </w:r>
    </w:p>
    <w:p w14:paraId="69618FAB" w14:textId="498F1E06" w:rsidR="0052032C" w:rsidRPr="0052032C" w:rsidRDefault="00FA3256" w:rsidP="0052032C">
      <w:pPr>
        <w:rPr>
          <w:lang w:eastAsia="ja-JP"/>
        </w:rPr>
      </w:pPr>
      <w:r>
        <w:rPr>
          <w:lang w:eastAsia="ja-JP"/>
        </w:rPr>
        <w:t xml:space="preserve">2 </w:t>
      </w:r>
      <w:r w:rsidR="0052032C" w:rsidRPr="0052032C">
        <w:rPr>
          <w:lang w:eastAsia="ja-JP"/>
        </w:rPr>
        <w:t xml:space="preserve">pregnancies were reported in study patients: One in the G-chemo arm which led to a therapeutic </w:t>
      </w:r>
      <w:r>
        <w:rPr>
          <w:lang w:eastAsia="ja-JP"/>
        </w:rPr>
        <w:t>termination of pregnancy</w:t>
      </w:r>
      <w:r w:rsidR="0052032C" w:rsidRPr="0052032C">
        <w:rPr>
          <w:lang w:eastAsia="ja-JP"/>
        </w:rPr>
        <w:t xml:space="preserve"> and one in the R-chemo arm which resu</w:t>
      </w:r>
      <w:r>
        <w:rPr>
          <w:lang w:eastAsia="ja-JP"/>
        </w:rPr>
        <w:t>lted in a spontaneous abortion.</w:t>
      </w:r>
    </w:p>
    <w:p w14:paraId="286F8FF0" w14:textId="4E75FA20" w:rsidR="0052032C" w:rsidRPr="0052032C" w:rsidRDefault="0052032C" w:rsidP="0052032C">
      <w:pPr>
        <w:rPr>
          <w:lang w:eastAsia="ja-JP"/>
        </w:rPr>
      </w:pPr>
      <w:r w:rsidRPr="0052032C">
        <w:rPr>
          <w:lang w:eastAsia="ja-JP"/>
        </w:rPr>
        <w:t xml:space="preserve">There were </w:t>
      </w:r>
      <w:r w:rsidR="00FA3256">
        <w:rPr>
          <w:lang w:eastAsia="ja-JP"/>
        </w:rPr>
        <w:t>2</w:t>
      </w:r>
      <w:r w:rsidRPr="0052032C">
        <w:rPr>
          <w:lang w:eastAsia="ja-JP"/>
        </w:rPr>
        <w:t xml:space="preserve"> pregnancies in the pa</w:t>
      </w:r>
      <w:r w:rsidR="00FA3256">
        <w:rPr>
          <w:lang w:eastAsia="ja-JP"/>
        </w:rPr>
        <w:t xml:space="preserve">rtner of a male patient: </w:t>
      </w:r>
      <w:r w:rsidRPr="0052032C">
        <w:rPr>
          <w:lang w:eastAsia="ja-JP"/>
        </w:rPr>
        <w:t xml:space="preserve">One in the G-chemo arm which led to a therapeutic </w:t>
      </w:r>
      <w:r w:rsidR="00FA3256">
        <w:rPr>
          <w:lang w:eastAsia="ja-JP"/>
        </w:rPr>
        <w:t>termination of pregnancy</w:t>
      </w:r>
      <w:r w:rsidRPr="0052032C">
        <w:rPr>
          <w:lang w:eastAsia="ja-JP"/>
        </w:rPr>
        <w:t xml:space="preserve"> and one in the R-chemo arm with a healthy baby delivered at term.</w:t>
      </w:r>
    </w:p>
    <w:p w14:paraId="5AF1C00E" w14:textId="77777777" w:rsidR="0052032C" w:rsidRPr="0052032C" w:rsidRDefault="0052032C" w:rsidP="00986000">
      <w:pPr>
        <w:pStyle w:val="Heading4"/>
      </w:pPr>
      <w:bookmarkStart w:id="337" w:name="_Toc241374324"/>
      <w:bookmarkStart w:id="338" w:name="_Ref272331214"/>
      <w:bookmarkStart w:id="339" w:name="_Toc272414688"/>
      <w:bookmarkStart w:id="340" w:name="_Toc290888552"/>
      <w:bookmarkStart w:id="341" w:name="_Toc416353767"/>
      <w:bookmarkStart w:id="342" w:name="_Toc421005310"/>
      <w:bookmarkStart w:id="343" w:name="_Toc432079181"/>
      <w:bookmarkStart w:id="344" w:name="_Toc432080754"/>
      <w:r w:rsidRPr="0052032C">
        <w:t>Safety related to drug-drug interactions and other interactions</w:t>
      </w:r>
      <w:bookmarkEnd w:id="337"/>
      <w:bookmarkEnd w:id="338"/>
      <w:bookmarkEnd w:id="339"/>
      <w:bookmarkEnd w:id="340"/>
      <w:bookmarkEnd w:id="341"/>
      <w:bookmarkEnd w:id="342"/>
      <w:bookmarkEnd w:id="343"/>
      <w:bookmarkEnd w:id="344"/>
    </w:p>
    <w:p w14:paraId="0761B913" w14:textId="080C26B4" w:rsidR="0052032C" w:rsidRPr="0052032C" w:rsidRDefault="0052032C" w:rsidP="0052032C">
      <w:pPr>
        <w:rPr>
          <w:lang w:eastAsia="ja-JP"/>
        </w:rPr>
      </w:pPr>
      <w:bookmarkStart w:id="345" w:name="_Toc241374326"/>
      <w:bookmarkStart w:id="346" w:name="_Ref272333048"/>
      <w:bookmarkStart w:id="347" w:name="_Toc272414679"/>
      <w:bookmarkStart w:id="348" w:name="_Toc290888543"/>
      <w:bookmarkStart w:id="349" w:name="_Toc416353758"/>
      <w:bookmarkStart w:id="350" w:name="_Toc421005301"/>
      <w:bookmarkStart w:id="351" w:name="_Toc432079182"/>
      <w:bookmarkStart w:id="352" w:name="_Toc432080755"/>
      <w:r w:rsidRPr="0052032C">
        <w:rPr>
          <w:lang w:eastAsia="ja-JP"/>
        </w:rPr>
        <w:t xml:space="preserve">From </w:t>
      </w:r>
      <w:r w:rsidR="001E1486">
        <w:rPr>
          <w:lang w:eastAsia="ja-JP"/>
        </w:rPr>
        <w:t>the SCS:</w:t>
      </w:r>
    </w:p>
    <w:p w14:paraId="4B05B52A" w14:textId="6D94BEA9" w:rsidR="0052032C" w:rsidRPr="0052032C" w:rsidRDefault="0052032C" w:rsidP="0052032C">
      <w:pPr>
        <w:rPr>
          <w:lang w:eastAsia="ja-JP"/>
        </w:rPr>
      </w:pPr>
      <w:r w:rsidRPr="0052032C">
        <w:rPr>
          <w:lang w:eastAsia="ja-JP"/>
        </w:rPr>
        <w:t>No formal drug-drug interaction studies have been conducted with obinutuzumab as such interactions are not expected with this mAb. A comparison of serum pharmacokinetic parameters from studies of obinutuzumab monotherapy with pharmacokinetic parameters from studies of obinutuzumab in combination with chemotherapy (</w:t>
      </w:r>
      <w:r w:rsidR="002859FD">
        <w:rPr>
          <w:lang w:eastAsia="ja-JP"/>
        </w:rPr>
        <w:t xml:space="preserve">Study </w:t>
      </w:r>
      <w:r w:rsidRPr="0052032C">
        <w:rPr>
          <w:lang w:eastAsia="ja-JP"/>
        </w:rPr>
        <w:t xml:space="preserve">BO21000) suggests that concomitant chemotherapy has minimal impact on the pharmacokinetics of obinutuzumab. Co-administration with obinutuzumab was investigated in exploratory analyses in Studies GAO4753g (GADOLIN, a study to investigate the efficacy and safety of bendamustine compared with G-benda in patients with rituximab-refractory iNHL) and </w:t>
      </w:r>
      <w:r w:rsidR="002859FD">
        <w:rPr>
          <w:lang w:eastAsia="ja-JP"/>
        </w:rPr>
        <w:t xml:space="preserve">Study </w:t>
      </w:r>
      <w:r w:rsidRPr="0052032C">
        <w:rPr>
          <w:lang w:eastAsia="ja-JP"/>
        </w:rPr>
        <w:t xml:space="preserve">GAO4915g (GATHER, a </w:t>
      </w:r>
      <w:r w:rsidR="002859FD">
        <w:rPr>
          <w:lang w:eastAsia="ja-JP"/>
        </w:rPr>
        <w:t>s</w:t>
      </w:r>
      <w:r w:rsidRPr="0052032C">
        <w:rPr>
          <w:lang w:eastAsia="ja-JP"/>
        </w:rPr>
        <w:t>tudy of G-CHOP in patients with previously untreated advanced DLBCL). Obinutuzumab had no apparent effect on the pharmacokinetics of bendamustine, or the individual components of CHOP.</w:t>
      </w:r>
    </w:p>
    <w:p w14:paraId="3503ECFE" w14:textId="77777777" w:rsidR="0052032C" w:rsidRPr="0052032C" w:rsidRDefault="0052032C" w:rsidP="00986000">
      <w:pPr>
        <w:pStyle w:val="Heading3"/>
      </w:pPr>
      <w:bookmarkStart w:id="353" w:name="_Toc481769169"/>
      <w:bookmarkStart w:id="354" w:name="_Toc513556360"/>
      <w:r w:rsidRPr="0052032C">
        <w:t>Post marketing experience</w:t>
      </w:r>
      <w:bookmarkEnd w:id="345"/>
      <w:bookmarkEnd w:id="346"/>
      <w:bookmarkEnd w:id="347"/>
      <w:bookmarkEnd w:id="348"/>
      <w:bookmarkEnd w:id="349"/>
      <w:bookmarkEnd w:id="350"/>
      <w:bookmarkEnd w:id="351"/>
      <w:bookmarkEnd w:id="352"/>
      <w:bookmarkEnd w:id="353"/>
      <w:bookmarkEnd w:id="354"/>
    </w:p>
    <w:p w14:paraId="72A792DA" w14:textId="60ABF988" w:rsidR="0052032C" w:rsidRPr="0052032C" w:rsidRDefault="0052032C" w:rsidP="0052032C">
      <w:pPr>
        <w:rPr>
          <w:lang w:eastAsia="ja-JP"/>
        </w:rPr>
      </w:pPr>
      <w:r w:rsidRPr="0052032C">
        <w:rPr>
          <w:lang w:eastAsia="ja-JP"/>
        </w:rPr>
        <w:t>According to the</w:t>
      </w:r>
      <w:r>
        <w:rPr>
          <w:lang w:eastAsia="ja-JP"/>
        </w:rPr>
        <w:t xml:space="preserve"> sponsor</w:t>
      </w:r>
      <w:r w:rsidR="00246DAA">
        <w:rPr>
          <w:lang w:eastAsia="ja-JP"/>
        </w:rPr>
        <w:t>,</w:t>
      </w:r>
      <w:r w:rsidRPr="0052032C">
        <w:rPr>
          <w:lang w:eastAsia="ja-JP"/>
        </w:rPr>
        <w:t xml:space="preserve"> 13841 mainly CLL and iNHL patients have received obinutuzumab worldwide. Overall no new safety signal was identified in </w:t>
      </w:r>
      <w:r>
        <w:rPr>
          <w:lang w:eastAsia="ja-JP"/>
        </w:rPr>
        <w:t>Study BO</w:t>
      </w:r>
      <w:r w:rsidRPr="0052032C">
        <w:rPr>
          <w:lang w:eastAsia="ja-JP"/>
        </w:rPr>
        <w:t xml:space="preserve">21223 compared with the data presented in the latest </w:t>
      </w:r>
      <w:r w:rsidR="00246DAA">
        <w:rPr>
          <w:lang w:eastAsia="ja-JP"/>
        </w:rPr>
        <w:t>periodic benefit-risk evaluation report.</w:t>
      </w:r>
    </w:p>
    <w:p w14:paraId="21B9B972" w14:textId="77777777" w:rsidR="0052032C" w:rsidRPr="0052032C" w:rsidRDefault="0052032C" w:rsidP="002859FD">
      <w:pPr>
        <w:pStyle w:val="Heading3"/>
      </w:pPr>
      <w:bookmarkStart w:id="355" w:name="_Toc241374328"/>
      <w:bookmarkStart w:id="356" w:name="_Toc272414691"/>
      <w:bookmarkStart w:id="357" w:name="_Toc290888555"/>
      <w:bookmarkStart w:id="358" w:name="_Toc416353770"/>
      <w:bookmarkStart w:id="359" w:name="_Toc421005312"/>
      <w:bookmarkStart w:id="360" w:name="_Toc432079183"/>
      <w:bookmarkStart w:id="361" w:name="_Toc432080756"/>
      <w:bookmarkStart w:id="362" w:name="_Toc481769170"/>
      <w:bookmarkStart w:id="363" w:name="_Toc513556361"/>
      <w:r w:rsidRPr="0052032C">
        <w:t>Evaluator’s overall conclusions on clinical safety</w:t>
      </w:r>
      <w:bookmarkEnd w:id="355"/>
      <w:bookmarkEnd w:id="356"/>
      <w:bookmarkEnd w:id="357"/>
      <w:bookmarkEnd w:id="358"/>
      <w:bookmarkEnd w:id="359"/>
      <w:bookmarkEnd w:id="360"/>
      <w:bookmarkEnd w:id="361"/>
      <w:bookmarkEnd w:id="362"/>
      <w:bookmarkEnd w:id="363"/>
    </w:p>
    <w:p w14:paraId="6D0C14D1" w14:textId="38C0B96E" w:rsidR="0052032C" w:rsidRPr="002859FD" w:rsidRDefault="0052032C" w:rsidP="0052032C">
      <w:pPr>
        <w:rPr>
          <w:lang w:eastAsia="ja-JP"/>
        </w:rPr>
      </w:pPr>
      <w:r w:rsidRPr="002859FD">
        <w:rPr>
          <w:lang w:eastAsia="ja-JP"/>
        </w:rPr>
        <w:t xml:space="preserve">Study BO21000 (GAUDI) included 81 </w:t>
      </w:r>
      <w:r w:rsidR="002859FD">
        <w:rPr>
          <w:lang w:eastAsia="ja-JP"/>
        </w:rPr>
        <w:t xml:space="preserve">first </w:t>
      </w:r>
      <w:r w:rsidRPr="002859FD">
        <w:rPr>
          <w:lang w:eastAsia="ja-JP"/>
        </w:rPr>
        <w:t>line FL patients and explored the safety of obinutuzumab (G) in combination with CHOP or bendamustine. This study has not been evaluated in detail as it was a small Phase I study compared to the large Phase III Study</w:t>
      </w:r>
      <w:r w:rsidR="002C079F">
        <w:rPr>
          <w:lang w:eastAsia="ja-JP"/>
        </w:rPr>
        <w:t> </w:t>
      </w:r>
      <w:r w:rsidRPr="002859FD">
        <w:rPr>
          <w:lang w:eastAsia="ja-JP"/>
        </w:rPr>
        <w:t>BO21223 (GALLIUM) comprising 1390 patients of</w:t>
      </w:r>
      <w:r w:rsidRPr="0052032C">
        <w:rPr>
          <w:lang w:eastAsia="ja-JP"/>
        </w:rPr>
        <w:t xml:space="preserve"> which 698 received obinutuzumab and chemotherapy (bendamustine, CHOP, or CVP). There was no comparator in </w:t>
      </w:r>
      <w:r>
        <w:rPr>
          <w:lang w:eastAsia="ja-JP"/>
        </w:rPr>
        <w:t>Study BO</w:t>
      </w:r>
      <w:r w:rsidRPr="0052032C">
        <w:rPr>
          <w:lang w:eastAsia="ja-JP"/>
        </w:rPr>
        <w:t xml:space="preserve">21000 whereas </w:t>
      </w:r>
      <w:r>
        <w:rPr>
          <w:lang w:eastAsia="ja-JP"/>
        </w:rPr>
        <w:t>Study BO</w:t>
      </w:r>
      <w:r w:rsidRPr="0052032C">
        <w:rPr>
          <w:lang w:eastAsia="ja-JP"/>
        </w:rPr>
        <w:t xml:space="preserve">21223 has another CD20 antibody (rituximab) as comparator. The results from </w:t>
      </w:r>
      <w:r>
        <w:rPr>
          <w:lang w:eastAsia="ja-JP"/>
        </w:rPr>
        <w:t>Study BO</w:t>
      </w:r>
      <w:r w:rsidRPr="0052032C">
        <w:rPr>
          <w:lang w:eastAsia="ja-JP"/>
        </w:rPr>
        <w:t xml:space="preserve">21000 are not included in the </w:t>
      </w:r>
      <w:r w:rsidRPr="002859FD">
        <w:rPr>
          <w:lang w:eastAsia="ja-JP"/>
        </w:rPr>
        <w:t xml:space="preserve">product information, and in the following the results from Study BO21223 are summarised. For an overview of the study design see </w:t>
      </w:r>
      <w:r w:rsidR="002859FD">
        <w:rPr>
          <w:lang w:eastAsia="ja-JP"/>
        </w:rPr>
        <w:t>Figure 3, above.</w:t>
      </w:r>
    </w:p>
    <w:p w14:paraId="03877DEE" w14:textId="2AFF12AF" w:rsidR="0052032C" w:rsidRPr="0052032C" w:rsidRDefault="0052032C" w:rsidP="0052032C">
      <w:pPr>
        <w:rPr>
          <w:lang w:eastAsia="ja-JP"/>
        </w:rPr>
      </w:pPr>
      <w:r w:rsidRPr="0052032C">
        <w:rPr>
          <w:lang w:eastAsia="ja-JP"/>
        </w:rPr>
        <w:t>The demographics for the FL population have been described in the efficacy section</w:t>
      </w:r>
      <w:r w:rsidR="002859FD">
        <w:rPr>
          <w:lang w:eastAsia="ja-JP"/>
        </w:rPr>
        <w:t xml:space="preserve">; </w:t>
      </w:r>
      <w:r w:rsidRPr="0052032C">
        <w:rPr>
          <w:lang w:eastAsia="ja-JP"/>
        </w:rPr>
        <w:t xml:space="preserve">about 80% were </w:t>
      </w:r>
      <w:r w:rsidR="005850AF">
        <w:rPr>
          <w:lang w:eastAsia="ja-JP"/>
        </w:rPr>
        <w:t>W</w:t>
      </w:r>
      <w:r w:rsidR="005850AF" w:rsidRPr="0052032C">
        <w:rPr>
          <w:lang w:eastAsia="ja-JP"/>
        </w:rPr>
        <w:t xml:space="preserve">hite </w:t>
      </w:r>
      <w:r w:rsidRPr="0052032C">
        <w:rPr>
          <w:lang w:eastAsia="ja-JP"/>
        </w:rPr>
        <w:t xml:space="preserve">and 47% male. The FL population comprise about 86% of the overall safety population. The demographics for the remaining 14% mainly MZL patients </w:t>
      </w:r>
      <w:r w:rsidR="00C33717">
        <w:rPr>
          <w:lang w:eastAsia="ja-JP"/>
        </w:rPr>
        <w:t xml:space="preserve">were listed in the CSR. About 93% </w:t>
      </w:r>
      <w:r w:rsidR="00C33717" w:rsidRPr="004813BE">
        <w:rPr>
          <w:lang w:eastAsia="ja-JP"/>
        </w:rPr>
        <w:t>were W</w:t>
      </w:r>
      <w:r w:rsidRPr="004813BE">
        <w:rPr>
          <w:lang w:eastAsia="ja-JP"/>
        </w:rPr>
        <w:t>hite and</w:t>
      </w:r>
      <w:r w:rsidRPr="0052032C">
        <w:rPr>
          <w:lang w:eastAsia="ja-JP"/>
        </w:rPr>
        <w:t xml:space="preserve"> 50% male. The main differences between the FL and MZL patients are the mean age of 5</w:t>
      </w:r>
      <w:r w:rsidR="00AE7194">
        <w:rPr>
          <w:lang w:eastAsia="ja-JP"/>
        </w:rPr>
        <w:t>7.</w:t>
      </w:r>
      <w:r w:rsidRPr="0052032C">
        <w:rPr>
          <w:lang w:eastAsia="ja-JP"/>
        </w:rPr>
        <w:t>9</w:t>
      </w:r>
      <w:r>
        <w:rPr>
          <w:lang w:eastAsia="ja-JP"/>
        </w:rPr>
        <w:t xml:space="preserve"> versus </w:t>
      </w:r>
      <w:r w:rsidRPr="0052032C">
        <w:rPr>
          <w:lang w:eastAsia="ja-JP"/>
        </w:rPr>
        <w:t>6</w:t>
      </w:r>
      <w:r w:rsidR="00AE7194">
        <w:rPr>
          <w:lang w:eastAsia="ja-JP"/>
        </w:rPr>
        <w:t>1.9</w:t>
      </w:r>
      <w:r w:rsidRPr="0052032C">
        <w:rPr>
          <w:lang w:eastAsia="ja-JP"/>
        </w:rPr>
        <w:t xml:space="preserve"> and the number of patients ≥ 65 years of age (31.3%</w:t>
      </w:r>
      <w:r>
        <w:rPr>
          <w:lang w:eastAsia="ja-JP"/>
        </w:rPr>
        <w:t xml:space="preserve"> versus </w:t>
      </w:r>
      <w:r w:rsidRPr="0052032C">
        <w:rPr>
          <w:lang w:eastAsia="ja-JP"/>
        </w:rPr>
        <w:t>44.6%), which are likely to have an impact on the safety results even though the propo</w:t>
      </w:r>
      <w:r w:rsidR="002859FD">
        <w:rPr>
          <w:lang w:eastAsia="ja-JP"/>
        </w:rPr>
        <w:t>rtion of MZL patients is small.</w:t>
      </w:r>
    </w:p>
    <w:p w14:paraId="7FF6CB6E" w14:textId="7FC4EEAF" w:rsidR="0052032C" w:rsidRPr="0052032C" w:rsidRDefault="0052032C" w:rsidP="002859FD">
      <w:pPr>
        <w:pStyle w:val="Heading4"/>
      </w:pPr>
      <w:r w:rsidRPr="0052032C">
        <w:lastRenderedPageBreak/>
        <w:t>Exposu</w:t>
      </w:r>
      <w:r w:rsidR="002859FD">
        <w:t>re (overall safety population)</w:t>
      </w:r>
    </w:p>
    <w:p w14:paraId="39E72F1A" w14:textId="75D2821C" w:rsidR="0052032C" w:rsidRPr="0052032C" w:rsidRDefault="0052032C" w:rsidP="0052032C">
      <w:pPr>
        <w:rPr>
          <w:lang w:eastAsia="ja-JP"/>
        </w:rPr>
      </w:pPr>
      <w:r w:rsidRPr="002859FD">
        <w:rPr>
          <w:i/>
          <w:lang w:eastAsia="ja-JP"/>
        </w:rPr>
        <w:t>Induction phase</w:t>
      </w:r>
      <w:r w:rsidRPr="0052032C">
        <w:rPr>
          <w:lang w:eastAsia="ja-JP"/>
        </w:rPr>
        <w:t>: At least 90% of the planned cumulative dose of antibody was administered in 99.4% of the R-chemo arm and in 99.0% in the G-che</w:t>
      </w:r>
      <w:r w:rsidR="00DC73BE">
        <w:rPr>
          <w:lang w:eastAsia="ja-JP"/>
        </w:rPr>
        <w:t>mo arm</w:t>
      </w:r>
      <w:r w:rsidR="002859FD">
        <w:rPr>
          <w:lang w:eastAsia="ja-JP"/>
        </w:rPr>
        <w:t>.</w:t>
      </w:r>
    </w:p>
    <w:p w14:paraId="7506C0E6" w14:textId="68D6EBDF" w:rsidR="0052032C" w:rsidRDefault="0052032C" w:rsidP="0052032C">
      <w:pPr>
        <w:rPr>
          <w:lang w:eastAsia="ja-JP"/>
        </w:rPr>
      </w:pPr>
      <w:r w:rsidRPr="002859FD">
        <w:rPr>
          <w:i/>
          <w:lang w:eastAsia="ja-JP"/>
        </w:rPr>
        <w:t>Maintenance phase</w:t>
      </w:r>
      <w:r w:rsidR="002859FD">
        <w:rPr>
          <w:i/>
          <w:lang w:eastAsia="ja-JP"/>
        </w:rPr>
        <w:t>:</w:t>
      </w:r>
      <w:r w:rsidRPr="0052032C">
        <w:rPr>
          <w:lang w:eastAsia="ja-JP"/>
        </w:rPr>
        <w:t xml:space="preserve"> (for patients in CR or PR after induction): 603 patients in the R-chemo arm and 623 patients in the G-chemo arm received maintenance treatment. In the R-chemo arm 99.0% received ≥ 90% of the cumulative maintenance dose compared to 99.8% </w:t>
      </w:r>
      <w:r w:rsidR="002859FD">
        <w:rPr>
          <w:lang w:eastAsia="ja-JP"/>
        </w:rPr>
        <w:t>of patients in the G-chemo arm.</w:t>
      </w:r>
    </w:p>
    <w:p w14:paraId="1B5E9385" w14:textId="53ECB3BC" w:rsidR="002859FD" w:rsidRPr="0052032C" w:rsidRDefault="00696603" w:rsidP="00696603">
      <w:pPr>
        <w:pStyle w:val="Heading4"/>
      </w:pPr>
      <w:r>
        <w:t>Adverse events</w:t>
      </w:r>
    </w:p>
    <w:p w14:paraId="1F232A33" w14:textId="64CEF035" w:rsidR="0052032C" w:rsidRPr="0052032C" w:rsidRDefault="0052032C" w:rsidP="0052032C">
      <w:pPr>
        <w:rPr>
          <w:lang w:eastAsia="ja-JP"/>
        </w:rPr>
      </w:pPr>
      <w:r w:rsidRPr="0052032C">
        <w:rPr>
          <w:lang w:eastAsia="ja-JP"/>
        </w:rPr>
        <w:t>There were more adverse events in the G-chemo arm compared to the R-chemo arm in both the FL and overall safety population in part</w:t>
      </w:r>
      <w:r w:rsidR="002859FD">
        <w:rPr>
          <w:lang w:eastAsia="ja-JP"/>
        </w:rPr>
        <w:t xml:space="preserve">icular Grade 3 to </w:t>
      </w:r>
      <w:r w:rsidRPr="0052032C">
        <w:rPr>
          <w:lang w:eastAsia="ja-JP"/>
        </w:rPr>
        <w:t>5 AEs, SAE, related SAEs and related AEs leading to any dose interruption. There were more AEs with a fatal outcome in the G-chemo arm but</w:t>
      </w:r>
      <w:r w:rsidR="00DC73BE">
        <w:rPr>
          <w:lang w:eastAsia="ja-JP"/>
        </w:rPr>
        <w:t xml:space="preserve"> more deaths in the R-chemo arm</w:t>
      </w:r>
      <w:r w:rsidR="002859FD">
        <w:rPr>
          <w:lang w:eastAsia="ja-JP"/>
        </w:rPr>
        <w:t>.</w:t>
      </w:r>
    </w:p>
    <w:p w14:paraId="231696B5" w14:textId="167C9D6B" w:rsidR="0052032C" w:rsidRPr="0052032C" w:rsidRDefault="0052032C" w:rsidP="0052032C">
      <w:pPr>
        <w:rPr>
          <w:lang w:eastAsia="ja-JP"/>
        </w:rPr>
      </w:pPr>
      <w:r w:rsidRPr="0052032C">
        <w:rPr>
          <w:lang w:eastAsia="ja-JP"/>
        </w:rPr>
        <w:t>Adverse events (all grades) reported with a difference of at least 2% between the treatment arms, but excluding IRRs reflects the most frequently related AEs</w:t>
      </w:r>
      <w:r w:rsidR="00C33717">
        <w:rPr>
          <w:lang w:eastAsia="ja-JP"/>
        </w:rPr>
        <w:t xml:space="preserve"> </w:t>
      </w:r>
      <w:r w:rsidRPr="0052032C">
        <w:rPr>
          <w:lang w:eastAsia="ja-JP"/>
        </w:rPr>
        <w:t>whic</w:t>
      </w:r>
      <w:r w:rsidR="002859FD">
        <w:rPr>
          <w:lang w:eastAsia="ja-JP"/>
        </w:rPr>
        <w:t>h are all in favour of R</w:t>
      </w:r>
      <w:r w:rsidR="002C079F">
        <w:rPr>
          <w:lang w:eastAsia="ja-JP"/>
        </w:rPr>
        <w:noBreakHyphen/>
      </w:r>
      <w:r w:rsidR="002859FD">
        <w:rPr>
          <w:lang w:eastAsia="ja-JP"/>
        </w:rPr>
        <w:t>chemo.</w:t>
      </w:r>
    </w:p>
    <w:p w14:paraId="34A06FBA" w14:textId="664F0507" w:rsidR="0052032C" w:rsidRPr="0052032C" w:rsidRDefault="0052032C" w:rsidP="0052032C">
      <w:pPr>
        <w:rPr>
          <w:lang w:eastAsia="ja-JP"/>
        </w:rPr>
      </w:pPr>
      <w:r w:rsidRPr="0052032C">
        <w:rPr>
          <w:lang w:eastAsia="ja-JP"/>
        </w:rPr>
        <w:t xml:space="preserve">There are more SAEs in the G-chemo arm compared to the R-chemo arm in both the overall and FL safety population </w:t>
      </w:r>
      <w:r w:rsidRPr="00B9790A">
        <w:rPr>
          <w:lang w:eastAsia="ja-JP"/>
        </w:rPr>
        <w:t>(see section</w:t>
      </w:r>
      <w:r w:rsidR="00B9790A" w:rsidRPr="00B9790A">
        <w:rPr>
          <w:lang w:eastAsia="ja-JP"/>
        </w:rPr>
        <w:t xml:space="preserve"> 8.4.3.2</w:t>
      </w:r>
      <w:r w:rsidR="00C71BA9">
        <w:rPr>
          <w:lang w:eastAsia="ja-JP"/>
        </w:rPr>
        <w:t>, above</w:t>
      </w:r>
      <w:r w:rsidR="00B9790A" w:rsidRPr="00B9790A">
        <w:rPr>
          <w:lang w:eastAsia="ja-JP"/>
        </w:rPr>
        <w:t xml:space="preserve">). </w:t>
      </w:r>
      <w:r w:rsidRPr="0052032C">
        <w:rPr>
          <w:lang w:eastAsia="ja-JP"/>
        </w:rPr>
        <w:t xml:space="preserve">There are generally more SAEs in the overall safety population (the population in the PI) than in the FL population, which is not unexpected, as the median age of the FL population is 59.0 years and 63.0 years for the MZL population. The percentage of patients </w:t>
      </w:r>
      <w:r w:rsidR="008E396E">
        <w:rPr>
          <w:lang w:eastAsia="ja-JP"/>
        </w:rPr>
        <w:t xml:space="preserve">who are </w:t>
      </w:r>
      <w:r w:rsidRPr="0052032C">
        <w:rPr>
          <w:lang w:eastAsia="ja-JP"/>
        </w:rPr>
        <w:t xml:space="preserve">≥ 65 years of age is 31.3% in the FL population and 44.6% in the MZL population, and although the MZL population only constitute 14% of the overall safety population this apparently has an impact on the overall safety data together with other factors. As the average age at diagnosis for FL patients is 65 years, the lower average age (and good performance status) in this study does not reflect the FL population as a whole, and these data demonstrate that this has to be taken into account when choosing which anti-CD20 antibody to use in addition to considering efficacy. See also comments in </w:t>
      </w:r>
      <w:r w:rsidR="00B9790A">
        <w:rPr>
          <w:lang w:eastAsia="ja-JP"/>
        </w:rPr>
        <w:t>Section 7.4</w:t>
      </w:r>
      <w:r w:rsidR="00C71BA9">
        <w:rPr>
          <w:lang w:eastAsia="ja-JP"/>
        </w:rPr>
        <w:t>, above</w:t>
      </w:r>
      <w:r w:rsidR="00B9790A">
        <w:rPr>
          <w:lang w:eastAsia="ja-JP"/>
        </w:rPr>
        <w:t>.</w:t>
      </w:r>
    </w:p>
    <w:p w14:paraId="09EB0179" w14:textId="230E27AC" w:rsidR="0052032C" w:rsidRPr="0052032C" w:rsidRDefault="0052032C" w:rsidP="0052032C">
      <w:pPr>
        <w:rPr>
          <w:lang w:eastAsia="ja-JP"/>
        </w:rPr>
      </w:pPr>
      <w:r w:rsidRPr="0052032C">
        <w:rPr>
          <w:lang w:eastAsia="ja-JP"/>
        </w:rPr>
        <w:t>AEs leading to withdrawal were slightly higher in the G-chemo arm in both the FL and overall safety population</w:t>
      </w:r>
      <w:r w:rsidR="002859FD">
        <w:rPr>
          <w:lang w:eastAsia="ja-JP"/>
        </w:rPr>
        <w:t>.</w:t>
      </w:r>
    </w:p>
    <w:p w14:paraId="17A43CB3" w14:textId="45AFBD2E" w:rsidR="0052032C" w:rsidRPr="0052032C" w:rsidRDefault="0052032C" w:rsidP="009B525E">
      <w:pPr>
        <w:pStyle w:val="Heading4"/>
      </w:pPr>
      <w:r w:rsidRPr="0052032C">
        <w:t>Adverse events of particular or special interest</w:t>
      </w:r>
    </w:p>
    <w:p w14:paraId="12B96C48" w14:textId="473D1889" w:rsidR="0052032C" w:rsidRPr="0052032C" w:rsidRDefault="0052032C" w:rsidP="0052032C">
      <w:pPr>
        <w:rPr>
          <w:lang w:eastAsia="ja-JP"/>
        </w:rPr>
      </w:pPr>
      <w:r w:rsidRPr="0052032C">
        <w:rPr>
          <w:lang w:eastAsia="ja-JP"/>
        </w:rPr>
        <w:t xml:space="preserve">There were more IRRs in the overall population compared to the follicular population. Elderly patients have more </w:t>
      </w:r>
      <w:proofErr w:type="gramStart"/>
      <w:r w:rsidRPr="0052032C">
        <w:rPr>
          <w:lang w:eastAsia="ja-JP"/>
        </w:rPr>
        <w:t>co</w:t>
      </w:r>
      <w:r w:rsidR="008E396E">
        <w:rPr>
          <w:lang w:eastAsia="ja-JP"/>
        </w:rPr>
        <w:t>-</w:t>
      </w:r>
      <w:r w:rsidRPr="0052032C">
        <w:rPr>
          <w:lang w:eastAsia="ja-JP"/>
        </w:rPr>
        <w:t>morbidities</w:t>
      </w:r>
      <w:proofErr w:type="gramEnd"/>
      <w:r w:rsidRPr="0052032C">
        <w:rPr>
          <w:lang w:eastAsia="ja-JP"/>
        </w:rPr>
        <w:t xml:space="preserve">, for instance cardiovascular problems, which could be an </w:t>
      </w:r>
      <w:r w:rsidRPr="006E576E">
        <w:rPr>
          <w:lang w:eastAsia="ja-JP"/>
        </w:rPr>
        <w:t>issue in relation to IRRs and subsequently the choice of anti-CD20 antibody</w:t>
      </w:r>
      <w:r w:rsidR="00B9790A" w:rsidRPr="006E576E">
        <w:rPr>
          <w:lang w:eastAsia="ja-JP"/>
        </w:rPr>
        <w:t xml:space="preserve"> (see also</w:t>
      </w:r>
      <w:r w:rsidR="00B9790A" w:rsidRPr="00275451">
        <w:rPr>
          <w:lang w:eastAsia="ja-JP"/>
        </w:rPr>
        <w:t xml:space="preserve"> S</w:t>
      </w:r>
      <w:r w:rsidRPr="00275451">
        <w:rPr>
          <w:lang w:eastAsia="ja-JP"/>
        </w:rPr>
        <w:t>ection</w:t>
      </w:r>
      <w:r w:rsidR="00B9790A" w:rsidRPr="00275451">
        <w:rPr>
          <w:lang w:eastAsia="ja-JP"/>
        </w:rPr>
        <w:t xml:space="preserve"> 8.4.6.1).</w:t>
      </w:r>
    </w:p>
    <w:p w14:paraId="6E7BC40B" w14:textId="090CBCA9" w:rsidR="0052032C" w:rsidRPr="0052032C" w:rsidRDefault="0052032C" w:rsidP="0052032C">
      <w:pPr>
        <w:rPr>
          <w:lang w:eastAsia="ja-JP"/>
        </w:rPr>
      </w:pPr>
      <w:r w:rsidRPr="0052032C">
        <w:rPr>
          <w:lang w:eastAsia="ja-JP"/>
        </w:rPr>
        <w:t>Higher age (</w:t>
      </w:r>
      <w:r w:rsidR="00B9790A">
        <w:rPr>
          <w:lang w:eastAsia="ja-JP"/>
        </w:rPr>
        <w:t>see Section 8.6.1.1)</w:t>
      </w:r>
      <w:r w:rsidRPr="0052032C">
        <w:rPr>
          <w:lang w:eastAsia="ja-JP"/>
        </w:rPr>
        <w:t xml:space="preserve"> and renal impairment (</w:t>
      </w:r>
      <w:r w:rsidR="00696603">
        <w:rPr>
          <w:lang w:eastAsia="ja-JP"/>
        </w:rPr>
        <w:t xml:space="preserve">see Table </w:t>
      </w:r>
      <w:r w:rsidR="00B9790A">
        <w:rPr>
          <w:lang w:eastAsia="ja-JP"/>
        </w:rPr>
        <w:t>20</w:t>
      </w:r>
      <w:r w:rsidR="00696603">
        <w:rPr>
          <w:lang w:eastAsia="ja-JP"/>
        </w:rPr>
        <w:t xml:space="preserve">) </w:t>
      </w:r>
      <w:proofErr w:type="gramStart"/>
      <w:r w:rsidR="00696603">
        <w:rPr>
          <w:lang w:eastAsia="ja-JP"/>
        </w:rPr>
        <w:t>were</w:t>
      </w:r>
      <w:proofErr w:type="gramEnd"/>
      <w:r w:rsidR="00696603">
        <w:rPr>
          <w:lang w:eastAsia="ja-JP"/>
        </w:rPr>
        <w:t xml:space="preserve"> risk factors for SAEs.</w:t>
      </w:r>
    </w:p>
    <w:p w14:paraId="1D1CDB8D" w14:textId="722CDF28" w:rsidR="0052032C" w:rsidRPr="0052032C" w:rsidRDefault="0052032C" w:rsidP="0052032C">
      <w:pPr>
        <w:rPr>
          <w:lang w:eastAsia="ja-JP"/>
        </w:rPr>
      </w:pPr>
      <w:r w:rsidRPr="0052032C">
        <w:rPr>
          <w:lang w:eastAsia="ja-JP"/>
        </w:rPr>
        <w:t>There were more AEs and SAEs in the MZL population in the G-chemo arm</w:t>
      </w:r>
      <w:r w:rsidR="00B9790A">
        <w:rPr>
          <w:lang w:eastAsia="ja-JP"/>
        </w:rPr>
        <w:t xml:space="preserve">. </w:t>
      </w:r>
      <w:r w:rsidRPr="0052032C">
        <w:rPr>
          <w:lang w:eastAsia="ja-JP"/>
        </w:rPr>
        <w:t>Off label use in MZL and other indolent NHL may, especially in the elderly, affect the</w:t>
      </w:r>
      <w:r w:rsidR="00696603">
        <w:rPr>
          <w:lang w:eastAsia="ja-JP"/>
        </w:rPr>
        <w:t xml:space="preserve"> benefit/risk ratio negatively.</w:t>
      </w:r>
    </w:p>
    <w:p w14:paraId="0A96D7D3" w14:textId="212A747A" w:rsidR="0052032C" w:rsidRPr="00696603" w:rsidRDefault="0052032C" w:rsidP="0052032C">
      <w:pPr>
        <w:rPr>
          <w:lang w:eastAsia="ja-JP"/>
        </w:rPr>
      </w:pPr>
      <w:r w:rsidRPr="0052032C">
        <w:rPr>
          <w:lang w:eastAsia="ja-JP"/>
        </w:rPr>
        <w:t>Statements from the</w:t>
      </w:r>
      <w:r>
        <w:rPr>
          <w:lang w:eastAsia="ja-JP"/>
        </w:rPr>
        <w:t xml:space="preserve"> sponsor</w:t>
      </w:r>
      <w:r w:rsidR="00696603">
        <w:rPr>
          <w:lang w:eastAsia="ja-JP"/>
        </w:rPr>
        <w:t>’s Clinical O</w:t>
      </w:r>
      <w:r w:rsidRPr="0052032C">
        <w:rPr>
          <w:lang w:eastAsia="ja-JP"/>
        </w:rPr>
        <w:t xml:space="preserve">verview regarding safety compared to data from </w:t>
      </w:r>
      <w:r w:rsidR="00696603">
        <w:rPr>
          <w:lang w:eastAsia="ja-JP"/>
        </w:rPr>
        <w:t>Study </w:t>
      </w:r>
      <w:r>
        <w:rPr>
          <w:lang w:eastAsia="ja-JP"/>
        </w:rPr>
        <w:t>BO</w:t>
      </w:r>
      <w:r w:rsidRPr="0052032C">
        <w:rPr>
          <w:lang w:eastAsia="ja-JP"/>
        </w:rPr>
        <w:t xml:space="preserve">21223 are presented in </w:t>
      </w:r>
      <w:r w:rsidR="00696603">
        <w:rPr>
          <w:lang w:eastAsia="ja-JP"/>
        </w:rPr>
        <w:t>Table 2</w:t>
      </w:r>
      <w:r w:rsidR="00B9790A">
        <w:rPr>
          <w:lang w:eastAsia="ja-JP"/>
        </w:rPr>
        <w:t>6</w:t>
      </w:r>
      <w:r w:rsidR="00696603">
        <w:rPr>
          <w:lang w:eastAsia="ja-JP"/>
        </w:rPr>
        <w:t>, below.</w:t>
      </w:r>
      <w:r w:rsidRPr="0052032C">
        <w:rPr>
          <w:lang w:eastAsia="ja-JP"/>
        </w:rPr>
        <w:t xml:space="preserve"> One problem with the safety section of the Clinical Overview is that it deals with the FL population, not the overall safety population, which is the population include</w:t>
      </w:r>
      <w:r w:rsidR="00696603">
        <w:rPr>
          <w:lang w:eastAsia="ja-JP"/>
        </w:rPr>
        <w:t>d (as it should be) in the PI.</w:t>
      </w:r>
    </w:p>
    <w:p w14:paraId="57E26423" w14:textId="69A43AD6" w:rsidR="0052032C" w:rsidRPr="0052032C" w:rsidRDefault="00696603" w:rsidP="005850AF">
      <w:pPr>
        <w:pStyle w:val="Tabletitle"/>
        <w:rPr>
          <w:lang w:eastAsia="ja-JP"/>
        </w:rPr>
      </w:pPr>
      <w:bookmarkStart w:id="364" w:name="_Toc481769224"/>
      <w:proofErr w:type="gramStart"/>
      <w:r>
        <w:rPr>
          <w:lang w:eastAsia="ja-JP"/>
        </w:rPr>
        <w:t>Table 2</w:t>
      </w:r>
      <w:r w:rsidR="00B9790A">
        <w:rPr>
          <w:lang w:eastAsia="ja-JP"/>
        </w:rPr>
        <w:t>6</w:t>
      </w:r>
      <w:r>
        <w:rPr>
          <w:lang w:eastAsia="ja-JP"/>
        </w:rPr>
        <w:t>.</w:t>
      </w:r>
      <w:proofErr w:type="gramEnd"/>
      <w:r w:rsidR="0052032C" w:rsidRPr="0052032C">
        <w:rPr>
          <w:lang w:eastAsia="ja-JP"/>
        </w:rPr>
        <w:t xml:space="preserve"> Clinical overview statements compared to </w:t>
      </w:r>
      <w:r w:rsidR="0052032C" w:rsidRPr="00275451">
        <w:t>data</w:t>
      </w:r>
      <w:r w:rsidR="0052032C" w:rsidRPr="0052032C">
        <w:rPr>
          <w:lang w:eastAsia="ja-JP"/>
        </w:rPr>
        <w:t xml:space="preserve"> from the CSR </w:t>
      </w:r>
      <w:r w:rsidR="0052032C">
        <w:rPr>
          <w:lang w:eastAsia="ja-JP"/>
        </w:rPr>
        <w:t>Study BO</w:t>
      </w:r>
      <w:r w:rsidR="0052032C" w:rsidRPr="0052032C">
        <w:rPr>
          <w:lang w:eastAsia="ja-JP"/>
        </w:rPr>
        <w:t>21223</w:t>
      </w:r>
      <w:bookmarkEnd w:id="364"/>
    </w:p>
    <w:tbl>
      <w:tblPr>
        <w:tblStyle w:val="TableTGAblue"/>
        <w:tblW w:w="0" w:type="auto"/>
        <w:tblLook w:val="04A0" w:firstRow="1" w:lastRow="0" w:firstColumn="1" w:lastColumn="0" w:noHBand="0" w:noVBand="1"/>
      </w:tblPr>
      <w:tblGrid>
        <w:gridCol w:w="3080"/>
        <w:gridCol w:w="3081"/>
        <w:gridCol w:w="3081"/>
      </w:tblGrid>
      <w:tr w:rsidR="0052032C" w:rsidRPr="00692378" w14:paraId="2B52B95D" w14:textId="77777777" w:rsidTr="00B979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tcPr>
          <w:p w14:paraId="23286C2E" w14:textId="5BD8F8B2" w:rsidR="0052032C" w:rsidRPr="00692378" w:rsidRDefault="00696603" w:rsidP="00D266EA">
            <w:pPr>
              <w:rPr>
                <w:lang w:eastAsia="ja-JP"/>
              </w:rPr>
            </w:pPr>
            <w:r w:rsidRPr="00692378">
              <w:rPr>
                <w:lang w:eastAsia="ja-JP"/>
              </w:rPr>
              <w:t>Section topic in Clinical Overview</w:t>
            </w:r>
          </w:p>
        </w:tc>
        <w:tc>
          <w:tcPr>
            <w:tcW w:w="3081" w:type="dxa"/>
          </w:tcPr>
          <w:p w14:paraId="60CAF5E7" w14:textId="77777777" w:rsidR="0052032C" w:rsidRPr="00692378" w:rsidRDefault="0052032C" w:rsidP="00D266EA">
            <w:pPr>
              <w:cnfStyle w:val="100000000000" w:firstRow="1" w:lastRow="0" w:firstColumn="0" w:lastColumn="0" w:oddVBand="0" w:evenVBand="0" w:oddHBand="0" w:evenHBand="0" w:firstRowFirstColumn="0" w:firstRowLastColumn="0" w:lastRowFirstColumn="0" w:lastRowLastColumn="0"/>
              <w:rPr>
                <w:lang w:eastAsia="ja-JP"/>
              </w:rPr>
            </w:pPr>
            <w:r w:rsidRPr="00692378">
              <w:rPr>
                <w:lang w:eastAsia="ja-JP"/>
              </w:rPr>
              <w:t>Clinical Overview statement</w:t>
            </w:r>
          </w:p>
        </w:tc>
        <w:tc>
          <w:tcPr>
            <w:tcW w:w="3081" w:type="dxa"/>
          </w:tcPr>
          <w:p w14:paraId="65488CE9" w14:textId="4F1C43AD" w:rsidR="0052032C" w:rsidRPr="00692378" w:rsidRDefault="0052032C" w:rsidP="00D266EA">
            <w:pPr>
              <w:cnfStyle w:val="100000000000" w:firstRow="1" w:lastRow="0" w:firstColumn="0" w:lastColumn="0" w:oddVBand="0" w:evenVBand="0" w:oddHBand="0" w:evenHBand="0" w:firstRowFirstColumn="0" w:firstRowLastColumn="0" w:lastRowFirstColumn="0" w:lastRowLastColumn="0"/>
              <w:rPr>
                <w:lang w:eastAsia="ja-JP"/>
              </w:rPr>
            </w:pPr>
            <w:r w:rsidRPr="00692378">
              <w:rPr>
                <w:lang w:eastAsia="ja-JP"/>
              </w:rPr>
              <w:t xml:space="preserve">Data from </w:t>
            </w:r>
            <w:r w:rsidR="00696603" w:rsidRPr="00692378">
              <w:rPr>
                <w:lang w:eastAsia="ja-JP"/>
              </w:rPr>
              <w:t>Study </w:t>
            </w:r>
            <w:r w:rsidRPr="00692378">
              <w:rPr>
                <w:lang w:eastAsia="ja-JP"/>
              </w:rPr>
              <w:t>BO21223</w:t>
            </w:r>
          </w:p>
        </w:tc>
      </w:tr>
      <w:tr w:rsidR="0052032C" w:rsidRPr="00692378" w14:paraId="1B9C5CBE" w14:textId="77777777" w:rsidTr="00696603">
        <w:tc>
          <w:tcPr>
            <w:cnfStyle w:val="001000000000" w:firstRow="0" w:lastRow="0" w:firstColumn="1" w:lastColumn="0" w:oddVBand="0" w:evenVBand="0" w:oddHBand="0" w:evenHBand="0" w:firstRowFirstColumn="0" w:firstRowLastColumn="0" w:lastRowFirstColumn="0" w:lastRowLastColumn="0"/>
            <w:tcW w:w="3080" w:type="dxa"/>
          </w:tcPr>
          <w:p w14:paraId="1F9DDBC9" w14:textId="2DC9A8EB" w:rsidR="0052032C" w:rsidRPr="00692378" w:rsidRDefault="0052032C" w:rsidP="00D266EA">
            <w:pPr>
              <w:rPr>
                <w:lang w:eastAsia="ja-JP"/>
              </w:rPr>
            </w:pPr>
            <w:r w:rsidRPr="00692378">
              <w:rPr>
                <w:lang w:eastAsia="ja-JP"/>
              </w:rPr>
              <w:t xml:space="preserve">Overall adverse events </w:t>
            </w:r>
            <w:r w:rsidRPr="00692378">
              <w:rPr>
                <w:lang w:eastAsia="ja-JP"/>
              </w:rPr>
              <w:lastRenderedPageBreak/>
              <w:t>experience</w:t>
            </w:r>
          </w:p>
          <w:p w14:paraId="06056DF0" w14:textId="77777777" w:rsidR="0052032C" w:rsidRPr="00692378" w:rsidRDefault="0052032C" w:rsidP="00D266EA">
            <w:pPr>
              <w:rPr>
                <w:lang w:eastAsia="ja-JP"/>
              </w:rPr>
            </w:pPr>
            <w:r w:rsidRPr="00692378">
              <w:rPr>
                <w:lang w:eastAsia="ja-JP"/>
              </w:rPr>
              <w:t>FL population versus overall population</w:t>
            </w:r>
          </w:p>
        </w:tc>
        <w:tc>
          <w:tcPr>
            <w:tcW w:w="3081" w:type="dxa"/>
          </w:tcPr>
          <w:p w14:paraId="19574158" w14:textId="77777777"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lastRenderedPageBreak/>
              <w:t xml:space="preserve">Safety data from the overall population of </w:t>
            </w:r>
            <w:r w:rsidRPr="00692378">
              <w:rPr>
                <w:lang w:eastAsia="ja-JP"/>
              </w:rPr>
              <w:lastRenderedPageBreak/>
              <w:t>patients was generally consistent with that of the FL population.</w:t>
            </w:r>
          </w:p>
        </w:tc>
        <w:tc>
          <w:tcPr>
            <w:tcW w:w="3081" w:type="dxa"/>
          </w:tcPr>
          <w:p w14:paraId="43728670" w14:textId="40C9DA60"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lastRenderedPageBreak/>
              <w:t xml:space="preserve">There were more adverse events in overall </w:t>
            </w:r>
            <w:r w:rsidRPr="00692378">
              <w:rPr>
                <w:lang w:eastAsia="ja-JP"/>
              </w:rPr>
              <w:lastRenderedPageBreak/>
              <w:t>population than in the FL population</w:t>
            </w:r>
            <w:r w:rsidR="00696603" w:rsidRPr="00692378">
              <w:rPr>
                <w:lang w:eastAsia="ja-JP"/>
              </w:rPr>
              <w:t>.</w:t>
            </w:r>
            <w:r w:rsidRPr="00692378">
              <w:rPr>
                <w:lang w:eastAsia="ja-JP"/>
              </w:rPr>
              <w:t xml:space="preserve"> </w:t>
            </w:r>
          </w:p>
        </w:tc>
      </w:tr>
      <w:tr w:rsidR="0052032C" w:rsidRPr="00692378" w14:paraId="54143FBC" w14:textId="77777777" w:rsidTr="00696603">
        <w:tc>
          <w:tcPr>
            <w:cnfStyle w:val="001000000000" w:firstRow="0" w:lastRow="0" w:firstColumn="1" w:lastColumn="0" w:oddVBand="0" w:evenVBand="0" w:oddHBand="0" w:evenHBand="0" w:firstRowFirstColumn="0" w:firstRowLastColumn="0" w:lastRowFirstColumn="0" w:lastRowLastColumn="0"/>
            <w:tcW w:w="3080" w:type="dxa"/>
          </w:tcPr>
          <w:p w14:paraId="589EA7A2" w14:textId="2C621A8F" w:rsidR="0052032C" w:rsidRPr="00692378" w:rsidRDefault="0052032C" w:rsidP="00D266EA">
            <w:pPr>
              <w:rPr>
                <w:lang w:eastAsia="ja-JP"/>
              </w:rPr>
            </w:pPr>
            <w:r w:rsidRPr="00692378">
              <w:rPr>
                <w:lang w:eastAsia="ja-JP"/>
              </w:rPr>
              <w:lastRenderedPageBreak/>
              <w:t>Deaths</w:t>
            </w:r>
          </w:p>
          <w:p w14:paraId="5991DE0C" w14:textId="77777777" w:rsidR="0052032C" w:rsidRPr="00692378" w:rsidRDefault="0052032C" w:rsidP="00D266EA">
            <w:pPr>
              <w:rPr>
                <w:lang w:eastAsia="ja-JP"/>
              </w:rPr>
            </w:pPr>
            <w:r w:rsidRPr="00692378">
              <w:rPr>
                <w:lang w:eastAsia="ja-JP"/>
              </w:rPr>
              <w:t>Deaths due to Adverse Event</w:t>
            </w:r>
          </w:p>
        </w:tc>
        <w:tc>
          <w:tcPr>
            <w:tcW w:w="3081" w:type="dxa"/>
          </w:tcPr>
          <w:p w14:paraId="4C00574A" w14:textId="1F221F6A"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Deaths from causes other than progression (non-PD) were reported in a similar proportion of patients in each arm: 24 (4.0%) in the R</w:t>
            </w:r>
            <w:r w:rsidR="00C71BA9">
              <w:rPr>
                <w:lang w:eastAsia="ja-JP"/>
              </w:rPr>
              <w:noBreakHyphen/>
            </w:r>
            <w:r w:rsidRPr="00692378">
              <w:rPr>
                <w:lang w:eastAsia="ja-JP"/>
              </w:rPr>
              <w:t>chemo arm and 23 (3.9%) in the G-chemo arm. These deaths were mainly due to Grade 5 AEs (20 (3.4%) versus 23 (3.9%)).</w:t>
            </w:r>
          </w:p>
        </w:tc>
        <w:tc>
          <w:tcPr>
            <w:tcW w:w="3081" w:type="dxa"/>
          </w:tcPr>
          <w:p w14:paraId="44217F0F" w14:textId="31D3E0FA"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In the SCS referred to there is a reference to Table 16 in the SCS. Here there are 24 (not 23) patient deaths in the G</w:t>
            </w:r>
            <w:r w:rsidR="00C71BA9">
              <w:rPr>
                <w:lang w:eastAsia="ja-JP"/>
              </w:rPr>
              <w:noBreakHyphen/>
            </w:r>
            <w:r w:rsidRPr="00692378">
              <w:rPr>
                <w:lang w:eastAsia="ja-JP"/>
              </w:rPr>
              <w:t>chemo arm. For the overall population deaths due to AEs in the R-chemo versus G</w:t>
            </w:r>
            <w:r w:rsidR="00C71BA9">
              <w:rPr>
                <w:lang w:eastAsia="ja-JP"/>
              </w:rPr>
              <w:noBreakHyphen/>
            </w:r>
            <w:r w:rsidRPr="00692378">
              <w:rPr>
                <w:lang w:eastAsia="ja-JP"/>
              </w:rPr>
              <w:t>chemo arm are 26 and 35</w:t>
            </w:r>
            <w:r w:rsidR="00696603" w:rsidRPr="00692378">
              <w:rPr>
                <w:lang w:eastAsia="ja-JP"/>
              </w:rPr>
              <w:t>.</w:t>
            </w:r>
            <w:r w:rsidRPr="00692378">
              <w:rPr>
                <w:lang w:eastAsia="ja-JP"/>
              </w:rPr>
              <w:t xml:space="preserve"> </w:t>
            </w:r>
          </w:p>
        </w:tc>
      </w:tr>
      <w:tr w:rsidR="0052032C" w:rsidRPr="00692378" w14:paraId="570A2335" w14:textId="77777777" w:rsidTr="00696603">
        <w:tc>
          <w:tcPr>
            <w:cnfStyle w:val="001000000000" w:firstRow="0" w:lastRow="0" w:firstColumn="1" w:lastColumn="0" w:oddVBand="0" w:evenVBand="0" w:oddHBand="0" w:evenHBand="0" w:firstRowFirstColumn="0" w:firstRowLastColumn="0" w:lastRowFirstColumn="0" w:lastRowLastColumn="0"/>
            <w:tcW w:w="3080" w:type="dxa"/>
          </w:tcPr>
          <w:p w14:paraId="27DDEE9C" w14:textId="4AA1BBF6" w:rsidR="0052032C" w:rsidRPr="00692378" w:rsidRDefault="0052032C" w:rsidP="00D266EA">
            <w:pPr>
              <w:rPr>
                <w:lang w:eastAsia="ja-JP"/>
              </w:rPr>
            </w:pPr>
            <w:r w:rsidRPr="00692378">
              <w:rPr>
                <w:lang w:eastAsia="ja-JP"/>
              </w:rPr>
              <w:t>Safety by treatment phase:</w:t>
            </w:r>
          </w:p>
          <w:p w14:paraId="08178BF3" w14:textId="77777777" w:rsidR="0052032C" w:rsidRPr="00692378" w:rsidRDefault="0052032C" w:rsidP="00D266EA">
            <w:pPr>
              <w:rPr>
                <w:lang w:eastAsia="ja-JP"/>
              </w:rPr>
            </w:pPr>
            <w:r w:rsidRPr="00692378">
              <w:rPr>
                <w:lang w:eastAsia="ja-JP"/>
              </w:rPr>
              <w:t>AE during the maintenance phase</w:t>
            </w:r>
          </w:p>
        </w:tc>
        <w:tc>
          <w:tcPr>
            <w:tcW w:w="3081" w:type="dxa"/>
          </w:tcPr>
          <w:p w14:paraId="0A60A260" w14:textId="7B1BEF4F"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Overall safety in the maintenance phase, was comparable between the R-chemo and G-chemo arms (n</w:t>
            </w:r>
            <w:r w:rsidR="00C71BA9">
              <w:rPr>
                <w:lang w:eastAsia="ja-JP"/>
              </w:rPr>
              <w:t> </w:t>
            </w:r>
            <w:r w:rsidRPr="00692378">
              <w:rPr>
                <w:lang w:eastAsia="ja-JP"/>
              </w:rPr>
              <w:t>=</w:t>
            </w:r>
            <w:r w:rsidR="00696603" w:rsidRPr="00692378">
              <w:rPr>
                <w:lang w:eastAsia="ja-JP"/>
              </w:rPr>
              <w:t xml:space="preserve"> </w:t>
            </w:r>
            <w:r w:rsidRPr="00692378">
              <w:rPr>
                <w:lang w:eastAsia="ja-JP"/>
              </w:rPr>
              <w:t>535 (R-chemo) versus 548 (G-chemo) in the safety evaluable FL population).</w:t>
            </w:r>
          </w:p>
        </w:tc>
        <w:tc>
          <w:tcPr>
            <w:tcW w:w="3081" w:type="dxa"/>
          </w:tcPr>
          <w:p w14:paraId="38420016" w14:textId="17F8093F"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All types of AEs were higher in the G-chemo arm during the maintenance phase</w:t>
            </w:r>
            <w:r w:rsidR="00696603" w:rsidRPr="00692378">
              <w:rPr>
                <w:lang w:eastAsia="ja-JP"/>
              </w:rPr>
              <w:t>.</w:t>
            </w:r>
          </w:p>
        </w:tc>
      </w:tr>
      <w:tr w:rsidR="0052032C" w:rsidRPr="00692378" w14:paraId="4B572157" w14:textId="77777777" w:rsidTr="00B9790A">
        <w:trPr>
          <w:cantSplit/>
        </w:trPr>
        <w:tc>
          <w:tcPr>
            <w:cnfStyle w:val="001000000000" w:firstRow="0" w:lastRow="0" w:firstColumn="1" w:lastColumn="0" w:oddVBand="0" w:evenVBand="0" w:oddHBand="0" w:evenHBand="0" w:firstRowFirstColumn="0" w:firstRowLastColumn="0" w:lastRowFirstColumn="0" w:lastRowLastColumn="0"/>
            <w:tcW w:w="3080" w:type="dxa"/>
          </w:tcPr>
          <w:p w14:paraId="3AF59294" w14:textId="39B4A84E" w:rsidR="0052032C" w:rsidRPr="00692378" w:rsidRDefault="0052032C" w:rsidP="00D266EA">
            <w:pPr>
              <w:rPr>
                <w:lang w:eastAsia="ja-JP"/>
              </w:rPr>
            </w:pPr>
            <w:r w:rsidRPr="00692378">
              <w:rPr>
                <w:lang w:eastAsia="ja-JP"/>
              </w:rPr>
              <w:t>Intrinsic factors</w:t>
            </w:r>
          </w:p>
          <w:p w14:paraId="7A0507F0" w14:textId="2BF5E2E3" w:rsidR="0052032C" w:rsidRPr="00692378" w:rsidRDefault="0052032C" w:rsidP="00D266EA">
            <w:pPr>
              <w:rPr>
                <w:lang w:eastAsia="ja-JP"/>
              </w:rPr>
            </w:pPr>
            <w:r w:rsidRPr="00692378">
              <w:rPr>
                <w:lang w:eastAsia="ja-JP"/>
              </w:rPr>
              <w:t>AEs in patients ≥</w:t>
            </w:r>
            <w:r w:rsidR="00696603" w:rsidRPr="00692378">
              <w:rPr>
                <w:lang w:eastAsia="ja-JP"/>
              </w:rPr>
              <w:t xml:space="preserve"> </w:t>
            </w:r>
            <w:r w:rsidRPr="00692378">
              <w:rPr>
                <w:lang w:eastAsia="ja-JP"/>
              </w:rPr>
              <w:t>65 years of age</w:t>
            </w:r>
          </w:p>
        </w:tc>
        <w:tc>
          <w:tcPr>
            <w:tcW w:w="3081" w:type="dxa"/>
          </w:tcPr>
          <w:p w14:paraId="2E0E69AA" w14:textId="7DC6B505"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The overall incidence of fatal AEs, SAEs, and AEs leading to withdrawal of any treatment, was higher in patients ≥</w:t>
            </w:r>
            <w:r w:rsidR="00C71BA9">
              <w:rPr>
                <w:lang w:eastAsia="ja-JP"/>
              </w:rPr>
              <w:t> </w:t>
            </w:r>
            <w:r w:rsidRPr="00692378">
              <w:rPr>
                <w:lang w:eastAsia="ja-JP"/>
              </w:rPr>
              <w:t>65</w:t>
            </w:r>
            <w:r w:rsidR="00C71BA9">
              <w:rPr>
                <w:lang w:eastAsia="ja-JP"/>
              </w:rPr>
              <w:t> </w:t>
            </w:r>
            <w:r w:rsidRPr="00692378">
              <w:rPr>
                <w:lang w:eastAsia="ja-JP"/>
              </w:rPr>
              <w:t>years old (n =</w:t>
            </w:r>
            <w:r w:rsidR="00696603" w:rsidRPr="00692378">
              <w:rPr>
                <w:lang w:eastAsia="ja-JP"/>
              </w:rPr>
              <w:t xml:space="preserve"> </w:t>
            </w:r>
            <w:r w:rsidRPr="00692378">
              <w:rPr>
                <w:lang w:eastAsia="ja-JP"/>
              </w:rPr>
              <w:t>183 receiving G-chemo) than in younger patients (n =</w:t>
            </w:r>
            <w:r w:rsidR="00696603" w:rsidRPr="00692378">
              <w:rPr>
                <w:lang w:eastAsia="ja-JP"/>
              </w:rPr>
              <w:t xml:space="preserve"> </w:t>
            </w:r>
            <w:r w:rsidRPr="00692378">
              <w:rPr>
                <w:lang w:eastAsia="ja-JP"/>
              </w:rPr>
              <w:t>412). Safety in patients ≥</w:t>
            </w:r>
            <w:r w:rsidR="00696603" w:rsidRPr="00692378">
              <w:rPr>
                <w:lang w:eastAsia="ja-JP"/>
              </w:rPr>
              <w:t xml:space="preserve"> 75 years (n </w:t>
            </w:r>
            <w:r w:rsidRPr="00692378">
              <w:rPr>
                <w:lang w:eastAsia="ja-JP"/>
              </w:rPr>
              <w:t>=</w:t>
            </w:r>
            <w:r w:rsidR="00696603" w:rsidRPr="00692378">
              <w:rPr>
                <w:lang w:eastAsia="ja-JP"/>
              </w:rPr>
              <w:t> </w:t>
            </w:r>
            <w:r w:rsidRPr="00692378">
              <w:rPr>
                <w:lang w:eastAsia="ja-JP"/>
              </w:rPr>
              <w:t>37) was comparable to that described for patients ≥</w:t>
            </w:r>
            <w:r w:rsidR="00C71BA9">
              <w:rPr>
                <w:lang w:eastAsia="ja-JP"/>
              </w:rPr>
              <w:t> </w:t>
            </w:r>
            <w:r w:rsidRPr="00692378">
              <w:rPr>
                <w:lang w:eastAsia="ja-JP"/>
              </w:rPr>
              <w:t>65 years.</w:t>
            </w:r>
          </w:p>
        </w:tc>
        <w:tc>
          <w:tcPr>
            <w:tcW w:w="3081" w:type="dxa"/>
          </w:tcPr>
          <w:p w14:paraId="79F872C0" w14:textId="4A91B5BC"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Yes</w:t>
            </w:r>
            <w:r w:rsidR="00B9790A" w:rsidRPr="00692378">
              <w:rPr>
                <w:lang w:eastAsia="ja-JP"/>
              </w:rPr>
              <w:t>,</w:t>
            </w:r>
            <w:r w:rsidRPr="00692378">
              <w:rPr>
                <w:lang w:eastAsia="ja-JP"/>
              </w:rPr>
              <w:t xml:space="preserve"> there were more AEs in patients </w:t>
            </w:r>
            <w:r w:rsidR="006E576E" w:rsidRPr="00692378">
              <w:rPr>
                <w:lang w:eastAsia="ja-JP"/>
              </w:rPr>
              <w:t xml:space="preserve">who were </w:t>
            </w:r>
            <w:r w:rsidRPr="00692378">
              <w:rPr>
                <w:lang w:eastAsia="ja-JP"/>
              </w:rPr>
              <w:t>≥</w:t>
            </w:r>
            <w:r w:rsidR="00696603" w:rsidRPr="00692378">
              <w:rPr>
                <w:lang w:eastAsia="ja-JP"/>
              </w:rPr>
              <w:t xml:space="preserve"> </w:t>
            </w:r>
            <w:r w:rsidRPr="00692378">
              <w:rPr>
                <w:lang w:eastAsia="ja-JP"/>
              </w:rPr>
              <w:t xml:space="preserve">65 year old, </w:t>
            </w:r>
            <w:r w:rsidR="00696603" w:rsidRPr="00692378">
              <w:rPr>
                <w:lang w:eastAsia="ja-JP"/>
              </w:rPr>
              <w:t>and</w:t>
            </w:r>
            <w:r w:rsidRPr="00692378">
              <w:rPr>
                <w:lang w:eastAsia="ja-JP"/>
              </w:rPr>
              <w:t xml:space="preserve"> the incidence of SAEs was clearly higher in the G-chemo arm compared to the R-chemo arm especially i</w:t>
            </w:r>
            <w:r w:rsidR="00DC73BE" w:rsidRPr="00692378">
              <w:rPr>
                <w:lang w:eastAsia="ja-JP"/>
              </w:rPr>
              <w:t>n the overall safety population</w:t>
            </w:r>
            <w:r w:rsidR="00696603" w:rsidRPr="00692378">
              <w:rPr>
                <w:lang w:eastAsia="ja-JP"/>
              </w:rPr>
              <w:t>.</w:t>
            </w:r>
          </w:p>
        </w:tc>
      </w:tr>
      <w:tr w:rsidR="0052032C" w:rsidRPr="00692378" w14:paraId="02C993F3" w14:textId="77777777" w:rsidTr="00696603">
        <w:tc>
          <w:tcPr>
            <w:cnfStyle w:val="001000000000" w:firstRow="0" w:lastRow="0" w:firstColumn="1" w:lastColumn="0" w:oddVBand="0" w:evenVBand="0" w:oddHBand="0" w:evenHBand="0" w:firstRowFirstColumn="0" w:firstRowLastColumn="0" w:lastRowFirstColumn="0" w:lastRowLastColumn="0"/>
            <w:tcW w:w="3080" w:type="dxa"/>
          </w:tcPr>
          <w:p w14:paraId="68A6EE87" w14:textId="62A98D4E" w:rsidR="0052032C" w:rsidRPr="00692378" w:rsidRDefault="0052032C" w:rsidP="00D266EA">
            <w:pPr>
              <w:rPr>
                <w:lang w:eastAsia="ja-JP"/>
              </w:rPr>
            </w:pPr>
            <w:r w:rsidRPr="00692378">
              <w:rPr>
                <w:lang w:eastAsia="ja-JP"/>
              </w:rPr>
              <w:t>Safety by renal function</w:t>
            </w:r>
          </w:p>
        </w:tc>
        <w:tc>
          <w:tcPr>
            <w:tcW w:w="3081" w:type="dxa"/>
          </w:tcPr>
          <w:p w14:paraId="6719AEC5" w14:textId="20B4DE2D"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 xml:space="preserve">In both G-chemo and R-chemo treatment arms of </w:t>
            </w:r>
            <w:r w:rsidR="00696603" w:rsidRPr="00692378">
              <w:rPr>
                <w:lang w:eastAsia="ja-JP"/>
              </w:rPr>
              <w:t xml:space="preserve">Study </w:t>
            </w:r>
            <w:r w:rsidRPr="00692378">
              <w:rPr>
                <w:lang w:eastAsia="ja-JP"/>
              </w:rPr>
              <w:t>BO21223, the incidence of fatal AEs, SAEs, and AE leading to withdrawal of treatment was higher in patients with moderate renal impairment (creatinine clearance (</w:t>
            </w:r>
            <w:r w:rsidR="00696603" w:rsidRPr="00692378">
              <w:rPr>
                <w:lang w:eastAsia="ja-JP"/>
              </w:rPr>
              <w:t>CrCL </w:t>
            </w:r>
            <w:r w:rsidRPr="00692378">
              <w:rPr>
                <w:lang w:eastAsia="ja-JP"/>
              </w:rPr>
              <w:t>&lt;</w:t>
            </w:r>
            <w:r w:rsidR="00696603" w:rsidRPr="00692378">
              <w:rPr>
                <w:lang w:eastAsia="ja-JP"/>
              </w:rPr>
              <w:t> 50 </w:t>
            </w:r>
            <w:r w:rsidRPr="00692378">
              <w:rPr>
                <w:lang w:eastAsia="ja-JP"/>
              </w:rPr>
              <w:t xml:space="preserve">mL/min) compared with patients </w:t>
            </w:r>
            <w:r w:rsidRPr="00692378">
              <w:rPr>
                <w:lang w:eastAsia="ja-JP"/>
              </w:rPr>
              <w:lastRenderedPageBreak/>
              <w:t>with normal or mildl</w:t>
            </w:r>
            <w:r w:rsidR="00696603" w:rsidRPr="00692378">
              <w:rPr>
                <w:lang w:eastAsia="ja-JP"/>
              </w:rPr>
              <w:t>y impaired renal function (CrCL </w:t>
            </w:r>
            <w:r w:rsidRPr="00692378">
              <w:rPr>
                <w:lang w:eastAsia="ja-JP"/>
              </w:rPr>
              <w:t>≥</w:t>
            </w:r>
            <w:r w:rsidR="00696603" w:rsidRPr="00692378">
              <w:rPr>
                <w:lang w:eastAsia="ja-JP"/>
              </w:rPr>
              <w:t> 50 </w:t>
            </w:r>
            <w:r w:rsidRPr="00692378">
              <w:rPr>
                <w:lang w:eastAsia="ja-JP"/>
              </w:rPr>
              <w:t>mL/min).</w:t>
            </w:r>
          </w:p>
        </w:tc>
        <w:tc>
          <w:tcPr>
            <w:tcW w:w="3081" w:type="dxa"/>
          </w:tcPr>
          <w:p w14:paraId="5F52B3D3" w14:textId="6913F586"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lastRenderedPageBreak/>
              <w:t>There were more SAEs in the G-chemo arm in patients with a CrCL &lt;</w:t>
            </w:r>
            <w:r w:rsidR="00696603" w:rsidRPr="00692378">
              <w:rPr>
                <w:lang w:eastAsia="ja-JP"/>
              </w:rPr>
              <w:t> </w:t>
            </w:r>
            <w:r w:rsidRPr="00692378">
              <w:rPr>
                <w:lang w:eastAsia="ja-JP"/>
              </w:rPr>
              <w:t>50</w:t>
            </w:r>
            <w:r w:rsidR="00696603" w:rsidRPr="00692378">
              <w:rPr>
                <w:lang w:eastAsia="ja-JP"/>
              </w:rPr>
              <w:t> mL</w:t>
            </w:r>
            <w:r w:rsidRPr="00692378">
              <w:rPr>
                <w:lang w:eastAsia="ja-JP"/>
              </w:rPr>
              <w:t>/min compared to the corresponding R-chemo arm (</w:t>
            </w:r>
            <w:r w:rsidR="00696603" w:rsidRPr="00692378">
              <w:rPr>
                <w:lang w:eastAsia="ja-JP"/>
              </w:rPr>
              <w:t xml:space="preserve">see Table </w:t>
            </w:r>
            <w:r w:rsidR="00B9790A" w:rsidRPr="00692378">
              <w:rPr>
                <w:lang w:eastAsia="ja-JP"/>
              </w:rPr>
              <w:t>20</w:t>
            </w:r>
            <w:r w:rsidR="00696603" w:rsidRPr="00692378">
              <w:rPr>
                <w:lang w:eastAsia="ja-JP"/>
              </w:rPr>
              <w:t>).</w:t>
            </w:r>
            <w:r w:rsidRPr="00692378">
              <w:rPr>
                <w:lang w:eastAsia="ja-JP"/>
              </w:rPr>
              <w:t xml:space="preserve"> </w:t>
            </w:r>
          </w:p>
        </w:tc>
      </w:tr>
    </w:tbl>
    <w:p w14:paraId="50F2C769" w14:textId="77777777" w:rsidR="00C22678" w:rsidRPr="003442FE" w:rsidRDefault="00C22678" w:rsidP="00B9790A">
      <w:pPr>
        <w:pStyle w:val="Heading2"/>
      </w:pPr>
      <w:bookmarkStart w:id="365" w:name="_Toc513556362"/>
      <w:r w:rsidRPr="003442FE">
        <w:lastRenderedPageBreak/>
        <w:t>First round benefit-risk assessment</w:t>
      </w:r>
      <w:bookmarkEnd w:id="365"/>
    </w:p>
    <w:p w14:paraId="76E5B918" w14:textId="740CE030" w:rsidR="0052032C" w:rsidRPr="0052032C" w:rsidRDefault="0052032C" w:rsidP="00B9790A">
      <w:pPr>
        <w:pStyle w:val="Heading3"/>
      </w:pPr>
      <w:bookmarkStart w:id="366" w:name="_Toc236802592"/>
      <w:bookmarkStart w:id="367" w:name="_Toc241374331"/>
      <w:bookmarkStart w:id="368" w:name="_Ref272160836"/>
      <w:bookmarkStart w:id="369" w:name="_Toc272414693"/>
      <w:bookmarkStart w:id="370" w:name="_Toc290888557"/>
      <w:bookmarkStart w:id="371" w:name="_Toc416353772"/>
      <w:bookmarkStart w:id="372" w:name="_Toc421005314"/>
      <w:bookmarkStart w:id="373" w:name="_Toc432079185"/>
      <w:bookmarkStart w:id="374" w:name="_Toc432080758"/>
      <w:bookmarkStart w:id="375" w:name="_Toc481769172"/>
      <w:bookmarkStart w:id="376" w:name="_Toc513556363"/>
      <w:r w:rsidRPr="0052032C">
        <w:t>First round assessment of benefits</w:t>
      </w:r>
      <w:bookmarkEnd w:id="366"/>
      <w:bookmarkEnd w:id="367"/>
      <w:bookmarkEnd w:id="368"/>
      <w:bookmarkEnd w:id="369"/>
      <w:bookmarkEnd w:id="370"/>
      <w:bookmarkEnd w:id="371"/>
      <w:bookmarkEnd w:id="372"/>
      <w:bookmarkEnd w:id="373"/>
      <w:bookmarkEnd w:id="374"/>
      <w:bookmarkEnd w:id="375"/>
      <w:bookmarkEnd w:id="376"/>
    </w:p>
    <w:tbl>
      <w:tblPr>
        <w:tblStyle w:val="TableTGAblue"/>
        <w:tblW w:w="0" w:type="auto"/>
        <w:tblLook w:val="04A0" w:firstRow="1" w:lastRow="0" w:firstColumn="1" w:lastColumn="0" w:noHBand="0" w:noVBand="1"/>
      </w:tblPr>
      <w:tblGrid>
        <w:gridCol w:w="4511"/>
        <w:gridCol w:w="4278"/>
      </w:tblGrid>
      <w:tr w:rsidR="0052032C" w:rsidRPr="0052032C" w14:paraId="62F11A83" w14:textId="77777777" w:rsidTr="00D266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14:paraId="65FAD603" w14:textId="77777777" w:rsidR="0052032C" w:rsidRPr="00692378" w:rsidRDefault="0052032C" w:rsidP="00D266EA">
            <w:r w:rsidRPr="00692378">
              <w:t>Indication</w:t>
            </w:r>
          </w:p>
        </w:tc>
      </w:tr>
      <w:tr w:rsidR="0052032C" w:rsidRPr="0052032C" w14:paraId="6D978C6C" w14:textId="77777777" w:rsidTr="00696603">
        <w:tc>
          <w:tcPr>
            <w:cnfStyle w:val="001000000000" w:firstRow="0" w:lastRow="0" w:firstColumn="1" w:lastColumn="0" w:oddVBand="0" w:evenVBand="0" w:oddHBand="0" w:evenHBand="0" w:firstRowFirstColumn="0" w:firstRowLastColumn="0" w:lastRowFirstColumn="0" w:lastRowLastColumn="0"/>
            <w:tcW w:w="4511" w:type="dxa"/>
          </w:tcPr>
          <w:p w14:paraId="5693033B" w14:textId="77777777" w:rsidR="0052032C" w:rsidRPr="00692378" w:rsidRDefault="0052032C" w:rsidP="00D266EA">
            <w:pPr>
              <w:rPr>
                <w:lang w:eastAsia="ja-JP"/>
              </w:rPr>
            </w:pPr>
            <w:r w:rsidRPr="00692378">
              <w:rPr>
                <w:lang w:eastAsia="ja-JP"/>
              </w:rPr>
              <w:t>Benefits</w:t>
            </w:r>
          </w:p>
        </w:tc>
        <w:tc>
          <w:tcPr>
            <w:tcW w:w="4278" w:type="dxa"/>
          </w:tcPr>
          <w:p w14:paraId="60EFE0FF" w14:textId="77777777"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rPr>
                <w:lang w:eastAsia="ja-JP"/>
              </w:rPr>
            </w:pPr>
            <w:r w:rsidRPr="00692378">
              <w:rPr>
                <w:lang w:eastAsia="ja-JP"/>
              </w:rPr>
              <w:t>Strengths and Uncertainties</w:t>
            </w:r>
          </w:p>
        </w:tc>
      </w:tr>
      <w:tr w:rsidR="0052032C" w:rsidRPr="0052032C" w14:paraId="6E3EF523" w14:textId="77777777" w:rsidTr="009C0F1A">
        <w:trPr>
          <w:trHeight w:val="3589"/>
        </w:trPr>
        <w:tc>
          <w:tcPr>
            <w:cnfStyle w:val="001000000000" w:firstRow="0" w:lastRow="0" w:firstColumn="1" w:lastColumn="0" w:oddVBand="0" w:evenVBand="0" w:oddHBand="0" w:evenHBand="0" w:firstRowFirstColumn="0" w:firstRowLastColumn="0" w:lastRowFirstColumn="0" w:lastRowLastColumn="0"/>
            <w:tcW w:w="4511" w:type="dxa"/>
          </w:tcPr>
          <w:p w14:paraId="69F2F9C0" w14:textId="2637F716" w:rsidR="0052032C" w:rsidRPr="00692378" w:rsidRDefault="0052032C" w:rsidP="00D266EA">
            <w:r w:rsidRPr="00692378">
              <w:t>Study BO21223 demonstrated that treatment with G-chemo resulted in a clinically meaningful and statistically significant reduction by 34%</w:t>
            </w:r>
            <w:r w:rsidR="009C0F1A" w:rsidRPr="00692378">
              <w:t xml:space="preserve"> in the risk of an </w:t>
            </w:r>
            <w:r w:rsidR="00C71BA9">
              <w:t>i</w:t>
            </w:r>
            <w:r w:rsidR="009C0F1A" w:rsidRPr="00692378">
              <w:t xml:space="preserve">nvestigator </w:t>
            </w:r>
            <w:r w:rsidRPr="00692378">
              <w:t>assessed PFS event (disease progression/relapse or death) compared with</w:t>
            </w:r>
            <w:r w:rsidR="009C0F1A" w:rsidRPr="00692378">
              <w:t xml:space="preserve"> R-chemo (stratified HR </w:t>
            </w:r>
            <w:r w:rsidRPr="00692378">
              <w:t>0.66 (95% CI: 0.51, 0.85); p-value</w:t>
            </w:r>
            <w:r w:rsidR="009C0F1A" w:rsidRPr="00692378">
              <w:t xml:space="preserve"> </w:t>
            </w:r>
            <w:r w:rsidRPr="00692378">
              <w:t>=</w:t>
            </w:r>
            <w:r w:rsidR="009C0F1A" w:rsidRPr="00692378">
              <w:t> </w:t>
            </w:r>
            <w:r w:rsidRPr="00692378">
              <w:t xml:space="preserve">0.0012, stratified log-rank test). The p-value of the </w:t>
            </w:r>
            <w:r w:rsidR="00C71BA9">
              <w:t>i</w:t>
            </w:r>
            <w:r w:rsidRPr="00692378">
              <w:t>nvestigator</w:t>
            </w:r>
            <w:r w:rsidR="00C71BA9">
              <w:t xml:space="preserve"> </w:t>
            </w:r>
            <w:r w:rsidRPr="00692378">
              <w:t>assessed PFS was smaller than the pre-specified interim bound</w:t>
            </w:r>
            <w:r w:rsidR="00DC73BE" w:rsidRPr="00692378">
              <w:t>ary significance level of 0.012</w:t>
            </w:r>
            <w:r w:rsidR="009C0F1A" w:rsidRPr="00692378">
              <w:t>.</w:t>
            </w:r>
            <w:r w:rsidRPr="00692378">
              <w:t xml:space="preserve"> </w:t>
            </w:r>
          </w:p>
        </w:tc>
        <w:tc>
          <w:tcPr>
            <w:tcW w:w="4278" w:type="dxa"/>
          </w:tcPr>
          <w:p w14:paraId="296437F5" w14:textId="09C57568"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pPr>
            <w:r w:rsidRPr="00692378">
              <w:t>Large Phase III tr</w:t>
            </w:r>
            <w:r w:rsidR="009C0F1A" w:rsidRPr="00692378">
              <w:t>ial with a relevant comparator.</w:t>
            </w:r>
          </w:p>
          <w:p w14:paraId="04C3797D" w14:textId="6655265D"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pPr>
            <w:r w:rsidRPr="00692378">
              <w:t>It is too early to evaluate overall survival. This is the most important objective long term, and it is uncertain whether improved P</w:t>
            </w:r>
            <w:r w:rsidR="009C0F1A" w:rsidRPr="00692378">
              <w:t>FS translates into improved OS.</w:t>
            </w:r>
          </w:p>
          <w:p w14:paraId="76607A41" w14:textId="1A5F9F25" w:rsidR="0052032C" w:rsidRPr="00692378" w:rsidRDefault="00AE7194" w:rsidP="00D266EA">
            <w:pPr>
              <w:cnfStyle w:val="000000000000" w:firstRow="0" w:lastRow="0" w:firstColumn="0" w:lastColumn="0" w:oddVBand="0" w:evenVBand="0" w:oddHBand="0" w:evenHBand="0" w:firstRowFirstColumn="0" w:firstRowLastColumn="0" w:lastRowFirstColumn="0" w:lastRowLastColumn="0"/>
            </w:pPr>
            <w:r>
              <w:t>Not all t</w:t>
            </w:r>
            <w:r w:rsidRPr="00692378">
              <w:t xml:space="preserve">he </w:t>
            </w:r>
            <w:r w:rsidR="0052032C" w:rsidRPr="00692378">
              <w:t xml:space="preserve">secondary met the predefined </w:t>
            </w:r>
            <w:r w:rsidR="00C71BA9">
              <w:t>hierarchal</w:t>
            </w:r>
            <w:r w:rsidR="006B354B">
              <w:t xml:space="preserve"> </w:t>
            </w:r>
            <w:r w:rsidR="0052032C" w:rsidRPr="00692378">
              <w:t>statistical requirements.</w:t>
            </w:r>
          </w:p>
        </w:tc>
      </w:tr>
    </w:tbl>
    <w:p w14:paraId="7C0BE3D6" w14:textId="3DD8D9E1" w:rsidR="0052032C" w:rsidRPr="009C0F1A" w:rsidRDefault="0052032C" w:rsidP="009C0F1A">
      <w:pPr>
        <w:pStyle w:val="Heading3"/>
        <w:rPr>
          <w:lang w:eastAsia="en-US"/>
        </w:rPr>
      </w:pPr>
      <w:bookmarkStart w:id="377" w:name="_Toc236802596"/>
      <w:bookmarkStart w:id="378" w:name="_Toc241374334"/>
      <w:bookmarkStart w:id="379" w:name="_Toc272414694"/>
      <w:bookmarkStart w:id="380" w:name="_Toc290888558"/>
      <w:bookmarkStart w:id="381" w:name="_Toc416353773"/>
      <w:bookmarkStart w:id="382" w:name="_Toc421005315"/>
      <w:bookmarkStart w:id="383" w:name="_Toc432079186"/>
      <w:bookmarkStart w:id="384" w:name="_Toc432080759"/>
      <w:bookmarkStart w:id="385" w:name="_Toc481769173"/>
      <w:bookmarkStart w:id="386" w:name="_Ref272160964"/>
      <w:bookmarkStart w:id="387" w:name="_Toc513556364"/>
      <w:r w:rsidRPr="0052032C">
        <w:t>First round assessment of risks</w:t>
      </w:r>
      <w:bookmarkEnd w:id="377"/>
      <w:bookmarkEnd w:id="378"/>
      <w:bookmarkEnd w:id="379"/>
      <w:bookmarkEnd w:id="380"/>
      <w:bookmarkEnd w:id="381"/>
      <w:bookmarkEnd w:id="382"/>
      <w:bookmarkEnd w:id="383"/>
      <w:bookmarkEnd w:id="384"/>
      <w:bookmarkEnd w:id="385"/>
      <w:bookmarkEnd w:id="386"/>
      <w:bookmarkEnd w:id="387"/>
    </w:p>
    <w:tbl>
      <w:tblPr>
        <w:tblStyle w:val="TableTGAblue"/>
        <w:tblW w:w="0" w:type="auto"/>
        <w:tblLook w:val="04A0" w:firstRow="1" w:lastRow="0" w:firstColumn="1" w:lastColumn="0" w:noHBand="0" w:noVBand="1"/>
      </w:tblPr>
      <w:tblGrid>
        <w:gridCol w:w="4395"/>
        <w:gridCol w:w="4394"/>
      </w:tblGrid>
      <w:tr w:rsidR="0052032C" w:rsidRPr="0052032C" w14:paraId="6C49199D" w14:textId="77777777" w:rsidTr="00AD3C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5" w:type="dxa"/>
          </w:tcPr>
          <w:p w14:paraId="6F309442" w14:textId="77777777" w:rsidR="0052032C" w:rsidRPr="00692378" w:rsidRDefault="0052032C" w:rsidP="00D266EA">
            <w:pPr>
              <w:rPr>
                <w:lang w:eastAsia="ja-JP"/>
              </w:rPr>
            </w:pPr>
            <w:r w:rsidRPr="00692378">
              <w:rPr>
                <w:lang w:eastAsia="ja-JP"/>
              </w:rPr>
              <w:t>Risks</w:t>
            </w:r>
          </w:p>
        </w:tc>
        <w:tc>
          <w:tcPr>
            <w:tcW w:w="4394" w:type="dxa"/>
          </w:tcPr>
          <w:p w14:paraId="35B49872" w14:textId="4E35F1C5" w:rsidR="0052032C" w:rsidRPr="00692378" w:rsidRDefault="009C0F1A" w:rsidP="00D266EA">
            <w:pPr>
              <w:cnfStyle w:val="100000000000" w:firstRow="1" w:lastRow="0" w:firstColumn="0" w:lastColumn="0" w:oddVBand="0" w:evenVBand="0" w:oddHBand="0" w:evenHBand="0" w:firstRowFirstColumn="0" w:firstRowLastColumn="0" w:lastRowFirstColumn="0" w:lastRowLastColumn="0"/>
              <w:rPr>
                <w:lang w:eastAsia="ja-JP"/>
              </w:rPr>
            </w:pPr>
            <w:r w:rsidRPr="00692378">
              <w:rPr>
                <w:lang w:eastAsia="ja-JP"/>
              </w:rPr>
              <w:t>Strengths and u</w:t>
            </w:r>
            <w:r w:rsidR="0052032C" w:rsidRPr="00692378">
              <w:rPr>
                <w:lang w:eastAsia="ja-JP"/>
              </w:rPr>
              <w:t>ncertainties</w:t>
            </w:r>
          </w:p>
        </w:tc>
      </w:tr>
      <w:tr w:rsidR="0052032C" w:rsidRPr="0052032C" w14:paraId="1B793CC4" w14:textId="77777777" w:rsidTr="009C0F1A">
        <w:tc>
          <w:tcPr>
            <w:cnfStyle w:val="001000000000" w:firstRow="0" w:lastRow="0" w:firstColumn="1" w:lastColumn="0" w:oddVBand="0" w:evenVBand="0" w:oddHBand="0" w:evenHBand="0" w:firstRowFirstColumn="0" w:firstRowLastColumn="0" w:lastRowFirstColumn="0" w:lastRowLastColumn="0"/>
            <w:tcW w:w="4395" w:type="dxa"/>
          </w:tcPr>
          <w:p w14:paraId="7A464E19" w14:textId="762F0206" w:rsidR="009C0F1A" w:rsidRPr="00692378" w:rsidRDefault="0052032C" w:rsidP="00D266EA">
            <w:r w:rsidRPr="00692378">
              <w:t>Compared to R-chemo G-chemo poses a higher risk of</w:t>
            </w:r>
            <w:r w:rsidR="009C0F1A" w:rsidRPr="00692378">
              <w:t>:</w:t>
            </w:r>
          </w:p>
          <w:p w14:paraId="05AF13D0" w14:textId="4EFDD0F6" w:rsidR="0052032C" w:rsidRPr="00692378" w:rsidRDefault="0052032C" w:rsidP="00D266EA">
            <w:r w:rsidRPr="00692378">
              <w:t>IRRs</w:t>
            </w:r>
          </w:p>
          <w:p w14:paraId="2897C2F8" w14:textId="77777777" w:rsidR="0052032C" w:rsidRPr="00692378" w:rsidRDefault="0052032C" w:rsidP="00D266EA">
            <w:r w:rsidRPr="00692378">
              <w:t>SAEs</w:t>
            </w:r>
          </w:p>
          <w:p w14:paraId="611F649B" w14:textId="6168FFF8" w:rsidR="0052032C" w:rsidRPr="00692378" w:rsidRDefault="0052032C" w:rsidP="00D266EA">
            <w:r w:rsidRPr="00692378">
              <w:t>Neutro</w:t>
            </w:r>
            <w:r w:rsidR="009E0FA6">
              <w:t>paenia</w:t>
            </w:r>
          </w:p>
          <w:p w14:paraId="0C637736" w14:textId="77777777" w:rsidR="0052032C" w:rsidRPr="00692378" w:rsidRDefault="0052032C" w:rsidP="00D266EA">
            <w:r w:rsidRPr="00692378">
              <w:t>Infections</w:t>
            </w:r>
          </w:p>
          <w:p w14:paraId="4190B322" w14:textId="77777777" w:rsidR="009C0F1A" w:rsidRPr="00692378" w:rsidRDefault="0052032C" w:rsidP="00D266EA">
            <w:r w:rsidRPr="00692378">
              <w:t>Death due to AEs</w:t>
            </w:r>
          </w:p>
          <w:p w14:paraId="7B6884BB" w14:textId="6394125A" w:rsidR="0052032C" w:rsidRPr="00692378" w:rsidRDefault="0052032C" w:rsidP="00D266EA">
            <w:proofErr w:type="gramStart"/>
            <w:r w:rsidRPr="00692378">
              <w:t>which</w:t>
            </w:r>
            <w:proofErr w:type="gramEnd"/>
            <w:r w:rsidRPr="00692378">
              <w:t xml:space="preserve"> is even higher in patients ≥</w:t>
            </w:r>
            <w:r w:rsidR="009C0F1A" w:rsidRPr="00692378">
              <w:t> 65 </w:t>
            </w:r>
            <w:r w:rsidRPr="00692378">
              <w:t>years of age</w:t>
            </w:r>
            <w:r w:rsidR="00D500B6">
              <w:t>.</w:t>
            </w:r>
            <w:r w:rsidR="006B354B">
              <w:rPr>
                <w:rStyle w:val="FootnoteReference"/>
                <w:sz w:val="20"/>
                <w:szCs w:val="20"/>
              </w:rPr>
              <w:footnoteReference w:id="2"/>
            </w:r>
          </w:p>
        </w:tc>
        <w:tc>
          <w:tcPr>
            <w:tcW w:w="4394" w:type="dxa"/>
          </w:tcPr>
          <w:p w14:paraId="1E00B054" w14:textId="507D7A54" w:rsidR="0052032C" w:rsidRPr="00692378" w:rsidRDefault="0052032C" w:rsidP="00D266EA">
            <w:pPr>
              <w:cnfStyle w:val="000000000000" w:firstRow="0" w:lastRow="0" w:firstColumn="0" w:lastColumn="0" w:oddVBand="0" w:evenVBand="0" w:oddHBand="0" w:evenHBand="0" w:firstRowFirstColumn="0" w:firstRowLastColumn="0" w:lastRowFirstColumn="0" w:lastRowLastColumn="0"/>
            </w:pPr>
            <w:r w:rsidRPr="00692378">
              <w:t xml:space="preserve">The average age of the FL population in </w:t>
            </w:r>
            <w:r w:rsidR="009C0F1A" w:rsidRPr="00692378">
              <w:t>Study </w:t>
            </w:r>
            <w:r w:rsidRPr="00692378">
              <w:t>BO21223 is 5</w:t>
            </w:r>
            <w:r w:rsidR="006B354B">
              <w:t>7.</w:t>
            </w:r>
            <w:r w:rsidRPr="00692378">
              <w:t>9 years and 6</w:t>
            </w:r>
            <w:r w:rsidR="006B354B">
              <w:t>1.9</w:t>
            </w:r>
            <w:r w:rsidRPr="00692378">
              <w:t xml:space="preserve"> years in the MZL population and t</w:t>
            </w:r>
            <w:r w:rsidR="009C0F1A" w:rsidRPr="00692378">
              <w:t xml:space="preserve">he ECOG performance score was 0 or </w:t>
            </w:r>
            <w:r w:rsidRPr="00692378">
              <w:t>1. Patients with a CrCL ≤</w:t>
            </w:r>
            <w:r w:rsidR="009C0F1A" w:rsidRPr="00692378">
              <w:t xml:space="preserve"> 40 mL</w:t>
            </w:r>
            <w:r w:rsidRPr="00692378">
              <w:t>/min were excluded. This is not representative of the average FL population and makes it necessary to be cautious in the elderly, in patients with many comorbidities and/or high ECOG performance score, and</w:t>
            </w:r>
            <w:r w:rsidR="009C0F1A" w:rsidRPr="00692378">
              <w:t xml:space="preserve"> in patients with reduced CrCL.</w:t>
            </w:r>
          </w:p>
        </w:tc>
      </w:tr>
    </w:tbl>
    <w:p w14:paraId="1282E943" w14:textId="77777777" w:rsidR="0052032C" w:rsidRPr="0052032C" w:rsidRDefault="0052032C" w:rsidP="00B024A7">
      <w:pPr>
        <w:pStyle w:val="Heading3"/>
      </w:pPr>
      <w:bookmarkStart w:id="388" w:name="_Toc236802597"/>
      <w:bookmarkStart w:id="389" w:name="_Toc241374335"/>
      <w:bookmarkStart w:id="390" w:name="_Toc272414695"/>
      <w:bookmarkStart w:id="391" w:name="_Toc290888559"/>
      <w:bookmarkStart w:id="392" w:name="_Toc416353775"/>
      <w:bookmarkStart w:id="393" w:name="_Toc421005316"/>
      <w:bookmarkStart w:id="394" w:name="_Toc432079187"/>
      <w:bookmarkStart w:id="395" w:name="_Toc432080760"/>
      <w:bookmarkStart w:id="396" w:name="_Toc481769174"/>
      <w:bookmarkStart w:id="397" w:name="_Toc513556365"/>
      <w:r w:rsidRPr="0052032C">
        <w:lastRenderedPageBreak/>
        <w:t>First round assessment of benefit-risk</w:t>
      </w:r>
      <w:bookmarkEnd w:id="388"/>
      <w:bookmarkEnd w:id="389"/>
      <w:bookmarkEnd w:id="390"/>
      <w:bookmarkEnd w:id="391"/>
      <w:bookmarkEnd w:id="392"/>
      <w:bookmarkEnd w:id="393"/>
      <w:r w:rsidRPr="0052032C">
        <w:t xml:space="preserve"> balance</w:t>
      </w:r>
      <w:bookmarkEnd w:id="394"/>
      <w:bookmarkEnd w:id="395"/>
      <w:bookmarkEnd w:id="396"/>
      <w:bookmarkEnd w:id="397"/>
    </w:p>
    <w:p w14:paraId="433B6510" w14:textId="39BD061B" w:rsidR="0052032C" w:rsidRPr="0052032C" w:rsidRDefault="0052032C" w:rsidP="00B024A7">
      <w:pPr>
        <w:pStyle w:val="Numberbullet0"/>
        <w:numPr>
          <w:ilvl w:val="0"/>
          <w:numId w:val="21"/>
        </w:numPr>
        <w:rPr>
          <w:lang w:eastAsia="ja-JP"/>
        </w:rPr>
      </w:pPr>
      <w:r w:rsidRPr="0052032C">
        <w:rPr>
          <w:lang w:eastAsia="ja-JP"/>
        </w:rPr>
        <w:t>In the investigated FL population the benefits outweighs the risk when evaluating PFS. It is unknown, but likely, that this will lead to longer overa</w:t>
      </w:r>
      <w:r w:rsidR="00B024A7">
        <w:rPr>
          <w:lang w:eastAsia="ja-JP"/>
        </w:rPr>
        <w:t>ll survival in this population.</w:t>
      </w:r>
    </w:p>
    <w:p w14:paraId="58A0F9B7" w14:textId="23A00005" w:rsidR="0052032C" w:rsidRPr="0052032C" w:rsidRDefault="0052032C" w:rsidP="00B024A7">
      <w:pPr>
        <w:pStyle w:val="Numberbullet0"/>
        <w:numPr>
          <w:ilvl w:val="0"/>
          <w:numId w:val="21"/>
        </w:numPr>
        <w:rPr>
          <w:lang w:eastAsia="ja-JP"/>
        </w:rPr>
      </w:pPr>
      <w:r w:rsidRPr="0052032C">
        <w:rPr>
          <w:lang w:eastAsia="ja-JP"/>
        </w:rPr>
        <w:t xml:space="preserve">The benefit </w:t>
      </w:r>
      <w:r w:rsidRPr="00B024A7">
        <w:rPr>
          <w:lang w:eastAsia="ja-JP"/>
        </w:rPr>
        <w:t>may not</w:t>
      </w:r>
      <w:r w:rsidRPr="0052032C">
        <w:rPr>
          <w:lang w:eastAsia="ja-JP"/>
        </w:rPr>
        <w:t xml:space="preserve"> outweigh the risk in elderly patients, in patients with reduced renal function, and in patients with an ECOG performance score ≥</w:t>
      </w:r>
      <w:r w:rsidR="00B024A7">
        <w:rPr>
          <w:lang w:eastAsia="ja-JP"/>
        </w:rPr>
        <w:t xml:space="preserve"> </w:t>
      </w:r>
      <w:r w:rsidRPr="0052032C">
        <w:rPr>
          <w:lang w:eastAsia="ja-JP"/>
        </w:rPr>
        <w:t>2. This group of patients comprises a substantial part of the follicular lymphoma patient population. To approve the indication there has to be clear warnings in the Product Information regarding the adverse events in this group of patients and regular updates on PFS and OS submitted to the TGA.</w:t>
      </w:r>
    </w:p>
    <w:p w14:paraId="2CBDD7C4" w14:textId="312E47BB" w:rsidR="00C22678" w:rsidRPr="003442FE" w:rsidRDefault="0052032C" w:rsidP="00C22678">
      <w:pPr>
        <w:pStyle w:val="Numberbullet0"/>
        <w:numPr>
          <w:ilvl w:val="0"/>
          <w:numId w:val="21"/>
        </w:numPr>
        <w:rPr>
          <w:lang w:eastAsia="ja-JP"/>
        </w:rPr>
      </w:pPr>
      <w:r w:rsidRPr="0052032C">
        <w:rPr>
          <w:lang w:eastAsia="ja-JP"/>
        </w:rPr>
        <w:t>MZL patients had more adverse events and there is a risk that obinutuzumab may be used outside the approved label and thus skew the benefit/risk negatively in these patients, which stresses the importance o</w:t>
      </w:r>
      <w:r w:rsidR="00B024A7">
        <w:rPr>
          <w:lang w:eastAsia="ja-JP"/>
        </w:rPr>
        <w:t xml:space="preserve">f the warnings described in </w:t>
      </w:r>
      <w:r w:rsidR="00D500B6">
        <w:rPr>
          <w:lang w:eastAsia="ja-JP"/>
        </w:rPr>
        <w:t xml:space="preserve">Section </w:t>
      </w:r>
      <w:r w:rsidR="00342B67">
        <w:rPr>
          <w:lang w:eastAsia="ja-JP"/>
        </w:rPr>
        <w:t>9.</w:t>
      </w:r>
      <w:r w:rsidR="00B024A7">
        <w:rPr>
          <w:lang w:eastAsia="ja-JP"/>
        </w:rPr>
        <w:t>2</w:t>
      </w:r>
      <w:r w:rsidR="00D500B6">
        <w:rPr>
          <w:lang w:eastAsia="ja-JP"/>
        </w:rPr>
        <w:t>, above</w:t>
      </w:r>
      <w:r w:rsidR="00B024A7">
        <w:rPr>
          <w:lang w:eastAsia="ja-JP"/>
        </w:rPr>
        <w:t>).</w:t>
      </w:r>
    </w:p>
    <w:p w14:paraId="0A0B4F66" w14:textId="77777777" w:rsidR="00C22678" w:rsidRPr="003442FE" w:rsidRDefault="00C22678" w:rsidP="00C22678">
      <w:pPr>
        <w:pStyle w:val="Heading2"/>
      </w:pPr>
      <w:bookmarkStart w:id="398" w:name="_Toc513556366"/>
      <w:r w:rsidRPr="003442FE">
        <w:t>First round recommendation regarding authorisation</w:t>
      </w:r>
      <w:bookmarkEnd w:id="398"/>
    </w:p>
    <w:p w14:paraId="6EF1C3AF" w14:textId="0833E9BF" w:rsidR="0052032C" w:rsidRPr="00B024A7" w:rsidRDefault="0052032C" w:rsidP="0052032C">
      <w:r w:rsidRPr="0052032C">
        <w:rPr>
          <w:lang w:eastAsia="ja-JP"/>
        </w:rPr>
        <w:t>Approval of</w:t>
      </w:r>
      <w:r w:rsidR="00B024A7">
        <w:rPr>
          <w:lang w:eastAsia="ja-JP"/>
        </w:rPr>
        <w:t xml:space="preserve"> </w:t>
      </w:r>
      <w:r>
        <w:rPr>
          <w:lang w:eastAsia="ja-JP"/>
        </w:rPr>
        <w:t>‘</w:t>
      </w:r>
      <w:r w:rsidRPr="0052032C">
        <w:rPr>
          <w:i/>
          <w:lang w:eastAsia="ja-JP"/>
        </w:rPr>
        <w:t>G</w:t>
      </w:r>
      <w:r w:rsidR="00B024A7">
        <w:rPr>
          <w:i/>
          <w:lang w:eastAsia="ja-JP"/>
        </w:rPr>
        <w:t>azyva</w:t>
      </w:r>
      <w:r w:rsidRPr="0052032C">
        <w:rPr>
          <w:i/>
          <w:lang w:eastAsia="ja-JP"/>
        </w:rPr>
        <w:t xml:space="preserve"> in combination with chemotherapy followed by G</w:t>
      </w:r>
      <w:r w:rsidR="00B024A7">
        <w:rPr>
          <w:i/>
          <w:lang w:eastAsia="ja-JP"/>
        </w:rPr>
        <w:t>azyva</w:t>
      </w:r>
      <w:r w:rsidRPr="0052032C">
        <w:rPr>
          <w:i/>
          <w:lang w:eastAsia="ja-JP"/>
        </w:rPr>
        <w:t xml:space="preserve"> maintenance is indicated for the treatment of patients with previously untreated follicular lymphoma</w:t>
      </w:r>
      <w:r>
        <w:rPr>
          <w:i/>
          <w:lang w:eastAsia="ja-JP"/>
        </w:rPr>
        <w:t>’</w:t>
      </w:r>
      <w:r w:rsidR="00B024A7">
        <w:rPr>
          <w:i/>
          <w:lang w:eastAsia="ja-JP"/>
        </w:rPr>
        <w:t xml:space="preserve"> </w:t>
      </w:r>
      <w:r w:rsidRPr="0052032C">
        <w:rPr>
          <w:lang w:eastAsia="ja-JP"/>
        </w:rPr>
        <w:t>is recommended</w:t>
      </w:r>
      <w:r w:rsidRPr="0052032C">
        <w:rPr>
          <w:i/>
          <w:lang w:eastAsia="ja-JP"/>
        </w:rPr>
        <w:t xml:space="preserve"> </w:t>
      </w:r>
      <w:r w:rsidRPr="0052032C">
        <w:rPr>
          <w:lang w:eastAsia="ja-JP"/>
        </w:rPr>
        <w:t xml:space="preserve">provided that the </w:t>
      </w:r>
      <w:r w:rsidRPr="00B024A7">
        <w:t>product information and CMI clearly display the various adverse events seen to a higher extent in the G-chemo arm compared to the R-chemo arm and also clearly state the higher incidence of all adverse events in patients &gt;</w:t>
      </w:r>
      <w:r w:rsidR="00B024A7">
        <w:t xml:space="preserve"> </w:t>
      </w:r>
      <w:r w:rsidRPr="00B024A7">
        <w:t>65 years of age and patients with reduced renal function. The fact that the patients in the pivotal study had an ECOG performance score of 0</w:t>
      </w:r>
      <w:r w:rsidR="00B024A7">
        <w:t xml:space="preserve"> or </w:t>
      </w:r>
      <w:r w:rsidRPr="00B024A7">
        <w:t xml:space="preserve">1 </w:t>
      </w:r>
      <w:r w:rsidR="00B024A7">
        <w:t>also has to be clearly visible.</w:t>
      </w:r>
    </w:p>
    <w:p w14:paraId="5EA40B51" w14:textId="5780FEE0" w:rsidR="00C22678" w:rsidRPr="003442FE" w:rsidRDefault="0052032C" w:rsidP="00C22678">
      <w:pPr>
        <w:rPr>
          <w:lang w:eastAsia="ja-JP"/>
        </w:rPr>
      </w:pPr>
      <w:r w:rsidRPr="0052032C">
        <w:rPr>
          <w:lang w:eastAsia="ja-JP"/>
        </w:rPr>
        <w:t>The</w:t>
      </w:r>
      <w:r>
        <w:rPr>
          <w:lang w:eastAsia="ja-JP"/>
        </w:rPr>
        <w:t xml:space="preserve"> sponsor</w:t>
      </w:r>
      <w:r w:rsidRPr="0052032C">
        <w:rPr>
          <w:lang w:eastAsia="ja-JP"/>
        </w:rPr>
        <w:t xml:space="preserve"> should present a </w:t>
      </w:r>
      <w:r w:rsidR="00D500B6">
        <w:rPr>
          <w:lang w:eastAsia="ja-JP"/>
        </w:rPr>
        <w:t>P</w:t>
      </w:r>
      <w:r w:rsidRPr="0052032C">
        <w:rPr>
          <w:lang w:eastAsia="ja-JP"/>
        </w:rPr>
        <w:t xml:space="preserve">roduct </w:t>
      </w:r>
      <w:r w:rsidR="00D500B6">
        <w:rPr>
          <w:lang w:eastAsia="ja-JP"/>
        </w:rPr>
        <w:t>I</w:t>
      </w:r>
      <w:r w:rsidRPr="0052032C">
        <w:rPr>
          <w:lang w:eastAsia="ja-JP"/>
        </w:rPr>
        <w:t>nformation document complying with these conditions for evaluation</w:t>
      </w:r>
      <w:r w:rsidR="00D500B6">
        <w:rPr>
          <w:lang w:eastAsia="ja-JP"/>
        </w:rPr>
        <w:t>.</w:t>
      </w:r>
    </w:p>
    <w:p w14:paraId="56530FAC" w14:textId="77777777" w:rsidR="00C22678" w:rsidRDefault="00C22678" w:rsidP="00C22678">
      <w:pPr>
        <w:pStyle w:val="Heading2"/>
      </w:pPr>
      <w:bookmarkStart w:id="399" w:name="_Toc513556367"/>
      <w:r w:rsidRPr="003442FE">
        <w:t>Clinical questions</w:t>
      </w:r>
      <w:bookmarkEnd w:id="399"/>
    </w:p>
    <w:p w14:paraId="4B8D0CE1" w14:textId="77777777" w:rsidR="0052032C" w:rsidRPr="0052032C" w:rsidRDefault="0052032C" w:rsidP="00B024A7">
      <w:pPr>
        <w:pStyle w:val="Heading3"/>
      </w:pPr>
      <w:bookmarkStart w:id="400" w:name="_Ref269908779"/>
      <w:bookmarkStart w:id="401" w:name="_Toc272414701"/>
      <w:bookmarkStart w:id="402" w:name="_Toc290888567"/>
      <w:bookmarkStart w:id="403" w:name="_Toc416353783"/>
      <w:bookmarkStart w:id="404" w:name="_Toc421005323"/>
      <w:bookmarkStart w:id="405" w:name="_Toc432079194"/>
      <w:bookmarkStart w:id="406" w:name="_Toc432080767"/>
      <w:bookmarkStart w:id="407" w:name="_Toc481769181"/>
      <w:bookmarkStart w:id="408" w:name="_Toc513556368"/>
      <w:r w:rsidRPr="0052032C">
        <w:t>Clinical questions</w:t>
      </w:r>
      <w:bookmarkEnd w:id="400"/>
      <w:bookmarkEnd w:id="401"/>
      <w:bookmarkEnd w:id="402"/>
      <w:bookmarkEnd w:id="403"/>
      <w:bookmarkEnd w:id="404"/>
      <w:bookmarkEnd w:id="405"/>
      <w:bookmarkEnd w:id="406"/>
      <w:bookmarkEnd w:id="407"/>
      <w:bookmarkEnd w:id="408"/>
    </w:p>
    <w:p w14:paraId="7D33F3F1" w14:textId="77777777" w:rsidR="0052032C" w:rsidRPr="0052032C" w:rsidRDefault="0052032C" w:rsidP="00B024A7">
      <w:pPr>
        <w:pStyle w:val="Heading4"/>
      </w:pPr>
      <w:bookmarkStart w:id="409" w:name="_Toc272414702"/>
      <w:bookmarkStart w:id="410" w:name="_Toc290888568"/>
      <w:bookmarkStart w:id="411" w:name="_Toc416353784"/>
      <w:bookmarkStart w:id="412" w:name="_Toc421005324"/>
      <w:bookmarkStart w:id="413" w:name="_Toc432079195"/>
      <w:bookmarkStart w:id="414" w:name="_Toc432080768"/>
      <w:r w:rsidRPr="0052032C">
        <w:t>Pharmacokinetics</w:t>
      </w:r>
      <w:bookmarkEnd w:id="409"/>
      <w:bookmarkEnd w:id="410"/>
      <w:bookmarkEnd w:id="411"/>
      <w:bookmarkEnd w:id="412"/>
      <w:bookmarkEnd w:id="413"/>
      <w:bookmarkEnd w:id="414"/>
    </w:p>
    <w:p w14:paraId="4D226D72" w14:textId="70527EAA" w:rsidR="0052032C" w:rsidRPr="0052032C" w:rsidRDefault="00B024A7" w:rsidP="0052032C">
      <w:pPr>
        <w:rPr>
          <w:lang w:eastAsia="ja-JP"/>
        </w:rPr>
      </w:pPr>
      <w:bookmarkStart w:id="415" w:name="_Toc272414703"/>
      <w:bookmarkStart w:id="416" w:name="_Toc290888569"/>
      <w:bookmarkStart w:id="417" w:name="_Toc416353785"/>
      <w:bookmarkStart w:id="418" w:name="_Toc421005325"/>
      <w:bookmarkStart w:id="419" w:name="_Toc432079196"/>
      <w:bookmarkStart w:id="420" w:name="_Toc432080769"/>
      <w:r>
        <w:rPr>
          <w:lang w:eastAsia="ja-JP"/>
        </w:rPr>
        <w:t>Not applicable.</w:t>
      </w:r>
    </w:p>
    <w:p w14:paraId="3CCD82DC" w14:textId="77777777" w:rsidR="0052032C" w:rsidRPr="0052032C" w:rsidRDefault="0052032C" w:rsidP="00B024A7">
      <w:pPr>
        <w:pStyle w:val="Heading4"/>
      </w:pPr>
      <w:r w:rsidRPr="0052032C">
        <w:t>Pharmacodynamics</w:t>
      </w:r>
      <w:bookmarkEnd w:id="415"/>
      <w:bookmarkEnd w:id="416"/>
      <w:bookmarkEnd w:id="417"/>
      <w:bookmarkEnd w:id="418"/>
      <w:bookmarkEnd w:id="419"/>
      <w:bookmarkEnd w:id="420"/>
    </w:p>
    <w:p w14:paraId="33220099" w14:textId="4537D15B" w:rsidR="0052032C" w:rsidRPr="0052032C" w:rsidRDefault="00B024A7" w:rsidP="0052032C">
      <w:pPr>
        <w:rPr>
          <w:lang w:eastAsia="ja-JP"/>
        </w:rPr>
      </w:pPr>
      <w:bookmarkStart w:id="421" w:name="_Toc272414704"/>
      <w:bookmarkStart w:id="422" w:name="_Toc290888570"/>
      <w:bookmarkStart w:id="423" w:name="_Toc416353786"/>
      <w:bookmarkStart w:id="424" w:name="_Toc421005326"/>
      <w:bookmarkStart w:id="425" w:name="_Toc432079197"/>
      <w:bookmarkStart w:id="426" w:name="_Toc432080770"/>
      <w:r>
        <w:rPr>
          <w:lang w:eastAsia="ja-JP"/>
        </w:rPr>
        <w:t>Not applicable.</w:t>
      </w:r>
    </w:p>
    <w:p w14:paraId="3A7DBCC8" w14:textId="77777777" w:rsidR="0052032C" w:rsidRPr="0052032C" w:rsidRDefault="0052032C" w:rsidP="00B024A7">
      <w:pPr>
        <w:pStyle w:val="Heading4"/>
      </w:pPr>
      <w:r w:rsidRPr="0052032C">
        <w:t>Efficacy</w:t>
      </w:r>
      <w:bookmarkEnd w:id="421"/>
      <w:bookmarkEnd w:id="422"/>
      <w:bookmarkEnd w:id="423"/>
      <w:bookmarkEnd w:id="424"/>
      <w:bookmarkEnd w:id="425"/>
      <w:bookmarkEnd w:id="426"/>
    </w:p>
    <w:p w14:paraId="2D540C94" w14:textId="5F35F86F" w:rsidR="00B024A7" w:rsidRDefault="00B024A7" w:rsidP="00392F42">
      <w:pPr>
        <w:pStyle w:val="Numberbullet0"/>
        <w:numPr>
          <w:ilvl w:val="0"/>
          <w:numId w:val="22"/>
        </w:numPr>
      </w:pPr>
      <w:r>
        <w:t>Pa</w:t>
      </w:r>
      <w:r w:rsidRPr="00B024A7">
        <w:t>rticipant flow: There is a discrepancy related to the date of the last enrolled patient between the front page of the clinical study report and section 4.1.1 in the CSR; 5 June 2014 versus 5 February 2014. What is the correct date</w:t>
      </w:r>
      <w:r w:rsidR="008E396E" w:rsidRPr="00B024A7">
        <w:t>?</w:t>
      </w:r>
    </w:p>
    <w:p w14:paraId="06EB6CF9" w14:textId="23DA4335" w:rsidR="00392F42" w:rsidRPr="00B024A7" w:rsidRDefault="00392F42" w:rsidP="00392F42">
      <w:pPr>
        <w:pStyle w:val="Numberbullet0"/>
        <w:numPr>
          <w:ilvl w:val="0"/>
          <w:numId w:val="22"/>
        </w:numPr>
      </w:pPr>
      <w:r>
        <w:t xml:space="preserve">Tables from the </w:t>
      </w:r>
      <w:r w:rsidRPr="00392F42">
        <w:t>CSR</w:t>
      </w:r>
      <w:r>
        <w:t>:</w:t>
      </w:r>
      <w:r w:rsidRPr="00392F42">
        <w:t xml:space="preserve"> There are more deaths but fewer events in the IRS assessed data compared to the investigator assessed data </w:t>
      </w:r>
      <w:r>
        <w:t xml:space="preserve">[as per 2 tables in the CSR]. The </w:t>
      </w:r>
      <w:r w:rsidR="008E396E">
        <w:t>cut-</w:t>
      </w:r>
      <w:r w:rsidR="008E396E" w:rsidRPr="00392F42">
        <w:t>off</w:t>
      </w:r>
      <w:r w:rsidRPr="00392F42">
        <w:t xml:space="preserve"> date for the study is the same. What is the explanation for the disparity in death numbers?</w:t>
      </w:r>
    </w:p>
    <w:p w14:paraId="12891B7A" w14:textId="77777777" w:rsidR="0052032C" w:rsidRDefault="0052032C" w:rsidP="00392F42">
      <w:pPr>
        <w:pStyle w:val="Heading4"/>
      </w:pPr>
      <w:bookmarkStart w:id="427" w:name="_Toc272414705"/>
      <w:bookmarkStart w:id="428" w:name="_Toc290888571"/>
      <w:bookmarkStart w:id="429" w:name="_Toc416353787"/>
      <w:bookmarkStart w:id="430" w:name="_Toc421005327"/>
      <w:bookmarkStart w:id="431" w:name="_Toc432079198"/>
      <w:bookmarkStart w:id="432" w:name="_Toc432080771"/>
      <w:r w:rsidRPr="0052032C">
        <w:t>Safety</w:t>
      </w:r>
      <w:bookmarkEnd w:id="427"/>
      <w:bookmarkEnd w:id="428"/>
      <w:bookmarkEnd w:id="429"/>
      <w:bookmarkEnd w:id="430"/>
      <w:bookmarkEnd w:id="431"/>
      <w:bookmarkEnd w:id="432"/>
    </w:p>
    <w:p w14:paraId="4FC931C6" w14:textId="4B45108D" w:rsidR="00B9790A" w:rsidRDefault="00B9790A" w:rsidP="00B9790A">
      <w:pPr>
        <w:pStyle w:val="Numberbullet0"/>
        <w:rPr>
          <w:lang w:eastAsia="ja-JP"/>
        </w:rPr>
      </w:pPr>
      <w:r>
        <w:rPr>
          <w:lang w:eastAsia="ja-JP"/>
        </w:rPr>
        <w:t xml:space="preserve">CSR; </w:t>
      </w:r>
      <w:r w:rsidR="008E396E">
        <w:rPr>
          <w:lang w:eastAsia="ja-JP"/>
        </w:rPr>
        <w:t>the</w:t>
      </w:r>
      <w:r>
        <w:rPr>
          <w:lang w:eastAsia="ja-JP"/>
        </w:rPr>
        <w:t xml:space="preserve"> proportion of AEs (all categories) in the MZL population was higher than in the FL population. Can the sponsor sugg</w:t>
      </w:r>
      <w:r w:rsidR="00DC73BE">
        <w:rPr>
          <w:lang w:eastAsia="ja-JP"/>
        </w:rPr>
        <w:t>est any explanations for this?</w:t>
      </w:r>
    </w:p>
    <w:p w14:paraId="2A0B71B7" w14:textId="31E781FD" w:rsidR="00B9790A" w:rsidRDefault="00B9790A" w:rsidP="00B9790A">
      <w:pPr>
        <w:pStyle w:val="Numberbullet0"/>
        <w:rPr>
          <w:lang w:eastAsia="ja-JP"/>
        </w:rPr>
      </w:pPr>
      <w:r>
        <w:rPr>
          <w:lang w:eastAsia="ja-JP"/>
        </w:rPr>
        <w:t>CSR; Looking at the tabulated overview of AEs by phase in the overall safety population, the AEs of particular interest such as Infection, Neutro</w:t>
      </w:r>
      <w:r w:rsidR="009E0FA6">
        <w:rPr>
          <w:lang w:eastAsia="ja-JP"/>
        </w:rPr>
        <w:t>paenia</w:t>
      </w:r>
      <w:r>
        <w:rPr>
          <w:lang w:eastAsia="ja-JP"/>
        </w:rPr>
        <w:t xml:space="preserve"> and Thrombocyto</w:t>
      </w:r>
      <w:r w:rsidR="009E0FA6">
        <w:rPr>
          <w:lang w:eastAsia="ja-JP"/>
        </w:rPr>
        <w:t>paenia</w:t>
      </w:r>
      <w:r>
        <w:rPr>
          <w:lang w:eastAsia="ja-JP"/>
        </w:rPr>
        <w:t xml:space="preserve"> do not differ substantially from the AEs observed in the FL population, except for the numbers and </w:t>
      </w:r>
      <w:r>
        <w:rPr>
          <w:lang w:eastAsia="ja-JP"/>
        </w:rPr>
        <w:lastRenderedPageBreak/>
        <w:t>percentages for Neutro</w:t>
      </w:r>
      <w:r w:rsidR="009E0FA6">
        <w:rPr>
          <w:lang w:eastAsia="ja-JP"/>
        </w:rPr>
        <w:t>paenia</w:t>
      </w:r>
      <w:r>
        <w:rPr>
          <w:lang w:eastAsia="ja-JP"/>
        </w:rPr>
        <w:t xml:space="preserve"> in the follow-up phase, where there is 1 (2.5%) in the R-chemo arm and 13 (2.5%) in the G-chemo arm as opposed to 5 (in a smaller part of the population) and 10 corre</w:t>
      </w:r>
      <w:r w:rsidR="00DC73BE">
        <w:rPr>
          <w:lang w:eastAsia="ja-JP"/>
        </w:rPr>
        <w:t>spondingly in the FL population</w:t>
      </w:r>
      <w:r>
        <w:rPr>
          <w:lang w:eastAsia="ja-JP"/>
        </w:rPr>
        <w:t>. Please explain this discrepancy in numbers for neutro</w:t>
      </w:r>
      <w:r w:rsidR="009E0FA6">
        <w:rPr>
          <w:lang w:eastAsia="ja-JP"/>
        </w:rPr>
        <w:t>paenia</w:t>
      </w:r>
      <w:r>
        <w:rPr>
          <w:lang w:eastAsia="ja-JP"/>
        </w:rPr>
        <w:t xml:space="preserve"> in the follow-up phase in the R-chemo arm.</w:t>
      </w:r>
    </w:p>
    <w:p w14:paraId="2DD99414" w14:textId="77777777" w:rsidR="00B9790A" w:rsidRDefault="00B9790A" w:rsidP="00B9790A">
      <w:pPr>
        <w:pStyle w:val="Numberbullet0"/>
        <w:rPr>
          <w:lang w:eastAsia="ja-JP"/>
        </w:rPr>
      </w:pPr>
      <w:r>
        <w:rPr>
          <w:lang w:eastAsia="ja-JP"/>
        </w:rPr>
        <w:t>A patient listing of AEs that led to withdrawal from any study medication in Study BO21223, as indicated in the CSR cannot be found. Can the sponsor provide these lists?</w:t>
      </w:r>
    </w:p>
    <w:p w14:paraId="206002B0" w14:textId="77777777" w:rsidR="00B9790A" w:rsidRDefault="00B9790A" w:rsidP="00B9790A">
      <w:pPr>
        <w:pStyle w:val="Numberbullet0"/>
        <w:rPr>
          <w:lang w:eastAsia="ja-JP"/>
        </w:rPr>
      </w:pPr>
      <w:r>
        <w:rPr>
          <w:lang w:eastAsia="ja-JP"/>
        </w:rPr>
        <w:t>Question 6: CSR: The evaluator is unable to locate the information regarding dose modifications due to adverse events for the overall safety population (only for the FL population). What are the corresponding data for the overall safety population?</w:t>
      </w:r>
    </w:p>
    <w:p w14:paraId="41EBD3E6" w14:textId="505CFAAA" w:rsidR="00B9790A" w:rsidRPr="00B9790A" w:rsidRDefault="00B9790A" w:rsidP="00B9790A">
      <w:pPr>
        <w:pStyle w:val="Numberbullet0"/>
        <w:rPr>
          <w:lang w:eastAsia="ja-JP"/>
        </w:rPr>
      </w:pPr>
      <w:r>
        <w:rPr>
          <w:lang w:eastAsia="ja-JP"/>
        </w:rPr>
        <w:t>The sponsor is asked to comment on possible reasons for the higher incidence of cardiac AEs in the MZL population (and as such the overall safety population, which is the safety population in the PI) compared to the FL population.</w:t>
      </w:r>
    </w:p>
    <w:p w14:paraId="613DC1CD" w14:textId="063E7430" w:rsidR="00C618F7" w:rsidRPr="003442FE" w:rsidRDefault="00C618F7" w:rsidP="00C618F7">
      <w:pPr>
        <w:pStyle w:val="Heading2"/>
      </w:pPr>
      <w:bookmarkStart w:id="433" w:name="_Toc513556369"/>
      <w:r w:rsidRPr="003442FE">
        <w:t>Second round evaluation of clinical data submitted in response to questions</w:t>
      </w:r>
      <w:bookmarkEnd w:id="433"/>
    </w:p>
    <w:p w14:paraId="1940BA8E" w14:textId="19729BBC" w:rsidR="0052032C" w:rsidRPr="0052032C" w:rsidRDefault="0052032C" w:rsidP="0052032C">
      <w:pPr>
        <w:rPr>
          <w:lang w:eastAsia="ja-JP"/>
        </w:rPr>
      </w:pPr>
      <w:r w:rsidRPr="0052032C">
        <w:rPr>
          <w:lang w:eastAsia="ja-JP"/>
        </w:rPr>
        <w:t>The sponsor provided a response to the extensive questions of th</w:t>
      </w:r>
      <w:r>
        <w:rPr>
          <w:lang w:eastAsia="ja-JP"/>
        </w:rPr>
        <w:t xml:space="preserve">e first round evaluator and also </w:t>
      </w:r>
      <w:r w:rsidRPr="0052032C">
        <w:rPr>
          <w:lang w:eastAsia="ja-JP"/>
        </w:rPr>
        <w:t xml:space="preserve">submitted a new report in relation to </w:t>
      </w:r>
      <w:r>
        <w:rPr>
          <w:lang w:eastAsia="ja-JP"/>
        </w:rPr>
        <w:t>Study BO</w:t>
      </w:r>
      <w:r w:rsidRPr="0052032C">
        <w:rPr>
          <w:lang w:eastAsia="ja-JP"/>
        </w:rPr>
        <w:t xml:space="preserve">21223. This is irregular in that no new data is to be submitted in the evaluation process unless asked for by the relevant evaluator or </w:t>
      </w:r>
      <w:r w:rsidR="000F7708">
        <w:rPr>
          <w:lang w:eastAsia="ja-JP"/>
        </w:rPr>
        <w:t>D</w:t>
      </w:r>
      <w:r w:rsidR="000F7708" w:rsidRPr="0052032C">
        <w:rPr>
          <w:lang w:eastAsia="ja-JP"/>
        </w:rPr>
        <w:t>elegate</w:t>
      </w:r>
      <w:r w:rsidRPr="0052032C">
        <w:rPr>
          <w:lang w:eastAsia="ja-JP"/>
        </w:rPr>
        <w:t>, or previously agreed up</w:t>
      </w:r>
      <w:r w:rsidR="00D500B6">
        <w:rPr>
          <w:lang w:eastAsia="ja-JP"/>
        </w:rPr>
        <w:t xml:space="preserve"> </w:t>
      </w:r>
      <w:r w:rsidRPr="0052032C">
        <w:rPr>
          <w:lang w:eastAsia="ja-JP"/>
        </w:rPr>
        <w:t xml:space="preserve">front prior to the original submission of the application. This report (11,298 pages) is titled, </w:t>
      </w:r>
      <w:r>
        <w:rPr>
          <w:lang w:eastAsia="ja-JP"/>
        </w:rPr>
        <w:t>‘</w:t>
      </w:r>
      <w:r w:rsidRPr="0052032C">
        <w:rPr>
          <w:lang w:eastAsia="ja-JP"/>
        </w:rPr>
        <w:t xml:space="preserve">Assessment of Delayed-Entry Adverse Event Records and Update of Safety Results Reported at the Primary Analysis in </w:t>
      </w:r>
      <w:r>
        <w:rPr>
          <w:lang w:eastAsia="ja-JP"/>
        </w:rPr>
        <w:t>Study BO</w:t>
      </w:r>
      <w:r w:rsidRPr="0052032C">
        <w:rPr>
          <w:lang w:eastAsia="ja-JP"/>
        </w:rPr>
        <w:t xml:space="preserve">21223 (GALLIUM). Beyond trying to interrogate the report to verify the edits to the PI in terms of adverse events, this report was not evaluated by this </w:t>
      </w:r>
      <w:r w:rsidR="000F7708">
        <w:rPr>
          <w:lang w:eastAsia="ja-JP"/>
        </w:rPr>
        <w:t>D</w:t>
      </w:r>
      <w:r w:rsidR="000F7708" w:rsidRPr="0052032C">
        <w:rPr>
          <w:lang w:eastAsia="ja-JP"/>
        </w:rPr>
        <w:t>elegate</w:t>
      </w:r>
      <w:r w:rsidR="000F7708">
        <w:rPr>
          <w:lang w:eastAsia="ja-JP"/>
        </w:rPr>
        <w:t xml:space="preserve"> </w:t>
      </w:r>
      <w:r>
        <w:rPr>
          <w:lang w:eastAsia="ja-JP"/>
        </w:rPr>
        <w:t>as it was not possible.</w:t>
      </w:r>
    </w:p>
    <w:p w14:paraId="63418E55" w14:textId="02F6B020" w:rsidR="0052032C" w:rsidRPr="0052032C" w:rsidRDefault="0052032C" w:rsidP="0052032C">
      <w:pPr>
        <w:rPr>
          <w:lang w:eastAsia="ja-JP"/>
        </w:rPr>
      </w:pPr>
      <w:r>
        <w:rPr>
          <w:lang w:eastAsia="ja-JP"/>
        </w:rPr>
        <w:t xml:space="preserve">With respect to </w:t>
      </w:r>
      <w:r w:rsidR="009660E6">
        <w:rPr>
          <w:lang w:eastAsia="ja-JP"/>
        </w:rPr>
        <w:t>Q</w:t>
      </w:r>
      <w:r w:rsidRPr="0052032C">
        <w:rPr>
          <w:lang w:eastAsia="ja-JP"/>
        </w:rPr>
        <w:t>uestions 1</w:t>
      </w:r>
      <w:r w:rsidR="009660E6">
        <w:rPr>
          <w:lang w:eastAsia="ja-JP"/>
        </w:rPr>
        <w:t xml:space="preserve"> to </w:t>
      </w:r>
      <w:r w:rsidRPr="0052032C">
        <w:rPr>
          <w:lang w:eastAsia="ja-JP"/>
        </w:rPr>
        <w:t xml:space="preserve">7 of the </w:t>
      </w:r>
      <w:r w:rsidR="009660E6">
        <w:rPr>
          <w:lang w:eastAsia="ja-JP"/>
        </w:rPr>
        <w:t>sponsor’s</w:t>
      </w:r>
      <w:r w:rsidRPr="0052032C">
        <w:rPr>
          <w:lang w:eastAsia="ja-JP"/>
        </w:rPr>
        <w:t xml:space="preserve"> response</w:t>
      </w:r>
      <w:r w:rsidR="009660E6">
        <w:rPr>
          <w:lang w:eastAsia="ja-JP"/>
        </w:rPr>
        <w:t xml:space="preserve"> to the questions raised in the first round evaluation</w:t>
      </w:r>
      <w:r w:rsidRPr="0052032C">
        <w:rPr>
          <w:lang w:eastAsia="ja-JP"/>
        </w:rPr>
        <w:t>, th</w:t>
      </w:r>
      <w:r w:rsidR="009660E6">
        <w:rPr>
          <w:lang w:eastAsia="ja-JP"/>
        </w:rPr>
        <w:t>e D</w:t>
      </w:r>
      <w:r w:rsidRPr="0052032C">
        <w:rPr>
          <w:lang w:eastAsia="ja-JP"/>
        </w:rPr>
        <w:t xml:space="preserve">elegate has reviewed the responses provided and, based upon the crux of this evaluation, </w:t>
      </w:r>
      <w:r w:rsidR="009660E6">
        <w:rPr>
          <w:lang w:eastAsia="ja-JP"/>
        </w:rPr>
        <w:t xml:space="preserve">that is, </w:t>
      </w:r>
      <w:r w:rsidRPr="0052032C">
        <w:rPr>
          <w:lang w:eastAsia="ja-JP"/>
        </w:rPr>
        <w:t>the moving of the treatment of follicular lymphoma from second line to first line, the responses appear to have addressed the evaluator’s questions and are considered satisfactory.</w:t>
      </w:r>
    </w:p>
    <w:p w14:paraId="64FE4E49" w14:textId="681492EF" w:rsidR="0052032C" w:rsidRPr="0052032C" w:rsidRDefault="0052032C" w:rsidP="0052032C">
      <w:pPr>
        <w:rPr>
          <w:lang w:eastAsia="ja-JP"/>
        </w:rPr>
      </w:pPr>
      <w:r w:rsidRPr="0052032C">
        <w:rPr>
          <w:lang w:eastAsia="ja-JP"/>
        </w:rPr>
        <w:t>The remaining questions relate directly to amendments requested in the PI document. These have universally been agreed to by the sponsor and are reflected in a new draft, annotated PI document. The questions are dealt with individually below:</w:t>
      </w:r>
    </w:p>
    <w:p w14:paraId="4D44B35A" w14:textId="77777777" w:rsidR="00C618F7" w:rsidRDefault="00C618F7" w:rsidP="00C618F7">
      <w:pPr>
        <w:pStyle w:val="Heading2"/>
      </w:pPr>
      <w:bookmarkStart w:id="434" w:name="_Toc513556370"/>
      <w:r w:rsidRPr="003442FE">
        <w:t>Second round benefit-risk assessment</w:t>
      </w:r>
      <w:bookmarkEnd w:id="434"/>
    </w:p>
    <w:p w14:paraId="5FA15DD5" w14:textId="77777777" w:rsidR="0052032C" w:rsidRPr="0052032C" w:rsidRDefault="0052032C" w:rsidP="0052032C">
      <w:pPr>
        <w:rPr>
          <w:lang w:eastAsia="ja-JP"/>
        </w:rPr>
      </w:pPr>
      <w:r w:rsidRPr="0052032C">
        <w:rPr>
          <w:lang w:eastAsia="ja-JP"/>
        </w:rPr>
        <w:t>The substance of the questions asked in the first round and their answers has not changed the overall positive risk/benefit of the product. The first round evaluator was concerned that the higher rates of certain ADRs noted with the G-chemo arm was made explicit in the PI and this has been done by compliance with the requests made to amend the PI document. In addition, the adverse event rate differences in general terms (SAEs, AEs leading to death or withdrawal) in the elderly versus the rest of the study population has been made clear. On this basis</w:t>
      </w:r>
      <w:r>
        <w:rPr>
          <w:lang w:eastAsia="ja-JP"/>
        </w:rPr>
        <w:t>,</w:t>
      </w:r>
      <w:r w:rsidRPr="0052032C">
        <w:rPr>
          <w:lang w:eastAsia="ja-JP"/>
        </w:rPr>
        <w:t xml:space="preserve"> the concerns of the first round evaluator have been met.</w:t>
      </w:r>
    </w:p>
    <w:p w14:paraId="4C99A1EC" w14:textId="77777777" w:rsidR="00C618F7" w:rsidRDefault="00C618F7" w:rsidP="00C618F7">
      <w:pPr>
        <w:pStyle w:val="Heading2"/>
      </w:pPr>
      <w:bookmarkStart w:id="435" w:name="_Toc513556371"/>
      <w:r w:rsidRPr="003442FE">
        <w:lastRenderedPageBreak/>
        <w:t>Second round recommendation regarding authorisation</w:t>
      </w:r>
      <w:bookmarkEnd w:id="435"/>
    </w:p>
    <w:p w14:paraId="3CE5CA01" w14:textId="77777777" w:rsidR="0052032C" w:rsidRPr="0052032C" w:rsidRDefault="0052032C" w:rsidP="0052032C">
      <w:pPr>
        <w:rPr>
          <w:lang w:eastAsia="ja-JP"/>
        </w:rPr>
      </w:pPr>
      <w:r w:rsidRPr="0052032C">
        <w:rPr>
          <w:lang w:eastAsia="ja-JP"/>
        </w:rPr>
        <w:t>The product may be authorised for marketing (noting with the slightly changed indication statement).</w:t>
      </w:r>
    </w:p>
    <w:p w14:paraId="56835816" w14:textId="77777777" w:rsidR="00C618F7" w:rsidRPr="003442FE" w:rsidRDefault="00C618F7" w:rsidP="00C618F7">
      <w:pPr>
        <w:pStyle w:val="Heading2"/>
      </w:pPr>
      <w:bookmarkStart w:id="436" w:name="_Toc513556372"/>
      <w:r w:rsidRPr="003442FE">
        <w:t>References</w:t>
      </w:r>
      <w:bookmarkEnd w:id="436"/>
    </w:p>
    <w:bookmarkEnd w:id="6"/>
    <w:bookmarkEnd w:id="1"/>
    <w:bookmarkEnd w:id="0"/>
    <w:p w14:paraId="07D72806" w14:textId="77777777" w:rsidR="0052032C" w:rsidRPr="00275451" w:rsidRDefault="0052032C" w:rsidP="0052032C">
      <w:pPr>
        <w:pStyle w:val="Reference"/>
        <w:rPr>
          <w:sz w:val="22"/>
          <w:lang w:eastAsia="ja-JP"/>
        </w:rPr>
      </w:pPr>
      <w:r w:rsidRPr="00275451">
        <w:rPr>
          <w:sz w:val="22"/>
          <w:lang w:eastAsia="ja-JP"/>
        </w:rPr>
        <w:t>Cheson B et al. Revised Response Criteria for Malignant Lymphoma. J Clin Oncol 2007; 25: 579-586.</w:t>
      </w:r>
    </w:p>
    <w:p w14:paraId="64273476" w14:textId="77777777" w:rsidR="0052032C" w:rsidRPr="00275451" w:rsidRDefault="0052032C" w:rsidP="0052032C">
      <w:pPr>
        <w:pStyle w:val="Reference"/>
        <w:rPr>
          <w:sz w:val="22"/>
          <w:lang w:eastAsia="ja-JP"/>
        </w:rPr>
      </w:pPr>
      <w:r w:rsidRPr="00275451">
        <w:rPr>
          <w:sz w:val="22"/>
          <w:lang w:eastAsia="ja-JP"/>
        </w:rPr>
        <w:t>Federico M et al. R-CVP versus R-CHOP versus R-FM for the initial treatment of patients with advanced-stage follicular lymphoma: results of the FOLL05 trial conducted by the Fondazione Italiana Linfomi. J Clin Oncol 2013; 31: 1506-1513.</w:t>
      </w:r>
    </w:p>
    <w:p w14:paraId="4F147B3E" w14:textId="77777777" w:rsidR="0052032C" w:rsidRPr="00275451" w:rsidRDefault="0052032C" w:rsidP="0052032C">
      <w:pPr>
        <w:pStyle w:val="Reference"/>
        <w:rPr>
          <w:sz w:val="22"/>
          <w:lang w:eastAsia="ja-JP"/>
        </w:rPr>
      </w:pPr>
      <w:r w:rsidRPr="00275451">
        <w:rPr>
          <w:sz w:val="22"/>
          <w:lang w:eastAsia="ja-JP"/>
        </w:rPr>
        <w:t>Flinn I et al. Randomized trial of bendamustine-rituximab or R-CHOP/R-CVP in first-line treatment of indolent NHL or MCL: the BRIGHT study. Blood 2014; 123: 2944-2952.</w:t>
      </w:r>
    </w:p>
    <w:p w14:paraId="5FC8D456" w14:textId="77777777" w:rsidR="0052032C" w:rsidRPr="00275451" w:rsidRDefault="0052032C" w:rsidP="0052032C">
      <w:pPr>
        <w:pStyle w:val="Reference"/>
        <w:rPr>
          <w:sz w:val="22"/>
          <w:lang w:eastAsia="ja-JP"/>
        </w:rPr>
      </w:pPr>
      <w:proofErr w:type="gramStart"/>
      <w:r w:rsidRPr="00275451">
        <w:rPr>
          <w:sz w:val="22"/>
          <w:lang w:eastAsia="ja-JP"/>
        </w:rPr>
        <w:t>Freedman A, Aster J. Clinical manifestations, pathologic features, diagnosis, and prognosis of follicular lymphoma.</w:t>
      </w:r>
      <w:proofErr w:type="gramEnd"/>
      <w:r w:rsidRPr="00275451">
        <w:rPr>
          <w:sz w:val="22"/>
          <w:lang w:eastAsia="ja-JP"/>
        </w:rPr>
        <w:t xml:space="preserve"> </w:t>
      </w:r>
      <w:proofErr w:type="gramStart"/>
      <w:r w:rsidRPr="00275451">
        <w:rPr>
          <w:sz w:val="22"/>
          <w:lang w:eastAsia="ja-JP"/>
        </w:rPr>
        <w:t>UpToDate.</w:t>
      </w:r>
      <w:proofErr w:type="gramEnd"/>
      <w:r w:rsidRPr="00275451">
        <w:rPr>
          <w:sz w:val="22"/>
          <w:lang w:eastAsia="ja-JP"/>
        </w:rPr>
        <w:t xml:space="preserve"> Literature review current through: January 2017. </w:t>
      </w:r>
      <w:proofErr w:type="gramStart"/>
      <w:r w:rsidRPr="00275451">
        <w:rPr>
          <w:sz w:val="22"/>
          <w:lang w:eastAsia="ja-JP"/>
        </w:rPr>
        <w:t>Updated: September 21, 2016.</w:t>
      </w:r>
      <w:proofErr w:type="gramEnd"/>
    </w:p>
    <w:p w14:paraId="3686C6C7" w14:textId="77777777" w:rsidR="0052032C" w:rsidRPr="00275451" w:rsidRDefault="0052032C" w:rsidP="0052032C">
      <w:pPr>
        <w:pStyle w:val="Reference"/>
        <w:rPr>
          <w:sz w:val="22"/>
          <w:lang w:eastAsia="ja-JP"/>
        </w:rPr>
      </w:pPr>
      <w:r w:rsidRPr="00275451">
        <w:rPr>
          <w:sz w:val="22"/>
          <w:lang w:eastAsia="ja-JP"/>
        </w:rPr>
        <w:t>Herold M et al. Rituximab added to first-line mitoxantrone, chlorambucil, and prednisolone chemotherapy followed by interferon maintenance prolongs survival in patients with advanced follicular lymphoma: an East German Study Group Hematology and Oncology Study. J Clin Oncol 2007; 25: 1986-1992.</w:t>
      </w:r>
    </w:p>
    <w:p w14:paraId="6B848A78" w14:textId="7855CFB6" w:rsidR="0052032C" w:rsidRPr="00275451" w:rsidRDefault="0052032C" w:rsidP="0052032C">
      <w:pPr>
        <w:pStyle w:val="Reference"/>
        <w:rPr>
          <w:sz w:val="22"/>
          <w:lang w:eastAsia="ja-JP"/>
        </w:rPr>
      </w:pPr>
      <w:r w:rsidRPr="00275451">
        <w:rPr>
          <w:sz w:val="22"/>
          <w:lang w:eastAsia="ja-JP"/>
        </w:rPr>
        <w:t xml:space="preserve">Hiddemann W et al. Frontline therapy with rituximab added to the combination of cyclophosphamide, doxorubicin, vincristine, and prednisone (CHOP) significantly improves the outcome for patients with advanced-stage follicular lymphoma compared with therapy with CHOP alone: results of a prospective </w:t>
      </w:r>
      <w:r w:rsidR="00705E66" w:rsidRPr="00275451">
        <w:rPr>
          <w:sz w:val="22"/>
          <w:lang w:eastAsia="ja-JP"/>
        </w:rPr>
        <w:t>randomis</w:t>
      </w:r>
      <w:r w:rsidRPr="00275451">
        <w:rPr>
          <w:sz w:val="22"/>
          <w:lang w:eastAsia="ja-JP"/>
        </w:rPr>
        <w:t>ed study of the German Low-Grade Lymphoma Study Group. Blood 2005; 106: 3725-3732.</w:t>
      </w:r>
    </w:p>
    <w:p w14:paraId="022A3CF1" w14:textId="77777777" w:rsidR="00226640" w:rsidRDefault="0052032C" w:rsidP="0052032C">
      <w:pPr>
        <w:pStyle w:val="Reference"/>
        <w:rPr>
          <w:sz w:val="22"/>
          <w:lang w:eastAsia="ja-JP"/>
        </w:rPr>
      </w:pPr>
      <w:r w:rsidRPr="00275451">
        <w:rPr>
          <w:sz w:val="22"/>
          <w:lang w:eastAsia="ja-JP"/>
        </w:rPr>
        <w:t>Kahl B, Yang D. Follicular lymphoma: evolving therapeutic strategies. Blood 2016; 127, 2055-2063.</w:t>
      </w:r>
    </w:p>
    <w:p w14:paraId="489E387F" w14:textId="3A985CBB" w:rsidR="0052032C" w:rsidRPr="00275451" w:rsidRDefault="0052032C" w:rsidP="0052032C">
      <w:pPr>
        <w:pStyle w:val="Reference"/>
        <w:rPr>
          <w:sz w:val="22"/>
          <w:lang w:eastAsia="ja-JP"/>
        </w:rPr>
      </w:pPr>
      <w:r w:rsidRPr="00275451">
        <w:rPr>
          <w:sz w:val="22"/>
          <w:lang w:eastAsia="ja-JP"/>
        </w:rPr>
        <w:t>Marcus R et al. CVP chemotherapy plus rituximab compared with CVP as first-line treatment for advanced follicular lymphom</w:t>
      </w:r>
      <w:r w:rsidR="006C49D3" w:rsidRPr="00275451">
        <w:rPr>
          <w:sz w:val="22"/>
          <w:lang w:eastAsia="ja-JP"/>
        </w:rPr>
        <w:t>a. Blood 2005; 105: 1417-1423.</w:t>
      </w:r>
    </w:p>
    <w:p w14:paraId="78EA33C1" w14:textId="77777777" w:rsidR="0052032C" w:rsidRPr="00275451" w:rsidRDefault="0052032C" w:rsidP="0052032C">
      <w:pPr>
        <w:pStyle w:val="Reference"/>
        <w:rPr>
          <w:sz w:val="22"/>
          <w:lang w:eastAsia="ja-JP"/>
        </w:rPr>
      </w:pPr>
      <w:r w:rsidRPr="00275451">
        <w:rPr>
          <w:sz w:val="22"/>
          <w:lang w:eastAsia="ja-JP"/>
        </w:rPr>
        <w:t>Marcus R et al. Phase III study of R-CVP compared with cyclophosphamide, vincristine, and prednisone alone in patients with previously untreated advanced follicular lymphoma. J Clin Oncol 2008; 26: 4579-4586.</w:t>
      </w:r>
    </w:p>
    <w:p w14:paraId="4BD0683A" w14:textId="77777777" w:rsidR="0052032C" w:rsidRPr="00275451" w:rsidRDefault="0052032C" w:rsidP="0052032C">
      <w:pPr>
        <w:pStyle w:val="Reference"/>
        <w:rPr>
          <w:sz w:val="22"/>
          <w:lang w:eastAsia="ja-JP"/>
        </w:rPr>
      </w:pPr>
      <w:r w:rsidRPr="00275451">
        <w:rPr>
          <w:sz w:val="22"/>
          <w:lang w:eastAsia="ja-JP"/>
        </w:rPr>
        <w:t>Pocock J et al. Survival plots of time-to-event outcomes in clinical trials: good practice and pitfalls. Lancet 2002; 359: 1686–1689.</w:t>
      </w:r>
    </w:p>
    <w:p w14:paraId="153B4F51" w14:textId="77777777" w:rsidR="0052032C" w:rsidRPr="00275451" w:rsidRDefault="0052032C" w:rsidP="0052032C">
      <w:pPr>
        <w:pStyle w:val="Reference"/>
        <w:rPr>
          <w:sz w:val="22"/>
          <w:lang w:eastAsia="ja-JP"/>
        </w:rPr>
      </w:pPr>
      <w:r w:rsidRPr="00275451">
        <w:rPr>
          <w:sz w:val="22"/>
          <w:lang w:eastAsia="ja-JP"/>
        </w:rPr>
        <w:t>Rummel M et al. Bendamustine plus rituximab versus CHOP plus rituximab as first-line treatment for patients with indolent and mantlecell lymphomas: an open-label, multicentre, randomised, phase 3 non-inferiority trial. Lancet 2013; 381:1203-1210.</w:t>
      </w:r>
    </w:p>
    <w:p w14:paraId="1F5E8C87" w14:textId="77777777" w:rsidR="0052032C" w:rsidRPr="00275451" w:rsidRDefault="0052032C" w:rsidP="0052032C">
      <w:pPr>
        <w:pStyle w:val="Reference"/>
        <w:rPr>
          <w:sz w:val="22"/>
          <w:lang w:eastAsia="ja-JP"/>
        </w:rPr>
      </w:pPr>
      <w:r w:rsidRPr="00275451">
        <w:rPr>
          <w:sz w:val="22"/>
          <w:lang w:eastAsia="ja-JP"/>
        </w:rPr>
        <w:t>Salles G et al. Rituximab combined with chemotherapy and interferon in follicular lymphoma patients: results of the GELA-GOELAMS FL2000 study. Blood 2008; 112: 4824-4831.</w:t>
      </w:r>
    </w:p>
    <w:p w14:paraId="0941D011" w14:textId="77777777" w:rsidR="008D770F" w:rsidRPr="00275451" w:rsidRDefault="0052032C" w:rsidP="0052032C">
      <w:pPr>
        <w:pStyle w:val="Reference"/>
        <w:rPr>
          <w:sz w:val="22"/>
          <w:lang w:eastAsia="ja-JP"/>
        </w:rPr>
      </w:pPr>
      <w:r w:rsidRPr="00275451">
        <w:rPr>
          <w:sz w:val="22"/>
          <w:lang w:eastAsia="ja-JP"/>
        </w:rPr>
        <w:t>Westfall P, Krishen A. Optimally weighted, fixed sequence and gatekeeper multiple testing procedures. J Stat Plan Inference 2001; 99: 25–40.</w:t>
      </w:r>
    </w:p>
    <w:p w14:paraId="3CD7D86B" w14:textId="47C7453F" w:rsidR="003D1E62" w:rsidRPr="003442FE" w:rsidRDefault="003D1E62" w:rsidP="002666AC">
      <w:pPr>
        <w:sectPr w:rsidR="003D1E62" w:rsidRPr="003442FE" w:rsidSect="008D770F">
          <w:headerReference w:type="even" r:id="rId50"/>
          <w:headerReference w:type="default" r:id="rId51"/>
          <w:headerReference w:type="first" r:id="rId52"/>
          <w:footerReference w:type="first" r:id="rId53"/>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3442FE" w14:paraId="065C4735" w14:textId="77777777" w:rsidTr="001F1326">
        <w:trPr>
          <w:trHeight w:hRule="exact" w:val="564"/>
        </w:trPr>
        <w:tc>
          <w:tcPr>
            <w:tcW w:w="9175" w:type="dxa"/>
          </w:tcPr>
          <w:p w14:paraId="3F965C36" w14:textId="77777777" w:rsidR="00B3567E" w:rsidRPr="003442FE" w:rsidRDefault="00B3567E" w:rsidP="001F1326">
            <w:pPr>
              <w:pStyle w:val="TGASignoff"/>
            </w:pPr>
            <w:r w:rsidRPr="003442FE">
              <w:lastRenderedPageBreak/>
              <w:t>Therapeutic Goods Administration</w:t>
            </w:r>
          </w:p>
        </w:tc>
      </w:tr>
      <w:tr w:rsidR="00B3567E" w:rsidRPr="003442FE" w14:paraId="2BDCD1A1" w14:textId="77777777" w:rsidTr="001F1326">
        <w:trPr>
          <w:trHeight w:val="1221"/>
        </w:trPr>
        <w:tc>
          <w:tcPr>
            <w:tcW w:w="9175" w:type="dxa"/>
            <w:tcMar>
              <w:top w:w="28" w:type="dxa"/>
            </w:tcMar>
          </w:tcPr>
          <w:p w14:paraId="1D246997" w14:textId="77777777" w:rsidR="00B3567E" w:rsidRPr="003442FE" w:rsidRDefault="00B3567E" w:rsidP="001F1326">
            <w:pPr>
              <w:pStyle w:val="Address"/>
            </w:pPr>
            <w:r w:rsidRPr="003442FE">
              <w:t>PO Box 100 Woden ACT 2606 Australia</w:t>
            </w:r>
          </w:p>
          <w:p w14:paraId="18F37536" w14:textId="77777777" w:rsidR="00B3567E" w:rsidRPr="003442FE" w:rsidRDefault="00B3567E" w:rsidP="001F1326">
            <w:pPr>
              <w:pStyle w:val="Address"/>
            </w:pPr>
            <w:r w:rsidRPr="003442FE">
              <w:t xml:space="preserve">Email: </w:t>
            </w:r>
            <w:hyperlink r:id="rId54" w:history="1">
              <w:r w:rsidRPr="003442FE">
                <w:rPr>
                  <w:rStyle w:val="Hyperlink"/>
                </w:rPr>
                <w:t>info@tga.gov.au</w:t>
              </w:r>
            </w:hyperlink>
            <w:r w:rsidRPr="003442FE">
              <w:t xml:space="preserve">  Phone: 1800 020 653  Fax: 02 6232 8605</w:t>
            </w:r>
          </w:p>
          <w:p w14:paraId="4EE46AAA" w14:textId="77777777" w:rsidR="00B3567E" w:rsidRPr="003442FE" w:rsidRDefault="00226640" w:rsidP="001F1326">
            <w:pPr>
              <w:pStyle w:val="Address"/>
              <w:spacing w:line="260" w:lineRule="atLeast"/>
              <w:rPr>
                <w:b/>
                <w:color w:val="0000FF"/>
                <w:u w:val="single"/>
              </w:rPr>
            </w:pPr>
            <w:hyperlink r:id="rId55" w:history="1">
              <w:r w:rsidR="00E979F4" w:rsidRPr="003442FE">
                <w:rPr>
                  <w:rStyle w:val="Hyperlink"/>
                  <w:b/>
                </w:rPr>
                <w:t>https://www.tga.gov.au</w:t>
              </w:r>
            </w:hyperlink>
          </w:p>
        </w:tc>
      </w:tr>
    </w:tbl>
    <w:p w14:paraId="5162C71B" w14:textId="77777777" w:rsidR="00774E1D" w:rsidRPr="003442FE" w:rsidRDefault="00774E1D" w:rsidP="008A5E0B"/>
    <w:sectPr w:rsidR="00774E1D" w:rsidRPr="003442FE" w:rsidSect="00B3567E">
      <w:headerReference w:type="even" r:id="rId56"/>
      <w:headerReference w:type="default" r:id="rId57"/>
      <w:footerReference w:type="default" r:id="rId58"/>
      <w:headerReference w:type="first" r:id="rId59"/>
      <w:footerReference w:type="first" r:id="rId60"/>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F15E69" w15:done="0"/>
  <w15:commentEx w15:paraId="28FB34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B6D70" w14:textId="77777777" w:rsidR="00226640" w:rsidRDefault="00226640" w:rsidP="00C40A36">
      <w:pPr>
        <w:spacing w:after="0"/>
      </w:pPr>
      <w:r>
        <w:separator/>
      </w:r>
    </w:p>
  </w:endnote>
  <w:endnote w:type="continuationSeparator" w:id="0">
    <w:p w14:paraId="6081D9FA" w14:textId="77777777" w:rsidR="00226640" w:rsidRDefault="0022664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226640" w:rsidRPr="00487162" w14:paraId="4ABB6012" w14:textId="77777777" w:rsidTr="00275451">
      <w:trPr>
        <w:trHeight w:val="235"/>
      </w:trPr>
      <w:tc>
        <w:tcPr>
          <w:tcW w:w="7797" w:type="dxa"/>
          <w:tcMar>
            <w:top w:w="142" w:type="dxa"/>
            <w:bottom w:w="0" w:type="dxa"/>
          </w:tcMar>
        </w:tcPr>
        <w:p w14:paraId="04896CC3" w14:textId="43296D63" w:rsidR="00226640" w:rsidRPr="00A03D76" w:rsidRDefault="00226640" w:rsidP="00C137CE">
          <w:pPr>
            <w:pStyle w:val="Footer"/>
            <w:rPr>
              <w:lang w:val="en-GB"/>
            </w:rPr>
          </w:pPr>
          <w:r>
            <w:t>Submission</w:t>
          </w:r>
          <w:r w:rsidRPr="00487162">
            <w:t xml:space="preserve"> </w:t>
          </w:r>
          <w:r w:rsidRPr="00A03D76">
            <w:rPr>
              <w:lang w:val="en-GB"/>
            </w:rPr>
            <w:t xml:space="preserve">PM-2016-03149-1-4 </w:t>
          </w:r>
          <w:r>
            <w:t xml:space="preserve">Extract from the Clinical Evaluation Report for Gazyva </w:t>
          </w:r>
          <w:r w:rsidRPr="00A03D76">
            <w:rPr>
              <w:lang w:val="en-GB"/>
            </w:rPr>
            <w:t xml:space="preserve">obinutuzumab </w:t>
          </w:r>
          <w:r>
            <w:rPr>
              <w:lang w:val="en-GB"/>
            </w:rPr>
            <w:t>Roche Products Pty Ltd</w:t>
          </w:r>
        </w:p>
      </w:tc>
      <w:tc>
        <w:tcPr>
          <w:tcW w:w="1064" w:type="dxa"/>
          <w:tcMar>
            <w:top w:w="142" w:type="dxa"/>
            <w:bottom w:w="0" w:type="dxa"/>
          </w:tcMar>
        </w:tcPr>
        <w:p w14:paraId="271E2698" w14:textId="77777777" w:rsidR="00226640" w:rsidRPr="00981D66" w:rsidRDefault="00226640" w:rsidP="00A03D76">
          <w:pPr>
            <w:pStyle w:val="Footer"/>
            <w:jc w:val="center"/>
          </w:pPr>
          <w:r w:rsidRPr="00981D66">
            <w:t xml:space="preserve">Page </w:t>
          </w:r>
          <w:r w:rsidRPr="00981D66">
            <w:fldChar w:fldCharType="begin"/>
          </w:r>
          <w:r w:rsidRPr="00981D66">
            <w:instrText xml:space="preserve"> PAGE  \* Arabic  \* MERGEFORMAT </w:instrText>
          </w:r>
          <w:r w:rsidRPr="00981D66">
            <w:fldChar w:fldCharType="separate"/>
          </w:r>
          <w:r w:rsidR="00D266EA">
            <w:rPr>
              <w:noProof/>
            </w:rPr>
            <w:t>23</w:t>
          </w:r>
          <w:r w:rsidRPr="00981D66">
            <w:fldChar w:fldCharType="end"/>
          </w:r>
          <w:r w:rsidRPr="00981D66">
            <w:t xml:space="preserve"> of </w:t>
          </w:r>
          <w:fldSimple w:instr=" NUMPAGES  \* Arabic  \* MERGEFORMAT ">
            <w:r w:rsidR="00D266EA">
              <w:rPr>
                <w:noProof/>
              </w:rPr>
              <w:t>64</w:t>
            </w:r>
          </w:fldSimple>
        </w:p>
      </w:tc>
    </w:tr>
  </w:tbl>
  <w:p w14:paraId="11617DFD" w14:textId="77777777" w:rsidR="00226640" w:rsidRDefault="0022664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26640" w:rsidRPr="00487162" w14:paraId="2EC4A2AB" w14:textId="77777777" w:rsidTr="00E45619">
      <w:trPr>
        <w:trHeight w:val="269"/>
      </w:trPr>
      <w:tc>
        <w:tcPr>
          <w:tcW w:w="4519" w:type="dxa"/>
          <w:tcBorders>
            <w:top w:val="single" w:sz="4" w:space="0" w:color="auto"/>
          </w:tcBorders>
          <w:tcMar>
            <w:top w:w="142" w:type="dxa"/>
            <w:bottom w:w="0" w:type="dxa"/>
          </w:tcMar>
        </w:tcPr>
        <w:p w14:paraId="1E57B2E1" w14:textId="77777777" w:rsidR="00226640" w:rsidRPr="00487162" w:rsidRDefault="00226640" w:rsidP="00FE1DEE">
          <w:pPr>
            <w:pStyle w:val="Footer"/>
          </w:pPr>
          <w:r w:rsidRPr="00487162">
            <w:t>Document title, Part #, Section # - Section title</w:t>
          </w:r>
        </w:p>
        <w:p w14:paraId="2576178A" w14:textId="77777777" w:rsidR="00226640" w:rsidRPr="00487162" w:rsidRDefault="00226640" w:rsidP="00FE1DEE">
          <w:pPr>
            <w:pStyle w:val="Footer"/>
          </w:pPr>
          <w:r w:rsidRPr="00487162">
            <w:t>V1.0 October 2010</w:t>
          </w:r>
        </w:p>
      </w:tc>
      <w:tc>
        <w:tcPr>
          <w:tcW w:w="4342" w:type="dxa"/>
          <w:tcBorders>
            <w:top w:val="single" w:sz="4" w:space="0" w:color="auto"/>
          </w:tcBorders>
          <w:tcMar>
            <w:top w:w="142" w:type="dxa"/>
            <w:bottom w:w="0" w:type="dxa"/>
          </w:tcMar>
        </w:tcPr>
        <w:p w14:paraId="3E71CCA5" w14:textId="17B457C7" w:rsidR="00226640" w:rsidRPr="00487162" w:rsidRDefault="0022664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48A153F6" w14:textId="77777777" w:rsidR="00226640" w:rsidRDefault="002266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66B7A" w14:textId="77777777" w:rsidR="00226640" w:rsidRDefault="0022664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26640" w14:paraId="176734CA" w14:textId="77777777" w:rsidTr="0010601F">
      <w:trPr>
        <w:trHeight w:val="108"/>
      </w:trPr>
      <w:tc>
        <w:tcPr>
          <w:tcW w:w="8875" w:type="dxa"/>
          <w:gridSpan w:val="2"/>
          <w:tcBorders>
            <w:bottom w:val="single" w:sz="4" w:space="0" w:color="auto"/>
          </w:tcBorders>
          <w:tcMar>
            <w:right w:w="284" w:type="dxa"/>
          </w:tcMar>
        </w:tcPr>
        <w:p w14:paraId="0CEB03E7" w14:textId="77777777" w:rsidR="00226640" w:rsidRDefault="00226640" w:rsidP="006E08B3">
          <w:pPr>
            <w:pStyle w:val="Heading3"/>
          </w:pPr>
          <w:r>
            <w:t>Copyright</w:t>
          </w:r>
        </w:p>
        <w:p w14:paraId="2F016540" w14:textId="77777777" w:rsidR="00226640" w:rsidRDefault="00226640" w:rsidP="006E08B3">
          <w:r>
            <w:rPr>
              <w:rFonts w:cs="Arial"/>
            </w:rPr>
            <w:t>©</w:t>
          </w:r>
          <w:r>
            <w:t xml:space="preserve"> Commonwealth of Australia (add year)</w:t>
          </w:r>
        </w:p>
        <w:p w14:paraId="639601CB" w14:textId="77777777" w:rsidR="00226640" w:rsidRDefault="00226640" w:rsidP="006E08B3"/>
        <w:p w14:paraId="0CCFB5C5" w14:textId="77777777" w:rsidR="00226640" w:rsidRDefault="0022664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77D050F" w14:textId="77777777" w:rsidR="00226640" w:rsidRDefault="00226640" w:rsidP="006E08B3"/>
        <w:p w14:paraId="3237D6A8" w14:textId="77777777" w:rsidR="00226640" w:rsidRDefault="00226640" w:rsidP="006E08B3">
          <w:pPr>
            <w:pStyle w:val="Heading3"/>
          </w:pPr>
          <w:r>
            <w:t>Confidentiality</w:t>
          </w:r>
        </w:p>
        <w:p w14:paraId="2332CC71" w14:textId="77777777" w:rsidR="00226640" w:rsidRDefault="0022664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ED9C39E" w14:textId="77777777" w:rsidR="00226640" w:rsidRDefault="00226640" w:rsidP="006E08B3"/>
        <w:p w14:paraId="333289EC" w14:textId="77777777" w:rsidR="00226640" w:rsidRDefault="00226640" w:rsidP="006E08B3">
          <w:r>
            <w:t>For submission made by individuals, all personal details, other than your name, will be removed from your submission before it is published on the TGA’s Internet site.</w:t>
          </w:r>
        </w:p>
        <w:p w14:paraId="34E1F096" w14:textId="77777777" w:rsidR="00226640" w:rsidRDefault="00226640" w:rsidP="006E08B3"/>
        <w:p w14:paraId="5AD779C4" w14:textId="77777777" w:rsidR="00226640" w:rsidRDefault="00226640" w:rsidP="006E08B3">
          <w:r>
            <w:t>In addition, a list of parties making submissions will be published. If you do not wish to be identified with your submission you must specifically request this in the space provided ib the submission coversheet.</w:t>
          </w:r>
        </w:p>
      </w:tc>
    </w:tr>
    <w:tr w:rsidR="00226640" w14:paraId="6285E9C2" w14:textId="77777777" w:rsidTr="0010601F">
      <w:trPr>
        <w:trHeight w:val="417"/>
      </w:trPr>
      <w:tc>
        <w:tcPr>
          <w:tcW w:w="4519" w:type="dxa"/>
          <w:tcBorders>
            <w:top w:val="single" w:sz="4" w:space="0" w:color="auto"/>
          </w:tcBorders>
          <w:tcMar>
            <w:top w:w="142" w:type="dxa"/>
            <w:bottom w:w="0" w:type="dxa"/>
          </w:tcMar>
        </w:tcPr>
        <w:p w14:paraId="6D60E207" w14:textId="77777777" w:rsidR="00226640" w:rsidRDefault="00226640" w:rsidP="006E08B3">
          <w:r>
            <w:t>Document title, Part #, Section # - Section title</w:t>
          </w:r>
        </w:p>
        <w:p w14:paraId="38CC0CAC" w14:textId="77777777" w:rsidR="00226640" w:rsidRDefault="00226640" w:rsidP="006E08B3">
          <w:r>
            <w:t>V1.0 October 2010</w:t>
          </w:r>
        </w:p>
      </w:tc>
      <w:tc>
        <w:tcPr>
          <w:tcW w:w="4356" w:type="dxa"/>
          <w:tcBorders>
            <w:top w:val="single" w:sz="4" w:space="0" w:color="auto"/>
          </w:tcBorders>
          <w:tcMar>
            <w:top w:w="142" w:type="dxa"/>
            <w:bottom w:w="0" w:type="dxa"/>
          </w:tcMar>
        </w:tcPr>
        <w:p w14:paraId="070EEC25" w14:textId="77DC8FA4" w:rsidR="00226640" w:rsidRDefault="0022664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466598A9" w14:textId="77777777" w:rsidR="00226640" w:rsidRDefault="002266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4DDE7" w14:textId="77777777" w:rsidR="00226640" w:rsidRDefault="00226640" w:rsidP="00C40A36">
      <w:pPr>
        <w:spacing w:after="0"/>
      </w:pPr>
      <w:r>
        <w:separator/>
      </w:r>
    </w:p>
  </w:footnote>
  <w:footnote w:type="continuationSeparator" w:id="0">
    <w:p w14:paraId="239C3C94" w14:textId="77777777" w:rsidR="00226640" w:rsidRDefault="00226640" w:rsidP="00C40A36">
      <w:pPr>
        <w:spacing w:after="0"/>
      </w:pPr>
      <w:r>
        <w:continuationSeparator/>
      </w:r>
    </w:p>
  </w:footnote>
  <w:footnote w:id="1">
    <w:p w14:paraId="559D4A83" w14:textId="77777777" w:rsidR="00226640" w:rsidRPr="00485206" w:rsidRDefault="00226640" w:rsidP="0052032C">
      <w:pPr>
        <w:pStyle w:val="FootnoteText"/>
        <w:rPr>
          <w:lang w:val="en-US"/>
        </w:rPr>
      </w:pPr>
      <w:r w:rsidRPr="00275451">
        <w:rPr>
          <w:rStyle w:val="FootnoteReference"/>
          <w:sz w:val="18"/>
          <w:szCs w:val="18"/>
        </w:rPr>
        <w:footnoteRef/>
      </w:r>
      <w:r w:rsidRPr="00275451">
        <w:rPr>
          <w:sz w:val="18"/>
          <w:szCs w:val="18"/>
        </w:rPr>
        <w:t xml:space="preserve"> </w:t>
      </w:r>
      <w:r w:rsidRPr="00275451">
        <w:rPr>
          <w:sz w:val="18"/>
          <w:szCs w:val="18"/>
          <w:lang w:val="en-US"/>
        </w:rPr>
        <w:t>Australia, Belgium, Canada, China, Czech Republic, Finland, France, Germany, Hungary, Israel, Italy, Japan, Russia, Spain, Sweden, Taiwan, United Kingdom, and USA</w:t>
      </w:r>
      <w:r w:rsidRPr="0052032C">
        <w:rPr>
          <w:sz w:val="21"/>
          <w:lang w:val="en-US"/>
        </w:rPr>
        <w:t>.</w:t>
      </w:r>
    </w:p>
  </w:footnote>
  <w:footnote w:id="2">
    <w:p w14:paraId="7026F2E6" w14:textId="7ABEE4C5" w:rsidR="00226640" w:rsidRPr="009B525E" w:rsidRDefault="00226640">
      <w:pPr>
        <w:pStyle w:val="FootnoteText"/>
        <w:rPr>
          <w:lang w:val="en-US"/>
        </w:rPr>
      </w:pPr>
      <w:r w:rsidRPr="00D266EA">
        <w:rPr>
          <w:rStyle w:val="FootnoteReference"/>
          <w:sz w:val="18"/>
          <w:szCs w:val="18"/>
        </w:rPr>
        <w:footnoteRef/>
      </w:r>
      <w:r>
        <w:rPr>
          <w:sz w:val="18"/>
          <w:szCs w:val="18"/>
        </w:rPr>
        <w:t xml:space="preserve"> </w:t>
      </w:r>
      <w:r w:rsidRPr="009B525E">
        <w:rPr>
          <w:sz w:val="18"/>
          <w:szCs w:val="18"/>
        </w:rPr>
        <w:t>In both treatment groups, the incidence of deaths, deaths due to AEs, Grade 3- 5 AEs, SAEs, and AE leading to withdrawal from treatment was higher in patients with a creatinine clearance &lt;50 mL/min compared with patients with creatinine clearance &gt;50 mL/min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B1AC9" w14:textId="77777777" w:rsidR="00226640" w:rsidRDefault="0022664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87657" w14:textId="77777777" w:rsidR="00226640" w:rsidRDefault="00226640">
    <w:pPr>
      <w:rPr>
        <w:noProof/>
        <w:lang w:eastAsia="en-AU"/>
      </w:rPr>
    </w:pPr>
    <w:r w:rsidRPr="002D545C">
      <w:rPr>
        <w:noProof/>
        <w:lang w:eastAsia="en-AU"/>
      </w:rPr>
      <w:drawing>
        <wp:anchor distT="0" distB="0" distL="114300" distR="114300" simplePos="0" relativeHeight="251659264" behindDoc="1" locked="0" layoutInCell="1" allowOverlap="1" wp14:anchorId="759A0246" wp14:editId="30561B7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0C0C125" w14:textId="77777777" w:rsidR="00226640" w:rsidRDefault="00226640" w:rsidP="00593AD1">
    <w:pPr>
      <w:pStyle w:val="HeaderNoLine"/>
    </w:pPr>
    <w:r>
      <w:rPr>
        <w:noProof/>
        <w:lang w:eastAsia="en-AU"/>
      </w:rPr>
      <w:drawing>
        <wp:inline distT="0" distB="0" distL="0" distR="0" wp14:anchorId="72684439" wp14:editId="250E2E0D">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1F1D2" w14:textId="77777777" w:rsidR="00226640" w:rsidRDefault="0022664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69D29" w14:textId="77777777" w:rsidR="00226640" w:rsidRDefault="0022664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5DC09" w14:textId="77777777" w:rsidR="00226640" w:rsidRDefault="0022664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61705" w14:textId="77777777" w:rsidR="00226640" w:rsidRDefault="0022664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4B467" w14:textId="77777777" w:rsidR="00226640" w:rsidRDefault="0022664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4650A" w14:textId="77777777" w:rsidR="00226640" w:rsidRDefault="00226640" w:rsidP="006E08B3">
    <w:r>
      <w:t>Therapeutic Goods Administration</w:t>
    </w:r>
  </w:p>
  <w:p w14:paraId="43E53B07" w14:textId="77777777" w:rsidR="00226640" w:rsidRDefault="0022664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463" w:hanging="358"/>
      </w:pPr>
      <w:rPr>
        <w:rFonts w:ascii="Symbol" w:hAnsi="Symbol" w:cs="Symbol"/>
        <w:b w:val="0"/>
        <w:bCs w:val="0"/>
        <w:w w:val="99"/>
        <w:sz w:val="20"/>
        <w:szCs w:val="20"/>
      </w:rPr>
    </w:lvl>
    <w:lvl w:ilvl="1">
      <w:numFmt w:val="bullet"/>
      <w:lvlText w:val="•"/>
      <w:lvlJc w:val="left"/>
      <w:pPr>
        <w:ind w:left="1035" w:hanging="358"/>
      </w:pPr>
    </w:lvl>
    <w:lvl w:ilvl="2">
      <w:numFmt w:val="bullet"/>
      <w:lvlText w:val="•"/>
      <w:lvlJc w:val="left"/>
      <w:pPr>
        <w:ind w:left="1611" w:hanging="358"/>
      </w:pPr>
    </w:lvl>
    <w:lvl w:ilvl="3">
      <w:numFmt w:val="bullet"/>
      <w:lvlText w:val="•"/>
      <w:lvlJc w:val="left"/>
      <w:pPr>
        <w:ind w:left="2187" w:hanging="358"/>
      </w:pPr>
    </w:lvl>
    <w:lvl w:ilvl="4">
      <w:numFmt w:val="bullet"/>
      <w:lvlText w:val="•"/>
      <w:lvlJc w:val="left"/>
      <w:pPr>
        <w:ind w:left="2763" w:hanging="358"/>
      </w:pPr>
    </w:lvl>
    <w:lvl w:ilvl="5">
      <w:numFmt w:val="bullet"/>
      <w:lvlText w:val="•"/>
      <w:lvlJc w:val="left"/>
      <w:pPr>
        <w:ind w:left="3339" w:hanging="358"/>
      </w:pPr>
    </w:lvl>
    <w:lvl w:ilvl="6">
      <w:numFmt w:val="bullet"/>
      <w:lvlText w:val="•"/>
      <w:lvlJc w:val="left"/>
      <w:pPr>
        <w:ind w:left="3915" w:hanging="358"/>
      </w:pPr>
    </w:lvl>
    <w:lvl w:ilvl="7">
      <w:numFmt w:val="bullet"/>
      <w:lvlText w:val="•"/>
      <w:lvlJc w:val="left"/>
      <w:pPr>
        <w:ind w:left="4490" w:hanging="358"/>
      </w:pPr>
    </w:lvl>
    <w:lvl w:ilvl="8">
      <w:numFmt w:val="bullet"/>
      <w:lvlText w:val="•"/>
      <w:lvlJc w:val="left"/>
      <w:pPr>
        <w:ind w:left="5066" w:hanging="358"/>
      </w:p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40D794D"/>
    <w:multiLevelType w:val="hybridMultilevel"/>
    <w:tmpl w:val="8B640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A4C7E3D"/>
    <w:multiLevelType w:val="hybridMultilevel"/>
    <w:tmpl w:val="627CC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2F4117E"/>
    <w:multiLevelType w:val="hybridMultilevel"/>
    <w:tmpl w:val="9B022A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70276E"/>
    <w:multiLevelType w:val="hybridMultilevel"/>
    <w:tmpl w:val="A574F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66740A"/>
    <w:multiLevelType w:val="hybridMultilevel"/>
    <w:tmpl w:val="DD26A3C8"/>
    <w:lvl w:ilvl="0" w:tplc="AAAE3F22">
      <w:start w:val="1"/>
      <w:numFmt w:val="bullet"/>
      <w:pStyle w:val="Bullet1"/>
      <w:lvlText w:val="•"/>
      <w:lvlJc w:val="left"/>
      <w:pPr>
        <w:tabs>
          <w:tab w:val="num" w:pos="851"/>
        </w:tabs>
        <w:ind w:left="851" w:hanging="284"/>
      </w:pPr>
      <w:rPr>
        <w:rFonts w:ascii="Times New Roman" w:hAnsi="Times New Roman" w:cs="Times New Roman" w:hint="default"/>
      </w:rPr>
    </w:lvl>
    <w:lvl w:ilvl="1" w:tplc="0C090003">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555B4BE9"/>
    <w:multiLevelType w:val="hybridMultilevel"/>
    <w:tmpl w:val="F37EE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C4501AD"/>
    <w:multiLevelType w:val="hybridMultilevel"/>
    <w:tmpl w:val="E488D5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60D63405"/>
    <w:multiLevelType w:val="hybridMultilevel"/>
    <w:tmpl w:val="A8D8E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3F33564"/>
    <w:multiLevelType w:val="hybridMultilevel"/>
    <w:tmpl w:val="0B8A2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4"/>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16"/>
  </w:num>
  <w:num w:numId="7">
    <w:abstractNumId w:val="8"/>
  </w:num>
  <w:num w:numId="8">
    <w:abstractNumId w:val="9"/>
  </w:num>
  <w:num w:numId="9">
    <w:abstractNumId w:val="1"/>
  </w:num>
  <w:num w:numId="10">
    <w:abstractNumId w:val="14"/>
  </w:num>
  <w:num w:numId="11">
    <w:abstractNumId w:val="10"/>
  </w:num>
  <w:num w:numId="12">
    <w:abstractNumId w:val="3"/>
  </w:num>
  <w:num w:numId="13">
    <w:abstractNumId w:val="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2"/>
  </w:num>
  <w:num w:numId="17">
    <w:abstractNumId w:val="6"/>
  </w:num>
  <w:num w:numId="18">
    <w:abstractNumId w:val="11"/>
  </w:num>
  <w:num w:numId="19">
    <w:abstractNumId w:val="13"/>
  </w:num>
  <w:num w:numId="20">
    <w:abstractNumId w:val="0"/>
  </w:num>
  <w:num w:numId="2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410"/>
    <w:rsid w:val="00002031"/>
    <w:rsid w:val="00004734"/>
    <w:rsid w:val="00006B22"/>
    <w:rsid w:val="0001276A"/>
    <w:rsid w:val="000246AE"/>
    <w:rsid w:val="00025C67"/>
    <w:rsid w:val="00040ACB"/>
    <w:rsid w:val="0005559E"/>
    <w:rsid w:val="000633AF"/>
    <w:rsid w:val="00066D24"/>
    <w:rsid w:val="00067D95"/>
    <w:rsid w:val="00070386"/>
    <w:rsid w:val="0007655B"/>
    <w:rsid w:val="00077775"/>
    <w:rsid w:val="00090471"/>
    <w:rsid w:val="00097B5E"/>
    <w:rsid w:val="000A3AED"/>
    <w:rsid w:val="000A63AF"/>
    <w:rsid w:val="000B2AEB"/>
    <w:rsid w:val="000B3532"/>
    <w:rsid w:val="000B3A75"/>
    <w:rsid w:val="000C690F"/>
    <w:rsid w:val="000D1295"/>
    <w:rsid w:val="000D391B"/>
    <w:rsid w:val="000D3D6D"/>
    <w:rsid w:val="000D4FC7"/>
    <w:rsid w:val="000F02F9"/>
    <w:rsid w:val="000F3C9D"/>
    <w:rsid w:val="000F4869"/>
    <w:rsid w:val="000F5B42"/>
    <w:rsid w:val="000F6E6F"/>
    <w:rsid w:val="000F7708"/>
    <w:rsid w:val="001017B9"/>
    <w:rsid w:val="0010193C"/>
    <w:rsid w:val="00104613"/>
    <w:rsid w:val="0010601F"/>
    <w:rsid w:val="0010788A"/>
    <w:rsid w:val="00107A31"/>
    <w:rsid w:val="00110EA5"/>
    <w:rsid w:val="00112F56"/>
    <w:rsid w:val="00121989"/>
    <w:rsid w:val="00125318"/>
    <w:rsid w:val="001305A2"/>
    <w:rsid w:val="0013073A"/>
    <w:rsid w:val="00133238"/>
    <w:rsid w:val="0014197B"/>
    <w:rsid w:val="001447CD"/>
    <w:rsid w:val="001516B1"/>
    <w:rsid w:val="00154EBB"/>
    <w:rsid w:val="00156316"/>
    <w:rsid w:val="0016371D"/>
    <w:rsid w:val="00165389"/>
    <w:rsid w:val="00167618"/>
    <w:rsid w:val="0017078F"/>
    <w:rsid w:val="00171BC5"/>
    <w:rsid w:val="0017693F"/>
    <w:rsid w:val="0018110E"/>
    <w:rsid w:val="00181684"/>
    <w:rsid w:val="00181C3A"/>
    <w:rsid w:val="001839C3"/>
    <w:rsid w:val="001843C6"/>
    <w:rsid w:val="001850E0"/>
    <w:rsid w:val="001A2158"/>
    <w:rsid w:val="001A525F"/>
    <w:rsid w:val="001B09F9"/>
    <w:rsid w:val="001B2774"/>
    <w:rsid w:val="001B5207"/>
    <w:rsid w:val="001B5D98"/>
    <w:rsid w:val="001B6448"/>
    <w:rsid w:val="001C657B"/>
    <w:rsid w:val="001C73D6"/>
    <w:rsid w:val="001D0B7C"/>
    <w:rsid w:val="001D4399"/>
    <w:rsid w:val="001E07CF"/>
    <w:rsid w:val="001E1486"/>
    <w:rsid w:val="001E59F1"/>
    <w:rsid w:val="001F1326"/>
    <w:rsid w:val="001F2E58"/>
    <w:rsid w:val="001F497A"/>
    <w:rsid w:val="001F49EB"/>
    <w:rsid w:val="001F6CBA"/>
    <w:rsid w:val="00201D4E"/>
    <w:rsid w:val="002076C9"/>
    <w:rsid w:val="00220B8A"/>
    <w:rsid w:val="002257F3"/>
    <w:rsid w:val="00226640"/>
    <w:rsid w:val="00233456"/>
    <w:rsid w:val="002339A5"/>
    <w:rsid w:val="00235F4A"/>
    <w:rsid w:val="00246D1B"/>
    <w:rsid w:val="00246DAA"/>
    <w:rsid w:val="002470A0"/>
    <w:rsid w:val="00257848"/>
    <w:rsid w:val="002666AC"/>
    <w:rsid w:val="0027084A"/>
    <w:rsid w:val="00275451"/>
    <w:rsid w:val="00284FC2"/>
    <w:rsid w:val="002859FD"/>
    <w:rsid w:val="00286434"/>
    <w:rsid w:val="00286C59"/>
    <w:rsid w:val="00290128"/>
    <w:rsid w:val="00292113"/>
    <w:rsid w:val="002942D1"/>
    <w:rsid w:val="0029501A"/>
    <w:rsid w:val="002B1638"/>
    <w:rsid w:val="002B315B"/>
    <w:rsid w:val="002C079F"/>
    <w:rsid w:val="002C4679"/>
    <w:rsid w:val="002C63ED"/>
    <w:rsid w:val="002D545C"/>
    <w:rsid w:val="002D6161"/>
    <w:rsid w:val="002E2E35"/>
    <w:rsid w:val="002E4C9A"/>
    <w:rsid w:val="002E6E3E"/>
    <w:rsid w:val="002F11F8"/>
    <w:rsid w:val="002F3F56"/>
    <w:rsid w:val="002F44B5"/>
    <w:rsid w:val="002F7E0A"/>
    <w:rsid w:val="003103A8"/>
    <w:rsid w:val="00311AC0"/>
    <w:rsid w:val="00322DB6"/>
    <w:rsid w:val="0032583B"/>
    <w:rsid w:val="00327883"/>
    <w:rsid w:val="00333382"/>
    <w:rsid w:val="00335504"/>
    <w:rsid w:val="00342B67"/>
    <w:rsid w:val="003442FE"/>
    <w:rsid w:val="003521E8"/>
    <w:rsid w:val="00353B40"/>
    <w:rsid w:val="003728F3"/>
    <w:rsid w:val="0037496E"/>
    <w:rsid w:val="0037623D"/>
    <w:rsid w:val="00386150"/>
    <w:rsid w:val="003874CE"/>
    <w:rsid w:val="00390900"/>
    <w:rsid w:val="00392F42"/>
    <w:rsid w:val="00396C92"/>
    <w:rsid w:val="003A7F6C"/>
    <w:rsid w:val="003B1113"/>
    <w:rsid w:val="003B4D60"/>
    <w:rsid w:val="003B634F"/>
    <w:rsid w:val="003B7E39"/>
    <w:rsid w:val="003C58DC"/>
    <w:rsid w:val="003D0128"/>
    <w:rsid w:val="003D0A3B"/>
    <w:rsid w:val="003D1E62"/>
    <w:rsid w:val="003D3C4B"/>
    <w:rsid w:val="003D4CC4"/>
    <w:rsid w:val="003D7B9C"/>
    <w:rsid w:val="003E03C8"/>
    <w:rsid w:val="003E2486"/>
    <w:rsid w:val="003E3208"/>
    <w:rsid w:val="003E441F"/>
    <w:rsid w:val="003E6EBC"/>
    <w:rsid w:val="003F0B04"/>
    <w:rsid w:val="003F2588"/>
    <w:rsid w:val="0040134E"/>
    <w:rsid w:val="00403F0E"/>
    <w:rsid w:val="00415D59"/>
    <w:rsid w:val="00425634"/>
    <w:rsid w:val="0043797D"/>
    <w:rsid w:val="00440A2D"/>
    <w:rsid w:val="004474CC"/>
    <w:rsid w:val="004564A7"/>
    <w:rsid w:val="00461768"/>
    <w:rsid w:val="004617BF"/>
    <w:rsid w:val="00463658"/>
    <w:rsid w:val="004722CC"/>
    <w:rsid w:val="004813BE"/>
    <w:rsid w:val="004846EE"/>
    <w:rsid w:val="004936E4"/>
    <w:rsid w:val="00494E60"/>
    <w:rsid w:val="00497487"/>
    <w:rsid w:val="004A2410"/>
    <w:rsid w:val="004A481D"/>
    <w:rsid w:val="004A7E13"/>
    <w:rsid w:val="004B3C2B"/>
    <w:rsid w:val="004B7B76"/>
    <w:rsid w:val="004C2DCA"/>
    <w:rsid w:val="004C75AB"/>
    <w:rsid w:val="004E437D"/>
    <w:rsid w:val="004F0F38"/>
    <w:rsid w:val="004F4AF5"/>
    <w:rsid w:val="00501921"/>
    <w:rsid w:val="00512FBA"/>
    <w:rsid w:val="0051307B"/>
    <w:rsid w:val="0052032C"/>
    <w:rsid w:val="00523AF0"/>
    <w:rsid w:val="00530354"/>
    <w:rsid w:val="0053625B"/>
    <w:rsid w:val="005434C6"/>
    <w:rsid w:val="00543B39"/>
    <w:rsid w:val="005440F6"/>
    <w:rsid w:val="00544EA6"/>
    <w:rsid w:val="00546E24"/>
    <w:rsid w:val="005479C9"/>
    <w:rsid w:val="00550096"/>
    <w:rsid w:val="00553203"/>
    <w:rsid w:val="00557FF9"/>
    <w:rsid w:val="00565D7A"/>
    <w:rsid w:val="005704DD"/>
    <w:rsid w:val="00576378"/>
    <w:rsid w:val="00577945"/>
    <w:rsid w:val="00577E38"/>
    <w:rsid w:val="005850AF"/>
    <w:rsid w:val="00585322"/>
    <w:rsid w:val="005857C6"/>
    <w:rsid w:val="00586F98"/>
    <w:rsid w:val="00592F6E"/>
    <w:rsid w:val="00593AD1"/>
    <w:rsid w:val="005A41C2"/>
    <w:rsid w:val="005A44E3"/>
    <w:rsid w:val="005A68B6"/>
    <w:rsid w:val="005B79FC"/>
    <w:rsid w:val="005C5570"/>
    <w:rsid w:val="005C79A4"/>
    <w:rsid w:val="005D5442"/>
    <w:rsid w:val="005E03D2"/>
    <w:rsid w:val="00603F32"/>
    <w:rsid w:val="0061377F"/>
    <w:rsid w:val="0061379C"/>
    <w:rsid w:val="006170F0"/>
    <w:rsid w:val="00620406"/>
    <w:rsid w:val="00632398"/>
    <w:rsid w:val="00640FC3"/>
    <w:rsid w:val="00642020"/>
    <w:rsid w:val="00646206"/>
    <w:rsid w:val="0065337B"/>
    <w:rsid w:val="0065419D"/>
    <w:rsid w:val="006604D8"/>
    <w:rsid w:val="00660E55"/>
    <w:rsid w:val="00664A5B"/>
    <w:rsid w:val="006763D2"/>
    <w:rsid w:val="00676C51"/>
    <w:rsid w:val="00680C08"/>
    <w:rsid w:val="00692378"/>
    <w:rsid w:val="006931B1"/>
    <w:rsid w:val="00693B60"/>
    <w:rsid w:val="00696603"/>
    <w:rsid w:val="006A15C0"/>
    <w:rsid w:val="006B354B"/>
    <w:rsid w:val="006B4C50"/>
    <w:rsid w:val="006B4FD4"/>
    <w:rsid w:val="006C130C"/>
    <w:rsid w:val="006C3E2A"/>
    <w:rsid w:val="006C49D3"/>
    <w:rsid w:val="006C642F"/>
    <w:rsid w:val="006D03E5"/>
    <w:rsid w:val="006D11BA"/>
    <w:rsid w:val="006D33B3"/>
    <w:rsid w:val="006D5D3E"/>
    <w:rsid w:val="006D7721"/>
    <w:rsid w:val="006E08B3"/>
    <w:rsid w:val="006E576E"/>
    <w:rsid w:val="006F17AC"/>
    <w:rsid w:val="006F1D37"/>
    <w:rsid w:val="006F26D0"/>
    <w:rsid w:val="006F2796"/>
    <w:rsid w:val="006F572E"/>
    <w:rsid w:val="007046D6"/>
    <w:rsid w:val="00705DB0"/>
    <w:rsid w:val="00705E66"/>
    <w:rsid w:val="00722B57"/>
    <w:rsid w:val="0073712A"/>
    <w:rsid w:val="00737E62"/>
    <w:rsid w:val="0074253D"/>
    <w:rsid w:val="0074429B"/>
    <w:rsid w:val="007513B4"/>
    <w:rsid w:val="007615BC"/>
    <w:rsid w:val="00762291"/>
    <w:rsid w:val="00762F05"/>
    <w:rsid w:val="007652FF"/>
    <w:rsid w:val="00770EF1"/>
    <w:rsid w:val="00773EF7"/>
    <w:rsid w:val="00774E1D"/>
    <w:rsid w:val="0077675A"/>
    <w:rsid w:val="00780355"/>
    <w:rsid w:val="00785721"/>
    <w:rsid w:val="007876FE"/>
    <w:rsid w:val="00793A59"/>
    <w:rsid w:val="007B30C5"/>
    <w:rsid w:val="007B6E9F"/>
    <w:rsid w:val="007C1216"/>
    <w:rsid w:val="007C1AF7"/>
    <w:rsid w:val="007E6E27"/>
    <w:rsid w:val="007F30CD"/>
    <w:rsid w:val="007F3E00"/>
    <w:rsid w:val="00805D27"/>
    <w:rsid w:val="00807AAB"/>
    <w:rsid w:val="00820AB9"/>
    <w:rsid w:val="00821776"/>
    <w:rsid w:val="008321F5"/>
    <w:rsid w:val="00832369"/>
    <w:rsid w:val="00834660"/>
    <w:rsid w:val="00834B3C"/>
    <w:rsid w:val="00836BC2"/>
    <w:rsid w:val="00837994"/>
    <w:rsid w:val="008414A0"/>
    <w:rsid w:val="008531A2"/>
    <w:rsid w:val="0085641B"/>
    <w:rsid w:val="00857136"/>
    <w:rsid w:val="008806D3"/>
    <w:rsid w:val="00885DD4"/>
    <w:rsid w:val="00886D15"/>
    <w:rsid w:val="00887DD8"/>
    <w:rsid w:val="00896018"/>
    <w:rsid w:val="008960DD"/>
    <w:rsid w:val="0089635C"/>
    <w:rsid w:val="008A2B9D"/>
    <w:rsid w:val="008A3C13"/>
    <w:rsid w:val="008A49BF"/>
    <w:rsid w:val="008A5E0B"/>
    <w:rsid w:val="008A6D59"/>
    <w:rsid w:val="008B4B03"/>
    <w:rsid w:val="008B596F"/>
    <w:rsid w:val="008B5A3E"/>
    <w:rsid w:val="008B5FE0"/>
    <w:rsid w:val="008C159F"/>
    <w:rsid w:val="008C1623"/>
    <w:rsid w:val="008C1850"/>
    <w:rsid w:val="008C5107"/>
    <w:rsid w:val="008C51A9"/>
    <w:rsid w:val="008D770F"/>
    <w:rsid w:val="008E396E"/>
    <w:rsid w:val="008E7846"/>
    <w:rsid w:val="008F1CCC"/>
    <w:rsid w:val="008F2967"/>
    <w:rsid w:val="008F5BC5"/>
    <w:rsid w:val="008F6943"/>
    <w:rsid w:val="008F69AF"/>
    <w:rsid w:val="00902A21"/>
    <w:rsid w:val="00906445"/>
    <w:rsid w:val="00920330"/>
    <w:rsid w:val="009219D7"/>
    <w:rsid w:val="00922D53"/>
    <w:rsid w:val="00923B70"/>
    <w:rsid w:val="00924482"/>
    <w:rsid w:val="0092619E"/>
    <w:rsid w:val="009270ED"/>
    <w:rsid w:val="00930237"/>
    <w:rsid w:val="009330D3"/>
    <w:rsid w:val="00942FE8"/>
    <w:rsid w:val="009438E8"/>
    <w:rsid w:val="00944138"/>
    <w:rsid w:val="0094614A"/>
    <w:rsid w:val="00946EA5"/>
    <w:rsid w:val="0095160F"/>
    <w:rsid w:val="00955C5D"/>
    <w:rsid w:val="00963C08"/>
    <w:rsid w:val="009660E6"/>
    <w:rsid w:val="00981D66"/>
    <w:rsid w:val="0098585A"/>
    <w:rsid w:val="00986000"/>
    <w:rsid w:val="0098669D"/>
    <w:rsid w:val="0099311F"/>
    <w:rsid w:val="00994C95"/>
    <w:rsid w:val="00996E6D"/>
    <w:rsid w:val="009A1C3B"/>
    <w:rsid w:val="009A4CED"/>
    <w:rsid w:val="009A690D"/>
    <w:rsid w:val="009B1D12"/>
    <w:rsid w:val="009B416B"/>
    <w:rsid w:val="009B5069"/>
    <w:rsid w:val="009B525E"/>
    <w:rsid w:val="009C0F1A"/>
    <w:rsid w:val="009C4BD5"/>
    <w:rsid w:val="009C5BF5"/>
    <w:rsid w:val="009D5156"/>
    <w:rsid w:val="009D7B77"/>
    <w:rsid w:val="009E0BB0"/>
    <w:rsid w:val="009E0FA6"/>
    <w:rsid w:val="009E3FBB"/>
    <w:rsid w:val="009E6F6F"/>
    <w:rsid w:val="009E7D81"/>
    <w:rsid w:val="009F2480"/>
    <w:rsid w:val="00A03498"/>
    <w:rsid w:val="00A03D76"/>
    <w:rsid w:val="00A100D7"/>
    <w:rsid w:val="00A102E4"/>
    <w:rsid w:val="00A12C42"/>
    <w:rsid w:val="00A14DF7"/>
    <w:rsid w:val="00A235D9"/>
    <w:rsid w:val="00A277C3"/>
    <w:rsid w:val="00A3246D"/>
    <w:rsid w:val="00A3388A"/>
    <w:rsid w:val="00A36FA7"/>
    <w:rsid w:val="00A42FF3"/>
    <w:rsid w:val="00A475B7"/>
    <w:rsid w:val="00A47AF7"/>
    <w:rsid w:val="00A47C3E"/>
    <w:rsid w:val="00A47C7C"/>
    <w:rsid w:val="00A50226"/>
    <w:rsid w:val="00A5199F"/>
    <w:rsid w:val="00A60BAD"/>
    <w:rsid w:val="00A81BAE"/>
    <w:rsid w:val="00A964D1"/>
    <w:rsid w:val="00AA0ED0"/>
    <w:rsid w:val="00AA3499"/>
    <w:rsid w:val="00AA719B"/>
    <w:rsid w:val="00AC2B40"/>
    <w:rsid w:val="00AC2BB2"/>
    <w:rsid w:val="00AC2C3C"/>
    <w:rsid w:val="00AC512D"/>
    <w:rsid w:val="00AC6529"/>
    <w:rsid w:val="00AD3C1B"/>
    <w:rsid w:val="00AD7F4C"/>
    <w:rsid w:val="00AE01C2"/>
    <w:rsid w:val="00AE65EB"/>
    <w:rsid w:val="00AE67A7"/>
    <w:rsid w:val="00AE7194"/>
    <w:rsid w:val="00AF1D94"/>
    <w:rsid w:val="00AF60C5"/>
    <w:rsid w:val="00B009C6"/>
    <w:rsid w:val="00B01548"/>
    <w:rsid w:val="00B02208"/>
    <w:rsid w:val="00B024A7"/>
    <w:rsid w:val="00B02BCF"/>
    <w:rsid w:val="00B12345"/>
    <w:rsid w:val="00B1425E"/>
    <w:rsid w:val="00B17FC1"/>
    <w:rsid w:val="00B21D29"/>
    <w:rsid w:val="00B25034"/>
    <w:rsid w:val="00B26933"/>
    <w:rsid w:val="00B275F4"/>
    <w:rsid w:val="00B33588"/>
    <w:rsid w:val="00B33863"/>
    <w:rsid w:val="00B33B49"/>
    <w:rsid w:val="00B3567E"/>
    <w:rsid w:val="00B37D17"/>
    <w:rsid w:val="00B4175E"/>
    <w:rsid w:val="00B452CE"/>
    <w:rsid w:val="00B54C25"/>
    <w:rsid w:val="00B573F1"/>
    <w:rsid w:val="00B57881"/>
    <w:rsid w:val="00B71C50"/>
    <w:rsid w:val="00B737DD"/>
    <w:rsid w:val="00B76B91"/>
    <w:rsid w:val="00B77EB1"/>
    <w:rsid w:val="00B811C6"/>
    <w:rsid w:val="00B85A87"/>
    <w:rsid w:val="00B92E08"/>
    <w:rsid w:val="00B96EBE"/>
    <w:rsid w:val="00B9790A"/>
    <w:rsid w:val="00BA3194"/>
    <w:rsid w:val="00BA3F39"/>
    <w:rsid w:val="00BB2C5B"/>
    <w:rsid w:val="00BC003E"/>
    <w:rsid w:val="00BC622A"/>
    <w:rsid w:val="00BD095D"/>
    <w:rsid w:val="00BD0D21"/>
    <w:rsid w:val="00BD2D86"/>
    <w:rsid w:val="00BD335A"/>
    <w:rsid w:val="00BD45E3"/>
    <w:rsid w:val="00BE0A78"/>
    <w:rsid w:val="00BE1EDE"/>
    <w:rsid w:val="00BE32A6"/>
    <w:rsid w:val="00BE4189"/>
    <w:rsid w:val="00BE5FC0"/>
    <w:rsid w:val="00BE6252"/>
    <w:rsid w:val="00BE79F0"/>
    <w:rsid w:val="00BF046D"/>
    <w:rsid w:val="00BF1190"/>
    <w:rsid w:val="00BF5D04"/>
    <w:rsid w:val="00C1164D"/>
    <w:rsid w:val="00C137CE"/>
    <w:rsid w:val="00C16861"/>
    <w:rsid w:val="00C17D19"/>
    <w:rsid w:val="00C22678"/>
    <w:rsid w:val="00C33717"/>
    <w:rsid w:val="00C404A6"/>
    <w:rsid w:val="00C40A36"/>
    <w:rsid w:val="00C44419"/>
    <w:rsid w:val="00C45E7B"/>
    <w:rsid w:val="00C4625F"/>
    <w:rsid w:val="00C471B1"/>
    <w:rsid w:val="00C479E8"/>
    <w:rsid w:val="00C53EBA"/>
    <w:rsid w:val="00C618F7"/>
    <w:rsid w:val="00C622F2"/>
    <w:rsid w:val="00C6316B"/>
    <w:rsid w:val="00C634A9"/>
    <w:rsid w:val="00C64586"/>
    <w:rsid w:val="00C70D53"/>
    <w:rsid w:val="00C71BA9"/>
    <w:rsid w:val="00C7366C"/>
    <w:rsid w:val="00C73D0B"/>
    <w:rsid w:val="00C74E53"/>
    <w:rsid w:val="00C772FF"/>
    <w:rsid w:val="00C801AF"/>
    <w:rsid w:val="00C80256"/>
    <w:rsid w:val="00C811C0"/>
    <w:rsid w:val="00C85503"/>
    <w:rsid w:val="00C955E3"/>
    <w:rsid w:val="00CB5CD0"/>
    <w:rsid w:val="00CB6BC0"/>
    <w:rsid w:val="00CC1B7C"/>
    <w:rsid w:val="00CC727F"/>
    <w:rsid w:val="00CD2E42"/>
    <w:rsid w:val="00CD3A8C"/>
    <w:rsid w:val="00CD670C"/>
    <w:rsid w:val="00CF15C3"/>
    <w:rsid w:val="00CF1CCA"/>
    <w:rsid w:val="00CF2B6F"/>
    <w:rsid w:val="00CF58B6"/>
    <w:rsid w:val="00D017ED"/>
    <w:rsid w:val="00D040D3"/>
    <w:rsid w:val="00D04C65"/>
    <w:rsid w:val="00D05B91"/>
    <w:rsid w:val="00D224FE"/>
    <w:rsid w:val="00D266EA"/>
    <w:rsid w:val="00D30E87"/>
    <w:rsid w:val="00D412E1"/>
    <w:rsid w:val="00D45512"/>
    <w:rsid w:val="00D500B6"/>
    <w:rsid w:val="00D53A31"/>
    <w:rsid w:val="00D54037"/>
    <w:rsid w:val="00D6152A"/>
    <w:rsid w:val="00D62429"/>
    <w:rsid w:val="00D6493E"/>
    <w:rsid w:val="00D66EBD"/>
    <w:rsid w:val="00D7301E"/>
    <w:rsid w:val="00D83AE1"/>
    <w:rsid w:val="00D83F1E"/>
    <w:rsid w:val="00D855D4"/>
    <w:rsid w:val="00D87961"/>
    <w:rsid w:val="00D93466"/>
    <w:rsid w:val="00DA1124"/>
    <w:rsid w:val="00DB4AD4"/>
    <w:rsid w:val="00DB75B7"/>
    <w:rsid w:val="00DC156B"/>
    <w:rsid w:val="00DC2A7E"/>
    <w:rsid w:val="00DC6E02"/>
    <w:rsid w:val="00DC73BE"/>
    <w:rsid w:val="00DD2B78"/>
    <w:rsid w:val="00DE02AE"/>
    <w:rsid w:val="00DE0EC8"/>
    <w:rsid w:val="00DE4AF9"/>
    <w:rsid w:val="00DF1D7F"/>
    <w:rsid w:val="00DF4BE4"/>
    <w:rsid w:val="00E02FB4"/>
    <w:rsid w:val="00E07F15"/>
    <w:rsid w:val="00E20571"/>
    <w:rsid w:val="00E235F7"/>
    <w:rsid w:val="00E23659"/>
    <w:rsid w:val="00E239D4"/>
    <w:rsid w:val="00E26130"/>
    <w:rsid w:val="00E2741C"/>
    <w:rsid w:val="00E40B22"/>
    <w:rsid w:val="00E4168A"/>
    <w:rsid w:val="00E41BBC"/>
    <w:rsid w:val="00E42DA2"/>
    <w:rsid w:val="00E45619"/>
    <w:rsid w:val="00E4588F"/>
    <w:rsid w:val="00E46DA3"/>
    <w:rsid w:val="00E47929"/>
    <w:rsid w:val="00E51BB1"/>
    <w:rsid w:val="00E533C6"/>
    <w:rsid w:val="00E624A5"/>
    <w:rsid w:val="00E7344E"/>
    <w:rsid w:val="00E77B22"/>
    <w:rsid w:val="00E906DD"/>
    <w:rsid w:val="00E9221E"/>
    <w:rsid w:val="00E936E3"/>
    <w:rsid w:val="00E979F4"/>
    <w:rsid w:val="00EB0798"/>
    <w:rsid w:val="00EB40AD"/>
    <w:rsid w:val="00EB586E"/>
    <w:rsid w:val="00EB5FC8"/>
    <w:rsid w:val="00EC2399"/>
    <w:rsid w:val="00ED3CAD"/>
    <w:rsid w:val="00ED5A41"/>
    <w:rsid w:val="00EE1DE8"/>
    <w:rsid w:val="00EF06B7"/>
    <w:rsid w:val="00EF0C88"/>
    <w:rsid w:val="00F033EC"/>
    <w:rsid w:val="00F03E3F"/>
    <w:rsid w:val="00F04F68"/>
    <w:rsid w:val="00F12670"/>
    <w:rsid w:val="00F12A75"/>
    <w:rsid w:val="00F13D80"/>
    <w:rsid w:val="00F14930"/>
    <w:rsid w:val="00F14B27"/>
    <w:rsid w:val="00F3148D"/>
    <w:rsid w:val="00F325C5"/>
    <w:rsid w:val="00F32FE0"/>
    <w:rsid w:val="00F35298"/>
    <w:rsid w:val="00F47333"/>
    <w:rsid w:val="00F47E37"/>
    <w:rsid w:val="00F53C07"/>
    <w:rsid w:val="00F54B65"/>
    <w:rsid w:val="00F54FD9"/>
    <w:rsid w:val="00F610DA"/>
    <w:rsid w:val="00F63A04"/>
    <w:rsid w:val="00F640B6"/>
    <w:rsid w:val="00F70695"/>
    <w:rsid w:val="00F726B5"/>
    <w:rsid w:val="00F80E40"/>
    <w:rsid w:val="00F848D9"/>
    <w:rsid w:val="00F96D99"/>
    <w:rsid w:val="00FA3256"/>
    <w:rsid w:val="00FA5B82"/>
    <w:rsid w:val="00FA639E"/>
    <w:rsid w:val="00FC25E4"/>
    <w:rsid w:val="00FC4EF7"/>
    <w:rsid w:val="00FE0998"/>
    <w:rsid w:val="00FE1DEE"/>
    <w:rsid w:val="00FF2126"/>
    <w:rsid w:val="00FF5755"/>
    <w:rsid w:val="00FF69BE"/>
    <w:rsid w:val="00FF7B4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F38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266E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iPriority w:val="9"/>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2664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iPriority w:val="99"/>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D0D21"/>
    <w:rPr>
      <w:rFonts w:ascii="Cambria" w:eastAsia="Cambria" w:hAnsi="Cambria" w:cs="Times New Roman"/>
      <w:sz w:val="24"/>
      <w:szCs w:val="24"/>
    </w:rPr>
  </w:style>
  <w:style w:type="character" w:styleId="FootnoteReference">
    <w:name w:val="footnote reference"/>
    <w:basedOn w:val="DefaultParagraphFont"/>
    <w:uiPriority w:val="99"/>
    <w:unhideWhenUsed/>
    <w:rsid w:val="00BD0D21"/>
    <w:rPr>
      <w:vertAlign w:val="superscript"/>
    </w:rPr>
  </w:style>
  <w:style w:type="paragraph" w:styleId="ListParagraph">
    <w:name w:val="List Paragraph"/>
    <w:basedOn w:val="Normal"/>
    <w:uiPriority w:val="1"/>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character" w:customStyle="1" w:styleId="st">
    <w:name w:val="st"/>
    <w:basedOn w:val="DefaultParagraphFont"/>
    <w:rsid w:val="0052032C"/>
  </w:style>
  <w:style w:type="paragraph" w:customStyle="1" w:styleId="mdInstructions">
    <w:name w:val="md_Instructions"/>
    <w:basedOn w:val="Normal"/>
    <w:link w:val="mdInstructionsChar"/>
    <w:uiPriority w:val="99"/>
    <w:qFormat/>
    <w:rsid w:val="0052032C"/>
    <w:pPr>
      <w:spacing w:before="0"/>
    </w:pPr>
    <w:rPr>
      <w:rFonts w:ascii="Times New Roman" w:eastAsia="Times New Roman" w:hAnsi="Times New Roman"/>
      <w:color w:val="FF0000"/>
      <w:sz w:val="20"/>
      <w:szCs w:val="20"/>
      <w:lang w:val="en-US"/>
    </w:rPr>
  </w:style>
  <w:style w:type="character" w:customStyle="1" w:styleId="mdInstructionsChar">
    <w:name w:val="md_Instructions Char"/>
    <w:link w:val="mdInstructions"/>
    <w:uiPriority w:val="99"/>
    <w:rsid w:val="0052032C"/>
    <w:rPr>
      <w:rFonts w:ascii="Times New Roman" w:eastAsia="Times New Roman" w:hAnsi="Times New Roman" w:cs="Times New Roman"/>
      <w:color w:val="FF000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266E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iPriority w:val="9"/>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2664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iPriority w:val="99"/>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D0D21"/>
    <w:rPr>
      <w:rFonts w:ascii="Cambria" w:eastAsia="Cambria" w:hAnsi="Cambria" w:cs="Times New Roman"/>
      <w:sz w:val="24"/>
      <w:szCs w:val="24"/>
    </w:rPr>
  </w:style>
  <w:style w:type="character" w:styleId="FootnoteReference">
    <w:name w:val="footnote reference"/>
    <w:basedOn w:val="DefaultParagraphFont"/>
    <w:uiPriority w:val="99"/>
    <w:unhideWhenUsed/>
    <w:rsid w:val="00BD0D21"/>
    <w:rPr>
      <w:vertAlign w:val="superscript"/>
    </w:rPr>
  </w:style>
  <w:style w:type="paragraph" w:styleId="ListParagraph">
    <w:name w:val="List Paragraph"/>
    <w:basedOn w:val="Normal"/>
    <w:uiPriority w:val="1"/>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character" w:customStyle="1" w:styleId="st">
    <w:name w:val="st"/>
    <w:basedOn w:val="DefaultParagraphFont"/>
    <w:rsid w:val="0052032C"/>
  </w:style>
  <w:style w:type="paragraph" w:customStyle="1" w:styleId="mdInstructions">
    <w:name w:val="md_Instructions"/>
    <w:basedOn w:val="Normal"/>
    <w:link w:val="mdInstructionsChar"/>
    <w:uiPriority w:val="99"/>
    <w:qFormat/>
    <w:rsid w:val="0052032C"/>
    <w:pPr>
      <w:spacing w:before="0"/>
    </w:pPr>
    <w:rPr>
      <w:rFonts w:ascii="Times New Roman" w:eastAsia="Times New Roman" w:hAnsi="Times New Roman"/>
      <w:color w:val="FF0000"/>
      <w:sz w:val="20"/>
      <w:szCs w:val="20"/>
      <w:lang w:val="en-US"/>
    </w:rPr>
  </w:style>
  <w:style w:type="character" w:customStyle="1" w:styleId="mdInstructionsChar">
    <w:name w:val="md_Instructions Char"/>
    <w:link w:val="mdInstructions"/>
    <w:uiPriority w:val="99"/>
    <w:rsid w:val="0052032C"/>
    <w:rPr>
      <w:rFonts w:ascii="Times New Roman" w:eastAsia="Times New Roman" w:hAnsi="Times New Roman" w:cs="Times New Roman"/>
      <w:color w:val="FF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05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768">
          <w:marLeft w:val="0"/>
          <w:marRight w:val="0"/>
          <w:marTop w:val="0"/>
          <w:marBottom w:val="0"/>
          <w:divBdr>
            <w:top w:val="none" w:sz="0" w:space="0" w:color="auto"/>
            <w:left w:val="none" w:sz="0" w:space="0" w:color="auto"/>
            <w:bottom w:val="none" w:sz="0" w:space="0" w:color="auto"/>
            <w:right w:val="none" w:sz="0" w:space="0" w:color="auto"/>
          </w:divBdr>
          <w:divsChild>
            <w:div w:id="1080372763">
              <w:marLeft w:val="0"/>
              <w:marRight w:val="0"/>
              <w:marTop w:val="0"/>
              <w:marBottom w:val="0"/>
              <w:divBdr>
                <w:top w:val="none" w:sz="0" w:space="0" w:color="auto"/>
                <w:left w:val="none" w:sz="0" w:space="0" w:color="auto"/>
                <w:bottom w:val="none" w:sz="0" w:space="0" w:color="auto"/>
                <w:right w:val="none" w:sz="0" w:space="0" w:color="auto"/>
              </w:divBdr>
              <w:divsChild>
                <w:div w:id="677318061">
                  <w:marLeft w:val="0"/>
                  <w:marRight w:val="0"/>
                  <w:marTop w:val="0"/>
                  <w:marBottom w:val="0"/>
                  <w:divBdr>
                    <w:top w:val="none" w:sz="0" w:space="0" w:color="auto"/>
                    <w:left w:val="none" w:sz="0" w:space="0" w:color="auto"/>
                    <w:bottom w:val="none" w:sz="0" w:space="0" w:color="auto"/>
                    <w:right w:val="none" w:sz="0" w:space="0" w:color="auto"/>
                  </w:divBdr>
                </w:div>
                <w:div w:id="780304315">
                  <w:marLeft w:val="0"/>
                  <w:marRight w:val="0"/>
                  <w:marTop w:val="0"/>
                  <w:marBottom w:val="0"/>
                  <w:divBdr>
                    <w:top w:val="none" w:sz="0" w:space="0" w:color="auto"/>
                    <w:left w:val="none" w:sz="0" w:space="0" w:color="auto"/>
                    <w:bottom w:val="none" w:sz="0" w:space="0" w:color="auto"/>
                    <w:right w:val="none" w:sz="0" w:space="0" w:color="auto"/>
                  </w:divBdr>
                </w:div>
                <w:div w:id="1320229794">
                  <w:marLeft w:val="0"/>
                  <w:marRight w:val="0"/>
                  <w:marTop w:val="0"/>
                  <w:marBottom w:val="0"/>
                  <w:divBdr>
                    <w:top w:val="none" w:sz="0" w:space="0" w:color="auto"/>
                    <w:left w:val="none" w:sz="0" w:space="0" w:color="auto"/>
                    <w:bottom w:val="none" w:sz="0" w:space="0" w:color="auto"/>
                    <w:right w:val="none" w:sz="0" w:space="0" w:color="auto"/>
                  </w:divBdr>
                </w:div>
                <w:div w:id="21135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1432">
      <w:bodyDiv w:val="1"/>
      <w:marLeft w:val="0"/>
      <w:marRight w:val="0"/>
      <w:marTop w:val="0"/>
      <w:marBottom w:val="0"/>
      <w:divBdr>
        <w:top w:val="none" w:sz="0" w:space="0" w:color="auto"/>
        <w:left w:val="none" w:sz="0" w:space="0" w:color="auto"/>
        <w:bottom w:val="none" w:sz="0" w:space="0" w:color="auto"/>
        <w:right w:val="none" w:sz="0" w:space="0" w:color="auto"/>
      </w:divBdr>
      <w:divsChild>
        <w:div w:id="265043756">
          <w:marLeft w:val="0"/>
          <w:marRight w:val="0"/>
          <w:marTop w:val="0"/>
          <w:marBottom w:val="0"/>
          <w:divBdr>
            <w:top w:val="none" w:sz="0" w:space="0" w:color="auto"/>
            <w:left w:val="none" w:sz="0" w:space="0" w:color="auto"/>
            <w:bottom w:val="none" w:sz="0" w:space="0" w:color="auto"/>
            <w:right w:val="none" w:sz="0" w:space="0" w:color="auto"/>
          </w:divBdr>
          <w:divsChild>
            <w:div w:id="141120215">
              <w:marLeft w:val="0"/>
              <w:marRight w:val="0"/>
              <w:marTop w:val="0"/>
              <w:marBottom w:val="0"/>
              <w:divBdr>
                <w:top w:val="none" w:sz="0" w:space="0" w:color="auto"/>
                <w:left w:val="none" w:sz="0" w:space="0" w:color="auto"/>
                <w:bottom w:val="none" w:sz="0" w:space="0" w:color="auto"/>
                <w:right w:val="none" w:sz="0" w:space="0" w:color="auto"/>
              </w:divBdr>
              <w:divsChild>
                <w:div w:id="2885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7903">
      <w:bodyDiv w:val="1"/>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0"/>
          <w:divBdr>
            <w:top w:val="none" w:sz="0" w:space="0" w:color="auto"/>
            <w:left w:val="none" w:sz="0" w:space="0" w:color="auto"/>
            <w:bottom w:val="none" w:sz="0" w:space="0" w:color="auto"/>
            <w:right w:val="none" w:sz="0" w:space="0" w:color="auto"/>
          </w:divBdr>
          <w:divsChild>
            <w:div w:id="1084649581">
              <w:marLeft w:val="0"/>
              <w:marRight w:val="0"/>
              <w:marTop w:val="0"/>
              <w:marBottom w:val="0"/>
              <w:divBdr>
                <w:top w:val="none" w:sz="0" w:space="0" w:color="auto"/>
                <w:left w:val="none" w:sz="0" w:space="0" w:color="auto"/>
                <w:bottom w:val="none" w:sz="0" w:space="0" w:color="auto"/>
                <w:right w:val="none" w:sz="0" w:space="0" w:color="auto"/>
              </w:divBdr>
              <w:divsChild>
                <w:div w:id="15078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16979">
      <w:bodyDiv w:val="1"/>
      <w:marLeft w:val="0"/>
      <w:marRight w:val="0"/>
      <w:marTop w:val="0"/>
      <w:marBottom w:val="0"/>
      <w:divBdr>
        <w:top w:val="none" w:sz="0" w:space="0" w:color="auto"/>
        <w:left w:val="none" w:sz="0" w:space="0" w:color="auto"/>
        <w:bottom w:val="none" w:sz="0" w:space="0" w:color="auto"/>
        <w:right w:val="none" w:sz="0" w:space="0" w:color="auto"/>
      </w:divBdr>
      <w:divsChild>
        <w:div w:id="943420592">
          <w:marLeft w:val="0"/>
          <w:marRight w:val="0"/>
          <w:marTop w:val="0"/>
          <w:marBottom w:val="0"/>
          <w:divBdr>
            <w:top w:val="none" w:sz="0" w:space="0" w:color="auto"/>
            <w:left w:val="none" w:sz="0" w:space="0" w:color="auto"/>
            <w:bottom w:val="none" w:sz="0" w:space="0" w:color="auto"/>
            <w:right w:val="none" w:sz="0" w:space="0" w:color="auto"/>
          </w:divBdr>
          <w:divsChild>
            <w:div w:id="501897240">
              <w:marLeft w:val="0"/>
              <w:marRight w:val="0"/>
              <w:marTop w:val="0"/>
              <w:marBottom w:val="0"/>
              <w:divBdr>
                <w:top w:val="none" w:sz="0" w:space="0" w:color="auto"/>
                <w:left w:val="none" w:sz="0" w:space="0" w:color="auto"/>
                <w:bottom w:val="none" w:sz="0" w:space="0" w:color="auto"/>
                <w:right w:val="none" w:sz="0" w:space="0" w:color="auto"/>
              </w:divBdr>
              <w:divsChild>
                <w:div w:id="272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83807">
      <w:bodyDiv w:val="1"/>
      <w:marLeft w:val="0"/>
      <w:marRight w:val="0"/>
      <w:marTop w:val="0"/>
      <w:marBottom w:val="0"/>
      <w:divBdr>
        <w:top w:val="none" w:sz="0" w:space="0" w:color="auto"/>
        <w:left w:val="none" w:sz="0" w:space="0" w:color="auto"/>
        <w:bottom w:val="none" w:sz="0" w:space="0" w:color="auto"/>
        <w:right w:val="none" w:sz="0" w:space="0" w:color="auto"/>
      </w:divBdr>
      <w:divsChild>
        <w:div w:id="1357266463">
          <w:marLeft w:val="0"/>
          <w:marRight w:val="0"/>
          <w:marTop w:val="0"/>
          <w:marBottom w:val="0"/>
          <w:divBdr>
            <w:top w:val="none" w:sz="0" w:space="0" w:color="auto"/>
            <w:left w:val="none" w:sz="0" w:space="0" w:color="auto"/>
            <w:bottom w:val="none" w:sz="0" w:space="0" w:color="auto"/>
            <w:right w:val="none" w:sz="0" w:space="0" w:color="auto"/>
          </w:divBdr>
          <w:divsChild>
            <w:div w:id="1441219150">
              <w:marLeft w:val="0"/>
              <w:marRight w:val="0"/>
              <w:marTop w:val="0"/>
              <w:marBottom w:val="0"/>
              <w:divBdr>
                <w:top w:val="none" w:sz="0" w:space="0" w:color="auto"/>
                <w:left w:val="none" w:sz="0" w:space="0" w:color="auto"/>
                <w:bottom w:val="none" w:sz="0" w:space="0" w:color="auto"/>
                <w:right w:val="none" w:sz="0" w:space="0" w:color="auto"/>
              </w:divBdr>
              <w:divsChild>
                <w:div w:id="195390944">
                  <w:marLeft w:val="0"/>
                  <w:marRight w:val="0"/>
                  <w:marTop w:val="0"/>
                  <w:marBottom w:val="0"/>
                  <w:divBdr>
                    <w:top w:val="none" w:sz="0" w:space="0" w:color="auto"/>
                    <w:left w:val="none" w:sz="0" w:space="0" w:color="auto"/>
                    <w:bottom w:val="none" w:sz="0" w:space="0" w:color="auto"/>
                    <w:right w:val="none" w:sz="0" w:space="0" w:color="auto"/>
                  </w:divBdr>
                </w:div>
                <w:div w:id="458377907">
                  <w:marLeft w:val="0"/>
                  <w:marRight w:val="0"/>
                  <w:marTop w:val="0"/>
                  <w:marBottom w:val="0"/>
                  <w:divBdr>
                    <w:top w:val="none" w:sz="0" w:space="0" w:color="auto"/>
                    <w:left w:val="none" w:sz="0" w:space="0" w:color="auto"/>
                    <w:bottom w:val="none" w:sz="0" w:space="0" w:color="auto"/>
                    <w:right w:val="none" w:sz="0" w:space="0" w:color="auto"/>
                  </w:divBdr>
                </w:div>
                <w:div w:id="490295392">
                  <w:marLeft w:val="0"/>
                  <w:marRight w:val="0"/>
                  <w:marTop w:val="0"/>
                  <w:marBottom w:val="0"/>
                  <w:divBdr>
                    <w:top w:val="none" w:sz="0" w:space="0" w:color="auto"/>
                    <w:left w:val="none" w:sz="0" w:space="0" w:color="auto"/>
                    <w:bottom w:val="none" w:sz="0" w:space="0" w:color="auto"/>
                    <w:right w:val="none" w:sz="0" w:space="0" w:color="auto"/>
                  </w:divBdr>
                </w:div>
                <w:div w:id="13801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3717">
      <w:bodyDiv w:val="1"/>
      <w:marLeft w:val="0"/>
      <w:marRight w:val="0"/>
      <w:marTop w:val="0"/>
      <w:marBottom w:val="0"/>
      <w:divBdr>
        <w:top w:val="none" w:sz="0" w:space="0" w:color="auto"/>
        <w:left w:val="none" w:sz="0" w:space="0" w:color="auto"/>
        <w:bottom w:val="none" w:sz="0" w:space="0" w:color="auto"/>
        <w:right w:val="none" w:sz="0" w:space="0" w:color="auto"/>
      </w:divBdr>
      <w:divsChild>
        <w:div w:id="1439637521">
          <w:marLeft w:val="0"/>
          <w:marRight w:val="0"/>
          <w:marTop w:val="0"/>
          <w:marBottom w:val="0"/>
          <w:divBdr>
            <w:top w:val="none" w:sz="0" w:space="0" w:color="auto"/>
            <w:left w:val="none" w:sz="0" w:space="0" w:color="auto"/>
            <w:bottom w:val="none" w:sz="0" w:space="0" w:color="auto"/>
            <w:right w:val="none" w:sz="0" w:space="0" w:color="auto"/>
          </w:divBdr>
          <w:divsChild>
            <w:div w:id="419065529">
              <w:marLeft w:val="0"/>
              <w:marRight w:val="0"/>
              <w:marTop w:val="0"/>
              <w:marBottom w:val="0"/>
              <w:divBdr>
                <w:top w:val="none" w:sz="0" w:space="0" w:color="auto"/>
                <w:left w:val="none" w:sz="0" w:space="0" w:color="auto"/>
                <w:bottom w:val="none" w:sz="0" w:space="0" w:color="auto"/>
                <w:right w:val="none" w:sz="0" w:space="0" w:color="auto"/>
              </w:divBdr>
              <w:divsChild>
                <w:div w:id="67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7042">
      <w:bodyDiv w:val="1"/>
      <w:marLeft w:val="0"/>
      <w:marRight w:val="0"/>
      <w:marTop w:val="0"/>
      <w:marBottom w:val="0"/>
      <w:divBdr>
        <w:top w:val="none" w:sz="0" w:space="0" w:color="auto"/>
        <w:left w:val="none" w:sz="0" w:space="0" w:color="auto"/>
        <w:bottom w:val="none" w:sz="0" w:space="0" w:color="auto"/>
        <w:right w:val="none" w:sz="0" w:space="0" w:color="auto"/>
      </w:divBdr>
      <w:divsChild>
        <w:div w:id="251279910">
          <w:marLeft w:val="0"/>
          <w:marRight w:val="0"/>
          <w:marTop w:val="0"/>
          <w:marBottom w:val="0"/>
          <w:divBdr>
            <w:top w:val="none" w:sz="0" w:space="0" w:color="auto"/>
            <w:left w:val="none" w:sz="0" w:space="0" w:color="auto"/>
            <w:bottom w:val="none" w:sz="0" w:space="0" w:color="auto"/>
            <w:right w:val="none" w:sz="0" w:space="0" w:color="auto"/>
          </w:divBdr>
          <w:divsChild>
            <w:div w:id="1265456504">
              <w:marLeft w:val="0"/>
              <w:marRight w:val="0"/>
              <w:marTop w:val="0"/>
              <w:marBottom w:val="0"/>
              <w:divBdr>
                <w:top w:val="none" w:sz="0" w:space="0" w:color="auto"/>
                <w:left w:val="none" w:sz="0" w:space="0" w:color="auto"/>
                <w:bottom w:val="none" w:sz="0" w:space="0" w:color="auto"/>
                <w:right w:val="none" w:sz="0" w:space="0" w:color="auto"/>
              </w:divBdr>
              <w:divsChild>
                <w:div w:id="1722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0.png"/><Relationship Id="rId39" Type="http://schemas.microsoft.com/office/2007/relationships/hdphoto" Target="media/hdphoto7.wdp"/><Relationship Id="rId21" Type="http://schemas.openxmlformats.org/officeDocument/2006/relationships/image" Target="media/image7.png"/><Relationship Id="rId34" Type="http://schemas.microsoft.com/office/2007/relationships/hdphoto" Target="media/hdphoto5.wdp"/><Relationship Id="rId42" Type="http://schemas.openxmlformats.org/officeDocument/2006/relationships/image" Target="media/image22.png"/><Relationship Id="rId47" Type="http://schemas.microsoft.com/office/2007/relationships/hdphoto" Target="media/hdphoto10.wdp"/><Relationship Id="rId50" Type="http://schemas.openxmlformats.org/officeDocument/2006/relationships/header" Target="header3.xml"/><Relationship Id="rId55" Type="http://schemas.openxmlformats.org/officeDocument/2006/relationships/hyperlink" Target="https://www.tga.gov.au" TargetMode="External"/><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2.wdp"/><Relationship Id="rId29" Type="http://schemas.openxmlformats.org/officeDocument/2006/relationships/image" Target="media/image13.png"/><Relationship Id="rId41" Type="http://schemas.microsoft.com/office/2007/relationships/hdphoto" Target="media/hdphoto8.wdp"/><Relationship Id="rId54" Type="http://schemas.openxmlformats.org/officeDocument/2006/relationships/hyperlink" Target="mailto:info@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6.png"/><Relationship Id="rId37" Type="http://schemas.microsoft.com/office/2007/relationships/hdphoto" Target="media/hdphoto6.wdp"/><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footer" Target="footer2.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12.png"/><Relationship Id="rId36" Type="http://schemas.openxmlformats.org/officeDocument/2006/relationships/image" Target="media/image19.png"/><Relationship Id="rId49" Type="http://schemas.microsoft.com/office/2007/relationships/hdphoto" Target="media/hdphoto11.wdp"/><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5.png"/><Relationship Id="rId44" Type="http://schemas.microsoft.com/office/2007/relationships/hdphoto" Target="media/hdphoto9.wdp"/><Relationship Id="rId52" Type="http://schemas.openxmlformats.org/officeDocument/2006/relationships/header" Target="header5.xml"/><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header" Target="header6.xml"/><Relationship Id="rId6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microsoft.com/office/2007/relationships/hdphoto" Target="media/hdphoto4.wdp"/><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91B8E-23CC-4124-80F8-50CAF04AB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64</Pages>
  <Words>21238</Words>
  <Characters>116598</Characters>
  <Application>Microsoft Office Word</Application>
  <DocSecurity>0</DocSecurity>
  <Lines>2649</Lines>
  <Paragraphs>1466</Paragraphs>
  <ScaleCrop>false</ScaleCrop>
  <HeadingPairs>
    <vt:vector size="2" baseType="variant">
      <vt:variant>
        <vt:lpstr>Title</vt:lpstr>
      </vt:variant>
      <vt:variant>
        <vt:i4>1</vt:i4>
      </vt:variant>
    </vt:vector>
  </HeadingPairs>
  <TitlesOfParts>
    <vt:vector size="1" baseType="lpstr">
      <vt:lpstr>Attachment: Extract from Clinical Evaluation Obinutuzumab</vt:lpstr>
    </vt:vector>
  </TitlesOfParts>
  <Company>Department of Health Therapeutic Goods Administration</Company>
  <LinksUpToDate>false</LinksUpToDate>
  <CharactersWithSpaces>136370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Obinutuzumab</dc:title>
  <dc:subject>prescription medicines</dc:subject>
  <dc:creator>Therapeutic Goods Administration</dc:creator>
  <cp:keywords>AusPARs</cp:keywords>
  <cp:lastModifiedBy>LACK, Janet</cp:lastModifiedBy>
  <cp:revision>3</cp:revision>
  <cp:lastPrinted>2015-09-22T23:53:00Z</cp:lastPrinted>
  <dcterms:created xsi:type="dcterms:W3CDTF">2018-05-08T03:43:00Z</dcterms:created>
  <dcterms:modified xsi:type="dcterms:W3CDTF">2018-05-08T05:24:00Z</dcterms:modified>
</cp:coreProperties>
</file>