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B2" w:rsidRDefault="00D844B2" w:rsidP="00580B71">
      <w:pPr>
        <w:pStyle w:val="Heading1"/>
        <w:numPr>
          <w:ilvl w:val="0"/>
          <w:numId w:val="0"/>
        </w:numPr>
      </w:pPr>
      <w:bookmarkStart w:id="0" w:name="_GoBack"/>
      <w:bookmarkEnd w:id="0"/>
      <w:r>
        <w:t>Name of the medicine</w:t>
      </w:r>
    </w:p>
    <w:p w:rsidR="00D844B2" w:rsidRPr="005B6021" w:rsidRDefault="00A315B4" w:rsidP="005B6021">
      <w:pPr>
        <w:rPr>
          <w:sz w:val="36"/>
          <w:szCs w:val="36"/>
        </w:rPr>
      </w:pPr>
      <w:r w:rsidRPr="007E4338">
        <w:rPr>
          <w:b/>
          <w:sz w:val="36"/>
          <w:szCs w:val="36"/>
        </w:rPr>
        <w:t>G</w:t>
      </w:r>
      <w:r w:rsidR="00771361">
        <w:rPr>
          <w:b/>
          <w:sz w:val="36"/>
          <w:szCs w:val="36"/>
        </w:rPr>
        <w:t>azyva</w:t>
      </w:r>
      <w:r w:rsidR="00D844B2" w:rsidRPr="005B6021">
        <w:rPr>
          <w:sz w:val="36"/>
          <w:szCs w:val="36"/>
          <w:vertAlign w:val="superscript"/>
        </w:rPr>
        <w:t>®</w:t>
      </w:r>
    </w:p>
    <w:p w:rsidR="00D844B2" w:rsidRPr="00D844B2" w:rsidRDefault="005E047F" w:rsidP="00580B71">
      <w:pPr>
        <w:pStyle w:val="Heading9"/>
        <w:numPr>
          <w:ilvl w:val="0"/>
          <w:numId w:val="0"/>
        </w:numPr>
      </w:pPr>
      <w:r>
        <w:t>obinutuzumab</w:t>
      </w:r>
    </w:p>
    <w:p w:rsidR="000B118C" w:rsidRDefault="00CF3480" w:rsidP="008C4322">
      <w:pPr>
        <w:rPr>
          <w:rFonts w:ascii="Imago" w:hAnsi="Imago" w:cs="Imago"/>
        </w:rPr>
      </w:pPr>
      <w:r w:rsidRPr="008C4322">
        <w:rPr>
          <w:lang w:val="en-GB"/>
        </w:rPr>
        <w:t xml:space="preserve">CAS: </w:t>
      </w:r>
      <w:r w:rsidR="008B7596" w:rsidRPr="006862A3">
        <w:rPr>
          <w:rFonts w:ascii="Imago" w:hAnsi="Imago" w:cs="Imago"/>
        </w:rPr>
        <w:t>949142-50-1</w:t>
      </w:r>
    </w:p>
    <w:p w:rsidR="008256D5" w:rsidRDefault="008256D5" w:rsidP="000B11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642E1C" w:rsidRPr="00FD334E" w:rsidTr="00642E1C">
        <w:trPr>
          <w:trHeight w:val="2553"/>
        </w:trPr>
        <w:tc>
          <w:tcPr>
            <w:tcW w:w="9548" w:type="dxa"/>
          </w:tcPr>
          <w:p w:rsidR="00642E1C" w:rsidRPr="00DE5B99" w:rsidRDefault="00642E1C" w:rsidP="007C29AE">
            <w:pPr>
              <w:pStyle w:val="Defaul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bCs/>
                <w:sz w:val="28"/>
                <w:szCs w:val="28"/>
              </w:rPr>
            </w:pPr>
            <w:r w:rsidRPr="00DE5B99">
              <w:rPr>
                <w:b/>
                <w:bCs/>
                <w:sz w:val="28"/>
                <w:szCs w:val="28"/>
              </w:rPr>
              <w:t>WARNING</w:t>
            </w:r>
          </w:p>
          <w:p w:rsidR="00642E1C" w:rsidRPr="008256D5" w:rsidRDefault="00642E1C" w:rsidP="007C29AE">
            <w:pPr>
              <w:pStyle w:val="Defaul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bCs/>
              </w:rPr>
            </w:pPr>
          </w:p>
          <w:p w:rsidR="00642E1C" w:rsidRPr="008256D5" w:rsidRDefault="00642E1C" w:rsidP="007C29AE">
            <w:pPr>
              <w:pStyle w:val="Defaul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rPr>
            </w:pPr>
            <w:r w:rsidRPr="008256D5">
              <w:rPr>
                <w:b/>
                <w:bCs/>
              </w:rPr>
              <w:t>Progressive Multifocal Leucoencephalopathy</w:t>
            </w:r>
          </w:p>
          <w:p w:rsidR="00642E1C" w:rsidRPr="00642E1C" w:rsidRDefault="00642E1C" w:rsidP="00771361">
            <w:pPr>
              <w:rPr>
                <w:b/>
                <w:bCs/>
                <w:szCs w:val="24"/>
              </w:rPr>
            </w:pPr>
            <w:r w:rsidRPr="00B24635">
              <w:rPr>
                <w:b/>
                <w:bCs/>
                <w:szCs w:val="24"/>
              </w:rPr>
              <w:t>Progressive Multifocal Leukoencephalo</w:t>
            </w:r>
            <w:r w:rsidR="00FC238E">
              <w:rPr>
                <w:b/>
                <w:bCs/>
                <w:szCs w:val="24"/>
              </w:rPr>
              <w:t>pathy (PML) including fatal PML</w:t>
            </w:r>
            <w:r w:rsidRPr="00B24635">
              <w:rPr>
                <w:b/>
                <w:bCs/>
                <w:szCs w:val="24"/>
              </w:rPr>
              <w:t xml:space="preserve"> can occur in patients receiving G</w:t>
            </w:r>
            <w:r w:rsidR="00771361">
              <w:rPr>
                <w:b/>
                <w:bCs/>
                <w:szCs w:val="24"/>
              </w:rPr>
              <w:t>azyva</w:t>
            </w:r>
            <w:r>
              <w:rPr>
                <w:b/>
                <w:bCs/>
                <w:szCs w:val="24"/>
              </w:rPr>
              <w:t>.</w:t>
            </w:r>
            <w:r w:rsidRPr="00B24635">
              <w:rPr>
                <w:b/>
                <w:bCs/>
                <w:szCs w:val="24"/>
              </w:rPr>
              <w:t xml:space="preserve"> </w:t>
            </w:r>
            <w:r w:rsidRPr="008256D5">
              <w:rPr>
                <w:b/>
                <w:bCs/>
                <w:szCs w:val="24"/>
              </w:rPr>
              <w:t>Patients must be monitored for any new or worsening neurological symptoms or signs suggestive of PML. If such symptoms occur, further administration of G</w:t>
            </w:r>
            <w:r w:rsidR="00771361">
              <w:rPr>
                <w:b/>
                <w:bCs/>
                <w:szCs w:val="24"/>
              </w:rPr>
              <w:t>azyva</w:t>
            </w:r>
            <w:r w:rsidRPr="008256D5">
              <w:rPr>
                <w:b/>
                <w:bCs/>
                <w:szCs w:val="24"/>
              </w:rPr>
              <w:t xml:space="preserve"> should be immediately suspended until a diagnosis of PML has been excluded. If a diagnosis of PML is confirmed G</w:t>
            </w:r>
            <w:r w:rsidR="00771361">
              <w:rPr>
                <w:b/>
                <w:bCs/>
                <w:szCs w:val="24"/>
              </w:rPr>
              <w:t>azyva</w:t>
            </w:r>
            <w:r w:rsidRPr="008256D5">
              <w:rPr>
                <w:b/>
                <w:bCs/>
                <w:szCs w:val="24"/>
              </w:rPr>
              <w:t xml:space="preserve"> must be permanently discontinued (see PRECAUTIONS).</w:t>
            </w:r>
          </w:p>
        </w:tc>
      </w:tr>
    </w:tbl>
    <w:p w:rsidR="00642E1C" w:rsidRDefault="00642E1C" w:rsidP="000B118C"/>
    <w:p w:rsidR="000B118C" w:rsidRDefault="00771361" w:rsidP="000B118C">
      <w:r>
        <w:t xml:space="preserve">Gazyva </w:t>
      </w:r>
      <w:r w:rsidR="007508EE">
        <w:t>(</w:t>
      </w:r>
      <w:r w:rsidR="007508EE" w:rsidRPr="007508EE">
        <w:rPr>
          <w:i/>
        </w:rPr>
        <w:t>obinutuzumab</w:t>
      </w:r>
      <w:r w:rsidR="007508EE">
        <w:t>)</w:t>
      </w:r>
      <w:r w:rsidR="00A83840" w:rsidRPr="00A83840">
        <w:t xml:space="preserve"> is a recombinant monoclonal humani</w:t>
      </w:r>
      <w:r w:rsidR="00A83840">
        <w:t>s</w:t>
      </w:r>
      <w:r w:rsidR="00A83840" w:rsidRPr="00A83840">
        <w:t xml:space="preserve">ed and glycoengineered Type II </w:t>
      </w:r>
      <w:r w:rsidR="0056741A">
        <w:t>anti-</w:t>
      </w:r>
      <w:r w:rsidR="00A83840" w:rsidRPr="00A83840">
        <w:t>CD20 antibody of the IgG1 isotype</w:t>
      </w:r>
      <w:r w:rsidR="00B2760F">
        <w:t>.</w:t>
      </w:r>
      <w:r w:rsidR="00A83840" w:rsidRPr="00A83840">
        <w:t xml:space="preserve"> </w:t>
      </w:r>
    </w:p>
    <w:p w:rsidR="00D844B2" w:rsidRPr="00AE74F3" w:rsidRDefault="00D844B2" w:rsidP="00580B71">
      <w:pPr>
        <w:pStyle w:val="Heading1"/>
        <w:numPr>
          <w:ilvl w:val="0"/>
          <w:numId w:val="0"/>
        </w:numPr>
      </w:pPr>
      <w:r w:rsidRPr="00AE74F3">
        <w:t>Description</w:t>
      </w:r>
    </w:p>
    <w:p w:rsidR="00D95864" w:rsidRDefault="00771361" w:rsidP="00D95864">
      <w:r>
        <w:t>Gazyva</w:t>
      </w:r>
      <w:r w:rsidR="00A83840">
        <w:t xml:space="preserve"> </w:t>
      </w:r>
      <w:r w:rsidR="00D95864">
        <w:t>is supplied in a single-dose vial containing 40 mL of preservative-free concentrate solution for infusion. Each vial contains 1000 mg of obinutuzumab (25 mg/mL) with the following excipients</w:t>
      </w:r>
      <w:r w:rsidR="00A83840">
        <w:t>: histidine, histidine hydrochloride monohydrate, trehalose dehydrate and poloxamer 188.</w:t>
      </w:r>
      <w:r w:rsidR="004A734A">
        <w:t xml:space="preserve"> </w:t>
      </w:r>
      <w:r w:rsidR="004A734A" w:rsidRPr="00C2153F">
        <w:t>The pH of the concentrate solution is approximately 6</w:t>
      </w:r>
      <w:r w:rsidR="00DB7425" w:rsidRPr="00C2153F">
        <w:t>,</w:t>
      </w:r>
      <w:r w:rsidR="004A734A" w:rsidRPr="00C2153F">
        <w:t xml:space="preserve"> with an osmolality of approximately 300 mOsmol/kg.</w:t>
      </w:r>
    </w:p>
    <w:p w:rsidR="00D844B2" w:rsidRPr="00074007" w:rsidRDefault="00D844B2" w:rsidP="00580B71">
      <w:pPr>
        <w:pStyle w:val="Heading1"/>
        <w:numPr>
          <w:ilvl w:val="0"/>
          <w:numId w:val="0"/>
        </w:numPr>
      </w:pPr>
      <w:r w:rsidRPr="00074007">
        <w:t>Pharmacology</w:t>
      </w:r>
    </w:p>
    <w:p w:rsidR="00A83840" w:rsidRDefault="00A83840" w:rsidP="00580B71">
      <w:pPr>
        <w:pStyle w:val="Heading2"/>
        <w:numPr>
          <w:ilvl w:val="0"/>
          <w:numId w:val="0"/>
        </w:numPr>
      </w:pPr>
      <w:r>
        <w:t>Pharmacodynamics</w:t>
      </w:r>
    </w:p>
    <w:p w:rsidR="008647FA" w:rsidRDefault="007508EE" w:rsidP="00846667">
      <w:r w:rsidRPr="007508EE">
        <w:rPr>
          <w:i/>
        </w:rPr>
        <w:t>Obinutuzumab</w:t>
      </w:r>
      <w:r>
        <w:t xml:space="preserve"> </w:t>
      </w:r>
      <w:r w:rsidR="00B2760F" w:rsidRPr="00A83840">
        <w:t>specifically targets the extracellular loop of the CD20 transmembrane antigen on the surface of non</w:t>
      </w:r>
      <w:r w:rsidR="00B2760F">
        <w:t xml:space="preserve">-malignant and malignant pre B </w:t>
      </w:r>
      <w:r w:rsidR="00B2760F" w:rsidRPr="00A83840">
        <w:t>and mature B lymphocytes</w:t>
      </w:r>
      <w:r w:rsidR="006845DB" w:rsidRPr="00581C0E">
        <w:t>.</w:t>
      </w:r>
      <w:r w:rsidR="00581C0E">
        <w:t xml:space="preserve"> </w:t>
      </w:r>
      <w:r w:rsidR="006845DB" w:rsidRPr="00581C0E">
        <w:t xml:space="preserve">CD20 is not expressed </w:t>
      </w:r>
      <w:r w:rsidR="00B2760F" w:rsidRPr="00A83840">
        <w:t xml:space="preserve">on haemopoietic stem cells, pro B cells, </w:t>
      </w:r>
      <w:r w:rsidR="006845DB">
        <w:t xml:space="preserve">or </w:t>
      </w:r>
      <w:r w:rsidR="00581C0E">
        <w:t>normal plasma cells</w:t>
      </w:r>
      <w:r w:rsidR="00581C0E" w:rsidRPr="00581C0E">
        <w:t>.</w:t>
      </w:r>
      <w:r w:rsidR="00B2760F" w:rsidRPr="00581C0E">
        <w:t xml:space="preserve"> </w:t>
      </w:r>
      <w:r w:rsidR="00B2760F" w:rsidRPr="00A83840">
        <w:t xml:space="preserve">Glycoengineering of the Fc part of </w:t>
      </w:r>
      <w:r w:rsidRPr="007508EE">
        <w:rPr>
          <w:i/>
        </w:rPr>
        <w:t>obinutuzumab</w:t>
      </w:r>
      <w:r w:rsidR="00B2760F" w:rsidRPr="00A83840">
        <w:t xml:space="preserve"> results in higher affinity for Fc</w:t>
      </w:r>
      <w:r w:rsidR="008B7596">
        <w:t>Ɣ</w:t>
      </w:r>
      <w:r w:rsidR="00B2760F" w:rsidRPr="00A83840">
        <w:t>RIII receptors on immune effector cells such as natural killer (NK) cells and macrophages</w:t>
      </w:r>
      <w:r w:rsidR="00A315B4">
        <w:t xml:space="preserve"> and </w:t>
      </w:r>
      <w:r w:rsidR="00B2760F" w:rsidRPr="00A83840">
        <w:t>monocytes</w:t>
      </w:r>
      <w:r w:rsidR="00A315B4">
        <w:t xml:space="preserve"> as compared to non-glycoengineered antibodies</w:t>
      </w:r>
      <w:r w:rsidR="00B2760F" w:rsidRPr="00A83840">
        <w:t>.</w:t>
      </w:r>
    </w:p>
    <w:p w:rsidR="005E2851" w:rsidRDefault="005E2851" w:rsidP="00846667"/>
    <w:p w:rsidR="00C2153F" w:rsidRDefault="005E2851" w:rsidP="005E2851">
      <w:r>
        <w:t xml:space="preserve">In nonclinical studies, </w:t>
      </w:r>
      <w:r w:rsidR="00286091" w:rsidRPr="007508EE">
        <w:rPr>
          <w:i/>
        </w:rPr>
        <w:t>obinutuzumab</w:t>
      </w:r>
      <w:r>
        <w:t xml:space="preserve"> induces direct cell death and mediates antibody dependent cellular cytotoxicity (ADCC) and antibody dependent cellular phagocytosis (ADCP) through recruitment of FcƔRIII positive immune effector cells. In addition, </w:t>
      </w:r>
      <w:r w:rsidR="00286091" w:rsidRPr="007508EE">
        <w:rPr>
          <w:i/>
        </w:rPr>
        <w:t>obinutuzumab</w:t>
      </w:r>
      <w:r>
        <w:t xml:space="preserve"> mediates a low degree of complement dependent cytotoxicity (CDC). In animal models, </w:t>
      </w:r>
      <w:r w:rsidR="00286091" w:rsidRPr="007508EE">
        <w:rPr>
          <w:i/>
        </w:rPr>
        <w:t>obinutuzumab</w:t>
      </w:r>
      <w:r>
        <w:t xml:space="preserve"> mediates potent B cell depletion and anti</w:t>
      </w:r>
      <w:r w:rsidR="001C5087">
        <w:t>-</w:t>
      </w:r>
      <w:r>
        <w:t xml:space="preserve">tumour efficacy. Compared to Type I CD20 antibodies, </w:t>
      </w:r>
      <w:r w:rsidR="00286091" w:rsidRPr="007508EE">
        <w:rPr>
          <w:i/>
        </w:rPr>
        <w:t>obinutuzumab</w:t>
      </w:r>
      <w:r w:rsidR="00286091">
        <w:t xml:space="preserve">, </w:t>
      </w:r>
      <w:r>
        <w:t>a Type II antibody, is characteri</w:t>
      </w:r>
      <w:r w:rsidR="001C5087">
        <w:t>s</w:t>
      </w:r>
      <w:r>
        <w:t>ed by a</w:t>
      </w:r>
      <w:r w:rsidR="006845DB">
        <w:t xml:space="preserve"> </w:t>
      </w:r>
      <w:r>
        <w:t xml:space="preserve">direct cell death induction with a concomitant reduction in CDC. Compared to non-glycoengineered CD20 antibodies, </w:t>
      </w:r>
      <w:r w:rsidR="00286091" w:rsidRPr="007508EE">
        <w:rPr>
          <w:i/>
        </w:rPr>
        <w:t>obinutuzumab</w:t>
      </w:r>
      <w:r>
        <w:t xml:space="preserve"> is cha</w:t>
      </w:r>
      <w:r w:rsidR="007545BF">
        <w:t>racteris</w:t>
      </w:r>
      <w:r>
        <w:t xml:space="preserve">ed by </w:t>
      </w:r>
      <w:r w:rsidR="006845DB">
        <w:t xml:space="preserve">greater </w:t>
      </w:r>
      <w:r w:rsidR="001C5087">
        <w:t>ADCC</w:t>
      </w:r>
      <w:r>
        <w:t xml:space="preserve"> </w:t>
      </w:r>
      <w:r w:rsidR="006455FE">
        <w:t xml:space="preserve">and phagocytosis (ADCP) </w:t>
      </w:r>
      <w:r>
        <w:lastRenderedPageBreak/>
        <w:t>as a consequence of the glycoengineering</w:t>
      </w:r>
      <w:r w:rsidR="006845DB">
        <w:t xml:space="preserve">, but </w:t>
      </w:r>
      <w:r w:rsidR="006845DB" w:rsidRPr="006845DB">
        <w:rPr>
          <w:i/>
        </w:rPr>
        <w:t>in vivo</w:t>
      </w:r>
      <w:r w:rsidR="006845DB">
        <w:t xml:space="preserve"> studies in xenograft tumour models in SCID mice showed no difference in tumour growth inhibition between </w:t>
      </w:r>
      <w:r w:rsidR="006845DB" w:rsidRPr="006845DB">
        <w:rPr>
          <w:i/>
        </w:rPr>
        <w:t>obinutuzumab</w:t>
      </w:r>
      <w:r w:rsidR="006845DB">
        <w:t xml:space="preserve"> and non-glycoengineered wild type </w:t>
      </w:r>
      <w:r w:rsidR="006845DB" w:rsidRPr="006845DB">
        <w:rPr>
          <w:i/>
        </w:rPr>
        <w:t>obinutuzumab</w:t>
      </w:r>
      <w:r>
        <w:t>.</w:t>
      </w:r>
    </w:p>
    <w:p w:rsidR="005E2851" w:rsidRPr="00581C0E" w:rsidRDefault="005E2851" w:rsidP="005E2851">
      <w:r>
        <w:t xml:space="preserve"> </w:t>
      </w:r>
    </w:p>
    <w:p w:rsidR="005E2851" w:rsidRDefault="005E2851" w:rsidP="005E2851">
      <w:r>
        <w:t xml:space="preserve">In the pivotal clinical trial BO21004/CLL11, 91% (40 out of 44) of evaluable patients treated with </w:t>
      </w:r>
      <w:r w:rsidR="00771361">
        <w:t>Gazyva</w:t>
      </w:r>
      <w:r>
        <w:t xml:space="preserve"> were B cell depleted (defined as CD19+ B-cell counts &lt; 0.07x 10</w:t>
      </w:r>
      <w:r w:rsidRPr="001C5087">
        <w:rPr>
          <w:vertAlign w:val="superscript"/>
        </w:rPr>
        <w:t>9</w:t>
      </w:r>
      <w:r>
        <w:t xml:space="preserve">/L) at the end of treatment period and remained depleted during the </w:t>
      </w:r>
      <w:r w:rsidR="007F311F">
        <w:t xml:space="preserve">first </w:t>
      </w:r>
      <w:r>
        <w:t xml:space="preserve">6 months of follow up. Recovery of B cells was observed within 12 to 18 months of follow up in </w:t>
      </w:r>
      <w:r w:rsidR="0056741A" w:rsidRPr="007122C2">
        <w:t>35</w:t>
      </w:r>
      <w:r w:rsidRPr="007122C2">
        <w:t>% (</w:t>
      </w:r>
      <w:r w:rsidR="007122C2" w:rsidRPr="007122C2">
        <w:t>14</w:t>
      </w:r>
      <w:r w:rsidRPr="007122C2">
        <w:t xml:space="preserve"> out of 40)</w:t>
      </w:r>
      <w:r>
        <w:t xml:space="preserve"> of patients without progressive disease and 13% (5 out of 40) with progressive disease.</w:t>
      </w:r>
    </w:p>
    <w:p w:rsidR="00B2760F" w:rsidRDefault="00B2760F" w:rsidP="00580B71">
      <w:pPr>
        <w:pStyle w:val="Heading2"/>
        <w:numPr>
          <w:ilvl w:val="0"/>
          <w:numId w:val="0"/>
        </w:numPr>
      </w:pPr>
      <w:r>
        <w:t>Pharmacokinetics</w:t>
      </w:r>
    </w:p>
    <w:p w:rsidR="00274C1A" w:rsidRDefault="00344815" w:rsidP="00592D4B">
      <w:pPr>
        <w:pStyle w:val="TextTi12"/>
        <w:spacing w:after="0" w:line="240" w:lineRule="auto"/>
        <w:rPr>
          <w:rFonts w:cs="Arial"/>
          <w:color w:val="000000"/>
          <w:lang w:eastAsia="ko-KR" w:bidi="he-IL"/>
        </w:rPr>
      </w:pPr>
      <w:r>
        <w:rPr>
          <w:rFonts w:cs="Arial"/>
          <w:color w:val="000000"/>
          <w:lang w:eastAsia="ko-KR" w:bidi="he-IL"/>
        </w:rPr>
        <w:t xml:space="preserve">A </w:t>
      </w:r>
      <w:r w:rsidRPr="00344815">
        <w:rPr>
          <w:rFonts w:cs="Arial"/>
          <w:color w:val="000000"/>
          <w:lang w:eastAsia="ko-KR" w:bidi="he-IL"/>
        </w:rPr>
        <w:t xml:space="preserve">population pharmacokinetic </w:t>
      </w:r>
      <w:r>
        <w:rPr>
          <w:rFonts w:cs="Arial"/>
          <w:color w:val="000000"/>
          <w:lang w:eastAsia="ko-KR" w:bidi="he-IL"/>
        </w:rPr>
        <w:t xml:space="preserve">(PK) </w:t>
      </w:r>
      <w:r w:rsidRPr="00344815">
        <w:rPr>
          <w:rFonts w:cs="Arial"/>
          <w:color w:val="000000"/>
          <w:lang w:eastAsia="ko-KR" w:bidi="he-IL"/>
        </w:rPr>
        <w:t>model was deve</w:t>
      </w:r>
      <w:r>
        <w:rPr>
          <w:rFonts w:cs="Arial"/>
          <w:color w:val="000000"/>
          <w:lang w:eastAsia="ko-KR" w:bidi="he-IL"/>
        </w:rPr>
        <w:t>loped to analyse the PK data in</w:t>
      </w:r>
      <w:r w:rsidR="0025565A">
        <w:rPr>
          <w:rFonts w:cs="Arial"/>
          <w:color w:val="000000"/>
          <w:lang w:eastAsia="ko-KR" w:bidi="he-IL"/>
        </w:rPr>
        <w:t xml:space="preserve"> 469</w:t>
      </w:r>
      <w:r w:rsidR="007D6537">
        <w:rPr>
          <w:rFonts w:cs="Arial"/>
          <w:color w:val="000000"/>
          <w:lang w:eastAsia="ko-KR" w:bidi="he-IL"/>
        </w:rPr>
        <w:t xml:space="preserve"> patients with</w:t>
      </w:r>
      <w:r w:rsidR="0025565A">
        <w:rPr>
          <w:rFonts w:cs="Arial"/>
          <w:color w:val="000000"/>
          <w:lang w:eastAsia="ko-KR" w:bidi="he-IL"/>
        </w:rPr>
        <w:t xml:space="preserve"> indolent</w:t>
      </w:r>
      <w:r>
        <w:rPr>
          <w:rFonts w:cs="Arial"/>
          <w:color w:val="000000"/>
          <w:lang w:eastAsia="ko-KR" w:bidi="he-IL"/>
        </w:rPr>
        <w:t xml:space="preserve"> no</w:t>
      </w:r>
      <w:r w:rsidR="00716E86">
        <w:rPr>
          <w:rFonts w:cs="Arial"/>
          <w:color w:val="000000"/>
          <w:lang w:eastAsia="ko-KR" w:bidi="he-IL"/>
        </w:rPr>
        <w:t>n</w:t>
      </w:r>
      <w:r>
        <w:rPr>
          <w:rFonts w:cs="Arial"/>
          <w:color w:val="000000"/>
          <w:lang w:eastAsia="ko-KR" w:bidi="he-IL"/>
        </w:rPr>
        <w:t>-Hodgkin lymphoma (</w:t>
      </w:r>
      <w:r w:rsidR="0025565A">
        <w:rPr>
          <w:rFonts w:cs="Arial"/>
          <w:color w:val="000000"/>
          <w:lang w:eastAsia="ko-KR" w:bidi="he-IL"/>
        </w:rPr>
        <w:t>i</w:t>
      </w:r>
      <w:r>
        <w:rPr>
          <w:rFonts w:cs="Arial"/>
          <w:color w:val="000000"/>
          <w:lang w:eastAsia="ko-KR" w:bidi="he-IL"/>
        </w:rPr>
        <w:t>NHL)</w:t>
      </w:r>
      <w:r w:rsidR="0025565A">
        <w:rPr>
          <w:rFonts w:cs="Arial"/>
          <w:color w:val="000000"/>
          <w:lang w:eastAsia="ko-KR" w:bidi="he-IL"/>
        </w:rPr>
        <w:t>, 342</w:t>
      </w:r>
      <w:r w:rsidR="007D6537">
        <w:rPr>
          <w:rFonts w:cs="Arial"/>
          <w:color w:val="000000"/>
          <w:lang w:eastAsia="ko-KR" w:bidi="he-IL"/>
        </w:rPr>
        <w:t xml:space="preserve"> patients with</w:t>
      </w:r>
      <w:r>
        <w:rPr>
          <w:rFonts w:cs="Arial"/>
          <w:color w:val="000000"/>
          <w:lang w:eastAsia="ko-KR" w:bidi="he-IL"/>
        </w:rPr>
        <w:t xml:space="preserve"> chronic lymphocytic leukaemia (</w:t>
      </w:r>
      <w:r w:rsidRPr="00344815">
        <w:rPr>
          <w:rFonts w:cs="Arial"/>
          <w:color w:val="000000"/>
          <w:lang w:eastAsia="ko-KR" w:bidi="he-IL"/>
        </w:rPr>
        <w:t>CLL</w:t>
      </w:r>
      <w:r>
        <w:rPr>
          <w:rFonts w:cs="Arial"/>
          <w:color w:val="000000"/>
          <w:lang w:eastAsia="ko-KR" w:bidi="he-IL"/>
        </w:rPr>
        <w:t>)</w:t>
      </w:r>
      <w:r w:rsidR="0025565A">
        <w:rPr>
          <w:rFonts w:cs="Arial"/>
          <w:color w:val="000000"/>
          <w:lang w:eastAsia="ko-KR" w:bidi="he-IL"/>
        </w:rPr>
        <w:t xml:space="preserve">, and 130 </w:t>
      </w:r>
      <w:r w:rsidR="007D6537">
        <w:rPr>
          <w:rFonts w:cs="Arial"/>
          <w:color w:val="000000"/>
          <w:lang w:eastAsia="ko-KR" w:bidi="he-IL"/>
        </w:rPr>
        <w:t xml:space="preserve">patients with </w:t>
      </w:r>
      <w:r w:rsidR="0025565A">
        <w:rPr>
          <w:rFonts w:cs="Arial"/>
          <w:color w:val="000000"/>
          <w:lang w:eastAsia="ko-KR" w:bidi="he-IL"/>
        </w:rPr>
        <w:t>diffuse large B-cell lymphoma</w:t>
      </w:r>
      <w:r>
        <w:rPr>
          <w:rFonts w:cs="Arial"/>
          <w:color w:val="000000"/>
          <w:lang w:eastAsia="ko-KR" w:bidi="he-IL"/>
        </w:rPr>
        <w:t xml:space="preserve"> </w:t>
      </w:r>
      <w:r w:rsidR="007D6537">
        <w:rPr>
          <w:rFonts w:cs="Arial"/>
          <w:color w:val="000000"/>
          <w:lang w:eastAsia="ko-KR" w:bidi="he-IL"/>
        </w:rPr>
        <w:t xml:space="preserve">who </w:t>
      </w:r>
      <w:r w:rsidR="007D6537" w:rsidRPr="00344815">
        <w:rPr>
          <w:rFonts w:cs="Arial"/>
          <w:color w:val="000000"/>
          <w:lang w:eastAsia="ko-KR" w:bidi="he-IL"/>
        </w:rPr>
        <w:t xml:space="preserve">received </w:t>
      </w:r>
      <w:r w:rsidR="00771361">
        <w:t>Gazyva</w:t>
      </w:r>
      <w:r w:rsidR="007D6537" w:rsidDel="007D6537">
        <w:rPr>
          <w:rFonts w:cs="Arial"/>
          <w:color w:val="000000"/>
          <w:lang w:eastAsia="ko-KR" w:bidi="he-IL"/>
        </w:rPr>
        <w:t xml:space="preserve"> </w:t>
      </w:r>
      <w:r w:rsidR="007D6537">
        <w:rPr>
          <w:rFonts w:cs="Arial"/>
          <w:color w:val="000000"/>
          <w:lang w:eastAsia="ko-KR" w:bidi="he-IL"/>
        </w:rPr>
        <w:t xml:space="preserve">in </w:t>
      </w:r>
      <w:r>
        <w:rPr>
          <w:rFonts w:cs="Arial"/>
          <w:color w:val="000000"/>
          <w:lang w:eastAsia="ko-KR" w:bidi="he-IL"/>
        </w:rPr>
        <w:t>phase I, p</w:t>
      </w:r>
      <w:r w:rsidRPr="00344815">
        <w:rPr>
          <w:rFonts w:cs="Arial"/>
          <w:color w:val="000000"/>
          <w:lang w:eastAsia="ko-KR" w:bidi="he-IL"/>
        </w:rPr>
        <w:t>ha</w:t>
      </w:r>
      <w:r>
        <w:rPr>
          <w:rFonts w:cs="Arial"/>
          <w:color w:val="000000"/>
          <w:lang w:eastAsia="ko-KR" w:bidi="he-IL"/>
        </w:rPr>
        <w:t>se II and phase III studies</w:t>
      </w:r>
      <w:r w:rsidR="007D6537">
        <w:rPr>
          <w:rFonts w:cs="Arial"/>
          <w:color w:val="000000"/>
          <w:lang w:eastAsia="ko-KR" w:bidi="he-IL"/>
        </w:rPr>
        <w:t xml:space="preserve">. </w:t>
      </w:r>
      <w:r w:rsidR="00C20B22">
        <w:rPr>
          <w:rFonts w:cs="Arial"/>
          <w:color w:val="000000"/>
        </w:rPr>
        <w:t xml:space="preserve">From the population </w:t>
      </w:r>
      <w:r w:rsidR="00B91377">
        <w:rPr>
          <w:rFonts w:cs="Arial"/>
          <w:color w:val="000000"/>
        </w:rPr>
        <w:t xml:space="preserve">PK </w:t>
      </w:r>
      <w:r w:rsidR="00C20B22">
        <w:rPr>
          <w:rFonts w:cs="Arial"/>
          <w:color w:val="000000"/>
        </w:rPr>
        <w:t>model, after the Cycle 6 Day 1 infusion in CLL patients, the C</w:t>
      </w:r>
      <w:r w:rsidR="00C20B22" w:rsidRPr="006435B1">
        <w:rPr>
          <w:rFonts w:cs="Arial"/>
          <w:color w:val="000000"/>
          <w:vertAlign w:val="subscript"/>
        </w:rPr>
        <w:t>max</w:t>
      </w:r>
      <w:r w:rsidR="00C20B22">
        <w:rPr>
          <w:rFonts w:cs="Arial"/>
          <w:color w:val="000000"/>
        </w:rPr>
        <w:t xml:space="preserve"> value was </w:t>
      </w:r>
      <w:r w:rsidR="0025565A">
        <w:rPr>
          <w:rFonts w:cs="Arial"/>
          <w:color w:val="000000"/>
        </w:rPr>
        <w:t>465.7</w:t>
      </w:r>
      <w:r w:rsidR="00C20B22">
        <w:rPr>
          <w:rFonts w:cs="Arial"/>
          <w:color w:val="000000"/>
        </w:rPr>
        <w:t xml:space="preserve"> </w:t>
      </w:r>
      <w:r w:rsidR="00C20B22">
        <w:rPr>
          <w:color w:val="000000"/>
        </w:rPr>
        <w:t>µ</w:t>
      </w:r>
      <w:r w:rsidR="00C20B22">
        <w:rPr>
          <w:rFonts w:cs="Arial"/>
          <w:color w:val="000000"/>
        </w:rPr>
        <w:t>g/mL and AUC</w:t>
      </w:r>
      <w:r w:rsidR="00C20B22" w:rsidRPr="006435B1">
        <w:rPr>
          <w:rFonts w:cs="Arial"/>
          <w:color w:val="000000"/>
          <w:vertAlign w:val="subscript"/>
        </w:rPr>
        <w:t>(T)</w:t>
      </w:r>
      <w:r w:rsidR="00C20B22">
        <w:rPr>
          <w:rFonts w:cs="Arial"/>
          <w:color w:val="000000"/>
        </w:rPr>
        <w:t xml:space="preserve"> value was </w:t>
      </w:r>
      <w:r w:rsidR="0025565A">
        <w:rPr>
          <w:rFonts w:cs="Arial"/>
          <w:color w:val="000000"/>
        </w:rPr>
        <w:t>8,961</w:t>
      </w:r>
      <w:r w:rsidR="00C20B22">
        <w:rPr>
          <w:rFonts w:cs="Arial"/>
          <w:color w:val="000000"/>
        </w:rPr>
        <w:t xml:space="preserve"> </w:t>
      </w:r>
      <w:r w:rsidR="00C20B22">
        <w:rPr>
          <w:color w:val="000000"/>
        </w:rPr>
        <w:t>µ</w:t>
      </w:r>
      <w:r w:rsidR="00C20B22">
        <w:rPr>
          <w:rFonts w:cs="Arial"/>
          <w:color w:val="000000"/>
        </w:rPr>
        <w:t>g</w:t>
      </w:r>
      <w:r w:rsidR="0025565A">
        <w:rPr>
          <w:rFonts w:cs="Arial"/>
          <w:color w:val="000000"/>
        </w:rPr>
        <w:t>*</w:t>
      </w:r>
      <w:r w:rsidR="00C20B22">
        <w:rPr>
          <w:rFonts w:cs="Arial"/>
          <w:color w:val="000000"/>
        </w:rPr>
        <w:t>d/mL.</w:t>
      </w:r>
      <w:r w:rsidR="0025565A">
        <w:rPr>
          <w:rFonts w:cs="Arial"/>
          <w:color w:val="000000"/>
        </w:rPr>
        <w:t xml:space="preserve"> In iNHL patients the estimated median C</w:t>
      </w:r>
      <w:r w:rsidR="0025565A" w:rsidRPr="006435B1">
        <w:rPr>
          <w:rFonts w:cs="Arial"/>
          <w:color w:val="000000"/>
          <w:vertAlign w:val="subscript"/>
        </w:rPr>
        <w:t>max</w:t>
      </w:r>
      <w:r w:rsidR="0025565A">
        <w:rPr>
          <w:rFonts w:cs="Arial"/>
          <w:color w:val="000000"/>
        </w:rPr>
        <w:t xml:space="preserve"> value was 539.3 </w:t>
      </w:r>
      <w:r w:rsidR="0025565A">
        <w:rPr>
          <w:color w:val="000000"/>
        </w:rPr>
        <w:t>µ</w:t>
      </w:r>
      <w:r w:rsidR="0025565A">
        <w:rPr>
          <w:rFonts w:cs="Arial"/>
          <w:color w:val="000000"/>
        </w:rPr>
        <w:t>g/mL and AUC</w:t>
      </w:r>
      <w:r w:rsidR="0025565A" w:rsidRPr="006435B1">
        <w:rPr>
          <w:rFonts w:cs="Arial"/>
          <w:color w:val="000000"/>
          <w:vertAlign w:val="subscript"/>
        </w:rPr>
        <w:t>(T)</w:t>
      </w:r>
      <w:r w:rsidR="0025565A">
        <w:rPr>
          <w:rFonts w:cs="Arial"/>
          <w:color w:val="000000"/>
        </w:rPr>
        <w:t xml:space="preserve"> value was 10,956 </w:t>
      </w:r>
      <w:r w:rsidR="0025565A">
        <w:rPr>
          <w:color w:val="000000"/>
        </w:rPr>
        <w:t>µ</w:t>
      </w:r>
      <w:r w:rsidR="0025565A">
        <w:rPr>
          <w:rFonts w:cs="Arial"/>
          <w:color w:val="000000"/>
        </w:rPr>
        <w:t>g*d/mL.</w:t>
      </w:r>
    </w:p>
    <w:p w:rsidR="007F311F" w:rsidRPr="00344815" w:rsidRDefault="007F311F" w:rsidP="00592D4B">
      <w:pPr>
        <w:pStyle w:val="TextTi12"/>
        <w:spacing w:after="0" w:line="240" w:lineRule="auto"/>
        <w:rPr>
          <w:rFonts w:cs="Arial"/>
          <w:color w:val="000000"/>
          <w:lang w:eastAsia="ko-KR" w:bidi="he-IL"/>
        </w:rPr>
      </w:pPr>
    </w:p>
    <w:p w:rsidR="00274C1A" w:rsidRPr="001669F8" w:rsidRDefault="00274C1A" w:rsidP="00274C1A">
      <w:pPr>
        <w:pStyle w:val="TextTi12"/>
        <w:spacing w:line="280" w:lineRule="exact"/>
        <w:rPr>
          <w:rFonts w:cs="Arial"/>
          <w:b/>
          <w:color w:val="000000"/>
          <w:lang w:eastAsia="ko-KR" w:bidi="he-IL"/>
        </w:rPr>
      </w:pPr>
      <w:r w:rsidRPr="001669F8">
        <w:rPr>
          <w:rFonts w:cs="Arial"/>
          <w:b/>
          <w:color w:val="000000"/>
          <w:lang w:eastAsia="ko-KR" w:bidi="he-IL"/>
        </w:rPr>
        <w:t>Absorption</w:t>
      </w:r>
    </w:p>
    <w:p w:rsidR="00274C1A" w:rsidRDefault="00286091" w:rsidP="00592D4B">
      <w:pPr>
        <w:pStyle w:val="TextTi12"/>
        <w:spacing w:after="0" w:line="240" w:lineRule="auto"/>
        <w:rPr>
          <w:rFonts w:cs="Arial"/>
          <w:color w:val="000000"/>
        </w:rPr>
      </w:pPr>
      <w:r>
        <w:rPr>
          <w:i/>
        </w:rPr>
        <w:t>O</w:t>
      </w:r>
      <w:r w:rsidRPr="007508EE">
        <w:rPr>
          <w:i/>
        </w:rPr>
        <w:t>binutuzumab</w:t>
      </w:r>
      <w:r w:rsidR="00274C1A" w:rsidRPr="000A0780">
        <w:rPr>
          <w:rFonts w:cs="Arial"/>
          <w:color w:val="000000"/>
        </w:rPr>
        <w:t xml:space="preserve"> is administered </w:t>
      </w:r>
      <w:r w:rsidR="006435B1">
        <w:rPr>
          <w:rFonts w:cs="Arial"/>
          <w:color w:val="000000"/>
        </w:rPr>
        <w:t>intravenously</w:t>
      </w:r>
      <w:r w:rsidR="008B7596">
        <w:rPr>
          <w:rFonts w:cs="Arial"/>
          <w:color w:val="000000"/>
        </w:rPr>
        <w:t xml:space="preserve">. </w:t>
      </w:r>
      <w:r w:rsidR="00274C1A" w:rsidRPr="000A0780">
        <w:rPr>
          <w:rFonts w:cs="Arial"/>
          <w:color w:val="000000"/>
        </w:rPr>
        <w:t>There have been no clinical studies performed with other routes of administration.</w:t>
      </w:r>
      <w:r w:rsidR="006435B1">
        <w:rPr>
          <w:rFonts w:cs="Arial"/>
          <w:color w:val="000000"/>
        </w:rPr>
        <w:t xml:space="preserve"> </w:t>
      </w:r>
    </w:p>
    <w:p w:rsidR="00592D4B" w:rsidRPr="00274C1A" w:rsidRDefault="00592D4B" w:rsidP="00592D4B">
      <w:pPr>
        <w:pStyle w:val="TextTi12"/>
        <w:spacing w:after="0" w:line="240" w:lineRule="auto"/>
        <w:rPr>
          <w:rFonts w:cs="Arial"/>
          <w:b/>
          <w:color w:val="000000"/>
          <w:lang w:eastAsia="ko-KR" w:bidi="he-IL"/>
        </w:rPr>
      </w:pPr>
    </w:p>
    <w:p w:rsidR="00274C1A" w:rsidRPr="001669F8" w:rsidRDefault="00274C1A" w:rsidP="00274C1A">
      <w:pPr>
        <w:pStyle w:val="TextTi12"/>
        <w:spacing w:line="280" w:lineRule="exact"/>
        <w:rPr>
          <w:rFonts w:cs="Arial"/>
          <w:b/>
          <w:color w:val="000000"/>
          <w:lang w:eastAsia="ko-KR" w:bidi="he-IL"/>
        </w:rPr>
      </w:pPr>
      <w:r w:rsidRPr="001669F8">
        <w:rPr>
          <w:rFonts w:cs="Arial"/>
          <w:b/>
          <w:color w:val="000000"/>
          <w:lang w:eastAsia="ko-KR" w:bidi="he-IL"/>
        </w:rPr>
        <w:t>Distribution</w:t>
      </w:r>
    </w:p>
    <w:p w:rsidR="00592D4B" w:rsidRDefault="00153F8E" w:rsidP="00592D4B">
      <w:pPr>
        <w:pStyle w:val="TextTi12"/>
        <w:spacing w:after="0" w:line="240" w:lineRule="auto"/>
        <w:rPr>
          <w:rFonts w:cs="Arial"/>
          <w:color w:val="000000"/>
          <w:lang w:eastAsia="ko-KR" w:bidi="he-IL"/>
        </w:rPr>
      </w:pPr>
      <w:r w:rsidRPr="00153F8E">
        <w:rPr>
          <w:rFonts w:cs="Arial"/>
          <w:color w:val="000000"/>
          <w:lang w:eastAsia="ko-KR" w:bidi="he-IL"/>
        </w:rPr>
        <w:t>Following intravenous administration, the volume</w:t>
      </w:r>
      <w:r>
        <w:rPr>
          <w:rFonts w:cs="Arial"/>
          <w:color w:val="000000"/>
          <w:lang w:eastAsia="ko-KR" w:bidi="he-IL"/>
        </w:rPr>
        <w:t xml:space="preserve"> of distribution of the central compartment </w:t>
      </w:r>
      <w:r w:rsidRPr="00153F8E">
        <w:rPr>
          <w:rFonts w:cs="Arial"/>
          <w:color w:val="000000"/>
          <w:lang w:eastAsia="ko-KR" w:bidi="he-IL"/>
        </w:rPr>
        <w:t>(2.7</w:t>
      </w:r>
      <w:r w:rsidR="008C0E5B">
        <w:rPr>
          <w:rFonts w:cs="Arial"/>
          <w:color w:val="000000"/>
          <w:lang w:eastAsia="ko-KR" w:bidi="he-IL"/>
        </w:rPr>
        <w:t>2</w:t>
      </w:r>
      <w:r w:rsidRPr="00153F8E">
        <w:rPr>
          <w:rFonts w:cs="Arial"/>
          <w:color w:val="000000"/>
          <w:lang w:eastAsia="ko-KR" w:bidi="he-IL"/>
        </w:rPr>
        <w:t xml:space="preserve"> L), approximates serum volum</w:t>
      </w:r>
      <w:r>
        <w:rPr>
          <w:rFonts w:cs="Arial"/>
          <w:color w:val="000000"/>
          <w:lang w:eastAsia="ko-KR" w:bidi="he-IL"/>
        </w:rPr>
        <w:t xml:space="preserve">e, which indicates distribution </w:t>
      </w:r>
      <w:r w:rsidRPr="00153F8E">
        <w:rPr>
          <w:rFonts w:cs="Arial"/>
          <w:color w:val="000000"/>
          <w:lang w:eastAsia="ko-KR" w:bidi="he-IL"/>
        </w:rPr>
        <w:t>is largely restricted to plasma and interstitial fluid.</w:t>
      </w:r>
    </w:p>
    <w:p w:rsidR="00274C1A" w:rsidRPr="00153F8E" w:rsidRDefault="00274C1A" w:rsidP="00592D4B">
      <w:pPr>
        <w:pStyle w:val="TextTi12"/>
        <w:spacing w:after="0" w:line="240" w:lineRule="auto"/>
        <w:rPr>
          <w:rFonts w:cs="Arial"/>
          <w:color w:val="000000"/>
          <w:lang w:eastAsia="ko-KR" w:bidi="he-IL"/>
        </w:rPr>
      </w:pPr>
    </w:p>
    <w:p w:rsidR="00274C1A" w:rsidRPr="001669F8" w:rsidRDefault="00274C1A" w:rsidP="00274C1A">
      <w:pPr>
        <w:pStyle w:val="TextTi12"/>
        <w:spacing w:line="280" w:lineRule="exact"/>
        <w:rPr>
          <w:rFonts w:cs="Arial"/>
          <w:b/>
          <w:color w:val="000000"/>
          <w:lang w:eastAsia="ko-KR" w:bidi="he-IL"/>
        </w:rPr>
      </w:pPr>
      <w:r w:rsidRPr="001669F8">
        <w:rPr>
          <w:rFonts w:cs="Arial"/>
          <w:b/>
          <w:color w:val="000000"/>
          <w:lang w:eastAsia="ko-KR" w:bidi="he-IL"/>
        </w:rPr>
        <w:t>Metabolism</w:t>
      </w:r>
    </w:p>
    <w:p w:rsidR="00592D4B" w:rsidRDefault="00274C1A" w:rsidP="00592D4B">
      <w:pPr>
        <w:pStyle w:val="TextTi12"/>
        <w:spacing w:after="0" w:line="240" w:lineRule="auto"/>
        <w:rPr>
          <w:rFonts w:cs="Arial"/>
          <w:color w:val="000000"/>
        </w:rPr>
      </w:pPr>
      <w:r w:rsidRPr="000A0780">
        <w:rPr>
          <w:rFonts w:cs="Arial"/>
          <w:color w:val="000000"/>
        </w:rPr>
        <w:t xml:space="preserve">The metabolism of </w:t>
      </w:r>
      <w:r w:rsidR="00286091" w:rsidRPr="007508EE">
        <w:rPr>
          <w:i/>
        </w:rPr>
        <w:t>obinutuzumab</w:t>
      </w:r>
      <w:r w:rsidRPr="000A0780">
        <w:rPr>
          <w:rFonts w:cs="Arial"/>
          <w:color w:val="000000"/>
          <w:szCs w:val="16"/>
        </w:rPr>
        <w:t xml:space="preserve"> </w:t>
      </w:r>
      <w:r w:rsidRPr="000A0780">
        <w:rPr>
          <w:rFonts w:cs="Arial"/>
          <w:color w:val="000000"/>
        </w:rPr>
        <w:t>has not been directly studied. Antibodies are mostly cleared by catabolism.</w:t>
      </w:r>
    </w:p>
    <w:p w:rsidR="008B7596" w:rsidRDefault="008B7596" w:rsidP="00592D4B">
      <w:pPr>
        <w:pStyle w:val="TextTi12"/>
        <w:spacing w:after="0" w:line="240" w:lineRule="auto"/>
        <w:rPr>
          <w:rFonts w:cs="Arial"/>
          <w:i/>
          <w:color w:val="000000"/>
          <w:lang w:eastAsia="ko-KR" w:bidi="he-IL"/>
        </w:rPr>
      </w:pPr>
    </w:p>
    <w:p w:rsidR="00274C1A" w:rsidRPr="001669F8" w:rsidRDefault="00274C1A" w:rsidP="00274C1A">
      <w:pPr>
        <w:pStyle w:val="TextTi12"/>
        <w:spacing w:line="280" w:lineRule="exact"/>
        <w:rPr>
          <w:rFonts w:cs="Arial"/>
          <w:b/>
          <w:color w:val="000000"/>
          <w:lang w:eastAsia="ko-KR" w:bidi="he-IL"/>
        </w:rPr>
      </w:pPr>
      <w:r w:rsidRPr="001669F8">
        <w:rPr>
          <w:rFonts w:cs="Arial"/>
          <w:b/>
          <w:color w:val="000000"/>
          <w:lang w:eastAsia="ko-KR" w:bidi="he-IL"/>
        </w:rPr>
        <w:t>Excretion</w:t>
      </w:r>
    </w:p>
    <w:p w:rsidR="00E1411C" w:rsidRDefault="00153F8E" w:rsidP="00153F8E">
      <w:pPr>
        <w:pStyle w:val="TextTi12"/>
        <w:spacing w:line="280" w:lineRule="exact"/>
        <w:rPr>
          <w:rFonts w:cs="Arial"/>
          <w:color w:val="000000"/>
          <w:lang w:eastAsia="ko-KR" w:bidi="he-IL"/>
        </w:rPr>
      </w:pPr>
      <w:r w:rsidRPr="00153F8E">
        <w:rPr>
          <w:rFonts w:cs="Arial"/>
          <w:color w:val="000000"/>
          <w:lang w:eastAsia="ko-KR" w:bidi="he-IL"/>
        </w:rPr>
        <w:t xml:space="preserve">The clearance of </w:t>
      </w:r>
      <w:r w:rsidR="00286091" w:rsidRPr="007508EE">
        <w:rPr>
          <w:i/>
        </w:rPr>
        <w:t>obinutuzumab</w:t>
      </w:r>
      <w:r w:rsidRPr="00153F8E">
        <w:rPr>
          <w:rFonts w:cs="Arial"/>
          <w:color w:val="000000"/>
          <w:lang w:eastAsia="ko-KR" w:bidi="he-IL"/>
        </w:rPr>
        <w:t xml:space="preserve"> </w:t>
      </w:r>
      <w:r w:rsidR="00E1411C">
        <w:rPr>
          <w:rFonts w:cs="Arial"/>
          <w:color w:val="000000"/>
          <w:lang w:eastAsia="ko-KR" w:bidi="he-IL"/>
        </w:rPr>
        <w:t>was</w:t>
      </w:r>
      <w:r>
        <w:rPr>
          <w:rFonts w:cs="Arial"/>
          <w:color w:val="000000"/>
          <w:lang w:eastAsia="ko-KR" w:bidi="he-IL"/>
        </w:rPr>
        <w:t xml:space="preserve"> approximately </w:t>
      </w:r>
      <w:r w:rsidR="00E1411C">
        <w:rPr>
          <w:rFonts w:cs="Arial"/>
          <w:color w:val="000000"/>
          <w:lang w:eastAsia="ko-KR" w:bidi="he-IL"/>
        </w:rPr>
        <w:t>0.11</w:t>
      </w:r>
      <w:r>
        <w:rPr>
          <w:rFonts w:cs="Arial"/>
          <w:color w:val="000000"/>
          <w:lang w:eastAsia="ko-KR" w:bidi="he-IL"/>
        </w:rPr>
        <w:t xml:space="preserve"> L/day </w:t>
      </w:r>
      <w:r w:rsidR="00E1411C">
        <w:rPr>
          <w:rFonts w:cs="Arial"/>
          <w:color w:val="000000"/>
          <w:lang w:eastAsia="ko-KR" w:bidi="he-IL"/>
        </w:rPr>
        <w:t xml:space="preserve">in CLL patients and 0.08 L/day in iNHL patients </w:t>
      </w:r>
      <w:r>
        <w:rPr>
          <w:rFonts w:cs="Arial"/>
          <w:color w:val="000000"/>
          <w:lang w:eastAsia="ko-KR" w:bidi="he-IL"/>
        </w:rPr>
        <w:t>with a</w:t>
      </w:r>
      <w:r w:rsidR="00716E86">
        <w:rPr>
          <w:rFonts w:cs="Arial"/>
          <w:color w:val="000000"/>
          <w:lang w:eastAsia="ko-KR" w:bidi="he-IL"/>
        </w:rPr>
        <w:t xml:space="preserve"> median</w:t>
      </w:r>
      <w:r>
        <w:rPr>
          <w:rFonts w:cs="Arial"/>
          <w:color w:val="000000"/>
          <w:lang w:eastAsia="ko-KR" w:bidi="he-IL"/>
        </w:rPr>
        <w:t xml:space="preserve"> elimination t</w:t>
      </w:r>
      <w:r w:rsidRPr="00153F8E">
        <w:rPr>
          <w:rFonts w:cs="Arial"/>
          <w:color w:val="000000"/>
          <w:lang w:eastAsia="ko-KR" w:bidi="he-IL"/>
        </w:rPr>
        <w:t xml:space="preserve">½ </w:t>
      </w:r>
      <w:r w:rsidR="00E1411C">
        <w:rPr>
          <w:rFonts w:cs="Arial"/>
          <w:color w:val="000000"/>
          <w:lang w:eastAsia="ko-KR" w:bidi="he-IL"/>
        </w:rPr>
        <w:t>26.4 days in CLL patients and 36.8 days in iNHL patients</w:t>
      </w:r>
      <w:r w:rsidR="00286091">
        <w:rPr>
          <w:rFonts w:cs="Arial"/>
          <w:color w:val="000000"/>
          <w:lang w:eastAsia="ko-KR" w:bidi="he-IL"/>
        </w:rPr>
        <w:t>.</w:t>
      </w:r>
    </w:p>
    <w:p w:rsidR="00153F8E" w:rsidRPr="00153F8E" w:rsidRDefault="00286091" w:rsidP="00153F8E">
      <w:pPr>
        <w:pStyle w:val="TextTi12"/>
        <w:spacing w:line="280" w:lineRule="exact"/>
        <w:rPr>
          <w:rFonts w:cs="Arial"/>
          <w:color w:val="000000"/>
          <w:lang w:eastAsia="ko-KR" w:bidi="he-IL"/>
        </w:rPr>
      </w:pPr>
      <w:r w:rsidRPr="00286091">
        <w:rPr>
          <w:rFonts w:cs="Arial"/>
          <w:i/>
          <w:color w:val="000000"/>
          <w:lang w:eastAsia="ko-KR" w:bidi="he-IL"/>
        </w:rPr>
        <w:t>Obinutuzumab</w:t>
      </w:r>
      <w:r>
        <w:rPr>
          <w:rFonts w:cs="Arial"/>
          <w:color w:val="000000"/>
          <w:lang w:eastAsia="ko-KR" w:bidi="he-IL"/>
        </w:rPr>
        <w:t xml:space="preserve"> </w:t>
      </w:r>
      <w:r w:rsidR="00153F8E" w:rsidRPr="00153F8E">
        <w:rPr>
          <w:rFonts w:cs="Arial"/>
          <w:color w:val="000000"/>
          <w:lang w:eastAsia="ko-KR" w:bidi="he-IL"/>
        </w:rPr>
        <w:t xml:space="preserve">elimination comprises </w:t>
      </w:r>
      <w:r w:rsidR="00153F8E">
        <w:rPr>
          <w:rFonts w:cs="Arial"/>
          <w:color w:val="000000"/>
          <w:lang w:eastAsia="ko-KR" w:bidi="he-IL"/>
        </w:rPr>
        <w:t xml:space="preserve">two parallel pathways </w:t>
      </w:r>
      <w:r w:rsidR="00153F8E" w:rsidRPr="00153F8E">
        <w:rPr>
          <w:rFonts w:cs="Arial"/>
          <w:color w:val="000000"/>
          <w:lang w:eastAsia="ko-KR" w:bidi="he-IL"/>
        </w:rPr>
        <w:t>whi</w:t>
      </w:r>
      <w:r w:rsidR="00153F8E">
        <w:rPr>
          <w:rFonts w:cs="Arial"/>
          <w:color w:val="000000"/>
          <w:lang w:eastAsia="ko-KR" w:bidi="he-IL"/>
        </w:rPr>
        <w:t xml:space="preserve">ch describe clearance, a linear </w:t>
      </w:r>
      <w:r w:rsidR="00153F8E" w:rsidRPr="00153F8E">
        <w:rPr>
          <w:rFonts w:cs="Arial"/>
          <w:color w:val="000000"/>
          <w:lang w:eastAsia="ko-KR" w:bidi="he-IL"/>
        </w:rPr>
        <w:t>clearance pat</w:t>
      </w:r>
      <w:r w:rsidR="00153F8E">
        <w:rPr>
          <w:rFonts w:cs="Arial"/>
          <w:color w:val="000000"/>
          <w:lang w:eastAsia="ko-KR" w:bidi="he-IL"/>
        </w:rPr>
        <w:t xml:space="preserve">hway and a non-linear clearance </w:t>
      </w:r>
      <w:r w:rsidR="00153F8E" w:rsidRPr="00153F8E">
        <w:rPr>
          <w:rFonts w:cs="Arial"/>
          <w:color w:val="000000"/>
          <w:lang w:eastAsia="ko-KR" w:bidi="he-IL"/>
        </w:rPr>
        <w:t>pathway which</w:t>
      </w:r>
      <w:r w:rsidR="00153F8E">
        <w:rPr>
          <w:rFonts w:cs="Arial"/>
          <w:color w:val="000000"/>
          <w:lang w:eastAsia="ko-KR" w:bidi="he-IL"/>
        </w:rPr>
        <w:t xml:space="preserve"> changes as a function of time. </w:t>
      </w:r>
      <w:r w:rsidR="00153F8E" w:rsidRPr="00153F8E">
        <w:rPr>
          <w:rFonts w:cs="Arial"/>
          <w:color w:val="000000"/>
          <w:lang w:eastAsia="ko-KR" w:bidi="he-IL"/>
        </w:rPr>
        <w:t>Duri</w:t>
      </w:r>
      <w:r w:rsidR="00153F8E">
        <w:rPr>
          <w:rFonts w:cs="Arial"/>
          <w:color w:val="000000"/>
          <w:lang w:eastAsia="ko-KR" w:bidi="he-IL"/>
        </w:rPr>
        <w:t xml:space="preserve">ng </w:t>
      </w:r>
      <w:r w:rsidR="004C37F4">
        <w:rPr>
          <w:rFonts w:cs="Arial"/>
          <w:color w:val="000000"/>
          <w:lang w:eastAsia="ko-KR" w:bidi="he-IL"/>
        </w:rPr>
        <w:t>initial</w:t>
      </w:r>
      <w:r w:rsidR="00153F8E">
        <w:rPr>
          <w:rFonts w:cs="Arial"/>
          <w:color w:val="000000"/>
          <w:lang w:eastAsia="ko-KR" w:bidi="he-IL"/>
        </w:rPr>
        <w:t xml:space="preserve"> treatment, </w:t>
      </w:r>
      <w:r w:rsidR="00153F8E" w:rsidRPr="00153F8E">
        <w:rPr>
          <w:rFonts w:cs="Arial"/>
          <w:color w:val="000000"/>
          <w:lang w:eastAsia="ko-KR" w:bidi="he-IL"/>
        </w:rPr>
        <w:t>the non-linear time-varyin</w:t>
      </w:r>
      <w:r w:rsidR="00153F8E">
        <w:rPr>
          <w:rFonts w:cs="Arial"/>
          <w:color w:val="000000"/>
          <w:lang w:eastAsia="ko-KR" w:bidi="he-IL"/>
        </w:rPr>
        <w:t xml:space="preserve">g clearance pathway is dominant and </w:t>
      </w:r>
      <w:r w:rsidR="004C37F4">
        <w:rPr>
          <w:rFonts w:cs="Arial"/>
          <w:color w:val="000000"/>
          <w:lang w:eastAsia="ko-KR" w:bidi="he-IL"/>
        </w:rPr>
        <w:t>is consequently</w:t>
      </w:r>
      <w:r w:rsidR="00153F8E">
        <w:rPr>
          <w:rFonts w:cs="Arial"/>
          <w:color w:val="000000"/>
          <w:lang w:eastAsia="ko-KR" w:bidi="he-IL"/>
        </w:rPr>
        <w:t xml:space="preserve"> the </w:t>
      </w:r>
      <w:r w:rsidR="00153F8E" w:rsidRPr="00153F8E">
        <w:rPr>
          <w:rFonts w:cs="Arial"/>
          <w:color w:val="000000"/>
          <w:lang w:eastAsia="ko-KR" w:bidi="he-IL"/>
        </w:rPr>
        <w:t>major clearance pathway. As treatment</w:t>
      </w:r>
      <w:r w:rsidR="00153F8E">
        <w:rPr>
          <w:rFonts w:cs="Arial"/>
          <w:color w:val="000000"/>
          <w:lang w:eastAsia="ko-KR" w:bidi="he-IL"/>
        </w:rPr>
        <w:t xml:space="preserve"> </w:t>
      </w:r>
      <w:r w:rsidR="004C37F4">
        <w:rPr>
          <w:rFonts w:cs="Arial"/>
          <w:color w:val="000000"/>
          <w:lang w:eastAsia="ko-KR" w:bidi="he-IL"/>
        </w:rPr>
        <w:t>continues</w:t>
      </w:r>
      <w:r w:rsidR="00153F8E">
        <w:rPr>
          <w:rFonts w:cs="Arial"/>
          <w:color w:val="000000"/>
          <w:lang w:eastAsia="ko-KR" w:bidi="he-IL"/>
        </w:rPr>
        <w:t xml:space="preserve">, the impact of this pathway </w:t>
      </w:r>
      <w:r w:rsidR="00153F8E" w:rsidRPr="00153F8E">
        <w:rPr>
          <w:rFonts w:cs="Arial"/>
          <w:color w:val="000000"/>
          <w:lang w:eastAsia="ko-KR" w:bidi="he-IL"/>
        </w:rPr>
        <w:t>diminishes and the linear clearance pathway pred</w:t>
      </w:r>
      <w:r w:rsidR="00153F8E">
        <w:rPr>
          <w:rFonts w:cs="Arial"/>
          <w:color w:val="000000"/>
          <w:lang w:eastAsia="ko-KR" w:bidi="he-IL"/>
        </w:rPr>
        <w:t xml:space="preserve">ominates. This is indicative of </w:t>
      </w:r>
      <w:r w:rsidR="00153F8E" w:rsidRPr="00153F8E">
        <w:rPr>
          <w:rFonts w:cs="Arial"/>
          <w:color w:val="000000"/>
          <w:lang w:eastAsia="ko-KR" w:bidi="he-IL"/>
        </w:rPr>
        <w:t>target mediated drug disposition (TMDD),</w:t>
      </w:r>
      <w:r w:rsidR="00153F8E">
        <w:rPr>
          <w:rFonts w:cs="Arial"/>
          <w:color w:val="000000"/>
          <w:lang w:eastAsia="ko-KR" w:bidi="he-IL"/>
        </w:rPr>
        <w:t xml:space="preserve"> where the initial abundance of </w:t>
      </w:r>
      <w:r w:rsidR="00153F8E" w:rsidRPr="00153F8E">
        <w:rPr>
          <w:rFonts w:cs="Arial"/>
          <w:color w:val="000000"/>
          <w:lang w:eastAsia="ko-KR" w:bidi="he-IL"/>
        </w:rPr>
        <w:t>CD20 c</w:t>
      </w:r>
      <w:r w:rsidR="00153F8E">
        <w:rPr>
          <w:rFonts w:cs="Arial"/>
          <w:color w:val="000000"/>
          <w:lang w:eastAsia="ko-KR" w:bidi="he-IL"/>
        </w:rPr>
        <w:t xml:space="preserve">ells causes  </w:t>
      </w:r>
      <w:r w:rsidR="00153F8E" w:rsidRPr="00153F8E">
        <w:rPr>
          <w:rFonts w:cs="Arial"/>
          <w:color w:val="000000"/>
          <w:lang w:eastAsia="ko-KR" w:bidi="he-IL"/>
        </w:rPr>
        <w:t xml:space="preserve">rapid </w:t>
      </w:r>
      <w:r w:rsidR="004C37F4">
        <w:rPr>
          <w:rFonts w:cs="Arial"/>
          <w:color w:val="000000"/>
          <w:lang w:eastAsia="ko-KR" w:bidi="he-IL"/>
        </w:rPr>
        <w:t xml:space="preserve">removal </w:t>
      </w:r>
      <w:r w:rsidR="00153F8E" w:rsidRPr="00153F8E">
        <w:rPr>
          <w:rFonts w:cs="Arial"/>
          <w:color w:val="000000"/>
          <w:lang w:eastAsia="ko-KR" w:bidi="he-IL"/>
        </w:rPr>
        <w:t xml:space="preserve">of </w:t>
      </w:r>
      <w:r w:rsidRPr="00286091">
        <w:rPr>
          <w:rFonts w:cs="Arial"/>
          <w:i/>
          <w:color w:val="000000"/>
          <w:lang w:eastAsia="ko-KR" w:bidi="he-IL"/>
        </w:rPr>
        <w:t>obinutuzumab</w:t>
      </w:r>
      <w:r w:rsidR="004C37F4">
        <w:rPr>
          <w:rFonts w:cs="Arial"/>
          <w:color w:val="000000"/>
          <w:lang w:eastAsia="ko-KR" w:bidi="he-IL"/>
        </w:rPr>
        <w:t xml:space="preserve"> from the circulation</w:t>
      </w:r>
      <w:r w:rsidR="00153F8E">
        <w:rPr>
          <w:rFonts w:cs="Arial"/>
          <w:color w:val="000000"/>
          <w:lang w:eastAsia="ko-KR" w:bidi="he-IL"/>
        </w:rPr>
        <w:t xml:space="preserve">. However, once the majority of CD20 cells are bound </w:t>
      </w:r>
      <w:r w:rsidR="004C37F4">
        <w:rPr>
          <w:rFonts w:cs="Arial"/>
          <w:color w:val="000000"/>
          <w:lang w:eastAsia="ko-KR" w:bidi="he-IL"/>
        </w:rPr>
        <w:t xml:space="preserve">with </w:t>
      </w:r>
      <w:r w:rsidRPr="00286091">
        <w:rPr>
          <w:rFonts w:cs="Arial"/>
          <w:i/>
          <w:color w:val="000000"/>
          <w:lang w:eastAsia="ko-KR" w:bidi="he-IL"/>
        </w:rPr>
        <w:t>obinutuzumab</w:t>
      </w:r>
      <w:r w:rsidR="00153F8E" w:rsidRPr="00153F8E">
        <w:rPr>
          <w:rFonts w:cs="Arial"/>
          <w:color w:val="000000"/>
          <w:lang w:eastAsia="ko-KR" w:bidi="he-IL"/>
        </w:rPr>
        <w:t xml:space="preserve">, </w:t>
      </w:r>
      <w:r w:rsidR="004C37F4">
        <w:rPr>
          <w:rFonts w:cs="Arial"/>
          <w:color w:val="000000"/>
          <w:lang w:eastAsia="ko-KR" w:bidi="he-IL"/>
        </w:rPr>
        <w:t>the</w:t>
      </w:r>
      <w:r w:rsidR="00153F8E">
        <w:rPr>
          <w:rFonts w:cs="Arial"/>
          <w:color w:val="000000"/>
          <w:lang w:eastAsia="ko-KR" w:bidi="he-IL"/>
        </w:rPr>
        <w:t xml:space="preserve"> impact of TMDD on </w:t>
      </w:r>
      <w:r w:rsidR="00153F8E" w:rsidRPr="00153F8E">
        <w:rPr>
          <w:rFonts w:cs="Arial"/>
          <w:color w:val="000000"/>
          <w:lang w:eastAsia="ko-KR" w:bidi="he-IL"/>
        </w:rPr>
        <w:t>PK</w:t>
      </w:r>
      <w:r w:rsidR="004C37F4">
        <w:rPr>
          <w:rFonts w:cs="Arial"/>
          <w:color w:val="000000"/>
          <w:lang w:eastAsia="ko-KR" w:bidi="he-IL"/>
        </w:rPr>
        <w:t xml:space="preserve"> is minimised</w:t>
      </w:r>
      <w:r w:rsidR="00153F8E" w:rsidRPr="00153F8E">
        <w:rPr>
          <w:rFonts w:cs="Arial"/>
          <w:color w:val="000000"/>
          <w:lang w:eastAsia="ko-KR" w:bidi="he-IL"/>
        </w:rPr>
        <w:t>.</w:t>
      </w:r>
    </w:p>
    <w:p w:rsidR="00B2760F" w:rsidRPr="00274C1A" w:rsidRDefault="00B2760F" w:rsidP="00580B71">
      <w:pPr>
        <w:pStyle w:val="Heading3"/>
        <w:numPr>
          <w:ilvl w:val="0"/>
          <w:numId w:val="0"/>
        </w:numPr>
        <w:rPr>
          <w:b/>
          <w:u w:val="none"/>
          <w:lang w:val="en-GB"/>
        </w:rPr>
      </w:pPr>
      <w:r w:rsidRPr="00274C1A">
        <w:rPr>
          <w:b/>
          <w:u w:val="none"/>
          <w:lang w:val="en-GB"/>
        </w:rPr>
        <w:lastRenderedPageBreak/>
        <w:t>Pharmacokinetics in special populations</w:t>
      </w:r>
    </w:p>
    <w:p w:rsidR="00A90FE1" w:rsidRDefault="00F01FAA">
      <w:r w:rsidRPr="00F01FAA">
        <w:rPr>
          <w:rFonts w:cs="Arial"/>
        </w:rPr>
        <w:t xml:space="preserve">In the population </w:t>
      </w:r>
      <w:r>
        <w:rPr>
          <w:rFonts w:cs="Arial"/>
        </w:rPr>
        <w:t>PK</w:t>
      </w:r>
      <w:r w:rsidRPr="00F01FAA">
        <w:rPr>
          <w:rFonts w:cs="Arial"/>
        </w:rPr>
        <w:t xml:space="preserve"> </w:t>
      </w:r>
      <w:r w:rsidRPr="00C2153F">
        <w:rPr>
          <w:rFonts w:cs="Arial"/>
        </w:rPr>
        <w:t>analys</w:t>
      </w:r>
      <w:r w:rsidR="00CD0D20" w:rsidRPr="00C2153F">
        <w:rPr>
          <w:rFonts w:cs="Arial"/>
        </w:rPr>
        <w:t>e</w:t>
      </w:r>
      <w:r w:rsidRPr="00C2153F">
        <w:rPr>
          <w:rFonts w:cs="Arial"/>
        </w:rPr>
        <w:t>s,</w:t>
      </w:r>
      <w:r w:rsidRPr="00F01FAA">
        <w:rPr>
          <w:rFonts w:cs="Arial"/>
        </w:rPr>
        <w:t xml:space="preserve"> gende</w:t>
      </w:r>
      <w:r>
        <w:rPr>
          <w:rFonts w:cs="Arial"/>
        </w:rPr>
        <w:t xml:space="preserve">r was found to be </w:t>
      </w:r>
      <w:r w:rsidR="004C37F4">
        <w:rPr>
          <w:rFonts w:cs="Arial"/>
        </w:rPr>
        <w:t xml:space="preserve"> a </w:t>
      </w:r>
      <w:r w:rsidR="00716E86">
        <w:rPr>
          <w:rFonts w:cs="Arial"/>
        </w:rPr>
        <w:t>covariate which explains some of</w:t>
      </w:r>
      <w:r w:rsidRPr="00F01FAA">
        <w:rPr>
          <w:rFonts w:cs="Arial"/>
        </w:rPr>
        <w:t xml:space="preserve"> the inter-patient variabi</w:t>
      </w:r>
      <w:r>
        <w:rPr>
          <w:rFonts w:cs="Arial"/>
        </w:rPr>
        <w:t xml:space="preserve">lity, with a </w:t>
      </w:r>
      <w:r w:rsidR="004C37F4">
        <w:rPr>
          <w:rFonts w:cs="Arial"/>
        </w:rPr>
        <w:t>18</w:t>
      </w:r>
      <w:r>
        <w:rPr>
          <w:rFonts w:cs="Arial"/>
        </w:rPr>
        <w:t xml:space="preserve">% greater steady state clearance (CLss) and </w:t>
      </w:r>
      <w:r w:rsidRPr="00F01FAA">
        <w:rPr>
          <w:rFonts w:cs="Arial"/>
        </w:rPr>
        <w:t>a 1</w:t>
      </w:r>
      <w:r w:rsidR="004C37F4">
        <w:rPr>
          <w:rFonts w:cs="Arial"/>
        </w:rPr>
        <w:t>9</w:t>
      </w:r>
      <w:r w:rsidRPr="00F01FAA">
        <w:rPr>
          <w:rFonts w:cs="Arial"/>
        </w:rPr>
        <w:t>% greater volu</w:t>
      </w:r>
      <w:r>
        <w:rPr>
          <w:rFonts w:cs="Arial"/>
        </w:rPr>
        <w:t xml:space="preserve">me of distribution (V) in males. However, </w:t>
      </w:r>
      <w:r w:rsidRPr="00F01FAA">
        <w:rPr>
          <w:rFonts w:cs="Arial"/>
        </w:rPr>
        <w:t>results from the populati</w:t>
      </w:r>
      <w:r>
        <w:rPr>
          <w:rFonts w:cs="Arial"/>
        </w:rPr>
        <w:t xml:space="preserve">on </w:t>
      </w:r>
      <w:r w:rsidRPr="00C2153F">
        <w:rPr>
          <w:rFonts w:cs="Arial"/>
        </w:rPr>
        <w:t>analys</w:t>
      </w:r>
      <w:r w:rsidR="00CD0D20" w:rsidRPr="00C2153F">
        <w:rPr>
          <w:rFonts w:cs="Arial"/>
        </w:rPr>
        <w:t>e</w:t>
      </w:r>
      <w:r w:rsidRPr="00C2153F">
        <w:rPr>
          <w:rFonts w:cs="Arial"/>
        </w:rPr>
        <w:t xml:space="preserve">s have shown that the differences in exposure </w:t>
      </w:r>
      <w:r w:rsidR="001748AB" w:rsidRPr="00C2153F">
        <w:rPr>
          <w:rFonts w:cs="Arial"/>
        </w:rPr>
        <w:t xml:space="preserve">between genders </w:t>
      </w:r>
      <w:r w:rsidRPr="00C2153F">
        <w:rPr>
          <w:rFonts w:cs="Arial"/>
        </w:rPr>
        <w:t xml:space="preserve">are not </w:t>
      </w:r>
      <w:r w:rsidR="001748AB" w:rsidRPr="00C2153F">
        <w:rPr>
          <w:rFonts w:cs="Arial"/>
        </w:rPr>
        <w:t>clinically important</w:t>
      </w:r>
      <w:r w:rsidR="001748AB">
        <w:rPr>
          <w:rFonts w:cs="Arial"/>
        </w:rPr>
        <w:t xml:space="preserve"> </w:t>
      </w:r>
      <w:r>
        <w:rPr>
          <w:rFonts w:cs="Arial"/>
        </w:rPr>
        <w:t xml:space="preserve">(with an estimated median AUC and </w:t>
      </w:r>
      <w:r w:rsidRPr="00F01FAA">
        <w:rPr>
          <w:rFonts w:cs="Arial"/>
        </w:rPr>
        <w:t>C</w:t>
      </w:r>
      <w:r w:rsidRPr="00F01FAA">
        <w:rPr>
          <w:rFonts w:cs="Arial"/>
          <w:vertAlign w:val="subscript"/>
        </w:rPr>
        <w:t>max</w:t>
      </w:r>
      <w:r w:rsidRPr="00F01FAA">
        <w:rPr>
          <w:rFonts w:cs="Arial"/>
        </w:rPr>
        <w:t xml:space="preserve"> </w:t>
      </w:r>
      <w:r w:rsidR="004C37F4">
        <w:rPr>
          <w:rFonts w:cs="Arial"/>
        </w:rPr>
        <w:t xml:space="preserve">in CLL patients </w:t>
      </w:r>
      <w:r w:rsidRPr="00F01FAA">
        <w:rPr>
          <w:rFonts w:cs="Arial"/>
        </w:rPr>
        <w:t>of 11</w:t>
      </w:r>
      <w:r w:rsidR="004A02EB">
        <w:rPr>
          <w:rFonts w:cs="Arial"/>
        </w:rPr>
        <w:t>,</w:t>
      </w:r>
      <w:r w:rsidR="00DC61D2">
        <w:rPr>
          <w:rFonts w:cs="Arial"/>
        </w:rPr>
        <w:t>2</w:t>
      </w:r>
      <w:r w:rsidR="001B7B07">
        <w:rPr>
          <w:rFonts w:cs="Arial"/>
        </w:rPr>
        <w:t>82</w:t>
      </w:r>
      <w:r w:rsidRPr="00F01FAA">
        <w:rPr>
          <w:rFonts w:cs="Arial"/>
        </w:rPr>
        <w:t xml:space="preserve"> μg*d/mL and </w:t>
      </w:r>
      <w:r>
        <w:rPr>
          <w:rFonts w:cs="Arial"/>
        </w:rPr>
        <w:t>578.</w:t>
      </w:r>
      <w:r w:rsidR="001B7B07">
        <w:rPr>
          <w:rFonts w:cs="Arial"/>
        </w:rPr>
        <w:t>9</w:t>
      </w:r>
      <w:r>
        <w:rPr>
          <w:rFonts w:cs="Arial"/>
        </w:rPr>
        <w:t xml:space="preserve"> μg/mL in females and </w:t>
      </w:r>
      <w:r w:rsidR="001B7B07">
        <w:rPr>
          <w:rFonts w:cs="Arial"/>
        </w:rPr>
        <w:t>8</w:t>
      </w:r>
      <w:r w:rsidR="004A02EB">
        <w:rPr>
          <w:rFonts w:cs="Arial"/>
        </w:rPr>
        <w:t>,</w:t>
      </w:r>
      <w:r w:rsidR="001B7B07">
        <w:rPr>
          <w:rFonts w:cs="Arial"/>
        </w:rPr>
        <w:t xml:space="preserve">451 </w:t>
      </w:r>
      <w:r>
        <w:rPr>
          <w:rFonts w:cs="Arial"/>
        </w:rPr>
        <w:t>μg*</w:t>
      </w:r>
      <w:r w:rsidR="001B7B07">
        <w:rPr>
          <w:rFonts w:cs="Arial"/>
        </w:rPr>
        <w:t>d</w:t>
      </w:r>
      <w:r>
        <w:rPr>
          <w:rFonts w:cs="Arial"/>
        </w:rPr>
        <w:t xml:space="preserve">/mL and </w:t>
      </w:r>
      <w:r w:rsidR="001B7B07">
        <w:rPr>
          <w:rFonts w:cs="Arial"/>
        </w:rPr>
        <w:t>432.5</w:t>
      </w:r>
      <w:r w:rsidRPr="00F01FAA">
        <w:rPr>
          <w:rFonts w:cs="Arial"/>
        </w:rPr>
        <w:t xml:space="preserve"> μg/mL in males, respectively at Cycle 6</w:t>
      </w:r>
      <w:r w:rsidR="001B7B07">
        <w:rPr>
          <w:rFonts w:cs="Arial"/>
        </w:rPr>
        <w:t xml:space="preserve">, </w:t>
      </w:r>
      <w:r w:rsidR="001B7B07" w:rsidRPr="001B7B07">
        <w:rPr>
          <w:rFonts w:cs="Arial"/>
        </w:rPr>
        <w:t>and AUC and C</w:t>
      </w:r>
      <w:r w:rsidR="001B7B07" w:rsidRPr="001B7B07">
        <w:rPr>
          <w:rFonts w:cs="Arial"/>
          <w:vertAlign w:val="subscript"/>
        </w:rPr>
        <w:t>max</w:t>
      </w:r>
      <w:r w:rsidR="001B7B07" w:rsidRPr="001B7B07">
        <w:rPr>
          <w:rFonts w:cs="Arial"/>
        </w:rPr>
        <w:t xml:space="preserve"> in iNHL patients of 13</w:t>
      </w:r>
      <w:r w:rsidR="004A02EB">
        <w:rPr>
          <w:rFonts w:cs="Arial"/>
        </w:rPr>
        <w:t>,</w:t>
      </w:r>
      <w:r w:rsidR="001B7B07" w:rsidRPr="001B7B07">
        <w:rPr>
          <w:rFonts w:cs="Arial"/>
        </w:rPr>
        <w:t>172 µg*d/mL and 635.7 µg/mL in females and 9</w:t>
      </w:r>
      <w:r w:rsidR="004A02EB">
        <w:rPr>
          <w:rFonts w:cs="Arial"/>
        </w:rPr>
        <w:t>,</w:t>
      </w:r>
      <w:r w:rsidR="001B7B07" w:rsidRPr="001B7B07">
        <w:rPr>
          <w:rFonts w:cs="Arial"/>
        </w:rPr>
        <w:t>769 µg*d/mL and 481.3 µg/mL in males, respectively</w:t>
      </w:r>
      <w:r w:rsidRPr="00F01FAA">
        <w:rPr>
          <w:rFonts w:cs="Arial"/>
        </w:rPr>
        <w:t>), indi</w:t>
      </w:r>
      <w:r>
        <w:rPr>
          <w:rFonts w:cs="Arial"/>
        </w:rPr>
        <w:t xml:space="preserve">cating that there is no need to </w:t>
      </w:r>
      <w:r w:rsidRPr="00F01FAA">
        <w:rPr>
          <w:rFonts w:cs="Arial"/>
        </w:rPr>
        <w:t>dose adjust based on gender.</w:t>
      </w:r>
    </w:p>
    <w:p w:rsidR="00F01FAA" w:rsidRDefault="00F01FAA" w:rsidP="00592D4B">
      <w:pPr>
        <w:pStyle w:val="TextTi12"/>
        <w:spacing w:after="0" w:line="240" w:lineRule="auto"/>
        <w:rPr>
          <w:rFonts w:cs="Arial"/>
        </w:rPr>
      </w:pPr>
    </w:p>
    <w:p w:rsidR="00592D4B" w:rsidRDefault="001669F8" w:rsidP="00592D4B">
      <w:pPr>
        <w:pStyle w:val="TextTi12"/>
        <w:spacing w:after="0" w:line="240" w:lineRule="auto"/>
        <w:rPr>
          <w:rFonts w:cs="Arial"/>
          <w:b/>
          <w:i/>
        </w:rPr>
      </w:pPr>
      <w:r w:rsidRPr="007122C2">
        <w:rPr>
          <w:rFonts w:cs="Arial"/>
          <w:i/>
        </w:rPr>
        <w:t>Elderly</w:t>
      </w:r>
      <w:r w:rsidR="003407E1" w:rsidRPr="007122C2">
        <w:rPr>
          <w:rFonts w:cs="Arial"/>
          <w:i/>
        </w:rPr>
        <w:t xml:space="preserve"> Patients</w:t>
      </w:r>
      <w:r w:rsidR="00274C1A" w:rsidRPr="007122C2">
        <w:rPr>
          <w:rFonts w:cs="Arial"/>
          <w:i/>
        </w:rPr>
        <w:t>:</w:t>
      </w:r>
      <w:r w:rsidR="004E11D7">
        <w:t xml:space="preserve"> </w:t>
      </w:r>
      <w:r w:rsidR="004E11D7" w:rsidRPr="004E11D7">
        <w:rPr>
          <w:rFonts w:cs="Arial"/>
        </w:rPr>
        <w:t>The population pharmacokinetic analysis</w:t>
      </w:r>
      <w:r w:rsidR="004E11D7">
        <w:rPr>
          <w:rFonts w:cs="Arial"/>
        </w:rPr>
        <w:t xml:space="preserve"> of </w:t>
      </w:r>
      <w:r w:rsidR="00286091" w:rsidRPr="00286091">
        <w:rPr>
          <w:rFonts w:cs="Arial"/>
          <w:i/>
          <w:color w:val="000000"/>
          <w:lang w:eastAsia="ko-KR" w:bidi="he-IL"/>
        </w:rPr>
        <w:t>obinutuzumab</w:t>
      </w:r>
      <w:r w:rsidR="004E11D7">
        <w:rPr>
          <w:rFonts w:cs="Arial"/>
        </w:rPr>
        <w:t xml:space="preserve"> showed that age did </w:t>
      </w:r>
      <w:r w:rsidR="004E11D7" w:rsidRPr="004E11D7">
        <w:rPr>
          <w:rFonts w:cs="Arial"/>
        </w:rPr>
        <w:t xml:space="preserve">not affect the pharmacokinetics of </w:t>
      </w:r>
      <w:r w:rsidR="00286091" w:rsidRPr="00286091">
        <w:rPr>
          <w:rFonts w:cs="Arial"/>
          <w:i/>
          <w:color w:val="000000"/>
          <w:lang w:eastAsia="ko-KR" w:bidi="he-IL"/>
        </w:rPr>
        <w:t>obinutuzumab</w:t>
      </w:r>
      <w:r w:rsidR="004E11D7" w:rsidRPr="004E11D7">
        <w:rPr>
          <w:rFonts w:cs="Arial"/>
        </w:rPr>
        <w:t>.</w:t>
      </w:r>
      <w:r w:rsidR="004E11D7">
        <w:rPr>
          <w:rFonts w:cs="Arial"/>
        </w:rPr>
        <w:t xml:space="preserve"> No significant difference was observed in </w:t>
      </w:r>
      <w:r w:rsidR="004E11D7" w:rsidRPr="004E11D7">
        <w:rPr>
          <w:rFonts w:cs="Arial"/>
        </w:rPr>
        <w:t xml:space="preserve">the pharmacokinetics of </w:t>
      </w:r>
      <w:r w:rsidR="007D5A68" w:rsidRPr="00286091">
        <w:rPr>
          <w:rFonts w:cs="Arial"/>
          <w:i/>
          <w:color w:val="000000"/>
          <w:lang w:eastAsia="ko-KR" w:bidi="he-IL"/>
        </w:rPr>
        <w:t>obinutuzumab</w:t>
      </w:r>
      <w:r w:rsidR="004E11D7">
        <w:rPr>
          <w:rFonts w:cs="Arial"/>
        </w:rPr>
        <w:t xml:space="preserve"> among patients &lt;</w:t>
      </w:r>
      <w:r w:rsidR="007D5A68">
        <w:rPr>
          <w:rFonts w:cs="Arial"/>
        </w:rPr>
        <w:t xml:space="preserve"> </w:t>
      </w:r>
      <w:r w:rsidR="004E11D7">
        <w:rPr>
          <w:rFonts w:cs="Arial"/>
        </w:rPr>
        <w:t>65 years (n=</w:t>
      </w:r>
      <w:r w:rsidR="00252426">
        <w:rPr>
          <w:rFonts w:cs="Arial"/>
        </w:rPr>
        <w:t>454</w:t>
      </w:r>
      <w:r w:rsidR="004E11D7">
        <w:rPr>
          <w:rFonts w:cs="Arial"/>
        </w:rPr>
        <w:t>), patients between 65-</w:t>
      </w:r>
      <w:r w:rsidR="004E11D7" w:rsidRPr="004E11D7">
        <w:rPr>
          <w:rFonts w:cs="Arial"/>
        </w:rPr>
        <w:t>75 years (n=</w:t>
      </w:r>
      <w:r w:rsidR="00252426">
        <w:rPr>
          <w:rFonts w:cs="Arial"/>
        </w:rPr>
        <w:t>317</w:t>
      </w:r>
      <w:r w:rsidR="004E11D7" w:rsidRPr="004E11D7">
        <w:rPr>
          <w:rFonts w:cs="Arial"/>
        </w:rPr>
        <w:t>)</w:t>
      </w:r>
      <w:r w:rsidR="004E11D7">
        <w:rPr>
          <w:rFonts w:cs="Arial"/>
        </w:rPr>
        <w:t xml:space="preserve"> and patients &gt;</w:t>
      </w:r>
      <w:r w:rsidR="007D5A68">
        <w:rPr>
          <w:rFonts w:cs="Arial"/>
        </w:rPr>
        <w:t xml:space="preserve"> </w:t>
      </w:r>
      <w:r w:rsidR="004E11D7">
        <w:rPr>
          <w:rFonts w:cs="Arial"/>
        </w:rPr>
        <w:t>75 years (n=</w:t>
      </w:r>
      <w:r w:rsidR="00252426">
        <w:rPr>
          <w:rFonts w:cs="Arial"/>
        </w:rPr>
        <w:t>190</w:t>
      </w:r>
      <w:r w:rsidR="004E11D7">
        <w:rPr>
          <w:rFonts w:cs="Arial"/>
        </w:rPr>
        <w:t>)</w:t>
      </w:r>
      <w:r w:rsidR="004E11D7" w:rsidRPr="004E11D7">
        <w:rPr>
          <w:rFonts w:cs="Arial"/>
        </w:rPr>
        <w:t>.</w:t>
      </w:r>
      <w:r w:rsidR="00274C1A">
        <w:rPr>
          <w:rFonts w:cs="Arial"/>
          <w:b/>
          <w:i/>
        </w:rPr>
        <w:t xml:space="preserve"> </w:t>
      </w:r>
    </w:p>
    <w:p w:rsidR="00274C1A" w:rsidRPr="004E11D7" w:rsidRDefault="00274C1A" w:rsidP="00592D4B">
      <w:pPr>
        <w:pStyle w:val="TextTi12"/>
        <w:spacing w:after="0" w:line="240" w:lineRule="auto"/>
        <w:rPr>
          <w:rFonts w:cs="Arial"/>
          <w:i/>
          <w:color w:val="000000"/>
          <w:lang w:eastAsia="ko-KR" w:bidi="he-IL"/>
        </w:rPr>
      </w:pPr>
    </w:p>
    <w:p w:rsidR="00274C1A" w:rsidRDefault="006875BA" w:rsidP="00592D4B">
      <w:pPr>
        <w:pStyle w:val="TextTi12"/>
        <w:keepNext/>
        <w:spacing w:after="0" w:line="240" w:lineRule="auto"/>
        <w:rPr>
          <w:rFonts w:cs="Arial"/>
          <w:color w:val="000000"/>
          <w:lang w:eastAsia="ko-KR" w:bidi="he-IL"/>
        </w:rPr>
      </w:pPr>
      <w:r w:rsidRPr="007122C2">
        <w:rPr>
          <w:rFonts w:cs="Arial"/>
          <w:i/>
        </w:rPr>
        <w:t>Paediatric Patients</w:t>
      </w:r>
      <w:r w:rsidR="00274C1A" w:rsidRPr="007122C2">
        <w:rPr>
          <w:rFonts w:cs="Arial"/>
          <w:i/>
        </w:rPr>
        <w:t>:</w:t>
      </w:r>
      <w:r w:rsidR="00274C1A" w:rsidRPr="007122C2">
        <w:rPr>
          <w:rFonts w:cs="Arial"/>
        </w:rPr>
        <w:t xml:space="preserve"> </w:t>
      </w:r>
      <w:r w:rsidR="00AF6228" w:rsidRPr="00AF6228">
        <w:t xml:space="preserve"> </w:t>
      </w:r>
      <w:r w:rsidR="00AF6228" w:rsidRPr="00AF6228">
        <w:rPr>
          <w:rFonts w:cs="Arial"/>
          <w:color w:val="000000"/>
          <w:lang w:eastAsia="ko-KR" w:bidi="he-IL"/>
        </w:rPr>
        <w:t>No studies have been conducted to investigate the pharmacokinetics of</w:t>
      </w:r>
      <w:r w:rsidR="00AF6228">
        <w:rPr>
          <w:rFonts w:cs="Arial"/>
          <w:color w:val="000000"/>
          <w:lang w:eastAsia="ko-KR" w:bidi="he-IL"/>
        </w:rPr>
        <w:t xml:space="preserve"> </w:t>
      </w:r>
      <w:r w:rsidR="00286091" w:rsidRPr="00286091">
        <w:rPr>
          <w:rFonts w:cs="Arial"/>
          <w:i/>
          <w:color w:val="000000"/>
          <w:lang w:eastAsia="ko-KR" w:bidi="he-IL"/>
        </w:rPr>
        <w:t>obinutuzumab</w:t>
      </w:r>
      <w:r w:rsidR="00AF6228" w:rsidRPr="00AF6228">
        <w:rPr>
          <w:rFonts w:cs="Arial"/>
          <w:color w:val="000000"/>
          <w:lang w:eastAsia="ko-KR" w:bidi="he-IL"/>
        </w:rPr>
        <w:t xml:space="preserve"> in children.</w:t>
      </w:r>
    </w:p>
    <w:p w:rsidR="00592D4B" w:rsidRPr="00AF6228" w:rsidRDefault="00592D4B" w:rsidP="00592D4B">
      <w:pPr>
        <w:pStyle w:val="TextTi12"/>
        <w:keepNext/>
        <w:spacing w:after="0" w:line="240" w:lineRule="auto"/>
        <w:rPr>
          <w:rFonts w:cs="Arial"/>
          <w:color w:val="000000"/>
          <w:lang w:eastAsia="ko-KR" w:bidi="he-IL"/>
        </w:rPr>
      </w:pPr>
    </w:p>
    <w:p w:rsidR="00592D4B" w:rsidRDefault="006875BA" w:rsidP="00592D4B">
      <w:pPr>
        <w:pStyle w:val="TextTi12"/>
        <w:spacing w:after="0" w:line="240" w:lineRule="auto"/>
        <w:rPr>
          <w:rFonts w:cs="Arial"/>
        </w:rPr>
      </w:pPr>
      <w:r w:rsidRPr="007122C2">
        <w:rPr>
          <w:rFonts w:cs="Arial"/>
          <w:i/>
        </w:rPr>
        <w:t>Renal impairment</w:t>
      </w:r>
      <w:r w:rsidR="00274C1A" w:rsidRPr="007122C2">
        <w:rPr>
          <w:rFonts w:cs="Arial"/>
          <w:i/>
        </w:rPr>
        <w:t>:</w:t>
      </w:r>
      <w:r w:rsidR="0063106C" w:rsidRPr="0063106C">
        <w:t xml:space="preserve"> </w:t>
      </w:r>
      <w:r w:rsidR="0063106C" w:rsidRPr="0063106C">
        <w:rPr>
          <w:rFonts w:cs="Arial"/>
        </w:rPr>
        <w:t>The population pharmacokinetic anal</w:t>
      </w:r>
      <w:r w:rsidR="0063106C">
        <w:rPr>
          <w:rFonts w:cs="Arial"/>
        </w:rPr>
        <w:t xml:space="preserve">ysis of </w:t>
      </w:r>
      <w:r w:rsidR="00286091" w:rsidRPr="00286091">
        <w:rPr>
          <w:rFonts w:cs="Arial"/>
          <w:i/>
          <w:color w:val="000000"/>
          <w:lang w:eastAsia="ko-KR" w:bidi="he-IL"/>
        </w:rPr>
        <w:t>obinutuzumab</w:t>
      </w:r>
      <w:r w:rsidR="0063106C">
        <w:rPr>
          <w:rFonts w:cs="Arial"/>
        </w:rPr>
        <w:t xml:space="preserve"> showed that creatinine </w:t>
      </w:r>
      <w:r w:rsidR="0063106C" w:rsidRPr="0063106C">
        <w:rPr>
          <w:rFonts w:cs="Arial"/>
        </w:rPr>
        <w:t xml:space="preserve">clearance does not affect </w:t>
      </w:r>
      <w:r w:rsidR="0063106C">
        <w:rPr>
          <w:rFonts w:cs="Arial"/>
        </w:rPr>
        <w:t>the pharmacokinetics</w:t>
      </w:r>
      <w:r w:rsidR="0063106C" w:rsidRPr="0063106C">
        <w:rPr>
          <w:rFonts w:cs="Arial"/>
        </w:rPr>
        <w:t xml:space="preserve"> of </w:t>
      </w:r>
      <w:r w:rsidR="00286091" w:rsidRPr="00286091">
        <w:rPr>
          <w:rFonts w:cs="Arial"/>
          <w:i/>
          <w:color w:val="000000"/>
          <w:lang w:eastAsia="ko-KR" w:bidi="he-IL"/>
        </w:rPr>
        <w:t>obinutuzumab</w:t>
      </w:r>
      <w:r w:rsidR="0063106C">
        <w:rPr>
          <w:rFonts w:cs="Arial"/>
        </w:rPr>
        <w:t xml:space="preserve">. Pharmacokinetics of </w:t>
      </w:r>
      <w:r w:rsidR="00286091" w:rsidRPr="00286091">
        <w:rPr>
          <w:rFonts w:cs="Arial"/>
          <w:i/>
          <w:color w:val="000000"/>
          <w:lang w:eastAsia="ko-KR" w:bidi="he-IL"/>
        </w:rPr>
        <w:t>obinutuzumab</w:t>
      </w:r>
      <w:r w:rsidR="0063106C" w:rsidRPr="0063106C">
        <w:rPr>
          <w:rFonts w:cs="Arial"/>
        </w:rPr>
        <w:t xml:space="preserve"> in patients with mild creatinin</w:t>
      </w:r>
      <w:r w:rsidR="0063106C">
        <w:rPr>
          <w:rFonts w:cs="Arial"/>
        </w:rPr>
        <w:t>e clearance (CrCl 50 to 89 mL/min, n=</w:t>
      </w:r>
      <w:r w:rsidR="00252426">
        <w:rPr>
          <w:rFonts w:cs="Arial"/>
        </w:rPr>
        <w:t>464</w:t>
      </w:r>
      <w:r w:rsidR="0063106C">
        <w:rPr>
          <w:rFonts w:cs="Arial"/>
        </w:rPr>
        <w:t xml:space="preserve">) or </w:t>
      </w:r>
      <w:r w:rsidR="0063106C" w:rsidRPr="0063106C">
        <w:rPr>
          <w:rFonts w:cs="Arial"/>
        </w:rPr>
        <w:t>moderate (CrCl 30 to 49 mL/min, n=</w:t>
      </w:r>
      <w:r w:rsidR="00252426">
        <w:rPr>
          <w:rFonts w:cs="Arial"/>
        </w:rPr>
        <w:t>106</w:t>
      </w:r>
      <w:r w:rsidR="0063106C">
        <w:rPr>
          <w:rFonts w:cs="Arial"/>
        </w:rPr>
        <w:t xml:space="preserve">) renal impairment were similar to those in patients </w:t>
      </w:r>
      <w:r w:rsidR="0063106C" w:rsidRPr="0063106C">
        <w:rPr>
          <w:rFonts w:cs="Arial"/>
        </w:rPr>
        <w:t>with normal renal fun</w:t>
      </w:r>
      <w:r w:rsidR="0063106C">
        <w:rPr>
          <w:rFonts w:cs="Arial"/>
        </w:rPr>
        <w:t>ction (CrCl ≥ 90 mL/min, n=</w:t>
      </w:r>
      <w:r w:rsidR="00252426">
        <w:rPr>
          <w:rFonts w:cs="Arial"/>
        </w:rPr>
        <w:t>383</w:t>
      </w:r>
      <w:r w:rsidR="0063106C">
        <w:rPr>
          <w:rFonts w:cs="Arial"/>
        </w:rPr>
        <w:t xml:space="preserve">). PK data in patients with severe renal impairment </w:t>
      </w:r>
      <w:r w:rsidR="0063106C" w:rsidRPr="0063106C">
        <w:rPr>
          <w:rFonts w:cs="Arial"/>
        </w:rPr>
        <w:t>(CrCl 15-29 mL/min) is limited (n=</w:t>
      </w:r>
      <w:r w:rsidR="00252426">
        <w:rPr>
          <w:rFonts w:cs="Arial"/>
        </w:rPr>
        <w:t>8</w:t>
      </w:r>
      <w:r w:rsidR="0063106C" w:rsidRPr="0063106C">
        <w:rPr>
          <w:rFonts w:cs="Arial"/>
        </w:rPr>
        <w:t>), ther</w:t>
      </w:r>
      <w:r w:rsidR="0063106C">
        <w:rPr>
          <w:rFonts w:cs="Arial"/>
        </w:rPr>
        <w:t xml:space="preserve">efore no dosage </w:t>
      </w:r>
      <w:r w:rsidR="0063106C" w:rsidRPr="0063106C">
        <w:rPr>
          <w:rFonts w:cs="Arial"/>
        </w:rPr>
        <w:t>recommendations can</w:t>
      </w:r>
      <w:r w:rsidR="0063106C">
        <w:rPr>
          <w:rFonts w:cs="Arial"/>
        </w:rPr>
        <w:t xml:space="preserve"> </w:t>
      </w:r>
      <w:r w:rsidR="0063106C" w:rsidRPr="0063106C">
        <w:rPr>
          <w:rFonts w:cs="Arial"/>
        </w:rPr>
        <w:t>be made.</w:t>
      </w:r>
    </w:p>
    <w:p w:rsidR="00274C1A" w:rsidRPr="0063106C" w:rsidRDefault="00274C1A" w:rsidP="00592D4B">
      <w:pPr>
        <w:pStyle w:val="TextTi12"/>
        <w:spacing w:after="0" w:line="240" w:lineRule="auto"/>
        <w:rPr>
          <w:rFonts w:cs="Arial"/>
          <w:i/>
          <w:color w:val="000000"/>
          <w:lang w:eastAsia="ko-KR" w:bidi="he-IL"/>
        </w:rPr>
      </w:pPr>
    </w:p>
    <w:p w:rsidR="00274C1A" w:rsidRPr="0063106C" w:rsidRDefault="006875BA" w:rsidP="00274C1A">
      <w:pPr>
        <w:pStyle w:val="TextTi12"/>
        <w:spacing w:after="120"/>
        <w:rPr>
          <w:rFonts w:cs="Arial"/>
          <w:color w:val="000000"/>
          <w:lang w:eastAsia="ko-KR" w:bidi="he-IL"/>
        </w:rPr>
      </w:pPr>
      <w:r w:rsidRPr="007122C2">
        <w:rPr>
          <w:rFonts w:cs="Arial"/>
          <w:i/>
        </w:rPr>
        <w:t>Hepatic impairment</w:t>
      </w:r>
      <w:r w:rsidR="00274C1A" w:rsidRPr="007122C2">
        <w:rPr>
          <w:rFonts w:cs="Arial"/>
          <w:i/>
        </w:rPr>
        <w:t>:</w:t>
      </w:r>
      <w:r w:rsidR="0063106C">
        <w:rPr>
          <w:rFonts w:cs="Arial"/>
        </w:rPr>
        <w:t xml:space="preserve"> No formal PK study has been conducted and no population PK data was collected in patients with hepatic impairment.</w:t>
      </w:r>
      <w:r w:rsidR="0063106C">
        <w:rPr>
          <w:rFonts w:cs="Arial"/>
          <w:i/>
          <w:color w:val="000000"/>
          <w:lang w:eastAsia="ko-KR" w:bidi="he-IL"/>
        </w:rPr>
        <w:t xml:space="preserve"> </w:t>
      </w:r>
    </w:p>
    <w:p w:rsidR="00D844B2" w:rsidRDefault="00D844B2" w:rsidP="00580B71">
      <w:pPr>
        <w:pStyle w:val="Heading1"/>
        <w:numPr>
          <w:ilvl w:val="0"/>
          <w:numId w:val="0"/>
        </w:numPr>
        <w:jc w:val="both"/>
      </w:pPr>
      <w:r>
        <w:t xml:space="preserve">Clinical </w:t>
      </w:r>
      <w:r w:rsidRPr="00D605F8">
        <w:t>trials</w:t>
      </w:r>
    </w:p>
    <w:p w:rsidR="009D44F7" w:rsidRPr="009D44F7" w:rsidRDefault="009D44F7" w:rsidP="003B57FD"/>
    <w:p w:rsidR="006875BA" w:rsidRDefault="006875BA" w:rsidP="003B57FD">
      <w:pPr>
        <w:rPr>
          <w:b/>
        </w:rPr>
      </w:pPr>
      <w:r>
        <w:rPr>
          <w:b/>
        </w:rPr>
        <w:t>Chronic Lymphocytic Leukaemia</w:t>
      </w:r>
      <w:r w:rsidR="00E306EB">
        <w:rPr>
          <w:b/>
        </w:rPr>
        <w:t xml:space="preserve"> (CLL)</w:t>
      </w:r>
    </w:p>
    <w:p w:rsidR="00260842" w:rsidRDefault="009A1820" w:rsidP="009A1820">
      <w:r>
        <w:t xml:space="preserve">A </w:t>
      </w:r>
      <w:r w:rsidR="00260842">
        <w:t>p</w:t>
      </w:r>
      <w:r>
        <w:t>hase III, international, multicentre, open-label, randomi</w:t>
      </w:r>
      <w:r w:rsidR="00260842">
        <w:t>s</w:t>
      </w:r>
      <w:r>
        <w:t xml:space="preserve">ed, two-stage, three arm study (BO21004/CLL11) investigating the safety and efficacy profile of </w:t>
      </w:r>
      <w:r w:rsidR="00771361">
        <w:t>Gazyva</w:t>
      </w:r>
      <w:r>
        <w:t xml:space="preserve"> plus chlorambucil compared to rituximab plus chlorambucil or chlorambucil alone was conducted in patients with previously untreated </w:t>
      </w:r>
      <w:r w:rsidR="00E306EB">
        <w:t>CLL</w:t>
      </w:r>
      <w:r>
        <w:t xml:space="preserve"> with comorbidities.</w:t>
      </w:r>
    </w:p>
    <w:p w:rsidR="00260842" w:rsidRPr="00581C0E" w:rsidRDefault="00260842" w:rsidP="009A1820"/>
    <w:p w:rsidR="00260842" w:rsidRDefault="00260842" w:rsidP="00260842">
      <w:r>
        <w:t>Prior to enrolment, patients had to have documented CD20+ CLL, and one or both of the following measures of coexisting medical conditions</w:t>
      </w:r>
      <w:r w:rsidR="00F9138F">
        <w:t>:</w:t>
      </w:r>
      <w:r>
        <w:t xml:space="preserve"> comorbidity score [total Cumulative Illness Rating Scale (CIRS)] of greater than 6 or reduced renal function as measured by CrCl &lt; 70 mL/min.</w:t>
      </w:r>
      <w:r w:rsidR="009C052B">
        <w:t xml:space="preserve"> Patients with inadequate liver function (NCICTC Grade 3 liver function tests (AST, ALT &gt; 5 x ULN for &gt; 2 weeks; bilirubin &gt; 3 x ULN) and renal function (CrCl &lt; 30 mL/min) were excluded.</w:t>
      </w:r>
    </w:p>
    <w:p w:rsidR="00260842" w:rsidRDefault="00260842" w:rsidP="00260842"/>
    <w:p w:rsidR="00060541" w:rsidRDefault="00060541" w:rsidP="00260842">
      <w:r>
        <w:t xml:space="preserve">A total of 781 </w:t>
      </w:r>
      <w:r w:rsidR="00260842">
        <w:t>patients were randomised 2:</w:t>
      </w:r>
      <w:r>
        <w:t>2:</w:t>
      </w:r>
      <w:r w:rsidR="00260842">
        <w:t xml:space="preserve">1 to receive </w:t>
      </w:r>
      <w:r w:rsidR="00771361">
        <w:t>Gazyva</w:t>
      </w:r>
      <w:r w:rsidR="00260842">
        <w:t xml:space="preserve"> plus chlorambucil</w:t>
      </w:r>
      <w:r>
        <w:t>, rituximab plus chlorambucil</w:t>
      </w:r>
      <w:r w:rsidR="00260842">
        <w:t xml:space="preserve"> or chlorambucil alone. </w:t>
      </w:r>
      <w:r w:rsidRPr="00060541">
        <w:t xml:space="preserve">Stage 1 compared </w:t>
      </w:r>
      <w:r w:rsidR="00771361">
        <w:t>Gazyva</w:t>
      </w:r>
      <w:r w:rsidRPr="00060541">
        <w:t xml:space="preserve"> plus chlorambucil to chlorambucil alone in 356 patients and Stage 2 compared </w:t>
      </w:r>
      <w:r w:rsidR="00771361">
        <w:t>Gazyva</w:t>
      </w:r>
      <w:r w:rsidRPr="00060541">
        <w:t xml:space="preserve"> plus chlorambucil to </w:t>
      </w:r>
      <w:r w:rsidRPr="00060541">
        <w:lastRenderedPageBreak/>
        <w:t>rituximab plus chlorambucil in 663 patients</w:t>
      </w:r>
      <w:r>
        <w:t>.</w:t>
      </w:r>
      <w:r w:rsidRPr="00060541">
        <w:t xml:space="preserve"> Efficacy results are summari</w:t>
      </w:r>
      <w:r>
        <w:t>s</w:t>
      </w:r>
      <w:r w:rsidRPr="00060541">
        <w:t xml:space="preserve">ed in Table </w:t>
      </w:r>
      <w:r w:rsidR="008B16F9">
        <w:t>1</w:t>
      </w:r>
      <w:r w:rsidRPr="00060541">
        <w:t xml:space="preserve"> and in Figures 1-</w:t>
      </w:r>
      <w:r w:rsidR="00EB7273">
        <w:t>3</w:t>
      </w:r>
      <w:r w:rsidRPr="00060541">
        <w:t>.</w:t>
      </w:r>
    </w:p>
    <w:p w:rsidR="00060541" w:rsidRDefault="00060541" w:rsidP="00260842"/>
    <w:p w:rsidR="00260842" w:rsidRDefault="00260842" w:rsidP="00260842">
      <w:r>
        <w:t xml:space="preserve">In the majority of patients, </w:t>
      </w:r>
      <w:r w:rsidR="00771361">
        <w:t>Gazyva</w:t>
      </w:r>
      <w:r>
        <w:t xml:space="preserve"> was given intravenously as a 1000 mg initial dose administered on Day 1, Day 8 and Day 15 of the first treatment cycle. </w:t>
      </w:r>
      <w:r w:rsidR="00DC5D19">
        <w:t>In order t</w:t>
      </w:r>
      <w:r>
        <w:t xml:space="preserve">o reduce the rate of infusion </w:t>
      </w:r>
      <w:r w:rsidR="00CB6C24">
        <w:t xml:space="preserve">related </w:t>
      </w:r>
      <w:r>
        <w:t xml:space="preserve">reactions in patients, an amendment was implemented and </w:t>
      </w:r>
      <w:r w:rsidR="00DC5D19">
        <w:t>140</w:t>
      </w:r>
      <w:r>
        <w:t xml:space="preserve"> patients received the first </w:t>
      </w:r>
      <w:r w:rsidR="00771361">
        <w:t>Gazyva</w:t>
      </w:r>
      <w:r>
        <w:t xml:space="preserve"> dose </w:t>
      </w:r>
      <w:r w:rsidR="00DC5D19">
        <w:t>administered over 2 days</w:t>
      </w:r>
      <w:r>
        <w:t xml:space="preserve"> </w:t>
      </w:r>
      <w:r w:rsidR="00DC5D19">
        <w:t>(</w:t>
      </w:r>
      <w:r>
        <w:t>Day 1 (100mg) and Day 2 (900mg)</w:t>
      </w:r>
      <w:r w:rsidR="00DC5D19">
        <w:t xml:space="preserve">, </w:t>
      </w:r>
      <w:r>
        <w:t xml:space="preserve">see DOSAGE AND ADMINISTRATION). For each subsequent treatment cycle (Cycles 2 to 6), patients received </w:t>
      </w:r>
      <w:r w:rsidR="00771361">
        <w:t>Gazyva</w:t>
      </w:r>
      <w:r>
        <w:t xml:space="preserve"> 1000 mg on Day 1 only. Chlorambucil was given </w:t>
      </w:r>
      <w:r w:rsidR="00662E99">
        <w:t xml:space="preserve">orally </w:t>
      </w:r>
      <w:r>
        <w:t>at 0.5 mg/kg body weight on Day 1 and Day 15 of all treatment cycles (1 to 6).</w:t>
      </w:r>
    </w:p>
    <w:p w:rsidR="007508EE" w:rsidRDefault="007508EE" w:rsidP="00260842"/>
    <w:p w:rsidR="009A1820" w:rsidRDefault="00260842" w:rsidP="00260842">
      <w:r>
        <w:t>The demographics data and baseline characteristics were well balanced between the treatment groups. The majority of patients enrolled were Caucasian (95%) and male (6</w:t>
      </w:r>
      <w:r w:rsidR="003D2EE7">
        <w:t>1</w:t>
      </w:r>
      <w:r>
        <w:t>%). The median age was 73 years, with 4</w:t>
      </w:r>
      <w:r w:rsidR="003D2EE7">
        <w:t>4</w:t>
      </w:r>
      <w:r>
        <w:t xml:space="preserve">% being 75 years or older. At baseline, 22% </w:t>
      </w:r>
      <w:r w:rsidR="00D84B6F">
        <w:t xml:space="preserve">of </w:t>
      </w:r>
      <w:r>
        <w:t xml:space="preserve">patients had Binet Stage A, 42% had Binet Stage B and 36% had Binet Stage C. The median comorbidity score was 8 and </w:t>
      </w:r>
      <w:r w:rsidRPr="005B6F85">
        <w:t>76</w:t>
      </w:r>
      <w:r>
        <w:t xml:space="preserve">% of the patients enrolled had a comorbidity score above 6. The median estimated CrCl was </w:t>
      </w:r>
      <w:r w:rsidR="00702634">
        <w:t>62</w:t>
      </w:r>
      <w:r>
        <w:t xml:space="preserve"> mL/min and </w:t>
      </w:r>
      <w:r w:rsidR="005B6F85">
        <w:t>66</w:t>
      </w:r>
      <w:r>
        <w:t>% of all patients had a CrCl &lt; 70 mL/min.</w:t>
      </w:r>
      <w:r w:rsidR="00702634">
        <w:t xml:space="preserve"> </w:t>
      </w:r>
      <w:r w:rsidR="00702634" w:rsidRPr="00702634">
        <w:t xml:space="preserve">Forty-two percent of patients enrolled had both a CrCl &lt;70 ml/min and a comorbidity score of &gt;6. Thirty-four percent of patients were enrolled on comorbidity score alone, and 23% of patients were enrolled with only impaired renal function. </w:t>
      </w:r>
      <w:r w:rsidR="009A1820">
        <w:t xml:space="preserve"> </w:t>
      </w:r>
    </w:p>
    <w:p w:rsidR="009A1820" w:rsidRDefault="009A1820" w:rsidP="009A1820"/>
    <w:p w:rsidR="00D0271A" w:rsidRDefault="00D0271A" w:rsidP="00D0271A">
      <w:r>
        <w:t xml:space="preserve">The most frequently reported coexisting medical conditions (using a cut off of 30% or higher) in the MedDRA body systems are: Vascular disorders </w:t>
      </w:r>
      <w:r w:rsidR="00B47C45">
        <w:t>73</w:t>
      </w:r>
      <w:r>
        <w:t xml:space="preserve">%, Cardiac disorders </w:t>
      </w:r>
      <w:r w:rsidR="00B47C45">
        <w:t>46</w:t>
      </w:r>
      <w:r>
        <w:t xml:space="preserve">%, Gastrointestinal disorders </w:t>
      </w:r>
      <w:r w:rsidR="00B47C45">
        <w:t>38</w:t>
      </w:r>
      <w:r>
        <w:t xml:space="preserve">%, Metabolism and Nutrition disorders </w:t>
      </w:r>
      <w:r w:rsidR="00B47C45">
        <w:t>40</w:t>
      </w:r>
      <w:r>
        <w:t xml:space="preserve">%, Renal and Urinary disorders </w:t>
      </w:r>
      <w:r w:rsidR="00B47C45">
        <w:t>38</w:t>
      </w:r>
      <w:r>
        <w:t xml:space="preserve">%, musculoskeletal and connective tissue disorders </w:t>
      </w:r>
      <w:r w:rsidR="00B47C45">
        <w:t>33</w:t>
      </w:r>
      <w:r>
        <w:t>%.</w:t>
      </w:r>
    </w:p>
    <w:p w:rsidR="00D0271A" w:rsidRDefault="00D0271A" w:rsidP="00D0271A"/>
    <w:p w:rsidR="00D0271A" w:rsidRDefault="00D0271A" w:rsidP="00D0271A">
      <w:r>
        <w:t>The primary endpoint of the study was investigator assessed progression-free survival (PFS-INV). In addition, an independent review committee (IRC) assessed all patients for progression and IRC assessed PFS (PFS-IRC) was evaluated.</w:t>
      </w:r>
    </w:p>
    <w:p w:rsidR="00D0271A" w:rsidRDefault="00D0271A" w:rsidP="00D0271A"/>
    <w:p w:rsidR="00D0271A" w:rsidRDefault="00D0271A" w:rsidP="00D0271A">
      <w:r>
        <w:t>Key secondary efficacy endpoints were end of treatment response, molecular remission at end of treatment (minimal residual disease status) and time to event endpoints (event-free survival, new anti-leukemic therapy). Overall survival</w:t>
      </w:r>
      <w:r w:rsidR="0041528A">
        <w:t xml:space="preserve"> for Stage 1 is presented in Figure </w:t>
      </w:r>
      <w:r w:rsidR="00EB7273">
        <w:t>2</w:t>
      </w:r>
      <w:r w:rsidR="0041528A">
        <w:t xml:space="preserve">. Overall survival for Stage 2 </w:t>
      </w:r>
      <w:r>
        <w:t>will continue to be</w:t>
      </w:r>
      <w:r w:rsidR="00AD7D41">
        <w:t xml:space="preserve"> followed</w:t>
      </w:r>
      <w:r w:rsidR="0041528A">
        <w:t xml:space="preserve"> and</w:t>
      </w:r>
      <w:r w:rsidR="00AD7D41">
        <w:t xml:space="preserve"> is not yet mature</w:t>
      </w:r>
      <w:r>
        <w:t>.</w:t>
      </w:r>
    </w:p>
    <w:p w:rsidR="00AD7D41" w:rsidRDefault="00AD7D41" w:rsidP="00D0271A"/>
    <w:p w:rsidR="0071433F" w:rsidRDefault="0071433F" w:rsidP="00D0271A">
      <w:r w:rsidRPr="00C92F9F">
        <w:rPr>
          <w:rFonts w:cs="Arial"/>
          <w:b/>
          <w:color w:val="000000"/>
          <w:lang w:eastAsia="ko-KR" w:bidi="he-IL"/>
        </w:rPr>
        <w:t>T</w:t>
      </w:r>
      <w:r>
        <w:rPr>
          <w:rFonts w:cs="Arial"/>
          <w:b/>
          <w:color w:val="000000"/>
          <w:lang w:eastAsia="ko-KR" w:bidi="he-IL"/>
        </w:rPr>
        <w:t xml:space="preserve">able </w:t>
      </w:r>
      <w:r w:rsidR="008B16F9">
        <w:rPr>
          <w:rFonts w:cs="Arial"/>
          <w:b/>
          <w:color w:val="000000"/>
          <w:lang w:eastAsia="ko-KR" w:bidi="he-IL"/>
        </w:rPr>
        <w:t>1</w:t>
      </w:r>
      <w:r w:rsidRPr="00C92F9F">
        <w:rPr>
          <w:rFonts w:cs="Arial"/>
          <w:b/>
          <w:color w:val="000000"/>
          <w:lang w:eastAsia="ko-KR" w:bidi="he-IL"/>
        </w:rPr>
        <w:t xml:space="preserve"> </w:t>
      </w:r>
      <w:r>
        <w:rPr>
          <w:rFonts w:cs="Arial"/>
          <w:b/>
          <w:color w:val="000000"/>
          <w:lang w:eastAsia="ko-KR" w:bidi="he-IL"/>
        </w:rPr>
        <w:t xml:space="preserve">Summary of efficacy from BO21004 (CLL11) study </w:t>
      </w:r>
      <w: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323"/>
        <w:gridCol w:w="236"/>
        <w:gridCol w:w="1560"/>
        <w:gridCol w:w="1445"/>
        <w:gridCol w:w="114"/>
        <w:gridCol w:w="1559"/>
      </w:tblGrid>
      <w:tr w:rsidR="00300D74" w:rsidRPr="004362B1" w:rsidTr="00300D74">
        <w:trPr>
          <w:trHeight w:val="395"/>
        </w:trPr>
        <w:tc>
          <w:tcPr>
            <w:tcW w:w="3085" w:type="dxa"/>
            <w:tcBorders>
              <w:bottom w:val="single" w:sz="4" w:space="0" w:color="auto"/>
            </w:tcBorders>
            <w:shd w:val="clear" w:color="auto" w:fill="auto"/>
            <w:vAlign w:val="center"/>
          </w:tcPr>
          <w:p w:rsidR="00EE12D2" w:rsidRPr="004362B1" w:rsidRDefault="00EE12D2" w:rsidP="00EE12D2">
            <w:pPr>
              <w:spacing w:before="40" w:after="40"/>
              <w:jc w:val="center"/>
              <w:rPr>
                <w:sz w:val="22"/>
                <w:lang w:val="en-US"/>
              </w:rPr>
            </w:pPr>
          </w:p>
        </w:tc>
        <w:tc>
          <w:tcPr>
            <w:tcW w:w="3119" w:type="dxa"/>
            <w:gridSpan w:val="3"/>
            <w:tcBorders>
              <w:bottom w:val="single" w:sz="4" w:space="0" w:color="auto"/>
            </w:tcBorders>
            <w:shd w:val="clear" w:color="auto" w:fill="auto"/>
            <w:vAlign w:val="center"/>
          </w:tcPr>
          <w:p w:rsidR="00EE12D2" w:rsidRDefault="00EE12D2" w:rsidP="00EE12D2">
            <w:pPr>
              <w:spacing w:before="40" w:after="40"/>
              <w:jc w:val="center"/>
              <w:rPr>
                <w:b/>
                <w:sz w:val="22"/>
                <w:lang w:val="en-US"/>
              </w:rPr>
            </w:pPr>
            <w:r>
              <w:rPr>
                <w:b/>
                <w:sz w:val="22"/>
                <w:lang w:val="en-US"/>
              </w:rPr>
              <w:t>Stage 1</w:t>
            </w:r>
          </w:p>
        </w:tc>
        <w:tc>
          <w:tcPr>
            <w:tcW w:w="3118" w:type="dxa"/>
            <w:gridSpan w:val="3"/>
            <w:tcBorders>
              <w:bottom w:val="single" w:sz="4" w:space="0" w:color="auto"/>
            </w:tcBorders>
            <w:vAlign w:val="center"/>
          </w:tcPr>
          <w:p w:rsidR="00EE12D2" w:rsidRDefault="00EE12D2" w:rsidP="00EE12D2">
            <w:pPr>
              <w:spacing w:before="40" w:after="40"/>
              <w:jc w:val="center"/>
              <w:rPr>
                <w:b/>
                <w:sz w:val="22"/>
                <w:lang w:val="en-US"/>
              </w:rPr>
            </w:pPr>
            <w:r>
              <w:rPr>
                <w:b/>
                <w:sz w:val="22"/>
                <w:lang w:val="en-US"/>
              </w:rPr>
              <w:t>Stage 2</w:t>
            </w:r>
          </w:p>
        </w:tc>
      </w:tr>
      <w:tr w:rsidR="00EE12D2" w:rsidRPr="004362B1" w:rsidTr="00300D74">
        <w:trPr>
          <w:trHeight w:val="699"/>
        </w:trPr>
        <w:tc>
          <w:tcPr>
            <w:tcW w:w="3085" w:type="dxa"/>
            <w:tcBorders>
              <w:bottom w:val="single" w:sz="4" w:space="0" w:color="auto"/>
            </w:tcBorders>
            <w:shd w:val="clear" w:color="auto" w:fill="auto"/>
            <w:vAlign w:val="center"/>
          </w:tcPr>
          <w:p w:rsidR="00EE12D2" w:rsidRPr="004362B1" w:rsidRDefault="00EE12D2" w:rsidP="00EE12D2">
            <w:pPr>
              <w:spacing w:before="40" w:after="40"/>
              <w:jc w:val="center"/>
              <w:rPr>
                <w:sz w:val="22"/>
                <w:lang w:val="en-US"/>
              </w:rPr>
            </w:pPr>
          </w:p>
        </w:tc>
        <w:tc>
          <w:tcPr>
            <w:tcW w:w="1559" w:type="dxa"/>
            <w:gridSpan w:val="2"/>
            <w:tcBorders>
              <w:bottom w:val="single" w:sz="4" w:space="0" w:color="auto"/>
            </w:tcBorders>
            <w:shd w:val="clear" w:color="auto" w:fill="auto"/>
            <w:vAlign w:val="center"/>
          </w:tcPr>
          <w:p w:rsidR="00EE12D2" w:rsidRDefault="00EE12D2" w:rsidP="00EE12D2">
            <w:pPr>
              <w:spacing w:before="40" w:after="40"/>
              <w:jc w:val="center"/>
              <w:rPr>
                <w:b/>
                <w:sz w:val="22"/>
                <w:lang w:val="en-US"/>
              </w:rPr>
            </w:pPr>
            <w:r w:rsidRPr="004362B1">
              <w:rPr>
                <w:b/>
                <w:sz w:val="22"/>
                <w:lang w:val="en-US"/>
              </w:rPr>
              <w:t>Chlorambucil</w:t>
            </w:r>
          </w:p>
          <w:p w:rsidR="00EE12D2" w:rsidRPr="004362B1" w:rsidRDefault="00EB75BA" w:rsidP="00EE12D2">
            <w:pPr>
              <w:spacing w:before="40" w:after="40"/>
              <w:jc w:val="center"/>
              <w:rPr>
                <w:b/>
                <w:sz w:val="22"/>
                <w:lang w:val="en-US"/>
              </w:rPr>
            </w:pPr>
            <w:r>
              <w:rPr>
                <w:b/>
                <w:sz w:val="22"/>
                <w:lang w:val="en-US"/>
              </w:rPr>
              <w:t>n=</w:t>
            </w:r>
            <w:r w:rsidR="00EE12D2" w:rsidRPr="004362B1">
              <w:rPr>
                <w:b/>
                <w:sz w:val="22"/>
                <w:lang w:val="en-US"/>
              </w:rPr>
              <w:t>118</w:t>
            </w:r>
          </w:p>
        </w:tc>
        <w:tc>
          <w:tcPr>
            <w:tcW w:w="1560" w:type="dxa"/>
            <w:tcBorders>
              <w:bottom w:val="single" w:sz="4" w:space="0" w:color="auto"/>
            </w:tcBorders>
            <w:shd w:val="clear" w:color="auto" w:fill="auto"/>
            <w:vAlign w:val="center"/>
          </w:tcPr>
          <w:p w:rsidR="00EE12D2" w:rsidRDefault="00EE12D2" w:rsidP="00EE12D2">
            <w:pPr>
              <w:spacing w:before="40" w:after="40"/>
              <w:jc w:val="center"/>
              <w:rPr>
                <w:b/>
                <w:sz w:val="22"/>
                <w:lang w:val="en-US"/>
              </w:rPr>
            </w:pPr>
            <w:r>
              <w:rPr>
                <w:b/>
                <w:sz w:val="22"/>
                <w:lang w:val="en-US"/>
              </w:rPr>
              <w:t>G</w:t>
            </w:r>
            <w:r w:rsidR="00771361">
              <w:rPr>
                <w:b/>
                <w:sz w:val="22"/>
                <w:lang w:val="en-US"/>
              </w:rPr>
              <w:t>azyva</w:t>
            </w:r>
            <w:r w:rsidRPr="004362B1">
              <w:rPr>
                <w:b/>
                <w:sz w:val="22"/>
                <w:lang w:val="en-US"/>
              </w:rPr>
              <w:t xml:space="preserve"> + Chlorambucil</w:t>
            </w:r>
          </w:p>
          <w:p w:rsidR="00EE12D2" w:rsidRPr="004362B1" w:rsidRDefault="00EB75BA" w:rsidP="00EE12D2">
            <w:pPr>
              <w:spacing w:before="40" w:after="40"/>
              <w:jc w:val="center"/>
              <w:rPr>
                <w:b/>
                <w:sz w:val="22"/>
                <w:lang w:val="en-US"/>
              </w:rPr>
            </w:pPr>
            <w:r>
              <w:rPr>
                <w:b/>
                <w:sz w:val="22"/>
                <w:lang w:val="en-US"/>
              </w:rPr>
              <w:t>n</w:t>
            </w:r>
            <w:r w:rsidR="00EE12D2" w:rsidRPr="004362B1">
              <w:rPr>
                <w:b/>
                <w:sz w:val="22"/>
                <w:lang w:val="en-US"/>
              </w:rPr>
              <w:t>=238</w:t>
            </w:r>
          </w:p>
        </w:tc>
        <w:tc>
          <w:tcPr>
            <w:tcW w:w="1559" w:type="dxa"/>
            <w:gridSpan w:val="2"/>
            <w:tcBorders>
              <w:bottom w:val="single" w:sz="4" w:space="0" w:color="auto"/>
            </w:tcBorders>
            <w:vAlign w:val="center"/>
          </w:tcPr>
          <w:p w:rsidR="00EE12D2" w:rsidRDefault="00EE12D2" w:rsidP="00EE12D2">
            <w:pPr>
              <w:spacing w:before="40" w:after="40"/>
              <w:jc w:val="center"/>
              <w:rPr>
                <w:b/>
                <w:sz w:val="22"/>
                <w:lang w:val="en-US"/>
              </w:rPr>
            </w:pPr>
            <w:r>
              <w:rPr>
                <w:b/>
                <w:sz w:val="22"/>
                <w:lang w:val="en-US"/>
              </w:rPr>
              <w:t xml:space="preserve">Rituximab + </w:t>
            </w:r>
            <w:r w:rsidRPr="004362B1">
              <w:rPr>
                <w:b/>
                <w:sz w:val="22"/>
                <w:lang w:val="en-US"/>
              </w:rPr>
              <w:t>Chlorambucil</w:t>
            </w:r>
          </w:p>
          <w:p w:rsidR="00EE12D2" w:rsidRDefault="00EB75BA" w:rsidP="00EE12D2">
            <w:pPr>
              <w:spacing w:before="40" w:after="40"/>
              <w:jc w:val="center"/>
              <w:rPr>
                <w:b/>
                <w:sz w:val="22"/>
                <w:lang w:val="en-US"/>
              </w:rPr>
            </w:pPr>
            <w:r>
              <w:rPr>
                <w:b/>
                <w:sz w:val="22"/>
                <w:lang w:val="en-US"/>
              </w:rPr>
              <w:t>n=</w:t>
            </w:r>
            <w:r w:rsidR="00EE12D2">
              <w:rPr>
                <w:b/>
                <w:sz w:val="22"/>
                <w:lang w:val="en-US"/>
              </w:rPr>
              <w:t>330</w:t>
            </w:r>
          </w:p>
        </w:tc>
        <w:tc>
          <w:tcPr>
            <w:tcW w:w="1559" w:type="dxa"/>
            <w:tcBorders>
              <w:bottom w:val="single" w:sz="4" w:space="0" w:color="auto"/>
            </w:tcBorders>
            <w:vAlign w:val="center"/>
          </w:tcPr>
          <w:p w:rsidR="00EE12D2" w:rsidRDefault="00EE12D2" w:rsidP="00EE12D2">
            <w:pPr>
              <w:spacing w:before="40" w:after="40"/>
              <w:jc w:val="center"/>
              <w:rPr>
                <w:b/>
                <w:sz w:val="22"/>
                <w:lang w:val="en-US"/>
              </w:rPr>
            </w:pPr>
            <w:r>
              <w:rPr>
                <w:b/>
                <w:sz w:val="22"/>
                <w:lang w:val="en-US"/>
              </w:rPr>
              <w:t>G</w:t>
            </w:r>
            <w:r w:rsidR="00771361">
              <w:rPr>
                <w:b/>
                <w:sz w:val="22"/>
                <w:lang w:val="en-US"/>
              </w:rPr>
              <w:t>azyva</w:t>
            </w:r>
            <w:r w:rsidRPr="004362B1">
              <w:rPr>
                <w:b/>
                <w:sz w:val="22"/>
                <w:lang w:val="en-US"/>
              </w:rPr>
              <w:t xml:space="preserve"> + Chlorambucil</w:t>
            </w:r>
          </w:p>
          <w:p w:rsidR="00EE12D2" w:rsidRDefault="00EB75BA" w:rsidP="00EE12D2">
            <w:pPr>
              <w:spacing w:before="40" w:after="40"/>
              <w:jc w:val="center"/>
              <w:rPr>
                <w:b/>
                <w:sz w:val="22"/>
                <w:lang w:val="en-US"/>
              </w:rPr>
            </w:pPr>
            <w:r>
              <w:rPr>
                <w:b/>
                <w:sz w:val="22"/>
                <w:lang w:val="en-US"/>
              </w:rPr>
              <w:t>n</w:t>
            </w:r>
            <w:r w:rsidR="00EE12D2" w:rsidRPr="004362B1">
              <w:rPr>
                <w:b/>
                <w:sz w:val="22"/>
                <w:lang w:val="en-US"/>
              </w:rPr>
              <w:t>=</w:t>
            </w:r>
            <w:r w:rsidR="00EE12D2">
              <w:rPr>
                <w:b/>
                <w:sz w:val="22"/>
                <w:lang w:val="en-US"/>
              </w:rPr>
              <w:t>333</w:t>
            </w:r>
          </w:p>
        </w:tc>
      </w:tr>
      <w:tr w:rsidR="00EE12D2" w:rsidRPr="004362B1" w:rsidTr="00300D74">
        <w:trPr>
          <w:trHeight w:val="699"/>
        </w:trPr>
        <w:tc>
          <w:tcPr>
            <w:tcW w:w="3085" w:type="dxa"/>
            <w:tcBorders>
              <w:bottom w:val="single" w:sz="4" w:space="0" w:color="auto"/>
            </w:tcBorders>
            <w:shd w:val="clear" w:color="auto" w:fill="auto"/>
            <w:vAlign w:val="center"/>
          </w:tcPr>
          <w:p w:rsidR="00EE12D2" w:rsidRPr="004362B1" w:rsidRDefault="00EE12D2" w:rsidP="00EE12D2">
            <w:pPr>
              <w:spacing w:before="40" w:after="40"/>
              <w:jc w:val="center"/>
              <w:rPr>
                <w:sz w:val="22"/>
                <w:lang w:val="en-US"/>
              </w:rPr>
            </w:pPr>
          </w:p>
        </w:tc>
        <w:tc>
          <w:tcPr>
            <w:tcW w:w="3119" w:type="dxa"/>
            <w:gridSpan w:val="3"/>
            <w:tcBorders>
              <w:bottom w:val="single" w:sz="4" w:space="0" w:color="auto"/>
            </w:tcBorders>
            <w:shd w:val="clear" w:color="auto" w:fill="auto"/>
            <w:vAlign w:val="center"/>
          </w:tcPr>
          <w:p w:rsidR="00EE12D2" w:rsidRDefault="00EE12D2" w:rsidP="00EE12D2">
            <w:pPr>
              <w:spacing w:before="40" w:after="40"/>
              <w:jc w:val="center"/>
              <w:rPr>
                <w:b/>
                <w:sz w:val="22"/>
                <w:lang w:val="en-US"/>
              </w:rPr>
            </w:pPr>
            <w:r>
              <w:rPr>
                <w:b/>
                <w:sz w:val="22"/>
                <w:lang w:val="en-US"/>
              </w:rPr>
              <w:t>22.8 months median observation time</w:t>
            </w:r>
          </w:p>
        </w:tc>
        <w:tc>
          <w:tcPr>
            <w:tcW w:w="3118" w:type="dxa"/>
            <w:gridSpan w:val="3"/>
            <w:tcBorders>
              <w:bottom w:val="single" w:sz="4" w:space="0" w:color="auto"/>
            </w:tcBorders>
            <w:vAlign w:val="center"/>
          </w:tcPr>
          <w:p w:rsidR="00EE12D2" w:rsidRDefault="00EE12D2" w:rsidP="00EE12D2">
            <w:pPr>
              <w:spacing w:before="40" w:after="40"/>
              <w:jc w:val="center"/>
              <w:rPr>
                <w:b/>
                <w:sz w:val="22"/>
                <w:lang w:val="en-US"/>
              </w:rPr>
            </w:pPr>
            <w:r>
              <w:rPr>
                <w:b/>
                <w:sz w:val="22"/>
                <w:lang w:val="en-US"/>
              </w:rPr>
              <w:t>18.7 months median observation time</w:t>
            </w:r>
          </w:p>
        </w:tc>
      </w:tr>
      <w:tr w:rsidR="00EE12D2" w:rsidRPr="004362B1" w:rsidTr="00300D74">
        <w:tc>
          <w:tcPr>
            <w:tcW w:w="3085" w:type="dxa"/>
            <w:tcBorders>
              <w:bottom w:val="nil"/>
            </w:tcBorders>
            <w:shd w:val="clear" w:color="auto" w:fill="auto"/>
          </w:tcPr>
          <w:p w:rsidR="00EE12D2" w:rsidRPr="004362B1" w:rsidRDefault="00EE12D2" w:rsidP="004362B1">
            <w:pPr>
              <w:spacing w:before="40" w:after="40"/>
              <w:jc w:val="left"/>
              <w:rPr>
                <w:sz w:val="22"/>
                <w:lang w:val="en-US"/>
              </w:rPr>
            </w:pPr>
            <w:r w:rsidRPr="004362B1">
              <w:rPr>
                <w:b/>
                <w:i/>
                <w:sz w:val="22"/>
                <w:lang w:val="en-US"/>
              </w:rPr>
              <w:t>Investigator-assessed PFS (PFS-INV)</w:t>
            </w:r>
            <w:r w:rsidRPr="004362B1">
              <w:rPr>
                <w:sz w:val="22"/>
                <w:lang w:val="en-US"/>
              </w:rPr>
              <w:t>*</w:t>
            </w:r>
          </w:p>
        </w:tc>
        <w:tc>
          <w:tcPr>
            <w:tcW w:w="1323" w:type="dxa"/>
            <w:tcBorders>
              <w:bottom w:val="nil"/>
              <w:right w:val="nil"/>
            </w:tcBorders>
            <w:shd w:val="clear" w:color="auto" w:fill="auto"/>
          </w:tcPr>
          <w:p w:rsidR="00EE12D2" w:rsidRPr="004362B1" w:rsidRDefault="00EE12D2" w:rsidP="004362B1">
            <w:pPr>
              <w:spacing w:before="40" w:after="40"/>
              <w:jc w:val="center"/>
              <w:rPr>
                <w:sz w:val="22"/>
                <w:lang w:val="en-US"/>
              </w:rPr>
            </w:pPr>
          </w:p>
        </w:tc>
        <w:tc>
          <w:tcPr>
            <w:tcW w:w="1796" w:type="dxa"/>
            <w:gridSpan w:val="2"/>
            <w:tcBorders>
              <w:left w:val="nil"/>
              <w:bottom w:val="nil"/>
            </w:tcBorders>
            <w:shd w:val="clear" w:color="auto" w:fill="auto"/>
          </w:tcPr>
          <w:p w:rsidR="00EE12D2" w:rsidRPr="004362B1" w:rsidRDefault="00EE12D2" w:rsidP="004362B1">
            <w:pPr>
              <w:spacing w:before="40" w:after="40"/>
              <w:jc w:val="center"/>
              <w:rPr>
                <w:sz w:val="22"/>
                <w:lang w:val="en-US"/>
              </w:rPr>
            </w:pPr>
          </w:p>
        </w:tc>
        <w:tc>
          <w:tcPr>
            <w:tcW w:w="1445" w:type="dxa"/>
            <w:tcBorders>
              <w:left w:val="nil"/>
              <w:bottom w:val="nil"/>
              <w:right w:val="nil"/>
            </w:tcBorders>
          </w:tcPr>
          <w:p w:rsidR="00EE12D2" w:rsidRPr="004362B1" w:rsidRDefault="00EE12D2" w:rsidP="004362B1">
            <w:pPr>
              <w:spacing w:before="40" w:after="40"/>
              <w:jc w:val="center"/>
              <w:rPr>
                <w:sz w:val="22"/>
                <w:lang w:val="en-US"/>
              </w:rPr>
            </w:pPr>
          </w:p>
        </w:tc>
        <w:tc>
          <w:tcPr>
            <w:tcW w:w="1673" w:type="dxa"/>
            <w:gridSpan w:val="2"/>
            <w:tcBorders>
              <w:left w:val="nil"/>
              <w:bottom w:val="nil"/>
            </w:tcBorders>
          </w:tcPr>
          <w:p w:rsidR="00EE12D2" w:rsidRPr="004362B1" w:rsidRDefault="00EE12D2" w:rsidP="004362B1">
            <w:pPr>
              <w:spacing w:before="40" w:after="40"/>
              <w:jc w:val="center"/>
              <w:rPr>
                <w:sz w:val="22"/>
                <w:lang w:val="en-US"/>
              </w:rPr>
            </w:pP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Number (%) of patients with event</w:t>
            </w:r>
          </w:p>
        </w:tc>
        <w:tc>
          <w:tcPr>
            <w:tcW w:w="1323" w:type="dxa"/>
            <w:tcBorders>
              <w:top w:val="nil"/>
              <w:bottom w:val="nil"/>
              <w:right w:val="nil"/>
            </w:tcBorders>
            <w:shd w:val="clear" w:color="auto" w:fill="auto"/>
          </w:tcPr>
          <w:p w:rsidR="00EE12D2" w:rsidRPr="004362B1" w:rsidRDefault="008E7520" w:rsidP="00581C0E">
            <w:pPr>
              <w:spacing w:before="40" w:after="40"/>
              <w:jc w:val="center"/>
              <w:rPr>
                <w:sz w:val="22"/>
                <w:lang w:val="en-US"/>
              </w:rPr>
            </w:pPr>
            <w:r>
              <w:rPr>
                <w:sz w:val="22"/>
                <w:lang w:val="en-US"/>
              </w:rPr>
              <w:t xml:space="preserve">96 (81.4%) </w:t>
            </w:r>
          </w:p>
        </w:tc>
        <w:tc>
          <w:tcPr>
            <w:tcW w:w="1796" w:type="dxa"/>
            <w:gridSpan w:val="2"/>
            <w:tcBorders>
              <w:top w:val="nil"/>
              <w:left w:val="nil"/>
              <w:bottom w:val="nil"/>
            </w:tcBorders>
            <w:shd w:val="clear" w:color="auto" w:fill="auto"/>
          </w:tcPr>
          <w:p w:rsidR="00EE12D2" w:rsidRPr="00581C0E" w:rsidRDefault="008E7520" w:rsidP="00581C0E">
            <w:pPr>
              <w:spacing w:before="40" w:after="40"/>
              <w:jc w:val="center"/>
              <w:rPr>
                <w:sz w:val="22"/>
                <w:lang w:val="en-US"/>
              </w:rPr>
            </w:pPr>
            <w:r>
              <w:rPr>
                <w:sz w:val="22"/>
                <w:lang w:val="en-US"/>
              </w:rPr>
              <w:t xml:space="preserve">93 (39.1%) </w:t>
            </w:r>
          </w:p>
        </w:tc>
        <w:tc>
          <w:tcPr>
            <w:tcW w:w="1445" w:type="dxa"/>
            <w:tcBorders>
              <w:top w:val="nil"/>
              <w:left w:val="nil"/>
              <w:bottom w:val="nil"/>
              <w:right w:val="nil"/>
            </w:tcBorders>
          </w:tcPr>
          <w:p w:rsidR="00EE12D2" w:rsidRPr="004362B1" w:rsidRDefault="00EE12D2" w:rsidP="004362B1">
            <w:pPr>
              <w:spacing w:before="40" w:after="40"/>
              <w:jc w:val="center"/>
              <w:rPr>
                <w:sz w:val="22"/>
                <w:lang w:val="en-US"/>
              </w:rPr>
            </w:pPr>
            <w:r>
              <w:rPr>
                <w:sz w:val="22"/>
                <w:lang w:val="en-US"/>
              </w:rPr>
              <w:t>199 (60.3%)</w:t>
            </w:r>
          </w:p>
        </w:tc>
        <w:tc>
          <w:tcPr>
            <w:tcW w:w="1673" w:type="dxa"/>
            <w:gridSpan w:val="2"/>
            <w:tcBorders>
              <w:top w:val="nil"/>
              <w:left w:val="nil"/>
              <w:bottom w:val="nil"/>
            </w:tcBorders>
          </w:tcPr>
          <w:p w:rsidR="00EE12D2" w:rsidRPr="004362B1" w:rsidRDefault="00EE12D2" w:rsidP="004362B1">
            <w:pPr>
              <w:spacing w:before="40" w:after="40"/>
              <w:jc w:val="center"/>
              <w:rPr>
                <w:sz w:val="22"/>
                <w:lang w:val="en-US"/>
              </w:rPr>
            </w:pPr>
            <w:r>
              <w:rPr>
                <w:sz w:val="22"/>
                <w:lang w:val="en-US"/>
              </w:rPr>
              <w:t>104 (31.2%)</w:t>
            </w:r>
          </w:p>
        </w:tc>
      </w:tr>
      <w:tr w:rsidR="00EE12D2" w:rsidRPr="004362B1" w:rsidTr="00300D74">
        <w:tc>
          <w:tcPr>
            <w:tcW w:w="3085" w:type="dxa"/>
            <w:tcBorders>
              <w:top w:val="nil"/>
              <w:bottom w:val="nil"/>
            </w:tcBorders>
            <w:shd w:val="clear" w:color="auto" w:fill="auto"/>
          </w:tcPr>
          <w:p w:rsidR="00EE12D2" w:rsidRPr="004362B1" w:rsidRDefault="00EE12D2" w:rsidP="00B27878">
            <w:pPr>
              <w:spacing w:before="40" w:after="40"/>
              <w:jc w:val="left"/>
              <w:rPr>
                <w:sz w:val="22"/>
                <w:lang w:val="en-US"/>
              </w:rPr>
            </w:pPr>
            <w:r w:rsidRPr="004362B1">
              <w:rPr>
                <w:sz w:val="22"/>
                <w:lang w:val="en-US"/>
              </w:rPr>
              <w:t xml:space="preserve">Median </w:t>
            </w:r>
            <w:r w:rsidR="00C601A7">
              <w:rPr>
                <w:sz w:val="22"/>
                <w:lang w:val="en-US"/>
              </w:rPr>
              <w:t>time to event</w:t>
            </w:r>
            <w:r w:rsidRPr="004362B1">
              <w:rPr>
                <w:sz w:val="22"/>
                <w:lang w:val="en-US"/>
              </w:rPr>
              <w:t xml:space="preserve"> (months)</w:t>
            </w:r>
          </w:p>
        </w:tc>
        <w:tc>
          <w:tcPr>
            <w:tcW w:w="1323" w:type="dxa"/>
            <w:tcBorders>
              <w:top w:val="nil"/>
              <w:bottom w:val="nil"/>
              <w:right w:val="nil"/>
            </w:tcBorders>
            <w:shd w:val="clear" w:color="auto" w:fill="auto"/>
          </w:tcPr>
          <w:p w:rsidR="00EE12D2" w:rsidRPr="00581C0E" w:rsidRDefault="008E7520" w:rsidP="004362B1">
            <w:pPr>
              <w:spacing w:before="40" w:after="40"/>
              <w:jc w:val="center"/>
              <w:rPr>
                <w:sz w:val="22"/>
                <w:lang w:val="en-US"/>
              </w:rPr>
            </w:pPr>
            <w:r>
              <w:rPr>
                <w:sz w:val="22"/>
                <w:lang w:val="en-US"/>
              </w:rPr>
              <w:t>11.1</w:t>
            </w:r>
          </w:p>
        </w:tc>
        <w:tc>
          <w:tcPr>
            <w:tcW w:w="1796" w:type="dxa"/>
            <w:gridSpan w:val="2"/>
            <w:tcBorders>
              <w:top w:val="nil"/>
              <w:left w:val="nil"/>
              <w:bottom w:val="nil"/>
            </w:tcBorders>
            <w:shd w:val="clear" w:color="auto" w:fill="auto"/>
          </w:tcPr>
          <w:p w:rsidR="00EE12D2" w:rsidRPr="00581C0E" w:rsidRDefault="0013423E" w:rsidP="00581C0E">
            <w:pPr>
              <w:spacing w:before="40" w:after="40"/>
              <w:jc w:val="center"/>
              <w:rPr>
                <w:sz w:val="22"/>
                <w:lang w:val="en-US"/>
              </w:rPr>
            </w:pPr>
            <w:r>
              <w:rPr>
                <w:sz w:val="22"/>
                <w:lang w:val="en-US"/>
              </w:rPr>
              <w:t>26.7</w:t>
            </w:r>
          </w:p>
        </w:tc>
        <w:tc>
          <w:tcPr>
            <w:tcW w:w="1445" w:type="dxa"/>
            <w:tcBorders>
              <w:top w:val="nil"/>
              <w:left w:val="nil"/>
              <w:bottom w:val="nil"/>
              <w:right w:val="nil"/>
            </w:tcBorders>
          </w:tcPr>
          <w:p w:rsidR="00EE12D2" w:rsidRPr="004362B1" w:rsidRDefault="00EE12D2" w:rsidP="004362B1">
            <w:pPr>
              <w:spacing w:before="40" w:after="40"/>
              <w:jc w:val="center"/>
              <w:rPr>
                <w:sz w:val="22"/>
                <w:lang w:val="en-US"/>
              </w:rPr>
            </w:pPr>
            <w:r>
              <w:rPr>
                <w:sz w:val="22"/>
                <w:lang w:val="en-US"/>
              </w:rPr>
              <w:t>15.2</w:t>
            </w:r>
          </w:p>
        </w:tc>
        <w:tc>
          <w:tcPr>
            <w:tcW w:w="1673" w:type="dxa"/>
            <w:gridSpan w:val="2"/>
            <w:tcBorders>
              <w:top w:val="nil"/>
              <w:left w:val="nil"/>
              <w:bottom w:val="nil"/>
            </w:tcBorders>
          </w:tcPr>
          <w:p w:rsidR="00EE12D2" w:rsidRPr="004362B1" w:rsidRDefault="00EE12D2" w:rsidP="004362B1">
            <w:pPr>
              <w:spacing w:before="40" w:after="40"/>
              <w:jc w:val="center"/>
              <w:rPr>
                <w:sz w:val="22"/>
                <w:lang w:val="en-US"/>
              </w:rPr>
            </w:pPr>
            <w:r>
              <w:rPr>
                <w:sz w:val="22"/>
                <w:lang w:val="en-US"/>
              </w:rPr>
              <w:t>26.7</w:t>
            </w: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HR (95% Cl)</w:t>
            </w:r>
          </w:p>
        </w:tc>
        <w:tc>
          <w:tcPr>
            <w:tcW w:w="3119" w:type="dxa"/>
            <w:gridSpan w:val="3"/>
            <w:tcBorders>
              <w:top w:val="nil"/>
              <w:bottom w:val="nil"/>
            </w:tcBorders>
            <w:shd w:val="clear" w:color="auto" w:fill="auto"/>
          </w:tcPr>
          <w:p w:rsidR="00EE12D2" w:rsidRPr="00581C0E" w:rsidRDefault="008E7520" w:rsidP="00581C0E">
            <w:pPr>
              <w:spacing w:before="40" w:after="40"/>
              <w:jc w:val="center"/>
              <w:rPr>
                <w:sz w:val="22"/>
                <w:lang w:val="en-US"/>
              </w:rPr>
            </w:pPr>
            <w:r>
              <w:rPr>
                <w:sz w:val="22"/>
                <w:lang w:val="en-US"/>
              </w:rPr>
              <w:t>0.18 [0.13; 0.24]</w:t>
            </w:r>
          </w:p>
        </w:tc>
        <w:tc>
          <w:tcPr>
            <w:tcW w:w="3118" w:type="dxa"/>
            <w:gridSpan w:val="3"/>
            <w:vMerge w:val="restart"/>
            <w:tcBorders>
              <w:top w:val="nil"/>
            </w:tcBorders>
          </w:tcPr>
          <w:p w:rsidR="00EE12D2" w:rsidRDefault="00EE12D2" w:rsidP="004362B1">
            <w:pPr>
              <w:spacing w:before="40" w:after="40"/>
              <w:jc w:val="center"/>
              <w:rPr>
                <w:sz w:val="22"/>
                <w:lang w:val="en-US"/>
              </w:rPr>
            </w:pPr>
            <w:r>
              <w:rPr>
                <w:sz w:val="22"/>
                <w:lang w:val="en-US"/>
              </w:rPr>
              <w:t>0.39 [0.31; 0.49]</w:t>
            </w:r>
          </w:p>
          <w:p w:rsidR="00EE12D2" w:rsidRPr="004362B1" w:rsidRDefault="00EE12D2" w:rsidP="004362B1">
            <w:pPr>
              <w:spacing w:before="40" w:after="40"/>
              <w:jc w:val="center"/>
              <w:rPr>
                <w:sz w:val="22"/>
                <w:lang w:val="en-US"/>
              </w:rPr>
            </w:pPr>
            <w:r>
              <w:rPr>
                <w:sz w:val="22"/>
                <w:lang w:val="en-US"/>
              </w:rPr>
              <w:lastRenderedPageBreak/>
              <w:t>&lt; 0.0001</w:t>
            </w:r>
          </w:p>
        </w:tc>
      </w:tr>
      <w:tr w:rsidR="00EE12D2" w:rsidRPr="004362B1" w:rsidTr="00300D74">
        <w:tc>
          <w:tcPr>
            <w:tcW w:w="3085" w:type="dxa"/>
            <w:tcBorders>
              <w:top w:val="nil"/>
              <w:bottom w:val="single" w:sz="4" w:space="0" w:color="auto"/>
            </w:tcBorders>
            <w:shd w:val="clear" w:color="auto" w:fill="auto"/>
          </w:tcPr>
          <w:p w:rsidR="00EE12D2" w:rsidRPr="004362B1" w:rsidRDefault="00EE12D2" w:rsidP="004362B1">
            <w:pPr>
              <w:spacing w:before="40" w:after="40"/>
              <w:jc w:val="left"/>
              <w:rPr>
                <w:sz w:val="22"/>
                <w:lang w:val="en-US"/>
              </w:rPr>
            </w:pPr>
            <w:r w:rsidRPr="004362B1">
              <w:rPr>
                <w:sz w:val="22"/>
                <w:lang w:val="en-US"/>
              </w:rPr>
              <w:lastRenderedPageBreak/>
              <w:t>p-value (Log-Rank test, stratified</w:t>
            </w:r>
            <w:r w:rsidRPr="004362B1">
              <w:rPr>
                <w:sz w:val="22"/>
                <w:vertAlign w:val="superscript"/>
                <w:lang w:val="en-US"/>
              </w:rPr>
              <w:t>†</w:t>
            </w:r>
            <w:r w:rsidRPr="004362B1">
              <w:rPr>
                <w:sz w:val="22"/>
                <w:lang w:val="en-US"/>
              </w:rPr>
              <w:t>)</w:t>
            </w:r>
          </w:p>
        </w:tc>
        <w:tc>
          <w:tcPr>
            <w:tcW w:w="3119" w:type="dxa"/>
            <w:gridSpan w:val="3"/>
            <w:tcBorders>
              <w:top w:val="nil"/>
              <w:bottom w:val="single" w:sz="4" w:space="0" w:color="auto"/>
            </w:tcBorders>
            <w:shd w:val="clear" w:color="auto" w:fill="auto"/>
          </w:tcPr>
          <w:p w:rsidR="00EE12D2" w:rsidRPr="004362B1" w:rsidRDefault="00EE12D2" w:rsidP="004362B1">
            <w:pPr>
              <w:spacing w:before="40" w:after="40"/>
              <w:jc w:val="center"/>
              <w:rPr>
                <w:sz w:val="22"/>
                <w:lang w:val="en-US"/>
              </w:rPr>
            </w:pPr>
            <w:r w:rsidRPr="004362B1">
              <w:rPr>
                <w:sz w:val="22"/>
                <w:lang w:val="en-US"/>
              </w:rPr>
              <w:t>&lt; 0.0001</w:t>
            </w:r>
          </w:p>
        </w:tc>
        <w:tc>
          <w:tcPr>
            <w:tcW w:w="3118" w:type="dxa"/>
            <w:gridSpan w:val="3"/>
            <w:vMerge/>
            <w:tcBorders>
              <w:bottom w:val="single" w:sz="4" w:space="0" w:color="auto"/>
            </w:tcBorders>
          </w:tcPr>
          <w:p w:rsidR="00EE12D2" w:rsidRPr="004362B1" w:rsidRDefault="00EE12D2" w:rsidP="004362B1">
            <w:pPr>
              <w:spacing w:before="40" w:after="40"/>
              <w:jc w:val="center"/>
              <w:rPr>
                <w:sz w:val="22"/>
                <w:lang w:val="en-US"/>
              </w:rPr>
            </w:pPr>
          </w:p>
        </w:tc>
      </w:tr>
      <w:tr w:rsidR="00EE12D2" w:rsidRPr="004362B1" w:rsidTr="00300D74">
        <w:tc>
          <w:tcPr>
            <w:tcW w:w="3085" w:type="dxa"/>
            <w:tcBorders>
              <w:bottom w:val="nil"/>
            </w:tcBorders>
            <w:shd w:val="clear" w:color="auto" w:fill="auto"/>
          </w:tcPr>
          <w:p w:rsidR="00EE12D2" w:rsidRPr="004362B1" w:rsidRDefault="00EE12D2" w:rsidP="004362B1">
            <w:pPr>
              <w:spacing w:before="40" w:after="40"/>
              <w:jc w:val="left"/>
              <w:rPr>
                <w:sz w:val="22"/>
                <w:lang w:val="en-US"/>
              </w:rPr>
            </w:pPr>
            <w:r w:rsidRPr="004362B1">
              <w:rPr>
                <w:b/>
                <w:i/>
                <w:sz w:val="22"/>
                <w:lang w:val="en-US"/>
              </w:rPr>
              <w:lastRenderedPageBreak/>
              <w:t>IRC-assessed PFS (PFS-IRC)</w:t>
            </w:r>
            <w:r w:rsidRPr="004362B1">
              <w:rPr>
                <w:sz w:val="22"/>
                <w:lang w:val="en-US"/>
              </w:rPr>
              <w:t>*</w:t>
            </w:r>
          </w:p>
        </w:tc>
        <w:tc>
          <w:tcPr>
            <w:tcW w:w="1323" w:type="dxa"/>
            <w:tcBorders>
              <w:bottom w:val="nil"/>
              <w:right w:val="nil"/>
            </w:tcBorders>
            <w:shd w:val="clear" w:color="auto" w:fill="auto"/>
          </w:tcPr>
          <w:p w:rsidR="00EE12D2" w:rsidRPr="004362B1" w:rsidRDefault="00EE12D2" w:rsidP="004362B1">
            <w:pPr>
              <w:spacing w:before="40" w:after="40"/>
              <w:jc w:val="center"/>
              <w:rPr>
                <w:sz w:val="22"/>
                <w:lang w:val="en-US"/>
              </w:rPr>
            </w:pPr>
          </w:p>
        </w:tc>
        <w:tc>
          <w:tcPr>
            <w:tcW w:w="1796" w:type="dxa"/>
            <w:gridSpan w:val="2"/>
            <w:tcBorders>
              <w:left w:val="nil"/>
              <w:bottom w:val="nil"/>
            </w:tcBorders>
            <w:shd w:val="clear" w:color="auto" w:fill="auto"/>
          </w:tcPr>
          <w:p w:rsidR="00EE12D2" w:rsidRPr="004362B1" w:rsidRDefault="00EE12D2" w:rsidP="004362B1">
            <w:pPr>
              <w:spacing w:before="40" w:after="40"/>
              <w:jc w:val="center"/>
              <w:rPr>
                <w:sz w:val="22"/>
                <w:lang w:val="en-US"/>
              </w:rPr>
            </w:pPr>
          </w:p>
        </w:tc>
        <w:tc>
          <w:tcPr>
            <w:tcW w:w="1445" w:type="dxa"/>
            <w:tcBorders>
              <w:left w:val="nil"/>
              <w:bottom w:val="nil"/>
              <w:right w:val="nil"/>
            </w:tcBorders>
          </w:tcPr>
          <w:p w:rsidR="00EE12D2" w:rsidRPr="004362B1" w:rsidRDefault="00EE12D2" w:rsidP="004362B1">
            <w:pPr>
              <w:spacing w:before="40" w:after="40"/>
              <w:jc w:val="center"/>
              <w:rPr>
                <w:sz w:val="22"/>
                <w:lang w:val="en-US"/>
              </w:rPr>
            </w:pPr>
          </w:p>
        </w:tc>
        <w:tc>
          <w:tcPr>
            <w:tcW w:w="1673" w:type="dxa"/>
            <w:gridSpan w:val="2"/>
            <w:tcBorders>
              <w:left w:val="nil"/>
              <w:bottom w:val="nil"/>
            </w:tcBorders>
          </w:tcPr>
          <w:p w:rsidR="00EE12D2" w:rsidRPr="004362B1" w:rsidRDefault="00EE12D2" w:rsidP="004362B1">
            <w:pPr>
              <w:spacing w:before="40" w:after="40"/>
              <w:jc w:val="center"/>
              <w:rPr>
                <w:sz w:val="22"/>
                <w:lang w:val="en-US"/>
              </w:rPr>
            </w:pP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Number (%) of patients with event</w:t>
            </w:r>
          </w:p>
        </w:tc>
        <w:tc>
          <w:tcPr>
            <w:tcW w:w="1323" w:type="dxa"/>
            <w:tcBorders>
              <w:top w:val="nil"/>
              <w:bottom w:val="nil"/>
              <w:right w:val="nil"/>
            </w:tcBorders>
            <w:shd w:val="clear" w:color="auto" w:fill="auto"/>
          </w:tcPr>
          <w:p w:rsidR="00EE12D2" w:rsidRPr="00581C0E" w:rsidRDefault="008E7520" w:rsidP="00581C0E">
            <w:pPr>
              <w:spacing w:before="40" w:after="40"/>
              <w:jc w:val="center"/>
              <w:rPr>
                <w:sz w:val="22"/>
                <w:lang w:val="en-US"/>
              </w:rPr>
            </w:pPr>
            <w:r>
              <w:rPr>
                <w:sz w:val="22"/>
                <w:lang w:val="en-US"/>
              </w:rPr>
              <w:t>90 (76.3%)</w:t>
            </w:r>
          </w:p>
        </w:tc>
        <w:tc>
          <w:tcPr>
            <w:tcW w:w="1796" w:type="dxa"/>
            <w:gridSpan w:val="2"/>
            <w:tcBorders>
              <w:top w:val="nil"/>
              <w:left w:val="nil"/>
              <w:bottom w:val="nil"/>
            </w:tcBorders>
            <w:shd w:val="clear" w:color="auto" w:fill="auto"/>
          </w:tcPr>
          <w:p w:rsidR="00EE12D2" w:rsidRPr="00581C0E" w:rsidRDefault="008E7520" w:rsidP="00581C0E">
            <w:pPr>
              <w:spacing w:before="40" w:after="40"/>
              <w:jc w:val="center"/>
              <w:rPr>
                <w:sz w:val="22"/>
                <w:lang w:val="en-US"/>
              </w:rPr>
            </w:pPr>
            <w:r>
              <w:rPr>
                <w:sz w:val="22"/>
                <w:lang w:val="en-US"/>
              </w:rPr>
              <w:t>89 (37.4%)</w:t>
            </w:r>
          </w:p>
        </w:tc>
        <w:tc>
          <w:tcPr>
            <w:tcW w:w="1445" w:type="dxa"/>
            <w:tcBorders>
              <w:top w:val="nil"/>
              <w:left w:val="nil"/>
              <w:bottom w:val="nil"/>
              <w:right w:val="nil"/>
            </w:tcBorders>
          </w:tcPr>
          <w:p w:rsidR="00EE12D2" w:rsidRPr="004362B1" w:rsidRDefault="00EE12D2" w:rsidP="004362B1">
            <w:pPr>
              <w:spacing w:before="40" w:after="40"/>
              <w:jc w:val="center"/>
              <w:rPr>
                <w:sz w:val="22"/>
                <w:lang w:val="en-US"/>
              </w:rPr>
            </w:pPr>
            <w:r>
              <w:rPr>
                <w:sz w:val="22"/>
                <w:lang w:val="en-US"/>
              </w:rPr>
              <w:t>183 (55.5%</w:t>
            </w:r>
            <w:r w:rsidR="0013423E">
              <w:rPr>
                <w:sz w:val="22"/>
                <w:lang w:val="en-US"/>
              </w:rPr>
              <w:t>)</w:t>
            </w:r>
          </w:p>
        </w:tc>
        <w:tc>
          <w:tcPr>
            <w:tcW w:w="1673" w:type="dxa"/>
            <w:gridSpan w:val="2"/>
            <w:tcBorders>
              <w:top w:val="nil"/>
              <w:left w:val="nil"/>
              <w:bottom w:val="nil"/>
            </w:tcBorders>
          </w:tcPr>
          <w:p w:rsidR="00EE12D2" w:rsidRPr="004362B1" w:rsidRDefault="00EE12D2" w:rsidP="004362B1">
            <w:pPr>
              <w:spacing w:before="40" w:after="40"/>
              <w:jc w:val="center"/>
              <w:rPr>
                <w:sz w:val="22"/>
                <w:lang w:val="en-US"/>
              </w:rPr>
            </w:pPr>
            <w:r>
              <w:rPr>
                <w:sz w:val="22"/>
                <w:lang w:val="en-US"/>
              </w:rPr>
              <w:t>103 (30.9%)</w:t>
            </w:r>
          </w:p>
        </w:tc>
      </w:tr>
      <w:tr w:rsidR="00EE12D2" w:rsidRPr="004362B1" w:rsidTr="00300D74">
        <w:tc>
          <w:tcPr>
            <w:tcW w:w="3085" w:type="dxa"/>
            <w:tcBorders>
              <w:top w:val="nil"/>
              <w:bottom w:val="nil"/>
            </w:tcBorders>
            <w:shd w:val="clear" w:color="auto" w:fill="auto"/>
          </w:tcPr>
          <w:p w:rsidR="00EE12D2" w:rsidRPr="004362B1" w:rsidRDefault="00EE12D2" w:rsidP="00B27878">
            <w:pPr>
              <w:spacing w:before="40" w:after="40"/>
              <w:jc w:val="left"/>
              <w:rPr>
                <w:sz w:val="22"/>
                <w:lang w:val="en-US"/>
              </w:rPr>
            </w:pPr>
            <w:r w:rsidRPr="004362B1">
              <w:rPr>
                <w:sz w:val="22"/>
                <w:lang w:val="en-US"/>
              </w:rPr>
              <w:t xml:space="preserve">Median </w:t>
            </w:r>
            <w:r w:rsidR="00C601A7">
              <w:rPr>
                <w:sz w:val="22"/>
                <w:lang w:val="en-US"/>
              </w:rPr>
              <w:t>time to event</w:t>
            </w:r>
            <w:r w:rsidRPr="004362B1">
              <w:rPr>
                <w:sz w:val="22"/>
                <w:lang w:val="en-US"/>
              </w:rPr>
              <w:t xml:space="preserve"> (months)</w:t>
            </w:r>
          </w:p>
        </w:tc>
        <w:tc>
          <w:tcPr>
            <w:tcW w:w="1323" w:type="dxa"/>
            <w:tcBorders>
              <w:top w:val="nil"/>
              <w:bottom w:val="nil"/>
              <w:right w:val="nil"/>
            </w:tcBorders>
            <w:shd w:val="clear" w:color="auto" w:fill="auto"/>
          </w:tcPr>
          <w:p w:rsidR="00EE12D2" w:rsidRPr="00581C0E" w:rsidRDefault="00EE12D2" w:rsidP="004362B1">
            <w:pPr>
              <w:spacing w:before="40" w:after="40"/>
              <w:jc w:val="center"/>
              <w:rPr>
                <w:sz w:val="22"/>
                <w:lang w:val="en-US"/>
              </w:rPr>
            </w:pPr>
            <w:r w:rsidRPr="004362B1">
              <w:rPr>
                <w:sz w:val="22"/>
                <w:lang w:val="en-US"/>
              </w:rPr>
              <w:t>11.</w:t>
            </w:r>
            <w:r w:rsidR="008E7520">
              <w:rPr>
                <w:sz w:val="22"/>
                <w:lang w:val="en-US"/>
              </w:rPr>
              <w:t>2</w:t>
            </w:r>
          </w:p>
        </w:tc>
        <w:tc>
          <w:tcPr>
            <w:tcW w:w="1796" w:type="dxa"/>
            <w:gridSpan w:val="2"/>
            <w:tcBorders>
              <w:top w:val="nil"/>
              <w:left w:val="nil"/>
              <w:bottom w:val="nil"/>
            </w:tcBorders>
            <w:shd w:val="clear" w:color="auto" w:fill="auto"/>
          </w:tcPr>
          <w:p w:rsidR="00EE12D2" w:rsidRPr="00581C0E" w:rsidRDefault="008E7520" w:rsidP="00581C0E">
            <w:pPr>
              <w:spacing w:before="40" w:after="40"/>
              <w:jc w:val="center"/>
              <w:rPr>
                <w:sz w:val="22"/>
                <w:lang w:val="en-US"/>
              </w:rPr>
            </w:pPr>
            <w:r>
              <w:rPr>
                <w:sz w:val="22"/>
                <w:lang w:val="en-US"/>
              </w:rPr>
              <w:t>27.2</w:t>
            </w:r>
          </w:p>
        </w:tc>
        <w:tc>
          <w:tcPr>
            <w:tcW w:w="1445" w:type="dxa"/>
            <w:tcBorders>
              <w:top w:val="nil"/>
              <w:left w:val="nil"/>
              <w:bottom w:val="nil"/>
              <w:right w:val="nil"/>
            </w:tcBorders>
          </w:tcPr>
          <w:p w:rsidR="00EE12D2" w:rsidRPr="004362B1" w:rsidRDefault="00EE12D2" w:rsidP="004362B1">
            <w:pPr>
              <w:spacing w:before="40" w:after="40"/>
              <w:jc w:val="center"/>
              <w:rPr>
                <w:sz w:val="22"/>
                <w:lang w:val="en-US"/>
              </w:rPr>
            </w:pPr>
            <w:r>
              <w:rPr>
                <w:sz w:val="22"/>
                <w:lang w:val="en-US"/>
              </w:rPr>
              <w:t>14.9</w:t>
            </w:r>
          </w:p>
        </w:tc>
        <w:tc>
          <w:tcPr>
            <w:tcW w:w="1673" w:type="dxa"/>
            <w:gridSpan w:val="2"/>
            <w:tcBorders>
              <w:top w:val="nil"/>
              <w:left w:val="nil"/>
              <w:bottom w:val="nil"/>
            </w:tcBorders>
          </w:tcPr>
          <w:p w:rsidR="00EE12D2" w:rsidRPr="004362B1" w:rsidRDefault="00EE12D2" w:rsidP="004362B1">
            <w:pPr>
              <w:spacing w:before="40" w:after="40"/>
              <w:jc w:val="center"/>
              <w:rPr>
                <w:sz w:val="22"/>
                <w:lang w:val="en-US"/>
              </w:rPr>
            </w:pPr>
            <w:r>
              <w:rPr>
                <w:sz w:val="22"/>
                <w:lang w:val="en-US"/>
              </w:rPr>
              <w:t>26.7</w:t>
            </w: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HR (95% Cl)</w:t>
            </w:r>
          </w:p>
        </w:tc>
        <w:tc>
          <w:tcPr>
            <w:tcW w:w="3119" w:type="dxa"/>
            <w:gridSpan w:val="3"/>
            <w:tcBorders>
              <w:top w:val="nil"/>
              <w:bottom w:val="nil"/>
            </w:tcBorders>
            <w:shd w:val="clear" w:color="auto" w:fill="auto"/>
          </w:tcPr>
          <w:p w:rsidR="00EE12D2" w:rsidRPr="00581C0E" w:rsidRDefault="008E7520" w:rsidP="00581C0E">
            <w:pPr>
              <w:spacing w:before="40" w:after="40"/>
              <w:jc w:val="center"/>
              <w:rPr>
                <w:sz w:val="22"/>
                <w:lang w:val="en-US"/>
              </w:rPr>
            </w:pPr>
            <w:r>
              <w:rPr>
                <w:sz w:val="22"/>
                <w:lang w:val="en-US"/>
              </w:rPr>
              <w:t>0.19 [0.14; 0.27]</w:t>
            </w:r>
          </w:p>
        </w:tc>
        <w:tc>
          <w:tcPr>
            <w:tcW w:w="3118" w:type="dxa"/>
            <w:gridSpan w:val="3"/>
            <w:tcBorders>
              <w:top w:val="nil"/>
              <w:bottom w:val="nil"/>
            </w:tcBorders>
          </w:tcPr>
          <w:p w:rsidR="00EE12D2" w:rsidRPr="004362B1" w:rsidRDefault="00EE12D2" w:rsidP="004362B1">
            <w:pPr>
              <w:spacing w:before="40" w:after="40"/>
              <w:jc w:val="center"/>
              <w:rPr>
                <w:sz w:val="22"/>
                <w:lang w:val="en-US"/>
              </w:rPr>
            </w:pPr>
            <w:r>
              <w:rPr>
                <w:sz w:val="22"/>
                <w:lang w:val="en-US"/>
              </w:rPr>
              <w:t>0.42 [0.33; 0.54]</w:t>
            </w:r>
          </w:p>
        </w:tc>
      </w:tr>
      <w:tr w:rsidR="00EE12D2" w:rsidRPr="004362B1" w:rsidTr="00300D74">
        <w:tc>
          <w:tcPr>
            <w:tcW w:w="3085" w:type="dxa"/>
            <w:tcBorders>
              <w:top w:val="nil"/>
              <w:bottom w:val="single" w:sz="4" w:space="0" w:color="auto"/>
            </w:tcBorders>
            <w:shd w:val="clear" w:color="auto" w:fill="auto"/>
          </w:tcPr>
          <w:p w:rsidR="00EE12D2" w:rsidRPr="004362B1" w:rsidRDefault="00EE12D2" w:rsidP="004362B1">
            <w:pPr>
              <w:spacing w:before="40" w:after="40"/>
              <w:jc w:val="left"/>
              <w:rPr>
                <w:sz w:val="22"/>
                <w:lang w:val="en-US"/>
              </w:rPr>
            </w:pPr>
            <w:r w:rsidRPr="004362B1">
              <w:rPr>
                <w:sz w:val="22"/>
                <w:lang w:val="en-US"/>
              </w:rPr>
              <w:t>p-value (Log-Rank test, stratified</w:t>
            </w:r>
            <w:r w:rsidRPr="004362B1">
              <w:rPr>
                <w:sz w:val="22"/>
                <w:vertAlign w:val="superscript"/>
                <w:lang w:val="en-US"/>
              </w:rPr>
              <w:t>†</w:t>
            </w:r>
            <w:r w:rsidRPr="004362B1">
              <w:rPr>
                <w:sz w:val="22"/>
                <w:lang w:val="en-US"/>
              </w:rPr>
              <w:t>)</w:t>
            </w:r>
          </w:p>
        </w:tc>
        <w:tc>
          <w:tcPr>
            <w:tcW w:w="3119" w:type="dxa"/>
            <w:gridSpan w:val="3"/>
            <w:tcBorders>
              <w:top w:val="nil"/>
              <w:bottom w:val="single" w:sz="4" w:space="0" w:color="auto"/>
            </w:tcBorders>
            <w:shd w:val="clear" w:color="auto" w:fill="auto"/>
          </w:tcPr>
          <w:p w:rsidR="00EE12D2" w:rsidRPr="004362B1" w:rsidRDefault="00EE12D2" w:rsidP="004362B1">
            <w:pPr>
              <w:spacing w:before="40" w:after="40"/>
              <w:jc w:val="center"/>
              <w:rPr>
                <w:sz w:val="22"/>
                <w:lang w:val="en-US"/>
              </w:rPr>
            </w:pPr>
            <w:r w:rsidRPr="004362B1">
              <w:rPr>
                <w:sz w:val="22"/>
                <w:lang w:val="en-US"/>
              </w:rPr>
              <w:t>&lt; 0.0001</w:t>
            </w:r>
          </w:p>
        </w:tc>
        <w:tc>
          <w:tcPr>
            <w:tcW w:w="3118" w:type="dxa"/>
            <w:gridSpan w:val="3"/>
            <w:tcBorders>
              <w:top w:val="nil"/>
              <w:bottom w:val="single" w:sz="4" w:space="0" w:color="auto"/>
            </w:tcBorders>
          </w:tcPr>
          <w:p w:rsidR="00EE12D2" w:rsidRPr="004362B1" w:rsidRDefault="00EE12D2" w:rsidP="004362B1">
            <w:pPr>
              <w:spacing w:before="40" w:after="40"/>
              <w:jc w:val="center"/>
              <w:rPr>
                <w:sz w:val="22"/>
                <w:lang w:val="en-US"/>
              </w:rPr>
            </w:pPr>
            <w:r>
              <w:rPr>
                <w:sz w:val="22"/>
                <w:lang w:val="en-US"/>
              </w:rPr>
              <w:t>&lt; 0.0001</w:t>
            </w:r>
          </w:p>
        </w:tc>
      </w:tr>
      <w:tr w:rsidR="00EE12D2" w:rsidRPr="004362B1" w:rsidTr="00300D74">
        <w:tc>
          <w:tcPr>
            <w:tcW w:w="3085" w:type="dxa"/>
            <w:tcBorders>
              <w:bottom w:val="nil"/>
            </w:tcBorders>
            <w:shd w:val="clear" w:color="auto" w:fill="auto"/>
          </w:tcPr>
          <w:p w:rsidR="00EE12D2" w:rsidRPr="00581C0E" w:rsidRDefault="00581C0E" w:rsidP="00581C0E">
            <w:pPr>
              <w:spacing w:before="40" w:after="40"/>
              <w:jc w:val="left"/>
              <w:rPr>
                <w:b/>
                <w:i/>
                <w:sz w:val="22"/>
                <w:lang w:val="en-US"/>
              </w:rPr>
            </w:pPr>
            <w:r>
              <w:rPr>
                <w:b/>
                <w:i/>
                <w:sz w:val="22"/>
                <w:lang w:val="en-US"/>
              </w:rPr>
              <w:t>End of Treatment Response</w:t>
            </w:r>
          </w:p>
        </w:tc>
        <w:tc>
          <w:tcPr>
            <w:tcW w:w="1323" w:type="dxa"/>
            <w:tcBorders>
              <w:bottom w:val="nil"/>
              <w:right w:val="nil"/>
            </w:tcBorders>
            <w:shd w:val="clear" w:color="auto" w:fill="auto"/>
          </w:tcPr>
          <w:p w:rsidR="00EE12D2" w:rsidRPr="004362B1" w:rsidRDefault="00EE12D2" w:rsidP="004362B1">
            <w:pPr>
              <w:spacing w:before="40" w:after="40"/>
              <w:jc w:val="center"/>
              <w:rPr>
                <w:sz w:val="22"/>
                <w:lang w:val="en-US"/>
              </w:rPr>
            </w:pPr>
          </w:p>
        </w:tc>
        <w:tc>
          <w:tcPr>
            <w:tcW w:w="1796" w:type="dxa"/>
            <w:gridSpan w:val="2"/>
            <w:tcBorders>
              <w:left w:val="nil"/>
              <w:bottom w:val="nil"/>
            </w:tcBorders>
            <w:shd w:val="clear" w:color="auto" w:fill="auto"/>
          </w:tcPr>
          <w:p w:rsidR="00EE12D2" w:rsidRPr="004362B1" w:rsidRDefault="00EE12D2" w:rsidP="004362B1">
            <w:pPr>
              <w:spacing w:before="40" w:after="40"/>
              <w:jc w:val="center"/>
              <w:rPr>
                <w:sz w:val="22"/>
                <w:lang w:val="en-US"/>
              </w:rPr>
            </w:pPr>
          </w:p>
        </w:tc>
        <w:tc>
          <w:tcPr>
            <w:tcW w:w="1445" w:type="dxa"/>
            <w:tcBorders>
              <w:left w:val="nil"/>
              <w:bottom w:val="nil"/>
              <w:right w:val="nil"/>
            </w:tcBorders>
          </w:tcPr>
          <w:p w:rsidR="00EE12D2" w:rsidRPr="004362B1" w:rsidRDefault="00EE12D2" w:rsidP="004362B1">
            <w:pPr>
              <w:spacing w:before="40" w:after="40"/>
              <w:jc w:val="center"/>
              <w:rPr>
                <w:sz w:val="22"/>
                <w:lang w:val="en-US"/>
              </w:rPr>
            </w:pPr>
          </w:p>
        </w:tc>
        <w:tc>
          <w:tcPr>
            <w:tcW w:w="1673" w:type="dxa"/>
            <w:gridSpan w:val="2"/>
            <w:tcBorders>
              <w:left w:val="nil"/>
              <w:bottom w:val="nil"/>
            </w:tcBorders>
          </w:tcPr>
          <w:p w:rsidR="00EE12D2" w:rsidRPr="004362B1" w:rsidRDefault="00EE12D2" w:rsidP="004362B1">
            <w:pPr>
              <w:spacing w:before="40" w:after="40"/>
              <w:jc w:val="center"/>
              <w:rPr>
                <w:sz w:val="22"/>
                <w:lang w:val="en-US"/>
              </w:rPr>
            </w:pP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No. of patients included in the analysis</w:t>
            </w:r>
          </w:p>
        </w:tc>
        <w:tc>
          <w:tcPr>
            <w:tcW w:w="1323" w:type="dxa"/>
            <w:tcBorders>
              <w:top w:val="nil"/>
              <w:bottom w:val="nil"/>
              <w:right w:val="nil"/>
            </w:tcBorders>
            <w:shd w:val="clear" w:color="auto" w:fill="auto"/>
          </w:tcPr>
          <w:p w:rsidR="00EE12D2" w:rsidRPr="00581C0E" w:rsidRDefault="008E7520" w:rsidP="00581C0E">
            <w:pPr>
              <w:spacing w:before="40" w:after="40"/>
              <w:jc w:val="center"/>
              <w:rPr>
                <w:sz w:val="22"/>
                <w:lang w:val="en-US"/>
              </w:rPr>
            </w:pPr>
            <w:r>
              <w:rPr>
                <w:sz w:val="22"/>
                <w:lang w:val="en-US"/>
              </w:rPr>
              <w:t>118</w:t>
            </w:r>
          </w:p>
        </w:tc>
        <w:tc>
          <w:tcPr>
            <w:tcW w:w="1796" w:type="dxa"/>
            <w:gridSpan w:val="2"/>
            <w:tcBorders>
              <w:top w:val="nil"/>
              <w:left w:val="nil"/>
              <w:bottom w:val="nil"/>
            </w:tcBorders>
            <w:shd w:val="clear" w:color="auto" w:fill="auto"/>
          </w:tcPr>
          <w:p w:rsidR="00EE12D2" w:rsidRPr="00581C0E" w:rsidRDefault="008E7520" w:rsidP="00581C0E">
            <w:pPr>
              <w:spacing w:before="40" w:after="40"/>
              <w:jc w:val="center"/>
              <w:rPr>
                <w:sz w:val="22"/>
                <w:lang w:val="en-US"/>
              </w:rPr>
            </w:pPr>
            <w:r>
              <w:rPr>
                <w:sz w:val="22"/>
                <w:lang w:val="en-US"/>
              </w:rPr>
              <w:t>238</w:t>
            </w:r>
          </w:p>
        </w:tc>
        <w:tc>
          <w:tcPr>
            <w:tcW w:w="1445" w:type="dxa"/>
            <w:tcBorders>
              <w:top w:val="nil"/>
              <w:left w:val="nil"/>
              <w:bottom w:val="nil"/>
              <w:right w:val="nil"/>
            </w:tcBorders>
          </w:tcPr>
          <w:p w:rsidR="00EE12D2" w:rsidRPr="004362B1" w:rsidRDefault="00903F4A" w:rsidP="004362B1">
            <w:pPr>
              <w:spacing w:before="40" w:after="40"/>
              <w:jc w:val="center"/>
              <w:rPr>
                <w:sz w:val="22"/>
                <w:lang w:val="en-US"/>
              </w:rPr>
            </w:pPr>
            <w:r>
              <w:rPr>
                <w:sz w:val="22"/>
                <w:lang w:val="en-US"/>
              </w:rPr>
              <w:t>329</w:t>
            </w:r>
          </w:p>
        </w:tc>
        <w:tc>
          <w:tcPr>
            <w:tcW w:w="1673" w:type="dxa"/>
            <w:gridSpan w:val="2"/>
            <w:tcBorders>
              <w:top w:val="nil"/>
              <w:left w:val="nil"/>
              <w:bottom w:val="nil"/>
            </w:tcBorders>
          </w:tcPr>
          <w:p w:rsidR="00EE12D2" w:rsidRPr="004362B1" w:rsidRDefault="00903F4A" w:rsidP="004362B1">
            <w:pPr>
              <w:spacing w:before="40" w:after="40"/>
              <w:jc w:val="center"/>
              <w:rPr>
                <w:sz w:val="22"/>
                <w:lang w:val="en-US"/>
              </w:rPr>
            </w:pPr>
            <w:r>
              <w:rPr>
                <w:sz w:val="22"/>
                <w:lang w:val="en-US"/>
              </w:rPr>
              <w:t>333</w:t>
            </w: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Responders (%)</w:t>
            </w:r>
          </w:p>
        </w:tc>
        <w:tc>
          <w:tcPr>
            <w:tcW w:w="1323" w:type="dxa"/>
            <w:tcBorders>
              <w:top w:val="nil"/>
              <w:bottom w:val="nil"/>
              <w:right w:val="nil"/>
            </w:tcBorders>
            <w:shd w:val="clear" w:color="auto" w:fill="auto"/>
          </w:tcPr>
          <w:p w:rsidR="00EE12D2" w:rsidRPr="004362B1" w:rsidRDefault="00EE12D2" w:rsidP="00581C0E">
            <w:pPr>
              <w:spacing w:before="40" w:after="40"/>
              <w:jc w:val="center"/>
              <w:rPr>
                <w:sz w:val="22"/>
                <w:lang w:val="en-US"/>
              </w:rPr>
            </w:pPr>
            <w:r w:rsidRPr="004362B1">
              <w:rPr>
                <w:sz w:val="22"/>
                <w:lang w:val="en-US"/>
              </w:rPr>
              <w:t>3</w:t>
            </w:r>
            <w:r w:rsidR="008E7520">
              <w:rPr>
                <w:sz w:val="22"/>
                <w:lang w:val="en-US"/>
              </w:rPr>
              <w:t>7</w:t>
            </w:r>
            <w:r w:rsidRPr="004362B1">
              <w:rPr>
                <w:sz w:val="22"/>
                <w:lang w:val="en-US"/>
              </w:rPr>
              <w:t xml:space="preserve"> (</w:t>
            </w:r>
            <w:r w:rsidR="008E7520">
              <w:rPr>
                <w:sz w:val="22"/>
                <w:lang w:val="en-US"/>
              </w:rPr>
              <w:t xml:space="preserve">31.4 </w:t>
            </w:r>
            <w:r w:rsidRPr="004362B1">
              <w:rPr>
                <w:sz w:val="22"/>
                <w:lang w:val="en-US"/>
              </w:rPr>
              <w:t>%)</w:t>
            </w:r>
          </w:p>
        </w:tc>
        <w:tc>
          <w:tcPr>
            <w:tcW w:w="1796" w:type="dxa"/>
            <w:gridSpan w:val="2"/>
            <w:tcBorders>
              <w:top w:val="nil"/>
              <w:left w:val="nil"/>
              <w:bottom w:val="nil"/>
            </w:tcBorders>
            <w:shd w:val="clear" w:color="auto" w:fill="auto"/>
          </w:tcPr>
          <w:p w:rsidR="00EE12D2" w:rsidRPr="004362B1" w:rsidRDefault="008E7520" w:rsidP="00581C0E">
            <w:pPr>
              <w:spacing w:before="40" w:after="40"/>
              <w:jc w:val="center"/>
              <w:rPr>
                <w:sz w:val="22"/>
                <w:lang w:val="en-US"/>
              </w:rPr>
            </w:pPr>
            <w:r>
              <w:rPr>
                <w:sz w:val="22"/>
                <w:lang w:val="en-US"/>
              </w:rPr>
              <w:t>184</w:t>
            </w:r>
            <w:r w:rsidR="00EE12D2" w:rsidRPr="004362B1">
              <w:rPr>
                <w:sz w:val="22"/>
                <w:lang w:val="en-US"/>
              </w:rPr>
              <w:t xml:space="preserve"> (</w:t>
            </w:r>
            <w:r w:rsidR="00581C0E">
              <w:rPr>
                <w:sz w:val="22"/>
                <w:lang w:val="en-US"/>
              </w:rPr>
              <w:t>77.3</w:t>
            </w:r>
            <w:r w:rsidR="00EE12D2" w:rsidRPr="004362B1">
              <w:rPr>
                <w:sz w:val="22"/>
                <w:lang w:val="en-US"/>
              </w:rPr>
              <w:t>%)</w:t>
            </w:r>
          </w:p>
        </w:tc>
        <w:tc>
          <w:tcPr>
            <w:tcW w:w="1445" w:type="dxa"/>
            <w:tcBorders>
              <w:top w:val="nil"/>
              <w:left w:val="nil"/>
              <w:bottom w:val="nil"/>
              <w:right w:val="nil"/>
            </w:tcBorders>
          </w:tcPr>
          <w:p w:rsidR="00EE12D2" w:rsidRPr="004362B1" w:rsidRDefault="00903F4A" w:rsidP="004362B1">
            <w:pPr>
              <w:spacing w:before="40" w:after="40"/>
              <w:jc w:val="center"/>
              <w:rPr>
                <w:sz w:val="22"/>
                <w:lang w:val="en-US"/>
              </w:rPr>
            </w:pPr>
            <w:r>
              <w:rPr>
                <w:sz w:val="22"/>
                <w:lang w:val="en-US"/>
              </w:rPr>
              <w:t>214 (65.0%)</w:t>
            </w:r>
          </w:p>
        </w:tc>
        <w:tc>
          <w:tcPr>
            <w:tcW w:w="1673" w:type="dxa"/>
            <w:gridSpan w:val="2"/>
            <w:tcBorders>
              <w:top w:val="nil"/>
              <w:left w:val="nil"/>
              <w:bottom w:val="nil"/>
            </w:tcBorders>
          </w:tcPr>
          <w:p w:rsidR="00EE12D2" w:rsidRPr="004362B1" w:rsidRDefault="00903F4A" w:rsidP="004362B1">
            <w:pPr>
              <w:spacing w:before="40" w:after="40"/>
              <w:jc w:val="center"/>
              <w:rPr>
                <w:sz w:val="22"/>
                <w:lang w:val="en-US"/>
              </w:rPr>
            </w:pPr>
            <w:r>
              <w:rPr>
                <w:sz w:val="22"/>
                <w:lang w:val="en-US"/>
              </w:rPr>
              <w:t>261 (78.4%)</w:t>
            </w: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Non-responders (%)</w:t>
            </w:r>
          </w:p>
        </w:tc>
        <w:tc>
          <w:tcPr>
            <w:tcW w:w="1323" w:type="dxa"/>
            <w:tcBorders>
              <w:top w:val="nil"/>
              <w:bottom w:val="nil"/>
              <w:right w:val="nil"/>
            </w:tcBorders>
            <w:shd w:val="clear" w:color="auto" w:fill="auto"/>
          </w:tcPr>
          <w:p w:rsidR="00EE12D2" w:rsidRPr="004362B1" w:rsidRDefault="008E7520" w:rsidP="00581C0E">
            <w:pPr>
              <w:spacing w:before="40" w:after="40"/>
              <w:jc w:val="center"/>
              <w:rPr>
                <w:sz w:val="22"/>
                <w:lang w:val="en-US"/>
              </w:rPr>
            </w:pPr>
            <w:r>
              <w:rPr>
                <w:sz w:val="22"/>
                <w:lang w:val="en-US"/>
              </w:rPr>
              <w:t>81</w:t>
            </w:r>
            <w:r w:rsidR="00EE12D2" w:rsidRPr="004362B1">
              <w:rPr>
                <w:sz w:val="22"/>
                <w:lang w:val="en-US"/>
              </w:rPr>
              <w:t xml:space="preserve"> (</w:t>
            </w:r>
            <w:r>
              <w:rPr>
                <w:sz w:val="22"/>
                <w:lang w:val="en-US"/>
              </w:rPr>
              <w:t>68.</w:t>
            </w:r>
            <w:r w:rsidRPr="000813CE">
              <w:rPr>
                <w:sz w:val="22"/>
                <w:lang w:val="en-US"/>
              </w:rPr>
              <w:t>6</w:t>
            </w:r>
            <w:r w:rsidR="00EE12D2" w:rsidRPr="004362B1">
              <w:rPr>
                <w:sz w:val="22"/>
                <w:lang w:val="en-US"/>
              </w:rPr>
              <w:t>%)</w:t>
            </w:r>
          </w:p>
        </w:tc>
        <w:tc>
          <w:tcPr>
            <w:tcW w:w="1796" w:type="dxa"/>
            <w:gridSpan w:val="2"/>
            <w:tcBorders>
              <w:top w:val="nil"/>
              <w:left w:val="nil"/>
              <w:bottom w:val="nil"/>
            </w:tcBorders>
            <w:shd w:val="clear" w:color="auto" w:fill="auto"/>
          </w:tcPr>
          <w:p w:rsidR="00EE12D2" w:rsidRPr="004362B1" w:rsidRDefault="00EE12D2" w:rsidP="00581C0E">
            <w:pPr>
              <w:spacing w:before="40" w:after="40"/>
              <w:jc w:val="center"/>
              <w:rPr>
                <w:sz w:val="22"/>
                <w:lang w:val="en-US"/>
              </w:rPr>
            </w:pPr>
            <w:r w:rsidRPr="004362B1">
              <w:rPr>
                <w:sz w:val="22"/>
                <w:lang w:val="en-US"/>
              </w:rPr>
              <w:t>5</w:t>
            </w:r>
            <w:r w:rsidR="008E7520">
              <w:rPr>
                <w:sz w:val="22"/>
                <w:lang w:val="en-US"/>
              </w:rPr>
              <w:t>4</w:t>
            </w:r>
            <w:r w:rsidRPr="004362B1">
              <w:rPr>
                <w:sz w:val="22"/>
                <w:lang w:val="en-US"/>
              </w:rPr>
              <w:t xml:space="preserve"> (</w:t>
            </w:r>
            <w:r w:rsidR="004B7350">
              <w:rPr>
                <w:sz w:val="22"/>
                <w:lang w:val="en-US"/>
              </w:rPr>
              <w:t>22.7</w:t>
            </w:r>
            <w:r w:rsidRPr="004362B1">
              <w:rPr>
                <w:sz w:val="22"/>
                <w:lang w:val="en-US"/>
              </w:rPr>
              <w:t>%)</w:t>
            </w:r>
          </w:p>
        </w:tc>
        <w:tc>
          <w:tcPr>
            <w:tcW w:w="1445" w:type="dxa"/>
            <w:tcBorders>
              <w:top w:val="nil"/>
              <w:left w:val="nil"/>
              <w:bottom w:val="nil"/>
              <w:right w:val="nil"/>
            </w:tcBorders>
          </w:tcPr>
          <w:p w:rsidR="00EE12D2" w:rsidRPr="004362B1" w:rsidRDefault="00903F4A" w:rsidP="004362B1">
            <w:pPr>
              <w:spacing w:before="40" w:after="40"/>
              <w:jc w:val="center"/>
              <w:rPr>
                <w:sz w:val="22"/>
                <w:lang w:val="en-US"/>
              </w:rPr>
            </w:pPr>
            <w:r>
              <w:rPr>
                <w:sz w:val="22"/>
                <w:lang w:val="en-US"/>
              </w:rPr>
              <w:t>115 (35.0%)</w:t>
            </w:r>
          </w:p>
        </w:tc>
        <w:tc>
          <w:tcPr>
            <w:tcW w:w="1673" w:type="dxa"/>
            <w:gridSpan w:val="2"/>
            <w:tcBorders>
              <w:top w:val="nil"/>
              <w:left w:val="nil"/>
              <w:bottom w:val="nil"/>
            </w:tcBorders>
          </w:tcPr>
          <w:p w:rsidR="00EE12D2" w:rsidRPr="004362B1" w:rsidRDefault="00903F4A" w:rsidP="004362B1">
            <w:pPr>
              <w:spacing w:before="40" w:after="40"/>
              <w:jc w:val="center"/>
              <w:rPr>
                <w:sz w:val="22"/>
                <w:lang w:val="en-US"/>
              </w:rPr>
            </w:pPr>
            <w:r>
              <w:rPr>
                <w:sz w:val="22"/>
                <w:lang w:val="en-US"/>
              </w:rPr>
              <w:t>72 (21.6%)</w:t>
            </w:r>
          </w:p>
        </w:tc>
      </w:tr>
      <w:tr w:rsidR="00903F4A" w:rsidRPr="004362B1" w:rsidTr="00300D74">
        <w:tc>
          <w:tcPr>
            <w:tcW w:w="3085" w:type="dxa"/>
            <w:tcBorders>
              <w:top w:val="nil"/>
              <w:bottom w:val="nil"/>
            </w:tcBorders>
            <w:shd w:val="clear" w:color="auto" w:fill="auto"/>
          </w:tcPr>
          <w:p w:rsidR="00903F4A" w:rsidRPr="004362B1" w:rsidRDefault="00903F4A" w:rsidP="00BE0264">
            <w:pPr>
              <w:spacing w:before="40" w:after="40"/>
              <w:jc w:val="left"/>
              <w:rPr>
                <w:sz w:val="22"/>
                <w:lang w:val="en-US"/>
              </w:rPr>
            </w:pPr>
            <w:r w:rsidRPr="004362B1">
              <w:rPr>
                <w:sz w:val="22"/>
                <w:lang w:val="en-US"/>
              </w:rPr>
              <w:t>Difference in response (95% Cl)</w:t>
            </w:r>
          </w:p>
        </w:tc>
        <w:tc>
          <w:tcPr>
            <w:tcW w:w="3119" w:type="dxa"/>
            <w:gridSpan w:val="3"/>
            <w:tcBorders>
              <w:top w:val="nil"/>
              <w:bottom w:val="nil"/>
            </w:tcBorders>
            <w:shd w:val="clear" w:color="auto" w:fill="auto"/>
          </w:tcPr>
          <w:p w:rsidR="00903F4A" w:rsidRPr="004362B1" w:rsidRDefault="00903F4A" w:rsidP="004362B1">
            <w:pPr>
              <w:spacing w:before="40" w:after="40"/>
              <w:jc w:val="center"/>
              <w:rPr>
                <w:sz w:val="22"/>
                <w:lang w:val="en-US"/>
              </w:rPr>
            </w:pPr>
            <w:r w:rsidRPr="004362B1">
              <w:rPr>
                <w:sz w:val="22"/>
                <w:lang w:val="en-US"/>
              </w:rPr>
              <w:t>45.</w:t>
            </w:r>
            <w:r w:rsidR="00C1781D">
              <w:rPr>
                <w:sz w:val="22"/>
                <w:lang w:val="en-US"/>
              </w:rPr>
              <w:t>95</w:t>
            </w:r>
            <w:r w:rsidRPr="004362B1">
              <w:rPr>
                <w:sz w:val="22"/>
                <w:lang w:val="en-US"/>
              </w:rPr>
              <w:t xml:space="preserve"> [</w:t>
            </w:r>
            <w:r w:rsidR="00C1781D">
              <w:rPr>
                <w:sz w:val="22"/>
                <w:lang w:val="en-US"/>
              </w:rPr>
              <w:t>35.6</w:t>
            </w:r>
            <w:r w:rsidRPr="004362B1">
              <w:rPr>
                <w:sz w:val="22"/>
                <w:lang w:val="en-US"/>
              </w:rPr>
              <w:t>; 56.3]</w:t>
            </w:r>
          </w:p>
        </w:tc>
        <w:tc>
          <w:tcPr>
            <w:tcW w:w="3118" w:type="dxa"/>
            <w:gridSpan w:val="3"/>
            <w:tcBorders>
              <w:top w:val="nil"/>
              <w:bottom w:val="nil"/>
            </w:tcBorders>
          </w:tcPr>
          <w:p w:rsidR="00903F4A" w:rsidRPr="004362B1" w:rsidRDefault="00903F4A" w:rsidP="004362B1">
            <w:pPr>
              <w:spacing w:before="40" w:after="40"/>
              <w:jc w:val="center"/>
              <w:rPr>
                <w:sz w:val="22"/>
                <w:lang w:val="en-US"/>
              </w:rPr>
            </w:pPr>
            <w:r>
              <w:rPr>
                <w:sz w:val="22"/>
                <w:lang w:val="en-US"/>
              </w:rPr>
              <w:t>13.33 [6.4; 20.3]</w:t>
            </w:r>
          </w:p>
        </w:tc>
      </w:tr>
      <w:tr w:rsidR="00903F4A" w:rsidRPr="004362B1" w:rsidTr="00300D74">
        <w:tc>
          <w:tcPr>
            <w:tcW w:w="3085" w:type="dxa"/>
            <w:tcBorders>
              <w:top w:val="nil"/>
              <w:bottom w:val="nil"/>
            </w:tcBorders>
            <w:shd w:val="clear" w:color="auto" w:fill="auto"/>
          </w:tcPr>
          <w:p w:rsidR="00903F4A" w:rsidRPr="004362B1" w:rsidRDefault="00903F4A" w:rsidP="004362B1">
            <w:pPr>
              <w:spacing w:before="40" w:after="40"/>
              <w:jc w:val="left"/>
              <w:rPr>
                <w:sz w:val="22"/>
                <w:lang w:val="en-US"/>
              </w:rPr>
            </w:pPr>
            <w:r w:rsidRPr="004362B1">
              <w:rPr>
                <w:sz w:val="22"/>
                <w:lang w:val="en-US"/>
              </w:rPr>
              <w:t>p-value (Chi-squared Test)</w:t>
            </w:r>
          </w:p>
        </w:tc>
        <w:tc>
          <w:tcPr>
            <w:tcW w:w="3119" w:type="dxa"/>
            <w:gridSpan w:val="3"/>
            <w:tcBorders>
              <w:top w:val="nil"/>
              <w:bottom w:val="nil"/>
            </w:tcBorders>
            <w:shd w:val="clear" w:color="auto" w:fill="auto"/>
          </w:tcPr>
          <w:p w:rsidR="00903F4A" w:rsidRPr="004362B1" w:rsidRDefault="00903F4A" w:rsidP="004362B1">
            <w:pPr>
              <w:spacing w:before="40" w:after="40"/>
              <w:jc w:val="center"/>
              <w:rPr>
                <w:sz w:val="22"/>
                <w:lang w:val="en-US"/>
              </w:rPr>
            </w:pPr>
            <w:r w:rsidRPr="004362B1">
              <w:rPr>
                <w:sz w:val="22"/>
                <w:lang w:val="en-US"/>
              </w:rPr>
              <w:t>&lt; 0.0001</w:t>
            </w:r>
          </w:p>
        </w:tc>
        <w:tc>
          <w:tcPr>
            <w:tcW w:w="3118" w:type="dxa"/>
            <w:gridSpan w:val="3"/>
            <w:tcBorders>
              <w:top w:val="nil"/>
              <w:bottom w:val="nil"/>
            </w:tcBorders>
          </w:tcPr>
          <w:p w:rsidR="00903F4A" w:rsidRPr="004362B1" w:rsidRDefault="00903F4A" w:rsidP="004362B1">
            <w:pPr>
              <w:spacing w:before="40" w:after="40"/>
              <w:jc w:val="center"/>
              <w:rPr>
                <w:sz w:val="22"/>
                <w:lang w:val="en-US"/>
              </w:rPr>
            </w:pPr>
            <w:r>
              <w:rPr>
                <w:sz w:val="22"/>
                <w:lang w:val="en-US"/>
              </w:rPr>
              <w:t>&lt; 0.0001</w:t>
            </w:r>
          </w:p>
        </w:tc>
      </w:tr>
      <w:tr w:rsidR="00EE12D2" w:rsidRPr="004362B1" w:rsidTr="00300D74">
        <w:tc>
          <w:tcPr>
            <w:tcW w:w="3085" w:type="dxa"/>
            <w:tcBorders>
              <w:top w:val="nil"/>
              <w:bottom w:val="single" w:sz="4" w:space="0" w:color="auto"/>
            </w:tcBorders>
            <w:shd w:val="clear" w:color="auto" w:fill="auto"/>
          </w:tcPr>
          <w:p w:rsidR="00EE12D2" w:rsidRPr="004362B1" w:rsidRDefault="00EE12D2" w:rsidP="004362B1">
            <w:pPr>
              <w:spacing w:before="40" w:after="40"/>
              <w:jc w:val="left"/>
              <w:rPr>
                <w:sz w:val="22"/>
                <w:lang w:val="en-US"/>
              </w:rPr>
            </w:pPr>
            <w:r w:rsidRPr="004362B1">
              <w:rPr>
                <w:sz w:val="22"/>
                <w:lang w:val="en-US"/>
              </w:rPr>
              <w:t>No. of complete responders</w:t>
            </w:r>
            <w:r w:rsidRPr="004362B1">
              <w:rPr>
                <w:sz w:val="22"/>
                <w:vertAlign w:val="superscript"/>
                <w:lang w:val="en-US"/>
              </w:rPr>
              <w:t>‡</w:t>
            </w:r>
            <w:r w:rsidRPr="004362B1">
              <w:rPr>
                <w:sz w:val="22"/>
                <w:lang w:val="en-US"/>
              </w:rPr>
              <w:t xml:space="preserve"> (%)</w:t>
            </w:r>
          </w:p>
        </w:tc>
        <w:tc>
          <w:tcPr>
            <w:tcW w:w="1323" w:type="dxa"/>
            <w:tcBorders>
              <w:top w:val="nil"/>
              <w:bottom w:val="single" w:sz="4" w:space="0" w:color="auto"/>
              <w:right w:val="nil"/>
            </w:tcBorders>
            <w:shd w:val="clear" w:color="auto" w:fill="auto"/>
          </w:tcPr>
          <w:p w:rsidR="00EE12D2" w:rsidRPr="004362B1" w:rsidRDefault="00EE12D2" w:rsidP="004362B1">
            <w:pPr>
              <w:spacing w:before="40" w:after="40"/>
              <w:jc w:val="center"/>
              <w:rPr>
                <w:sz w:val="22"/>
                <w:lang w:val="en-US"/>
              </w:rPr>
            </w:pPr>
            <w:r w:rsidRPr="004362B1">
              <w:rPr>
                <w:sz w:val="22"/>
                <w:lang w:val="en-US"/>
              </w:rPr>
              <w:t>0 (0.0%)</w:t>
            </w:r>
          </w:p>
        </w:tc>
        <w:tc>
          <w:tcPr>
            <w:tcW w:w="1796" w:type="dxa"/>
            <w:gridSpan w:val="2"/>
            <w:tcBorders>
              <w:top w:val="nil"/>
              <w:left w:val="nil"/>
              <w:bottom w:val="single" w:sz="4" w:space="0" w:color="auto"/>
            </w:tcBorders>
            <w:shd w:val="clear" w:color="auto" w:fill="auto"/>
          </w:tcPr>
          <w:p w:rsidR="00EE12D2" w:rsidRPr="004362B1" w:rsidRDefault="00C1781D" w:rsidP="004362B1">
            <w:pPr>
              <w:spacing w:before="40" w:after="40"/>
              <w:jc w:val="center"/>
              <w:rPr>
                <w:sz w:val="22"/>
                <w:lang w:val="en-US"/>
              </w:rPr>
            </w:pPr>
            <w:r>
              <w:rPr>
                <w:sz w:val="22"/>
                <w:lang w:val="en-US"/>
              </w:rPr>
              <w:t>53</w:t>
            </w:r>
            <w:r w:rsidR="00EE12D2" w:rsidRPr="004362B1">
              <w:rPr>
                <w:sz w:val="22"/>
                <w:lang w:val="en-US"/>
              </w:rPr>
              <w:t xml:space="preserve"> (22.</w:t>
            </w:r>
            <w:r>
              <w:rPr>
                <w:sz w:val="22"/>
                <w:lang w:val="en-US"/>
              </w:rPr>
              <w:t>3</w:t>
            </w:r>
            <w:r w:rsidR="00EE12D2" w:rsidRPr="004362B1">
              <w:rPr>
                <w:sz w:val="22"/>
                <w:lang w:val="en-US"/>
              </w:rPr>
              <w:t>%)</w:t>
            </w:r>
          </w:p>
        </w:tc>
        <w:tc>
          <w:tcPr>
            <w:tcW w:w="1445" w:type="dxa"/>
            <w:tcBorders>
              <w:top w:val="nil"/>
              <w:left w:val="nil"/>
              <w:bottom w:val="single" w:sz="4" w:space="0" w:color="auto"/>
              <w:right w:val="nil"/>
            </w:tcBorders>
          </w:tcPr>
          <w:p w:rsidR="00EE12D2" w:rsidRPr="004362B1" w:rsidRDefault="00903F4A" w:rsidP="004362B1">
            <w:pPr>
              <w:spacing w:before="40" w:after="40"/>
              <w:jc w:val="center"/>
              <w:rPr>
                <w:sz w:val="22"/>
                <w:lang w:val="en-US"/>
              </w:rPr>
            </w:pPr>
            <w:r>
              <w:rPr>
                <w:sz w:val="22"/>
                <w:lang w:val="en-US"/>
              </w:rPr>
              <w:t>23 (7.0%)</w:t>
            </w:r>
          </w:p>
        </w:tc>
        <w:tc>
          <w:tcPr>
            <w:tcW w:w="1673" w:type="dxa"/>
            <w:gridSpan w:val="2"/>
            <w:tcBorders>
              <w:top w:val="nil"/>
              <w:left w:val="nil"/>
              <w:bottom w:val="single" w:sz="4" w:space="0" w:color="auto"/>
            </w:tcBorders>
          </w:tcPr>
          <w:p w:rsidR="00EE12D2" w:rsidRPr="004362B1" w:rsidRDefault="00903F4A" w:rsidP="004362B1">
            <w:pPr>
              <w:spacing w:before="40" w:after="40"/>
              <w:jc w:val="center"/>
              <w:rPr>
                <w:sz w:val="22"/>
                <w:lang w:val="en-US"/>
              </w:rPr>
            </w:pPr>
            <w:r>
              <w:rPr>
                <w:sz w:val="22"/>
                <w:lang w:val="en-US"/>
              </w:rPr>
              <w:t>69 (20.7%)</w:t>
            </w:r>
          </w:p>
        </w:tc>
      </w:tr>
      <w:tr w:rsidR="00EE12D2" w:rsidRPr="004362B1" w:rsidTr="00300D74">
        <w:tc>
          <w:tcPr>
            <w:tcW w:w="3085" w:type="dxa"/>
            <w:tcBorders>
              <w:bottom w:val="nil"/>
            </w:tcBorders>
            <w:shd w:val="clear" w:color="auto" w:fill="auto"/>
          </w:tcPr>
          <w:p w:rsidR="00EE12D2" w:rsidRPr="004362B1" w:rsidRDefault="00EE12D2" w:rsidP="004362B1">
            <w:pPr>
              <w:spacing w:before="40" w:after="40"/>
              <w:jc w:val="left"/>
              <w:rPr>
                <w:sz w:val="22"/>
                <w:lang w:val="en-US"/>
              </w:rPr>
            </w:pPr>
            <w:r w:rsidRPr="004362B1">
              <w:rPr>
                <w:b/>
                <w:i/>
                <w:sz w:val="22"/>
                <w:lang w:val="en-US"/>
              </w:rPr>
              <w:t>Molecular Remission at end of treatment</w:t>
            </w:r>
            <w:r w:rsidRPr="004362B1">
              <w:rPr>
                <w:sz w:val="22"/>
                <w:vertAlign w:val="superscript"/>
                <w:lang w:val="en-US"/>
              </w:rPr>
              <w:t>§</w:t>
            </w:r>
          </w:p>
        </w:tc>
        <w:tc>
          <w:tcPr>
            <w:tcW w:w="1323" w:type="dxa"/>
            <w:tcBorders>
              <w:bottom w:val="nil"/>
              <w:right w:val="nil"/>
            </w:tcBorders>
            <w:shd w:val="clear" w:color="auto" w:fill="auto"/>
          </w:tcPr>
          <w:p w:rsidR="00EE12D2" w:rsidRPr="004362B1" w:rsidRDefault="00EE12D2" w:rsidP="004362B1">
            <w:pPr>
              <w:spacing w:before="40" w:after="40"/>
              <w:jc w:val="center"/>
              <w:rPr>
                <w:sz w:val="22"/>
                <w:lang w:val="en-US"/>
              </w:rPr>
            </w:pPr>
          </w:p>
        </w:tc>
        <w:tc>
          <w:tcPr>
            <w:tcW w:w="1796" w:type="dxa"/>
            <w:gridSpan w:val="2"/>
            <w:tcBorders>
              <w:left w:val="nil"/>
              <w:bottom w:val="nil"/>
            </w:tcBorders>
            <w:shd w:val="clear" w:color="auto" w:fill="auto"/>
          </w:tcPr>
          <w:p w:rsidR="00EE12D2" w:rsidRPr="004362B1" w:rsidRDefault="00EE12D2" w:rsidP="004362B1">
            <w:pPr>
              <w:spacing w:before="40" w:after="40"/>
              <w:jc w:val="center"/>
              <w:rPr>
                <w:sz w:val="22"/>
                <w:lang w:val="en-US"/>
              </w:rPr>
            </w:pPr>
          </w:p>
        </w:tc>
        <w:tc>
          <w:tcPr>
            <w:tcW w:w="1445" w:type="dxa"/>
            <w:tcBorders>
              <w:left w:val="nil"/>
              <w:bottom w:val="nil"/>
              <w:right w:val="nil"/>
            </w:tcBorders>
          </w:tcPr>
          <w:p w:rsidR="00EE12D2" w:rsidRPr="004362B1" w:rsidRDefault="00EE12D2" w:rsidP="004362B1">
            <w:pPr>
              <w:spacing w:before="40" w:after="40"/>
              <w:jc w:val="center"/>
              <w:rPr>
                <w:sz w:val="22"/>
                <w:lang w:val="en-US"/>
              </w:rPr>
            </w:pPr>
          </w:p>
        </w:tc>
        <w:tc>
          <w:tcPr>
            <w:tcW w:w="1673" w:type="dxa"/>
            <w:gridSpan w:val="2"/>
            <w:tcBorders>
              <w:left w:val="nil"/>
              <w:bottom w:val="nil"/>
            </w:tcBorders>
          </w:tcPr>
          <w:p w:rsidR="00EE12D2" w:rsidRPr="004362B1" w:rsidRDefault="00EE12D2" w:rsidP="004362B1">
            <w:pPr>
              <w:spacing w:before="40" w:after="40"/>
              <w:jc w:val="center"/>
              <w:rPr>
                <w:sz w:val="22"/>
                <w:lang w:val="en-US"/>
              </w:rPr>
            </w:pP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No. of patients included in the analysis</w:t>
            </w:r>
          </w:p>
        </w:tc>
        <w:tc>
          <w:tcPr>
            <w:tcW w:w="1323" w:type="dxa"/>
            <w:tcBorders>
              <w:top w:val="nil"/>
              <w:bottom w:val="nil"/>
              <w:right w:val="nil"/>
            </w:tcBorders>
            <w:shd w:val="clear" w:color="auto" w:fill="auto"/>
          </w:tcPr>
          <w:p w:rsidR="00EE12D2" w:rsidRPr="004362B1" w:rsidRDefault="00C1781D" w:rsidP="004362B1">
            <w:pPr>
              <w:spacing w:before="40" w:after="40"/>
              <w:jc w:val="center"/>
              <w:rPr>
                <w:sz w:val="22"/>
                <w:lang w:val="en-US"/>
              </w:rPr>
            </w:pPr>
            <w:r>
              <w:rPr>
                <w:sz w:val="22"/>
                <w:lang w:val="en-US"/>
              </w:rPr>
              <w:t>9</w:t>
            </w:r>
            <w:r w:rsidR="00EE12D2" w:rsidRPr="004362B1">
              <w:rPr>
                <w:sz w:val="22"/>
                <w:lang w:val="en-US"/>
              </w:rPr>
              <w:t>0</w:t>
            </w:r>
          </w:p>
        </w:tc>
        <w:tc>
          <w:tcPr>
            <w:tcW w:w="1796" w:type="dxa"/>
            <w:gridSpan w:val="2"/>
            <w:tcBorders>
              <w:top w:val="nil"/>
              <w:left w:val="nil"/>
              <w:bottom w:val="nil"/>
            </w:tcBorders>
            <w:shd w:val="clear" w:color="auto" w:fill="auto"/>
          </w:tcPr>
          <w:p w:rsidR="00EE12D2" w:rsidRPr="00581C0E" w:rsidRDefault="00C1781D" w:rsidP="004362B1">
            <w:pPr>
              <w:spacing w:before="40" w:after="40"/>
              <w:jc w:val="center"/>
              <w:rPr>
                <w:sz w:val="22"/>
                <w:lang w:val="en-US"/>
              </w:rPr>
            </w:pPr>
            <w:r>
              <w:rPr>
                <w:sz w:val="22"/>
                <w:lang w:val="en-US"/>
              </w:rPr>
              <w:t>168</w:t>
            </w:r>
          </w:p>
        </w:tc>
        <w:tc>
          <w:tcPr>
            <w:tcW w:w="1445" w:type="dxa"/>
            <w:tcBorders>
              <w:top w:val="nil"/>
              <w:left w:val="nil"/>
              <w:bottom w:val="nil"/>
              <w:right w:val="nil"/>
            </w:tcBorders>
          </w:tcPr>
          <w:p w:rsidR="00EE12D2" w:rsidRPr="004362B1" w:rsidRDefault="00300D74" w:rsidP="004362B1">
            <w:pPr>
              <w:spacing w:before="40" w:after="40"/>
              <w:jc w:val="center"/>
              <w:rPr>
                <w:sz w:val="22"/>
                <w:lang w:val="en-US"/>
              </w:rPr>
            </w:pPr>
            <w:r>
              <w:rPr>
                <w:sz w:val="22"/>
                <w:lang w:val="en-US"/>
              </w:rPr>
              <w:t>244</w:t>
            </w:r>
          </w:p>
        </w:tc>
        <w:tc>
          <w:tcPr>
            <w:tcW w:w="1673" w:type="dxa"/>
            <w:gridSpan w:val="2"/>
            <w:tcBorders>
              <w:top w:val="nil"/>
              <w:left w:val="nil"/>
              <w:bottom w:val="nil"/>
            </w:tcBorders>
          </w:tcPr>
          <w:p w:rsidR="00EE12D2" w:rsidRPr="004362B1" w:rsidRDefault="00300D74" w:rsidP="004362B1">
            <w:pPr>
              <w:spacing w:before="40" w:after="40"/>
              <w:jc w:val="center"/>
              <w:rPr>
                <w:sz w:val="22"/>
                <w:lang w:val="en-US"/>
              </w:rPr>
            </w:pPr>
            <w:r>
              <w:rPr>
                <w:sz w:val="22"/>
                <w:lang w:val="en-US"/>
              </w:rPr>
              <w:t>239</w:t>
            </w: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MRD negative</w:t>
            </w:r>
            <w:r w:rsidRPr="004362B1">
              <w:rPr>
                <w:sz w:val="22"/>
                <w:vertAlign w:val="superscript"/>
                <w:lang w:val="en-US"/>
              </w:rPr>
              <w:t>¶</w:t>
            </w:r>
            <w:r w:rsidRPr="004362B1">
              <w:rPr>
                <w:sz w:val="22"/>
                <w:lang w:val="en-US"/>
              </w:rPr>
              <w:t xml:space="preserve"> (%)</w:t>
            </w:r>
          </w:p>
        </w:tc>
        <w:tc>
          <w:tcPr>
            <w:tcW w:w="1323" w:type="dxa"/>
            <w:tcBorders>
              <w:top w:val="nil"/>
              <w:bottom w:val="nil"/>
              <w:right w:val="nil"/>
            </w:tcBorders>
            <w:shd w:val="clear" w:color="auto" w:fill="auto"/>
          </w:tcPr>
          <w:p w:rsidR="00EE12D2" w:rsidRPr="004362B1" w:rsidRDefault="00EE12D2" w:rsidP="004362B1">
            <w:pPr>
              <w:spacing w:before="40" w:after="40"/>
              <w:jc w:val="center"/>
              <w:rPr>
                <w:sz w:val="22"/>
                <w:lang w:val="en-US"/>
              </w:rPr>
            </w:pPr>
            <w:r w:rsidRPr="004362B1">
              <w:rPr>
                <w:sz w:val="22"/>
                <w:lang w:val="en-US"/>
              </w:rPr>
              <w:t>0 (0%)</w:t>
            </w:r>
          </w:p>
        </w:tc>
        <w:tc>
          <w:tcPr>
            <w:tcW w:w="1796" w:type="dxa"/>
            <w:gridSpan w:val="2"/>
            <w:tcBorders>
              <w:top w:val="nil"/>
              <w:left w:val="nil"/>
              <w:bottom w:val="nil"/>
            </w:tcBorders>
            <w:shd w:val="clear" w:color="auto" w:fill="auto"/>
          </w:tcPr>
          <w:p w:rsidR="00EE12D2" w:rsidRPr="004362B1" w:rsidRDefault="00C1781D" w:rsidP="00581C0E">
            <w:pPr>
              <w:spacing w:before="40" w:after="40"/>
              <w:jc w:val="center"/>
              <w:rPr>
                <w:sz w:val="22"/>
                <w:lang w:val="en-US"/>
              </w:rPr>
            </w:pPr>
            <w:r>
              <w:rPr>
                <w:sz w:val="22"/>
                <w:lang w:val="en-US"/>
              </w:rPr>
              <w:t>45</w:t>
            </w:r>
            <w:r w:rsidR="00EE12D2" w:rsidRPr="004362B1">
              <w:rPr>
                <w:sz w:val="22"/>
                <w:lang w:val="en-US"/>
              </w:rPr>
              <w:t xml:space="preserve"> (</w:t>
            </w:r>
            <w:r w:rsidR="00581C0E">
              <w:rPr>
                <w:sz w:val="22"/>
                <w:lang w:val="en-US"/>
              </w:rPr>
              <w:t>26.8</w:t>
            </w:r>
            <w:r w:rsidR="00EE12D2" w:rsidRPr="004362B1">
              <w:rPr>
                <w:sz w:val="22"/>
                <w:lang w:val="en-US"/>
              </w:rPr>
              <w:t>%)</w:t>
            </w:r>
          </w:p>
        </w:tc>
        <w:tc>
          <w:tcPr>
            <w:tcW w:w="1445" w:type="dxa"/>
            <w:tcBorders>
              <w:top w:val="nil"/>
              <w:left w:val="nil"/>
              <w:bottom w:val="nil"/>
              <w:right w:val="nil"/>
            </w:tcBorders>
          </w:tcPr>
          <w:p w:rsidR="00EE12D2" w:rsidRPr="004362B1" w:rsidRDefault="00300D74" w:rsidP="004362B1">
            <w:pPr>
              <w:spacing w:before="40" w:after="40"/>
              <w:jc w:val="center"/>
              <w:rPr>
                <w:sz w:val="22"/>
                <w:lang w:val="en-US"/>
              </w:rPr>
            </w:pPr>
            <w:r>
              <w:rPr>
                <w:sz w:val="22"/>
                <w:lang w:val="en-US"/>
              </w:rPr>
              <w:t>6 (2</w:t>
            </w:r>
            <w:r w:rsidR="00741FEF">
              <w:rPr>
                <w:sz w:val="22"/>
                <w:lang w:val="en-US"/>
              </w:rPr>
              <w:t>.5</w:t>
            </w:r>
            <w:r>
              <w:rPr>
                <w:sz w:val="22"/>
                <w:lang w:val="en-US"/>
              </w:rPr>
              <w:t>%)</w:t>
            </w:r>
          </w:p>
        </w:tc>
        <w:tc>
          <w:tcPr>
            <w:tcW w:w="1673" w:type="dxa"/>
            <w:gridSpan w:val="2"/>
            <w:tcBorders>
              <w:top w:val="nil"/>
              <w:left w:val="nil"/>
              <w:bottom w:val="nil"/>
            </w:tcBorders>
          </w:tcPr>
          <w:p w:rsidR="00EE12D2" w:rsidRPr="004362B1" w:rsidRDefault="00300D74" w:rsidP="004362B1">
            <w:pPr>
              <w:spacing w:before="40" w:after="40"/>
              <w:jc w:val="center"/>
              <w:rPr>
                <w:sz w:val="22"/>
                <w:lang w:val="en-US"/>
              </w:rPr>
            </w:pPr>
            <w:r>
              <w:rPr>
                <w:sz w:val="22"/>
                <w:lang w:val="en-US"/>
              </w:rPr>
              <w:t>61 (</w:t>
            </w:r>
            <w:r w:rsidR="00741FEF">
              <w:rPr>
                <w:sz w:val="22"/>
                <w:lang w:val="en-US"/>
              </w:rPr>
              <w:t>25.5</w:t>
            </w:r>
            <w:r>
              <w:rPr>
                <w:sz w:val="22"/>
                <w:lang w:val="en-US"/>
              </w:rPr>
              <w:t>%)</w:t>
            </w: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MRD positive</w:t>
            </w:r>
            <w:r w:rsidRPr="004362B1">
              <w:rPr>
                <w:sz w:val="22"/>
                <w:vertAlign w:val="superscript"/>
                <w:lang w:val="en-US"/>
              </w:rPr>
              <w:t>\\</w:t>
            </w:r>
            <w:r w:rsidRPr="004362B1">
              <w:rPr>
                <w:sz w:val="22"/>
                <w:lang w:val="en-US"/>
              </w:rPr>
              <w:t xml:space="preserve"> (%)</w:t>
            </w:r>
          </w:p>
        </w:tc>
        <w:tc>
          <w:tcPr>
            <w:tcW w:w="1323" w:type="dxa"/>
            <w:tcBorders>
              <w:top w:val="nil"/>
              <w:bottom w:val="nil"/>
              <w:right w:val="nil"/>
            </w:tcBorders>
            <w:shd w:val="clear" w:color="auto" w:fill="auto"/>
          </w:tcPr>
          <w:p w:rsidR="00EE12D2" w:rsidRPr="004362B1" w:rsidRDefault="0057203C" w:rsidP="004362B1">
            <w:pPr>
              <w:spacing w:before="40" w:after="40"/>
              <w:jc w:val="center"/>
              <w:rPr>
                <w:sz w:val="22"/>
                <w:lang w:val="en-US"/>
              </w:rPr>
            </w:pPr>
            <w:r>
              <w:rPr>
                <w:sz w:val="22"/>
                <w:lang w:val="en-US"/>
              </w:rPr>
              <w:t>9</w:t>
            </w:r>
            <w:r w:rsidR="00EE12D2" w:rsidRPr="004362B1">
              <w:rPr>
                <w:sz w:val="22"/>
                <w:lang w:val="en-US"/>
              </w:rPr>
              <w:t>0 (100%)</w:t>
            </w:r>
          </w:p>
        </w:tc>
        <w:tc>
          <w:tcPr>
            <w:tcW w:w="1796" w:type="dxa"/>
            <w:gridSpan w:val="2"/>
            <w:tcBorders>
              <w:top w:val="nil"/>
              <w:left w:val="nil"/>
              <w:bottom w:val="nil"/>
            </w:tcBorders>
            <w:shd w:val="clear" w:color="auto" w:fill="auto"/>
          </w:tcPr>
          <w:p w:rsidR="00EE12D2" w:rsidRPr="004362B1" w:rsidRDefault="0057203C" w:rsidP="00581C0E">
            <w:pPr>
              <w:spacing w:before="40" w:after="40"/>
              <w:jc w:val="center"/>
              <w:rPr>
                <w:sz w:val="22"/>
                <w:lang w:val="en-US"/>
              </w:rPr>
            </w:pPr>
            <w:r>
              <w:rPr>
                <w:sz w:val="22"/>
                <w:lang w:val="en-US"/>
              </w:rPr>
              <w:t>123</w:t>
            </w:r>
            <w:r w:rsidR="00EE12D2" w:rsidRPr="004362B1">
              <w:rPr>
                <w:sz w:val="22"/>
                <w:lang w:val="en-US"/>
              </w:rPr>
              <w:t xml:space="preserve"> (</w:t>
            </w:r>
            <w:r w:rsidR="00581C0E">
              <w:rPr>
                <w:sz w:val="22"/>
                <w:lang w:val="en-US"/>
              </w:rPr>
              <w:t>73.2</w:t>
            </w:r>
            <w:r w:rsidR="00EE12D2" w:rsidRPr="004362B1">
              <w:rPr>
                <w:sz w:val="22"/>
                <w:lang w:val="en-US"/>
              </w:rPr>
              <w:t>%)</w:t>
            </w:r>
          </w:p>
        </w:tc>
        <w:tc>
          <w:tcPr>
            <w:tcW w:w="1445" w:type="dxa"/>
            <w:tcBorders>
              <w:top w:val="nil"/>
              <w:left w:val="nil"/>
              <w:bottom w:val="nil"/>
              <w:right w:val="nil"/>
            </w:tcBorders>
          </w:tcPr>
          <w:p w:rsidR="00EE12D2" w:rsidRPr="004362B1" w:rsidRDefault="00300D74" w:rsidP="00741FEF">
            <w:pPr>
              <w:spacing w:before="40" w:after="40"/>
              <w:jc w:val="center"/>
              <w:rPr>
                <w:sz w:val="22"/>
                <w:lang w:val="en-US"/>
              </w:rPr>
            </w:pPr>
            <w:r>
              <w:rPr>
                <w:sz w:val="22"/>
                <w:lang w:val="en-US"/>
              </w:rPr>
              <w:t>238 (9</w:t>
            </w:r>
            <w:r w:rsidR="00741FEF">
              <w:rPr>
                <w:sz w:val="22"/>
                <w:lang w:val="en-US"/>
              </w:rPr>
              <w:t>7.5</w:t>
            </w:r>
            <w:r>
              <w:rPr>
                <w:sz w:val="22"/>
                <w:lang w:val="en-US"/>
              </w:rPr>
              <w:t>%)</w:t>
            </w:r>
          </w:p>
        </w:tc>
        <w:tc>
          <w:tcPr>
            <w:tcW w:w="1673" w:type="dxa"/>
            <w:gridSpan w:val="2"/>
            <w:tcBorders>
              <w:top w:val="nil"/>
              <w:left w:val="nil"/>
              <w:bottom w:val="nil"/>
            </w:tcBorders>
          </w:tcPr>
          <w:p w:rsidR="00EE12D2" w:rsidRPr="004362B1" w:rsidRDefault="00741FEF" w:rsidP="004362B1">
            <w:pPr>
              <w:spacing w:before="40" w:after="40"/>
              <w:jc w:val="center"/>
              <w:rPr>
                <w:sz w:val="22"/>
                <w:lang w:val="en-US"/>
              </w:rPr>
            </w:pPr>
            <w:r>
              <w:rPr>
                <w:sz w:val="22"/>
                <w:lang w:val="en-US"/>
              </w:rPr>
              <w:t>178 (74.5</w:t>
            </w:r>
            <w:r w:rsidR="00300D74">
              <w:rPr>
                <w:sz w:val="22"/>
                <w:lang w:val="en-US"/>
              </w:rPr>
              <w:t>%)</w:t>
            </w:r>
          </w:p>
        </w:tc>
      </w:tr>
      <w:tr w:rsidR="00300D74" w:rsidRPr="004362B1" w:rsidTr="00300D74">
        <w:tc>
          <w:tcPr>
            <w:tcW w:w="3085" w:type="dxa"/>
            <w:tcBorders>
              <w:top w:val="nil"/>
              <w:bottom w:val="single" w:sz="4" w:space="0" w:color="auto"/>
            </w:tcBorders>
            <w:shd w:val="clear" w:color="auto" w:fill="auto"/>
          </w:tcPr>
          <w:p w:rsidR="00300D74" w:rsidRPr="004362B1" w:rsidRDefault="00300D74" w:rsidP="00581C0E">
            <w:pPr>
              <w:spacing w:before="40" w:after="40"/>
              <w:jc w:val="left"/>
              <w:rPr>
                <w:sz w:val="22"/>
                <w:lang w:val="en-US"/>
              </w:rPr>
            </w:pPr>
            <w:r w:rsidRPr="004362B1">
              <w:rPr>
                <w:sz w:val="22"/>
                <w:lang w:val="en-US"/>
              </w:rPr>
              <w:t>Difference in MRD</w:t>
            </w:r>
            <w:r w:rsidRPr="00581C0E">
              <w:rPr>
                <w:sz w:val="22"/>
                <w:lang w:val="en-US"/>
              </w:rPr>
              <w:t xml:space="preserve"> </w:t>
            </w:r>
            <w:r w:rsidRPr="004362B1">
              <w:rPr>
                <w:sz w:val="22"/>
                <w:lang w:val="en-US"/>
              </w:rPr>
              <w:t>(95% Cl)</w:t>
            </w:r>
          </w:p>
        </w:tc>
        <w:tc>
          <w:tcPr>
            <w:tcW w:w="3119" w:type="dxa"/>
            <w:gridSpan w:val="3"/>
            <w:tcBorders>
              <w:top w:val="nil"/>
              <w:bottom w:val="single" w:sz="4" w:space="0" w:color="auto"/>
            </w:tcBorders>
            <w:shd w:val="clear" w:color="auto" w:fill="auto"/>
          </w:tcPr>
          <w:p w:rsidR="00300D74" w:rsidRPr="00581C0E" w:rsidRDefault="0057203C" w:rsidP="00581C0E">
            <w:pPr>
              <w:spacing w:before="40" w:after="40"/>
              <w:jc w:val="center"/>
              <w:rPr>
                <w:sz w:val="22"/>
                <w:lang w:val="en-US"/>
              </w:rPr>
            </w:pPr>
            <w:r>
              <w:rPr>
                <w:sz w:val="22"/>
                <w:lang w:val="en-US"/>
              </w:rPr>
              <w:t>26.79 [19.5; 34.1]</w:t>
            </w:r>
          </w:p>
        </w:tc>
        <w:tc>
          <w:tcPr>
            <w:tcW w:w="3118" w:type="dxa"/>
            <w:gridSpan w:val="3"/>
            <w:tcBorders>
              <w:top w:val="nil"/>
              <w:bottom w:val="single" w:sz="4" w:space="0" w:color="auto"/>
            </w:tcBorders>
          </w:tcPr>
          <w:p w:rsidR="00300D74" w:rsidRPr="004362B1" w:rsidRDefault="00300D74" w:rsidP="004362B1">
            <w:pPr>
              <w:spacing w:before="40" w:after="40"/>
              <w:jc w:val="center"/>
              <w:rPr>
                <w:sz w:val="22"/>
                <w:lang w:val="en-US"/>
              </w:rPr>
            </w:pPr>
            <w:r>
              <w:rPr>
                <w:sz w:val="22"/>
                <w:lang w:val="en-US"/>
              </w:rPr>
              <w:t>23.06 [17.0; 29.1]</w:t>
            </w:r>
          </w:p>
        </w:tc>
      </w:tr>
      <w:tr w:rsidR="00EE12D2" w:rsidRPr="004362B1" w:rsidTr="00300D74">
        <w:tc>
          <w:tcPr>
            <w:tcW w:w="3085" w:type="dxa"/>
            <w:tcBorders>
              <w:bottom w:val="nil"/>
            </w:tcBorders>
            <w:shd w:val="clear" w:color="auto" w:fill="auto"/>
          </w:tcPr>
          <w:p w:rsidR="00EE12D2" w:rsidRPr="004362B1" w:rsidRDefault="00EE12D2" w:rsidP="004362B1">
            <w:pPr>
              <w:spacing w:before="40" w:after="40"/>
              <w:jc w:val="left"/>
              <w:rPr>
                <w:b/>
                <w:i/>
                <w:sz w:val="22"/>
                <w:lang w:val="en-US"/>
              </w:rPr>
            </w:pPr>
            <w:r w:rsidRPr="004362B1">
              <w:rPr>
                <w:b/>
                <w:i/>
                <w:sz w:val="22"/>
                <w:lang w:val="en-US"/>
              </w:rPr>
              <w:t>Event Free Survival</w:t>
            </w:r>
          </w:p>
        </w:tc>
        <w:tc>
          <w:tcPr>
            <w:tcW w:w="1323" w:type="dxa"/>
            <w:tcBorders>
              <w:bottom w:val="nil"/>
              <w:right w:val="nil"/>
            </w:tcBorders>
            <w:shd w:val="clear" w:color="auto" w:fill="auto"/>
          </w:tcPr>
          <w:p w:rsidR="00EE12D2" w:rsidRPr="004362B1" w:rsidRDefault="00EE12D2" w:rsidP="004362B1">
            <w:pPr>
              <w:spacing w:before="40" w:after="40"/>
              <w:jc w:val="center"/>
              <w:rPr>
                <w:sz w:val="22"/>
                <w:lang w:val="en-US"/>
              </w:rPr>
            </w:pPr>
          </w:p>
        </w:tc>
        <w:tc>
          <w:tcPr>
            <w:tcW w:w="1796" w:type="dxa"/>
            <w:gridSpan w:val="2"/>
            <w:tcBorders>
              <w:left w:val="nil"/>
              <w:bottom w:val="nil"/>
            </w:tcBorders>
            <w:shd w:val="clear" w:color="auto" w:fill="auto"/>
          </w:tcPr>
          <w:p w:rsidR="00EE12D2" w:rsidRPr="004362B1" w:rsidRDefault="00EE12D2" w:rsidP="004362B1">
            <w:pPr>
              <w:spacing w:before="40" w:after="40"/>
              <w:jc w:val="center"/>
              <w:rPr>
                <w:sz w:val="22"/>
                <w:lang w:val="en-US"/>
              </w:rPr>
            </w:pPr>
          </w:p>
        </w:tc>
        <w:tc>
          <w:tcPr>
            <w:tcW w:w="1445" w:type="dxa"/>
            <w:tcBorders>
              <w:left w:val="nil"/>
              <w:bottom w:val="nil"/>
              <w:right w:val="nil"/>
            </w:tcBorders>
          </w:tcPr>
          <w:p w:rsidR="00EE12D2" w:rsidRPr="004362B1" w:rsidRDefault="00EE12D2" w:rsidP="004362B1">
            <w:pPr>
              <w:spacing w:before="40" w:after="40"/>
              <w:jc w:val="center"/>
              <w:rPr>
                <w:sz w:val="22"/>
                <w:lang w:val="en-US"/>
              </w:rPr>
            </w:pPr>
          </w:p>
        </w:tc>
        <w:tc>
          <w:tcPr>
            <w:tcW w:w="1673" w:type="dxa"/>
            <w:gridSpan w:val="2"/>
            <w:tcBorders>
              <w:left w:val="nil"/>
              <w:bottom w:val="nil"/>
            </w:tcBorders>
          </w:tcPr>
          <w:p w:rsidR="00EE12D2" w:rsidRPr="004362B1" w:rsidRDefault="00EE12D2" w:rsidP="004362B1">
            <w:pPr>
              <w:spacing w:before="40" w:after="40"/>
              <w:jc w:val="center"/>
              <w:rPr>
                <w:sz w:val="22"/>
                <w:lang w:val="en-US"/>
              </w:rPr>
            </w:pP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No. (%) of patients with event</w:t>
            </w:r>
          </w:p>
        </w:tc>
        <w:tc>
          <w:tcPr>
            <w:tcW w:w="1323" w:type="dxa"/>
            <w:tcBorders>
              <w:top w:val="nil"/>
              <w:bottom w:val="nil"/>
              <w:right w:val="nil"/>
            </w:tcBorders>
            <w:shd w:val="clear" w:color="auto" w:fill="auto"/>
          </w:tcPr>
          <w:p w:rsidR="00EE12D2" w:rsidRPr="004362B1" w:rsidRDefault="0057203C" w:rsidP="00581C0E">
            <w:pPr>
              <w:spacing w:before="40" w:after="40"/>
              <w:jc w:val="center"/>
              <w:rPr>
                <w:sz w:val="22"/>
                <w:lang w:val="en-US"/>
              </w:rPr>
            </w:pPr>
            <w:r>
              <w:rPr>
                <w:sz w:val="22"/>
                <w:lang w:val="en-US"/>
              </w:rPr>
              <w:t>103</w:t>
            </w:r>
            <w:r w:rsidR="00EE12D2" w:rsidRPr="004362B1">
              <w:rPr>
                <w:sz w:val="22"/>
                <w:lang w:val="en-US"/>
              </w:rPr>
              <w:t xml:space="preserve"> (</w:t>
            </w:r>
            <w:r w:rsidR="00581C0E">
              <w:rPr>
                <w:sz w:val="22"/>
                <w:lang w:val="en-US"/>
              </w:rPr>
              <w:t>87.3</w:t>
            </w:r>
            <w:r w:rsidR="00EE12D2" w:rsidRPr="004362B1">
              <w:rPr>
                <w:sz w:val="22"/>
                <w:lang w:val="en-US"/>
              </w:rPr>
              <w:t>%)</w:t>
            </w:r>
          </w:p>
        </w:tc>
        <w:tc>
          <w:tcPr>
            <w:tcW w:w="1796" w:type="dxa"/>
            <w:gridSpan w:val="2"/>
            <w:tcBorders>
              <w:top w:val="nil"/>
              <w:left w:val="nil"/>
              <w:bottom w:val="nil"/>
            </w:tcBorders>
            <w:shd w:val="clear" w:color="auto" w:fill="auto"/>
          </w:tcPr>
          <w:p w:rsidR="00EE12D2" w:rsidRPr="004362B1" w:rsidRDefault="0057203C" w:rsidP="00581C0E">
            <w:pPr>
              <w:spacing w:before="40" w:after="40"/>
              <w:jc w:val="center"/>
              <w:rPr>
                <w:sz w:val="22"/>
                <w:lang w:val="en-US"/>
              </w:rPr>
            </w:pPr>
            <w:r>
              <w:rPr>
                <w:sz w:val="22"/>
                <w:lang w:val="en-US"/>
              </w:rPr>
              <w:t>104</w:t>
            </w:r>
            <w:r w:rsidR="00EE12D2" w:rsidRPr="004362B1">
              <w:rPr>
                <w:sz w:val="22"/>
                <w:lang w:val="en-US"/>
              </w:rPr>
              <w:t xml:space="preserve"> (</w:t>
            </w:r>
            <w:r w:rsidR="00581C0E">
              <w:rPr>
                <w:sz w:val="22"/>
                <w:lang w:val="en-US"/>
              </w:rPr>
              <w:t>43.7</w:t>
            </w:r>
            <w:r w:rsidR="00EE12D2" w:rsidRPr="004362B1">
              <w:rPr>
                <w:sz w:val="22"/>
                <w:lang w:val="en-US"/>
              </w:rPr>
              <w:t>%)</w:t>
            </w:r>
          </w:p>
        </w:tc>
        <w:tc>
          <w:tcPr>
            <w:tcW w:w="1445" w:type="dxa"/>
            <w:tcBorders>
              <w:top w:val="nil"/>
              <w:left w:val="nil"/>
              <w:bottom w:val="nil"/>
              <w:right w:val="nil"/>
            </w:tcBorders>
          </w:tcPr>
          <w:p w:rsidR="00EE12D2" w:rsidRPr="004362B1" w:rsidRDefault="00300D74" w:rsidP="004362B1">
            <w:pPr>
              <w:spacing w:before="40" w:after="40"/>
              <w:jc w:val="center"/>
              <w:rPr>
                <w:sz w:val="22"/>
                <w:lang w:val="en-US"/>
              </w:rPr>
            </w:pPr>
            <w:r>
              <w:rPr>
                <w:sz w:val="22"/>
                <w:lang w:val="en-US"/>
              </w:rPr>
              <w:t>208 (63.0%)</w:t>
            </w:r>
          </w:p>
        </w:tc>
        <w:tc>
          <w:tcPr>
            <w:tcW w:w="1673" w:type="dxa"/>
            <w:gridSpan w:val="2"/>
            <w:tcBorders>
              <w:top w:val="nil"/>
              <w:left w:val="nil"/>
              <w:bottom w:val="nil"/>
            </w:tcBorders>
          </w:tcPr>
          <w:p w:rsidR="00EE12D2" w:rsidRPr="004362B1" w:rsidRDefault="00300D74" w:rsidP="004362B1">
            <w:pPr>
              <w:spacing w:before="40" w:after="40"/>
              <w:jc w:val="center"/>
              <w:rPr>
                <w:sz w:val="22"/>
                <w:lang w:val="en-US"/>
              </w:rPr>
            </w:pPr>
            <w:r>
              <w:rPr>
                <w:sz w:val="22"/>
                <w:lang w:val="en-US"/>
              </w:rPr>
              <w:t>118 (35.4%)</w:t>
            </w: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Median time to event (months)</w:t>
            </w:r>
          </w:p>
        </w:tc>
        <w:tc>
          <w:tcPr>
            <w:tcW w:w="1323" w:type="dxa"/>
            <w:tcBorders>
              <w:top w:val="nil"/>
              <w:bottom w:val="nil"/>
              <w:right w:val="nil"/>
            </w:tcBorders>
            <w:shd w:val="clear" w:color="auto" w:fill="auto"/>
          </w:tcPr>
          <w:p w:rsidR="00EE12D2" w:rsidRPr="00581C0E" w:rsidRDefault="00EE12D2" w:rsidP="004362B1">
            <w:pPr>
              <w:spacing w:before="40" w:after="40"/>
              <w:jc w:val="center"/>
              <w:rPr>
                <w:sz w:val="22"/>
                <w:lang w:val="en-US"/>
              </w:rPr>
            </w:pPr>
            <w:r w:rsidRPr="004362B1">
              <w:rPr>
                <w:sz w:val="22"/>
                <w:lang w:val="en-US"/>
              </w:rPr>
              <w:t>10.</w:t>
            </w:r>
            <w:r w:rsidR="0057203C">
              <w:rPr>
                <w:sz w:val="22"/>
                <w:lang w:val="en-US"/>
              </w:rPr>
              <w:t>8</w:t>
            </w:r>
          </w:p>
        </w:tc>
        <w:tc>
          <w:tcPr>
            <w:tcW w:w="1796" w:type="dxa"/>
            <w:gridSpan w:val="2"/>
            <w:tcBorders>
              <w:top w:val="nil"/>
              <w:left w:val="nil"/>
              <w:bottom w:val="nil"/>
            </w:tcBorders>
            <w:shd w:val="clear" w:color="auto" w:fill="auto"/>
          </w:tcPr>
          <w:p w:rsidR="00EE12D2" w:rsidRPr="00581C0E" w:rsidRDefault="0057203C" w:rsidP="00581C0E">
            <w:pPr>
              <w:spacing w:before="40" w:after="40"/>
              <w:jc w:val="center"/>
              <w:rPr>
                <w:sz w:val="22"/>
                <w:lang w:val="en-US"/>
              </w:rPr>
            </w:pPr>
            <w:r>
              <w:rPr>
                <w:sz w:val="22"/>
                <w:lang w:val="en-US"/>
              </w:rPr>
              <w:t>26.1</w:t>
            </w:r>
          </w:p>
        </w:tc>
        <w:tc>
          <w:tcPr>
            <w:tcW w:w="1445" w:type="dxa"/>
            <w:tcBorders>
              <w:top w:val="nil"/>
              <w:left w:val="nil"/>
              <w:bottom w:val="nil"/>
              <w:right w:val="nil"/>
            </w:tcBorders>
          </w:tcPr>
          <w:p w:rsidR="00EE12D2" w:rsidRPr="004362B1" w:rsidRDefault="00300D74" w:rsidP="004362B1">
            <w:pPr>
              <w:spacing w:before="40" w:after="40"/>
              <w:jc w:val="center"/>
              <w:rPr>
                <w:sz w:val="22"/>
                <w:lang w:val="en-US"/>
              </w:rPr>
            </w:pPr>
            <w:r>
              <w:rPr>
                <w:sz w:val="22"/>
                <w:lang w:val="en-US"/>
              </w:rPr>
              <w:t>14.3</w:t>
            </w:r>
          </w:p>
        </w:tc>
        <w:tc>
          <w:tcPr>
            <w:tcW w:w="1673" w:type="dxa"/>
            <w:gridSpan w:val="2"/>
            <w:tcBorders>
              <w:top w:val="nil"/>
              <w:left w:val="nil"/>
              <w:bottom w:val="nil"/>
            </w:tcBorders>
          </w:tcPr>
          <w:p w:rsidR="00EE12D2" w:rsidRPr="004362B1" w:rsidRDefault="00300D74" w:rsidP="004362B1">
            <w:pPr>
              <w:spacing w:before="40" w:after="40"/>
              <w:jc w:val="center"/>
              <w:rPr>
                <w:sz w:val="22"/>
                <w:lang w:val="en-US"/>
              </w:rPr>
            </w:pPr>
            <w:r>
              <w:rPr>
                <w:sz w:val="22"/>
                <w:lang w:val="en-US"/>
              </w:rPr>
              <w:t>26.1</w:t>
            </w:r>
          </w:p>
        </w:tc>
      </w:tr>
      <w:tr w:rsidR="00300D74" w:rsidRPr="004362B1" w:rsidTr="00300D74">
        <w:tc>
          <w:tcPr>
            <w:tcW w:w="3085" w:type="dxa"/>
            <w:tcBorders>
              <w:top w:val="nil"/>
              <w:bottom w:val="nil"/>
            </w:tcBorders>
            <w:shd w:val="clear" w:color="auto" w:fill="auto"/>
          </w:tcPr>
          <w:p w:rsidR="00300D74" w:rsidRPr="004362B1" w:rsidRDefault="00300D74" w:rsidP="004362B1">
            <w:pPr>
              <w:spacing w:before="40" w:after="40"/>
              <w:jc w:val="left"/>
              <w:rPr>
                <w:sz w:val="22"/>
                <w:lang w:val="en-US"/>
              </w:rPr>
            </w:pPr>
            <w:r w:rsidRPr="004362B1">
              <w:rPr>
                <w:sz w:val="22"/>
                <w:lang w:val="en-US"/>
              </w:rPr>
              <w:t>HR (95% Cl)</w:t>
            </w:r>
          </w:p>
        </w:tc>
        <w:tc>
          <w:tcPr>
            <w:tcW w:w="3119" w:type="dxa"/>
            <w:gridSpan w:val="3"/>
            <w:tcBorders>
              <w:top w:val="nil"/>
              <w:bottom w:val="nil"/>
            </w:tcBorders>
            <w:shd w:val="clear" w:color="auto" w:fill="auto"/>
          </w:tcPr>
          <w:p w:rsidR="00300D74" w:rsidRPr="004362B1" w:rsidRDefault="00300D74" w:rsidP="004362B1">
            <w:pPr>
              <w:spacing w:before="40" w:after="40"/>
              <w:jc w:val="center"/>
              <w:rPr>
                <w:sz w:val="22"/>
                <w:lang w:val="en-US"/>
              </w:rPr>
            </w:pPr>
            <w:r w:rsidRPr="004362B1">
              <w:rPr>
                <w:sz w:val="22"/>
                <w:lang w:val="en-US"/>
              </w:rPr>
              <w:t>0.1</w:t>
            </w:r>
            <w:r w:rsidR="0057203C">
              <w:rPr>
                <w:sz w:val="22"/>
                <w:lang w:val="en-US"/>
              </w:rPr>
              <w:t>9</w:t>
            </w:r>
            <w:r w:rsidRPr="004362B1">
              <w:rPr>
                <w:sz w:val="22"/>
                <w:lang w:val="en-US"/>
              </w:rPr>
              <w:t xml:space="preserve"> [0.1</w:t>
            </w:r>
            <w:r w:rsidR="0057203C">
              <w:rPr>
                <w:sz w:val="22"/>
                <w:lang w:val="en-US"/>
              </w:rPr>
              <w:t>4</w:t>
            </w:r>
            <w:r w:rsidRPr="004362B1">
              <w:rPr>
                <w:sz w:val="22"/>
                <w:lang w:val="en-US"/>
              </w:rPr>
              <w:t>; 0.2</w:t>
            </w:r>
            <w:r w:rsidR="0057203C">
              <w:rPr>
                <w:sz w:val="22"/>
                <w:lang w:val="en-US"/>
              </w:rPr>
              <w:t>5</w:t>
            </w:r>
            <w:r w:rsidRPr="004362B1">
              <w:rPr>
                <w:sz w:val="22"/>
                <w:lang w:val="en-US"/>
              </w:rPr>
              <w:t>]</w:t>
            </w:r>
          </w:p>
        </w:tc>
        <w:tc>
          <w:tcPr>
            <w:tcW w:w="3118" w:type="dxa"/>
            <w:gridSpan w:val="3"/>
            <w:tcBorders>
              <w:top w:val="nil"/>
              <w:bottom w:val="nil"/>
            </w:tcBorders>
          </w:tcPr>
          <w:p w:rsidR="00300D74" w:rsidRPr="004362B1" w:rsidRDefault="00300D74" w:rsidP="009174B2">
            <w:pPr>
              <w:spacing w:before="40" w:after="40"/>
              <w:jc w:val="center"/>
              <w:rPr>
                <w:sz w:val="22"/>
                <w:lang w:val="en-US"/>
              </w:rPr>
            </w:pPr>
            <w:r>
              <w:rPr>
                <w:sz w:val="22"/>
                <w:lang w:val="en-US"/>
              </w:rPr>
              <w:t>0.</w:t>
            </w:r>
            <w:r w:rsidR="009174B2">
              <w:rPr>
                <w:sz w:val="22"/>
                <w:lang w:val="en-US"/>
              </w:rPr>
              <w:t>43</w:t>
            </w:r>
            <w:r>
              <w:rPr>
                <w:sz w:val="22"/>
                <w:lang w:val="en-US"/>
              </w:rPr>
              <w:t xml:space="preserve"> [0.</w:t>
            </w:r>
            <w:r w:rsidR="009174B2">
              <w:rPr>
                <w:sz w:val="22"/>
                <w:lang w:val="en-US"/>
              </w:rPr>
              <w:t>34</w:t>
            </w:r>
            <w:r>
              <w:rPr>
                <w:sz w:val="22"/>
                <w:lang w:val="en-US"/>
              </w:rPr>
              <w:t>; 0.</w:t>
            </w:r>
            <w:r w:rsidR="009174B2">
              <w:rPr>
                <w:sz w:val="22"/>
                <w:lang w:val="en-US"/>
              </w:rPr>
              <w:t>54</w:t>
            </w:r>
            <w:r>
              <w:rPr>
                <w:sz w:val="22"/>
                <w:lang w:val="en-US"/>
              </w:rPr>
              <w:t>]</w:t>
            </w:r>
          </w:p>
        </w:tc>
      </w:tr>
      <w:tr w:rsidR="00300D74" w:rsidRPr="004362B1" w:rsidTr="00300D74">
        <w:tc>
          <w:tcPr>
            <w:tcW w:w="3085" w:type="dxa"/>
            <w:tcBorders>
              <w:top w:val="nil"/>
              <w:bottom w:val="single" w:sz="4" w:space="0" w:color="auto"/>
            </w:tcBorders>
            <w:shd w:val="clear" w:color="auto" w:fill="auto"/>
          </w:tcPr>
          <w:p w:rsidR="00300D74" w:rsidRPr="004362B1" w:rsidRDefault="00300D74" w:rsidP="004362B1">
            <w:pPr>
              <w:spacing w:before="40" w:after="40"/>
              <w:jc w:val="left"/>
              <w:rPr>
                <w:sz w:val="22"/>
                <w:lang w:val="en-US"/>
              </w:rPr>
            </w:pPr>
            <w:r w:rsidRPr="004362B1">
              <w:rPr>
                <w:sz w:val="22"/>
                <w:lang w:val="en-US"/>
              </w:rPr>
              <w:t>p-value (Log-Rank test, stratified</w:t>
            </w:r>
            <w:r w:rsidRPr="004362B1">
              <w:rPr>
                <w:sz w:val="22"/>
                <w:vertAlign w:val="superscript"/>
                <w:lang w:val="en-US"/>
              </w:rPr>
              <w:t>†</w:t>
            </w:r>
            <w:r w:rsidRPr="004362B1">
              <w:rPr>
                <w:sz w:val="22"/>
                <w:lang w:val="en-US"/>
              </w:rPr>
              <w:t>)</w:t>
            </w:r>
          </w:p>
        </w:tc>
        <w:tc>
          <w:tcPr>
            <w:tcW w:w="3119" w:type="dxa"/>
            <w:gridSpan w:val="3"/>
            <w:tcBorders>
              <w:top w:val="nil"/>
              <w:bottom w:val="single" w:sz="4" w:space="0" w:color="auto"/>
            </w:tcBorders>
            <w:shd w:val="clear" w:color="auto" w:fill="auto"/>
          </w:tcPr>
          <w:p w:rsidR="00300D74" w:rsidRPr="004362B1" w:rsidRDefault="00300D74" w:rsidP="004362B1">
            <w:pPr>
              <w:spacing w:before="40" w:after="40"/>
              <w:jc w:val="center"/>
              <w:rPr>
                <w:sz w:val="22"/>
                <w:lang w:val="en-US"/>
              </w:rPr>
            </w:pPr>
            <w:r w:rsidRPr="004362B1">
              <w:rPr>
                <w:sz w:val="22"/>
                <w:lang w:val="en-US"/>
              </w:rPr>
              <w:t>&lt;0.0001</w:t>
            </w:r>
          </w:p>
        </w:tc>
        <w:tc>
          <w:tcPr>
            <w:tcW w:w="3118" w:type="dxa"/>
            <w:gridSpan w:val="3"/>
            <w:tcBorders>
              <w:top w:val="nil"/>
              <w:bottom w:val="single" w:sz="4" w:space="0" w:color="auto"/>
            </w:tcBorders>
          </w:tcPr>
          <w:p w:rsidR="00300D74" w:rsidRPr="004362B1" w:rsidRDefault="00300D74" w:rsidP="009174B2">
            <w:pPr>
              <w:spacing w:before="40" w:after="40"/>
              <w:jc w:val="center"/>
              <w:rPr>
                <w:sz w:val="22"/>
                <w:lang w:val="en-US"/>
              </w:rPr>
            </w:pPr>
            <w:r>
              <w:rPr>
                <w:sz w:val="22"/>
                <w:lang w:val="en-US"/>
              </w:rPr>
              <w:t>&lt; 0.00</w:t>
            </w:r>
            <w:r w:rsidR="009174B2">
              <w:rPr>
                <w:sz w:val="22"/>
                <w:lang w:val="en-US"/>
              </w:rPr>
              <w:t>01</w:t>
            </w:r>
          </w:p>
        </w:tc>
      </w:tr>
      <w:tr w:rsidR="00EE12D2" w:rsidRPr="004362B1" w:rsidTr="00300D74">
        <w:tc>
          <w:tcPr>
            <w:tcW w:w="3085" w:type="dxa"/>
            <w:tcBorders>
              <w:bottom w:val="nil"/>
            </w:tcBorders>
            <w:shd w:val="clear" w:color="auto" w:fill="auto"/>
          </w:tcPr>
          <w:p w:rsidR="00EE12D2" w:rsidRPr="004362B1" w:rsidRDefault="00EE12D2" w:rsidP="004362B1">
            <w:pPr>
              <w:spacing w:before="40" w:after="40"/>
              <w:jc w:val="left"/>
              <w:rPr>
                <w:b/>
                <w:i/>
                <w:sz w:val="22"/>
                <w:lang w:val="en-US"/>
              </w:rPr>
            </w:pPr>
            <w:r w:rsidRPr="004362B1">
              <w:rPr>
                <w:b/>
                <w:i/>
                <w:sz w:val="22"/>
                <w:lang w:val="en-US"/>
              </w:rPr>
              <w:t>Time to new anti-leukaemic therapy</w:t>
            </w:r>
          </w:p>
        </w:tc>
        <w:tc>
          <w:tcPr>
            <w:tcW w:w="1323" w:type="dxa"/>
            <w:tcBorders>
              <w:bottom w:val="nil"/>
              <w:right w:val="nil"/>
            </w:tcBorders>
            <w:shd w:val="clear" w:color="auto" w:fill="auto"/>
          </w:tcPr>
          <w:p w:rsidR="00EE12D2" w:rsidRPr="004362B1" w:rsidRDefault="00EE12D2" w:rsidP="004362B1">
            <w:pPr>
              <w:spacing w:before="40" w:after="40"/>
              <w:jc w:val="center"/>
              <w:rPr>
                <w:sz w:val="22"/>
                <w:lang w:val="en-US"/>
              </w:rPr>
            </w:pPr>
          </w:p>
        </w:tc>
        <w:tc>
          <w:tcPr>
            <w:tcW w:w="1796" w:type="dxa"/>
            <w:gridSpan w:val="2"/>
            <w:tcBorders>
              <w:left w:val="nil"/>
              <w:bottom w:val="nil"/>
            </w:tcBorders>
            <w:shd w:val="clear" w:color="auto" w:fill="auto"/>
          </w:tcPr>
          <w:p w:rsidR="00EE12D2" w:rsidRPr="004362B1" w:rsidRDefault="00EE12D2" w:rsidP="004362B1">
            <w:pPr>
              <w:spacing w:before="40" w:after="40"/>
              <w:jc w:val="center"/>
              <w:rPr>
                <w:sz w:val="22"/>
                <w:lang w:val="en-US"/>
              </w:rPr>
            </w:pPr>
          </w:p>
        </w:tc>
        <w:tc>
          <w:tcPr>
            <w:tcW w:w="1445" w:type="dxa"/>
            <w:tcBorders>
              <w:left w:val="nil"/>
              <w:bottom w:val="nil"/>
              <w:right w:val="nil"/>
            </w:tcBorders>
          </w:tcPr>
          <w:p w:rsidR="00EE12D2" w:rsidRPr="004362B1" w:rsidRDefault="00EE12D2" w:rsidP="004362B1">
            <w:pPr>
              <w:spacing w:before="40" w:after="40"/>
              <w:jc w:val="center"/>
              <w:rPr>
                <w:sz w:val="22"/>
                <w:lang w:val="en-US"/>
              </w:rPr>
            </w:pPr>
          </w:p>
        </w:tc>
        <w:tc>
          <w:tcPr>
            <w:tcW w:w="1673" w:type="dxa"/>
            <w:gridSpan w:val="2"/>
            <w:tcBorders>
              <w:left w:val="nil"/>
              <w:bottom w:val="nil"/>
            </w:tcBorders>
          </w:tcPr>
          <w:p w:rsidR="00EE12D2" w:rsidRPr="004362B1" w:rsidRDefault="00EE12D2" w:rsidP="004362B1">
            <w:pPr>
              <w:spacing w:before="40" w:after="40"/>
              <w:jc w:val="center"/>
              <w:rPr>
                <w:sz w:val="22"/>
                <w:lang w:val="en-US"/>
              </w:rPr>
            </w:pP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No. (%) of patients with event</w:t>
            </w:r>
          </w:p>
        </w:tc>
        <w:tc>
          <w:tcPr>
            <w:tcW w:w="1323" w:type="dxa"/>
            <w:tcBorders>
              <w:top w:val="nil"/>
              <w:bottom w:val="nil"/>
              <w:right w:val="nil"/>
            </w:tcBorders>
            <w:shd w:val="clear" w:color="auto" w:fill="auto"/>
          </w:tcPr>
          <w:p w:rsidR="00EE12D2" w:rsidRPr="004362B1" w:rsidRDefault="0057203C" w:rsidP="00581C0E">
            <w:pPr>
              <w:spacing w:before="40" w:after="40"/>
              <w:jc w:val="center"/>
              <w:rPr>
                <w:sz w:val="22"/>
                <w:lang w:val="en-US"/>
              </w:rPr>
            </w:pPr>
            <w:r>
              <w:rPr>
                <w:sz w:val="22"/>
                <w:lang w:val="en-US"/>
              </w:rPr>
              <w:t>65</w:t>
            </w:r>
            <w:r w:rsidR="00EE12D2" w:rsidRPr="004362B1">
              <w:rPr>
                <w:sz w:val="22"/>
                <w:lang w:val="en-US"/>
              </w:rPr>
              <w:t xml:space="preserve"> (</w:t>
            </w:r>
            <w:r w:rsidR="00581C0E">
              <w:rPr>
                <w:sz w:val="22"/>
                <w:lang w:val="en-US"/>
              </w:rPr>
              <w:t>55.1</w:t>
            </w:r>
            <w:r w:rsidR="00EE12D2" w:rsidRPr="004362B1">
              <w:rPr>
                <w:sz w:val="22"/>
                <w:lang w:val="en-US"/>
              </w:rPr>
              <w:t>%)</w:t>
            </w:r>
          </w:p>
        </w:tc>
        <w:tc>
          <w:tcPr>
            <w:tcW w:w="1796" w:type="dxa"/>
            <w:gridSpan w:val="2"/>
            <w:tcBorders>
              <w:top w:val="nil"/>
              <w:left w:val="nil"/>
              <w:bottom w:val="nil"/>
            </w:tcBorders>
            <w:shd w:val="clear" w:color="auto" w:fill="auto"/>
          </w:tcPr>
          <w:p w:rsidR="00EE12D2" w:rsidRPr="004362B1" w:rsidRDefault="0057203C" w:rsidP="00581C0E">
            <w:pPr>
              <w:spacing w:before="40" w:after="40"/>
              <w:jc w:val="center"/>
              <w:rPr>
                <w:sz w:val="22"/>
                <w:lang w:val="en-US"/>
              </w:rPr>
            </w:pPr>
            <w:r>
              <w:rPr>
                <w:sz w:val="22"/>
                <w:lang w:val="en-US"/>
              </w:rPr>
              <w:t>51</w:t>
            </w:r>
            <w:r w:rsidR="00EE12D2" w:rsidRPr="004362B1">
              <w:rPr>
                <w:sz w:val="22"/>
                <w:lang w:val="en-US"/>
              </w:rPr>
              <w:t xml:space="preserve"> (</w:t>
            </w:r>
            <w:r w:rsidR="00581C0E">
              <w:rPr>
                <w:sz w:val="22"/>
                <w:lang w:val="en-US"/>
              </w:rPr>
              <w:t>21.4</w:t>
            </w:r>
            <w:r w:rsidR="00EE12D2" w:rsidRPr="004362B1">
              <w:rPr>
                <w:sz w:val="22"/>
                <w:lang w:val="en-US"/>
              </w:rPr>
              <w:t>%)</w:t>
            </w:r>
          </w:p>
        </w:tc>
        <w:tc>
          <w:tcPr>
            <w:tcW w:w="1445" w:type="dxa"/>
            <w:tcBorders>
              <w:top w:val="nil"/>
              <w:left w:val="nil"/>
              <w:bottom w:val="nil"/>
              <w:right w:val="nil"/>
            </w:tcBorders>
          </w:tcPr>
          <w:p w:rsidR="00EE12D2" w:rsidRPr="004362B1" w:rsidRDefault="00300D74" w:rsidP="004362B1">
            <w:pPr>
              <w:spacing w:before="40" w:after="40"/>
              <w:jc w:val="center"/>
              <w:rPr>
                <w:sz w:val="22"/>
                <w:lang w:val="en-US"/>
              </w:rPr>
            </w:pPr>
            <w:r>
              <w:rPr>
                <w:sz w:val="22"/>
                <w:lang w:val="en-US"/>
              </w:rPr>
              <w:t>86 (26.1%)</w:t>
            </w:r>
          </w:p>
        </w:tc>
        <w:tc>
          <w:tcPr>
            <w:tcW w:w="1673" w:type="dxa"/>
            <w:gridSpan w:val="2"/>
            <w:tcBorders>
              <w:top w:val="nil"/>
              <w:left w:val="nil"/>
              <w:bottom w:val="nil"/>
            </w:tcBorders>
          </w:tcPr>
          <w:p w:rsidR="00EE12D2" w:rsidRPr="004362B1" w:rsidRDefault="00300D74" w:rsidP="004362B1">
            <w:pPr>
              <w:spacing w:before="40" w:after="40"/>
              <w:jc w:val="center"/>
              <w:rPr>
                <w:sz w:val="22"/>
                <w:lang w:val="en-US"/>
              </w:rPr>
            </w:pPr>
            <w:r>
              <w:rPr>
                <w:sz w:val="22"/>
                <w:lang w:val="en-US"/>
              </w:rPr>
              <w:t>55 (16.5%)</w:t>
            </w:r>
          </w:p>
        </w:tc>
      </w:tr>
      <w:tr w:rsidR="00EE12D2" w:rsidRPr="004362B1" w:rsidTr="00300D74">
        <w:tc>
          <w:tcPr>
            <w:tcW w:w="3085" w:type="dxa"/>
            <w:tcBorders>
              <w:top w:val="nil"/>
              <w:bottom w:val="nil"/>
            </w:tcBorders>
            <w:shd w:val="clear" w:color="auto" w:fill="auto"/>
          </w:tcPr>
          <w:p w:rsidR="00EE12D2" w:rsidRPr="004362B1" w:rsidRDefault="00EE12D2" w:rsidP="00C601A7">
            <w:pPr>
              <w:spacing w:before="40" w:after="40"/>
              <w:jc w:val="left"/>
              <w:rPr>
                <w:sz w:val="22"/>
                <w:lang w:val="en-US"/>
              </w:rPr>
            </w:pPr>
            <w:r w:rsidRPr="004362B1">
              <w:rPr>
                <w:sz w:val="22"/>
                <w:lang w:val="en-US"/>
              </w:rPr>
              <w:t xml:space="preserve">Median </w:t>
            </w:r>
            <w:r w:rsidR="00C601A7">
              <w:rPr>
                <w:sz w:val="22"/>
                <w:lang w:val="en-US"/>
              </w:rPr>
              <w:t>time to</w:t>
            </w:r>
            <w:r w:rsidRPr="004362B1">
              <w:rPr>
                <w:sz w:val="22"/>
                <w:lang w:val="en-US"/>
              </w:rPr>
              <w:t xml:space="preserve"> event (months)</w:t>
            </w:r>
          </w:p>
        </w:tc>
        <w:tc>
          <w:tcPr>
            <w:tcW w:w="1323" w:type="dxa"/>
            <w:tcBorders>
              <w:top w:val="nil"/>
              <w:bottom w:val="nil"/>
              <w:right w:val="nil"/>
            </w:tcBorders>
            <w:shd w:val="clear" w:color="auto" w:fill="auto"/>
          </w:tcPr>
          <w:p w:rsidR="00EE12D2" w:rsidRPr="004362B1" w:rsidRDefault="00EE12D2" w:rsidP="004362B1">
            <w:pPr>
              <w:spacing w:before="40" w:after="40"/>
              <w:jc w:val="center"/>
              <w:rPr>
                <w:sz w:val="22"/>
                <w:lang w:val="en-US"/>
              </w:rPr>
            </w:pPr>
            <w:r w:rsidRPr="004362B1">
              <w:rPr>
                <w:sz w:val="22"/>
                <w:lang w:val="en-US"/>
              </w:rPr>
              <w:t>14.8</w:t>
            </w:r>
          </w:p>
        </w:tc>
        <w:tc>
          <w:tcPr>
            <w:tcW w:w="1796" w:type="dxa"/>
            <w:gridSpan w:val="2"/>
            <w:tcBorders>
              <w:top w:val="nil"/>
              <w:left w:val="nil"/>
              <w:bottom w:val="nil"/>
            </w:tcBorders>
            <w:shd w:val="clear" w:color="auto" w:fill="auto"/>
          </w:tcPr>
          <w:p w:rsidR="00EE12D2" w:rsidRPr="004362B1" w:rsidRDefault="00EE12D2" w:rsidP="004362B1">
            <w:pPr>
              <w:spacing w:before="40" w:after="40"/>
              <w:jc w:val="center"/>
              <w:rPr>
                <w:sz w:val="22"/>
                <w:lang w:val="en-US"/>
              </w:rPr>
            </w:pPr>
            <w:r w:rsidRPr="004362B1">
              <w:rPr>
                <w:sz w:val="22"/>
                <w:lang w:val="en-US"/>
              </w:rPr>
              <w:t>-</w:t>
            </w:r>
          </w:p>
        </w:tc>
        <w:tc>
          <w:tcPr>
            <w:tcW w:w="1445" w:type="dxa"/>
            <w:tcBorders>
              <w:top w:val="nil"/>
              <w:left w:val="nil"/>
              <w:bottom w:val="nil"/>
              <w:right w:val="nil"/>
            </w:tcBorders>
          </w:tcPr>
          <w:p w:rsidR="00EE12D2" w:rsidRPr="004362B1" w:rsidRDefault="00300D74" w:rsidP="004362B1">
            <w:pPr>
              <w:spacing w:before="40" w:after="40"/>
              <w:jc w:val="center"/>
              <w:rPr>
                <w:sz w:val="22"/>
                <w:lang w:val="en-US"/>
              </w:rPr>
            </w:pPr>
            <w:r>
              <w:rPr>
                <w:sz w:val="22"/>
                <w:lang w:val="en-US"/>
              </w:rPr>
              <w:t>30.8</w:t>
            </w:r>
          </w:p>
        </w:tc>
        <w:tc>
          <w:tcPr>
            <w:tcW w:w="1673" w:type="dxa"/>
            <w:gridSpan w:val="2"/>
            <w:tcBorders>
              <w:top w:val="nil"/>
              <w:left w:val="nil"/>
              <w:bottom w:val="nil"/>
            </w:tcBorders>
          </w:tcPr>
          <w:p w:rsidR="00EE12D2" w:rsidRPr="004362B1" w:rsidRDefault="00300D74" w:rsidP="004362B1">
            <w:pPr>
              <w:spacing w:before="40" w:after="40"/>
              <w:jc w:val="center"/>
              <w:rPr>
                <w:sz w:val="22"/>
                <w:lang w:val="en-US"/>
              </w:rPr>
            </w:pPr>
            <w:r>
              <w:rPr>
                <w:sz w:val="22"/>
                <w:lang w:val="en-US"/>
              </w:rPr>
              <w:t>-</w:t>
            </w:r>
          </w:p>
        </w:tc>
      </w:tr>
      <w:tr w:rsidR="00300D74" w:rsidRPr="004362B1" w:rsidTr="00300D74">
        <w:tc>
          <w:tcPr>
            <w:tcW w:w="3085" w:type="dxa"/>
            <w:tcBorders>
              <w:top w:val="nil"/>
              <w:bottom w:val="nil"/>
            </w:tcBorders>
            <w:shd w:val="clear" w:color="auto" w:fill="auto"/>
          </w:tcPr>
          <w:p w:rsidR="00300D74" w:rsidRPr="004362B1" w:rsidRDefault="00300D74" w:rsidP="004362B1">
            <w:pPr>
              <w:spacing w:before="40" w:after="40"/>
              <w:jc w:val="left"/>
              <w:rPr>
                <w:sz w:val="22"/>
                <w:lang w:val="en-US"/>
              </w:rPr>
            </w:pPr>
            <w:r w:rsidRPr="004362B1">
              <w:rPr>
                <w:sz w:val="22"/>
                <w:lang w:val="en-US"/>
              </w:rPr>
              <w:t>HR (95% Cl)</w:t>
            </w:r>
          </w:p>
        </w:tc>
        <w:tc>
          <w:tcPr>
            <w:tcW w:w="3119" w:type="dxa"/>
            <w:gridSpan w:val="3"/>
            <w:tcBorders>
              <w:top w:val="nil"/>
              <w:bottom w:val="nil"/>
            </w:tcBorders>
            <w:shd w:val="clear" w:color="auto" w:fill="auto"/>
          </w:tcPr>
          <w:p w:rsidR="00300D74" w:rsidRPr="004362B1" w:rsidRDefault="00300D74" w:rsidP="00581C0E">
            <w:pPr>
              <w:spacing w:before="40" w:after="40"/>
              <w:jc w:val="center"/>
              <w:rPr>
                <w:sz w:val="22"/>
                <w:lang w:val="en-US"/>
              </w:rPr>
            </w:pPr>
            <w:r w:rsidRPr="004362B1">
              <w:rPr>
                <w:sz w:val="22"/>
                <w:lang w:val="en-US"/>
              </w:rPr>
              <w:t>0.2</w:t>
            </w:r>
            <w:r w:rsidR="0057203C">
              <w:rPr>
                <w:sz w:val="22"/>
                <w:lang w:val="en-US"/>
              </w:rPr>
              <w:t>4</w:t>
            </w:r>
            <w:r w:rsidRPr="004362B1">
              <w:rPr>
                <w:sz w:val="22"/>
                <w:lang w:val="en-US"/>
              </w:rPr>
              <w:t xml:space="preserve"> [0.16; 0.</w:t>
            </w:r>
            <w:r w:rsidR="0057203C">
              <w:rPr>
                <w:sz w:val="22"/>
                <w:lang w:val="en-US"/>
              </w:rPr>
              <w:t>35</w:t>
            </w:r>
            <w:r w:rsidRPr="004362B1">
              <w:rPr>
                <w:sz w:val="22"/>
                <w:lang w:val="en-US"/>
              </w:rPr>
              <w:t>]</w:t>
            </w:r>
          </w:p>
        </w:tc>
        <w:tc>
          <w:tcPr>
            <w:tcW w:w="3118" w:type="dxa"/>
            <w:gridSpan w:val="3"/>
            <w:tcBorders>
              <w:top w:val="nil"/>
              <w:bottom w:val="nil"/>
            </w:tcBorders>
          </w:tcPr>
          <w:p w:rsidR="00300D74" w:rsidRPr="004362B1" w:rsidRDefault="00300D74" w:rsidP="004362B1">
            <w:pPr>
              <w:spacing w:before="40" w:after="40"/>
              <w:jc w:val="center"/>
              <w:rPr>
                <w:sz w:val="22"/>
                <w:lang w:val="en-US"/>
              </w:rPr>
            </w:pPr>
            <w:r>
              <w:rPr>
                <w:sz w:val="22"/>
                <w:lang w:val="en-US"/>
              </w:rPr>
              <w:t>0.59 [0.42; 0.82]</w:t>
            </w:r>
          </w:p>
        </w:tc>
      </w:tr>
      <w:tr w:rsidR="00300D74" w:rsidRPr="004362B1" w:rsidTr="009174B2">
        <w:tc>
          <w:tcPr>
            <w:tcW w:w="3085" w:type="dxa"/>
            <w:tcBorders>
              <w:top w:val="nil"/>
              <w:bottom w:val="single" w:sz="4" w:space="0" w:color="auto"/>
            </w:tcBorders>
            <w:shd w:val="clear" w:color="auto" w:fill="auto"/>
          </w:tcPr>
          <w:p w:rsidR="00300D74" w:rsidRPr="004362B1" w:rsidRDefault="00300D74" w:rsidP="004362B1">
            <w:pPr>
              <w:spacing w:before="40" w:after="40"/>
              <w:jc w:val="left"/>
              <w:rPr>
                <w:sz w:val="22"/>
                <w:lang w:val="en-US"/>
              </w:rPr>
            </w:pPr>
            <w:r w:rsidRPr="004362B1">
              <w:rPr>
                <w:sz w:val="22"/>
                <w:lang w:val="en-US"/>
              </w:rPr>
              <w:t>p-value (Log-Rank test, stratified</w:t>
            </w:r>
            <w:r w:rsidRPr="004362B1">
              <w:rPr>
                <w:sz w:val="22"/>
                <w:vertAlign w:val="superscript"/>
                <w:lang w:val="en-US"/>
              </w:rPr>
              <w:t>†</w:t>
            </w:r>
            <w:r w:rsidRPr="004362B1">
              <w:rPr>
                <w:sz w:val="22"/>
                <w:lang w:val="en-US"/>
              </w:rPr>
              <w:t>)</w:t>
            </w:r>
          </w:p>
        </w:tc>
        <w:tc>
          <w:tcPr>
            <w:tcW w:w="3119" w:type="dxa"/>
            <w:gridSpan w:val="3"/>
            <w:tcBorders>
              <w:top w:val="nil"/>
              <w:bottom w:val="single" w:sz="4" w:space="0" w:color="auto"/>
            </w:tcBorders>
            <w:shd w:val="clear" w:color="auto" w:fill="auto"/>
          </w:tcPr>
          <w:p w:rsidR="00300D74" w:rsidRPr="004362B1" w:rsidRDefault="00300D74" w:rsidP="004362B1">
            <w:pPr>
              <w:spacing w:before="40" w:after="40"/>
              <w:jc w:val="center"/>
              <w:rPr>
                <w:sz w:val="22"/>
                <w:lang w:val="en-US"/>
              </w:rPr>
            </w:pPr>
            <w:r w:rsidRPr="004362B1">
              <w:rPr>
                <w:sz w:val="22"/>
                <w:lang w:val="en-US"/>
              </w:rPr>
              <w:t>&lt;0.0001</w:t>
            </w:r>
          </w:p>
        </w:tc>
        <w:tc>
          <w:tcPr>
            <w:tcW w:w="3118" w:type="dxa"/>
            <w:gridSpan w:val="3"/>
            <w:tcBorders>
              <w:top w:val="nil"/>
              <w:bottom w:val="single" w:sz="4" w:space="0" w:color="auto"/>
            </w:tcBorders>
          </w:tcPr>
          <w:p w:rsidR="00300D74" w:rsidRPr="004362B1" w:rsidRDefault="009174B2" w:rsidP="004362B1">
            <w:pPr>
              <w:spacing w:before="40" w:after="40"/>
              <w:jc w:val="center"/>
              <w:rPr>
                <w:sz w:val="22"/>
                <w:lang w:val="en-US"/>
              </w:rPr>
            </w:pPr>
            <w:r>
              <w:rPr>
                <w:sz w:val="22"/>
                <w:lang w:val="en-US"/>
              </w:rPr>
              <w:t>&lt; 0.0018</w:t>
            </w:r>
          </w:p>
        </w:tc>
      </w:tr>
      <w:tr w:rsidR="009174B2" w:rsidRPr="004362B1" w:rsidTr="009174B2">
        <w:tc>
          <w:tcPr>
            <w:tcW w:w="3085" w:type="dxa"/>
            <w:tcBorders>
              <w:top w:val="single" w:sz="4" w:space="0" w:color="auto"/>
              <w:bottom w:val="nil"/>
            </w:tcBorders>
            <w:shd w:val="clear" w:color="auto" w:fill="auto"/>
          </w:tcPr>
          <w:p w:rsidR="009174B2" w:rsidRPr="004362B1" w:rsidRDefault="009174B2" w:rsidP="004362B1">
            <w:pPr>
              <w:spacing w:before="40" w:after="40"/>
              <w:jc w:val="left"/>
              <w:rPr>
                <w:sz w:val="22"/>
                <w:lang w:val="en-US"/>
              </w:rPr>
            </w:pPr>
            <w:r>
              <w:rPr>
                <w:b/>
                <w:i/>
                <w:sz w:val="22"/>
                <w:lang w:val="en-US"/>
              </w:rPr>
              <w:t>Overall Survival</w:t>
            </w:r>
          </w:p>
        </w:tc>
        <w:tc>
          <w:tcPr>
            <w:tcW w:w="1559" w:type="dxa"/>
            <w:gridSpan w:val="2"/>
            <w:tcBorders>
              <w:top w:val="single" w:sz="4" w:space="0" w:color="auto"/>
              <w:bottom w:val="nil"/>
              <w:right w:val="nil"/>
            </w:tcBorders>
            <w:shd w:val="clear" w:color="auto" w:fill="auto"/>
          </w:tcPr>
          <w:p w:rsidR="009174B2" w:rsidRPr="004362B1" w:rsidRDefault="009174B2" w:rsidP="004362B1">
            <w:pPr>
              <w:spacing w:before="40" w:after="40"/>
              <w:jc w:val="center"/>
              <w:rPr>
                <w:sz w:val="22"/>
                <w:lang w:val="en-US"/>
              </w:rPr>
            </w:pPr>
          </w:p>
        </w:tc>
        <w:tc>
          <w:tcPr>
            <w:tcW w:w="1560" w:type="dxa"/>
            <w:tcBorders>
              <w:top w:val="single" w:sz="4" w:space="0" w:color="auto"/>
              <w:left w:val="nil"/>
              <w:bottom w:val="nil"/>
            </w:tcBorders>
            <w:shd w:val="clear" w:color="auto" w:fill="auto"/>
          </w:tcPr>
          <w:p w:rsidR="009174B2" w:rsidRPr="004362B1" w:rsidRDefault="009174B2" w:rsidP="004362B1">
            <w:pPr>
              <w:spacing w:before="40" w:after="40"/>
              <w:jc w:val="center"/>
              <w:rPr>
                <w:sz w:val="22"/>
                <w:lang w:val="en-US"/>
              </w:rPr>
            </w:pPr>
          </w:p>
        </w:tc>
        <w:tc>
          <w:tcPr>
            <w:tcW w:w="1559" w:type="dxa"/>
            <w:gridSpan w:val="2"/>
            <w:tcBorders>
              <w:top w:val="single" w:sz="4" w:space="0" w:color="auto"/>
              <w:bottom w:val="nil"/>
              <w:right w:val="nil"/>
            </w:tcBorders>
          </w:tcPr>
          <w:p w:rsidR="009174B2" w:rsidRDefault="009174B2" w:rsidP="004362B1">
            <w:pPr>
              <w:spacing w:before="40" w:after="40"/>
              <w:jc w:val="center"/>
              <w:rPr>
                <w:sz w:val="22"/>
                <w:lang w:val="en-US"/>
              </w:rPr>
            </w:pPr>
          </w:p>
        </w:tc>
        <w:tc>
          <w:tcPr>
            <w:tcW w:w="1559" w:type="dxa"/>
            <w:tcBorders>
              <w:top w:val="single" w:sz="4" w:space="0" w:color="auto"/>
              <w:left w:val="nil"/>
              <w:bottom w:val="nil"/>
            </w:tcBorders>
          </w:tcPr>
          <w:p w:rsidR="009174B2" w:rsidRDefault="009174B2" w:rsidP="004362B1">
            <w:pPr>
              <w:spacing w:before="40" w:after="40"/>
              <w:jc w:val="center"/>
              <w:rPr>
                <w:sz w:val="22"/>
                <w:lang w:val="en-US"/>
              </w:rPr>
            </w:pPr>
          </w:p>
        </w:tc>
      </w:tr>
      <w:tr w:rsidR="009174B2" w:rsidRPr="004362B1" w:rsidTr="009174B2">
        <w:tc>
          <w:tcPr>
            <w:tcW w:w="3085" w:type="dxa"/>
            <w:tcBorders>
              <w:top w:val="nil"/>
              <w:bottom w:val="nil"/>
            </w:tcBorders>
            <w:shd w:val="clear" w:color="auto" w:fill="auto"/>
          </w:tcPr>
          <w:p w:rsidR="009174B2" w:rsidRPr="004362B1" w:rsidRDefault="009174B2" w:rsidP="004362B1">
            <w:pPr>
              <w:spacing w:before="40" w:after="40"/>
              <w:jc w:val="left"/>
              <w:rPr>
                <w:sz w:val="22"/>
                <w:lang w:val="en-US"/>
              </w:rPr>
            </w:pPr>
            <w:r w:rsidRPr="004362B1">
              <w:rPr>
                <w:sz w:val="22"/>
                <w:lang w:val="en-US"/>
              </w:rPr>
              <w:t>No. (%) of patients with event</w:t>
            </w:r>
          </w:p>
        </w:tc>
        <w:tc>
          <w:tcPr>
            <w:tcW w:w="1559" w:type="dxa"/>
            <w:gridSpan w:val="2"/>
            <w:tcBorders>
              <w:top w:val="nil"/>
              <w:bottom w:val="nil"/>
              <w:right w:val="nil"/>
            </w:tcBorders>
            <w:shd w:val="clear" w:color="auto" w:fill="auto"/>
          </w:tcPr>
          <w:p w:rsidR="009174B2" w:rsidRPr="004362B1" w:rsidRDefault="009174B2" w:rsidP="004362B1">
            <w:pPr>
              <w:spacing w:before="40" w:after="40"/>
              <w:jc w:val="center"/>
              <w:rPr>
                <w:sz w:val="22"/>
                <w:lang w:val="en-US"/>
              </w:rPr>
            </w:pPr>
            <w:r>
              <w:rPr>
                <w:sz w:val="22"/>
                <w:lang w:val="en-US"/>
              </w:rPr>
              <w:t>24 (20.3%)</w:t>
            </w:r>
          </w:p>
        </w:tc>
        <w:tc>
          <w:tcPr>
            <w:tcW w:w="1560" w:type="dxa"/>
            <w:tcBorders>
              <w:top w:val="nil"/>
              <w:left w:val="nil"/>
              <w:bottom w:val="nil"/>
            </w:tcBorders>
            <w:shd w:val="clear" w:color="auto" w:fill="auto"/>
          </w:tcPr>
          <w:p w:rsidR="009174B2" w:rsidRPr="004362B1" w:rsidRDefault="009174B2" w:rsidP="004362B1">
            <w:pPr>
              <w:spacing w:before="40" w:after="40"/>
              <w:jc w:val="center"/>
              <w:rPr>
                <w:sz w:val="22"/>
                <w:lang w:val="en-US"/>
              </w:rPr>
            </w:pPr>
            <w:r>
              <w:rPr>
                <w:sz w:val="22"/>
                <w:lang w:val="en-US"/>
              </w:rPr>
              <w:t>22 (9.2%)</w:t>
            </w:r>
          </w:p>
        </w:tc>
        <w:tc>
          <w:tcPr>
            <w:tcW w:w="1559" w:type="dxa"/>
            <w:gridSpan w:val="2"/>
            <w:tcBorders>
              <w:top w:val="nil"/>
              <w:bottom w:val="nil"/>
              <w:right w:val="nil"/>
            </w:tcBorders>
          </w:tcPr>
          <w:p w:rsidR="009174B2" w:rsidRDefault="009174B2" w:rsidP="004362B1">
            <w:pPr>
              <w:spacing w:before="40" w:after="40"/>
              <w:jc w:val="center"/>
              <w:rPr>
                <w:sz w:val="22"/>
                <w:lang w:val="en-US"/>
              </w:rPr>
            </w:pPr>
            <w:r>
              <w:rPr>
                <w:sz w:val="22"/>
                <w:lang w:val="en-US"/>
              </w:rPr>
              <w:t>41 (12.4%)</w:t>
            </w:r>
          </w:p>
        </w:tc>
        <w:tc>
          <w:tcPr>
            <w:tcW w:w="1559" w:type="dxa"/>
            <w:tcBorders>
              <w:top w:val="nil"/>
              <w:left w:val="nil"/>
              <w:bottom w:val="nil"/>
            </w:tcBorders>
          </w:tcPr>
          <w:p w:rsidR="009174B2" w:rsidRDefault="009174B2" w:rsidP="004362B1">
            <w:pPr>
              <w:spacing w:before="40" w:after="40"/>
              <w:jc w:val="center"/>
              <w:rPr>
                <w:sz w:val="22"/>
                <w:lang w:val="en-US"/>
              </w:rPr>
            </w:pPr>
            <w:r>
              <w:rPr>
                <w:sz w:val="22"/>
                <w:lang w:val="en-US"/>
              </w:rPr>
              <w:t>28 (8.4%)</w:t>
            </w:r>
          </w:p>
        </w:tc>
      </w:tr>
      <w:tr w:rsidR="009174B2" w:rsidRPr="004362B1" w:rsidTr="009174B2">
        <w:tc>
          <w:tcPr>
            <w:tcW w:w="3085" w:type="dxa"/>
            <w:tcBorders>
              <w:top w:val="nil"/>
              <w:bottom w:val="nil"/>
            </w:tcBorders>
            <w:shd w:val="clear" w:color="auto" w:fill="auto"/>
          </w:tcPr>
          <w:p w:rsidR="009174B2" w:rsidRPr="004362B1" w:rsidRDefault="009174B2" w:rsidP="009174B2">
            <w:pPr>
              <w:spacing w:before="40" w:after="40"/>
              <w:jc w:val="left"/>
              <w:rPr>
                <w:sz w:val="22"/>
                <w:lang w:val="en-US"/>
              </w:rPr>
            </w:pPr>
            <w:r w:rsidRPr="004362B1">
              <w:rPr>
                <w:sz w:val="22"/>
                <w:lang w:val="en-US"/>
              </w:rPr>
              <w:t xml:space="preserve">Median </w:t>
            </w:r>
            <w:r>
              <w:rPr>
                <w:sz w:val="22"/>
                <w:lang w:val="en-US"/>
              </w:rPr>
              <w:t>time to</w:t>
            </w:r>
            <w:r w:rsidRPr="004362B1">
              <w:rPr>
                <w:sz w:val="22"/>
                <w:lang w:val="en-US"/>
              </w:rPr>
              <w:t xml:space="preserve"> event (months)</w:t>
            </w:r>
          </w:p>
        </w:tc>
        <w:tc>
          <w:tcPr>
            <w:tcW w:w="1559" w:type="dxa"/>
            <w:gridSpan w:val="2"/>
            <w:tcBorders>
              <w:top w:val="nil"/>
              <w:bottom w:val="nil"/>
              <w:right w:val="nil"/>
            </w:tcBorders>
            <w:shd w:val="clear" w:color="auto" w:fill="auto"/>
          </w:tcPr>
          <w:p w:rsidR="009174B2" w:rsidRPr="004362B1" w:rsidRDefault="009174B2" w:rsidP="004362B1">
            <w:pPr>
              <w:spacing w:before="40" w:after="40"/>
              <w:jc w:val="center"/>
              <w:rPr>
                <w:sz w:val="22"/>
                <w:lang w:val="en-US"/>
              </w:rPr>
            </w:pPr>
            <w:r>
              <w:rPr>
                <w:sz w:val="22"/>
                <w:lang w:val="en-US"/>
              </w:rPr>
              <w:t>NR</w:t>
            </w:r>
          </w:p>
        </w:tc>
        <w:tc>
          <w:tcPr>
            <w:tcW w:w="1560" w:type="dxa"/>
            <w:tcBorders>
              <w:top w:val="nil"/>
              <w:left w:val="nil"/>
              <w:bottom w:val="nil"/>
            </w:tcBorders>
            <w:shd w:val="clear" w:color="auto" w:fill="auto"/>
          </w:tcPr>
          <w:p w:rsidR="009174B2" w:rsidRPr="004362B1" w:rsidRDefault="009174B2" w:rsidP="004362B1">
            <w:pPr>
              <w:spacing w:before="40" w:after="40"/>
              <w:jc w:val="center"/>
              <w:rPr>
                <w:sz w:val="22"/>
                <w:lang w:val="en-US"/>
              </w:rPr>
            </w:pPr>
            <w:r>
              <w:rPr>
                <w:sz w:val="22"/>
                <w:lang w:val="en-US"/>
              </w:rPr>
              <w:t>NR</w:t>
            </w:r>
          </w:p>
        </w:tc>
        <w:tc>
          <w:tcPr>
            <w:tcW w:w="1559" w:type="dxa"/>
            <w:gridSpan w:val="2"/>
            <w:tcBorders>
              <w:top w:val="nil"/>
              <w:bottom w:val="nil"/>
              <w:right w:val="nil"/>
            </w:tcBorders>
          </w:tcPr>
          <w:p w:rsidR="009174B2" w:rsidRDefault="009174B2" w:rsidP="004362B1">
            <w:pPr>
              <w:spacing w:before="40" w:after="40"/>
              <w:jc w:val="center"/>
              <w:rPr>
                <w:sz w:val="22"/>
                <w:lang w:val="en-US"/>
              </w:rPr>
            </w:pPr>
            <w:r>
              <w:rPr>
                <w:sz w:val="22"/>
                <w:lang w:val="en-US"/>
              </w:rPr>
              <w:t>NR**</w:t>
            </w:r>
          </w:p>
        </w:tc>
        <w:tc>
          <w:tcPr>
            <w:tcW w:w="1559" w:type="dxa"/>
            <w:tcBorders>
              <w:top w:val="nil"/>
              <w:left w:val="nil"/>
              <w:bottom w:val="nil"/>
            </w:tcBorders>
          </w:tcPr>
          <w:p w:rsidR="009174B2" w:rsidRDefault="009174B2" w:rsidP="004362B1">
            <w:pPr>
              <w:spacing w:before="40" w:after="40"/>
              <w:jc w:val="center"/>
              <w:rPr>
                <w:sz w:val="22"/>
                <w:lang w:val="en-US"/>
              </w:rPr>
            </w:pPr>
            <w:r>
              <w:rPr>
                <w:sz w:val="22"/>
                <w:lang w:val="en-US"/>
              </w:rPr>
              <w:t>NR**</w:t>
            </w:r>
          </w:p>
        </w:tc>
      </w:tr>
      <w:tr w:rsidR="009174B2" w:rsidRPr="004362B1" w:rsidTr="009174B2">
        <w:tc>
          <w:tcPr>
            <w:tcW w:w="3085" w:type="dxa"/>
            <w:tcBorders>
              <w:top w:val="nil"/>
              <w:bottom w:val="nil"/>
            </w:tcBorders>
            <w:shd w:val="clear" w:color="auto" w:fill="auto"/>
          </w:tcPr>
          <w:p w:rsidR="009174B2" w:rsidRPr="004362B1" w:rsidRDefault="009174B2" w:rsidP="004362B1">
            <w:pPr>
              <w:spacing w:before="40" w:after="40"/>
              <w:jc w:val="left"/>
              <w:rPr>
                <w:sz w:val="22"/>
                <w:lang w:val="en-US"/>
              </w:rPr>
            </w:pPr>
            <w:r>
              <w:rPr>
                <w:sz w:val="22"/>
                <w:lang w:val="en-US"/>
              </w:rPr>
              <w:t>HR (95% Cl)</w:t>
            </w:r>
          </w:p>
        </w:tc>
        <w:tc>
          <w:tcPr>
            <w:tcW w:w="3119" w:type="dxa"/>
            <w:gridSpan w:val="3"/>
            <w:tcBorders>
              <w:top w:val="nil"/>
              <w:bottom w:val="nil"/>
            </w:tcBorders>
            <w:shd w:val="clear" w:color="auto" w:fill="auto"/>
          </w:tcPr>
          <w:p w:rsidR="009174B2" w:rsidRPr="004362B1" w:rsidRDefault="009174B2" w:rsidP="004362B1">
            <w:pPr>
              <w:spacing w:before="40" w:after="40"/>
              <w:jc w:val="center"/>
              <w:rPr>
                <w:sz w:val="22"/>
                <w:lang w:val="en-US"/>
              </w:rPr>
            </w:pPr>
            <w:r>
              <w:rPr>
                <w:sz w:val="22"/>
                <w:lang w:val="en-US"/>
              </w:rPr>
              <w:t>0.41 [0.23; 0.74]</w:t>
            </w:r>
          </w:p>
        </w:tc>
        <w:tc>
          <w:tcPr>
            <w:tcW w:w="3118" w:type="dxa"/>
            <w:gridSpan w:val="3"/>
            <w:tcBorders>
              <w:top w:val="nil"/>
              <w:bottom w:val="nil"/>
            </w:tcBorders>
          </w:tcPr>
          <w:p w:rsidR="009174B2" w:rsidRDefault="009174B2" w:rsidP="004362B1">
            <w:pPr>
              <w:spacing w:before="40" w:after="40"/>
              <w:jc w:val="center"/>
              <w:rPr>
                <w:sz w:val="22"/>
                <w:lang w:val="en-US"/>
              </w:rPr>
            </w:pPr>
            <w:r>
              <w:rPr>
                <w:sz w:val="22"/>
                <w:lang w:val="en-US"/>
              </w:rPr>
              <w:t>0.66 [0.41; 1.06]**</w:t>
            </w:r>
          </w:p>
        </w:tc>
      </w:tr>
      <w:tr w:rsidR="009174B2" w:rsidRPr="004362B1" w:rsidTr="00300D74">
        <w:tc>
          <w:tcPr>
            <w:tcW w:w="3085" w:type="dxa"/>
            <w:tcBorders>
              <w:top w:val="nil"/>
            </w:tcBorders>
            <w:shd w:val="clear" w:color="auto" w:fill="auto"/>
          </w:tcPr>
          <w:p w:rsidR="009174B2" w:rsidRPr="004362B1" w:rsidRDefault="009174B2" w:rsidP="004362B1">
            <w:pPr>
              <w:spacing w:before="40" w:after="40"/>
              <w:jc w:val="left"/>
              <w:rPr>
                <w:sz w:val="22"/>
                <w:lang w:val="en-US"/>
              </w:rPr>
            </w:pPr>
            <w:r>
              <w:rPr>
                <w:sz w:val="22"/>
                <w:lang w:val="en-US"/>
              </w:rPr>
              <w:t>p-value (Log-Rank test, stratified</w:t>
            </w:r>
            <w:r w:rsidRPr="004362B1">
              <w:rPr>
                <w:sz w:val="22"/>
                <w:vertAlign w:val="superscript"/>
                <w:lang w:val="en-US"/>
              </w:rPr>
              <w:t>†</w:t>
            </w:r>
            <w:r w:rsidRPr="004362B1">
              <w:rPr>
                <w:sz w:val="22"/>
                <w:lang w:val="en-US"/>
              </w:rPr>
              <w:t>)</w:t>
            </w:r>
          </w:p>
        </w:tc>
        <w:tc>
          <w:tcPr>
            <w:tcW w:w="3119" w:type="dxa"/>
            <w:gridSpan w:val="3"/>
            <w:tcBorders>
              <w:top w:val="nil"/>
            </w:tcBorders>
            <w:shd w:val="clear" w:color="auto" w:fill="auto"/>
          </w:tcPr>
          <w:p w:rsidR="009174B2" w:rsidRPr="004362B1" w:rsidRDefault="009174B2" w:rsidP="004362B1">
            <w:pPr>
              <w:spacing w:before="40" w:after="40"/>
              <w:jc w:val="center"/>
              <w:rPr>
                <w:sz w:val="22"/>
                <w:lang w:val="en-US"/>
              </w:rPr>
            </w:pPr>
            <w:r>
              <w:rPr>
                <w:sz w:val="22"/>
                <w:lang w:val="en-US"/>
              </w:rPr>
              <w:t>0.0022</w:t>
            </w:r>
          </w:p>
        </w:tc>
        <w:tc>
          <w:tcPr>
            <w:tcW w:w="3118" w:type="dxa"/>
            <w:gridSpan w:val="3"/>
            <w:tcBorders>
              <w:top w:val="nil"/>
            </w:tcBorders>
          </w:tcPr>
          <w:p w:rsidR="009174B2" w:rsidRDefault="009174B2" w:rsidP="004362B1">
            <w:pPr>
              <w:spacing w:before="40" w:after="40"/>
              <w:jc w:val="center"/>
              <w:rPr>
                <w:sz w:val="22"/>
                <w:lang w:val="en-US"/>
              </w:rPr>
            </w:pPr>
            <w:r>
              <w:rPr>
                <w:sz w:val="22"/>
                <w:lang w:val="en-US"/>
              </w:rPr>
              <w:t>0.08</w:t>
            </w:r>
            <w:r w:rsidR="0013423E">
              <w:rPr>
                <w:sz w:val="22"/>
                <w:lang w:val="en-US"/>
              </w:rPr>
              <w:t>49</w:t>
            </w:r>
            <w:r>
              <w:rPr>
                <w:sz w:val="22"/>
                <w:lang w:val="en-US"/>
              </w:rPr>
              <w:t>**</w:t>
            </w:r>
          </w:p>
        </w:tc>
      </w:tr>
    </w:tbl>
    <w:p w:rsidR="00AD7D41" w:rsidRPr="00F068A0" w:rsidRDefault="000B3114" w:rsidP="00D0271A">
      <w:pPr>
        <w:rPr>
          <w:sz w:val="20"/>
          <w:szCs w:val="20"/>
        </w:rPr>
      </w:pPr>
      <w:r w:rsidRPr="00F068A0">
        <w:rPr>
          <w:sz w:val="20"/>
          <w:szCs w:val="20"/>
        </w:rPr>
        <w:lastRenderedPageBreak/>
        <w:t xml:space="preserve">IRC: Independent Review Committee; </w:t>
      </w:r>
      <w:r w:rsidR="0071433F" w:rsidRPr="00F068A0">
        <w:rPr>
          <w:sz w:val="20"/>
          <w:szCs w:val="20"/>
        </w:rPr>
        <w:t>PFS: progression-free survival; HR: hazard ratio; CI: confidence intervals; MRD: minimal residual disease</w:t>
      </w:r>
      <w:r w:rsidR="009174B2" w:rsidRPr="00F068A0">
        <w:rPr>
          <w:sz w:val="20"/>
          <w:szCs w:val="20"/>
        </w:rPr>
        <w:t>; NR: not reached</w:t>
      </w:r>
    </w:p>
    <w:p w:rsidR="0071433F" w:rsidRPr="00F068A0" w:rsidRDefault="0071433F" w:rsidP="00D0271A">
      <w:pPr>
        <w:rPr>
          <w:sz w:val="20"/>
          <w:szCs w:val="20"/>
        </w:rPr>
      </w:pPr>
      <w:r w:rsidRPr="00F068A0">
        <w:rPr>
          <w:sz w:val="20"/>
          <w:szCs w:val="20"/>
        </w:rPr>
        <w:t>* Defined as the time from randomisation to the first occurrence of progression, relapse or death from any cause as assessed by the investigator</w:t>
      </w:r>
    </w:p>
    <w:p w:rsidR="009174B2" w:rsidRPr="00F068A0" w:rsidRDefault="009174B2" w:rsidP="00D0271A">
      <w:pPr>
        <w:rPr>
          <w:sz w:val="20"/>
          <w:szCs w:val="20"/>
        </w:rPr>
      </w:pPr>
      <w:r w:rsidRPr="00F068A0">
        <w:rPr>
          <w:sz w:val="20"/>
          <w:szCs w:val="20"/>
        </w:rPr>
        <w:t>** Data not yet mature</w:t>
      </w:r>
    </w:p>
    <w:p w:rsidR="0071433F" w:rsidRPr="00F068A0" w:rsidRDefault="0071433F" w:rsidP="00D0271A">
      <w:pPr>
        <w:rPr>
          <w:sz w:val="20"/>
          <w:szCs w:val="20"/>
          <w:lang w:val="en-US"/>
        </w:rPr>
      </w:pPr>
      <w:r w:rsidRPr="00F068A0">
        <w:rPr>
          <w:sz w:val="20"/>
          <w:szCs w:val="20"/>
          <w:lang w:val="en-US"/>
        </w:rPr>
        <w:t>† stratified by Binet stage at baseline</w:t>
      </w:r>
    </w:p>
    <w:p w:rsidR="0071433F" w:rsidRPr="00F068A0" w:rsidRDefault="0071433F" w:rsidP="00D0271A">
      <w:pPr>
        <w:rPr>
          <w:sz w:val="20"/>
          <w:szCs w:val="20"/>
          <w:lang w:val="en-US"/>
        </w:rPr>
      </w:pPr>
      <w:r w:rsidRPr="00F068A0">
        <w:rPr>
          <w:sz w:val="20"/>
          <w:szCs w:val="20"/>
          <w:lang w:val="en-US"/>
        </w:rPr>
        <w:t>‡ includes 11 patients in the GClb arm with a complete response with incomplete marrow recovery</w:t>
      </w:r>
    </w:p>
    <w:p w:rsidR="0071433F" w:rsidRPr="00F068A0" w:rsidRDefault="0071433F" w:rsidP="00D0271A">
      <w:pPr>
        <w:rPr>
          <w:sz w:val="20"/>
          <w:szCs w:val="20"/>
          <w:lang w:val="en-US"/>
        </w:rPr>
      </w:pPr>
      <w:r w:rsidRPr="00F068A0">
        <w:rPr>
          <w:sz w:val="20"/>
          <w:szCs w:val="20"/>
          <w:lang w:val="en-US"/>
        </w:rPr>
        <w:t>§ blood and bone marrow combined</w:t>
      </w:r>
    </w:p>
    <w:p w:rsidR="0071433F" w:rsidRPr="00F068A0" w:rsidRDefault="0071433F" w:rsidP="00D0271A">
      <w:pPr>
        <w:rPr>
          <w:sz w:val="20"/>
          <w:szCs w:val="20"/>
          <w:lang w:val="en-US"/>
        </w:rPr>
      </w:pPr>
      <w:r w:rsidRPr="00F068A0">
        <w:rPr>
          <w:sz w:val="20"/>
          <w:szCs w:val="20"/>
          <w:lang w:val="en-US"/>
        </w:rPr>
        <w:t xml:space="preserve">¶ </w:t>
      </w:r>
      <w:r w:rsidR="00DF2BC7" w:rsidRPr="00F068A0">
        <w:rPr>
          <w:sz w:val="20"/>
          <w:szCs w:val="20"/>
          <w:lang w:val="en-US"/>
        </w:rPr>
        <w:t>Minimal Residual Disease (</w:t>
      </w:r>
      <w:r w:rsidRPr="00F068A0">
        <w:rPr>
          <w:sz w:val="20"/>
          <w:szCs w:val="20"/>
          <w:lang w:val="en-US"/>
        </w:rPr>
        <w:t>MRD</w:t>
      </w:r>
      <w:r w:rsidR="00DF2BC7" w:rsidRPr="00F068A0">
        <w:rPr>
          <w:sz w:val="20"/>
          <w:szCs w:val="20"/>
          <w:lang w:val="en-US"/>
        </w:rPr>
        <w:t>)</w:t>
      </w:r>
      <w:r w:rsidRPr="00F068A0">
        <w:rPr>
          <w:sz w:val="20"/>
          <w:szCs w:val="20"/>
          <w:lang w:val="en-US"/>
        </w:rPr>
        <w:t xml:space="preserve"> negativity is defined as </w:t>
      </w:r>
      <w:r w:rsidR="00DF2BC7" w:rsidRPr="00F068A0">
        <w:rPr>
          <w:sz w:val="20"/>
          <w:szCs w:val="20"/>
          <w:lang w:val="en-US"/>
        </w:rPr>
        <w:t>&lt;1 CLL cell in 10,000 leucocytes</w:t>
      </w:r>
    </w:p>
    <w:p w:rsidR="009174B2" w:rsidRPr="00F068A0" w:rsidRDefault="0071433F" w:rsidP="00D0271A">
      <w:pPr>
        <w:rPr>
          <w:sz w:val="20"/>
          <w:szCs w:val="20"/>
          <w:lang w:val="en-US"/>
        </w:rPr>
      </w:pPr>
      <w:r w:rsidRPr="00F068A0">
        <w:rPr>
          <w:sz w:val="20"/>
          <w:szCs w:val="20"/>
          <w:lang w:val="en-US"/>
        </w:rPr>
        <w:t>\\ includes MRD positive patients and patients who progressed or died before the end of treatment</w:t>
      </w:r>
    </w:p>
    <w:p w:rsidR="00AD7D41" w:rsidRDefault="00AD7D41" w:rsidP="00D0271A"/>
    <w:p w:rsidR="0071433F" w:rsidRDefault="0071433F" w:rsidP="0071433F">
      <w:r>
        <w:t xml:space="preserve">Results of the PFS subgroup analysis (i.e. sex, age, Binet stages, CrCl, CIRS score, beta2-microglobulin, IGVH status, chromosomal abnormalities, lymphocyte count at baseline) were consistent with the results seen in the overall </w:t>
      </w:r>
      <w:r w:rsidR="003B356D">
        <w:t>ITT</w:t>
      </w:r>
      <w:r>
        <w:t xml:space="preserve"> population. The risk of disease progression or death was reduced in the </w:t>
      </w:r>
      <w:r w:rsidR="00771361">
        <w:t>Gazyva</w:t>
      </w:r>
      <w:r>
        <w:t xml:space="preserve"> plus chlorambucil </w:t>
      </w:r>
      <w:r w:rsidR="00A6330F">
        <w:t xml:space="preserve">(GClb) </w:t>
      </w:r>
      <w:r>
        <w:t xml:space="preserve">arm compared to the </w:t>
      </w:r>
      <w:r w:rsidR="00DF24DC">
        <w:t xml:space="preserve">rituximab plus chlorambucil </w:t>
      </w:r>
      <w:r w:rsidR="00A6330F">
        <w:t xml:space="preserve">(RClb) </w:t>
      </w:r>
      <w:r w:rsidR="00DF24DC">
        <w:t xml:space="preserve">arm and the </w:t>
      </w:r>
      <w:r>
        <w:t xml:space="preserve">chlorambucil </w:t>
      </w:r>
      <w:r w:rsidR="00A6330F">
        <w:t xml:space="preserve">(Clb) </w:t>
      </w:r>
      <w:r>
        <w:t>a</w:t>
      </w:r>
      <w:r w:rsidR="003B356D">
        <w:t>lone arm in all subgroups. The hazard r</w:t>
      </w:r>
      <w:r>
        <w:t>atios ranged from 0.0</w:t>
      </w:r>
      <w:r w:rsidR="00DF24DC">
        <w:t>8</w:t>
      </w:r>
      <w:r>
        <w:t xml:space="preserve"> to 0.42</w:t>
      </w:r>
      <w:r w:rsidR="00A6330F">
        <w:t xml:space="preserve"> for GClb vs Clb and 0.28 to 0.71 for</w:t>
      </w:r>
      <w:r w:rsidR="008E7C7B">
        <w:t xml:space="preserve"> GClb vs</w:t>
      </w:r>
      <w:r w:rsidR="00A6330F">
        <w:t xml:space="preserve"> RClb</w:t>
      </w:r>
      <w:r>
        <w:t>.</w:t>
      </w:r>
    </w:p>
    <w:p w:rsidR="0071433F" w:rsidRDefault="0071433F" w:rsidP="00D0271A"/>
    <w:p w:rsidR="00525B4D" w:rsidRPr="00525B4D" w:rsidRDefault="00525B4D" w:rsidP="00D0271A">
      <w:pPr>
        <w:rPr>
          <w:b/>
        </w:rPr>
      </w:pPr>
      <w:r w:rsidRPr="00525B4D">
        <w:rPr>
          <w:b/>
        </w:rPr>
        <w:t>Patient Reported Outcomes</w:t>
      </w:r>
    </w:p>
    <w:p w:rsidR="00525B4D" w:rsidRDefault="00525B4D" w:rsidP="00525B4D">
      <w:r>
        <w:t>In the QLQC30 and QLQ-CLL-16 questionnaires conducted during the treatment period, no substantial difference in any of the subscales was observed. Data during follow up, especially for the chlorambucil alone arm, is limited. However, no notable differences in quality of life during follow up have been identified to date.</w:t>
      </w:r>
    </w:p>
    <w:p w:rsidR="00525B4D" w:rsidRDefault="00525B4D" w:rsidP="00525B4D"/>
    <w:p w:rsidR="00525B4D" w:rsidRDefault="00525B4D" w:rsidP="00525B4D">
      <w:r>
        <w:t>Health-related quality of life assessments, specific to fatigue through treatment period, show no statistical</w:t>
      </w:r>
      <w:r w:rsidR="0013423E">
        <w:t>ly</w:t>
      </w:r>
      <w:r>
        <w:t xml:space="preserve"> </w:t>
      </w:r>
      <w:r w:rsidR="003C7179">
        <w:t xml:space="preserve">significant </w:t>
      </w:r>
      <w:r>
        <w:t xml:space="preserve">difference suggesting </w:t>
      </w:r>
      <w:r w:rsidR="0013423E">
        <w:t xml:space="preserve">that </w:t>
      </w:r>
      <w:r>
        <w:t xml:space="preserve">the addition of </w:t>
      </w:r>
      <w:r w:rsidR="00771361">
        <w:t>Gazyva</w:t>
      </w:r>
      <w:r>
        <w:t xml:space="preserve"> to chlorambucil regimen does not increase the experience of fatigue for patients.</w:t>
      </w:r>
    </w:p>
    <w:p w:rsidR="00771361" w:rsidRDefault="00771361" w:rsidP="00525B4D"/>
    <w:p w:rsidR="00525B4D" w:rsidRPr="00204D70" w:rsidRDefault="00525B4D" w:rsidP="00204D70">
      <w:pPr>
        <w:rPr>
          <w:b/>
        </w:rPr>
      </w:pPr>
      <w:r w:rsidRPr="00525B4D">
        <w:rPr>
          <w:b/>
        </w:rPr>
        <w:t>Figure 1 Kaplan-Meier curve of Investigator-assessed PFS</w:t>
      </w:r>
      <w:r w:rsidR="00A6330F">
        <w:rPr>
          <w:b/>
        </w:rPr>
        <w:t xml:space="preserve"> from Stage 1</w:t>
      </w:r>
    </w:p>
    <w:p w:rsidR="00525B4D" w:rsidRDefault="00AF4B3D" w:rsidP="00011A06">
      <w:pPr>
        <w:jc w:val="center"/>
      </w:pPr>
      <w:r>
        <w:rPr>
          <w:noProof/>
          <w:lang w:eastAsia="en-AU"/>
        </w:rPr>
        <w:drawing>
          <wp:inline distT="0" distB="0" distL="0" distR="0">
            <wp:extent cx="4305300" cy="31242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5300" cy="3124200"/>
                    </a:xfrm>
                    <a:prstGeom prst="rect">
                      <a:avLst/>
                    </a:prstGeom>
                    <a:noFill/>
                    <a:ln>
                      <a:noFill/>
                    </a:ln>
                  </pic:spPr>
                </pic:pic>
              </a:graphicData>
            </a:graphic>
          </wp:inline>
        </w:drawing>
      </w:r>
    </w:p>
    <w:p w:rsidR="00747F51" w:rsidRDefault="00747F51" w:rsidP="009C2282">
      <w:pPr>
        <w:rPr>
          <w:b/>
        </w:rPr>
      </w:pPr>
    </w:p>
    <w:p w:rsidR="00747F51" w:rsidRDefault="00747F51" w:rsidP="009C2282">
      <w:pPr>
        <w:rPr>
          <w:b/>
        </w:rPr>
      </w:pPr>
    </w:p>
    <w:p w:rsidR="00747F51" w:rsidRDefault="00747F51" w:rsidP="009C2282">
      <w:pPr>
        <w:rPr>
          <w:b/>
        </w:rPr>
      </w:pPr>
    </w:p>
    <w:p w:rsidR="00747F51" w:rsidRDefault="00747F51" w:rsidP="009C2282">
      <w:pPr>
        <w:rPr>
          <w:b/>
        </w:rPr>
      </w:pPr>
    </w:p>
    <w:p w:rsidR="00747F51" w:rsidRDefault="00747F51" w:rsidP="009C2282">
      <w:pPr>
        <w:rPr>
          <w:b/>
        </w:rPr>
      </w:pPr>
    </w:p>
    <w:p w:rsidR="00747F51" w:rsidRDefault="00747F51" w:rsidP="009C2282">
      <w:pPr>
        <w:rPr>
          <w:b/>
        </w:rPr>
      </w:pPr>
    </w:p>
    <w:p w:rsidR="00747F51" w:rsidRDefault="00747F51" w:rsidP="009C2282">
      <w:pPr>
        <w:rPr>
          <w:b/>
        </w:rPr>
      </w:pPr>
    </w:p>
    <w:p w:rsidR="00747F51" w:rsidRDefault="00747F51" w:rsidP="009C2282">
      <w:pPr>
        <w:rPr>
          <w:b/>
        </w:rPr>
      </w:pPr>
    </w:p>
    <w:p w:rsidR="00747F51" w:rsidRDefault="00747F51" w:rsidP="009C2282">
      <w:pPr>
        <w:rPr>
          <w:b/>
        </w:rPr>
      </w:pPr>
    </w:p>
    <w:p w:rsidR="00747F51" w:rsidRDefault="00747F51" w:rsidP="009C2282">
      <w:pPr>
        <w:rPr>
          <w:b/>
        </w:rPr>
      </w:pPr>
    </w:p>
    <w:p w:rsidR="00747F51" w:rsidRDefault="00747F51" w:rsidP="009C2282">
      <w:pPr>
        <w:rPr>
          <w:b/>
        </w:rPr>
      </w:pPr>
    </w:p>
    <w:p w:rsidR="00A6330F" w:rsidRDefault="00A6330F" w:rsidP="009C2282">
      <w:pPr>
        <w:rPr>
          <w:b/>
        </w:rPr>
      </w:pPr>
      <w:r w:rsidRPr="009C2282">
        <w:rPr>
          <w:b/>
        </w:rPr>
        <w:t xml:space="preserve">Figure </w:t>
      </w:r>
      <w:r w:rsidR="00EB7273">
        <w:rPr>
          <w:b/>
        </w:rPr>
        <w:t>2</w:t>
      </w:r>
      <w:r w:rsidRPr="009C2282">
        <w:rPr>
          <w:b/>
        </w:rPr>
        <w:t xml:space="preserve"> Kaplan-Meier curve of </w:t>
      </w:r>
      <w:r w:rsidR="00B97EDE">
        <w:rPr>
          <w:b/>
        </w:rPr>
        <w:t>Overall S</w:t>
      </w:r>
      <w:r>
        <w:rPr>
          <w:b/>
        </w:rPr>
        <w:t>urvival from Stage 1</w:t>
      </w:r>
    </w:p>
    <w:p w:rsidR="00A6330F" w:rsidRPr="00A6330F" w:rsidRDefault="00AF4B3D" w:rsidP="00A6330F">
      <w:pPr>
        <w:jc w:val="center"/>
      </w:pPr>
      <w:r>
        <w:rPr>
          <w:noProof/>
          <w:lang w:eastAsia="en-AU"/>
        </w:rPr>
        <w:drawing>
          <wp:anchor distT="0" distB="0" distL="114300" distR="114300" simplePos="0" relativeHeight="251658752" behindDoc="0" locked="0" layoutInCell="1" allowOverlap="1">
            <wp:simplePos x="0" y="0"/>
            <wp:positionH relativeFrom="character">
              <wp:posOffset>-242570</wp:posOffset>
            </wp:positionH>
            <wp:positionV relativeFrom="line">
              <wp:posOffset>0</wp:posOffset>
            </wp:positionV>
            <wp:extent cx="4481830" cy="3364230"/>
            <wp:effectExtent l="0" t="0" r="0" b="762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1830" cy="33642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inline distT="0" distB="0" distL="0" distR="0">
                <wp:extent cx="4238625" cy="318135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38625" cy="318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333.7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" filled="f" stroked="f">
                <o:lock v:ext="edit" aspectratio="t"/>
                <w10:anchorlock/>
              </v:rect>
            </w:pict>
          </mc:Fallback>
        </mc:AlternateContent>
      </w:r>
    </w:p>
    <w:p w:rsidR="00A6330F" w:rsidRPr="00A6330F" w:rsidRDefault="00A6330F" w:rsidP="009C2282"/>
    <w:p w:rsidR="00056D4C" w:rsidRDefault="00056D4C" w:rsidP="009C2282">
      <w:pPr>
        <w:rPr>
          <w:b/>
        </w:rPr>
      </w:pPr>
    </w:p>
    <w:p w:rsidR="00A6330F" w:rsidRDefault="00A6330F" w:rsidP="009C2282">
      <w:pPr>
        <w:rPr>
          <w:rFonts w:cs="Arial"/>
          <w:color w:val="000000"/>
          <w:lang w:eastAsia="ko-KR" w:bidi="he-IL"/>
        </w:rPr>
      </w:pPr>
      <w:r w:rsidRPr="009C2282">
        <w:rPr>
          <w:b/>
        </w:rPr>
        <w:t xml:space="preserve">Figure </w:t>
      </w:r>
      <w:r w:rsidR="00EB7273">
        <w:rPr>
          <w:b/>
        </w:rPr>
        <w:t>3</w:t>
      </w:r>
      <w:r w:rsidRPr="009C2282">
        <w:rPr>
          <w:b/>
        </w:rPr>
        <w:t xml:space="preserve"> Kaplan-Meier curve of </w:t>
      </w:r>
      <w:r w:rsidRPr="00525B4D">
        <w:rPr>
          <w:b/>
        </w:rPr>
        <w:t>Investigator-assessed PFS</w:t>
      </w:r>
      <w:r>
        <w:rPr>
          <w:b/>
        </w:rPr>
        <w:t xml:space="preserve"> from Stage 2</w:t>
      </w:r>
    </w:p>
    <w:p w:rsidR="00A6330F" w:rsidRDefault="00AF4B3D" w:rsidP="00A6330F">
      <w:pPr>
        <w:jc w:val="center"/>
        <w:rPr>
          <w:rFonts w:cs="Arial"/>
          <w:color w:val="000000"/>
          <w:lang w:eastAsia="ko-KR" w:bidi="he-IL"/>
        </w:rPr>
      </w:pPr>
      <w:r>
        <w:rPr>
          <w:rFonts w:cs="Arial"/>
          <w:noProof/>
          <w:color w:val="000000"/>
          <w:lang w:eastAsia="en-AU"/>
        </w:rPr>
        <w:drawing>
          <wp:anchor distT="0" distB="0" distL="114300" distR="114300" simplePos="0" relativeHeight="251657728" behindDoc="0" locked="0" layoutInCell="1" allowOverlap="1">
            <wp:simplePos x="0" y="0"/>
            <wp:positionH relativeFrom="character">
              <wp:posOffset>-222885</wp:posOffset>
            </wp:positionH>
            <wp:positionV relativeFrom="line">
              <wp:posOffset>0</wp:posOffset>
            </wp:positionV>
            <wp:extent cx="4498975" cy="3376295"/>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8975" cy="337629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00"/>
          <w:lang w:eastAsia="en-AU"/>
        </w:rPr>
        <mc:AlternateContent>
          <mc:Choice Requires="wps">
            <w:drawing>
              <wp:inline distT="0" distB="0" distL="0" distR="0">
                <wp:extent cx="4276725" cy="3209925"/>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76725" cy="320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336.75pt;height:2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" filled="f" stroked="f">
                <o:lock v:ext="edit" aspectratio="t"/>
                <w10:anchorlock/>
              </v:rect>
            </w:pict>
          </mc:Fallback>
        </mc:AlternateContent>
      </w:r>
    </w:p>
    <w:p w:rsidR="00A6330F" w:rsidRDefault="00A6330F" w:rsidP="009C2282"/>
    <w:p w:rsidR="000B3114" w:rsidRPr="00CD1201" w:rsidRDefault="000B3114" w:rsidP="00CD1201">
      <w:pPr>
        <w:jc w:val="left"/>
        <w:rPr>
          <w:rFonts w:cs="Arial"/>
          <w:color w:val="000000"/>
          <w:lang w:eastAsia="ko-KR" w:bidi="he-IL"/>
        </w:rPr>
      </w:pPr>
    </w:p>
    <w:p w:rsidR="00C601A7" w:rsidRDefault="00C601A7" w:rsidP="003B57FD">
      <w:pPr>
        <w:rPr>
          <w:b/>
        </w:rPr>
      </w:pPr>
      <w:r>
        <w:rPr>
          <w:b/>
        </w:rPr>
        <w:t>Non-Hodgkin Lymphoma (</w:t>
      </w:r>
      <w:r w:rsidR="00204D70" w:rsidRPr="00C2153F">
        <w:rPr>
          <w:b/>
        </w:rPr>
        <w:t>Follicular Lymphoma</w:t>
      </w:r>
      <w:r>
        <w:rPr>
          <w:b/>
        </w:rPr>
        <w:t>)</w:t>
      </w:r>
    </w:p>
    <w:p w:rsidR="00C32127" w:rsidRDefault="00C32127" w:rsidP="003B57FD">
      <w:pPr>
        <w:rPr>
          <w:b/>
        </w:rPr>
      </w:pPr>
    </w:p>
    <w:p w:rsidR="00C32127" w:rsidRPr="00151C21" w:rsidRDefault="00C32127" w:rsidP="00C32127">
      <w:pPr>
        <w:rPr>
          <w:i/>
          <w:lang w:val="en-US"/>
        </w:rPr>
      </w:pPr>
      <w:r w:rsidRPr="00151C21">
        <w:rPr>
          <w:i/>
          <w:lang w:val="en-US"/>
        </w:rPr>
        <w:lastRenderedPageBreak/>
        <w:t>Previously Untreated Follicular Lymphoma</w:t>
      </w:r>
    </w:p>
    <w:p w:rsidR="00C32127" w:rsidRDefault="00C32127" w:rsidP="00C32127">
      <w:pPr>
        <w:rPr>
          <w:lang w:val="en-US"/>
        </w:rPr>
      </w:pPr>
      <w:r w:rsidRPr="00C601A7">
        <w:rPr>
          <w:lang w:val="en-US"/>
        </w:rPr>
        <w:t>In a multicentre phase III, open-label, randomi</w:t>
      </w:r>
      <w:r>
        <w:rPr>
          <w:lang w:val="en-US"/>
        </w:rPr>
        <w:t>sed study (BO21223/GALLIUM),</w:t>
      </w:r>
      <w:r w:rsidR="00B27878">
        <w:rPr>
          <w:lang w:val="en-US"/>
        </w:rPr>
        <w:t xml:space="preserve"> 1401 previously untreated patients with either stage II (bulky)/III/IV follicular lymphoma (FL) (n=1202) or marginal zone lymphoma</w:t>
      </w:r>
      <w:r w:rsidR="001A5A87">
        <w:rPr>
          <w:lang w:val="en-US"/>
        </w:rPr>
        <w:t xml:space="preserve"> (MZL)</w:t>
      </w:r>
      <w:r w:rsidR="00B27878">
        <w:rPr>
          <w:lang w:val="en-US"/>
        </w:rPr>
        <w:t xml:space="preserve"> (n=199)</w:t>
      </w:r>
      <w:r w:rsidRPr="00C601A7">
        <w:rPr>
          <w:lang w:val="en-US"/>
        </w:rPr>
        <w:t xml:space="preserve"> were </w:t>
      </w:r>
      <w:r w:rsidR="001A5A87">
        <w:rPr>
          <w:lang w:val="en-US"/>
        </w:rPr>
        <w:t>randomised. Of the 199 patients randomised to the MZL cohort, 4 presented with a non-MZL histology</w:t>
      </w:r>
      <w:r w:rsidRPr="00C601A7">
        <w:rPr>
          <w:lang w:val="en-US"/>
        </w:rPr>
        <w:t>. Patients were randomi</w:t>
      </w:r>
      <w:r>
        <w:rPr>
          <w:lang w:val="en-US"/>
        </w:rPr>
        <w:t>s</w:t>
      </w:r>
      <w:r w:rsidRPr="00C601A7">
        <w:rPr>
          <w:lang w:val="en-US"/>
        </w:rPr>
        <w:t xml:space="preserve">ed </w:t>
      </w:r>
      <w:r>
        <w:rPr>
          <w:lang w:val="en-US"/>
        </w:rPr>
        <w:t>1:1 to receive either G</w:t>
      </w:r>
      <w:r w:rsidR="00771361">
        <w:rPr>
          <w:lang w:val="en-US"/>
        </w:rPr>
        <w:t>azyva</w:t>
      </w:r>
      <w:r>
        <w:rPr>
          <w:lang w:val="en-US"/>
        </w:rPr>
        <w:t xml:space="preserve"> or </w:t>
      </w:r>
      <w:r w:rsidRPr="00C601A7">
        <w:rPr>
          <w:lang w:val="en-US"/>
        </w:rPr>
        <w:t>rituximab in combination with chemothera</w:t>
      </w:r>
      <w:r>
        <w:rPr>
          <w:lang w:val="en-US"/>
        </w:rPr>
        <w:t xml:space="preserve">py (CHOP, CVP, or bendamustine) </w:t>
      </w:r>
      <w:r w:rsidRPr="00C601A7">
        <w:rPr>
          <w:lang w:val="en-US"/>
        </w:rPr>
        <w:t>followed by G</w:t>
      </w:r>
      <w:r w:rsidR="00771361">
        <w:rPr>
          <w:lang w:val="en-US"/>
        </w:rPr>
        <w:t>azyva</w:t>
      </w:r>
      <w:r w:rsidRPr="00C601A7">
        <w:rPr>
          <w:lang w:val="en-US"/>
        </w:rPr>
        <w:t xml:space="preserve"> or rituximab maintenance in patients who achieved a</w:t>
      </w:r>
      <w:r>
        <w:rPr>
          <w:lang w:val="en-US"/>
        </w:rPr>
        <w:t xml:space="preserve"> </w:t>
      </w:r>
      <w:r w:rsidRPr="00C601A7">
        <w:rPr>
          <w:lang w:val="en-US"/>
        </w:rPr>
        <w:t>complete or partial response.</w:t>
      </w:r>
      <w:r w:rsidR="005142D4">
        <w:rPr>
          <w:lang w:val="en-US"/>
        </w:rPr>
        <w:t xml:space="preserve"> The remainder of the study description focuses on the FL population.</w:t>
      </w:r>
    </w:p>
    <w:p w:rsidR="00C32127" w:rsidRPr="00C601A7" w:rsidRDefault="00C32127" w:rsidP="00C32127">
      <w:pPr>
        <w:rPr>
          <w:lang w:val="en-US"/>
        </w:rPr>
      </w:pPr>
    </w:p>
    <w:p w:rsidR="00C32127" w:rsidRDefault="00C32127" w:rsidP="00C32127">
      <w:pPr>
        <w:rPr>
          <w:lang w:val="en-US"/>
        </w:rPr>
      </w:pPr>
      <w:r w:rsidRPr="00C601A7">
        <w:rPr>
          <w:lang w:val="en-US"/>
        </w:rPr>
        <w:t>The demographic data and baseline characteri</w:t>
      </w:r>
      <w:r>
        <w:rPr>
          <w:lang w:val="en-US"/>
        </w:rPr>
        <w:t xml:space="preserve">stics of the FL population were </w:t>
      </w:r>
      <w:r w:rsidRPr="00C601A7">
        <w:rPr>
          <w:lang w:val="en-US"/>
        </w:rPr>
        <w:t>well balanced</w:t>
      </w:r>
      <w:r>
        <w:rPr>
          <w:lang w:val="en-US"/>
        </w:rPr>
        <w:t xml:space="preserve">. The </w:t>
      </w:r>
      <w:r w:rsidRPr="00C601A7">
        <w:rPr>
          <w:lang w:val="en-US"/>
        </w:rPr>
        <w:t>median age was 59 years</w:t>
      </w:r>
      <w:r>
        <w:rPr>
          <w:lang w:val="en-US"/>
        </w:rPr>
        <w:t xml:space="preserve">, the majority of patients were </w:t>
      </w:r>
      <w:r w:rsidRPr="00C601A7">
        <w:rPr>
          <w:lang w:val="en-US"/>
        </w:rPr>
        <w:t>Caucasian (81%), and female (53%). Seventy-ni</w:t>
      </w:r>
      <w:r>
        <w:rPr>
          <w:lang w:val="en-US"/>
        </w:rPr>
        <w:t>ne percent of patients had a FLIPI score of ≥</w:t>
      </w:r>
      <w:r w:rsidR="002435E5">
        <w:rPr>
          <w:lang w:val="en-US"/>
        </w:rPr>
        <w:t xml:space="preserve"> </w:t>
      </w:r>
      <w:r>
        <w:rPr>
          <w:lang w:val="en-US"/>
        </w:rPr>
        <w:t xml:space="preserve">2. Seven percent </w:t>
      </w:r>
      <w:r w:rsidRPr="00C601A7">
        <w:rPr>
          <w:lang w:val="en-US"/>
        </w:rPr>
        <w:t>had Stage II (bulky)</w:t>
      </w:r>
      <w:r>
        <w:rPr>
          <w:lang w:val="en-US"/>
        </w:rPr>
        <w:t xml:space="preserve"> disease</w:t>
      </w:r>
      <w:r w:rsidRPr="00C601A7">
        <w:rPr>
          <w:lang w:val="en-US"/>
        </w:rPr>
        <w:t>, 35% had</w:t>
      </w:r>
      <w:r>
        <w:rPr>
          <w:lang w:val="en-US"/>
        </w:rPr>
        <w:t xml:space="preserve"> Stage III disease and 57% had Stage IV </w:t>
      </w:r>
      <w:r w:rsidRPr="00C601A7">
        <w:rPr>
          <w:lang w:val="en-US"/>
        </w:rPr>
        <w:t>disease. Fifty-seven percent received benda</w:t>
      </w:r>
      <w:r>
        <w:rPr>
          <w:lang w:val="en-US"/>
        </w:rPr>
        <w:t xml:space="preserve">mustine, 33% received CHOP, and </w:t>
      </w:r>
      <w:r w:rsidRPr="00C601A7">
        <w:rPr>
          <w:lang w:val="en-US"/>
        </w:rPr>
        <w:t>10% received CVP chemotherapy. Forty-four percent had bulky</w:t>
      </w:r>
      <w:r>
        <w:rPr>
          <w:lang w:val="en-US"/>
        </w:rPr>
        <w:t xml:space="preserve"> disease (&gt;</w:t>
      </w:r>
      <w:r w:rsidR="002435E5">
        <w:rPr>
          <w:lang w:val="en-US"/>
        </w:rPr>
        <w:t xml:space="preserve"> </w:t>
      </w:r>
      <w:r>
        <w:rPr>
          <w:lang w:val="en-US"/>
        </w:rPr>
        <w:t xml:space="preserve">7 cm), </w:t>
      </w:r>
      <w:r w:rsidRPr="00C601A7">
        <w:rPr>
          <w:lang w:val="en-US"/>
        </w:rPr>
        <w:t xml:space="preserve">34% had at least one B-symptom </w:t>
      </w:r>
      <w:r>
        <w:rPr>
          <w:lang w:val="en-US"/>
        </w:rPr>
        <w:t xml:space="preserve">at baseline and 97% had an ECOG </w:t>
      </w:r>
      <w:r w:rsidRPr="00C601A7">
        <w:rPr>
          <w:lang w:val="en-US"/>
        </w:rPr>
        <w:t>performance</w:t>
      </w:r>
      <w:r>
        <w:rPr>
          <w:lang w:val="en-US"/>
        </w:rPr>
        <w:t xml:space="preserve"> status of 0-1 at baseline.</w:t>
      </w:r>
    </w:p>
    <w:p w:rsidR="00C32127" w:rsidRPr="00C601A7" w:rsidRDefault="00C32127" w:rsidP="00C32127">
      <w:pPr>
        <w:rPr>
          <w:lang w:val="en-US"/>
        </w:rPr>
      </w:pPr>
    </w:p>
    <w:p w:rsidR="00C32127" w:rsidRPr="00C601A7" w:rsidRDefault="00C32127" w:rsidP="00C32127">
      <w:pPr>
        <w:rPr>
          <w:lang w:val="en-US"/>
        </w:rPr>
      </w:pPr>
      <w:r w:rsidRPr="00C601A7">
        <w:rPr>
          <w:lang w:val="en-US"/>
        </w:rPr>
        <w:t>G</w:t>
      </w:r>
      <w:r w:rsidR="00771361">
        <w:rPr>
          <w:lang w:val="en-US"/>
        </w:rPr>
        <w:t>azyva</w:t>
      </w:r>
      <w:r w:rsidRPr="00C601A7">
        <w:rPr>
          <w:lang w:val="en-US"/>
        </w:rPr>
        <w:t xml:space="preserve"> (1000 mg) was administered intravenou</w:t>
      </w:r>
      <w:r>
        <w:rPr>
          <w:lang w:val="en-US"/>
        </w:rPr>
        <w:t>sly</w:t>
      </w:r>
      <w:r w:rsidRPr="00C601A7">
        <w:rPr>
          <w:lang w:val="en-US"/>
        </w:rPr>
        <w:t xml:space="preserve"> prior to chemotherapy</w:t>
      </w:r>
      <w:r>
        <w:rPr>
          <w:lang w:val="en-US"/>
        </w:rPr>
        <w:t xml:space="preserve"> as described under DOSAGE AND ADMINISTRATION – </w:t>
      </w:r>
      <w:r w:rsidRPr="00831183">
        <w:rPr>
          <w:i/>
          <w:lang w:val="en-US"/>
        </w:rPr>
        <w:t>Follicular Lymphoma</w:t>
      </w:r>
      <w:r w:rsidRPr="00C601A7">
        <w:rPr>
          <w:lang w:val="en-US"/>
        </w:rPr>
        <w:t>. Benda</w:t>
      </w:r>
      <w:r>
        <w:rPr>
          <w:lang w:val="en-US"/>
        </w:rPr>
        <w:t xml:space="preserve">mustine was given </w:t>
      </w:r>
      <w:r w:rsidRPr="00C601A7">
        <w:rPr>
          <w:lang w:val="en-US"/>
        </w:rPr>
        <w:t>intravenously on Days 1 and 2 for all trea</w:t>
      </w:r>
      <w:r>
        <w:rPr>
          <w:lang w:val="en-US"/>
        </w:rPr>
        <w:t>tment cycles (Cycles 1-6) at 90 mg/m</w:t>
      </w:r>
      <w:r w:rsidRPr="00831183">
        <w:rPr>
          <w:vertAlign w:val="superscript"/>
          <w:lang w:val="en-US"/>
        </w:rPr>
        <w:t>2</w:t>
      </w:r>
      <w:r w:rsidRPr="00C601A7">
        <w:rPr>
          <w:lang w:val="en-US"/>
        </w:rPr>
        <w:t xml:space="preserve">/day when given in combination with </w:t>
      </w:r>
      <w:r>
        <w:rPr>
          <w:lang w:val="en-US"/>
        </w:rPr>
        <w:t>G</w:t>
      </w:r>
      <w:r w:rsidR="00771361">
        <w:rPr>
          <w:lang w:val="en-US"/>
        </w:rPr>
        <w:t>azyva</w:t>
      </w:r>
      <w:r>
        <w:rPr>
          <w:lang w:val="en-US"/>
        </w:rPr>
        <w:t xml:space="preserve">. Standard dosing of </w:t>
      </w:r>
      <w:r w:rsidRPr="00C601A7">
        <w:rPr>
          <w:lang w:val="en-US"/>
        </w:rPr>
        <w:t xml:space="preserve">CHOP </w:t>
      </w:r>
      <w:r w:rsidR="005142D4">
        <w:rPr>
          <w:lang w:val="en-US"/>
        </w:rPr>
        <w:t xml:space="preserve">(n=6 cycles) </w:t>
      </w:r>
      <w:r w:rsidRPr="00C601A7">
        <w:rPr>
          <w:lang w:val="en-US"/>
        </w:rPr>
        <w:t>and CVP</w:t>
      </w:r>
      <w:r w:rsidR="005142D4">
        <w:rPr>
          <w:lang w:val="en-US"/>
        </w:rPr>
        <w:t xml:space="preserve"> (n=8 cycles)</w:t>
      </w:r>
      <w:r w:rsidR="004B1AE0">
        <w:rPr>
          <w:lang w:val="en-US"/>
        </w:rPr>
        <w:t xml:space="preserve"> </w:t>
      </w:r>
      <w:r w:rsidRPr="00C601A7">
        <w:rPr>
          <w:lang w:val="en-US"/>
        </w:rPr>
        <w:t>was given. Following Cycle</w:t>
      </w:r>
      <w:r>
        <w:rPr>
          <w:lang w:val="en-US"/>
        </w:rPr>
        <w:t>s 6-8, when G</w:t>
      </w:r>
      <w:r w:rsidR="00771361">
        <w:rPr>
          <w:lang w:val="en-US"/>
        </w:rPr>
        <w:t>azyva</w:t>
      </w:r>
      <w:r>
        <w:rPr>
          <w:lang w:val="en-US"/>
        </w:rPr>
        <w:t xml:space="preserve"> was given in </w:t>
      </w:r>
      <w:r w:rsidRPr="00C601A7">
        <w:rPr>
          <w:lang w:val="en-US"/>
        </w:rPr>
        <w:t>combination with chemotherapy, G</w:t>
      </w:r>
      <w:r w:rsidR="00771361">
        <w:rPr>
          <w:lang w:val="en-US"/>
        </w:rPr>
        <w:t>azyva</w:t>
      </w:r>
      <w:r w:rsidRPr="00C601A7">
        <w:rPr>
          <w:lang w:val="en-US"/>
        </w:rPr>
        <w:t xml:space="preserve"> main</w:t>
      </w:r>
      <w:r>
        <w:rPr>
          <w:lang w:val="en-US"/>
        </w:rPr>
        <w:t xml:space="preserve">tenance therapy was given every </w:t>
      </w:r>
      <w:r w:rsidRPr="00C601A7">
        <w:rPr>
          <w:lang w:val="en-US"/>
        </w:rPr>
        <w:t>2 months for 2 years for responding patients o</w:t>
      </w:r>
      <w:r>
        <w:rPr>
          <w:lang w:val="en-US"/>
        </w:rPr>
        <w:t>r until disease progression</w:t>
      </w:r>
      <w:r w:rsidRPr="00C601A7">
        <w:rPr>
          <w:lang w:val="en-US"/>
        </w:rPr>
        <w:t>.</w:t>
      </w:r>
    </w:p>
    <w:p w:rsidR="00C32127" w:rsidRDefault="00C32127" w:rsidP="00C32127">
      <w:pPr>
        <w:rPr>
          <w:lang w:val="en-US"/>
        </w:rPr>
      </w:pPr>
    </w:p>
    <w:p w:rsidR="00C32127" w:rsidRDefault="00C32127" w:rsidP="00C32127">
      <w:pPr>
        <w:rPr>
          <w:lang w:val="en-US"/>
        </w:rPr>
      </w:pPr>
      <w:r w:rsidRPr="00C601A7">
        <w:rPr>
          <w:lang w:val="en-US"/>
        </w:rPr>
        <w:t>Efficacy results are summari</w:t>
      </w:r>
      <w:r>
        <w:rPr>
          <w:lang w:val="en-US"/>
        </w:rPr>
        <w:t>s</w:t>
      </w:r>
      <w:r w:rsidRPr="00C601A7">
        <w:rPr>
          <w:lang w:val="en-US"/>
        </w:rPr>
        <w:t xml:space="preserve">ed in Table </w:t>
      </w:r>
      <w:r>
        <w:rPr>
          <w:lang w:val="en-US"/>
        </w:rPr>
        <w:t>2</w:t>
      </w:r>
      <w:r w:rsidRPr="00C601A7">
        <w:rPr>
          <w:lang w:val="en-US"/>
        </w:rPr>
        <w:t xml:space="preserve">. </w:t>
      </w:r>
      <w:r>
        <w:rPr>
          <w:lang w:val="en-US"/>
        </w:rPr>
        <w:t xml:space="preserve">Kaplan-Meier curves for PFS are </w:t>
      </w:r>
      <w:r w:rsidRPr="00C601A7">
        <w:rPr>
          <w:lang w:val="en-US"/>
        </w:rPr>
        <w:t>shown in Figure 4.</w:t>
      </w:r>
    </w:p>
    <w:p w:rsidR="004C5534" w:rsidRDefault="004C5534" w:rsidP="00C601A7">
      <w:pPr>
        <w:rPr>
          <w:lang w:val="en-US"/>
        </w:rPr>
      </w:pPr>
    </w:p>
    <w:p w:rsidR="00C601A7" w:rsidRDefault="004C5534" w:rsidP="003B57FD">
      <w:pPr>
        <w:rPr>
          <w:lang w:val="en-US"/>
        </w:rPr>
      </w:pPr>
      <w:r w:rsidRPr="005A3916">
        <w:rPr>
          <w:b/>
          <w:lang w:val="en-US"/>
        </w:rPr>
        <w:t xml:space="preserve">Table </w:t>
      </w:r>
      <w:r>
        <w:rPr>
          <w:b/>
          <w:lang w:val="en-US"/>
        </w:rPr>
        <w:t>2</w:t>
      </w:r>
      <w:r w:rsidRPr="005A3916">
        <w:rPr>
          <w:b/>
          <w:lang w:val="en-US"/>
        </w:rPr>
        <w:t xml:space="preserve"> Summary of efficacy in </w:t>
      </w:r>
      <w:r w:rsidRPr="00E8637D">
        <w:rPr>
          <w:b/>
          <w:lang w:val="en-US"/>
        </w:rPr>
        <w:t>FL</w:t>
      </w:r>
      <w:r w:rsidRPr="005A3916">
        <w:rPr>
          <w:b/>
          <w:lang w:val="en-US"/>
        </w:rPr>
        <w:t xml:space="preserve"> patients from </w:t>
      </w:r>
      <w:r>
        <w:rPr>
          <w:b/>
          <w:lang w:val="en-US"/>
        </w:rPr>
        <w:t>BO21223 (GALLIUM)</w:t>
      </w:r>
      <w:r w:rsidRPr="005A3916">
        <w:rPr>
          <w:b/>
          <w:lang w:val="en-US"/>
        </w:rPr>
        <w:t xml:space="preserve"> study</w:t>
      </w:r>
    </w:p>
    <w:tbl>
      <w:tblPr>
        <w:tblW w:w="9078" w:type="dxa"/>
        <w:tblInd w:w="51" w:type="dxa"/>
        <w:tblLayout w:type="fixed"/>
        <w:tblCellMar>
          <w:left w:w="57" w:type="dxa"/>
          <w:right w:w="57" w:type="dxa"/>
        </w:tblCellMar>
        <w:tblLook w:val="00A0" w:firstRow="1" w:lastRow="0" w:firstColumn="1" w:lastColumn="0" w:noHBand="0" w:noVBand="0"/>
      </w:tblPr>
      <w:tblGrid>
        <w:gridCol w:w="3557"/>
        <w:gridCol w:w="2828"/>
        <w:gridCol w:w="2693"/>
      </w:tblGrid>
      <w:tr w:rsidR="00D5102A" w:rsidRPr="00D5102A" w:rsidTr="00695099">
        <w:trPr>
          <w:cantSplit/>
          <w:tblHeader/>
        </w:trPr>
        <w:tc>
          <w:tcPr>
            <w:tcW w:w="3557" w:type="dxa"/>
            <w:tcBorders>
              <w:top w:val="single" w:sz="4" w:space="0" w:color="auto"/>
              <w:left w:val="single" w:sz="4" w:space="0" w:color="auto"/>
              <w:bottom w:val="single" w:sz="4" w:space="0" w:color="auto"/>
              <w:right w:val="single" w:sz="4" w:space="0" w:color="auto"/>
            </w:tcBorders>
            <w:vAlign w:val="bottom"/>
          </w:tcPr>
          <w:p w:rsidR="00D5102A" w:rsidRPr="00ED6A89" w:rsidRDefault="00D5102A" w:rsidP="00695099">
            <w:pPr>
              <w:keepNext/>
              <w:keepLines/>
              <w:spacing w:before="50" w:after="50" w:line="240" w:lineRule="exact"/>
              <w:rPr>
                <w:rFonts w:eastAsia="SimSun"/>
                <w:sz w:val="22"/>
                <w:lang w:val="en-GB" w:eastAsia="zh-CN"/>
              </w:rPr>
            </w:pPr>
          </w:p>
        </w:tc>
        <w:tc>
          <w:tcPr>
            <w:tcW w:w="2828" w:type="dxa"/>
            <w:tcBorders>
              <w:top w:val="single" w:sz="4" w:space="0" w:color="auto"/>
              <w:left w:val="single" w:sz="4" w:space="0" w:color="auto"/>
              <w:bottom w:val="single" w:sz="4" w:space="0" w:color="auto"/>
              <w:right w:val="dashSmallGap" w:sz="4" w:space="0" w:color="auto"/>
            </w:tcBorders>
            <w:vAlign w:val="center"/>
          </w:tcPr>
          <w:p w:rsidR="00D5102A" w:rsidRPr="00ED6A89" w:rsidRDefault="00D5102A" w:rsidP="00695099">
            <w:pPr>
              <w:keepNext/>
              <w:keepLines/>
              <w:spacing w:before="50" w:after="50" w:line="240" w:lineRule="exact"/>
              <w:jc w:val="center"/>
              <w:rPr>
                <w:rFonts w:eastAsia="SimSun"/>
                <w:b/>
                <w:sz w:val="22"/>
                <w:lang w:val="en-GB" w:eastAsia="zh-CN"/>
              </w:rPr>
            </w:pPr>
            <w:r w:rsidRPr="00D5102A">
              <w:rPr>
                <w:rFonts w:eastAsia="SimSun"/>
                <w:b/>
                <w:sz w:val="22"/>
                <w:lang w:val="en-GB" w:eastAsia="zh-CN"/>
              </w:rPr>
              <w:t>Rituximab + c</w:t>
            </w:r>
            <w:r w:rsidRPr="00ED6A89">
              <w:rPr>
                <w:rFonts w:eastAsia="SimSun"/>
                <w:b/>
                <w:sz w:val="22"/>
                <w:lang w:val="en-GB" w:eastAsia="zh-CN"/>
              </w:rPr>
              <w:t>hemotherapy followed by rituximab maintenance</w:t>
            </w:r>
          </w:p>
          <w:p w:rsidR="00D5102A" w:rsidRPr="00ED6A89" w:rsidRDefault="00D5102A" w:rsidP="00695099">
            <w:pPr>
              <w:keepNext/>
              <w:keepLines/>
              <w:spacing w:before="50" w:after="50" w:line="240" w:lineRule="exact"/>
              <w:jc w:val="center"/>
              <w:rPr>
                <w:rFonts w:eastAsia="SimSun"/>
                <w:b/>
                <w:sz w:val="22"/>
                <w:lang w:val="en-GB" w:eastAsia="zh-CN"/>
              </w:rPr>
            </w:pPr>
            <w:r w:rsidRPr="00D5102A">
              <w:rPr>
                <w:rFonts w:eastAsia="SimSun"/>
                <w:b/>
                <w:sz w:val="22"/>
                <w:lang w:val="en-GB" w:eastAsia="zh-CN"/>
              </w:rPr>
              <w:t>n</w:t>
            </w:r>
            <w:r w:rsidRPr="00ED6A89">
              <w:rPr>
                <w:rFonts w:eastAsia="SimSun"/>
                <w:b/>
                <w:sz w:val="22"/>
                <w:lang w:val="en-GB" w:eastAsia="zh-CN"/>
              </w:rPr>
              <w:t>=601</w:t>
            </w:r>
          </w:p>
        </w:tc>
        <w:tc>
          <w:tcPr>
            <w:tcW w:w="2693" w:type="dxa"/>
            <w:tcBorders>
              <w:top w:val="single" w:sz="4" w:space="0" w:color="auto"/>
              <w:left w:val="dashSmallGap" w:sz="4" w:space="0" w:color="auto"/>
              <w:bottom w:val="single" w:sz="4" w:space="0" w:color="auto"/>
              <w:right w:val="single" w:sz="4" w:space="0" w:color="auto"/>
            </w:tcBorders>
            <w:vAlign w:val="center"/>
          </w:tcPr>
          <w:p w:rsidR="00D5102A" w:rsidRPr="00ED6A89" w:rsidRDefault="00D5102A" w:rsidP="00695099">
            <w:pPr>
              <w:keepNext/>
              <w:keepLines/>
              <w:spacing w:before="50" w:after="50" w:line="240" w:lineRule="exact"/>
              <w:jc w:val="center"/>
              <w:rPr>
                <w:rFonts w:eastAsia="SimSun"/>
                <w:b/>
                <w:sz w:val="22"/>
                <w:lang w:val="en-GB" w:eastAsia="zh-CN"/>
              </w:rPr>
            </w:pPr>
            <w:r w:rsidRPr="00D5102A">
              <w:rPr>
                <w:rFonts w:eastAsia="SimSun"/>
                <w:b/>
                <w:sz w:val="22"/>
                <w:lang w:val="en-GB" w:eastAsia="zh-CN"/>
              </w:rPr>
              <w:t>G</w:t>
            </w:r>
            <w:r w:rsidR="00771361">
              <w:rPr>
                <w:rFonts w:eastAsia="SimSun"/>
                <w:b/>
                <w:sz w:val="22"/>
                <w:lang w:val="en-GB" w:eastAsia="zh-CN"/>
              </w:rPr>
              <w:t>azyva</w:t>
            </w:r>
            <w:r w:rsidRPr="00D5102A">
              <w:rPr>
                <w:rFonts w:eastAsia="SimSun"/>
                <w:b/>
                <w:sz w:val="22"/>
                <w:lang w:val="en-GB" w:eastAsia="zh-CN"/>
              </w:rPr>
              <w:t xml:space="preserve"> + c</w:t>
            </w:r>
            <w:r w:rsidRPr="00ED6A89">
              <w:rPr>
                <w:rFonts w:eastAsia="SimSun"/>
                <w:b/>
                <w:sz w:val="22"/>
                <w:lang w:val="en-GB" w:eastAsia="zh-CN"/>
              </w:rPr>
              <w:t>hemotherapy followed by G</w:t>
            </w:r>
            <w:r w:rsidR="00771361">
              <w:rPr>
                <w:rFonts w:eastAsia="SimSun"/>
                <w:b/>
                <w:sz w:val="22"/>
                <w:lang w:val="en-GB" w:eastAsia="zh-CN"/>
              </w:rPr>
              <w:t>azyva</w:t>
            </w:r>
            <w:r w:rsidRPr="00ED6A89">
              <w:rPr>
                <w:rFonts w:eastAsia="SimSun"/>
                <w:b/>
                <w:sz w:val="22"/>
                <w:lang w:val="en-GB" w:eastAsia="zh-CN"/>
              </w:rPr>
              <w:t xml:space="preserve"> maintenance</w:t>
            </w:r>
          </w:p>
          <w:p w:rsidR="00D5102A" w:rsidRPr="00ED6A89" w:rsidRDefault="00D5102A" w:rsidP="00695099">
            <w:pPr>
              <w:keepNext/>
              <w:keepLines/>
              <w:spacing w:before="50" w:after="50" w:line="240" w:lineRule="exact"/>
              <w:jc w:val="center"/>
              <w:rPr>
                <w:rFonts w:eastAsia="SimSun"/>
                <w:b/>
                <w:sz w:val="22"/>
                <w:lang w:val="en-GB" w:eastAsia="zh-CN"/>
              </w:rPr>
            </w:pPr>
            <w:r w:rsidRPr="00D5102A">
              <w:rPr>
                <w:rFonts w:eastAsia="SimSun"/>
                <w:b/>
                <w:sz w:val="22"/>
                <w:lang w:val="en-GB" w:eastAsia="zh-CN"/>
              </w:rPr>
              <w:t>n</w:t>
            </w:r>
            <w:r w:rsidRPr="00ED6A89">
              <w:rPr>
                <w:rFonts w:eastAsia="SimSun"/>
                <w:b/>
                <w:sz w:val="22"/>
                <w:lang w:val="en-GB" w:eastAsia="zh-CN"/>
              </w:rPr>
              <w:t>=601</w:t>
            </w:r>
          </w:p>
        </w:tc>
      </w:tr>
      <w:tr w:rsidR="00D5102A" w:rsidRPr="00D5102A" w:rsidTr="00695099">
        <w:trPr>
          <w:cantSplit/>
        </w:trPr>
        <w:tc>
          <w:tcPr>
            <w:tcW w:w="3557" w:type="dxa"/>
            <w:tcBorders>
              <w:top w:val="single" w:sz="4" w:space="0" w:color="auto"/>
              <w:left w:val="single" w:sz="4" w:space="0" w:color="auto"/>
              <w:bottom w:val="single" w:sz="4" w:space="0" w:color="auto"/>
              <w:right w:val="single" w:sz="4" w:space="0" w:color="auto"/>
            </w:tcBorders>
            <w:vAlign w:val="bottom"/>
          </w:tcPr>
          <w:p w:rsidR="00D5102A" w:rsidRPr="00ED6A89" w:rsidRDefault="00D5102A" w:rsidP="00695099">
            <w:pPr>
              <w:keepLines/>
              <w:spacing w:before="50" w:after="50" w:line="240" w:lineRule="exact"/>
              <w:rPr>
                <w:rFonts w:eastAsia="SimSun"/>
                <w:b/>
                <w:i/>
                <w:sz w:val="22"/>
                <w:lang w:val="en-GB" w:eastAsia="zh-CN"/>
              </w:rPr>
            </w:pPr>
          </w:p>
        </w:tc>
        <w:tc>
          <w:tcPr>
            <w:tcW w:w="2828" w:type="dxa"/>
            <w:tcBorders>
              <w:top w:val="single" w:sz="4" w:space="0" w:color="auto"/>
              <w:left w:val="single" w:sz="4" w:space="0" w:color="auto"/>
              <w:bottom w:val="single" w:sz="4" w:space="0" w:color="auto"/>
              <w:right w:val="single" w:sz="4" w:space="0" w:color="auto"/>
            </w:tcBorders>
          </w:tcPr>
          <w:p w:rsidR="00D5102A" w:rsidRPr="00ED6A89" w:rsidRDefault="00D5102A" w:rsidP="00695099">
            <w:pPr>
              <w:keepNext/>
              <w:keepLines/>
              <w:spacing w:before="50" w:after="50" w:line="240" w:lineRule="exact"/>
              <w:jc w:val="center"/>
              <w:rPr>
                <w:rFonts w:eastAsia="SimSun"/>
                <w:b/>
                <w:i/>
                <w:sz w:val="22"/>
                <w:lang w:val="en-GB" w:eastAsia="zh-CN"/>
              </w:rPr>
            </w:pPr>
            <w:r w:rsidRPr="00ED6A89">
              <w:rPr>
                <w:rFonts w:eastAsia="SimSun"/>
                <w:b/>
                <w:sz w:val="22"/>
                <w:lang w:val="en-GB" w:eastAsia="zh-CN"/>
              </w:rPr>
              <w:t>Median observation time 34 months</w:t>
            </w:r>
          </w:p>
        </w:tc>
        <w:tc>
          <w:tcPr>
            <w:tcW w:w="2693" w:type="dxa"/>
            <w:tcBorders>
              <w:top w:val="single" w:sz="4" w:space="0" w:color="auto"/>
              <w:left w:val="single" w:sz="4" w:space="0" w:color="auto"/>
              <w:bottom w:val="single" w:sz="4" w:space="0" w:color="auto"/>
              <w:right w:val="single" w:sz="4" w:space="0" w:color="auto"/>
            </w:tcBorders>
            <w:vAlign w:val="bottom"/>
          </w:tcPr>
          <w:p w:rsidR="00D5102A" w:rsidRPr="00ED6A89" w:rsidRDefault="00D5102A" w:rsidP="00695099">
            <w:pPr>
              <w:keepNext/>
              <w:keepLines/>
              <w:spacing w:before="50" w:after="50" w:line="240" w:lineRule="exact"/>
              <w:jc w:val="center"/>
              <w:rPr>
                <w:rFonts w:eastAsia="SimSun"/>
                <w:b/>
                <w:i/>
                <w:sz w:val="22"/>
                <w:lang w:val="en-GB" w:eastAsia="zh-CN"/>
              </w:rPr>
            </w:pPr>
            <w:r w:rsidRPr="00ED6A89">
              <w:rPr>
                <w:rFonts w:eastAsia="SimSun"/>
                <w:b/>
                <w:sz w:val="22"/>
                <w:lang w:val="en-GB" w:eastAsia="zh-CN"/>
              </w:rPr>
              <w:t>Median observation time 35 months</w:t>
            </w:r>
          </w:p>
        </w:tc>
      </w:tr>
      <w:tr w:rsidR="00D5102A" w:rsidRPr="00D5102A" w:rsidTr="00695099">
        <w:trPr>
          <w:cantSplit/>
        </w:trPr>
        <w:tc>
          <w:tcPr>
            <w:tcW w:w="3557" w:type="dxa"/>
            <w:tcBorders>
              <w:top w:val="single" w:sz="4" w:space="0" w:color="auto"/>
              <w:left w:val="single" w:sz="4" w:space="0" w:color="auto"/>
              <w:bottom w:val="single" w:sz="4" w:space="0" w:color="auto"/>
              <w:right w:val="single" w:sz="4" w:space="0" w:color="auto"/>
            </w:tcBorders>
            <w:vAlign w:val="bottom"/>
          </w:tcPr>
          <w:p w:rsidR="00D5102A" w:rsidRPr="00ED6A89" w:rsidRDefault="00D5102A" w:rsidP="00695099">
            <w:pPr>
              <w:keepLines/>
              <w:spacing w:before="50" w:after="50" w:line="240" w:lineRule="exact"/>
              <w:rPr>
                <w:rFonts w:eastAsia="SimSun"/>
                <w:b/>
                <w:i/>
                <w:sz w:val="22"/>
                <w:lang w:val="en-GB" w:eastAsia="zh-CN"/>
              </w:rPr>
            </w:pPr>
            <w:r w:rsidRPr="00ED6A89">
              <w:rPr>
                <w:rFonts w:eastAsia="SimSun"/>
                <w:b/>
                <w:i/>
                <w:sz w:val="22"/>
                <w:lang w:val="en-GB" w:eastAsia="zh-CN"/>
              </w:rPr>
              <w:t>Primary Endpoint</w:t>
            </w:r>
          </w:p>
        </w:tc>
        <w:tc>
          <w:tcPr>
            <w:tcW w:w="5521" w:type="dxa"/>
            <w:gridSpan w:val="2"/>
            <w:tcBorders>
              <w:top w:val="single" w:sz="4" w:space="0" w:color="auto"/>
              <w:left w:val="single" w:sz="4" w:space="0" w:color="auto"/>
              <w:bottom w:val="single" w:sz="4" w:space="0" w:color="auto"/>
              <w:right w:val="single" w:sz="4" w:space="0" w:color="auto"/>
            </w:tcBorders>
            <w:vAlign w:val="bottom"/>
          </w:tcPr>
          <w:p w:rsidR="00D5102A" w:rsidRPr="00ED6A89" w:rsidRDefault="00D5102A" w:rsidP="00695099">
            <w:pPr>
              <w:keepNext/>
              <w:keepLines/>
              <w:spacing w:before="50" w:after="50" w:line="240" w:lineRule="exact"/>
              <w:jc w:val="center"/>
              <w:rPr>
                <w:rFonts w:eastAsia="SimSun"/>
                <w:b/>
                <w:i/>
                <w:sz w:val="22"/>
                <w:lang w:val="en-GB" w:eastAsia="zh-CN"/>
              </w:rPr>
            </w:pPr>
          </w:p>
        </w:tc>
      </w:tr>
      <w:tr w:rsidR="00D5102A" w:rsidRPr="00D5102A" w:rsidTr="00695099">
        <w:trPr>
          <w:cantSplit/>
        </w:trPr>
        <w:tc>
          <w:tcPr>
            <w:tcW w:w="3557" w:type="dxa"/>
            <w:tcBorders>
              <w:top w:val="single" w:sz="4" w:space="0" w:color="auto"/>
              <w:left w:val="single" w:sz="4" w:space="0" w:color="auto"/>
              <w:bottom w:val="nil"/>
              <w:right w:val="single" w:sz="4" w:space="0" w:color="auto"/>
            </w:tcBorders>
            <w:vAlign w:val="bottom"/>
          </w:tcPr>
          <w:p w:rsidR="00D5102A" w:rsidRPr="00ED6A89" w:rsidRDefault="00D5102A" w:rsidP="00695099">
            <w:pPr>
              <w:keepLines/>
              <w:spacing w:before="50" w:after="50" w:line="240" w:lineRule="exact"/>
              <w:jc w:val="left"/>
              <w:rPr>
                <w:rFonts w:eastAsia="SimSun"/>
                <w:b/>
                <w:sz w:val="22"/>
                <w:vertAlign w:val="superscript"/>
                <w:lang w:val="en-GB" w:eastAsia="zh-CN"/>
              </w:rPr>
            </w:pPr>
            <w:r w:rsidRPr="00ED6A89">
              <w:rPr>
                <w:rFonts w:eastAsia="SimSun"/>
                <w:b/>
                <w:sz w:val="22"/>
                <w:lang w:val="en-GB" w:eastAsia="zh-CN"/>
              </w:rPr>
              <w:t>Investigator-assessed PFS</w:t>
            </w:r>
            <w:r w:rsidRPr="00ED6A89">
              <w:rPr>
                <w:rFonts w:eastAsia="SimSun"/>
                <w:sz w:val="22"/>
                <w:vertAlign w:val="superscript"/>
                <w:lang w:val="en-US" w:eastAsia="zh-CN"/>
              </w:rPr>
              <w:t>§</w:t>
            </w:r>
            <w:r w:rsidRPr="00ED6A89">
              <w:rPr>
                <w:rFonts w:eastAsia="SimSun"/>
                <w:b/>
                <w:sz w:val="22"/>
                <w:lang w:val="en-GB" w:eastAsia="zh-CN"/>
              </w:rPr>
              <w:t xml:space="preserve"> (PFS-INV)</w:t>
            </w:r>
            <w:r w:rsidRPr="00ED6A89" w:rsidDel="007D3FF6">
              <w:rPr>
                <w:rFonts w:eastAsia="SimSun"/>
                <w:b/>
                <w:sz w:val="22"/>
                <w:vertAlign w:val="superscript"/>
                <w:lang w:val="en-GB" w:eastAsia="zh-CN"/>
              </w:rPr>
              <w:t xml:space="preserve"> </w:t>
            </w:r>
          </w:p>
        </w:tc>
        <w:tc>
          <w:tcPr>
            <w:tcW w:w="5521" w:type="dxa"/>
            <w:gridSpan w:val="2"/>
            <w:tcBorders>
              <w:top w:val="single" w:sz="4" w:space="0" w:color="auto"/>
              <w:left w:val="single" w:sz="4" w:space="0" w:color="auto"/>
              <w:right w:val="single" w:sz="4" w:space="0" w:color="auto"/>
            </w:tcBorders>
            <w:vAlign w:val="bottom"/>
          </w:tcPr>
          <w:p w:rsidR="00D5102A" w:rsidRPr="00ED6A89" w:rsidRDefault="00D5102A" w:rsidP="00695099">
            <w:pPr>
              <w:keepNext/>
              <w:keepLines/>
              <w:spacing w:before="50" w:after="50" w:line="240" w:lineRule="exact"/>
              <w:jc w:val="center"/>
              <w:rPr>
                <w:rFonts w:eastAsia="MS Mincho"/>
                <w:sz w:val="22"/>
                <w:lang w:val="en-US" w:eastAsia="ja-JP"/>
              </w:rPr>
            </w:pPr>
          </w:p>
        </w:tc>
      </w:tr>
      <w:tr w:rsidR="00D5102A" w:rsidRPr="00D5102A" w:rsidTr="00695099">
        <w:trPr>
          <w:cantSplit/>
        </w:trPr>
        <w:tc>
          <w:tcPr>
            <w:tcW w:w="3557" w:type="dxa"/>
            <w:tcBorders>
              <w:top w:val="nil"/>
              <w:left w:val="single" w:sz="4" w:space="0" w:color="auto"/>
              <w:bottom w:val="nil"/>
              <w:right w:val="single" w:sz="4" w:space="0" w:color="auto"/>
            </w:tcBorders>
            <w:vAlign w:val="bottom"/>
          </w:tcPr>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 xml:space="preserve">Number (%) of patients with event </w:t>
            </w:r>
          </w:p>
        </w:tc>
        <w:tc>
          <w:tcPr>
            <w:tcW w:w="2828" w:type="dxa"/>
            <w:tcBorders>
              <w:left w:val="single" w:sz="4" w:space="0" w:color="auto"/>
            </w:tcBorders>
            <w:vAlign w:val="bottom"/>
          </w:tcPr>
          <w:p w:rsidR="00D5102A" w:rsidRPr="00ED6A89" w:rsidRDefault="00D5102A" w:rsidP="00695099">
            <w:pPr>
              <w:keepNext/>
              <w:keepLines/>
              <w:tabs>
                <w:tab w:val="left" w:pos="1840"/>
              </w:tabs>
              <w:spacing w:before="50" w:after="50" w:line="240" w:lineRule="exact"/>
              <w:jc w:val="center"/>
              <w:rPr>
                <w:rFonts w:eastAsia="SimSun"/>
                <w:sz w:val="22"/>
                <w:lang w:val="en-GB" w:eastAsia="zh-CN"/>
              </w:rPr>
            </w:pPr>
            <w:r w:rsidRPr="00ED6A89">
              <w:rPr>
                <w:rFonts w:eastAsia="SimSun"/>
                <w:sz w:val="22"/>
                <w:lang w:val="en-GB" w:eastAsia="zh-CN"/>
              </w:rPr>
              <w:t>144 (24.0%)</w:t>
            </w:r>
          </w:p>
        </w:tc>
        <w:tc>
          <w:tcPr>
            <w:tcW w:w="2693" w:type="dxa"/>
            <w:tcBorders>
              <w:left w:val="nil"/>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101 (16.8%)</w:t>
            </w:r>
          </w:p>
        </w:tc>
      </w:tr>
      <w:tr w:rsidR="00D5102A" w:rsidRPr="00D5102A" w:rsidTr="00695099">
        <w:trPr>
          <w:cantSplit/>
        </w:trPr>
        <w:tc>
          <w:tcPr>
            <w:tcW w:w="3557" w:type="dxa"/>
            <w:tcBorders>
              <w:top w:val="nil"/>
              <w:left w:val="single" w:sz="4" w:space="0" w:color="auto"/>
              <w:bottom w:val="nil"/>
              <w:right w:val="single" w:sz="4" w:space="0" w:color="auto"/>
            </w:tcBorders>
            <w:vAlign w:val="bottom"/>
          </w:tcPr>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HR [95% CI]</w:t>
            </w:r>
          </w:p>
        </w:tc>
        <w:tc>
          <w:tcPr>
            <w:tcW w:w="5521" w:type="dxa"/>
            <w:gridSpan w:val="2"/>
            <w:tcBorders>
              <w:left w:val="single" w:sz="4" w:space="0" w:color="auto"/>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0.66 [0.51, 0.85]</w:t>
            </w:r>
          </w:p>
        </w:tc>
      </w:tr>
      <w:tr w:rsidR="00D5102A" w:rsidRPr="00D5102A" w:rsidTr="00695099">
        <w:trPr>
          <w:cantSplit/>
        </w:trPr>
        <w:tc>
          <w:tcPr>
            <w:tcW w:w="3557" w:type="dxa"/>
            <w:tcBorders>
              <w:top w:val="nil"/>
              <w:left w:val="single" w:sz="4" w:space="0" w:color="auto"/>
              <w:bottom w:val="nil"/>
              <w:right w:val="single" w:sz="4" w:space="0" w:color="auto"/>
            </w:tcBorders>
            <w:vAlign w:val="bottom"/>
          </w:tcPr>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p-value (Log-Rank test, stratified*)</w:t>
            </w:r>
          </w:p>
        </w:tc>
        <w:tc>
          <w:tcPr>
            <w:tcW w:w="5521" w:type="dxa"/>
            <w:gridSpan w:val="2"/>
            <w:tcBorders>
              <w:left w:val="single" w:sz="4" w:space="0" w:color="auto"/>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0.0012</w:t>
            </w:r>
          </w:p>
        </w:tc>
      </w:tr>
      <w:tr w:rsidR="00D5102A" w:rsidRPr="00D5102A" w:rsidTr="00695099">
        <w:trPr>
          <w:cantSplit/>
        </w:trPr>
        <w:tc>
          <w:tcPr>
            <w:tcW w:w="3557" w:type="dxa"/>
            <w:tcBorders>
              <w:top w:val="nil"/>
              <w:left w:val="single" w:sz="4" w:space="0" w:color="auto"/>
              <w:bottom w:val="nil"/>
              <w:right w:val="single" w:sz="4" w:space="0" w:color="auto"/>
            </w:tcBorders>
          </w:tcPr>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2 year PFS estimate</w:t>
            </w:r>
          </w:p>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[95% CI]</w:t>
            </w:r>
          </w:p>
        </w:tc>
        <w:tc>
          <w:tcPr>
            <w:tcW w:w="2828" w:type="dxa"/>
            <w:tcBorders>
              <w:lef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 xml:space="preserve">80.9 </w:t>
            </w:r>
          </w:p>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[77.4, 84.0]</w:t>
            </w:r>
          </w:p>
        </w:tc>
        <w:tc>
          <w:tcPr>
            <w:tcW w:w="2693" w:type="dxa"/>
            <w:tcBorders>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 xml:space="preserve">87.7 </w:t>
            </w:r>
          </w:p>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[84.6, 90.1]</w:t>
            </w:r>
          </w:p>
        </w:tc>
      </w:tr>
      <w:tr w:rsidR="00D5102A" w:rsidRPr="00D5102A" w:rsidTr="00695099">
        <w:trPr>
          <w:cantSplit/>
        </w:trPr>
        <w:tc>
          <w:tcPr>
            <w:tcW w:w="3557" w:type="dxa"/>
            <w:tcBorders>
              <w:top w:val="nil"/>
              <w:left w:val="single" w:sz="4" w:space="0" w:color="auto"/>
              <w:bottom w:val="nil"/>
              <w:right w:val="single" w:sz="4" w:space="0" w:color="auto"/>
            </w:tcBorders>
          </w:tcPr>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 xml:space="preserve">3 year PFS estimate </w:t>
            </w:r>
          </w:p>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[95% CI]</w:t>
            </w:r>
          </w:p>
        </w:tc>
        <w:tc>
          <w:tcPr>
            <w:tcW w:w="2828" w:type="dxa"/>
            <w:tcBorders>
              <w:lef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73.3</w:t>
            </w:r>
          </w:p>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[68.8, 77.2]</w:t>
            </w:r>
          </w:p>
        </w:tc>
        <w:tc>
          <w:tcPr>
            <w:tcW w:w="2693" w:type="dxa"/>
            <w:tcBorders>
              <w:right w:val="single" w:sz="4" w:space="0" w:color="auto"/>
            </w:tcBorders>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80.0</w:t>
            </w:r>
          </w:p>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[75.9, 83.6]</w:t>
            </w:r>
          </w:p>
        </w:tc>
      </w:tr>
      <w:tr w:rsidR="00D5102A" w:rsidRPr="00D5102A" w:rsidTr="00695099">
        <w:trPr>
          <w:cantSplit/>
        </w:trPr>
        <w:tc>
          <w:tcPr>
            <w:tcW w:w="3557" w:type="dxa"/>
            <w:tcBorders>
              <w:top w:val="single" w:sz="4" w:space="0" w:color="auto"/>
              <w:left w:val="single" w:sz="4" w:space="0" w:color="auto"/>
              <w:bottom w:val="single" w:sz="4" w:space="0" w:color="auto"/>
              <w:right w:val="single" w:sz="4" w:space="0" w:color="auto"/>
            </w:tcBorders>
            <w:vAlign w:val="bottom"/>
          </w:tcPr>
          <w:p w:rsidR="00D5102A" w:rsidRPr="00ED6A89" w:rsidRDefault="00D5102A" w:rsidP="00695099">
            <w:pPr>
              <w:keepLines/>
              <w:spacing w:before="50" w:after="50" w:line="240" w:lineRule="exact"/>
              <w:rPr>
                <w:rFonts w:eastAsia="SimSun"/>
                <w:b/>
                <w:i/>
                <w:sz w:val="22"/>
                <w:lang w:val="en-GB" w:eastAsia="zh-CN"/>
              </w:rPr>
            </w:pPr>
            <w:r w:rsidRPr="00ED6A89">
              <w:rPr>
                <w:rFonts w:eastAsia="SimSun"/>
                <w:b/>
                <w:i/>
                <w:sz w:val="22"/>
                <w:lang w:val="en-GB" w:eastAsia="zh-CN"/>
              </w:rPr>
              <w:t>Key Endpoints</w:t>
            </w:r>
          </w:p>
        </w:tc>
        <w:tc>
          <w:tcPr>
            <w:tcW w:w="5521" w:type="dxa"/>
            <w:gridSpan w:val="2"/>
            <w:tcBorders>
              <w:top w:val="single" w:sz="4" w:space="0" w:color="auto"/>
              <w:left w:val="single" w:sz="4" w:space="0" w:color="auto"/>
              <w:bottom w:val="single" w:sz="4" w:space="0" w:color="auto"/>
              <w:right w:val="single" w:sz="4" w:space="0" w:color="auto"/>
            </w:tcBorders>
            <w:vAlign w:val="bottom"/>
          </w:tcPr>
          <w:p w:rsidR="00D5102A" w:rsidRPr="00ED6A89" w:rsidRDefault="00D5102A" w:rsidP="00695099">
            <w:pPr>
              <w:keepNext/>
              <w:keepLines/>
              <w:spacing w:before="50" w:after="50" w:line="240" w:lineRule="exact"/>
              <w:jc w:val="center"/>
              <w:rPr>
                <w:rFonts w:eastAsia="SimSun"/>
                <w:b/>
                <w:i/>
                <w:sz w:val="22"/>
                <w:lang w:val="en-GB" w:eastAsia="zh-CN"/>
              </w:rPr>
            </w:pPr>
          </w:p>
        </w:tc>
      </w:tr>
      <w:tr w:rsidR="00D5102A" w:rsidRPr="00D5102A" w:rsidTr="00695099">
        <w:trPr>
          <w:cantSplit/>
        </w:trPr>
        <w:tc>
          <w:tcPr>
            <w:tcW w:w="3557" w:type="dxa"/>
            <w:tcBorders>
              <w:top w:val="single" w:sz="4" w:space="0" w:color="auto"/>
              <w:left w:val="single" w:sz="4" w:space="0" w:color="auto"/>
              <w:bottom w:val="nil"/>
              <w:right w:val="single" w:sz="4" w:space="0" w:color="auto"/>
            </w:tcBorders>
            <w:vAlign w:val="bottom"/>
          </w:tcPr>
          <w:p w:rsidR="00D5102A" w:rsidRPr="00ED6A89" w:rsidRDefault="00D5102A" w:rsidP="00695099">
            <w:pPr>
              <w:keepLines/>
              <w:spacing w:before="50" w:after="50" w:line="240" w:lineRule="exact"/>
              <w:rPr>
                <w:rFonts w:eastAsia="SimSun"/>
                <w:b/>
                <w:sz w:val="22"/>
                <w:vertAlign w:val="superscript"/>
                <w:lang w:val="en-GB" w:eastAsia="zh-CN"/>
              </w:rPr>
            </w:pPr>
            <w:r w:rsidRPr="00ED6A89">
              <w:rPr>
                <w:rFonts w:eastAsia="SimSun"/>
                <w:b/>
                <w:sz w:val="22"/>
                <w:lang w:val="en-GB" w:eastAsia="zh-CN"/>
              </w:rPr>
              <w:t>IRC-assessed PFS</w:t>
            </w:r>
            <w:r w:rsidRPr="00ED6A89">
              <w:rPr>
                <w:rFonts w:eastAsia="SimSun"/>
                <w:sz w:val="22"/>
                <w:vertAlign w:val="superscript"/>
                <w:lang w:val="en-US" w:eastAsia="zh-CN"/>
              </w:rPr>
              <w:t>§</w:t>
            </w:r>
            <w:r w:rsidRPr="00ED6A89">
              <w:rPr>
                <w:rFonts w:eastAsia="SimSun"/>
                <w:b/>
                <w:sz w:val="22"/>
                <w:lang w:val="en-GB" w:eastAsia="zh-CN"/>
              </w:rPr>
              <w:t xml:space="preserve"> (PFS-IRC)</w:t>
            </w:r>
            <w:r w:rsidRPr="00ED6A89">
              <w:rPr>
                <w:rFonts w:eastAsia="SimSun"/>
                <w:sz w:val="22"/>
                <w:vertAlign w:val="superscript"/>
                <w:lang w:val="en-US" w:eastAsia="zh-CN"/>
              </w:rPr>
              <w:t xml:space="preserve"> </w:t>
            </w:r>
            <w:r w:rsidRPr="00ED6A89" w:rsidDel="007D3FF6">
              <w:rPr>
                <w:rFonts w:eastAsia="SimSun"/>
                <w:b/>
                <w:sz w:val="22"/>
                <w:vertAlign w:val="superscript"/>
                <w:lang w:val="en-GB" w:eastAsia="zh-CN"/>
              </w:rPr>
              <w:t xml:space="preserve"> </w:t>
            </w:r>
          </w:p>
        </w:tc>
        <w:tc>
          <w:tcPr>
            <w:tcW w:w="5521" w:type="dxa"/>
            <w:gridSpan w:val="2"/>
            <w:tcBorders>
              <w:top w:val="single" w:sz="4" w:space="0" w:color="auto"/>
              <w:left w:val="single" w:sz="4" w:space="0" w:color="auto"/>
              <w:right w:val="single" w:sz="4" w:space="0" w:color="auto"/>
            </w:tcBorders>
            <w:vAlign w:val="bottom"/>
          </w:tcPr>
          <w:p w:rsidR="00D5102A" w:rsidRPr="00ED6A89" w:rsidRDefault="00D5102A" w:rsidP="00695099">
            <w:pPr>
              <w:keepNext/>
              <w:keepLines/>
              <w:spacing w:before="50" w:after="50" w:line="240" w:lineRule="exact"/>
              <w:jc w:val="center"/>
              <w:rPr>
                <w:rFonts w:eastAsia="MS Mincho"/>
                <w:sz w:val="22"/>
                <w:lang w:val="en-US" w:eastAsia="ja-JP"/>
              </w:rPr>
            </w:pPr>
          </w:p>
        </w:tc>
      </w:tr>
      <w:tr w:rsidR="00D5102A" w:rsidRPr="00D5102A" w:rsidTr="00695099">
        <w:trPr>
          <w:cantSplit/>
        </w:trPr>
        <w:tc>
          <w:tcPr>
            <w:tcW w:w="3557" w:type="dxa"/>
            <w:tcBorders>
              <w:top w:val="nil"/>
              <w:left w:val="single" w:sz="4" w:space="0" w:color="auto"/>
              <w:bottom w:val="nil"/>
              <w:right w:val="single" w:sz="4" w:space="0" w:color="auto"/>
            </w:tcBorders>
            <w:vAlign w:val="bottom"/>
          </w:tcPr>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lastRenderedPageBreak/>
              <w:t xml:space="preserve">Number (%) of patients with event </w:t>
            </w:r>
          </w:p>
        </w:tc>
        <w:tc>
          <w:tcPr>
            <w:tcW w:w="2828" w:type="dxa"/>
            <w:tcBorders>
              <w:left w:val="single" w:sz="4" w:space="0" w:color="auto"/>
            </w:tcBorders>
            <w:vAlign w:val="bottom"/>
          </w:tcPr>
          <w:p w:rsidR="00D5102A" w:rsidRPr="00ED6A89" w:rsidRDefault="00D5102A" w:rsidP="00695099">
            <w:pPr>
              <w:keepNext/>
              <w:keepLines/>
              <w:tabs>
                <w:tab w:val="left" w:pos="1840"/>
              </w:tabs>
              <w:spacing w:before="50" w:after="50" w:line="240" w:lineRule="exact"/>
              <w:jc w:val="center"/>
              <w:rPr>
                <w:rFonts w:eastAsia="SimSun"/>
                <w:sz w:val="22"/>
                <w:lang w:val="en-GB" w:eastAsia="zh-CN"/>
              </w:rPr>
            </w:pPr>
            <w:r w:rsidRPr="00ED6A89">
              <w:rPr>
                <w:rFonts w:eastAsia="SimSun"/>
                <w:sz w:val="22"/>
                <w:lang w:val="en-GB" w:eastAsia="zh-CN"/>
              </w:rPr>
              <w:t>125 (20.8%)</w:t>
            </w:r>
          </w:p>
        </w:tc>
        <w:tc>
          <w:tcPr>
            <w:tcW w:w="2693" w:type="dxa"/>
            <w:tcBorders>
              <w:left w:val="nil"/>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93 (15.5%)</w:t>
            </w:r>
          </w:p>
        </w:tc>
      </w:tr>
      <w:tr w:rsidR="00D5102A" w:rsidRPr="00D5102A" w:rsidTr="00695099">
        <w:trPr>
          <w:cantSplit/>
        </w:trPr>
        <w:tc>
          <w:tcPr>
            <w:tcW w:w="3557" w:type="dxa"/>
            <w:tcBorders>
              <w:top w:val="nil"/>
              <w:left w:val="single" w:sz="4" w:space="0" w:color="auto"/>
              <w:bottom w:val="nil"/>
              <w:right w:val="single" w:sz="4" w:space="0" w:color="auto"/>
            </w:tcBorders>
            <w:vAlign w:val="bottom"/>
          </w:tcPr>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HR [95% CI]</w:t>
            </w:r>
          </w:p>
        </w:tc>
        <w:tc>
          <w:tcPr>
            <w:tcW w:w="5521" w:type="dxa"/>
            <w:gridSpan w:val="2"/>
            <w:tcBorders>
              <w:left w:val="single" w:sz="4" w:space="0" w:color="auto"/>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0.71 [0.54, 0.93]</w:t>
            </w:r>
          </w:p>
        </w:tc>
      </w:tr>
      <w:tr w:rsidR="00D5102A" w:rsidRPr="00D5102A" w:rsidTr="00695099">
        <w:trPr>
          <w:cantSplit/>
        </w:trPr>
        <w:tc>
          <w:tcPr>
            <w:tcW w:w="3557" w:type="dxa"/>
            <w:tcBorders>
              <w:top w:val="nil"/>
              <w:left w:val="single" w:sz="4" w:space="0" w:color="auto"/>
              <w:bottom w:val="nil"/>
              <w:right w:val="single" w:sz="4" w:space="0" w:color="auto"/>
            </w:tcBorders>
            <w:vAlign w:val="bottom"/>
          </w:tcPr>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p-value (Log-Rank test, stratified*)</w:t>
            </w:r>
          </w:p>
        </w:tc>
        <w:tc>
          <w:tcPr>
            <w:tcW w:w="5521" w:type="dxa"/>
            <w:gridSpan w:val="2"/>
            <w:tcBorders>
              <w:left w:val="single" w:sz="4" w:space="0" w:color="auto"/>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0.0138</w:t>
            </w:r>
          </w:p>
        </w:tc>
      </w:tr>
      <w:tr w:rsidR="00D5102A" w:rsidRPr="00D5102A" w:rsidTr="00695099">
        <w:trPr>
          <w:cantSplit/>
        </w:trPr>
        <w:tc>
          <w:tcPr>
            <w:tcW w:w="3557" w:type="dxa"/>
            <w:tcBorders>
              <w:top w:val="nil"/>
              <w:left w:val="single" w:sz="4" w:space="0" w:color="auto"/>
              <w:bottom w:val="nil"/>
              <w:right w:val="single" w:sz="4" w:space="0" w:color="auto"/>
            </w:tcBorders>
          </w:tcPr>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2 year PFS estimate</w:t>
            </w:r>
          </w:p>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[95% CI]</w:t>
            </w:r>
          </w:p>
        </w:tc>
        <w:tc>
          <w:tcPr>
            <w:tcW w:w="2828" w:type="dxa"/>
            <w:tcBorders>
              <w:lef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82.0</w:t>
            </w:r>
          </w:p>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[78.5, 85.0]</w:t>
            </w:r>
          </w:p>
        </w:tc>
        <w:tc>
          <w:tcPr>
            <w:tcW w:w="2693" w:type="dxa"/>
            <w:tcBorders>
              <w:left w:val="nil"/>
              <w:right w:val="single" w:sz="4" w:space="0" w:color="auto"/>
            </w:tcBorders>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87.2</w:t>
            </w:r>
          </w:p>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[84.1, 89.7]</w:t>
            </w:r>
          </w:p>
        </w:tc>
      </w:tr>
      <w:tr w:rsidR="00D5102A" w:rsidRPr="00D5102A" w:rsidTr="00695099">
        <w:trPr>
          <w:cantSplit/>
        </w:trPr>
        <w:tc>
          <w:tcPr>
            <w:tcW w:w="3557" w:type="dxa"/>
            <w:tcBorders>
              <w:top w:val="nil"/>
              <w:left w:val="single" w:sz="4" w:space="0" w:color="auto"/>
              <w:bottom w:val="nil"/>
              <w:right w:val="single" w:sz="4" w:space="0" w:color="auto"/>
            </w:tcBorders>
          </w:tcPr>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3 year PFS estimate</w:t>
            </w:r>
          </w:p>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[95% CI]</w:t>
            </w:r>
          </w:p>
        </w:tc>
        <w:tc>
          <w:tcPr>
            <w:tcW w:w="2828" w:type="dxa"/>
            <w:tcBorders>
              <w:lef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77.9</w:t>
            </w:r>
          </w:p>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[73.8, 81.4]</w:t>
            </w:r>
          </w:p>
        </w:tc>
        <w:tc>
          <w:tcPr>
            <w:tcW w:w="2693" w:type="dxa"/>
            <w:tcBorders>
              <w:left w:val="nil"/>
              <w:right w:val="single" w:sz="4" w:space="0" w:color="auto"/>
            </w:tcBorders>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81.9</w:t>
            </w:r>
          </w:p>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[77.9, 85.2]</w:t>
            </w:r>
          </w:p>
        </w:tc>
      </w:tr>
      <w:tr w:rsidR="00D5102A" w:rsidRPr="00D5102A" w:rsidTr="00695099">
        <w:trPr>
          <w:cantSplit/>
        </w:trPr>
        <w:tc>
          <w:tcPr>
            <w:tcW w:w="3557" w:type="dxa"/>
            <w:tcBorders>
              <w:top w:val="single" w:sz="4" w:space="0" w:color="auto"/>
              <w:left w:val="single" w:sz="4" w:space="0" w:color="auto"/>
              <w:bottom w:val="nil"/>
              <w:right w:val="single" w:sz="4" w:space="0" w:color="auto"/>
            </w:tcBorders>
            <w:vAlign w:val="bottom"/>
          </w:tcPr>
          <w:p w:rsidR="00D5102A" w:rsidRPr="00ED6A89" w:rsidRDefault="00D5102A" w:rsidP="00695099">
            <w:pPr>
              <w:keepLines/>
              <w:spacing w:before="50" w:after="50" w:line="240" w:lineRule="exact"/>
              <w:jc w:val="left"/>
              <w:rPr>
                <w:rFonts w:eastAsia="SimSun"/>
                <w:b/>
                <w:sz w:val="22"/>
                <w:vertAlign w:val="superscript"/>
                <w:lang w:val="en-GB" w:eastAsia="zh-CN"/>
              </w:rPr>
            </w:pPr>
            <w:r w:rsidRPr="00ED6A89">
              <w:rPr>
                <w:rFonts w:eastAsia="SimSun"/>
                <w:b/>
                <w:sz w:val="22"/>
                <w:lang w:val="en-GB" w:eastAsia="zh-CN"/>
              </w:rPr>
              <w:t>Time to next anti-lymphoma therapy</w:t>
            </w:r>
            <w:r w:rsidRPr="00ED6A89" w:rsidDel="007D3FF6">
              <w:rPr>
                <w:rFonts w:eastAsia="SimSun"/>
                <w:b/>
                <w:sz w:val="22"/>
                <w:vertAlign w:val="superscript"/>
                <w:lang w:val="en-GB" w:eastAsia="zh-CN"/>
              </w:rPr>
              <w:t xml:space="preserve"> </w:t>
            </w:r>
          </w:p>
        </w:tc>
        <w:tc>
          <w:tcPr>
            <w:tcW w:w="5521" w:type="dxa"/>
            <w:gridSpan w:val="2"/>
            <w:tcBorders>
              <w:top w:val="single" w:sz="4" w:space="0" w:color="auto"/>
              <w:left w:val="single" w:sz="4" w:space="0" w:color="auto"/>
              <w:right w:val="single" w:sz="4" w:space="0" w:color="auto"/>
            </w:tcBorders>
            <w:vAlign w:val="bottom"/>
          </w:tcPr>
          <w:p w:rsidR="00D5102A" w:rsidRPr="00ED6A89" w:rsidRDefault="00D5102A" w:rsidP="00695099">
            <w:pPr>
              <w:keepNext/>
              <w:keepLines/>
              <w:spacing w:before="50" w:after="50" w:line="240" w:lineRule="exact"/>
              <w:jc w:val="center"/>
              <w:rPr>
                <w:rFonts w:eastAsia="MS Mincho"/>
                <w:sz w:val="22"/>
                <w:lang w:val="en-US" w:eastAsia="ja-JP"/>
              </w:rPr>
            </w:pPr>
          </w:p>
        </w:tc>
      </w:tr>
      <w:tr w:rsidR="00D5102A" w:rsidRPr="00D5102A" w:rsidTr="00695099">
        <w:trPr>
          <w:cantSplit/>
        </w:trPr>
        <w:tc>
          <w:tcPr>
            <w:tcW w:w="3557" w:type="dxa"/>
            <w:tcBorders>
              <w:top w:val="nil"/>
              <w:left w:val="single" w:sz="4" w:space="0" w:color="auto"/>
              <w:bottom w:val="nil"/>
              <w:right w:val="single" w:sz="4" w:space="0" w:color="auto"/>
            </w:tcBorders>
            <w:vAlign w:val="bottom"/>
          </w:tcPr>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 xml:space="preserve">Number (%) of patients with event </w:t>
            </w:r>
          </w:p>
        </w:tc>
        <w:tc>
          <w:tcPr>
            <w:tcW w:w="2828" w:type="dxa"/>
            <w:tcBorders>
              <w:left w:val="single" w:sz="4" w:space="0" w:color="auto"/>
            </w:tcBorders>
            <w:vAlign w:val="bottom"/>
          </w:tcPr>
          <w:p w:rsidR="00D5102A" w:rsidRPr="00ED6A89" w:rsidRDefault="00D5102A" w:rsidP="00695099">
            <w:pPr>
              <w:keepNext/>
              <w:keepLines/>
              <w:tabs>
                <w:tab w:val="left" w:pos="1840"/>
              </w:tabs>
              <w:spacing w:before="50" w:after="50" w:line="240" w:lineRule="exact"/>
              <w:jc w:val="center"/>
              <w:rPr>
                <w:rFonts w:eastAsia="SimSun"/>
                <w:sz w:val="22"/>
                <w:lang w:val="en-GB" w:eastAsia="zh-CN"/>
              </w:rPr>
            </w:pPr>
            <w:r w:rsidRPr="00ED6A89">
              <w:rPr>
                <w:rFonts w:eastAsia="SimSun"/>
                <w:sz w:val="22"/>
                <w:lang w:val="en-GB" w:eastAsia="zh-CN"/>
              </w:rPr>
              <w:t>111 (18.5%)</w:t>
            </w:r>
          </w:p>
        </w:tc>
        <w:tc>
          <w:tcPr>
            <w:tcW w:w="2693" w:type="dxa"/>
            <w:tcBorders>
              <w:left w:val="nil"/>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80 (13.3%)</w:t>
            </w:r>
          </w:p>
        </w:tc>
      </w:tr>
      <w:tr w:rsidR="00D5102A" w:rsidRPr="00D5102A" w:rsidTr="00695099">
        <w:trPr>
          <w:cantSplit/>
        </w:trPr>
        <w:tc>
          <w:tcPr>
            <w:tcW w:w="3557" w:type="dxa"/>
            <w:tcBorders>
              <w:top w:val="nil"/>
              <w:left w:val="single" w:sz="4" w:space="0" w:color="auto"/>
              <w:bottom w:val="nil"/>
              <w:right w:val="single" w:sz="4" w:space="0" w:color="auto"/>
            </w:tcBorders>
            <w:vAlign w:val="bottom"/>
          </w:tcPr>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HR [95% CI]</w:t>
            </w:r>
          </w:p>
        </w:tc>
        <w:tc>
          <w:tcPr>
            <w:tcW w:w="5521" w:type="dxa"/>
            <w:gridSpan w:val="2"/>
            <w:tcBorders>
              <w:left w:val="single" w:sz="4" w:space="0" w:color="auto"/>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0.68 [0.51, 0.91]</w:t>
            </w:r>
          </w:p>
        </w:tc>
      </w:tr>
      <w:tr w:rsidR="00D5102A" w:rsidRPr="00D5102A" w:rsidTr="00695099">
        <w:trPr>
          <w:cantSplit/>
        </w:trPr>
        <w:tc>
          <w:tcPr>
            <w:tcW w:w="3557" w:type="dxa"/>
            <w:tcBorders>
              <w:top w:val="nil"/>
              <w:left w:val="single" w:sz="4" w:space="0" w:color="auto"/>
              <w:bottom w:val="nil"/>
              <w:right w:val="single" w:sz="4" w:space="0" w:color="auto"/>
            </w:tcBorders>
            <w:vAlign w:val="bottom"/>
          </w:tcPr>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p-value (Log-Rank test, stratified*)</w:t>
            </w:r>
          </w:p>
        </w:tc>
        <w:tc>
          <w:tcPr>
            <w:tcW w:w="5521" w:type="dxa"/>
            <w:gridSpan w:val="2"/>
            <w:tcBorders>
              <w:left w:val="single" w:sz="4" w:space="0" w:color="auto"/>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0.0094</w:t>
            </w:r>
          </w:p>
        </w:tc>
      </w:tr>
      <w:tr w:rsidR="00D5102A" w:rsidRPr="00D5102A" w:rsidTr="00695099">
        <w:trPr>
          <w:cantSplit/>
        </w:trPr>
        <w:tc>
          <w:tcPr>
            <w:tcW w:w="3557" w:type="dxa"/>
            <w:tcBorders>
              <w:top w:val="single" w:sz="4" w:space="0" w:color="auto"/>
              <w:left w:val="single" w:sz="4" w:space="0" w:color="auto"/>
              <w:bottom w:val="nil"/>
              <w:right w:val="single" w:sz="4" w:space="0" w:color="auto"/>
            </w:tcBorders>
            <w:vAlign w:val="bottom"/>
          </w:tcPr>
          <w:p w:rsidR="00D5102A" w:rsidRPr="00ED6A89" w:rsidRDefault="00D5102A" w:rsidP="00695099">
            <w:pPr>
              <w:keepLines/>
              <w:spacing w:before="50" w:after="50" w:line="240" w:lineRule="exact"/>
              <w:rPr>
                <w:rFonts w:eastAsia="SimSun"/>
                <w:b/>
                <w:sz w:val="22"/>
                <w:lang w:val="en-GB" w:eastAsia="zh-CN"/>
              </w:rPr>
            </w:pPr>
            <w:r w:rsidRPr="00ED6A89">
              <w:rPr>
                <w:rFonts w:eastAsia="SimSun"/>
                <w:b/>
                <w:sz w:val="22"/>
                <w:lang w:val="en-GB" w:eastAsia="zh-CN"/>
              </w:rPr>
              <w:t>Overall Survival</w:t>
            </w:r>
          </w:p>
        </w:tc>
        <w:tc>
          <w:tcPr>
            <w:tcW w:w="5521" w:type="dxa"/>
            <w:gridSpan w:val="2"/>
            <w:tcBorders>
              <w:top w:val="single" w:sz="4" w:space="0" w:color="auto"/>
              <w:left w:val="single" w:sz="4" w:space="0" w:color="auto"/>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MS Mincho"/>
                <w:sz w:val="22"/>
                <w:lang w:val="en-US" w:eastAsia="ja-JP"/>
              </w:rPr>
            </w:pPr>
          </w:p>
        </w:tc>
      </w:tr>
      <w:tr w:rsidR="00D5102A" w:rsidRPr="00D5102A" w:rsidTr="00695099">
        <w:trPr>
          <w:cantSplit/>
        </w:trPr>
        <w:tc>
          <w:tcPr>
            <w:tcW w:w="3557" w:type="dxa"/>
            <w:tcBorders>
              <w:top w:val="nil"/>
              <w:left w:val="single" w:sz="4" w:space="0" w:color="auto"/>
              <w:bottom w:val="nil"/>
              <w:right w:val="single" w:sz="4" w:space="0" w:color="auto"/>
            </w:tcBorders>
            <w:vAlign w:val="bottom"/>
          </w:tcPr>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Number (%) of patients with event</w:t>
            </w:r>
          </w:p>
        </w:tc>
        <w:tc>
          <w:tcPr>
            <w:tcW w:w="2828" w:type="dxa"/>
            <w:tcBorders>
              <w:top w:val="nil"/>
              <w:left w:val="single" w:sz="4" w:space="0" w:color="auto"/>
              <w:bottom w:val="nil"/>
              <w:right w:val="nil"/>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46 (7.7%)</w:t>
            </w:r>
          </w:p>
        </w:tc>
        <w:tc>
          <w:tcPr>
            <w:tcW w:w="2693" w:type="dxa"/>
            <w:tcBorders>
              <w:top w:val="nil"/>
              <w:left w:val="nil"/>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35 (5.8%)</w:t>
            </w:r>
          </w:p>
        </w:tc>
      </w:tr>
      <w:tr w:rsidR="00D5102A" w:rsidRPr="00D5102A" w:rsidTr="00695099">
        <w:trPr>
          <w:cantSplit/>
        </w:trPr>
        <w:tc>
          <w:tcPr>
            <w:tcW w:w="3557" w:type="dxa"/>
            <w:tcBorders>
              <w:top w:val="nil"/>
              <w:left w:val="single" w:sz="4" w:space="0" w:color="auto"/>
              <w:right w:val="single" w:sz="4" w:space="0" w:color="auto"/>
            </w:tcBorders>
            <w:vAlign w:val="bottom"/>
          </w:tcPr>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HR [95% CI]</w:t>
            </w:r>
          </w:p>
        </w:tc>
        <w:tc>
          <w:tcPr>
            <w:tcW w:w="5521" w:type="dxa"/>
            <w:gridSpan w:val="2"/>
            <w:tcBorders>
              <w:top w:val="nil"/>
              <w:left w:val="single" w:sz="4" w:space="0" w:color="auto"/>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0.75 [0.49, 1.17]</w:t>
            </w:r>
            <w:r w:rsidRPr="00ED6A89">
              <w:rPr>
                <w:rFonts w:eastAsia="SimSun"/>
                <w:sz w:val="22"/>
                <w:vertAlign w:val="superscript"/>
                <w:lang w:val="en-US" w:eastAsia="zh-CN"/>
              </w:rPr>
              <w:t>¶</w:t>
            </w:r>
          </w:p>
        </w:tc>
      </w:tr>
      <w:tr w:rsidR="00D5102A" w:rsidRPr="00D5102A" w:rsidTr="00695099">
        <w:trPr>
          <w:cantSplit/>
        </w:trPr>
        <w:tc>
          <w:tcPr>
            <w:tcW w:w="3557" w:type="dxa"/>
            <w:tcBorders>
              <w:top w:val="nil"/>
              <w:left w:val="single" w:sz="4" w:space="0" w:color="auto"/>
              <w:right w:val="single" w:sz="4" w:space="0" w:color="auto"/>
            </w:tcBorders>
            <w:vAlign w:val="bottom"/>
          </w:tcPr>
          <w:p w:rsidR="00D5102A" w:rsidRPr="00ED6A89" w:rsidRDefault="00D5102A" w:rsidP="00695099">
            <w:pPr>
              <w:keepLines/>
              <w:spacing w:before="50" w:after="50" w:line="240" w:lineRule="exact"/>
              <w:ind w:left="226"/>
              <w:jc w:val="left"/>
              <w:rPr>
                <w:rFonts w:eastAsia="SimSun"/>
                <w:sz w:val="22"/>
                <w:lang w:val="en-GB" w:eastAsia="zh-CN"/>
              </w:rPr>
            </w:pPr>
            <w:r w:rsidRPr="00ED6A89">
              <w:rPr>
                <w:rFonts w:eastAsia="SimSun"/>
                <w:sz w:val="22"/>
                <w:lang w:val="en-GB" w:eastAsia="zh-CN"/>
              </w:rPr>
              <w:t>p-value (Log-Rank test, stratified*)</w:t>
            </w:r>
          </w:p>
        </w:tc>
        <w:tc>
          <w:tcPr>
            <w:tcW w:w="5521" w:type="dxa"/>
            <w:gridSpan w:val="2"/>
            <w:tcBorders>
              <w:top w:val="nil"/>
              <w:left w:val="single" w:sz="4" w:space="0" w:color="auto"/>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0.21</w:t>
            </w:r>
            <w:r w:rsidRPr="00ED6A89">
              <w:rPr>
                <w:rFonts w:eastAsia="SimSun"/>
                <w:sz w:val="22"/>
                <w:vertAlign w:val="superscript"/>
                <w:lang w:val="en-US" w:eastAsia="zh-CN"/>
              </w:rPr>
              <w:t>¶</w:t>
            </w:r>
          </w:p>
        </w:tc>
      </w:tr>
      <w:tr w:rsidR="00D5102A" w:rsidRPr="00D5102A" w:rsidTr="00695099">
        <w:trPr>
          <w:cantSplit/>
        </w:trPr>
        <w:tc>
          <w:tcPr>
            <w:tcW w:w="3557" w:type="dxa"/>
            <w:tcBorders>
              <w:top w:val="single" w:sz="4" w:space="0" w:color="auto"/>
              <w:left w:val="single" w:sz="4" w:space="0" w:color="auto"/>
              <w:bottom w:val="nil"/>
              <w:right w:val="single" w:sz="4" w:space="0" w:color="auto"/>
            </w:tcBorders>
            <w:vAlign w:val="bottom"/>
          </w:tcPr>
          <w:p w:rsidR="00D5102A" w:rsidRPr="00ED6A89" w:rsidRDefault="00D5102A" w:rsidP="002435E5">
            <w:pPr>
              <w:keepNext/>
              <w:keepLines/>
              <w:spacing w:before="50" w:after="50" w:line="240" w:lineRule="exact"/>
              <w:jc w:val="left"/>
              <w:rPr>
                <w:rFonts w:eastAsia="SimSun"/>
                <w:b/>
                <w:sz w:val="22"/>
                <w:highlight w:val="yellow"/>
                <w:vertAlign w:val="superscript"/>
                <w:lang w:val="en-GB" w:eastAsia="zh-CN"/>
              </w:rPr>
            </w:pPr>
            <w:r w:rsidRPr="00ED6A89">
              <w:rPr>
                <w:rFonts w:eastAsia="SimSun"/>
                <w:b/>
                <w:sz w:val="22"/>
                <w:lang w:val="en-GB" w:eastAsia="zh-CN"/>
              </w:rPr>
              <w:t>Overall Response Rate** at End of Induction</w:t>
            </w:r>
            <w:r w:rsidRPr="00ED6A89">
              <w:rPr>
                <w:rFonts w:eastAsia="SimSun"/>
                <w:sz w:val="22"/>
                <w:vertAlign w:val="superscript"/>
                <w:lang w:val="en-GB" w:eastAsia="zh-CN"/>
              </w:rPr>
              <w:t>‡</w:t>
            </w:r>
            <w:r w:rsidRPr="00ED6A89">
              <w:rPr>
                <w:rFonts w:eastAsia="SimSun"/>
                <w:sz w:val="22"/>
                <w:vertAlign w:val="superscript"/>
                <w:lang w:val="en-US" w:eastAsia="zh-CN"/>
              </w:rPr>
              <w:t xml:space="preserve"> </w:t>
            </w:r>
            <w:r w:rsidRPr="00ED6A89">
              <w:rPr>
                <w:rFonts w:eastAsia="SimSun"/>
                <w:b/>
                <w:sz w:val="22"/>
                <w:vertAlign w:val="superscript"/>
                <w:lang w:val="en-GB" w:eastAsia="zh-CN"/>
              </w:rPr>
              <w:t xml:space="preserve"> </w:t>
            </w:r>
            <w:r w:rsidRPr="00ED6A89">
              <w:rPr>
                <w:rFonts w:eastAsia="SimSun"/>
                <w:b/>
                <w:sz w:val="22"/>
                <w:lang w:val="en-GB" w:eastAsia="zh-CN"/>
              </w:rPr>
              <w:t>(INV-assessed, CT)</w:t>
            </w:r>
          </w:p>
        </w:tc>
        <w:tc>
          <w:tcPr>
            <w:tcW w:w="5521" w:type="dxa"/>
            <w:gridSpan w:val="2"/>
            <w:tcBorders>
              <w:top w:val="single" w:sz="4" w:space="0" w:color="auto"/>
              <w:left w:val="single" w:sz="4" w:space="0" w:color="auto"/>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MS Mincho"/>
                <w:sz w:val="22"/>
                <w:lang w:val="en-US" w:eastAsia="ja-JP"/>
              </w:rPr>
            </w:pPr>
          </w:p>
          <w:p w:rsidR="00D5102A" w:rsidRPr="00ED6A89" w:rsidRDefault="00D5102A" w:rsidP="00695099">
            <w:pPr>
              <w:keepNext/>
              <w:keepLines/>
              <w:spacing w:before="50" w:after="50" w:line="240" w:lineRule="exact"/>
              <w:jc w:val="left"/>
              <w:rPr>
                <w:rFonts w:eastAsia="MS Mincho"/>
                <w:sz w:val="22"/>
                <w:lang w:val="en-US" w:eastAsia="ja-JP"/>
              </w:rPr>
            </w:pPr>
          </w:p>
        </w:tc>
      </w:tr>
      <w:tr w:rsidR="00D5102A" w:rsidRPr="00D5102A" w:rsidTr="00695099">
        <w:trPr>
          <w:cantSplit/>
        </w:trPr>
        <w:tc>
          <w:tcPr>
            <w:tcW w:w="3557" w:type="dxa"/>
            <w:tcBorders>
              <w:top w:val="nil"/>
              <w:left w:val="single" w:sz="4" w:space="0" w:color="auto"/>
              <w:bottom w:val="nil"/>
              <w:right w:val="single" w:sz="4" w:space="0" w:color="auto"/>
            </w:tcBorders>
          </w:tcPr>
          <w:p w:rsidR="00D5102A" w:rsidRPr="00ED6A89" w:rsidRDefault="00D5102A" w:rsidP="00695099">
            <w:pPr>
              <w:keepNext/>
              <w:keepLines/>
              <w:spacing w:before="50" w:after="50" w:line="240" w:lineRule="exact"/>
              <w:ind w:left="213"/>
              <w:jc w:val="left"/>
              <w:rPr>
                <w:rFonts w:eastAsia="SimSun"/>
                <w:sz w:val="22"/>
                <w:lang w:val="en-GB" w:eastAsia="zh-CN"/>
              </w:rPr>
            </w:pPr>
            <w:r w:rsidRPr="00ED6A89">
              <w:rPr>
                <w:rFonts w:eastAsia="SimSun"/>
                <w:sz w:val="22"/>
                <w:lang w:val="en-GB" w:eastAsia="zh-CN"/>
              </w:rPr>
              <w:t>Responders (%) (CR, PR)</w:t>
            </w:r>
          </w:p>
        </w:tc>
        <w:tc>
          <w:tcPr>
            <w:tcW w:w="2828" w:type="dxa"/>
            <w:tcBorders>
              <w:top w:val="nil"/>
              <w:left w:val="single" w:sz="4" w:space="0" w:color="auto"/>
              <w:bottom w:val="nil"/>
              <w:right w:val="nil"/>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522 (86.9%)</w:t>
            </w:r>
          </w:p>
        </w:tc>
        <w:tc>
          <w:tcPr>
            <w:tcW w:w="2693" w:type="dxa"/>
            <w:tcBorders>
              <w:top w:val="nil"/>
              <w:left w:val="nil"/>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532 (88.5%)</w:t>
            </w:r>
          </w:p>
        </w:tc>
      </w:tr>
      <w:tr w:rsidR="00D5102A" w:rsidRPr="00D5102A" w:rsidTr="00695099">
        <w:trPr>
          <w:cantSplit/>
        </w:trPr>
        <w:tc>
          <w:tcPr>
            <w:tcW w:w="3557" w:type="dxa"/>
            <w:tcBorders>
              <w:top w:val="nil"/>
              <w:left w:val="single" w:sz="4" w:space="0" w:color="auto"/>
              <w:bottom w:val="nil"/>
              <w:right w:val="single" w:sz="4" w:space="0" w:color="auto"/>
            </w:tcBorders>
            <w:vAlign w:val="bottom"/>
          </w:tcPr>
          <w:p w:rsidR="00D5102A" w:rsidRPr="00ED6A89" w:rsidRDefault="00D5102A" w:rsidP="00695099">
            <w:pPr>
              <w:keepLines/>
              <w:spacing w:before="50" w:after="50" w:line="240" w:lineRule="exact"/>
              <w:ind w:left="213"/>
              <w:jc w:val="left"/>
              <w:rPr>
                <w:rFonts w:eastAsia="SimSun"/>
                <w:sz w:val="22"/>
                <w:lang w:val="en-GB" w:eastAsia="zh-CN"/>
              </w:rPr>
            </w:pPr>
            <w:r w:rsidRPr="00ED6A89">
              <w:rPr>
                <w:rFonts w:eastAsia="SimSun"/>
                <w:sz w:val="22"/>
                <w:lang w:val="en-GB" w:eastAsia="zh-CN"/>
              </w:rPr>
              <w:t>Difference in response rate (%) [95% CI]</w:t>
            </w:r>
          </w:p>
        </w:tc>
        <w:tc>
          <w:tcPr>
            <w:tcW w:w="5521" w:type="dxa"/>
            <w:gridSpan w:val="2"/>
            <w:tcBorders>
              <w:top w:val="nil"/>
              <w:left w:val="single" w:sz="4" w:space="0" w:color="auto"/>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shd w:val="clear" w:color="auto" w:fill="FFFFFF"/>
                <w:lang w:val="en-US" w:eastAsia="zh-CN"/>
              </w:rPr>
              <w:t>1.7% [-2.1%, 5.5%]</w:t>
            </w:r>
          </w:p>
        </w:tc>
      </w:tr>
      <w:tr w:rsidR="00D5102A" w:rsidRPr="00D5102A" w:rsidTr="00695099">
        <w:trPr>
          <w:cantSplit/>
        </w:trPr>
        <w:tc>
          <w:tcPr>
            <w:tcW w:w="3557" w:type="dxa"/>
            <w:tcBorders>
              <w:top w:val="nil"/>
              <w:left w:val="single" w:sz="4" w:space="0" w:color="auto"/>
              <w:right w:val="single" w:sz="4" w:space="0" w:color="auto"/>
            </w:tcBorders>
            <w:vAlign w:val="bottom"/>
          </w:tcPr>
          <w:p w:rsidR="00D5102A" w:rsidRPr="00ED6A89" w:rsidRDefault="00D5102A" w:rsidP="00695099">
            <w:pPr>
              <w:keepLines/>
              <w:spacing w:before="50" w:after="50" w:line="240" w:lineRule="exact"/>
              <w:ind w:left="213"/>
              <w:jc w:val="left"/>
              <w:rPr>
                <w:rFonts w:eastAsia="SimSun"/>
                <w:sz w:val="22"/>
                <w:lang w:val="en-GB" w:eastAsia="zh-CN"/>
              </w:rPr>
            </w:pPr>
            <w:r w:rsidRPr="00ED6A89">
              <w:rPr>
                <w:rFonts w:eastAsia="SimSun"/>
                <w:sz w:val="22"/>
                <w:lang w:val="en-GB" w:eastAsia="zh-CN"/>
              </w:rPr>
              <w:t>p-value (Cochran-Mantel-Haenszel test)</w:t>
            </w:r>
          </w:p>
        </w:tc>
        <w:tc>
          <w:tcPr>
            <w:tcW w:w="5521" w:type="dxa"/>
            <w:gridSpan w:val="2"/>
            <w:tcBorders>
              <w:top w:val="nil"/>
              <w:left w:val="single" w:sz="4" w:space="0" w:color="auto"/>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shd w:val="clear" w:color="auto" w:fill="FFFFFF"/>
                <w:lang w:val="en-US" w:eastAsia="zh-CN"/>
              </w:rPr>
              <w:t>0.33</w:t>
            </w:r>
          </w:p>
        </w:tc>
      </w:tr>
      <w:tr w:rsidR="00D5102A" w:rsidRPr="00D5102A" w:rsidTr="00695099">
        <w:trPr>
          <w:cantSplit/>
        </w:trPr>
        <w:tc>
          <w:tcPr>
            <w:tcW w:w="3557" w:type="dxa"/>
            <w:tcBorders>
              <w:left w:val="single" w:sz="4" w:space="0" w:color="auto"/>
              <w:bottom w:val="nil"/>
              <w:right w:val="single" w:sz="4" w:space="0" w:color="auto"/>
            </w:tcBorders>
            <w:vAlign w:val="bottom"/>
          </w:tcPr>
          <w:p w:rsidR="00D5102A" w:rsidRPr="00ED6A89" w:rsidRDefault="00D5102A" w:rsidP="00695099">
            <w:pPr>
              <w:keepNext/>
              <w:keepLines/>
              <w:spacing w:before="50" w:after="50" w:line="240" w:lineRule="exact"/>
              <w:ind w:left="219"/>
              <w:jc w:val="left"/>
              <w:rPr>
                <w:rFonts w:eastAsia="SimSun"/>
                <w:sz w:val="22"/>
                <w:lang w:val="en-GB" w:eastAsia="zh-CN"/>
              </w:rPr>
            </w:pPr>
            <w:r w:rsidRPr="00ED6A89">
              <w:rPr>
                <w:rFonts w:eastAsia="SimSun"/>
                <w:sz w:val="22"/>
                <w:lang w:val="en-GB" w:eastAsia="zh-CN"/>
              </w:rPr>
              <w:t>Complete Response (CR)</w:t>
            </w:r>
          </w:p>
        </w:tc>
        <w:tc>
          <w:tcPr>
            <w:tcW w:w="2828" w:type="dxa"/>
            <w:tcBorders>
              <w:left w:val="single" w:sz="4" w:space="0" w:color="auto"/>
              <w:bottom w:val="nil"/>
            </w:tcBorders>
            <w:vAlign w:val="bottom"/>
          </w:tcPr>
          <w:p w:rsidR="00D5102A" w:rsidRPr="00ED6A89" w:rsidRDefault="00D5102A" w:rsidP="00695099">
            <w:pPr>
              <w:keepNext/>
              <w:keepLines/>
              <w:spacing w:before="50" w:after="50" w:line="240" w:lineRule="exact"/>
              <w:jc w:val="center"/>
              <w:rPr>
                <w:rFonts w:eastAsia="MS Mincho"/>
                <w:sz w:val="22"/>
                <w:lang w:val="en-US" w:eastAsia="ja-JP"/>
              </w:rPr>
            </w:pPr>
            <w:r w:rsidRPr="00ED6A89">
              <w:rPr>
                <w:rFonts w:eastAsia="SimSun"/>
                <w:sz w:val="22"/>
                <w:shd w:val="clear" w:color="auto" w:fill="FFFFFF"/>
                <w:lang w:val="en-US" w:eastAsia="zh-CN"/>
              </w:rPr>
              <w:t>143 (23.8%)</w:t>
            </w:r>
          </w:p>
        </w:tc>
        <w:tc>
          <w:tcPr>
            <w:tcW w:w="2693" w:type="dxa"/>
            <w:tcBorders>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MS Mincho"/>
                <w:sz w:val="22"/>
                <w:lang w:val="en-US" w:eastAsia="ja-JP"/>
              </w:rPr>
            </w:pPr>
            <w:r w:rsidRPr="00ED6A89">
              <w:rPr>
                <w:rFonts w:eastAsia="SimSun"/>
                <w:sz w:val="22"/>
                <w:shd w:val="clear" w:color="auto" w:fill="FFFFFF"/>
                <w:lang w:val="en-US" w:eastAsia="zh-CN"/>
              </w:rPr>
              <w:t>117 (19.5%)</w:t>
            </w:r>
          </w:p>
        </w:tc>
      </w:tr>
      <w:tr w:rsidR="00D5102A" w:rsidRPr="00D5102A" w:rsidTr="00695099">
        <w:trPr>
          <w:cantSplit/>
        </w:trPr>
        <w:tc>
          <w:tcPr>
            <w:tcW w:w="3557" w:type="dxa"/>
            <w:tcBorders>
              <w:left w:val="single" w:sz="4" w:space="0" w:color="auto"/>
              <w:bottom w:val="nil"/>
              <w:right w:val="single" w:sz="4" w:space="0" w:color="auto"/>
            </w:tcBorders>
            <w:vAlign w:val="bottom"/>
          </w:tcPr>
          <w:p w:rsidR="00D5102A" w:rsidRPr="00ED6A89" w:rsidRDefault="00D5102A" w:rsidP="00695099">
            <w:pPr>
              <w:keepNext/>
              <w:keepLines/>
              <w:spacing w:before="50" w:after="50" w:line="240" w:lineRule="exact"/>
              <w:ind w:left="216"/>
              <w:rPr>
                <w:rFonts w:eastAsia="SimSun"/>
                <w:sz w:val="22"/>
                <w:lang w:val="en-GB" w:eastAsia="zh-CN"/>
              </w:rPr>
            </w:pPr>
            <w:r w:rsidRPr="00ED6A89">
              <w:rPr>
                <w:rFonts w:eastAsia="SimSun"/>
                <w:sz w:val="22"/>
                <w:lang w:val="en-GB" w:eastAsia="zh-CN"/>
              </w:rPr>
              <w:t xml:space="preserve">     95% CI Clopper-Pearson</w:t>
            </w:r>
          </w:p>
        </w:tc>
        <w:tc>
          <w:tcPr>
            <w:tcW w:w="2828" w:type="dxa"/>
            <w:tcBorders>
              <w:left w:val="single" w:sz="4" w:space="0" w:color="auto"/>
              <w:bottom w:val="nil"/>
            </w:tcBorders>
            <w:vAlign w:val="bottom"/>
          </w:tcPr>
          <w:p w:rsidR="00D5102A" w:rsidRPr="00ED6A89" w:rsidRDefault="00D5102A" w:rsidP="00695099">
            <w:pPr>
              <w:keepNext/>
              <w:keepLines/>
              <w:spacing w:before="50" w:after="50" w:line="240" w:lineRule="exact"/>
              <w:jc w:val="center"/>
              <w:rPr>
                <w:rFonts w:eastAsia="SimSun"/>
                <w:sz w:val="22"/>
                <w:shd w:val="clear" w:color="auto" w:fill="FFFFFF"/>
                <w:lang w:val="en-US" w:eastAsia="zh-CN"/>
              </w:rPr>
            </w:pPr>
            <w:r w:rsidRPr="00ED6A89">
              <w:rPr>
                <w:rFonts w:eastAsia="SimSun"/>
                <w:sz w:val="22"/>
                <w:shd w:val="clear" w:color="auto" w:fill="FFFFFF"/>
                <w:lang w:val="en-US" w:eastAsia="zh-CN"/>
              </w:rPr>
              <w:t>[20.4%, 27.4%]</w:t>
            </w:r>
          </w:p>
        </w:tc>
        <w:tc>
          <w:tcPr>
            <w:tcW w:w="2693" w:type="dxa"/>
            <w:tcBorders>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shd w:val="clear" w:color="auto" w:fill="FFFFFF"/>
                <w:lang w:val="en-US" w:eastAsia="zh-CN"/>
              </w:rPr>
            </w:pPr>
            <w:r w:rsidRPr="00ED6A89">
              <w:rPr>
                <w:rFonts w:eastAsia="SimSun"/>
                <w:sz w:val="22"/>
                <w:shd w:val="clear" w:color="auto" w:fill="FFFFFF"/>
                <w:lang w:val="en-US" w:eastAsia="zh-CN"/>
              </w:rPr>
              <w:t>[16.4%, 22.9%]</w:t>
            </w:r>
          </w:p>
        </w:tc>
      </w:tr>
      <w:tr w:rsidR="00D5102A" w:rsidRPr="00D5102A" w:rsidTr="00695099">
        <w:trPr>
          <w:cantSplit/>
        </w:trPr>
        <w:tc>
          <w:tcPr>
            <w:tcW w:w="3557" w:type="dxa"/>
            <w:tcBorders>
              <w:left w:val="single" w:sz="4" w:space="0" w:color="auto"/>
              <w:bottom w:val="nil"/>
              <w:right w:val="single" w:sz="4" w:space="0" w:color="auto"/>
            </w:tcBorders>
            <w:vAlign w:val="bottom"/>
          </w:tcPr>
          <w:p w:rsidR="00D5102A" w:rsidRPr="00ED6A89" w:rsidRDefault="00D5102A" w:rsidP="00695099">
            <w:pPr>
              <w:keepNext/>
              <w:keepLines/>
              <w:spacing w:before="50" w:after="50" w:line="240" w:lineRule="exact"/>
              <w:ind w:left="219"/>
              <w:jc w:val="left"/>
              <w:rPr>
                <w:rFonts w:eastAsia="SimSun"/>
                <w:sz w:val="22"/>
                <w:lang w:val="fr-CH" w:eastAsia="zh-CN"/>
              </w:rPr>
            </w:pPr>
            <w:r w:rsidRPr="00ED6A89">
              <w:rPr>
                <w:rFonts w:eastAsia="SimSun"/>
                <w:sz w:val="22"/>
                <w:lang w:val="fr-CH" w:eastAsia="zh-CN"/>
              </w:rPr>
              <w:t>Partial Response (PR)</w:t>
            </w:r>
          </w:p>
          <w:p w:rsidR="00D5102A" w:rsidRPr="00ED6A89" w:rsidRDefault="00D5102A" w:rsidP="00695099">
            <w:pPr>
              <w:keepNext/>
              <w:keepLines/>
              <w:spacing w:before="50" w:after="50" w:line="240" w:lineRule="exact"/>
              <w:ind w:left="216"/>
              <w:rPr>
                <w:rFonts w:eastAsia="SimSun"/>
                <w:sz w:val="22"/>
                <w:lang w:val="fr-CH" w:eastAsia="zh-CN"/>
              </w:rPr>
            </w:pPr>
            <w:r w:rsidRPr="00ED6A89">
              <w:rPr>
                <w:rFonts w:eastAsia="SimSun"/>
                <w:sz w:val="22"/>
                <w:lang w:val="fr-CH" w:eastAsia="zh-CN"/>
              </w:rPr>
              <w:t xml:space="preserve">     95% CI Clopper-Pearson</w:t>
            </w:r>
          </w:p>
        </w:tc>
        <w:tc>
          <w:tcPr>
            <w:tcW w:w="2828" w:type="dxa"/>
            <w:tcBorders>
              <w:left w:val="single" w:sz="4" w:space="0" w:color="auto"/>
              <w:bottom w:val="nil"/>
            </w:tcBorders>
          </w:tcPr>
          <w:p w:rsidR="00D5102A" w:rsidRPr="00ED6A89" w:rsidRDefault="00D5102A" w:rsidP="00695099">
            <w:pPr>
              <w:keepNext/>
              <w:keepLines/>
              <w:spacing w:before="50" w:after="50" w:line="240" w:lineRule="exact"/>
              <w:jc w:val="center"/>
              <w:rPr>
                <w:rFonts w:eastAsia="SimSun"/>
                <w:sz w:val="22"/>
                <w:shd w:val="clear" w:color="auto" w:fill="FFFFFF"/>
                <w:lang w:val="en-US" w:eastAsia="zh-CN"/>
              </w:rPr>
            </w:pPr>
            <w:r w:rsidRPr="00ED6A89">
              <w:rPr>
                <w:rFonts w:eastAsia="SimSun"/>
                <w:sz w:val="22"/>
                <w:shd w:val="clear" w:color="auto" w:fill="FFFFFF"/>
                <w:lang w:val="en-US" w:eastAsia="zh-CN"/>
              </w:rPr>
              <w:t>379 (63.1%)</w:t>
            </w:r>
          </w:p>
          <w:p w:rsidR="00D5102A" w:rsidRPr="00ED6A89" w:rsidRDefault="00D5102A" w:rsidP="00695099">
            <w:pPr>
              <w:keepNext/>
              <w:keepLines/>
              <w:spacing w:before="50" w:after="50" w:line="240" w:lineRule="exact"/>
              <w:jc w:val="center"/>
              <w:rPr>
                <w:rFonts w:eastAsia="SimSun"/>
                <w:sz w:val="22"/>
                <w:shd w:val="clear" w:color="auto" w:fill="FFFFFF"/>
                <w:lang w:val="en-US" w:eastAsia="zh-CN"/>
              </w:rPr>
            </w:pPr>
            <w:r w:rsidRPr="00ED6A89">
              <w:rPr>
                <w:rFonts w:eastAsia="SimSun"/>
                <w:sz w:val="22"/>
                <w:shd w:val="clear" w:color="auto" w:fill="FFFFFF"/>
                <w:lang w:val="en-US" w:eastAsia="zh-CN"/>
              </w:rPr>
              <w:t>[59.1%, 66.9%]</w:t>
            </w:r>
          </w:p>
        </w:tc>
        <w:tc>
          <w:tcPr>
            <w:tcW w:w="2693" w:type="dxa"/>
            <w:tcBorders>
              <w:bottom w:val="nil"/>
              <w:right w:val="single" w:sz="4" w:space="0" w:color="auto"/>
            </w:tcBorders>
          </w:tcPr>
          <w:p w:rsidR="00D5102A" w:rsidRPr="00ED6A89" w:rsidRDefault="00D5102A" w:rsidP="00695099">
            <w:pPr>
              <w:keepNext/>
              <w:keepLines/>
              <w:spacing w:before="50" w:after="50" w:line="240" w:lineRule="exact"/>
              <w:jc w:val="center"/>
              <w:rPr>
                <w:rFonts w:eastAsia="SimSun"/>
                <w:sz w:val="22"/>
                <w:shd w:val="clear" w:color="auto" w:fill="FFFFFF"/>
                <w:lang w:val="en-US" w:eastAsia="zh-CN"/>
              </w:rPr>
            </w:pPr>
            <w:r w:rsidRPr="00ED6A89">
              <w:rPr>
                <w:rFonts w:eastAsia="SimSun"/>
                <w:sz w:val="22"/>
                <w:shd w:val="clear" w:color="auto" w:fill="FFFFFF"/>
                <w:lang w:val="en-US" w:eastAsia="zh-CN"/>
              </w:rPr>
              <w:t>415 (69.1%)</w:t>
            </w:r>
          </w:p>
          <w:p w:rsidR="00D5102A" w:rsidRPr="00ED6A89" w:rsidRDefault="00D5102A" w:rsidP="00695099">
            <w:pPr>
              <w:keepNext/>
              <w:keepLines/>
              <w:spacing w:before="50" w:after="50" w:line="240" w:lineRule="exact"/>
              <w:jc w:val="center"/>
              <w:rPr>
                <w:rFonts w:eastAsia="MS Mincho"/>
                <w:sz w:val="22"/>
                <w:lang w:val="en-US" w:eastAsia="ja-JP"/>
              </w:rPr>
            </w:pPr>
            <w:r w:rsidRPr="00ED6A89">
              <w:rPr>
                <w:rFonts w:eastAsia="SimSun"/>
                <w:sz w:val="22"/>
                <w:shd w:val="clear" w:color="auto" w:fill="FFFFFF"/>
                <w:lang w:val="en-US" w:eastAsia="zh-CN"/>
              </w:rPr>
              <w:t>[65.2%, 72.7%]</w:t>
            </w:r>
          </w:p>
        </w:tc>
      </w:tr>
      <w:tr w:rsidR="00D5102A" w:rsidRPr="00D5102A" w:rsidTr="00695099">
        <w:trPr>
          <w:cantSplit/>
        </w:trPr>
        <w:tc>
          <w:tcPr>
            <w:tcW w:w="3557" w:type="dxa"/>
            <w:tcBorders>
              <w:top w:val="single" w:sz="4" w:space="0" w:color="auto"/>
              <w:left w:val="single" w:sz="4" w:space="0" w:color="auto"/>
              <w:bottom w:val="nil"/>
              <w:right w:val="single" w:sz="4" w:space="0" w:color="auto"/>
            </w:tcBorders>
            <w:vAlign w:val="bottom"/>
          </w:tcPr>
          <w:p w:rsidR="00D5102A" w:rsidRPr="00ED6A89" w:rsidRDefault="00D5102A" w:rsidP="002435E5">
            <w:pPr>
              <w:keepNext/>
              <w:keepLines/>
              <w:spacing w:before="50" w:after="50" w:line="240" w:lineRule="exact"/>
              <w:jc w:val="left"/>
              <w:rPr>
                <w:rFonts w:eastAsia="SimSun"/>
                <w:b/>
                <w:sz w:val="22"/>
                <w:highlight w:val="yellow"/>
                <w:vertAlign w:val="superscript"/>
                <w:lang w:val="en-GB" w:eastAsia="zh-CN"/>
              </w:rPr>
            </w:pPr>
            <w:r w:rsidRPr="00ED6A89" w:rsidDel="000F0CB8">
              <w:rPr>
                <w:rFonts w:eastAsia="SimSun"/>
                <w:b/>
                <w:sz w:val="22"/>
                <w:lang w:val="en-GB" w:eastAsia="zh-CN"/>
              </w:rPr>
              <w:t>Conversion Rate from E</w:t>
            </w:r>
            <w:r w:rsidRPr="00ED6A89">
              <w:rPr>
                <w:rFonts w:eastAsia="SimSun"/>
                <w:b/>
                <w:sz w:val="22"/>
                <w:lang w:val="en-GB" w:eastAsia="zh-CN"/>
              </w:rPr>
              <w:t xml:space="preserve">nd </w:t>
            </w:r>
            <w:r w:rsidRPr="00ED6A89" w:rsidDel="000F0CB8">
              <w:rPr>
                <w:rFonts w:eastAsia="SimSun"/>
                <w:b/>
                <w:sz w:val="22"/>
                <w:lang w:val="en-GB" w:eastAsia="zh-CN"/>
              </w:rPr>
              <w:t>O</w:t>
            </w:r>
            <w:r w:rsidRPr="00ED6A89">
              <w:rPr>
                <w:rFonts w:eastAsia="SimSun"/>
                <w:b/>
                <w:sz w:val="22"/>
                <w:lang w:val="en-GB" w:eastAsia="zh-CN"/>
              </w:rPr>
              <w:t xml:space="preserve">f </w:t>
            </w:r>
            <w:r w:rsidRPr="00ED6A89" w:rsidDel="000F0CB8">
              <w:rPr>
                <w:rFonts w:eastAsia="SimSun"/>
                <w:b/>
                <w:sz w:val="22"/>
                <w:lang w:val="en-GB" w:eastAsia="zh-CN"/>
              </w:rPr>
              <w:t>I</w:t>
            </w:r>
            <w:r w:rsidRPr="00ED6A89">
              <w:rPr>
                <w:rFonts w:eastAsia="SimSun"/>
                <w:b/>
                <w:sz w:val="22"/>
                <w:lang w:val="en-GB" w:eastAsia="zh-CN"/>
              </w:rPr>
              <w:t>nduction</w:t>
            </w:r>
          </w:p>
        </w:tc>
        <w:tc>
          <w:tcPr>
            <w:tcW w:w="5521" w:type="dxa"/>
            <w:gridSpan w:val="2"/>
            <w:tcBorders>
              <w:top w:val="single" w:sz="4" w:space="0" w:color="auto"/>
              <w:left w:val="single" w:sz="4" w:space="0" w:color="auto"/>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MS Mincho"/>
                <w:sz w:val="22"/>
                <w:lang w:val="en-US" w:eastAsia="ja-JP"/>
              </w:rPr>
            </w:pPr>
          </w:p>
        </w:tc>
      </w:tr>
      <w:tr w:rsidR="00D5102A" w:rsidRPr="00D5102A" w:rsidTr="00695099">
        <w:trPr>
          <w:cantSplit/>
        </w:trPr>
        <w:tc>
          <w:tcPr>
            <w:tcW w:w="3557" w:type="dxa"/>
            <w:tcBorders>
              <w:top w:val="nil"/>
              <w:left w:val="single" w:sz="4" w:space="0" w:color="auto"/>
              <w:bottom w:val="nil"/>
              <w:right w:val="single" w:sz="4" w:space="0" w:color="auto"/>
            </w:tcBorders>
          </w:tcPr>
          <w:p w:rsidR="00D5102A" w:rsidRPr="00ED6A89" w:rsidRDefault="00D5102A" w:rsidP="00695099">
            <w:pPr>
              <w:keepNext/>
              <w:keepLines/>
              <w:spacing w:before="50" w:after="50" w:line="240" w:lineRule="exact"/>
              <w:jc w:val="left"/>
              <w:rPr>
                <w:rFonts w:eastAsia="SimSun"/>
                <w:sz w:val="22"/>
                <w:lang w:val="en-GB" w:eastAsia="zh-CN"/>
              </w:rPr>
            </w:pPr>
            <w:r w:rsidRPr="00ED6A89">
              <w:rPr>
                <w:rFonts w:eastAsia="SimSun"/>
                <w:sz w:val="22"/>
                <w:lang w:val="en-GB" w:eastAsia="zh-CN"/>
              </w:rPr>
              <w:t>Patients in PR at</w:t>
            </w:r>
            <w:r w:rsidRPr="00ED6A89" w:rsidDel="000F0CB8">
              <w:rPr>
                <w:rFonts w:eastAsia="SimSun"/>
                <w:sz w:val="22"/>
                <w:lang w:val="en-GB" w:eastAsia="zh-CN"/>
              </w:rPr>
              <w:t xml:space="preserve"> end of </w:t>
            </w:r>
            <w:r w:rsidRPr="00ED6A89">
              <w:rPr>
                <w:rFonts w:eastAsia="SimSun"/>
                <w:sz w:val="22"/>
                <w:lang w:val="en-GB" w:eastAsia="zh-CN"/>
              </w:rPr>
              <w:t>induction</w:t>
            </w:r>
          </w:p>
        </w:tc>
        <w:tc>
          <w:tcPr>
            <w:tcW w:w="2828" w:type="dxa"/>
            <w:tcBorders>
              <w:top w:val="nil"/>
              <w:left w:val="single" w:sz="4" w:space="0" w:color="auto"/>
              <w:bottom w:val="nil"/>
              <w:right w:val="nil"/>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sidDel="000F0CB8">
              <w:rPr>
                <w:rFonts w:eastAsia="SimSun"/>
                <w:sz w:val="22"/>
                <w:lang w:val="en-GB" w:eastAsia="zh-CN"/>
              </w:rPr>
              <w:t>222</w:t>
            </w:r>
          </w:p>
        </w:tc>
        <w:tc>
          <w:tcPr>
            <w:tcW w:w="2693" w:type="dxa"/>
            <w:tcBorders>
              <w:top w:val="nil"/>
              <w:left w:val="nil"/>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sidDel="000F0CB8">
              <w:rPr>
                <w:rFonts w:eastAsia="SimSun"/>
                <w:sz w:val="22"/>
                <w:lang w:val="en-GB" w:eastAsia="zh-CN"/>
              </w:rPr>
              <w:t>271</w:t>
            </w:r>
          </w:p>
        </w:tc>
      </w:tr>
      <w:tr w:rsidR="00D5102A" w:rsidRPr="00D5102A" w:rsidTr="00695099">
        <w:trPr>
          <w:cantSplit/>
        </w:trPr>
        <w:tc>
          <w:tcPr>
            <w:tcW w:w="3557" w:type="dxa"/>
            <w:tcBorders>
              <w:top w:val="nil"/>
              <w:left w:val="single" w:sz="4" w:space="0" w:color="auto"/>
              <w:bottom w:val="nil"/>
              <w:right w:val="single" w:sz="4" w:space="0" w:color="auto"/>
            </w:tcBorders>
          </w:tcPr>
          <w:p w:rsidR="00D5102A" w:rsidRPr="00ED6A89" w:rsidRDefault="00D5102A" w:rsidP="00695099">
            <w:pPr>
              <w:keepNext/>
              <w:keepLines/>
              <w:spacing w:before="50" w:after="50" w:line="240" w:lineRule="exact"/>
              <w:ind w:left="213"/>
              <w:jc w:val="left"/>
              <w:rPr>
                <w:rFonts w:eastAsia="SimSun"/>
                <w:sz w:val="22"/>
                <w:lang w:val="en-GB" w:eastAsia="zh-CN"/>
              </w:rPr>
            </w:pPr>
            <w:r w:rsidRPr="00ED6A89">
              <w:rPr>
                <w:rFonts w:eastAsia="SimSun"/>
                <w:sz w:val="22"/>
                <w:lang w:val="en-GB" w:eastAsia="zh-CN"/>
              </w:rPr>
              <w:t xml:space="preserve">Conversion from </w:t>
            </w:r>
            <w:r w:rsidRPr="00ED6A89" w:rsidDel="000F0CB8">
              <w:rPr>
                <w:rFonts w:eastAsia="SimSun"/>
                <w:sz w:val="22"/>
                <w:lang w:val="en-GB" w:eastAsia="zh-CN"/>
              </w:rPr>
              <w:t>PR to CR</w:t>
            </w:r>
          </w:p>
        </w:tc>
        <w:tc>
          <w:tcPr>
            <w:tcW w:w="2828" w:type="dxa"/>
            <w:tcBorders>
              <w:top w:val="nil"/>
              <w:left w:val="single" w:sz="4" w:space="0" w:color="auto"/>
              <w:bottom w:val="nil"/>
              <w:right w:val="nil"/>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sidDel="000F0CB8">
              <w:rPr>
                <w:rFonts w:eastAsia="SimSun"/>
                <w:sz w:val="22"/>
                <w:lang w:val="en-GB" w:eastAsia="zh-CN"/>
              </w:rPr>
              <w:t>97 (43.7%)</w:t>
            </w:r>
          </w:p>
        </w:tc>
        <w:tc>
          <w:tcPr>
            <w:tcW w:w="2693" w:type="dxa"/>
            <w:tcBorders>
              <w:top w:val="nil"/>
              <w:left w:val="nil"/>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sidDel="000F0CB8">
              <w:rPr>
                <w:rFonts w:eastAsia="SimSun"/>
                <w:sz w:val="22"/>
                <w:lang w:val="en-GB" w:eastAsia="zh-CN"/>
              </w:rPr>
              <w:t>134 (49.4%)</w:t>
            </w:r>
          </w:p>
        </w:tc>
      </w:tr>
      <w:tr w:rsidR="00D5102A" w:rsidRPr="00D5102A" w:rsidTr="00695099">
        <w:trPr>
          <w:cantSplit/>
        </w:trPr>
        <w:tc>
          <w:tcPr>
            <w:tcW w:w="3557" w:type="dxa"/>
            <w:tcBorders>
              <w:top w:val="nil"/>
              <w:left w:val="single" w:sz="4" w:space="0" w:color="auto"/>
              <w:bottom w:val="nil"/>
              <w:right w:val="single" w:sz="4" w:space="0" w:color="auto"/>
            </w:tcBorders>
            <w:vAlign w:val="bottom"/>
          </w:tcPr>
          <w:p w:rsidR="00D5102A" w:rsidRPr="00ED6A89" w:rsidRDefault="00D5102A" w:rsidP="00695099">
            <w:pPr>
              <w:keepLines/>
              <w:spacing w:before="50" w:after="50" w:line="240" w:lineRule="exact"/>
              <w:ind w:left="213"/>
              <w:jc w:val="left"/>
              <w:rPr>
                <w:rFonts w:eastAsia="SimSun"/>
                <w:sz w:val="22"/>
                <w:lang w:val="en-GB" w:eastAsia="zh-CN"/>
              </w:rPr>
            </w:pPr>
            <w:r w:rsidRPr="00ED6A89">
              <w:rPr>
                <w:rFonts w:eastAsia="SimSun"/>
                <w:sz w:val="22"/>
                <w:lang w:val="en-GB" w:eastAsia="zh-CN"/>
              </w:rPr>
              <w:t>Difference in rate (%) [95% CI]</w:t>
            </w:r>
          </w:p>
        </w:tc>
        <w:tc>
          <w:tcPr>
            <w:tcW w:w="5521" w:type="dxa"/>
            <w:gridSpan w:val="2"/>
            <w:tcBorders>
              <w:top w:val="nil"/>
              <w:left w:val="single" w:sz="4" w:space="0" w:color="auto"/>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5.7% [-3.1, 14.6%]</w:t>
            </w:r>
          </w:p>
        </w:tc>
      </w:tr>
      <w:tr w:rsidR="00D5102A" w:rsidRPr="00D5102A" w:rsidTr="00695099">
        <w:trPr>
          <w:cantSplit/>
        </w:trPr>
        <w:tc>
          <w:tcPr>
            <w:tcW w:w="3557" w:type="dxa"/>
            <w:tcBorders>
              <w:top w:val="single" w:sz="4" w:space="0" w:color="auto"/>
              <w:left w:val="single" w:sz="4" w:space="0" w:color="auto"/>
              <w:bottom w:val="nil"/>
              <w:right w:val="single" w:sz="4" w:space="0" w:color="auto"/>
            </w:tcBorders>
            <w:vAlign w:val="bottom"/>
          </w:tcPr>
          <w:p w:rsidR="00D5102A" w:rsidRPr="00ED6A89" w:rsidRDefault="00D5102A" w:rsidP="002435E5">
            <w:pPr>
              <w:keepNext/>
              <w:keepLines/>
              <w:spacing w:before="50" w:after="50" w:line="240" w:lineRule="exact"/>
              <w:jc w:val="left"/>
              <w:rPr>
                <w:rFonts w:eastAsia="SimSun"/>
                <w:b/>
                <w:sz w:val="22"/>
                <w:highlight w:val="yellow"/>
                <w:vertAlign w:val="superscript"/>
                <w:lang w:val="en-GB" w:eastAsia="zh-CN"/>
              </w:rPr>
            </w:pPr>
            <w:r w:rsidRPr="00ED6A89">
              <w:rPr>
                <w:rFonts w:eastAsia="SimSun"/>
                <w:b/>
                <w:sz w:val="22"/>
                <w:lang w:val="en-GB" w:eastAsia="zh-CN"/>
              </w:rPr>
              <w:t>Overall Response Rate at End of Maintenance</w:t>
            </w:r>
            <w:r w:rsidRPr="00ED6A89">
              <w:rPr>
                <w:rFonts w:eastAsia="SimSun"/>
                <w:b/>
                <w:sz w:val="22"/>
                <w:vertAlign w:val="superscript"/>
                <w:lang w:val="en-GB" w:eastAsia="zh-CN"/>
              </w:rPr>
              <w:t xml:space="preserve"> </w:t>
            </w:r>
          </w:p>
        </w:tc>
        <w:tc>
          <w:tcPr>
            <w:tcW w:w="5521" w:type="dxa"/>
            <w:gridSpan w:val="2"/>
            <w:tcBorders>
              <w:top w:val="single" w:sz="4" w:space="0" w:color="auto"/>
              <w:left w:val="single" w:sz="4" w:space="0" w:color="auto"/>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MS Mincho"/>
                <w:sz w:val="22"/>
                <w:lang w:val="en-US" w:eastAsia="ja-JP"/>
              </w:rPr>
            </w:pPr>
          </w:p>
        </w:tc>
      </w:tr>
      <w:tr w:rsidR="00D5102A" w:rsidRPr="00D5102A" w:rsidTr="00695099">
        <w:trPr>
          <w:cantSplit/>
        </w:trPr>
        <w:tc>
          <w:tcPr>
            <w:tcW w:w="3557" w:type="dxa"/>
            <w:tcBorders>
              <w:top w:val="nil"/>
              <w:left w:val="single" w:sz="4" w:space="0" w:color="auto"/>
              <w:bottom w:val="nil"/>
              <w:right w:val="single" w:sz="4" w:space="0" w:color="auto"/>
            </w:tcBorders>
          </w:tcPr>
          <w:p w:rsidR="00D5102A" w:rsidRPr="00ED6A89" w:rsidRDefault="00D5102A" w:rsidP="00695099">
            <w:pPr>
              <w:keepNext/>
              <w:keepLines/>
              <w:spacing w:before="50" w:after="50" w:line="240" w:lineRule="exact"/>
              <w:jc w:val="left"/>
              <w:rPr>
                <w:rFonts w:eastAsia="SimSun"/>
                <w:sz w:val="22"/>
                <w:lang w:val="en-GB" w:eastAsia="zh-CN"/>
              </w:rPr>
            </w:pPr>
            <w:r w:rsidRPr="00ED6A89">
              <w:rPr>
                <w:rFonts w:eastAsia="SimSun"/>
                <w:sz w:val="22"/>
                <w:lang w:val="en-GB" w:eastAsia="zh-CN"/>
              </w:rPr>
              <w:t>Patients assessed at end of maintenance</w:t>
            </w:r>
          </w:p>
        </w:tc>
        <w:tc>
          <w:tcPr>
            <w:tcW w:w="2828" w:type="dxa"/>
            <w:tcBorders>
              <w:top w:val="nil"/>
              <w:left w:val="single" w:sz="4" w:space="0" w:color="auto"/>
              <w:bottom w:val="nil"/>
              <w:right w:val="nil"/>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533</w:t>
            </w:r>
          </w:p>
        </w:tc>
        <w:tc>
          <w:tcPr>
            <w:tcW w:w="2693" w:type="dxa"/>
            <w:tcBorders>
              <w:top w:val="nil"/>
              <w:left w:val="nil"/>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525</w:t>
            </w:r>
          </w:p>
        </w:tc>
      </w:tr>
      <w:tr w:rsidR="00D5102A" w:rsidRPr="00D5102A" w:rsidTr="00695099">
        <w:trPr>
          <w:cantSplit/>
        </w:trPr>
        <w:tc>
          <w:tcPr>
            <w:tcW w:w="3557" w:type="dxa"/>
            <w:tcBorders>
              <w:top w:val="nil"/>
              <w:left w:val="single" w:sz="4" w:space="0" w:color="auto"/>
              <w:bottom w:val="nil"/>
              <w:right w:val="single" w:sz="4" w:space="0" w:color="auto"/>
            </w:tcBorders>
          </w:tcPr>
          <w:p w:rsidR="00D5102A" w:rsidRPr="00ED6A89" w:rsidRDefault="00D5102A" w:rsidP="00695099">
            <w:pPr>
              <w:keepNext/>
              <w:keepLines/>
              <w:spacing w:before="50" w:after="50" w:line="240" w:lineRule="exact"/>
              <w:ind w:left="213"/>
              <w:jc w:val="left"/>
              <w:rPr>
                <w:rFonts w:eastAsia="SimSun"/>
                <w:sz w:val="22"/>
                <w:lang w:val="en-GB" w:eastAsia="zh-CN"/>
              </w:rPr>
            </w:pPr>
            <w:r w:rsidRPr="00ED6A89">
              <w:rPr>
                <w:rFonts w:eastAsia="SimSun"/>
                <w:sz w:val="22"/>
                <w:lang w:val="en-GB" w:eastAsia="zh-CN"/>
              </w:rPr>
              <w:t>Responders (%) (CR, PR)</w:t>
            </w:r>
          </w:p>
        </w:tc>
        <w:tc>
          <w:tcPr>
            <w:tcW w:w="2828" w:type="dxa"/>
            <w:tcBorders>
              <w:top w:val="nil"/>
              <w:left w:val="single" w:sz="4" w:space="0" w:color="auto"/>
              <w:bottom w:val="nil"/>
              <w:right w:val="nil"/>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341 (64.0%)</w:t>
            </w:r>
          </w:p>
        </w:tc>
        <w:tc>
          <w:tcPr>
            <w:tcW w:w="2693" w:type="dxa"/>
            <w:tcBorders>
              <w:top w:val="nil"/>
              <w:left w:val="nil"/>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lang w:val="en-GB" w:eastAsia="zh-CN"/>
              </w:rPr>
              <w:t>371 (70.7%)</w:t>
            </w:r>
          </w:p>
        </w:tc>
      </w:tr>
      <w:tr w:rsidR="00D5102A" w:rsidRPr="00D5102A" w:rsidTr="00695099">
        <w:trPr>
          <w:cantSplit/>
        </w:trPr>
        <w:tc>
          <w:tcPr>
            <w:tcW w:w="3557" w:type="dxa"/>
            <w:tcBorders>
              <w:top w:val="nil"/>
              <w:left w:val="single" w:sz="4" w:space="0" w:color="auto"/>
              <w:bottom w:val="nil"/>
              <w:right w:val="single" w:sz="4" w:space="0" w:color="auto"/>
            </w:tcBorders>
            <w:vAlign w:val="bottom"/>
          </w:tcPr>
          <w:p w:rsidR="00D5102A" w:rsidRPr="00ED6A89" w:rsidRDefault="00D5102A" w:rsidP="00695099">
            <w:pPr>
              <w:keepLines/>
              <w:spacing w:before="50" w:after="50" w:line="240" w:lineRule="exact"/>
              <w:ind w:left="213"/>
              <w:jc w:val="left"/>
              <w:rPr>
                <w:rFonts w:eastAsia="SimSun"/>
                <w:sz w:val="22"/>
                <w:lang w:val="en-GB" w:eastAsia="zh-CN"/>
              </w:rPr>
            </w:pPr>
            <w:r w:rsidRPr="00ED6A89">
              <w:rPr>
                <w:rFonts w:eastAsia="SimSun"/>
                <w:sz w:val="22"/>
                <w:lang w:val="en-GB" w:eastAsia="zh-CN"/>
              </w:rPr>
              <w:t>Difference in response rate (%) [95% CI]</w:t>
            </w:r>
          </w:p>
        </w:tc>
        <w:tc>
          <w:tcPr>
            <w:tcW w:w="5521" w:type="dxa"/>
            <w:gridSpan w:val="2"/>
            <w:tcBorders>
              <w:top w:val="nil"/>
              <w:left w:val="single" w:sz="4" w:space="0" w:color="auto"/>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shd w:val="clear" w:color="auto" w:fill="FFFFFF"/>
                <w:lang w:val="en-US" w:eastAsia="zh-CN"/>
              </w:rPr>
              <w:t>6.7% [1.0%, 12.4%]</w:t>
            </w:r>
          </w:p>
        </w:tc>
      </w:tr>
      <w:tr w:rsidR="00D5102A" w:rsidRPr="00D5102A" w:rsidTr="00695099">
        <w:trPr>
          <w:cantSplit/>
        </w:trPr>
        <w:tc>
          <w:tcPr>
            <w:tcW w:w="3557" w:type="dxa"/>
            <w:tcBorders>
              <w:top w:val="nil"/>
              <w:left w:val="single" w:sz="4" w:space="0" w:color="auto"/>
              <w:bottom w:val="nil"/>
              <w:right w:val="single" w:sz="4" w:space="0" w:color="auto"/>
            </w:tcBorders>
            <w:vAlign w:val="bottom"/>
          </w:tcPr>
          <w:p w:rsidR="00D5102A" w:rsidRPr="00ED6A89" w:rsidRDefault="00D5102A" w:rsidP="00695099">
            <w:pPr>
              <w:keepLines/>
              <w:spacing w:before="50" w:after="50" w:line="240" w:lineRule="exact"/>
              <w:ind w:left="213"/>
              <w:jc w:val="left"/>
              <w:rPr>
                <w:rFonts w:eastAsia="SimSun"/>
                <w:sz w:val="22"/>
                <w:lang w:val="en-GB" w:eastAsia="zh-CN"/>
              </w:rPr>
            </w:pPr>
            <w:r w:rsidRPr="00ED6A89">
              <w:rPr>
                <w:rFonts w:eastAsia="SimSun"/>
                <w:sz w:val="22"/>
                <w:lang w:val="en-GB" w:eastAsia="zh-CN"/>
              </w:rPr>
              <w:lastRenderedPageBreak/>
              <w:t>p-value (Cochran-Mantel-Haenszel test)</w:t>
            </w:r>
          </w:p>
        </w:tc>
        <w:tc>
          <w:tcPr>
            <w:tcW w:w="5521" w:type="dxa"/>
            <w:gridSpan w:val="2"/>
            <w:tcBorders>
              <w:top w:val="nil"/>
              <w:left w:val="single" w:sz="4" w:space="0" w:color="auto"/>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shd w:val="clear" w:color="auto" w:fill="FFFFFF"/>
                <w:lang w:val="en-US" w:eastAsia="zh-CN"/>
              </w:rPr>
              <w:t>0.0197</w:t>
            </w:r>
          </w:p>
        </w:tc>
      </w:tr>
      <w:tr w:rsidR="00D5102A" w:rsidRPr="00D5102A" w:rsidTr="00695099">
        <w:trPr>
          <w:cantSplit/>
        </w:trPr>
        <w:tc>
          <w:tcPr>
            <w:tcW w:w="3557" w:type="dxa"/>
            <w:tcBorders>
              <w:top w:val="nil"/>
              <w:left w:val="single" w:sz="4" w:space="0" w:color="auto"/>
              <w:bottom w:val="nil"/>
              <w:right w:val="single" w:sz="4" w:space="0" w:color="auto"/>
            </w:tcBorders>
          </w:tcPr>
          <w:p w:rsidR="00D5102A" w:rsidRPr="00ED6A89" w:rsidRDefault="00D5102A" w:rsidP="00695099">
            <w:pPr>
              <w:keepNext/>
              <w:keepLines/>
              <w:spacing w:before="50" w:after="50" w:line="240" w:lineRule="exact"/>
              <w:rPr>
                <w:rFonts w:eastAsia="SimSun"/>
                <w:sz w:val="22"/>
                <w:lang w:val="en-GB" w:eastAsia="zh-CN"/>
              </w:rPr>
            </w:pPr>
            <w:r w:rsidRPr="00ED6A89">
              <w:rPr>
                <w:rFonts w:eastAsia="SimSun"/>
                <w:sz w:val="22"/>
                <w:lang w:val="en-GB" w:eastAsia="zh-CN"/>
              </w:rPr>
              <w:t>Complete response (CR)</w:t>
            </w:r>
          </w:p>
        </w:tc>
        <w:tc>
          <w:tcPr>
            <w:tcW w:w="2828" w:type="dxa"/>
            <w:tcBorders>
              <w:top w:val="nil"/>
              <w:left w:val="single" w:sz="4" w:space="0" w:color="auto"/>
              <w:bottom w:val="nil"/>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shd w:val="clear" w:color="auto" w:fill="FFFFFF"/>
                <w:lang w:val="en-US" w:eastAsia="zh-CN"/>
              </w:rPr>
              <w:t>195 (36.6%)</w:t>
            </w:r>
          </w:p>
        </w:tc>
        <w:tc>
          <w:tcPr>
            <w:tcW w:w="2693" w:type="dxa"/>
            <w:tcBorders>
              <w:top w:val="nil"/>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lang w:val="en-GB" w:eastAsia="zh-CN"/>
              </w:rPr>
            </w:pPr>
            <w:r w:rsidRPr="00ED6A89">
              <w:rPr>
                <w:rFonts w:eastAsia="SimSun"/>
                <w:sz w:val="22"/>
                <w:shd w:val="clear" w:color="auto" w:fill="FFFFFF"/>
                <w:lang w:val="en-US" w:eastAsia="zh-CN"/>
              </w:rPr>
              <w:t>205 (39.0%)</w:t>
            </w:r>
          </w:p>
        </w:tc>
      </w:tr>
      <w:tr w:rsidR="00D5102A" w:rsidRPr="00D5102A" w:rsidTr="00695099">
        <w:trPr>
          <w:cantSplit/>
        </w:trPr>
        <w:tc>
          <w:tcPr>
            <w:tcW w:w="3557" w:type="dxa"/>
            <w:tcBorders>
              <w:top w:val="nil"/>
              <w:left w:val="single" w:sz="4" w:space="0" w:color="auto"/>
              <w:bottom w:val="nil"/>
              <w:right w:val="single" w:sz="4" w:space="0" w:color="auto"/>
            </w:tcBorders>
            <w:vAlign w:val="bottom"/>
          </w:tcPr>
          <w:p w:rsidR="00D5102A" w:rsidRPr="00ED6A89" w:rsidRDefault="00D5102A" w:rsidP="00695099">
            <w:pPr>
              <w:keepNext/>
              <w:keepLines/>
              <w:spacing w:before="50" w:after="50" w:line="240" w:lineRule="exact"/>
              <w:rPr>
                <w:rFonts w:eastAsia="SimSun"/>
                <w:sz w:val="22"/>
                <w:lang w:val="en-GB" w:eastAsia="zh-CN"/>
              </w:rPr>
            </w:pPr>
            <w:r w:rsidRPr="00ED6A89">
              <w:rPr>
                <w:rFonts w:eastAsia="SimSun"/>
                <w:sz w:val="22"/>
                <w:lang w:val="en-GB" w:eastAsia="zh-CN"/>
              </w:rPr>
              <w:t xml:space="preserve">     95% CI Clopper-Pearson</w:t>
            </w:r>
          </w:p>
        </w:tc>
        <w:tc>
          <w:tcPr>
            <w:tcW w:w="2828" w:type="dxa"/>
            <w:tcBorders>
              <w:top w:val="nil"/>
              <w:left w:val="single" w:sz="4" w:space="0" w:color="auto"/>
              <w:bottom w:val="nil"/>
            </w:tcBorders>
            <w:vAlign w:val="bottom"/>
          </w:tcPr>
          <w:p w:rsidR="00D5102A" w:rsidRPr="00ED6A89" w:rsidRDefault="00D5102A" w:rsidP="00695099">
            <w:pPr>
              <w:keepNext/>
              <w:keepLines/>
              <w:spacing w:before="50" w:after="50" w:line="240" w:lineRule="exact"/>
              <w:jc w:val="center"/>
              <w:rPr>
                <w:rFonts w:eastAsia="SimSun"/>
                <w:sz w:val="22"/>
                <w:shd w:val="clear" w:color="auto" w:fill="FFFFFF"/>
                <w:lang w:val="en-US" w:eastAsia="zh-CN"/>
              </w:rPr>
            </w:pPr>
            <w:r w:rsidRPr="00ED6A89">
              <w:rPr>
                <w:rFonts w:eastAsia="SimSun"/>
                <w:sz w:val="22"/>
                <w:shd w:val="clear" w:color="auto" w:fill="FFFFFF"/>
                <w:lang w:val="en-US" w:eastAsia="zh-CN"/>
              </w:rPr>
              <w:t>[32.5%, 40.8%]</w:t>
            </w:r>
          </w:p>
        </w:tc>
        <w:tc>
          <w:tcPr>
            <w:tcW w:w="2693" w:type="dxa"/>
            <w:tcBorders>
              <w:top w:val="nil"/>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shd w:val="clear" w:color="auto" w:fill="FFFFFF"/>
                <w:lang w:val="en-US" w:eastAsia="zh-CN"/>
              </w:rPr>
            </w:pPr>
            <w:r w:rsidRPr="00ED6A89">
              <w:rPr>
                <w:rFonts w:eastAsia="SimSun"/>
                <w:sz w:val="22"/>
                <w:shd w:val="clear" w:color="auto" w:fill="FFFFFF"/>
                <w:lang w:val="en-US" w:eastAsia="zh-CN"/>
              </w:rPr>
              <w:t>[34.9%, 43.4%]</w:t>
            </w:r>
          </w:p>
        </w:tc>
      </w:tr>
      <w:tr w:rsidR="00D5102A" w:rsidRPr="00D5102A" w:rsidTr="00695099">
        <w:trPr>
          <w:cantSplit/>
        </w:trPr>
        <w:tc>
          <w:tcPr>
            <w:tcW w:w="3557" w:type="dxa"/>
            <w:tcBorders>
              <w:top w:val="nil"/>
              <w:left w:val="single" w:sz="4" w:space="0" w:color="auto"/>
              <w:bottom w:val="nil"/>
              <w:right w:val="single" w:sz="4" w:space="0" w:color="auto"/>
            </w:tcBorders>
          </w:tcPr>
          <w:p w:rsidR="00D5102A" w:rsidRPr="00ED6A89" w:rsidRDefault="00D5102A" w:rsidP="00695099">
            <w:pPr>
              <w:keepNext/>
              <w:keepLines/>
              <w:spacing w:before="50" w:after="50" w:line="240" w:lineRule="exact"/>
              <w:rPr>
                <w:rFonts w:eastAsia="SimSun"/>
                <w:sz w:val="22"/>
                <w:lang w:val="fr-CH" w:eastAsia="zh-CN"/>
              </w:rPr>
            </w:pPr>
            <w:r w:rsidRPr="00ED6A89">
              <w:rPr>
                <w:rFonts w:eastAsia="SimSun"/>
                <w:sz w:val="22"/>
                <w:lang w:val="fr-CH" w:eastAsia="zh-CN"/>
              </w:rPr>
              <w:t>Partial response (PR)</w:t>
            </w:r>
          </w:p>
          <w:p w:rsidR="00D5102A" w:rsidRPr="00ED6A89" w:rsidRDefault="00D5102A" w:rsidP="00695099">
            <w:pPr>
              <w:keepNext/>
              <w:keepLines/>
              <w:spacing w:before="50" w:after="50" w:line="240" w:lineRule="exact"/>
              <w:rPr>
                <w:rFonts w:eastAsia="SimSun"/>
                <w:sz w:val="22"/>
                <w:lang w:val="fr-CH" w:eastAsia="zh-CN"/>
              </w:rPr>
            </w:pPr>
            <w:r w:rsidRPr="00ED6A89">
              <w:rPr>
                <w:rFonts w:eastAsia="SimSun"/>
                <w:sz w:val="22"/>
                <w:lang w:val="fr-CH" w:eastAsia="zh-CN"/>
              </w:rPr>
              <w:t xml:space="preserve">     95% CI Clopper-Pearson</w:t>
            </w:r>
          </w:p>
        </w:tc>
        <w:tc>
          <w:tcPr>
            <w:tcW w:w="2828" w:type="dxa"/>
            <w:tcBorders>
              <w:top w:val="nil"/>
              <w:left w:val="single" w:sz="4" w:space="0" w:color="auto"/>
              <w:bottom w:val="nil"/>
            </w:tcBorders>
          </w:tcPr>
          <w:p w:rsidR="00D5102A" w:rsidRPr="00ED6A89" w:rsidRDefault="00D5102A" w:rsidP="00695099">
            <w:pPr>
              <w:keepNext/>
              <w:keepLines/>
              <w:spacing w:before="50" w:after="50" w:line="240" w:lineRule="exact"/>
              <w:jc w:val="center"/>
              <w:rPr>
                <w:rFonts w:eastAsia="SimSun"/>
                <w:sz w:val="22"/>
                <w:shd w:val="clear" w:color="auto" w:fill="FFFFFF"/>
                <w:lang w:val="en-US" w:eastAsia="zh-CN"/>
              </w:rPr>
            </w:pPr>
            <w:r w:rsidRPr="00ED6A89">
              <w:rPr>
                <w:rFonts w:eastAsia="SimSun"/>
                <w:sz w:val="22"/>
                <w:shd w:val="clear" w:color="auto" w:fill="FFFFFF"/>
                <w:lang w:val="en-US" w:eastAsia="zh-CN"/>
              </w:rPr>
              <w:t>146 (27.4%)</w:t>
            </w:r>
          </w:p>
          <w:p w:rsidR="00D5102A" w:rsidRPr="00ED6A89" w:rsidRDefault="00D5102A" w:rsidP="00695099">
            <w:pPr>
              <w:keepNext/>
              <w:keepLines/>
              <w:spacing w:before="50" w:after="50" w:line="240" w:lineRule="exact"/>
              <w:jc w:val="center"/>
              <w:rPr>
                <w:rFonts w:eastAsia="SimSun"/>
                <w:sz w:val="22"/>
                <w:shd w:val="clear" w:color="auto" w:fill="FFFFFF"/>
                <w:lang w:val="en-US" w:eastAsia="zh-CN"/>
              </w:rPr>
            </w:pPr>
            <w:r w:rsidRPr="00ED6A89">
              <w:rPr>
                <w:rFonts w:eastAsia="SimSun"/>
                <w:sz w:val="22"/>
                <w:shd w:val="clear" w:color="auto" w:fill="FFFFFF"/>
                <w:lang w:val="en-US" w:eastAsia="zh-CN"/>
              </w:rPr>
              <w:t>[23.7%, 31.4%]</w:t>
            </w:r>
          </w:p>
        </w:tc>
        <w:tc>
          <w:tcPr>
            <w:tcW w:w="2693" w:type="dxa"/>
            <w:tcBorders>
              <w:top w:val="nil"/>
              <w:bottom w:val="nil"/>
              <w:right w:val="single" w:sz="4" w:space="0" w:color="auto"/>
            </w:tcBorders>
            <w:vAlign w:val="bottom"/>
          </w:tcPr>
          <w:p w:rsidR="00D5102A" w:rsidRPr="00ED6A89" w:rsidRDefault="00D5102A" w:rsidP="00695099">
            <w:pPr>
              <w:keepNext/>
              <w:keepLines/>
              <w:spacing w:before="50" w:after="50" w:line="240" w:lineRule="exact"/>
              <w:jc w:val="center"/>
              <w:rPr>
                <w:rFonts w:eastAsia="SimSun"/>
                <w:sz w:val="22"/>
                <w:shd w:val="clear" w:color="auto" w:fill="FFFFFF"/>
                <w:lang w:val="en-US" w:eastAsia="zh-CN"/>
              </w:rPr>
            </w:pPr>
            <w:r w:rsidRPr="00ED6A89">
              <w:rPr>
                <w:rFonts w:eastAsia="SimSun"/>
                <w:sz w:val="22"/>
                <w:shd w:val="clear" w:color="auto" w:fill="FFFFFF"/>
                <w:lang w:val="en-US" w:eastAsia="zh-CN"/>
              </w:rPr>
              <w:t>166 (31.6%)</w:t>
            </w:r>
          </w:p>
          <w:p w:rsidR="00D5102A" w:rsidRPr="00ED6A89" w:rsidRDefault="00D5102A" w:rsidP="00695099">
            <w:pPr>
              <w:keepNext/>
              <w:keepLines/>
              <w:spacing w:before="50" w:after="50" w:line="240" w:lineRule="exact"/>
              <w:jc w:val="center"/>
              <w:rPr>
                <w:rFonts w:eastAsia="SimSun"/>
                <w:sz w:val="22"/>
                <w:shd w:val="clear" w:color="auto" w:fill="FFFFFF"/>
                <w:lang w:val="en-US" w:eastAsia="zh-CN"/>
              </w:rPr>
            </w:pPr>
            <w:r w:rsidRPr="00ED6A89">
              <w:rPr>
                <w:rFonts w:eastAsia="SimSun"/>
                <w:sz w:val="22"/>
                <w:shd w:val="clear" w:color="auto" w:fill="FFFFFF"/>
                <w:lang w:val="en-US" w:eastAsia="zh-CN"/>
              </w:rPr>
              <w:t>[27.7%, 35.8%]</w:t>
            </w:r>
          </w:p>
        </w:tc>
      </w:tr>
      <w:tr w:rsidR="00D5102A" w:rsidRPr="00D5102A" w:rsidTr="00695099">
        <w:trPr>
          <w:cantSplit/>
        </w:trPr>
        <w:tc>
          <w:tcPr>
            <w:tcW w:w="9078" w:type="dxa"/>
            <w:gridSpan w:val="3"/>
            <w:tcBorders>
              <w:top w:val="single" w:sz="4" w:space="0" w:color="auto"/>
            </w:tcBorders>
            <w:tcMar>
              <w:top w:w="58" w:type="dxa"/>
            </w:tcMar>
          </w:tcPr>
          <w:p w:rsidR="00D5102A" w:rsidRPr="00ED6A89" w:rsidRDefault="00D5102A" w:rsidP="00D5102A">
            <w:pPr>
              <w:keepLines/>
              <w:ind w:left="33"/>
              <w:jc w:val="left"/>
              <w:rPr>
                <w:rFonts w:eastAsia="SimSun"/>
                <w:sz w:val="20"/>
                <w:szCs w:val="20"/>
                <w:lang w:val="en-GB" w:eastAsia="zh-CN"/>
              </w:rPr>
            </w:pPr>
            <w:r w:rsidRPr="00ED6A89">
              <w:rPr>
                <w:rFonts w:eastAsia="SimSun"/>
                <w:sz w:val="20"/>
                <w:szCs w:val="20"/>
                <w:lang w:val="en-GB" w:eastAsia="zh-CN"/>
              </w:rPr>
              <w:t>IRC: Independent Review Committee; PFS: progression-free survival; HR: Hazard Ratio; CI: Confidence Interval, NR = Not Reached</w:t>
            </w:r>
          </w:p>
          <w:p w:rsidR="00D5102A" w:rsidRPr="00ED6A89" w:rsidRDefault="00D5102A" w:rsidP="00D5102A">
            <w:pPr>
              <w:keepNext/>
              <w:keepLines/>
              <w:spacing w:after="40"/>
              <w:ind w:left="28"/>
              <w:jc w:val="left"/>
              <w:rPr>
                <w:rFonts w:eastAsia="SimSun"/>
                <w:sz w:val="20"/>
                <w:szCs w:val="20"/>
                <w:lang w:val="en-US" w:eastAsia="zh-CN"/>
              </w:rPr>
            </w:pPr>
            <w:r w:rsidRPr="00ED6A89">
              <w:rPr>
                <w:rFonts w:eastAsia="SimSun"/>
                <w:bCs/>
                <w:sz w:val="20"/>
                <w:szCs w:val="20"/>
                <w:lang w:val="en-GB" w:eastAsia="zh-CN"/>
              </w:rPr>
              <w:t>*</w:t>
            </w:r>
            <w:r w:rsidRPr="00ED6A89">
              <w:rPr>
                <w:rFonts w:eastAsia="SimSun"/>
                <w:sz w:val="20"/>
                <w:szCs w:val="20"/>
                <w:lang w:val="en-US" w:eastAsia="zh-CN"/>
              </w:rPr>
              <w:t xml:space="preserve"> Stratification factors were chemotherapy regimen, FLIPI risk group for follicular l</w:t>
            </w:r>
            <w:r>
              <w:rPr>
                <w:rFonts w:eastAsia="SimSun"/>
                <w:sz w:val="20"/>
                <w:szCs w:val="20"/>
                <w:lang w:val="en-US" w:eastAsia="zh-CN"/>
              </w:rPr>
              <w:t>ymphoma, geographic region)</w:t>
            </w:r>
          </w:p>
          <w:p w:rsidR="00D5102A" w:rsidRPr="00ED6A89" w:rsidRDefault="00D5102A" w:rsidP="00D5102A">
            <w:pPr>
              <w:keepNext/>
              <w:keepLines/>
              <w:spacing w:after="40"/>
              <w:ind w:left="245" w:hanging="216"/>
              <w:jc w:val="left"/>
              <w:rPr>
                <w:rFonts w:eastAsia="SimSun"/>
                <w:sz w:val="20"/>
                <w:szCs w:val="20"/>
                <w:lang w:val="en-US" w:eastAsia="zh-CN"/>
              </w:rPr>
            </w:pPr>
            <w:r w:rsidRPr="00ED6A89">
              <w:rPr>
                <w:rFonts w:eastAsia="SimSun"/>
                <w:sz w:val="20"/>
                <w:szCs w:val="20"/>
                <w:vertAlign w:val="superscript"/>
                <w:lang w:val="en-US" w:eastAsia="zh-CN"/>
              </w:rPr>
              <w:t xml:space="preserve">¶ </w:t>
            </w:r>
            <w:r w:rsidRPr="00ED6A89">
              <w:rPr>
                <w:rFonts w:eastAsia="SimSun"/>
                <w:sz w:val="20"/>
                <w:szCs w:val="20"/>
                <w:lang w:val="en-US" w:eastAsia="zh-CN"/>
              </w:rPr>
              <w:t xml:space="preserve">Data Not Yet Mature. Median was not reached at time of analysis </w:t>
            </w:r>
          </w:p>
          <w:p w:rsidR="00D5102A" w:rsidRPr="00ED6A89" w:rsidRDefault="00D5102A" w:rsidP="00D5102A">
            <w:pPr>
              <w:spacing w:after="40"/>
              <w:ind w:left="33"/>
              <w:jc w:val="left"/>
              <w:rPr>
                <w:rFonts w:eastAsia="SimSun"/>
                <w:sz w:val="20"/>
                <w:szCs w:val="20"/>
                <w:lang w:val="en-US" w:eastAsia="zh-CN"/>
              </w:rPr>
            </w:pPr>
            <w:r w:rsidRPr="00ED6A89">
              <w:rPr>
                <w:rFonts w:eastAsia="SimSun"/>
                <w:sz w:val="20"/>
                <w:szCs w:val="20"/>
                <w:vertAlign w:val="superscript"/>
                <w:lang w:val="en-GB" w:eastAsia="zh-CN"/>
              </w:rPr>
              <w:t>‡</w:t>
            </w:r>
            <w:r w:rsidRPr="00ED6A89">
              <w:rPr>
                <w:rFonts w:eastAsia="SimSun"/>
                <w:sz w:val="20"/>
                <w:szCs w:val="20"/>
                <w:lang w:val="en-GB" w:eastAsia="zh-CN"/>
              </w:rPr>
              <w:t xml:space="preserve"> </w:t>
            </w:r>
            <w:r w:rsidRPr="00ED6A89">
              <w:rPr>
                <w:rFonts w:eastAsia="SimSun"/>
                <w:bCs/>
                <w:sz w:val="20"/>
                <w:szCs w:val="20"/>
                <w:lang w:val="en-GB" w:eastAsia="zh-CN"/>
              </w:rPr>
              <w:t>End of Induction = end of Induction phase, does not include monotherapy maintenance</w:t>
            </w:r>
            <w:r w:rsidRPr="00ED6A89">
              <w:rPr>
                <w:rFonts w:eastAsia="SimSun"/>
                <w:sz w:val="20"/>
                <w:szCs w:val="20"/>
                <w:lang w:val="en-US" w:eastAsia="zh-CN"/>
              </w:rPr>
              <w:t xml:space="preserve"> </w:t>
            </w:r>
          </w:p>
          <w:p w:rsidR="00D5102A" w:rsidRPr="00ED6A89" w:rsidRDefault="00D5102A" w:rsidP="00D5102A">
            <w:pPr>
              <w:spacing w:after="40"/>
              <w:ind w:left="33"/>
              <w:jc w:val="left"/>
              <w:rPr>
                <w:rFonts w:eastAsia="SimSun"/>
                <w:bCs/>
                <w:sz w:val="20"/>
                <w:szCs w:val="20"/>
                <w:lang w:val="en-GB" w:eastAsia="zh-CN"/>
              </w:rPr>
            </w:pPr>
            <w:r w:rsidRPr="00ED6A89">
              <w:rPr>
                <w:rFonts w:eastAsia="SimSun"/>
                <w:bCs/>
                <w:sz w:val="20"/>
                <w:szCs w:val="20"/>
                <w:lang w:val="en-GB" w:eastAsia="zh-CN"/>
              </w:rPr>
              <w:t>**Assessed as per modified Cheson 2007 criteria</w:t>
            </w:r>
          </w:p>
          <w:p w:rsidR="00D5102A" w:rsidRPr="00ED6A89" w:rsidRDefault="00D5102A" w:rsidP="00D5102A">
            <w:pPr>
              <w:spacing w:after="40"/>
              <w:ind w:left="33"/>
              <w:jc w:val="left"/>
              <w:rPr>
                <w:rFonts w:eastAsia="SimSun"/>
                <w:bCs/>
                <w:sz w:val="22"/>
                <w:lang w:val="en-GB" w:eastAsia="zh-CN"/>
              </w:rPr>
            </w:pPr>
            <w:r w:rsidRPr="00ED6A89">
              <w:rPr>
                <w:rFonts w:eastAsia="SimSun"/>
                <w:sz w:val="20"/>
                <w:szCs w:val="20"/>
                <w:vertAlign w:val="superscript"/>
                <w:lang w:val="en-US" w:eastAsia="zh-CN"/>
              </w:rPr>
              <w:t xml:space="preserve">§ </w:t>
            </w:r>
            <w:r w:rsidRPr="00ED6A89">
              <w:rPr>
                <w:rFonts w:eastAsia="SimSun"/>
                <w:bCs/>
                <w:sz w:val="20"/>
                <w:szCs w:val="20"/>
                <w:lang w:val="en-GB" w:eastAsia="zh-CN"/>
              </w:rPr>
              <w:t>Significance level at this efficacy interim analysis: 0.012</w:t>
            </w:r>
          </w:p>
        </w:tc>
      </w:tr>
    </w:tbl>
    <w:p w:rsidR="00831183" w:rsidRDefault="00831183" w:rsidP="003B57FD">
      <w:pPr>
        <w:rPr>
          <w:lang w:val="en-US"/>
        </w:rPr>
      </w:pPr>
    </w:p>
    <w:p w:rsidR="00C32127" w:rsidRDefault="00C32127" w:rsidP="003B57FD">
      <w:pPr>
        <w:rPr>
          <w:lang w:val="en-US"/>
        </w:rPr>
      </w:pPr>
      <w:r w:rsidRPr="00C32127">
        <w:rPr>
          <w:lang w:val="en-US"/>
        </w:rPr>
        <w:t>Response rates at the end of induction assessed by positron emission tomograp</w:t>
      </w:r>
      <w:r w:rsidR="002435E5">
        <w:rPr>
          <w:lang w:val="en-US"/>
        </w:rPr>
        <w:t xml:space="preserve">hy (PET) were available for 297 of </w:t>
      </w:r>
      <w:r w:rsidRPr="00C32127">
        <w:rPr>
          <w:lang w:val="en-US"/>
        </w:rPr>
        <w:t>601 patients in the G</w:t>
      </w:r>
      <w:r w:rsidR="00771361">
        <w:rPr>
          <w:lang w:val="en-US"/>
        </w:rPr>
        <w:t>azyva</w:t>
      </w:r>
      <w:r w:rsidR="002435E5">
        <w:rPr>
          <w:lang w:val="en-US"/>
        </w:rPr>
        <w:t xml:space="preserve"> plus chemotherapy arm and 298 of </w:t>
      </w:r>
      <w:r w:rsidRPr="00C32127">
        <w:rPr>
          <w:lang w:val="en-US"/>
        </w:rPr>
        <w:t>601 patients in the rituximab plus chemotherapy arm of the study. Complete response rates at end of induction as assessed by PET were 62.3% in the G</w:t>
      </w:r>
      <w:r w:rsidR="00395BD6">
        <w:rPr>
          <w:lang w:val="en-US"/>
        </w:rPr>
        <w:t>azyva</w:t>
      </w:r>
      <w:r w:rsidRPr="00C32127">
        <w:rPr>
          <w:lang w:val="en-US"/>
        </w:rPr>
        <w:t xml:space="preserve"> plus chemotherapy arm and 56.7% in the rituximab plus chemotherapy arm. Overall response rates were similar in the two arms, with a difference of 4.3% in favour of the G</w:t>
      </w:r>
      <w:r w:rsidR="00395BD6">
        <w:rPr>
          <w:lang w:val="en-US"/>
        </w:rPr>
        <w:t>azyva</w:t>
      </w:r>
      <w:r w:rsidRPr="00C32127">
        <w:rPr>
          <w:lang w:val="en-US"/>
        </w:rPr>
        <w:t xml:space="preserve"> plus chemotherapy arm (85.9% for G-chemo vs 81.5% for R-chemo).</w:t>
      </w:r>
      <w:r w:rsidR="00C956BC">
        <w:rPr>
          <w:lang w:val="en-US"/>
        </w:rPr>
        <w:t xml:space="preserve"> The differences were 4.3% (OR, 95% CI [-1.8,10.4], p=0.19) and 5.6% (CR, 95% CI [-2.5,13.6], p=0.28).</w:t>
      </w:r>
    </w:p>
    <w:p w:rsidR="00C32127" w:rsidRDefault="00C32127" w:rsidP="003B57FD">
      <w:pPr>
        <w:rPr>
          <w:lang w:val="en-US"/>
        </w:rPr>
      </w:pPr>
    </w:p>
    <w:p w:rsidR="00254841" w:rsidRPr="00254841" w:rsidRDefault="00254841" w:rsidP="00254841">
      <w:pPr>
        <w:rPr>
          <w:b/>
          <w:lang w:val="en-GB"/>
        </w:rPr>
      </w:pPr>
      <w:r w:rsidRPr="00254841">
        <w:rPr>
          <w:b/>
          <w:lang w:val="en-GB"/>
        </w:rPr>
        <w:t>Figure 4 Kaplan-Meier estimates of INV-assessed progression-free survival in FL patients</w:t>
      </w:r>
    </w:p>
    <w:p w:rsidR="00254841" w:rsidRPr="00254841" w:rsidRDefault="00AF4B3D" w:rsidP="00254841">
      <w:pPr>
        <w:rPr>
          <w:lang w:val="en-GB"/>
        </w:rPr>
      </w:pPr>
      <w:r>
        <w:rPr>
          <w:noProof/>
          <w:lang w:eastAsia="en-AU"/>
        </w:rPr>
        <w:drawing>
          <wp:inline distT="0" distB="0" distL="0" distR="0">
            <wp:extent cx="4514850" cy="28003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4850" cy="2800350"/>
                    </a:xfrm>
                    <a:prstGeom prst="rect">
                      <a:avLst/>
                    </a:prstGeom>
                    <a:noFill/>
                    <a:ln>
                      <a:noFill/>
                    </a:ln>
                  </pic:spPr>
                </pic:pic>
              </a:graphicData>
            </a:graphic>
          </wp:inline>
        </w:drawing>
      </w:r>
    </w:p>
    <w:p w:rsidR="00254841" w:rsidRPr="00254841" w:rsidRDefault="002435E5" w:rsidP="00254841">
      <w:pPr>
        <w:rPr>
          <w:sz w:val="20"/>
          <w:szCs w:val="20"/>
          <w:lang w:val="en-GB"/>
        </w:rPr>
      </w:pPr>
      <w:r>
        <w:rPr>
          <w:sz w:val="20"/>
          <w:szCs w:val="20"/>
          <w:lang w:val="en-GB"/>
        </w:rPr>
        <w:t>R-Chemo: r</w:t>
      </w:r>
      <w:r w:rsidR="00254841" w:rsidRPr="00254841">
        <w:rPr>
          <w:sz w:val="20"/>
          <w:szCs w:val="20"/>
          <w:lang w:val="en-GB"/>
        </w:rPr>
        <w:t>it</w:t>
      </w:r>
      <w:r>
        <w:rPr>
          <w:sz w:val="20"/>
          <w:szCs w:val="20"/>
          <w:lang w:val="en-GB"/>
        </w:rPr>
        <w:t>uximab plus chemotherapy;</w:t>
      </w:r>
      <w:r w:rsidR="00254841" w:rsidRPr="00254841">
        <w:rPr>
          <w:sz w:val="20"/>
          <w:szCs w:val="20"/>
          <w:lang w:val="en-GB"/>
        </w:rPr>
        <w:t xml:space="preserve"> G-</w:t>
      </w:r>
      <w:r>
        <w:rPr>
          <w:sz w:val="20"/>
          <w:szCs w:val="20"/>
          <w:lang w:val="en-GB"/>
        </w:rPr>
        <w:t>Chemo: G</w:t>
      </w:r>
      <w:r w:rsidR="00395BD6">
        <w:rPr>
          <w:sz w:val="20"/>
          <w:szCs w:val="20"/>
          <w:lang w:val="en-GB"/>
        </w:rPr>
        <w:t>azyva</w:t>
      </w:r>
      <w:r>
        <w:rPr>
          <w:sz w:val="20"/>
          <w:szCs w:val="20"/>
          <w:lang w:val="en-GB"/>
        </w:rPr>
        <w:t xml:space="preserve"> plus chemotherapy; HR: hazard ratio;</w:t>
      </w:r>
      <w:r w:rsidR="00254841" w:rsidRPr="00254841">
        <w:rPr>
          <w:sz w:val="20"/>
          <w:szCs w:val="20"/>
          <w:lang w:val="en-GB"/>
        </w:rPr>
        <w:t xml:space="preserve"> CI: confidence interval</w:t>
      </w:r>
    </w:p>
    <w:p w:rsidR="00254841" w:rsidRPr="00254841" w:rsidRDefault="00254841" w:rsidP="00254841">
      <w:pPr>
        <w:rPr>
          <w:lang w:val="en-GB"/>
        </w:rPr>
      </w:pPr>
    </w:p>
    <w:p w:rsidR="00254841" w:rsidRPr="00254841" w:rsidRDefault="00254841" w:rsidP="00254841">
      <w:pPr>
        <w:rPr>
          <w:i/>
          <w:lang w:val="en-GB"/>
        </w:rPr>
      </w:pPr>
      <w:r w:rsidRPr="00254841">
        <w:rPr>
          <w:i/>
          <w:lang w:val="en-GB"/>
        </w:rPr>
        <w:t>Results of subgroup analyses</w:t>
      </w:r>
    </w:p>
    <w:p w:rsidR="00254841" w:rsidRPr="00254841" w:rsidRDefault="00254841" w:rsidP="00254841">
      <w:pPr>
        <w:rPr>
          <w:lang w:val="en-GB"/>
        </w:rPr>
      </w:pPr>
      <w:r w:rsidRPr="00254841">
        <w:rPr>
          <w:lang w:val="en-GB"/>
        </w:rPr>
        <w:lastRenderedPageBreak/>
        <w:t>Results of subgroup analyses were, in general, consistent with the results seen in the FL population, supporting the robustness of the overall result. The subgroups evaluated included IPI, FLIPI, Chemo Regimen, Bulky Disease, B Symptoms at Baseline, Ann Arbor Stage and ECOG at Baseline.</w:t>
      </w:r>
    </w:p>
    <w:p w:rsidR="00254841" w:rsidRPr="00254841" w:rsidRDefault="00254841" w:rsidP="00254841">
      <w:pPr>
        <w:rPr>
          <w:u w:val="single"/>
          <w:lang w:val="en-GB"/>
        </w:rPr>
      </w:pPr>
    </w:p>
    <w:p w:rsidR="00151C21" w:rsidRPr="00151C21" w:rsidRDefault="00151C21" w:rsidP="003B57FD">
      <w:pPr>
        <w:rPr>
          <w:i/>
          <w:lang w:val="en-US"/>
        </w:rPr>
      </w:pPr>
      <w:r w:rsidRPr="00151C21">
        <w:rPr>
          <w:i/>
          <w:lang w:val="en-US"/>
        </w:rPr>
        <w:t>Relapsed/Refractory Follicular Lymphoma</w:t>
      </w:r>
    </w:p>
    <w:p w:rsidR="000B3114" w:rsidRDefault="000B3114" w:rsidP="003B57FD">
      <w:pPr>
        <w:rPr>
          <w:lang w:val="en-US"/>
        </w:rPr>
      </w:pPr>
      <w:r w:rsidRPr="000B3114">
        <w:rPr>
          <w:lang w:val="en-US"/>
        </w:rPr>
        <w:t>In a phase III, open-label, multicenter, randomi</w:t>
      </w:r>
      <w:r>
        <w:rPr>
          <w:lang w:val="en-US"/>
        </w:rPr>
        <w:t>s</w:t>
      </w:r>
      <w:r w:rsidRPr="000B3114">
        <w:rPr>
          <w:lang w:val="en-US"/>
        </w:rPr>
        <w:t>ed study (GAO4753g/GADOLIN), 396 patients with i</w:t>
      </w:r>
      <w:r>
        <w:rPr>
          <w:lang w:val="en-US"/>
        </w:rPr>
        <w:t xml:space="preserve">ndolent </w:t>
      </w:r>
      <w:r w:rsidRPr="000B3114">
        <w:rPr>
          <w:lang w:val="en-US"/>
        </w:rPr>
        <w:t>NHL</w:t>
      </w:r>
      <w:r>
        <w:rPr>
          <w:lang w:val="en-US"/>
        </w:rPr>
        <w:t xml:space="preserve"> (iNHL)</w:t>
      </w:r>
      <w:r w:rsidRPr="000B3114">
        <w:rPr>
          <w:lang w:val="en-US"/>
        </w:rPr>
        <w:t xml:space="preserve"> who had no response to or who progressed during or up to 6 months after treatment with rituximab or a rituximab-containing regimen were evaluated. Patients were randomi</w:t>
      </w:r>
      <w:r>
        <w:rPr>
          <w:lang w:val="en-US"/>
        </w:rPr>
        <w:t>s</w:t>
      </w:r>
      <w:r w:rsidRPr="000B3114">
        <w:rPr>
          <w:lang w:val="en-US"/>
        </w:rPr>
        <w:t xml:space="preserve">ed 1:1 to receive either bendamustine (B) alone (n=202) or </w:t>
      </w:r>
      <w:r w:rsidR="00395BD6">
        <w:rPr>
          <w:lang w:val="en-US"/>
        </w:rPr>
        <w:t>Gazyva</w:t>
      </w:r>
      <w:r w:rsidR="00395BD6" w:rsidRPr="000B3114">
        <w:rPr>
          <w:lang w:val="en-US"/>
        </w:rPr>
        <w:t xml:space="preserve"> </w:t>
      </w:r>
      <w:r w:rsidRPr="000B3114">
        <w:rPr>
          <w:lang w:val="en-US"/>
        </w:rPr>
        <w:t xml:space="preserve">in combination with bendamustine (G+B) (n=194) for 6 cycles, each of 28 days duration. Patients in the G+B arm who did not have disease progression [i.e. patients with a complete response (CR), partial response (PR) or stable disease (SD)]  at the end of induction continued receiving </w:t>
      </w:r>
      <w:r w:rsidR="00870096">
        <w:rPr>
          <w:lang w:val="en-US"/>
        </w:rPr>
        <w:t>Gazyva</w:t>
      </w:r>
      <w:r w:rsidR="00870096" w:rsidRPr="000B3114">
        <w:rPr>
          <w:lang w:val="en-US"/>
        </w:rPr>
        <w:t xml:space="preserve"> </w:t>
      </w:r>
      <w:r w:rsidRPr="000B3114">
        <w:rPr>
          <w:lang w:val="en-US"/>
        </w:rPr>
        <w:t>maintenance until disease progression or for up to two years (whichever occurred first).</w:t>
      </w:r>
    </w:p>
    <w:p w:rsidR="000B3114" w:rsidRDefault="000B3114" w:rsidP="003B57FD">
      <w:pPr>
        <w:rPr>
          <w:lang w:val="en-US"/>
        </w:rPr>
      </w:pPr>
    </w:p>
    <w:p w:rsidR="007D6537" w:rsidRDefault="000B3114" w:rsidP="003B57FD">
      <w:pPr>
        <w:rPr>
          <w:lang w:val="en-US"/>
        </w:rPr>
      </w:pPr>
      <w:r w:rsidRPr="000B3114">
        <w:rPr>
          <w:lang w:val="en-US"/>
        </w:rPr>
        <w:t>The demographic data and baseline characteristics were well balanced [median age was 63 years; the majority of patients were Caucasian (88%) and male (58%)]. The median time from initial diagnosis was 3 years and the median number of prior therapies was 2 (range 1 to 10); 44% of patients had received 1 prior therapy and 34% of patients had</w:t>
      </w:r>
      <w:r>
        <w:rPr>
          <w:lang w:val="en-US"/>
        </w:rPr>
        <w:t xml:space="preserve"> received 2 prior therapies</w:t>
      </w:r>
      <w:r w:rsidRPr="000B3114">
        <w:rPr>
          <w:lang w:val="en-US"/>
        </w:rPr>
        <w:t>.</w:t>
      </w:r>
      <w:r w:rsidR="00A5039D">
        <w:rPr>
          <w:lang w:val="en-US"/>
        </w:rPr>
        <w:t xml:space="preserve"> </w:t>
      </w:r>
      <w:r w:rsidRPr="000B3114">
        <w:rPr>
          <w:lang w:val="en-US"/>
        </w:rPr>
        <w:t xml:space="preserve">The majority of the patients had follicular lymphoma (FL) (81.1%). Of the non-follicular patients, 11.6% had marginal zone lymphoma (MZL) and 7.1% had small lymphocytic lymphoma (SLL). </w:t>
      </w:r>
    </w:p>
    <w:p w:rsidR="000B3114" w:rsidRDefault="000B3114" w:rsidP="003B57FD">
      <w:pPr>
        <w:rPr>
          <w:lang w:val="en-US"/>
        </w:rPr>
      </w:pPr>
    </w:p>
    <w:p w:rsidR="000B3114" w:rsidRDefault="00395BD6" w:rsidP="003B57FD">
      <w:pPr>
        <w:rPr>
          <w:lang w:val="en-US"/>
        </w:rPr>
      </w:pPr>
      <w:r>
        <w:rPr>
          <w:lang w:val="en-US"/>
        </w:rPr>
        <w:t>Gazyva</w:t>
      </w:r>
      <w:r w:rsidR="000B3114" w:rsidRPr="000B3114">
        <w:rPr>
          <w:lang w:val="en-US"/>
        </w:rPr>
        <w:t xml:space="preserve"> was given intravenously as a 1000 mg dose on Days 1, 8 and 15 of Cycle 1, on Day 1 of Cycles 2-6, and in patients who did not have disease progression, every 2 months for up to 2 years or until disease progression. Bendamustine was given intravenously on Days 1 and 2 for</w:t>
      </w:r>
      <w:r w:rsidR="000B3114">
        <w:rPr>
          <w:lang w:val="en-US"/>
        </w:rPr>
        <w:t xml:space="preserve"> all treatment cycles (Cycles 1-</w:t>
      </w:r>
      <w:r w:rsidR="000B3114" w:rsidRPr="000B3114">
        <w:rPr>
          <w:lang w:val="en-US"/>
        </w:rPr>
        <w:t>6) at 90 mg/m</w:t>
      </w:r>
      <w:r w:rsidR="000B3114" w:rsidRPr="000B3114">
        <w:rPr>
          <w:vertAlign w:val="superscript"/>
          <w:lang w:val="en-US"/>
        </w:rPr>
        <w:t>2</w:t>
      </w:r>
      <w:r w:rsidR="000B3114" w:rsidRPr="000B3114">
        <w:rPr>
          <w:lang w:val="en-US"/>
        </w:rPr>
        <w:t xml:space="preserve">/day when given in combination with </w:t>
      </w:r>
      <w:r>
        <w:rPr>
          <w:lang w:val="en-US"/>
        </w:rPr>
        <w:t>Gazyva</w:t>
      </w:r>
      <w:r w:rsidR="000B3114" w:rsidRPr="000B3114">
        <w:rPr>
          <w:lang w:val="en-US"/>
        </w:rPr>
        <w:t xml:space="preserve"> or 120 mg/m</w:t>
      </w:r>
      <w:r w:rsidR="000B3114" w:rsidRPr="000B3114">
        <w:rPr>
          <w:vertAlign w:val="superscript"/>
          <w:lang w:val="en-US"/>
        </w:rPr>
        <w:t>2</w:t>
      </w:r>
      <w:r w:rsidR="000B3114" w:rsidRPr="000B3114">
        <w:rPr>
          <w:lang w:val="en-US"/>
        </w:rPr>
        <w:t>/day when given alone.</w:t>
      </w:r>
    </w:p>
    <w:p w:rsidR="000B3114" w:rsidRDefault="000B3114" w:rsidP="003B57FD">
      <w:pPr>
        <w:rPr>
          <w:lang w:val="en-US"/>
        </w:rPr>
      </w:pPr>
    </w:p>
    <w:p w:rsidR="000B3114" w:rsidRDefault="000B3114" w:rsidP="003B57FD">
      <w:pPr>
        <w:rPr>
          <w:lang w:val="en-US"/>
        </w:rPr>
      </w:pPr>
      <w:r w:rsidRPr="000B3114">
        <w:rPr>
          <w:lang w:val="en-US"/>
        </w:rPr>
        <w:t xml:space="preserve">The primary analysis demonstrated a statistically significant and clinically meaningful </w:t>
      </w:r>
      <w:r w:rsidR="00C2153F">
        <w:rPr>
          <w:lang w:val="en-US"/>
        </w:rPr>
        <w:t xml:space="preserve">52% </w:t>
      </w:r>
      <w:r w:rsidRPr="00C2153F">
        <w:rPr>
          <w:lang w:val="en-US"/>
        </w:rPr>
        <w:t xml:space="preserve">reduction in the risk of disease progression (PD) or death, based on IRC assessment, in patients with </w:t>
      </w:r>
      <w:r w:rsidR="00780A35" w:rsidRPr="00C2153F">
        <w:rPr>
          <w:lang w:val="en-US"/>
        </w:rPr>
        <w:t>FL</w:t>
      </w:r>
      <w:r w:rsidR="00C2153F">
        <w:rPr>
          <w:lang w:val="en-US"/>
        </w:rPr>
        <w:t xml:space="preserve"> </w:t>
      </w:r>
      <w:r w:rsidRPr="00C2153F">
        <w:rPr>
          <w:lang w:val="en-US"/>
        </w:rPr>
        <w:t>receiving G+B followed by G maintenance vs B alone (stratified log-rank test p value</w:t>
      </w:r>
      <w:r w:rsidR="00780A35" w:rsidRPr="00C2153F">
        <w:rPr>
          <w:lang w:val="en-US"/>
        </w:rPr>
        <w:t xml:space="preserve"> &lt;</w:t>
      </w:r>
      <w:r w:rsidRPr="00C2153F">
        <w:rPr>
          <w:strike/>
          <w:lang w:val="en-US"/>
        </w:rPr>
        <w:t>=</w:t>
      </w:r>
      <w:r w:rsidRPr="00C2153F">
        <w:rPr>
          <w:lang w:val="en-US"/>
        </w:rPr>
        <w:t xml:space="preserve">0.0001). IRC-assessed response rates at the end of induction treatment and IRC-assessed best overall response within 12 months of start of treatment were similar in the two treatment arms. At the time of the primary analysis, the median time to event in the B arm was </w:t>
      </w:r>
      <w:r w:rsidR="00780A35" w:rsidRPr="00C2153F">
        <w:rPr>
          <w:lang w:val="en-US"/>
        </w:rPr>
        <w:t>13.8</w:t>
      </w:r>
      <w:r w:rsidRPr="00C2153F">
        <w:rPr>
          <w:lang w:val="en-US"/>
        </w:rPr>
        <w:t xml:space="preserve"> months (95% CI: </w:t>
      </w:r>
      <w:r w:rsidR="00780A35" w:rsidRPr="00C2153F">
        <w:rPr>
          <w:lang w:val="en-US"/>
        </w:rPr>
        <w:t>11.4</w:t>
      </w:r>
      <w:r w:rsidRPr="00C2153F">
        <w:rPr>
          <w:lang w:val="en-US"/>
        </w:rPr>
        <w:t>, 16.</w:t>
      </w:r>
      <w:r w:rsidR="00FF525D" w:rsidRPr="00C2153F">
        <w:rPr>
          <w:lang w:val="en-US"/>
        </w:rPr>
        <w:t>2</w:t>
      </w:r>
      <w:r w:rsidRPr="00C2153F">
        <w:rPr>
          <w:lang w:val="en-US"/>
        </w:rPr>
        <w:t>) and the median was not reached in the G+B arm (95% CI: 22.5, NR). Overall sur</w:t>
      </w:r>
      <w:r w:rsidRPr="000B3114">
        <w:rPr>
          <w:lang w:val="en-US"/>
        </w:rPr>
        <w:t>vival</w:t>
      </w:r>
      <w:r w:rsidR="00A30C2D">
        <w:rPr>
          <w:lang w:val="en-US"/>
        </w:rPr>
        <w:t xml:space="preserve"> (OS)</w:t>
      </w:r>
      <w:r w:rsidRPr="000B3114">
        <w:rPr>
          <w:lang w:val="en-US"/>
        </w:rPr>
        <w:t xml:space="preserve"> </w:t>
      </w:r>
      <w:r w:rsidR="000A12F5">
        <w:rPr>
          <w:lang w:val="en-US"/>
        </w:rPr>
        <w:t xml:space="preserve">is not yet mature and </w:t>
      </w:r>
      <w:r w:rsidRPr="000B3114">
        <w:rPr>
          <w:lang w:val="en-US"/>
        </w:rPr>
        <w:t>will continue to b</w:t>
      </w:r>
      <w:r w:rsidR="000A12F5">
        <w:rPr>
          <w:lang w:val="en-US"/>
        </w:rPr>
        <w:t>e followed</w:t>
      </w:r>
      <w:r w:rsidRPr="000B3114">
        <w:rPr>
          <w:lang w:val="en-US"/>
        </w:rPr>
        <w:t>.</w:t>
      </w:r>
      <w:r w:rsidR="00C956BC">
        <w:rPr>
          <w:lang w:val="en-US"/>
        </w:rPr>
        <w:t xml:space="preserve"> A</w:t>
      </w:r>
      <w:r w:rsidR="00A30C2D" w:rsidRPr="00A30C2D">
        <w:rPr>
          <w:lang w:val="en-US"/>
        </w:rPr>
        <w:t xml:space="preserve"> post hoc analysis was performed 8 months after the primary analysis data cut. With a median observation time of 24.1 months for FL patients, 48 patients (28.1%) in the B arm and 30 patients (18.3%) in the G+B arm had died. The PFS results in the post-hoc analysis are consistent with the primary analysis and its significance is unchanged. The safety profile is consisten</w:t>
      </w:r>
      <w:r w:rsidR="00ED6A89">
        <w:rPr>
          <w:lang w:val="en-US"/>
        </w:rPr>
        <w:t>t with the primary analysis</w:t>
      </w:r>
      <w:r w:rsidR="00A30C2D" w:rsidRPr="00A30C2D">
        <w:rPr>
          <w:lang w:val="en-US"/>
        </w:rPr>
        <w:t>.</w:t>
      </w:r>
    </w:p>
    <w:p w:rsidR="00747F51" w:rsidRDefault="00747F51" w:rsidP="003B57FD">
      <w:pPr>
        <w:rPr>
          <w:lang w:val="en-US"/>
        </w:rPr>
      </w:pPr>
    </w:p>
    <w:p w:rsidR="00747F51" w:rsidRDefault="00747F51" w:rsidP="003B57FD">
      <w:pPr>
        <w:rPr>
          <w:lang w:val="en-US"/>
        </w:rPr>
      </w:pPr>
    </w:p>
    <w:p w:rsidR="00747F51" w:rsidRDefault="00747F51" w:rsidP="003B57FD">
      <w:pPr>
        <w:rPr>
          <w:lang w:val="en-US"/>
        </w:rPr>
      </w:pPr>
    </w:p>
    <w:p w:rsidR="00747F51" w:rsidRDefault="00747F51" w:rsidP="003B57FD">
      <w:pPr>
        <w:rPr>
          <w:lang w:val="en-US"/>
        </w:rPr>
      </w:pPr>
    </w:p>
    <w:p w:rsidR="00747F51" w:rsidRDefault="00747F51" w:rsidP="003B57FD">
      <w:pPr>
        <w:rPr>
          <w:lang w:val="en-US"/>
        </w:rPr>
      </w:pPr>
    </w:p>
    <w:p w:rsidR="00747F51" w:rsidRDefault="00747F51" w:rsidP="003B57FD">
      <w:pPr>
        <w:rPr>
          <w:lang w:val="en-US"/>
        </w:rPr>
      </w:pPr>
    </w:p>
    <w:p w:rsidR="00747F51" w:rsidRDefault="00747F51" w:rsidP="003B57FD">
      <w:pPr>
        <w:rPr>
          <w:lang w:val="en-US"/>
        </w:rPr>
      </w:pPr>
    </w:p>
    <w:p w:rsidR="00747F51" w:rsidRDefault="00747F51" w:rsidP="003B57FD">
      <w:pPr>
        <w:rPr>
          <w:lang w:val="en-US"/>
        </w:rPr>
      </w:pPr>
    </w:p>
    <w:p w:rsidR="00490681" w:rsidRDefault="00490681" w:rsidP="003B57FD">
      <w:pPr>
        <w:rPr>
          <w:lang w:val="en-US"/>
        </w:rPr>
      </w:pPr>
    </w:p>
    <w:p w:rsidR="0051432E" w:rsidRPr="0051432E" w:rsidRDefault="0051432E" w:rsidP="003B57FD">
      <w:pPr>
        <w:rPr>
          <w:b/>
          <w:lang w:val="en-US"/>
        </w:rPr>
      </w:pPr>
      <w:r w:rsidRPr="005A3916">
        <w:rPr>
          <w:b/>
          <w:lang w:val="en-US"/>
        </w:rPr>
        <w:t xml:space="preserve">Table </w:t>
      </w:r>
      <w:r w:rsidR="00490681">
        <w:rPr>
          <w:b/>
          <w:lang w:val="en-US"/>
        </w:rPr>
        <w:t>3</w:t>
      </w:r>
      <w:r w:rsidRPr="005A3916">
        <w:rPr>
          <w:b/>
          <w:lang w:val="en-US"/>
        </w:rPr>
        <w:t xml:space="preserve"> Summary of efficacy in </w:t>
      </w:r>
      <w:r w:rsidRPr="00E8637D">
        <w:rPr>
          <w:b/>
          <w:lang w:val="en-US"/>
        </w:rPr>
        <w:t>FL</w:t>
      </w:r>
      <w:r w:rsidRPr="005A3916">
        <w:rPr>
          <w:b/>
          <w:lang w:val="en-US"/>
        </w:rPr>
        <w:t xml:space="preserve"> patients from GAO4753g (GADOLIN) study</w:t>
      </w:r>
    </w:p>
    <w:tbl>
      <w:tblPr>
        <w:tblW w:w="9198" w:type="dxa"/>
        <w:jc w:val="right"/>
        <w:tblInd w:w="-90" w:type="dxa"/>
        <w:tblCellMar>
          <w:left w:w="57" w:type="dxa"/>
          <w:right w:w="57" w:type="dxa"/>
        </w:tblCellMar>
        <w:tblLook w:val="00A0" w:firstRow="1" w:lastRow="0" w:firstColumn="1" w:lastColumn="0" w:noHBand="0" w:noVBand="0"/>
      </w:tblPr>
      <w:tblGrid>
        <w:gridCol w:w="51"/>
        <w:gridCol w:w="4504"/>
        <w:gridCol w:w="51"/>
        <w:gridCol w:w="2337"/>
        <w:gridCol w:w="51"/>
        <w:gridCol w:w="2149"/>
        <w:gridCol w:w="55"/>
      </w:tblGrid>
      <w:tr w:rsidR="0051432E" w:rsidRPr="0051432E" w:rsidTr="002A6A20">
        <w:trPr>
          <w:gridBefore w:val="1"/>
          <w:wBefore w:w="51" w:type="dxa"/>
          <w:cantSplit/>
          <w:tblHeader/>
          <w:jc w:val="right"/>
        </w:trPr>
        <w:tc>
          <w:tcPr>
            <w:tcW w:w="4555" w:type="dxa"/>
            <w:gridSpan w:val="2"/>
            <w:tcBorders>
              <w:top w:val="single" w:sz="4" w:space="0" w:color="auto"/>
              <w:left w:val="single" w:sz="4" w:space="0" w:color="auto"/>
              <w:bottom w:val="single" w:sz="4" w:space="0" w:color="auto"/>
              <w:right w:val="single" w:sz="4" w:space="0" w:color="auto"/>
            </w:tcBorders>
            <w:vAlign w:val="bottom"/>
          </w:tcPr>
          <w:p w:rsidR="0051432E" w:rsidRPr="0051432E" w:rsidRDefault="0051432E" w:rsidP="0051432E">
            <w:pPr>
              <w:keepNext/>
              <w:keepLines/>
              <w:spacing w:before="50" w:after="50" w:line="240" w:lineRule="exact"/>
              <w:rPr>
                <w:rFonts w:eastAsia="SimSun"/>
                <w:sz w:val="22"/>
                <w:lang w:val="en-GB" w:eastAsia="zh-CN"/>
              </w:rPr>
            </w:pPr>
          </w:p>
        </w:tc>
        <w:tc>
          <w:tcPr>
            <w:tcW w:w="2388" w:type="dxa"/>
            <w:gridSpan w:val="2"/>
            <w:tcBorders>
              <w:top w:val="single" w:sz="4" w:space="0" w:color="auto"/>
              <w:left w:val="single" w:sz="4" w:space="0" w:color="auto"/>
              <w:bottom w:val="single" w:sz="4" w:space="0" w:color="auto"/>
              <w:right w:val="dashSmallGap" w:sz="4" w:space="0" w:color="auto"/>
            </w:tcBorders>
            <w:vAlign w:val="center"/>
            <w:hideMark/>
          </w:tcPr>
          <w:p w:rsidR="0051432E" w:rsidRPr="0051432E" w:rsidRDefault="0051432E" w:rsidP="002A6A20">
            <w:pPr>
              <w:keepNext/>
              <w:keepLines/>
              <w:spacing w:before="50" w:after="50" w:line="240" w:lineRule="exact"/>
              <w:jc w:val="center"/>
              <w:rPr>
                <w:rFonts w:eastAsia="SimSun"/>
                <w:b/>
                <w:sz w:val="22"/>
                <w:lang w:val="en-GB" w:eastAsia="zh-CN"/>
              </w:rPr>
            </w:pPr>
            <w:r w:rsidRPr="0051432E">
              <w:rPr>
                <w:rFonts w:eastAsia="SimSun"/>
                <w:b/>
                <w:sz w:val="22"/>
                <w:lang w:val="en-GB" w:eastAsia="zh-CN"/>
              </w:rPr>
              <w:t>Bendamustine</w:t>
            </w:r>
          </w:p>
          <w:p w:rsidR="0051432E" w:rsidRPr="0051432E" w:rsidRDefault="002A6A20" w:rsidP="002A6A20">
            <w:pPr>
              <w:keepNext/>
              <w:keepLines/>
              <w:spacing w:before="50" w:after="50" w:line="240" w:lineRule="exact"/>
              <w:jc w:val="center"/>
              <w:rPr>
                <w:rFonts w:eastAsia="SimSun"/>
                <w:b/>
                <w:sz w:val="22"/>
                <w:lang w:val="en-GB" w:eastAsia="zh-CN"/>
              </w:rPr>
            </w:pPr>
            <w:r w:rsidRPr="002A6A20">
              <w:rPr>
                <w:rFonts w:eastAsia="SimSun"/>
                <w:b/>
                <w:sz w:val="22"/>
                <w:lang w:val="en-GB" w:eastAsia="zh-CN"/>
              </w:rPr>
              <w:t>n</w:t>
            </w:r>
            <w:r w:rsidR="0051432E" w:rsidRPr="0051432E">
              <w:rPr>
                <w:rFonts w:eastAsia="SimSun"/>
                <w:b/>
                <w:sz w:val="22"/>
                <w:lang w:val="en-GB" w:eastAsia="zh-CN"/>
              </w:rPr>
              <w:t>=166</w:t>
            </w:r>
          </w:p>
        </w:tc>
        <w:tc>
          <w:tcPr>
            <w:tcW w:w="2204" w:type="dxa"/>
            <w:gridSpan w:val="2"/>
            <w:tcBorders>
              <w:top w:val="single" w:sz="4" w:space="0" w:color="auto"/>
              <w:left w:val="dashSmallGap" w:sz="4" w:space="0" w:color="auto"/>
              <w:bottom w:val="single" w:sz="4" w:space="0" w:color="auto"/>
              <w:right w:val="single" w:sz="4" w:space="0" w:color="auto"/>
            </w:tcBorders>
            <w:vAlign w:val="center"/>
            <w:hideMark/>
          </w:tcPr>
          <w:p w:rsidR="0051432E" w:rsidRPr="0051432E" w:rsidRDefault="0051432E" w:rsidP="002A6A20">
            <w:pPr>
              <w:keepNext/>
              <w:keepLines/>
              <w:spacing w:before="50" w:after="50" w:line="240" w:lineRule="exact"/>
              <w:jc w:val="center"/>
              <w:rPr>
                <w:rFonts w:eastAsia="SimSun"/>
                <w:b/>
                <w:sz w:val="22"/>
                <w:lang w:val="en-GB" w:eastAsia="zh-CN"/>
              </w:rPr>
            </w:pPr>
            <w:r w:rsidRPr="0051432E">
              <w:rPr>
                <w:rFonts w:eastAsia="SimSun"/>
                <w:b/>
                <w:sz w:val="22"/>
                <w:lang w:val="en-GB" w:eastAsia="zh-CN"/>
              </w:rPr>
              <w:t>G+B followed by G</w:t>
            </w:r>
            <w:r w:rsidR="00395BD6">
              <w:rPr>
                <w:rFonts w:eastAsia="SimSun"/>
                <w:b/>
                <w:sz w:val="22"/>
                <w:lang w:val="en-GB" w:eastAsia="zh-CN"/>
              </w:rPr>
              <w:t>azyva</w:t>
            </w:r>
            <w:r w:rsidRPr="0051432E">
              <w:rPr>
                <w:rFonts w:eastAsia="SimSun"/>
                <w:b/>
                <w:sz w:val="22"/>
                <w:lang w:val="en-GB" w:eastAsia="zh-CN"/>
              </w:rPr>
              <w:t xml:space="preserve"> maintenance</w:t>
            </w:r>
          </w:p>
          <w:p w:rsidR="0051432E" w:rsidRPr="0051432E" w:rsidRDefault="002A6A20" w:rsidP="002A6A20">
            <w:pPr>
              <w:keepNext/>
              <w:keepLines/>
              <w:spacing w:before="50" w:after="50" w:line="240" w:lineRule="exact"/>
              <w:jc w:val="center"/>
              <w:rPr>
                <w:rFonts w:eastAsia="SimSun"/>
                <w:b/>
                <w:sz w:val="22"/>
                <w:lang w:val="en-GB" w:eastAsia="zh-CN"/>
              </w:rPr>
            </w:pPr>
            <w:r w:rsidRPr="002A6A20">
              <w:rPr>
                <w:rFonts w:eastAsia="SimSun"/>
                <w:b/>
                <w:sz w:val="22"/>
                <w:lang w:val="en-GB" w:eastAsia="zh-CN"/>
              </w:rPr>
              <w:t>n</w:t>
            </w:r>
            <w:r w:rsidR="0051432E" w:rsidRPr="0051432E">
              <w:rPr>
                <w:rFonts w:eastAsia="SimSun"/>
                <w:b/>
                <w:sz w:val="22"/>
                <w:lang w:val="en-GB" w:eastAsia="zh-CN"/>
              </w:rPr>
              <w:t>=155</w:t>
            </w:r>
          </w:p>
        </w:tc>
      </w:tr>
      <w:tr w:rsidR="0051432E" w:rsidRPr="0051432E" w:rsidTr="002A6A20">
        <w:trPr>
          <w:gridBefore w:val="1"/>
          <w:wBefore w:w="51" w:type="dxa"/>
          <w:cantSplit/>
          <w:jc w:val="right"/>
        </w:trPr>
        <w:tc>
          <w:tcPr>
            <w:tcW w:w="4555" w:type="dxa"/>
            <w:gridSpan w:val="2"/>
            <w:tcBorders>
              <w:top w:val="single" w:sz="4" w:space="0" w:color="auto"/>
              <w:left w:val="single" w:sz="4" w:space="0" w:color="auto"/>
              <w:bottom w:val="single" w:sz="4" w:space="0" w:color="auto"/>
              <w:right w:val="single" w:sz="4" w:space="0" w:color="auto"/>
            </w:tcBorders>
            <w:vAlign w:val="bottom"/>
          </w:tcPr>
          <w:p w:rsidR="0051432E" w:rsidRPr="0051432E" w:rsidRDefault="0051432E" w:rsidP="0051432E">
            <w:pPr>
              <w:keepLines/>
              <w:spacing w:before="50" w:after="50" w:line="240" w:lineRule="exact"/>
              <w:rPr>
                <w:rFonts w:eastAsia="SimSun"/>
                <w:b/>
                <w:i/>
                <w:sz w:val="22"/>
                <w:lang w:val="en-GB" w:eastAsia="zh-CN"/>
              </w:rPr>
            </w:pP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51432E" w:rsidRPr="0051432E" w:rsidRDefault="0051432E" w:rsidP="002A6A20">
            <w:pPr>
              <w:keepNext/>
              <w:keepLines/>
              <w:spacing w:before="50" w:after="50" w:line="240" w:lineRule="exact"/>
              <w:jc w:val="center"/>
              <w:rPr>
                <w:rFonts w:eastAsia="SimSun"/>
                <w:b/>
                <w:i/>
                <w:sz w:val="22"/>
                <w:lang w:val="en-GB" w:eastAsia="zh-CN"/>
              </w:rPr>
            </w:pPr>
            <w:r w:rsidRPr="0051432E">
              <w:rPr>
                <w:rFonts w:eastAsia="SimSun"/>
                <w:b/>
                <w:sz w:val="22"/>
                <w:lang w:val="en-GB" w:eastAsia="zh-CN"/>
              </w:rPr>
              <w:t>Median observation time 20 months</w:t>
            </w:r>
          </w:p>
        </w:tc>
        <w:tc>
          <w:tcPr>
            <w:tcW w:w="2204" w:type="dxa"/>
            <w:gridSpan w:val="2"/>
            <w:tcBorders>
              <w:top w:val="single" w:sz="4" w:space="0" w:color="auto"/>
              <w:left w:val="single" w:sz="4" w:space="0" w:color="auto"/>
              <w:bottom w:val="single" w:sz="4" w:space="0" w:color="auto"/>
              <w:right w:val="single" w:sz="4" w:space="0" w:color="auto"/>
            </w:tcBorders>
            <w:vAlign w:val="center"/>
          </w:tcPr>
          <w:p w:rsidR="0051432E" w:rsidRPr="0051432E" w:rsidRDefault="0051432E" w:rsidP="002A6A20">
            <w:pPr>
              <w:keepNext/>
              <w:keepLines/>
              <w:spacing w:before="50" w:after="50" w:line="240" w:lineRule="exact"/>
              <w:jc w:val="center"/>
              <w:rPr>
                <w:rFonts w:eastAsia="SimSun"/>
                <w:b/>
                <w:i/>
                <w:sz w:val="22"/>
                <w:lang w:val="en-GB" w:eastAsia="zh-CN"/>
              </w:rPr>
            </w:pPr>
            <w:r w:rsidRPr="0051432E">
              <w:rPr>
                <w:rFonts w:eastAsia="SimSun"/>
                <w:b/>
                <w:sz w:val="22"/>
                <w:lang w:val="en-GB" w:eastAsia="zh-CN"/>
              </w:rPr>
              <w:t>Median observation time 22 months</w:t>
            </w:r>
          </w:p>
        </w:tc>
      </w:tr>
      <w:tr w:rsidR="0051432E" w:rsidRPr="0051432E" w:rsidTr="002A6A20">
        <w:trPr>
          <w:gridBefore w:val="1"/>
          <w:wBefore w:w="51" w:type="dxa"/>
          <w:cantSplit/>
          <w:jc w:val="right"/>
        </w:trPr>
        <w:tc>
          <w:tcPr>
            <w:tcW w:w="4555" w:type="dxa"/>
            <w:gridSpan w:val="2"/>
            <w:tcBorders>
              <w:top w:val="single" w:sz="4" w:space="0" w:color="auto"/>
              <w:left w:val="single" w:sz="4" w:space="0" w:color="auto"/>
              <w:bottom w:val="single" w:sz="4" w:space="0" w:color="auto"/>
              <w:right w:val="single" w:sz="4" w:space="0" w:color="auto"/>
            </w:tcBorders>
            <w:vAlign w:val="bottom"/>
            <w:hideMark/>
          </w:tcPr>
          <w:p w:rsidR="0051432E" w:rsidRPr="0051432E" w:rsidRDefault="0051432E" w:rsidP="0051432E">
            <w:pPr>
              <w:keepLines/>
              <w:spacing w:before="50" w:after="50" w:line="240" w:lineRule="exact"/>
              <w:rPr>
                <w:rFonts w:eastAsia="SimSun"/>
                <w:b/>
                <w:i/>
                <w:sz w:val="22"/>
                <w:lang w:val="en-GB" w:eastAsia="zh-CN"/>
              </w:rPr>
            </w:pPr>
            <w:r w:rsidRPr="0051432E">
              <w:rPr>
                <w:rFonts w:eastAsia="SimSun"/>
                <w:b/>
                <w:i/>
                <w:sz w:val="22"/>
                <w:lang w:val="en-GB" w:eastAsia="zh-CN"/>
              </w:rPr>
              <w:t>Primary Endpoint in FL population</w:t>
            </w:r>
          </w:p>
        </w:tc>
        <w:tc>
          <w:tcPr>
            <w:tcW w:w="4592" w:type="dxa"/>
            <w:gridSpan w:val="4"/>
            <w:tcBorders>
              <w:top w:val="single" w:sz="4" w:space="0" w:color="auto"/>
              <w:left w:val="single" w:sz="4" w:space="0" w:color="auto"/>
              <w:bottom w:val="single" w:sz="4" w:space="0" w:color="auto"/>
              <w:right w:val="single" w:sz="4" w:space="0" w:color="auto"/>
            </w:tcBorders>
            <w:vAlign w:val="bottom"/>
          </w:tcPr>
          <w:p w:rsidR="0051432E" w:rsidRPr="0051432E" w:rsidRDefault="0051432E" w:rsidP="0051432E">
            <w:pPr>
              <w:keepNext/>
              <w:keepLines/>
              <w:spacing w:before="50" w:after="50" w:line="240" w:lineRule="exact"/>
              <w:jc w:val="center"/>
              <w:rPr>
                <w:rFonts w:eastAsia="SimSun"/>
                <w:b/>
                <w:i/>
                <w:sz w:val="22"/>
                <w:lang w:val="en-GB" w:eastAsia="zh-CN"/>
              </w:rPr>
            </w:pPr>
          </w:p>
        </w:tc>
      </w:tr>
      <w:tr w:rsidR="0051432E" w:rsidRPr="0051432E" w:rsidTr="002A6A20">
        <w:trPr>
          <w:gridBefore w:val="1"/>
          <w:wBefore w:w="51" w:type="dxa"/>
          <w:cantSplit/>
          <w:jc w:val="right"/>
        </w:trPr>
        <w:tc>
          <w:tcPr>
            <w:tcW w:w="4555" w:type="dxa"/>
            <w:gridSpan w:val="2"/>
            <w:tcBorders>
              <w:top w:val="single" w:sz="4" w:space="0" w:color="auto"/>
              <w:left w:val="single" w:sz="4" w:space="0" w:color="auto"/>
              <w:bottom w:val="nil"/>
              <w:right w:val="single" w:sz="4" w:space="0" w:color="auto"/>
            </w:tcBorders>
            <w:vAlign w:val="bottom"/>
            <w:hideMark/>
          </w:tcPr>
          <w:p w:rsidR="0051432E" w:rsidRPr="0051432E" w:rsidRDefault="0051432E" w:rsidP="0051432E">
            <w:pPr>
              <w:keepLines/>
              <w:spacing w:before="50" w:after="50" w:line="240" w:lineRule="exact"/>
              <w:rPr>
                <w:rFonts w:eastAsia="SimSun"/>
                <w:b/>
                <w:sz w:val="22"/>
                <w:vertAlign w:val="superscript"/>
                <w:lang w:val="en-GB" w:eastAsia="zh-CN"/>
              </w:rPr>
            </w:pPr>
            <w:r w:rsidRPr="0051432E">
              <w:rPr>
                <w:rFonts w:eastAsia="SimSun"/>
                <w:b/>
                <w:sz w:val="22"/>
                <w:lang w:val="en-GB" w:eastAsia="zh-CN"/>
              </w:rPr>
              <w:t>IRC-assessed PFS (PFS-IRC)</w:t>
            </w:r>
            <w:r w:rsidRPr="0051432E">
              <w:rPr>
                <w:rFonts w:eastAsia="SimSun"/>
                <w:b/>
                <w:sz w:val="22"/>
                <w:vertAlign w:val="superscript"/>
                <w:lang w:val="en-GB" w:eastAsia="zh-CN"/>
              </w:rPr>
              <w:t xml:space="preserve"> </w:t>
            </w:r>
          </w:p>
        </w:tc>
        <w:tc>
          <w:tcPr>
            <w:tcW w:w="4592" w:type="dxa"/>
            <w:gridSpan w:val="4"/>
            <w:tcBorders>
              <w:top w:val="single" w:sz="4" w:space="0" w:color="auto"/>
              <w:left w:val="single" w:sz="4" w:space="0" w:color="auto"/>
              <w:bottom w:val="nil"/>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US" w:eastAsia="zh-CN"/>
              </w:rPr>
            </w:pPr>
          </w:p>
        </w:tc>
      </w:tr>
      <w:tr w:rsidR="0051432E" w:rsidRPr="0051432E" w:rsidTr="002A6A20">
        <w:trPr>
          <w:gridBefore w:val="1"/>
          <w:wBefore w:w="51" w:type="dxa"/>
          <w:cantSplit/>
          <w:jc w:val="right"/>
        </w:trPr>
        <w:tc>
          <w:tcPr>
            <w:tcW w:w="4555" w:type="dxa"/>
            <w:gridSpan w:val="2"/>
            <w:tcBorders>
              <w:top w:val="nil"/>
              <w:left w:val="single" w:sz="4" w:space="0" w:color="auto"/>
              <w:bottom w:val="nil"/>
              <w:right w:val="single" w:sz="4" w:space="0" w:color="auto"/>
            </w:tcBorders>
            <w:vAlign w:val="bottom"/>
            <w:hideMark/>
          </w:tcPr>
          <w:p w:rsidR="0051432E" w:rsidRPr="0051432E" w:rsidRDefault="0051432E" w:rsidP="0051432E">
            <w:pPr>
              <w:keepLines/>
              <w:spacing w:before="50" w:after="50" w:line="240" w:lineRule="exact"/>
              <w:ind w:left="226"/>
              <w:rPr>
                <w:rFonts w:eastAsia="SimSun"/>
                <w:sz w:val="22"/>
                <w:lang w:val="en-GB" w:eastAsia="zh-CN"/>
              </w:rPr>
            </w:pPr>
            <w:r w:rsidRPr="0051432E">
              <w:rPr>
                <w:rFonts w:eastAsia="SimSun"/>
                <w:sz w:val="22"/>
                <w:lang w:val="en-GB" w:eastAsia="zh-CN"/>
              </w:rPr>
              <w:t xml:space="preserve">Number (%) of patients with event </w:t>
            </w:r>
          </w:p>
        </w:tc>
        <w:tc>
          <w:tcPr>
            <w:tcW w:w="2388" w:type="dxa"/>
            <w:gridSpan w:val="2"/>
            <w:tcBorders>
              <w:top w:val="nil"/>
              <w:left w:val="single" w:sz="4" w:space="0" w:color="auto"/>
              <w:bottom w:val="nil"/>
              <w:right w:val="nil"/>
            </w:tcBorders>
            <w:vAlign w:val="bottom"/>
          </w:tcPr>
          <w:p w:rsidR="0051432E" w:rsidRPr="0051432E" w:rsidRDefault="0051432E" w:rsidP="0051432E">
            <w:pPr>
              <w:keepNext/>
              <w:keepLines/>
              <w:tabs>
                <w:tab w:val="left" w:pos="1840"/>
              </w:tabs>
              <w:spacing w:before="50" w:after="50" w:line="240" w:lineRule="exact"/>
              <w:jc w:val="center"/>
              <w:rPr>
                <w:rFonts w:eastAsia="SimSun"/>
                <w:sz w:val="22"/>
                <w:lang w:val="en-GB" w:eastAsia="zh-CN"/>
              </w:rPr>
            </w:pPr>
            <w:r w:rsidRPr="0051432E">
              <w:rPr>
                <w:rFonts w:eastAsia="SimSun"/>
                <w:sz w:val="22"/>
                <w:lang w:val="en-GB" w:eastAsia="zh-CN"/>
              </w:rPr>
              <w:t>90 (54.2%)</w:t>
            </w:r>
          </w:p>
        </w:tc>
        <w:tc>
          <w:tcPr>
            <w:tcW w:w="2204" w:type="dxa"/>
            <w:gridSpan w:val="2"/>
            <w:tcBorders>
              <w:top w:val="nil"/>
              <w:left w:val="nil"/>
              <w:bottom w:val="nil"/>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54 (34.8%)</w:t>
            </w:r>
          </w:p>
        </w:tc>
      </w:tr>
      <w:tr w:rsidR="0051432E" w:rsidRPr="0051432E" w:rsidTr="002A6A20">
        <w:trPr>
          <w:gridBefore w:val="1"/>
          <w:wBefore w:w="51" w:type="dxa"/>
          <w:cantSplit/>
          <w:jc w:val="right"/>
        </w:trPr>
        <w:tc>
          <w:tcPr>
            <w:tcW w:w="4555" w:type="dxa"/>
            <w:gridSpan w:val="2"/>
            <w:tcBorders>
              <w:top w:val="nil"/>
              <w:left w:val="single" w:sz="4" w:space="0" w:color="auto"/>
              <w:bottom w:val="nil"/>
              <w:right w:val="single" w:sz="4" w:space="0" w:color="auto"/>
            </w:tcBorders>
            <w:vAlign w:val="bottom"/>
            <w:hideMark/>
          </w:tcPr>
          <w:p w:rsidR="0051432E" w:rsidRPr="0051432E" w:rsidRDefault="0051432E" w:rsidP="0051432E">
            <w:pPr>
              <w:keepLines/>
              <w:spacing w:before="50" w:after="50" w:line="240" w:lineRule="exact"/>
              <w:ind w:left="226"/>
              <w:rPr>
                <w:rFonts w:eastAsia="SimSun"/>
                <w:sz w:val="22"/>
                <w:lang w:val="en-GB" w:eastAsia="zh-CN"/>
              </w:rPr>
            </w:pPr>
            <w:r w:rsidRPr="0051432E">
              <w:rPr>
                <w:rFonts w:eastAsia="SimSun"/>
                <w:sz w:val="22"/>
                <w:lang w:val="en-GB" w:eastAsia="zh-CN"/>
              </w:rPr>
              <w:t xml:space="preserve">Median duration of PFS (months) </w:t>
            </w:r>
          </w:p>
        </w:tc>
        <w:tc>
          <w:tcPr>
            <w:tcW w:w="2388" w:type="dxa"/>
            <w:gridSpan w:val="2"/>
            <w:tcBorders>
              <w:top w:val="nil"/>
              <w:left w:val="single" w:sz="4" w:space="0" w:color="auto"/>
              <w:bottom w:val="nil"/>
              <w:right w:val="nil"/>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13.8</w:t>
            </w:r>
          </w:p>
        </w:tc>
        <w:tc>
          <w:tcPr>
            <w:tcW w:w="2204" w:type="dxa"/>
            <w:gridSpan w:val="2"/>
            <w:tcBorders>
              <w:top w:val="nil"/>
              <w:left w:val="nil"/>
              <w:bottom w:val="nil"/>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NR</w:t>
            </w:r>
          </w:p>
        </w:tc>
      </w:tr>
      <w:tr w:rsidR="0051432E" w:rsidRPr="0051432E" w:rsidTr="002A6A20">
        <w:trPr>
          <w:gridBefore w:val="1"/>
          <w:wBefore w:w="51" w:type="dxa"/>
          <w:cantSplit/>
          <w:jc w:val="right"/>
        </w:trPr>
        <w:tc>
          <w:tcPr>
            <w:tcW w:w="4555" w:type="dxa"/>
            <w:gridSpan w:val="2"/>
            <w:tcBorders>
              <w:top w:val="nil"/>
              <w:left w:val="single" w:sz="4" w:space="0" w:color="auto"/>
              <w:right w:val="single" w:sz="4" w:space="0" w:color="auto"/>
            </w:tcBorders>
            <w:vAlign w:val="bottom"/>
            <w:hideMark/>
          </w:tcPr>
          <w:p w:rsidR="0051432E" w:rsidRPr="0051432E" w:rsidRDefault="0051432E" w:rsidP="0051432E">
            <w:pPr>
              <w:keepLines/>
              <w:spacing w:before="50" w:after="50" w:line="240" w:lineRule="exact"/>
              <w:ind w:left="226"/>
              <w:rPr>
                <w:rFonts w:eastAsia="SimSun"/>
                <w:sz w:val="22"/>
                <w:lang w:val="en-GB" w:eastAsia="zh-CN"/>
              </w:rPr>
            </w:pPr>
            <w:r w:rsidRPr="0051432E">
              <w:rPr>
                <w:rFonts w:eastAsia="SimSun"/>
                <w:sz w:val="22"/>
                <w:lang w:val="en-GB" w:eastAsia="zh-CN"/>
              </w:rPr>
              <w:t>HR [95% CI]</w:t>
            </w:r>
          </w:p>
        </w:tc>
        <w:tc>
          <w:tcPr>
            <w:tcW w:w="4592" w:type="dxa"/>
            <w:gridSpan w:val="4"/>
            <w:tcBorders>
              <w:top w:val="nil"/>
              <w:left w:val="single" w:sz="4" w:space="0" w:color="auto"/>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0.48 [0.34, 0.68]</w:t>
            </w:r>
          </w:p>
        </w:tc>
      </w:tr>
      <w:tr w:rsidR="0051432E" w:rsidRPr="0051432E" w:rsidTr="002A6A20">
        <w:trPr>
          <w:gridBefore w:val="1"/>
          <w:wBefore w:w="51" w:type="dxa"/>
          <w:cantSplit/>
          <w:jc w:val="right"/>
        </w:trPr>
        <w:tc>
          <w:tcPr>
            <w:tcW w:w="4555" w:type="dxa"/>
            <w:gridSpan w:val="2"/>
            <w:tcBorders>
              <w:top w:val="nil"/>
              <w:left w:val="single" w:sz="4" w:space="0" w:color="auto"/>
              <w:bottom w:val="single" w:sz="4" w:space="0" w:color="auto"/>
              <w:right w:val="single" w:sz="4" w:space="0" w:color="auto"/>
            </w:tcBorders>
            <w:vAlign w:val="bottom"/>
            <w:hideMark/>
          </w:tcPr>
          <w:p w:rsidR="0051432E" w:rsidRPr="0051432E" w:rsidRDefault="0051432E" w:rsidP="0051432E">
            <w:pPr>
              <w:keepLines/>
              <w:spacing w:before="50" w:after="50" w:line="240" w:lineRule="exact"/>
              <w:ind w:left="226"/>
              <w:rPr>
                <w:rFonts w:eastAsia="SimSun"/>
                <w:sz w:val="22"/>
                <w:lang w:val="en-GB" w:eastAsia="zh-CN"/>
              </w:rPr>
            </w:pPr>
            <w:r w:rsidRPr="0051432E">
              <w:rPr>
                <w:rFonts w:eastAsia="SimSun"/>
                <w:sz w:val="22"/>
                <w:lang w:val="en-GB" w:eastAsia="zh-CN"/>
              </w:rPr>
              <w:t>p-value (Log-Rank test, stratified*)</w:t>
            </w:r>
          </w:p>
        </w:tc>
        <w:tc>
          <w:tcPr>
            <w:tcW w:w="4592" w:type="dxa"/>
            <w:gridSpan w:val="4"/>
            <w:tcBorders>
              <w:top w:val="nil"/>
              <w:left w:val="single" w:sz="4" w:space="0" w:color="auto"/>
              <w:bottom w:val="single" w:sz="4" w:space="0" w:color="auto"/>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&lt;0.0001</w:t>
            </w:r>
          </w:p>
        </w:tc>
      </w:tr>
      <w:tr w:rsidR="0051432E" w:rsidRPr="0051432E" w:rsidTr="002A6A20">
        <w:trPr>
          <w:gridBefore w:val="1"/>
          <w:wBefore w:w="51" w:type="dxa"/>
          <w:cantSplit/>
          <w:jc w:val="right"/>
        </w:trPr>
        <w:tc>
          <w:tcPr>
            <w:tcW w:w="4555" w:type="dxa"/>
            <w:gridSpan w:val="2"/>
            <w:tcBorders>
              <w:top w:val="single" w:sz="4" w:space="0" w:color="auto"/>
              <w:left w:val="single" w:sz="4" w:space="0" w:color="auto"/>
              <w:bottom w:val="single" w:sz="4" w:space="0" w:color="auto"/>
              <w:right w:val="single" w:sz="4" w:space="0" w:color="auto"/>
            </w:tcBorders>
            <w:vAlign w:val="bottom"/>
            <w:hideMark/>
          </w:tcPr>
          <w:p w:rsidR="0051432E" w:rsidRPr="0051432E" w:rsidRDefault="0051432E" w:rsidP="0051432E">
            <w:pPr>
              <w:keepLines/>
              <w:spacing w:before="50" w:after="50" w:line="240" w:lineRule="exact"/>
              <w:rPr>
                <w:rFonts w:eastAsia="SimSun"/>
                <w:b/>
                <w:i/>
                <w:sz w:val="22"/>
                <w:lang w:val="en-GB" w:eastAsia="zh-CN"/>
              </w:rPr>
            </w:pPr>
            <w:r w:rsidRPr="0051432E">
              <w:rPr>
                <w:rFonts w:eastAsia="SimSun"/>
                <w:b/>
                <w:i/>
                <w:sz w:val="22"/>
                <w:lang w:val="en-GB" w:eastAsia="zh-CN"/>
              </w:rPr>
              <w:t>Secondary Endpoints</w:t>
            </w:r>
          </w:p>
        </w:tc>
        <w:tc>
          <w:tcPr>
            <w:tcW w:w="4592" w:type="dxa"/>
            <w:gridSpan w:val="4"/>
            <w:tcBorders>
              <w:top w:val="single" w:sz="4" w:space="0" w:color="auto"/>
              <w:left w:val="single" w:sz="4" w:space="0" w:color="auto"/>
              <w:bottom w:val="single" w:sz="4" w:space="0" w:color="auto"/>
              <w:right w:val="single" w:sz="4" w:space="0" w:color="auto"/>
            </w:tcBorders>
            <w:vAlign w:val="bottom"/>
          </w:tcPr>
          <w:p w:rsidR="0051432E" w:rsidRPr="0051432E" w:rsidRDefault="0051432E" w:rsidP="0051432E">
            <w:pPr>
              <w:keepNext/>
              <w:keepLines/>
              <w:spacing w:before="50" w:after="50" w:line="240" w:lineRule="exact"/>
              <w:jc w:val="center"/>
              <w:rPr>
                <w:rFonts w:eastAsia="SimSun"/>
                <w:b/>
                <w:i/>
                <w:sz w:val="22"/>
                <w:lang w:val="en-GB" w:eastAsia="zh-CN"/>
              </w:rPr>
            </w:pPr>
          </w:p>
        </w:tc>
      </w:tr>
      <w:tr w:rsidR="0051432E" w:rsidRPr="0051432E" w:rsidTr="002A6A20">
        <w:trPr>
          <w:gridBefore w:val="1"/>
          <w:wBefore w:w="51" w:type="dxa"/>
          <w:cantSplit/>
          <w:jc w:val="right"/>
        </w:trPr>
        <w:tc>
          <w:tcPr>
            <w:tcW w:w="4555" w:type="dxa"/>
            <w:gridSpan w:val="2"/>
            <w:tcBorders>
              <w:top w:val="single" w:sz="4" w:space="0" w:color="auto"/>
              <w:left w:val="single" w:sz="4" w:space="0" w:color="auto"/>
              <w:bottom w:val="nil"/>
              <w:right w:val="single" w:sz="4" w:space="0" w:color="auto"/>
            </w:tcBorders>
            <w:vAlign w:val="bottom"/>
            <w:hideMark/>
          </w:tcPr>
          <w:p w:rsidR="0051432E" w:rsidRPr="0051432E" w:rsidRDefault="0051432E" w:rsidP="0051432E">
            <w:pPr>
              <w:keepLines/>
              <w:spacing w:before="50" w:after="50" w:line="240" w:lineRule="exact"/>
              <w:rPr>
                <w:rFonts w:eastAsia="SimSun"/>
                <w:b/>
                <w:sz w:val="22"/>
                <w:vertAlign w:val="superscript"/>
                <w:lang w:val="en-GB" w:eastAsia="zh-CN"/>
              </w:rPr>
            </w:pPr>
            <w:r w:rsidRPr="0051432E">
              <w:rPr>
                <w:rFonts w:eastAsia="SimSun"/>
                <w:b/>
                <w:sz w:val="22"/>
                <w:lang w:val="en-GB" w:eastAsia="zh-CN"/>
              </w:rPr>
              <w:t>Investigator-assessed PFS (PFS-INV)</w:t>
            </w:r>
            <w:r w:rsidRPr="0051432E">
              <w:rPr>
                <w:rFonts w:eastAsia="SimSun"/>
                <w:b/>
                <w:sz w:val="22"/>
                <w:vertAlign w:val="superscript"/>
                <w:lang w:val="en-GB" w:eastAsia="zh-CN"/>
              </w:rPr>
              <w:t xml:space="preserve"> </w:t>
            </w:r>
          </w:p>
        </w:tc>
        <w:tc>
          <w:tcPr>
            <w:tcW w:w="4592" w:type="dxa"/>
            <w:gridSpan w:val="4"/>
            <w:tcBorders>
              <w:top w:val="single" w:sz="4" w:space="0" w:color="auto"/>
              <w:left w:val="single" w:sz="4" w:space="0" w:color="auto"/>
              <w:bottom w:val="nil"/>
              <w:right w:val="single" w:sz="4" w:space="0" w:color="auto"/>
            </w:tcBorders>
            <w:vAlign w:val="bottom"/>
          </w:tcPr>
          <w:p w:rsidR="0051432E" w:rsidRPr="0051432E" w:rsidRDefault="0051432E" w:rsidP="0051432E">
            <w:pPr>
              <w:keepNext/>
              <w:keepLines/>
              <w:spacing w:before="50" w:after="50" w:line="240" w:lineRule="exact"/>
              <w:jc w:val="center"/>
              <w:rPr>
                <w:rFonts w:eastAsia="MS Mincho"/>
                <w:sz w:val="22"/>
                <w:lang w:val="en-US" w:eastAsia="ja-JP"/>
              </w:rPr>
            </w:pPr>
          </w:p>
        </w:tc>
      </w:tr>
      <w:tr w:rsidR="0051432E" w:rsidRPr="0051432E" w:rsidTr="002A6A20">
        <w:trPr>
          <w:gridBefore w:val="1"/>
          <w:wBefore w:w="51" w:type="dxa"/>
          <w:cantSplit/>
          <w:jc w:val="right"/>
        </w:trPr>
        <w:tc>
          <w:tcPr>
            <w:tcW w:w="4555" w:type="dxa"/>
            <w:gridSpan w:val="2"/>
            <w:tcBorders>
              <w:top w:val="nil"/>
              <w:left w:val="single" w:sz="4" w:space="0" w:color="auto"/>
              <w:bottom w:val="nil"/>
              <w:right w:val="single" w:sz="4" w:space="0" w:color="auto"/>
            </w:tcBorders>
            <w:vAlign w:val="bottom"/>
            <w:hideMark/>
          </w:tcPr>
          <w:p w:rsidR="0051432E" w:rsidRPr="0051432E" w:rsidRDefault="0051432E" w:rsidP="0051432E">
            <w:pPr>
              <w:keepLines/>
              <w:spacing w:before="50" w:after="50" w:line="240" w:lineRule="exact"/>
              <w:ind w:left="226"/>
              <w:rPr>
                <w:rFonts w:eastAsia="SimSun"/>
                <w:sz w:val="22"/>
                <w:lang w:val="en-GB" w:eastAsia="zh-CN"/>
              </w:rPr>
            </w:pPr>
            <w:r w:rsidRPr="0051432E">
              <w:rPr>
                <w:rFonts w:eastAsia="SimSun"/>
                <w:sz w:val="22"/>
                <w:lang w:val="en-GB" w:eastAsia="zh-CN"/>
              </w:rPr>
              <w:t xml:space="preserve">Number (%) of patients with event </w:t>
            </w:r>
          </w:p>
        </w:tc>
        <w:tc>
          <w:tcPr>
            <w:tcW w:w="2388" w:type="dxa"/>
            <w:gridSpan w:val="2"/>
            <w:tcBorders>
              <w:top w:val="nil"/>
              <w:left w:val="single" w:sz="4" w:space="0" w:color="auto"/>
              <w:bottom w:val="nil"/>
              <w:right w:val="nil"/>
            </w:tcBorders>
            <w:vAlign w:val="bottom"/>
          </w:tcPr>
          <w:p w:rsidR="0051432E" w:rsidRPr="0051432E" w:rsidRDefault="0051432E" w:rsidP="0051432E">
            <w:pPr>
              <w:keepNext/>
              <w:keepLines/>
              <w:tabs>
                <w:tab w:val="left" w:pos="1840"/>
              </w:tabs>
              <w:spacing w:before="50" w:after="50" w:line="240" w:lineRule="exact"/>
              <w:jc w:val="center"/>
              <w:rPr>
                <w:rFonts w:eastAsia="SimSun"/>
                <w:sz w:val="22"/>
                <w:lang w:val="en-GB" w:eastAsia="zh-CN"/>
              </w:rPr>
            </w:pPr>
            <w:r w:rsidRPr="0051432E">
              <w:rPr>
                <w:rFonts w:eastAsia="SimSun"/>
                <w:sz w:val="22"/>
                <w:lang w:val="en-GB" w:eastAsia="zh-CN"/>
              </w:rPr>
              <w:t>102 (61.4%)</w:t>
            </w:r>
          </w:p>
        </w:tc>
        <w:tc>
          <w:tcPr>
            <w:tcW w:w="2204" w:type="dxa"/>
            <w:gridSpan w:val="2"/>
            <w:tcBorders>
              <w:top w:val="nil"/>
              <w:left w:val="nil"/>
              <w:bottom w:val="nil"/>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62 (40.0%)</w:t>
            </w:r>
          </w:p>
        </w:tc>
      </w:tr>
      <w:tr w:rsidR="0051432E" w:rsidRPr="0051432E" w:rsidTr="002A6A20">
        <w:trPr>
          <w:gridBefore w:val="1"/>
          <w:wBefore w:w="51" w:type="dxa"/>
          <w:cantSplit/>
          <w:jc w:val="right"/>
        </w:trPr>
        <w:tc>
          <w:tcPr>
            <w:tcW w:w="4555" w:type="dxa"/>
            <w:gridSpan w:val="2"/>
            <w:tcBorders>
              <w:top w:val="nil"/>
              <w:left w:val="single" w:sz="4" w:space="0" w:color="auto"/>
              <w:bottom w:val="nil"/>
              <w:right w:val="single" w:sz="4" w:space="0" w:color="auto"/>
            </w:tcBorders>
            <w:vAlign w:val="bottom"/>
            <w:hideMark/>
          </w:tcPr>
          <w:p w:rsidR="0051432E" w:rsidRPr="0051432E" w:rsidRDefault="0051432E" w:rsidP="0051432E">
            <w:pPr>
              <w:keepLines/>
              <w:spacing w:before="50" w:after="50" w:line="240" w:lineRule="exact"/>
              <w:ind w:left="226"/>
              <w:rPr>
                <w:rFonts w:eastAsia="SimSun"/>
                <w:sz w:val="22"/>
                <w:lang w:val="en-GB" w:eastAsia="zh-CN"/>
              </w:rPr>
            </w:pPr>
            <w:r w:rsidRPr="0051432E">
              <w:rPr>
                <w:rFonts w:eastAsia="SimSun"/>
                <w:sz w:val="22"/>
                <w:lang w:val="en-GB" w:eastAsia="zh-CN"/>
              </w:rPr>
              <w:t xml:space="preserve">Median duration of PFS (months) </w:t>
            </w:r>
          </w:p>
        </w:tc>
        <w:tc>
          <w:tcPr>
            <w:tcW w:w="2388" w:type="dxa"/>
            <w:gridSpan w:val="2"/>
            <w:tcBorders>
              <w:top w:val="nil"/>
              <w:left w:val="single" w:sz="4" w:space="0" w:color="auto"/>
              <w:bottom w:val="nil"/>
              <w:right w:val="nil"/>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13.7</w:t>
            </w:r>
          </w:p>
        </w:tc>
        <w:tc>
          <w:tcPr>
            <w:tcW w:w="2204" w:type="dxa"/>
            <w:gridSpan w:val="2"/>
            <w:tcBorders>
              <w:top w:val="nil"/>
              <w:left w:val="nil"/>
              <w:bottom w:val="nil"/>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29.2</w:t>
            </w:r>
          </w:p>
        </w:tc>
      </w:tr>
      <w:tr w:rsidR="0051432E" w:rsidRPr="0051432E" w:rsidTr="002A6A20">
        <w:trPr>
          <w:gridBefore w:val="1"/>
          <w:wBefore w:w="51" w:type="dxa"/>
          <w:cantSplit/>
          <w:jc w:val="right"/>
        </w:trPr>
        <w:tc>
          <w:tcPr>
            <w:tcW w:w="4555" w:type="dxa"/>
            <w:gridSpan w:val="2"/>
            <w:tcBorders>
              <w:top w:val="nil"/>
              <w:left w:val="single" w:sz="4" w:space="0" w:color="auto"/>
              <w:right w:val="single" w:sz="4" w:space="0" w:color="auto"/>
            </w:tcBorders>
            <w:vAlign w:val="bottom"/>
            <w:hideMark/>
          </w:tcPr>
          <w:p w:rsidR="0051432E" w:rsidRPr="0051432E" w:rsidRDefault="0051432E" w:rsidP="0051432E">
            <w:pPr>
              <w:keepLines/>
              <w:spacing w:before="50" w:after="50" w:line="240" w:lineRule="exact"/>
              <w:ind w:left="226"/>
              <w:rPr>
                <w:rFonts w:eastAsia="SimSun"/>
                <w:sz w:val="22"/>
                <w:lang w:val="en-GB" w:eastAsia="zh-CN"/>
              </w:rPr>
            </w:pPr>
            <w:r w:rsidRPr="0051432E">
              <w:rPr>
                <w:rFonts w:eastAsia="SimSun"/>
                <w:sz w:val="22"/>
                <w:lang w:val="en-GB" w:eastAsia="zh-CN"/>
              </w:rPr>
              <w:t>HR [95% CI]</w:t>
            </w:r>
          </w:p>
        </w:tc>
        <w:tc>
          <w:tcPr>
            <w:tcW w:w="4592" w:type="dxa"/>
            <w:gridSpan w:val="4"/>
            <w:tcBorders>
              <w:top w:val="nil"/>
              <w:left w:val="single" w:sz="4" w:space="0" w:color="auto"/>
              <w:right w:val="single" w:sz="4" w:space="0" w:color="auto"/>
            </w:tcBorders>
            <w:vAlign w:val="bottom"/>
          </w:tcPr>
          <w:p w:rsidR="0051432E" w:rsidRPr="0051432E" w:rsidRDefault="0051432E" w:rsidP="0051432E">
            <w:pPr>
              <w:keepNext/>
              <w:keepLines/>
              <w:spacing w:before="240" w:after="50" w:line="240" w:lineRule="exact"/>
              <w:jc w:val="center"/>
              <w:rPr>
                <w:rFonts w:eastAsia="SimSun"/>
                <w:sz w:val="22"/>
                <w:lang w:val="en-GB" w:eastAsia="zh-CN"/>
              </w:rPr>
            </w:pPr>
            <w:r w:rsidRPr="0051432E">
              <w:rPr>
                <w:rFonts w:eastAsia="SimSun"/>
                <w:sz w:val="22"/>
                <w:lang w:val="en-GB" w:eastAsia="zh-CN"/>
              </w:rPr>
              <w:t>0.48 [0.35, 0.67]</w:t>
            </w:r>
          </w:p>
        </w:tc>
      </w:tr>
      <w:tr w:rsidR="0051432E" w:rsidRPr="0051432E" w:rsidTr="002A6A20">
        <w:trPr>
          <w:gridBefore w:val="1"/>
          <w:wBefore w:w="51" w:type="dxa"/>
          <w:cantSplit/>
          <w:jc w:val="right"/>
        </w:trPr>
        <w:tc>
          <w:tcPr>
            <w:tcW w:w="4555" w:type="dxa"/>
            <w:gridSpan w:val="2"/>
            <w:tcBorders>
              <w:top w:val="nil"/>
              <w:left w:val="single" w:sz="4" w:space="0" w:color="auto"/>
              <w:bottom w:val="single" w:sz="4" w:space="0" w:color="auto"/>
              <w:right w:val="single" w:sz="4" w:space="0" w:color="auto"/>
            </w:tcBorders>
            <w:vAlign w:val="bottom"/>
            <w:hideMark/>
          </w:tcPr>
          <w:p w:rsidR="0051432E" w:rsidRPr="0051432E" w:rsidRDefault="0051432E" w:rsidP="0051432E">
            <w:pPr>
              <w:keepLines/>
              <w:spacing w:before="50" w:after="50" w:line="240" w:lineRule="exact"/>
              <w:ind w:left="226"/>
              <w:rPr>
                <w:rFonts w:eastAsia="SimSun"/>
                <w:sz w:val="22"/>
                <w:lang w:val="en-GB" w:eastAsia="zh-CN"/>
              </w:rPr>
            </w:pPr>
            <w:r w:rsidRPr="0051432E">
              <w:rPr>
                <w:rFonts w:eastAsia="SimSun"/>
                <w:sz w:val="22"/>
                <w:lang w:val="en-GB" w:eastAsia="zh-CN"/>
              </w:rPr>
              <w:t>p-value (Log-Rank test, stratified*)</w:t>
            </w:r>
          </w:p>
        </w:tc>
        <w:tc>
          <w:tcPr>
            <w:tcW w:w="4592" w:type="dxa"/>
            <w:gridSpan w:val="4"/>
            <w:tcBorders>
              <w:top w:val="nil"/>
              <w:left w:val="single" w:sz="4" w:space="0" w:color="auto"/>
              <w:bottom w:val="single" w:sz="4" w:space="0" w:color="auto"/>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&lt;0.0001</w:t>
            </w:r>
          </w:p>
        </w:tc>
      </w:tr>
      <w:tr w:rsidR="0051432E" w:rsidRPr="0051432E" w:rsidTr="002A6A20">
        <w:trPr>
          <w:gridBefore w:val="1"/>
          <w:wBefore w:w="51" w:type="dxa"/>
          <w:cantSplit/>
          <w:jc w:val="right"/>
        </w:trPr>
        <w:tc>
          <w:tcPr>
            <w:tcW w:w="4555" w:type="dxa"/>
            <w:gridSpan w:val="2"/>
            <w:tcBorders>
              <w:top w:val="single" w:sz="4" w:space="0" w:color="auto"/>
              <w:left w:val="single" w:sz="4" w:space="0" w:color="auto"/>
              <w:bottom w:val="nil"/>
              <w:right w:val="single" w:sz="4" w:space="0" w:color="auto"/>
            </w:tcBorders>
            <w:vAlign w:val="bottom"/>
            <w:hideMark/>
          </w:tcPr>
          <w:p w:rsidR="0051432E" w:rsidRPr="0051432E" w:rsidRDefault="0051432E" w:rsidP="0051432E">
            <w:pPr>
              <w:keepNext/>
              <w:keepLines/>
              <w:spacing w:before="50" w:after="50" w:line="240" w:lineRule="exact"/>
              <w:rPr>
                <w:rFonts w:eastAsia="SimSun"/>
                <w:b/>
                <w:sz w:val="22"/>
                <w:vertAlign w:val="superscript"/>
                <w:lang w:val="en-GB" w:eastAsia="zh-CN"/>
              </w:rPr>
            </w:pPr>
            <w:r w:rsidRPr="0051432E">
              <w:rPr>
                <w:rFonts w:eastAsia="SimSun"/>
                <w:b/>
                <w:sz w:val="22"/>
                <w:lang w:val="en-GB" w:eastAsia="zh-CN"/>
              </w:rPr>
              <w:t>Best Overall Response (BOR) (IRC-assessed)</w:t>
            </w:r>
            <w:r w:rsidRPr="0051432E">
              <w:rPr>
                <w:rFonts w:eastAsia="SimSun"/>
                <w:sz w:val="22"/>
                <w:vertAlign w:val="superscript"/>
                <w:lang w:val="en-US" w:eastAsia="zh-CN"/>
              </w:rPr>
              <w:t>§</w:t>
            </w:r>
          </w:p>
        </w:tc>
        <w:tc>
          <w:tcPr>
            <w:tcW w:w="4592" w:type="dxa"/>
            <w:gridSpan w:val="4"/>
            <w:tcBorders>
              <w:top w:val="single" w:sz="4" w:space="0" w:color="auto"/>
              <w:left w:val="single" w:sz="4" w:space="0" w:color="auto"/>
              <w:bottom w:val="nil"/>
              <w:right w:val="single" w:sz="4" w:space="0" w:color="auto"/>
            </w:tcBorders>
            <w:vAlign w:val="bottom"/>
          </w:tcPr>
          <w:p w:rsidR="0051432E" w:rsidRPr="0051432E" w:rsidRDefault="0051432E" w:rsidP="0051432E">
            <w:pPr>
              <w:keepNext/>
              <w:keepLines/>
              <w:spacing w:before="50" w:after="50" w:line="240" w:lineRule="exact"/>
              <w:jc w:val="center"/>
              <w:rPr>
                <w:rFonts w:eastAsia="SimSun"/>
                <w:b/>
                <w:sz w:val="22"/>
                <w:lang w:val="en-GB" w:eastAsia="zh-CN"/>
              </w:rPr>
            </w:pPr>
          </w:p>
        </w:tc>
      </w:tr>
      <w:tr w:rsidR="0051432E" w:rsidRPr="0051432E" w:rsidTr="002A6A20">
        <w:trPr>
          <w:gridBefore w:val="1"/>
          <w:wBefore w:w="51" w:type="dxa"/>
          <w:cantSplit/>
          <w:jc w:val="right"/>
        </w:trPr>
        <w:tc>
          <w:tcPr>
            <w:tcW w:w="4555" w:type="dxa"/>
            <w:gridSpan w:val="2"/>
            <w:tcBorders>
              <w:top w:val="nil"/>
              <w:left w:val="single" w:sz="4" w:space="0" w:color="auto"/>
              <w:bottom w:val="nil"/>
              <w:right w:val="single" w:sz="4" w:space="0" w:color="auto"/>
            </w:tcBorders>
            <w:vAlign w:val="bottom"/>
            <w:hideMark/>
          </w:tcPr>
          <w:p w:rsidR="0051432E" w:rsidRPr="0051432E" w:rsidRDefault="0051432E" w:rsidP="0051432E">
            <w:pPr>
              <w:keepNext/>
              <w:keepLines/>
              <w:spacing w:before="50" w:after="50" w:line="240" w:lineRule="exact"/>
              <w:ind w:left="213"/>
              <w:rPr>
                <w:rFonts w:eastAsia="SimSun"/>
                <w:sz w:val="22"/>
                <w:lang w:val="en-GB" w:eastAsia="zh-CN"/>
              </w:rPr>
            </w:pPr>
            <w:r w:rsidRPr="0051432E">
              <w:rPr>
                <w:rFonts w:eastAsia="SimSun"/>
                <w:sz w:val="22"/>
                <w:lang w:val="en-GB" w:eastAsia="zh-CN"/>
              </w:rPr>
              <w:t>No. of patients included in the analysis</w:t>
            </w:r>
          </w:p>
        </w:tc>
        <w:tc>
          <w:tcPr>
            <w:tcW w:w="2388" w:type="dxa"/>
            <w:gridSpan w:val="2"/>
            <w:tcBorders>
              <w:top w:val="nil"/>
              <w:left w:val="single" w:sz="4" w:space="0" w:color="auto"/>
              <w:bottom w:val="nil"/>
              <w:right w:val="nil"/>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161</w:t>
            </w:r>
          </w:p>
        </w:tc>
        <w:tc>
          <w:tcPr>
            <w:tcW w:w="2204" w:type="dxa"/>
            <w:gridSpan w:val="2"/>
            <w:tcBorders>
              <w:top w:val="nil"/>
              <w:left w:val="nil"/>
              <w:bottom w:val="nil"/>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153</w:t>
            </w:r>
          </w:p>
        </w:tc>
      </w:tr>
      <w:tr w:rsidR="0051432E" w:rsidRPr="0051432E" w:rsidTr="002A6A20">
        <w:trPr>
          <w:gridBefore w:val="1"/>
          <w:wBefore w:w="51" w:type="dxa"/>
          <w:cantSplit/>
          <w:jc w:val="right"/>
        </w:trPr>
        <w:tc>
          <w:tcPr>
            <w:tcW w:w="4555" w:type="dxa"/>
            <w:gridSpan w:val="2"/>
            <w:tcBorders>
              <w:top w:val="nil"/>
              <w:left w:val="single" w:sz="4" w:space="0" w:color="auto"/>
              <w:bottom w:val="nil"/>
              <w:right w:val="single" w:sz="4" w:space="0" w:color="auto"/>
            </w:tcBorders>
            <w:vAlign w:val="bottom"/>
            <w:hideMark/>
          </w:tcPr>
          <w:p w:rsidR="0051432E" w:rsidRPr="0051432E" w:rsidRDefault="0051432E" w:rsidP="0051432E">
            <w:pPr>
              <w:keepLines/>
              <w:spacing w:before="50" w:after="50" w:line="240" w:lineRule="exact"/>
              <w:ind w:left="213"/>
              <w:rPr>
                <w:rFonts w:eastAsia="SimSun"/>
                <w:sz w:val="22"/>
                <w:lang w:val="en-GB" w:eastAsia="zh-CN"/>
              </w:rPr>
            </w:pPr>
            <w:r w:rsidRPr="0051432E">
              <w:rPr>
                <w:rFonts w:eastAsia="SimSun"/>
                <w:sz w:val="22"/>
                <w:lang w:val="en-GB" w:eastAsia="zh-CN"/>
              </w:rPr>
              <w:t xml:space="preserve">Responders (%) (CR, PR) </w:t>
            </w:r>
          </w:p>
        </w:tc>
        <w:tc>
          <w:tcPr>
            <w:tcW w:w="2388" w:type="dxa"/>
            <w:gridSpan w:val="2"/>
            <w:tcBorders>
              <w:top w:val="nil"/>
              <w:left w:val="single" w:sz="4" w:space="0" w:color="auto"/>
              <w:bottom w:val="nil"/>
              <w:right w:val="nil"/>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124 (77.0%)</w:t>
            </w:r>
          </w:p>
        </w:tc>
        <w:tc>
          <w:tcPr>
            <w:tcW w:w="2204" w:type="dxa"/>
            <w:gridSpan w:val="2"/>
            <w:tcBorders>
              <w:top w:val="nil"/>
              <w:left w:val="nil"/>
              <w:bottom w:val="nil"/>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122 (79.7%)</w:t>
            </w:r>
          </w:p>
        </w:tc>
      </w:tr>
      <w:tr w:rsidR="0051432E" w:rsidRPr="0051432E" w:rsidTr="002A6A20">
        <w:trPr>
          <w:gridBefore w:val="1"/>
          <w:wBefore w:w="51" w:type="dxa"/>
          <w:cantSplit/>
          <w:jc w:val="right"/>
        </w:trPr>
        <w:tc>
          <w:tcPr>
            <w:tcW w:w="4555" w:type="dxa"/>
            <w:gridSpan w:val="2"/>
            <w:tcBorders>
              <w:top w:val="nil"/>
              <w:left w:val="single" w:sz="4" w:space="0" w:color="auto"/>
              <w:right w:val="single" w:sz="4" w:space="0" w:color="auto"/>
            </w:tcBorders>
            <w:vAlign w:val="bottom"/>
            <w:hideMark/>
          </w:tcPr>
          <w:p w:rsidR="0051432E" w:rsidRPr="0051432E" w:rsidRDefault="0051432E" w:rsidP="0051432E">
            <w:pPr>
              <w:keepLines/>
              <w:spacing w:before="50" w:after="50" w:line="240" w:lineRule="exact"/>
              <w:ind w:left="213"/>
              <w:rPr>
                <w:rFonts w:eastAsia="SimSun"/>
                <w:sz w:val="22"/>
                <w:lang w:val="en-GB" w:eastAsia="zh-CN"/>
              </w:rPr>
            </w:pPr>
            <w:r w:rsidRPr="0051432E">
              <w:rPr>
                <w:rFonts w:eastAsia="SimSun"/>
                <w:sz w:val="22"/>
                <w:lang w:val="en-GB" w:eastAsia="zh-CN"/>
              </w:rPr>
              <w:t>Difference in response rate (%) [95% CI]</w:t>
            </w:r>
          </w:p>
        </w:tc>
        <w:tc>
          <w:tcPr>
            <w:tcW w:w="4592" w:type="dxa"/>
            <w:gridSpan w:val="4"/>
            <w:tcBorders>
              <w:top w:val="nil"/>
              <w:left w:val="single" w:sz="4" w:space="0" w:color="auto"/>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2.72 [-6.74, 12.18]</w:t>
            </w:r>
          </w:p>
        </w:tc>
      </w:tr>
      <w:tr w:rsidR="0051432E" w:rsidRPr="0051432E" w:rsidTr="002A6A20">
        <w:trPr>
          <w:gridBefore w:val="1"/>
          <w:wBefore w:w="51" w:type="dxa"/>
          <w:cantSplit/>
          <w:jc w:val="right"/>
        </w:trPr>
        <w:tc>
          <w:tcPr>
            <w:tcW w:w="4555" w:type="dxa"/>
            <w:gridSpan w:val="2"/>
            <w:tcBorders>
              <w:top w:val="nil"/>
              <w:left w:val="single" w:sz="4" w:space="0" w:color="auto"/>
              <w:bottom w:val="single" w:sz="4" w:space="0" w:color="auto"/>
              <w:right w:val="single" w:sz="4" w:space="0" w:color="auto"/>
            </w:tcBorders>
            <w:vAlign w:val="bottom"/>
            <w:hideMark/>
          </w:tcPr>
          <w:p w:rsidR="0051432E" w:rsidRPr="0051432E" w:rsidRDefault="0051432E" w:rsidP="0051432E">
            <w:pPr>
              <w:keepLines/>
              <w:spacing w:before="50" w:after="50" w:line="240" w:lineRule="exact"/>
              <w:ind w:left="213"/>
              <w:rPr>
                <w:rFonts w:eastAsia="SimSun"/>
                <w:sz w:val="22"/>
                <w:lang w:val="en-GB" w:eastAsia="zh-CN"/>
              </w:rPr>
            </w:pPr>
            <w:r w:rsidRPr="0051432E">
              <w:rPr>
                <w:rFonts w:eastAsia="SimSun"/>
                <w:sz w:val="22"/>
                <w:lang w:val="en-GB" w:eastAsia="zh-CN"/>
              </w:rPr>
              <w:t>p-value (Cochran-Mantel-Haenszel test)</w:t>
            </w:r>
          </w:p>
        </w:tc>
        <w:tc>
          <w:tcPr>
            <w:tcW w:w="4592" w:type="dxa"/>
            <w:gridSpan w:val="4"/>
            <w:tcBorders>
              <w:top w:val="nil"/>
              <w:left w:val="single" w:sz="4" w:space="0" w:color="auto"/>
              <w:bottom w:val="single" w:sz="4" w:space="0" w:color="auto"/>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0.6142</w:t>
            </w:r>
            <w:r w:rsidRPr="0051432E">
              <w:rPr>
                <w:rFonts w:eastAsia="SimSun"/>
                <w:sz w:val="22"/>
                <w:vertAlign w:val="superscript"/>
                <w:lang w:val="en-US" w:eastAsia="zh-CN"/>
              </w:rPr>
              <w:t>¶</w:t>
            </w:r>
          </w:p>
        </w:tc>
      </w:tr>
      <w:tr w:rsidR="0051432E" w:rsidRPr="0051432E" w:rsidTr="002A6A20">
        <w:trPr>
          <w:gridBefore w:val="1"/>
          <w:wBefore w:w="51" w:type="dxa"/>
          <w:cantSplit/>
          <w:trHeight w:val="122"/>
          <w:jc w:val="right"/>
        </w:trPr>
        <w:tc>
          <w:tcPr>
            <w:tcW w:w="4555" w:type="dxa"/>
            <w:gridSpan w:val="2"/>
            <w:tcBorders>
              <w:top w:val="single" w:sz="4" w:space="0" w:color="auto"/>
              <w:left w:val="single" w:sz="4" w:space="0" w:color="auto"/>
              <w:bottom w:val="nil"/>
              <w:right w:val="single" w:sz="4" w:space="0" w:color="auto"/>
            </w:tcBorders>
            <w:vAlign w:val="bottom"/>
            <w:hideMark/>
          </w:tcPr>
          <w:p w:rsidR="0051432E" w:rsidRPr="0051432E" w:rsidRDefault="0051432E" w:rsidP="0051432E">
            <w:pPr>
              <w:keepLines/>
              <w:spacing w:before="50" w:after="50" w:line="240" w:lineRule="exact"/>
              <w:ind w:left="33"/>
              <w:rPr>
                <w:rFonts w:eastAsia="SimSun"/>
                <w:b/>
                <w:sz w:val="22"/>
                <w:lang w:val="en-GB" w:eastAsia="zh-CN"/>
              </w:rPr>
            </w:pPr>
            <w:r w:rsidRPr="0051432E">
              <w:rPr>
                <w:rFonts w:eastAsia="SimSun"/>
                <w:b/>
                <w:sz w:val="22"/>
                <w:lang w:val="en-GB" w:eastAsia="zh-CN"/>
              </w:rPr>
              <w:t>Duration of response (IRC-assessed)</w:t>
            </w:r>
          </w:p>
        </w:tc>
        <w:tc>
          <w:tcPr>
            <w:tcW w:w="4592" w:type="dxa"/>
            <w:gridSpan w:val="4"/>
            <w:tcBorders>
              <w:top w:val="single" w:sz="4" w:space="0" w:color="auto"/>
              <w:left w:val="single" w:sz="4" w:space="0" w:color="auto"/>
              <w:bottom w:val="nil"/>
              <w:right w:val="single" w:sz="4" w:space="0" w:color="auto"/>
            </w:tcBorders>
            <w:vAlign w:val="bottom"/>
          </w:tcPr>
          <w:p w:rsidR="0051432E" w:rsidRPr="0051432E" w:rsidRDefault="0051432E" w:rsidP="0051432E">
            <w:pPr>
              <w:kinsoku w:val="0"/>
              <w:overflowPunct w:val="0"/>
              <w:spacing w:after="120" w:line="172" w:lineRule="exact"/>
              <w:jc w:val="center"/>
              <w:rPr>
                <w:rFonts w:eastAsia="MS Mincho"/>
                <w:sz w:val="22"/>
                <w:lang w:val="en-US" w:eastAsia="ja-JP"/>
              </w:rPr>
            </w:pPr>
          </w:p>
        </w:tc>
      </w:tr>
      <w:tr w:rsidR="0051432E" w:rsidRPr="0051432E" w:rsidTr="002A6A20">
        <w:trPr>
          <w:gridBefore w:val="1"/>
          <w:wBefore w:w="51" w:type="dxa"/>
          <w:cantSplit/>
          <w:trHeight w:val="218"/>
          <w:jc w:val="right"/>
        </w:trPr>
        <w:tc>
          <w:tcPr>
            <w:tcW w:w="4555" w:type="dxa"/>
            <w:gridSpan w:val="2"/>
            <w:tcBorders>
              <w:top w:val="nil"/>
              <w:left w:val="single" w:sz="4" w:space="0" w:color="auto"/>
              <w:bottom w:val="nil"/>
              <w:right w:val="single" w:sz="4" w:space="0" w:color="auto"/>
            </w:tcBorders>
            <w:vAlign w:val="bottom"/>
          </w:tcPr>
          <w:p w:rsidR="0051432E" w:rsidRPr="0051432E" w:rsidRDefault="0051432E" w:rsidP="0051432E">
            <w:pPr>
              <w:keepLines/>
              <w:spacing w:before="50" w:after="50" w:line="240" w:lineRule="exact"/>
              <w:ind w:left="226"/>
              <w:rPr>
                <w:rFonts w:eastAsia="SimSun"/>
                <w:sz w:val="22"/>
                <w:lang w:val="en-GB" w:eastAsia="zh-CN"/>
              </w:rPr>
            </w:pPr>
            <w:r w:rsidRPr="0051432E">
              <w:rPr>
                <w:rFonts w:eastAsia="SimSun"/>
                <w:sz w:val="22"/>
                <w:lang w:val="en-GB" w:eastAsia="zh-CN"/>
              </w:rPr>
              <w:t>No. of patients included in the analysis</w:t>
            </w:r>
          </w:p>
        </w:tc>
        <w:tc>
          <w:tcPr>
            <w:tcW w:w="2388" w:type="dxa"/>
            <w:gridSpan w:val="2"/>
            <w:tcBorders>
              <w:top w:val="nil"/>
              <w:left w:val="single" w:sz="4" w:space="0" w:color="auto"/>
              <w:bottom w:val="nil"/>
              <w:right w:val="nil"/>
            </w:tcBorders>
            <w:vAlign w:val="bottom"/>
          </w:tcPr>
          <w:p w:rsidR="0051432E" w:rsidRPr="0051432E" w:rsidRDefault="0051432E" w:rsidP="0051432E">
            <w:pPr>
              <w:keepLines/>
              <w:spacing w:before="50" w:after="50" w:line="240" w:lineRule="exact"/>
              <w:ind w:left="226"/>
              <w:jc w:val="center"/>
              <w:rPr>
                <w:rFonts w:eastAsia="SimSun"/>
                <w:sz w:val="22"/>
                <w:lang w:val="en-GB" w:eastAsia="zh-CN"/>
              </w:rPr>
            </w:pPr>
            <w:r w:rsidRPr="0051432E">
              <w:rPr>
                <w:rFonts w:eastAsia="SimSun"/>
                <w:sz w:val="22"/>
                <w:lang w:val="en-GB" w:eastAsia="zh-CN"/>
              </w:rPr>
              <w:t>127</w:t>
            </w:r>
          </w:p>
        </w:tc>
        <w:tc>
          <w:tcPr>
            <w:tcW w:w="2204" w:type="dxa"/>
            <w:gridSpan w:val="2"/>
            <w:tcBorders>
              <w:top w:val="nil"/>
              <w:left w:val="nil"/>
              <w:bottom w:val="nil"/>
              <w:right w:val="single" w:sz="4" w:space="0" w:color="auto"/>
            </w:tcBorders>
            <w:vAlign w:val="bottom"/>
          </w:tcPr>
          <w:p w:rsidR="0051432E" w:rsidRPr="0051432E" w:rsidRDefault="0051432E" w:rsidP="0051432E">
            <w:pPr>
              <w:keepLines/>
              <w:spacing w:before="50" w:after="50" w:line="240" w:lineRule="exact"/>
              <w:ind w:left="226"/>
              <w:jc w:val="center"/>
              <w:rPr>
                <w:rFonts w:eastAsia="SimSun"/>
                <w:sz w:val="22"/>
                <w:lang w:val="en-GB" w:eastAsia="zh-CN"/>
              </w:rPr>
            </w:pPr>
            <w:r w:rsidRPr="0051432E">
              <w:rPr>
                <w:rFonts w:eastAsia="SimSun"/>
                <w:sz w:val="22"/>
                <w:lang w:val="en-GB" w:eastAsia="zh-CN"/>
              </w:rPr>
              <w:t>122</w:t>
            </w:r>
          </w:p>
        </w:tc>
      </w:tr>
      <w:tr w:rsidR="0051432E" w:rsidRPr="0051432E" w:rsidTr="002A6A20">
        <w:trPr>
          <w:gridBefore w:val="1"/>
          <w:wBefore w:w="51" w:type="dxa"/>
          <w:cantSplit/>
          <w:trHeight w:val="218"/>
          <w:jc w:val="right"/>
        </w:trPr>
        <w:tc>
          <w:tcPr>
            <w:tcW w:w="4555" w:type="dxa"/>
            <w:gridSpan w:val="2"/>
            <w:tcBorders>
              <w:top w:val="nil"/>
              <w:left w:val="single" w:sz="4" w:space="0" w:color="auto"/>
              <w:bottom w:val="nil"/>
              <w:right w:val="single" w:sz="4" w:space="0" w:color="auto"/>
            </w:tcBorders>
            <w:vAlign w:val="bottom"/>
            <w:hideMark/>
          </w:tcPr>
          <w:p w:rsidR="0051432E" w:rsidRPr="0051432E" w:rsidRDefault="0051432E" w:rsidP="0051432E">
            <w:pPr>
              <w:keepLines/>
              <w:spacing w:before="50" w:after="50" w:line="240" w:lineRule="exact"/>
              <w:ind w:left="226"/>
              <w:rPr>
                <w:rFonts w:eastAsia="SimSun"/>
                <w:sz w:val="22"/>
                <w:lang w:val="en-GB" w:eastAsia="zh-CN"/>
              </w:rPr>
            </w:pPr>
            <w:r w:rsidRPr="0051432E">
              <w:rPr>
                <w:rFonts w:eastAsia="SimSun"/>
                <w:sz w:val="22"/>
                <w:lang w:val="en-GB" w:eastAsia="zh-CN"/>
              </w:rPr>
              <w:t>No. (%) of patients with event</w:t>
            </w:r>
          </w:p>
        </w:tc>
        <w:tc>
          <w:tcPr>
            <w:tcW w:w="2388" w:type="dxa"/>
            <w:gridSpan w:val="2"/>
            <w:tcBorders>
              <w:top w:val="nil"/>
              <w:left w:val="single" w:sz="4" w:space="0" w:color="auto"/>
              <w:bottom w:val="nil"/>
              <w:right w:val="nil"/>
            </w:tcBorders>
            <w:vAlign w:val="bottom"/>
          </w:tcPr>
          <w:p w:rsidR="0051432E" w:rsidRPr="0051432E" w:rsidRDefault="0051432E" w:rsidP="0051432E">
            <w:pPr>
              <w:keepLines/>
              <w:spacing w:before="50" w:after="50" w:line="240" w:lineRule="exact"/>
              <w:ind w:left="226"/>
              <w:jc w:val="center"/>
              <w:rPr>
                <w:rFonts w:eastAsia="SimSun"/>
                <w:sz w:val="22"/>
                <w:lang w:val="en-GB" w:eastAsia="zh-CN"/>
              </w:rPr>
            </w:pPr>
            <w:r w:rsidRPr="0051432E">
              <w:rPr>
                <w:rFonts w:eastAsia="SimSun"/>
                <w:sz w:val="22"/>
                <w:lang w:val="en-GB" w:eastAsia="zh-CN"/>
              </w:rPr>
              <w:t>74 (58.3%)</w:t>
            </w:r>
          </w:p>
        </w:tc>
        <w:tc>
          <w:tcPr>
            <w:tcW w:w="2204" w:type="dxa"/>
            <w:gridSpan w:val="2"/>
            <w:tcBorders>
              <w:top w:val="nil"/>
              <w:left w:val="nil"/>
              <w:bottom w:val="nil"/>
              <w:right w:val="single" w:sz="4" w:space="0" w:color="auto"/>
            </w:tcBorders>
            <w:vAlign w:val="bottom"/>
          </w:tcPr>
          <w:p w:rsidR="0051432E" w:rsidRPr="0051432E" w:rsidRDefault="0051432E" w:rsidP="0051432E">
            <w:pPr>
              <w:keepLines/>
              <w:spacing w:before="50" w:after="50" w:line="240" w:lineRule="exact"/>
              <w:ind w:left="226"/>
              <w:jc w:val="center"/>
              <w:rPr>
                <w:rFonts w:eastAsia="SimSun"/>
                <w:sz w:val="22"/>
                <w:lang w:val="en-GB" w:eastAsia="zh-CN"/>
              </w:rPr>
            </w:pPr>
            <w:r w:rsidRPr="0051432E">
              <w:rPr>
                <w:rFonts w:eastAsia="SimSun"/>
                <w:sz w:val="22"/>
                <w:lang w:val="en-GB" w:eastAsia="zh-CN"/>
              </w:rPr>
              <w:t>36 (29.5%)</w:t>
            </w:r>
          </w:p>
        </w:tc>
      </w:tr>
      <w:tr w:rsidR="0051432E" w:rsidRPr="0051432E" w:rsidTr="002A6A20">
        <w:trPr>
          <w:gridBefore w:val="1"/>
          <w:wBefore w:w="51" w:type="dxa"/>
          <w:cantSplit/>
          <w:trHeight w:val="218"/>
          <w:jc w:val="right"/>
        </w:trPr>
        <w:tc>
          <w:tcPr>
            <w:tcW w:w="4555" w:type="dxa"/>
            <w:gridSpan w:val="2"/>
            <w:tcBorders>
              <w:top w:val="nil"/>
              <w:left w:val="single" w:sz="4" w:space="0" w:color="auto"/>
              <w:right w:val="single" w:sz="4" w:space="0" w:color="auto"/>
            </w:tcBorders>
            <w:vAlign w:val="bottom"/>
            <w:hideMark/>
          </w:tcPr>
          <w:p w:rsidR="0051432E" w:rsidRPr="0051432E" w:rsidRDefault="0051432E" w:rsidP="0051432E">
            <w:pPr>
              <w:keepLines/>
              <w:spacing w:before="50" w:after="50" w:line="240" w:lineRule="exact"/>
              <w:ind w:left="226"/>
              <w:rPr>
                <w:rFonts w:eastAsia="SimSun"/>
                <w:sz w:val="22"/>
                <w:lang w:val="en-GB" w:eastAsia="zh-CN"/>
              </w:rPr>
            </w:pPr>
            <w:r w:rsidRPr="0051432E">
              <w:rPr>
                <w:rFonts w:eastAsia="SimSun"/>
                <w:sz w:val="22"/>
                <w:lang w:val="en-GB" w:eastAsia="zh-CN"/>
              </w:rPr>
              <w:t xml:space="preserve">Median duration of response (months) </w:t>
            </w:r>
          </w:p>
        </w:tc>
        <w:tc>
          <w:tcPr>
            <w:tcW w:w="2388" w:type="dxa"/>
            <w:gridSpan w:val="2"/>
            <w:tcBorders>
              <w:top w:val="nil"/>
              <w:left w:val="single" w:sz="4" w:space="0" w:color="auto"/>
              <w:right w:val="nil"/>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11.9</w:t>
            </w:r>
          </w:p>
        </w:tc>
        <w:tc>
          <w:tcPr>
            <w:tcW w:w="2204" w:type="dxa"/>
            <w:gridSpan w:val="2"/>
            <w:tcBorders>
              <w:top w:val="nil"/>
              <w:left w:val="nil"/>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NR</w:t>
            </w:r>
          </w:p>
        </w:tc>
      </w:tr>
      <w:tr w:rsidR="0051432E" w:rsidRPr="0051432E" w:rsidTr="002A6A20">
        <w:trPr>
          <w:gridBefore w:val="1"/>
          <w:wBefore w:w="51" w:type="dxa"/>
          <w:cantSplit/>
          <w:trHeight w:val="218"/>
          <w:jc w:val="right"/>
        </w:trPr>
        <w:tc>
          <w:tcPr>
            <w:tcW w:w="4555" w:type="dxa"/>
            <w:gridSpan w:val="2"/>
            <w:tcBorders>
              <w:top w:val="nil"/>
              <w:left w:val="single" w:sz="4" w:space="0" w:color="auto"/>
              <w:bottom w:val="single" w:sz="4" w:space="0" w:color="auto"/>
              <w:right w:val="single" w:sz="4" w:space="0" w:color="auto"/>
            </w:tcBorders>
            <w:vAlign w:val="bottom"/>
            <w:hideMark/>
          </w:tcPr>
          <w:p w:rsidR="0051432E" w:rsidRPr="0051432E" w:rsidRDefault="0051432E" w:rsidP="0051432E">
            <w:pPr>
              <w:keepLines/>
              <w:spacing w:before="50" w:after="50" w:line="240" w:lineRule="exact"/>
              <w:ind w:left="226"/>
              <w:rPr>
                <w:rFonts w:eastAsia="SimSun"/>
                <w:sz w:val="22"/>
                <w:lang w:val="en-GB" w:eastAsia="zh-CN"/>
              </w:rPr>
            </w:pPr>
            <w:r w:rsidRPr="0051432E">
              <w:rPr>
                <w:rFonts w:eastAsia="SimSun"/>
                <w:sz w:val="22"/>
                <w:lang w:val="en-GB" w:eastAsia="zh-CN"/>
              </w:rPr>
              <w:t>HR [95% CI]</w:t>
            </w:r>
          </w:p>
        </w:tc>
        <w:tc>
          <w:tcPr>
            <w:tcW w:w="4592" w:type="dxa"/>
            <w:gridSpan w:val="4"/>
            <w:tcBorders>
              <w:top w:val="nil"/>
              <w:left w:val="single" w:sz="4" w:space="0" w:color="auto"/>
              <w:bottom w:val="single" w:sz="4" w:space="0" w:color="auto"/>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0.36 [0.24, 0.54]</w:t>
            </w:r>
          </w:p>
        </w:tc>
      </w:tr>
      <w:tr w:rsidR="0051432E" w:rsidRPr="0051432E" w:rsidTr="002A6A20">
        <w:trPr>
          <w:gridBefore w:val="1"/>
          <w:wBefore w:w="51" w:type="dxa"/>
          <w:cantSplit/>
          <w:jc w:val="right"/>
        </w:trPr>
        <w:tc>
          <w:tcPr>
            <w:tcW w:w="4555" w:type="dxa"/>
            <w:gridSpan w:val="2"/>
            <w:tcBorders>
              <w:top w:val="single" w:sz="4" w:space="0" w:color="auto"/>
              <w:left w:val="single" w:sz="4" w:space="0" w:color="auto"/>
              <w:bottom w:val="nil"/>
              <w:right w:val="single" w:sz="4" w:space="0" w:color="auto"/>
            </w:tcBorders>
            <w:vAlign w:val="bottom"/>
            <w:hideMark/>
          </w:tcPr>
          <w:p w:rsidR="0051432E" w:rsidRPr="0051432E" w:rsidRDefault="0051432E" w:rsidP="0051432E">
            <w:pPr>
              <w:keepLines/>
              <w:spacing w:before="50" w:after="50" w:line="240" w:lineRule="exact"/>
              <w:rPr>
                <w:rFonts w:eastAsia="SimSun"/>
                <w:b/>
                <w:sz w:val="22"/>
                <w:lang w:val="en-GB" w:eastAsia="zh-CN"/>
              </w:rPr>
            </w:pPr>
            <w:r w:rsidRPr="0051432E">
              <w:rPr>
                <w:rFonts w:eastAsia="SimSun"/>
                <w:b/>
                <w:sz w:val="22"/>
                <w:lang w:val="en-GB" w:eastAsia="zh-CN"/>
              </w:rPr>
              <w:t>Overall Survival</w:t>
            </w:r>
          </w:p>
        </w:tc>
        <w:tc>
          <w:tcPr>
            <w:tcW w:w="4592" w:type="dxa"/>
            <w:gridSpan w:val="4"/>
            <w:tcBorders>
              <w:top w:val="single" w:sz="4" w:space="0" w:color="auto"/>
              <w:left w:val="single" w:sz="4" w:space="0" w:color="auto"/>
              <w:bottom w:val="nil"/>
              <w:right w:val="single" w:sz="4" w:space="0" w:color="auto"/>
            </w:tcBorders>
            <w:vAlign w:val="bottom"/>
            <w:hideMark/>
          </w:tcPr>
          <w:p w:rsidR="0051432E" w:rsidRPr="0051432E" w:rsidRDefault="0051432E" w:rsidP="0051432E">
            <w:pPr>
              <w:keepNext/>
              <w:keepLines/>
              <w:spacing w:before="50" w:after="50" w:line="240" w:lineRule="exact"/>
              <w:jc w:val="center"/>
              <w:rPr>
                <w:rFonts w:eastAsia="MS Mincho"/>
                <w:sz w:val="22"/>
                <w:lang w:val="en-US" w:eastAsia="ja-JP"/>
              </w:rPr>
            </w:pPr>
          </w:p>
        </w:tc>
      </w:tr>
      <w:tr w:rsidR="0051432E" w:rsidRPr="0051432E" w:rsidTr="002A6A20">
        <w:trPr>
          <w:gridBefore w:val="1"/>
          <w:wBefore w:w="51" w:type="dxa"/>
          <w:cantSplit/>
          <w:jc w:val="right"/>
        </w:trPr>
        <w:tc>
          <w:tcPr>
            <w:tcW w:w="4555" w:type="dxa"/>
            <w:gridSpan w:val="2"/>
            <w:tcBorders>
              <w:top w:val="nil"/>
              <w:left w:val="single" w:sz="4" w:space="0" w:color="auto"/>
              <w:bottom w:val="nil"/>
              <w:right w:val="single" w:sz="4" w:space="0" w:color="auto"/>
            </w:tcBorders>
            <w:vAlign w:val="bottom"/>
            <w:hideMark/>
          </w:tcPr>
          <w:p w:rsidR="0051432E" w:rsidRPr="0051432E" w:rsidRDefault="0051432E" w:rsidP="0051432E">
            <w:pPr>
              <w:keepLines/>
              <w:spacing w:before="50" w:after="50" w:line="240" w:lineRule="exact"/>
              <w:ind w:left="226"/>
              <w:rPr>
                <w:rFonts w:eastAsia="SimSun"/>
                <w:sz w:val="22"/>
                <w:lang w:val="en-GB" w:eastAsia="zh-CN"/>
              </w:rPr>
            </w:pPr>
            <w:r w:rsidRPr="0051432E">
              <w:rPr>
                <w:rFonts w:eastAsia="SimSun"/>
                <w:sz w:val="22"/>
                <w:lang w:val="en-GB" w:eastAsia="zh-CN"/>
              </w:rPr>
              <w:t>No. (%) of patients with event</w:t>
            </w:r>
          </w:p>
        </w:tc>
        <w:tc>
          <w:tcPr>
            <w:tcW w:w="2388" w:type="dxa"/>
            <w:gridSpan w:val="2"/>
            <w:tcBorders>
              <w:top w:val="nil"/>
              <w:left w:val="single" w:sz="4" w:space="0" w:color="auto"/>
              <w:bottom w:val="nil"/>
              <w:right w:val="nil"/>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36 (21.7%)</w:t>
            </w:r>
          </w:p>
        </w:tc>
        <w:tc>
          <w:tcPr>
            <w:tcW w:w="2204" w:type="dxa"/>
            <w:gridSpan w:val="2"/>
            <w:tcBorders>
              <w:top w:val="nil"/>
              <w:left w:val="nil"/>
              <w:bottom w:val="nil"/>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25 (16.1%)</w:t>
            </w:r>
          </w:p>
        </w:tc>
      </w:tr>
      <w:tr w:rsidR="0051432E" w:rsidRPr="0051432E" w:rsidTr="002A6A20">
        <w:trPr>
          <w:gridBefore w:val="1"/>
          <w:wBefore w:w="51" w:type="dxa"/>
          <w:cantSplit/>
          <w:jc w:val="right"/>
        </w:trPr>
        <w:tc>
          <w:tcPr>
            <w:tcW w:w="4555" w:type="dxa"/>
            <w:gridSpan w:val="2"/>
            <w:tcBorders>
              <w:top w:val="nil"/>
              <w:left w:val="single" w:sz="4" w:space="0" w:color="auto"/>
              <w:bottom w:val="nil"/>
              <w:right w:val="single" w:sz="4" w:space="0" w:color="auto"/>
            </w:tcBorders>
            <w:vAlign w:val="bottom"/>
            <w:hideMark/>
          </w:tcPr>
          <w:p w:rsidR="0051432E" w:rsidRPr="0051432E" w:rsidRDefault="0051432E" w:rsidP="0051432E">
            <w:pPr>
              <w:keepLines/>
              <w:spacing w:before="50" w:after="50" w:line="240" w:lineRule="exact"/>
              <w:ind w:left="226"/>
              <w:rPr>
                <w:rFonts w:eastAsia="SimSun"/>
                <w:sz w:val="22"/>
                <w:lang w:val="en-GB" w:eastAsia="zh-CN"/>
              </w:rPr>
            </w:pPr>
            <w:r w:rsidRPr="0051432E">
              <w:rPr>
                <w:rFonts w:eastAsia="SimSun"/>
                <w:sz w:val="22"/>
                <w:lang w:val="en-GB" w:eastAsia="zh-CN"/>
              </w:rPr>
              <w:t>Median time to event (months)</w:t>
            </w:r>
          </w:p>
        </w:tc>
        <w:tc>
          <w:tcPr>
            <w:tcW w:w="2388" w:type="dxa"/>
            <w:gridSpan w:val="2"/>
            <w:tcBorders>
              <w:top w:val="nil"/>
              <w:left w:val="single" w:sz="4" w:space="0" w:color="auto"/>
              <w:bottom w:val="nil"/>
              <w:right w:val="nil"/>
            </w:tcBorders>
            <w:vAlign w:val="bottom"/>
            <w:hideMark/>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NR</w:t>
            </w:r>
            <w:r w:rsidRPr="0051432E">
              <w:rPr>
                <w:rFonts w:eastAsia="SimSun"/>
                <w:sz w:val="22"/>
                <w:vertAlign w:val="superscript"/>
                <w:lang w:val="en-US" w:eastAsia="zh-CN"/>
              </w:rPr>
              <w:t>¶</w:t>
            </w:r>
          </w:p>
        </w:tc>
        <w:tc>
          <w:tcPr>
            <w:tcW w:w="2204" w:type="dxa"/>
            <w:gridSpan w:val="2"/>
            <w:tcBorders>
              <w:top w:val="nil"/>
              <w:left w:val="nil"/>
              <w:bottom w:val="nil"/>
              <w:right w:val="single" w:sz="4" w:space="0" w:color="auto"/>
            </w:tcBorders>
            <w:vAlign w:val="bottom"/>
            <w:hideMark/>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NR</w:t>
            </w:r>
            <w:r w:rsidRPr="0051432E">
              <w:rPr>
                <w:rFonts w:eastAsia="SimSun"/>
                <w:sz w:val="22"/>
                <w:vertAlign w:val="superscript"/>
                <w:lang w:val="en-US" w:eastAsia="zh-CN"/>
              </w:rPr>
              <w:t>¶</w:t>
            </w:r>
          </w:p>
        </w:tc>
      </w:tr>
      <w:tr w:rsidR="0051432E" w:rsidRPr="0051432E" w:rsidTr="002A6A20">
        <w:trPr>
          <w:gridBefore w:val="1"/>
          <w:wBefore w:w="51" w:type="dxa"/>
          <w:cantSplit/>
          <w:jc w:val="right"/>
        </w:trPr>
        <w:tc>
          <w:tcPr>
            <w:tcW w:w="4555" w:type="dxa"/>
            <w:gridSpan w:val="2"/>
            <w:tcBorders>
              <w:top w:val="nil"/>
              <w:left w:val="single" w:sz="4" w:space="0" w:color="auto"/>
              <w:right w:val="single" w:sz="4" w:space="0" w:color="auto"/>
            </w:tcBorders>
            <w:vAlign w:val="bottom"/>
            <w:hideMark/>
          </w:tcPr>
          <w:p w:rsidR="0051432E" w:rsidRPr="0051432E" w:rsidRDefault="0051432E" w:rsidP="0051432E">
            <w:pPr>
              <w:keepLines/>
              <w:spacing w:before="50" w:after="50" w:line="240" w:lineRule="exact"/>
              <w:ind w:left="226"/>
              <w:rPr>
                <w:rFonts w:eastAsia="SimSun"/>
                <w:sz w:val="22"/>
                <w:lang w:val="en-GB" w:eastAsia="zh-CN"/>
              </w:rPr>
            </w:pPr>
            <w:r w:rsidRPr="0051432E">
              <w:rPr>
                <w:rFonts w:eastAsia="SimSun"/>
                <w:sz w:val="22"/>
                <w:lang w:val="en-GB" w:eastAsia="zh-CN"/>
              </w:rPr>
              <w:t>HR [95% CI]</w:t>
            </w:r>
          </w:p>
        </w:tc>
        <w:tc>
          <w:tcPr>
            <w:tcW w:w="4592" w:type="dxa"/>
            <w:gridSpan w:val="4"/>
            <w:tcBorders>
              <w:top w:val="nil"/>
              <w:left w:val="single" w:sz="4" w:space="0" w:color="auto"/>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0.71 [0.43, 1.19]</w:t>
            </w:r>
            <w:r w:rsidRPr="0051432E">
              <w:rPr>
                <w:rFonts w:eastAsia="SimSun"/>
                <w:sz w:val="22"/>
                <w:vertAlign w:val="superscript"/>
                <w:lang w:val="en-US" w:eastAsia="zh-CN"/>
              </w:rPr>
              <w:t xml:space="preserve"> ¶</w:t>
            </w:r>
          </w:p>
        </w:tc>
      </w:tr>
      <w:tr w:rsidR="0051432E" w:rsidRPr="0051432E" w:rsidTr="002A6A20">
        <w:trPr>
          <w:gridBefore w:val="1"/>
          <w:wBefore w:w="51" w:type="dxa"/>
          <w:cantSplit/>
          <w:jc w:val="right"/>
        </w:trPr>
        <w:tc>
          <w:tcPr>
            <w:tcW w:w="4555" w:type="dxa"/>
            <w:gridSpan w:val="2"/>
            <w:tcBorders>
              <w:top w:val="nil"/>
              <w:left w:val="single" w:sz="4" w:space="0" w:color="auto"/>
              <w:bottom w:val="single" w:sz="4" w:space="0" w:color="auto"/>
              <w:right w:val="single" w:sz="4" w:space="0" w:color="auto"/>
            </w:tcBorders>
            <w:vAlign w:val="bottom"/>
            <w:hideMark/>
          </w:tcPr>
          <w:p w:rsidR="0051432E" w:rsidRPr="0051432E" w:rsidRDefault="0051432E" w:rsidP="0051432E">
            <w:pPr>
              <w:keepLines/>
              <w:spacing w:before="50" w:after="50" w:line="240" w:lineRule="exact"/>
              <w:ind w:left="226"/>
              <w:rPr>
                <w:rFonts w:eastAsia="SimSun"/>
                <w:sz w:val="22"/>
                <w:lang w:val="en-GB" w:eastAsia="zh-CN"/>
              </w:rPr>
            </w:pPr>
            <w:r w:rsidRPr="0051432E">
              <w:rPr>
                <w:rFonts w:eastAsia="SimSun"/>
                <w:sz w:val="22"/>
                <w:lang w:val="en-GB" w:eastAsia="zh-CN"/>
              </w:rPr>
              <w:t>p-value (Log-Rank test, stratified*)</w:t>
            </w:r>
          </w:p>
        </w:tc>
        <w:tc>
          <w:tcPr>
            <w:tcW w:w="4592" w:type="dxa"/>
            <w:gridSpan w:val="4"/>
            <w:tcBorders>
              <w:top w:val="nil"/>
              <w:left w:val="single" w:sz="4" w:space="0" w:color="auto"/>
              <w:bottom w:val="single" w:sz="4" w:space="0" w:color="auto"/>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0.1976</w:t>
            </w:r>
            <w:r w:rsidRPr="0051432E">
              <w:rPr>
                <w:rFonts w:eastAsia="SimSun"/>
                <w:sz w:val="22"/>
                <w:vertAlign w:val="superscript"/>
                <w:lang w:val="en-US" w:eastAsia="zh-CN"/>
              </w:rPr>
              <w:t>¶†</w:t>
            </w:r>
          </w:p>
        </w:tc>
      </w:tr>
      <w:tr w:rsidR="0051432E" w:rsidRPr="0051432E" w:rsidTr="002A6A20">
        <w:trPr>
          <w:gridBefore w:val="1"/>
          <w:wBefore w:w="51" w:type="dxa"/>
          <w:cantSplit/>
          <w:jc w:val="right"/>
        </w:trPr>
        <w:tc>
          <w:tcPr>
            <w:tcW w:w="4555" w:type="dxa"/>
            <w:gridSpan w:val="2"/>
            <w:tcBorders>
              <w:top w:val="single" w:sz="4" w:space="0" w:color="auto"/>
              <w:left w:val="single" w:sz="4" w:space="0" w:color="auto"/>
              <w:bottom w:val="nil"/>
              <w:right w:val="single" w:sz="4" w:space="0" w:color="auto"/>
            </w:tcBorders>
            <w:vAlign w:val="bottom"/>
            <w:hideMark/>
          </w:tcPr>
          <w:p w:rsidR="0051432E" w:rsidRPr="0051432E" w:rsidRDefault="0051432E" w:rsidP="0051432E">
            <w:pPr>
              <w:keepNext/>
              <w:keepLines/>
              <w:spacing w:before="50" w:after="50" w:line="240" w:lineRule="exact"/>
              <w:rPr>
                <w:rFonts w:eastAsia="SimSun"/>
                <w:b/>
                <w:sz w:val="22"/>
                <w:vertAlign w:val="superscript"/>
                <w:lang w:val="en-GB" w:eastAsia="zh-CN"/>
              </w:rPr>
            </w:pPr>
            <w:r w:rsidRPr="0051432E">
              <w:rPr>
                <w:rFonts w:eastAsia="SimSun"/>
                <w:b/>
                <w:sz w:val="22"/>
                <w:lang w:val="en-GB" w:eastAsia="zh-CN"/>
              </w:rPr>
              <w:t>Overall Response Rate at End of Induction</w:t>
            </w:r>
            <w:r w:rsidRPr="0051432E">
              <w:rPr>
                <w:rFonts w:eastAsia="SimSun"/>
                <w:sz w:val="22"/>
                <w:vertAlign w:val="superscript"/>
                <w:lang w:val="en-GB" w:eastAsia="zh-CN"/>
              </w:rPr>
              <w:t>‡</w:t>
            </w:r>
            <w:r w:rsidRPr="0051432E">
              <w:rPr>
                <w:rFonts w:eastAsia="SimSun"/>
                <w:sz w:val="22"/>
                <w:vertAlign w:val="superscript"/>
                <w:lang w:val="en-US" w:eastAsia="zh-CN"/>
              </w:rPr>
              <w:t xml:space="preserve"> </w:t>
            </w:r>
            <w:r w:rsidRPr="0051432E">
              <w:rPr>
                <w:rFonts w:eastAsia="SimSun"/>
                <w:b/>
                <w:sz w:val="22"/>
                <w:vertAlign w:val="superscript"/>
                <w:lang w:val="en-GB" w:eastAsia="zh-CN"/>
              </w:rPr>
              <w:t xml:space="preserve"> </w:t>
            </w:r>
            <w:r w:rsidRPr="0051432E">
              <w:rPr>
                <w:rFonts w:eastAsia="SimSun"/>
                <w:b/>
                <w:sz w:val="22"/>
                <w:lang w:val="en-GB" w:eastAsia="zh-CN"/>
              </w:rPr>
              <w:t>(IRC-assessed)</w:t>
            </w:r>
          </w:p>
        </w:tc>
        <w:tc>
          <w:tcPr>
            <w:tcW w:w="4592" w:type="dxa"/>
            <w:gridSpan w:val="4"/>
            <w:tcBorders>
              <w:top w:val="single" w:sz="4" w:space="0" w:color="auto"/>
              <w:left w:val="single" w:sz="4" w:space="0" w:color="auto"/>
              <w:bottom w:val="nil"/>
              <w:right w:val="single" w:sz="4" w:space="0" w:color="auto"/>
            </w:tcBorders>
            <w:vAlign w:val="bottom"/>
          </w:tcPr>
          <w:p w:rsidR="0051432E" w:rsidRPr="0051432E" w:rsidRDefault="0051432E" w:rsidP="0051432E">
            <w:pPr>
              <w:keepNext/>
              <w:keepLines/>
              <w:spacing w:before="50" w:after="50" w:line="240" w:lineRule="exact"/>
              <w:jc w:val="center"/>
              <w:rPr>
                <w:rFonts w:eastAsia="MS Mincho"/>
                <w:sz w:val="22"/>
                <w:lang w:val="en-US" w:eastAsia="ja-JP"/>
              </w:rPr>
            </w:pPr>
          </w:p>
        </w:tc>
      </w:tr>
      <w:tr w:rsidR="0051432E" w:rsidRPr="0051432E" w:rsidTr="002A6A20">
        <w:trPr>
          <w:gridBefore w:val="1"/>
          <w:wBefore w:w="51" w:type="dxa"/>
          <w:cantSplit/>
          <w:jc w:val="right"/>
        </w:trPr>
        <w:tc>
          <w:tcPr>
            <w:tcW w:w="4555" w:type="dxa"/>
            <w:gridSpan w:val="2"/>
            <w:tcBorders>
              <w:top w:val="nil"/>
              <w:left w:val="single" w:sz="4" w:space="0" w:color="auto"/>
              <w:bottom w:val="nil"/>
              <w:right w:val="single" w:sz="4" w:space="0" w:color="auto"/>
            </w:tcBorders>
            <w:hideMark/>
          </w:tcPr>
          <w:p w:rsidR="0051432E" w:rsidRPr="0051432E" w:rsidRDefault="0051432E" w:rsidP="0051432E">
            <w:pPr>
              <w:keepNext/>
              <w:keepLines/>
              <w:spacing w:before="50" w:after="50" w:line="240" w:lineRule="exact"/>
              <w:rPr>
                <w:rFonts w:eastAsia="SimSun"/>
                <w:sz w:val="22"/>
                <w:lang w:val="en-GB" w:eastAsia="zh-CN"/>
              </w:rPr>
            </w:pPr>
            <w:r w:rsidRPr="0051432E">
              <w:rPr>
                <w:rFonts w:eastAsia="SimSun"/>
                <w:sz w:val="22"/>
                <w:lang w:val="en-GB" w:eastAsia="zh-CN"/>
              </w:rPr>
              <w:t>Patients assessed at end of treatment</w:t>
            </w:r>
          </w:p>
        </w:tc>
        <w:tc>
          <w:tcPr>
            <w:tcW w:w="2388" w:type="dxa"/>
            <w:gridSpan w:val="2"/>
            <w:tcBorders>
              <w:top w:val="nil"/>
              <w:left w:val="single" w:sz="4" w:space="0" w:color="auto"/>
              <w:bottom w:val="nil"/>
              <w:right w:val="nil"/>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155</w:t>
            </w:r>
          </w:p>
        </w:tc>
        <w:tc>
          <w:tcPr>
            <w:tcW w:w="2204" w:type="dxa"/>
            <w:gridSpan w:val="2"/>
            <w:tcBorders>
              <w:top w:val="nil"/>
              <w:left w:val="nil"/>
              <w:bottom w:val="nil"/>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149</w:t>
            </w:r>
          </w:p>
        </w:tc>
      </w:tr>
      <w:tr w:rsidR="0051432E" w:rsidRPr="0051432E" w:rsidTr="002A6A20">
        <w:trPr>
          <w:gridBefore w:val="1"/>
          <w:wBefore w:w="51" w:type="dxa"/>
          <w:cantSplit/>
          <w:jc w:val="right"/>
        </w:trPr>
        <w:tc>
          <w:tcPr>
            <w:tcW w:w="4555" w:type="dxa"/>
            <w:gridSpan w:val="2"/>
            <w:tcBorders>
              <w:top w:val="nil"/>
              <w:left w:val="single" w:sz="4" w:space="0" w:color="auto"/>
              <w:bottom w:val="nil"/>
              <w:right w:val="single" w:sz="4" w:space="0" w:color="auto"/>
            </w:tcBorders>
            <w:hideMark/>
          </w:tcPr>
          <w:p w:rsidR="0051432E" w:rsidRPr="0051432E" w:rsidRDefault="0051432E" w:rsidP="0051432E">
            <w:pPr>
              <w:keepNext/>
              <w:keepLines/>
              <w:spacing w:before="50" w:after="50" w:line="240" w:lineRule="exact"/>
              <w:ind w:left="213"/>
              <w:rPr>
                <w:rFonts w:eastAsia="SimSun"/>
                <w:sz w:val="22"/>
                <w:lang w:val="en-GB" w:eastAsia="zh-CN"/>
              </w:rPr>
            </w:pPr>
            <w:r w:rsidRPr="0051432E">
              <w:rPr>
                <w:rFonts w:eastAsia="SimSun"/>
                <w:sz w:val="22"/>
                <w:lang w:val="en-GB" w:eastAsia="zh-CN"/>
              </w:rPr>
              <w:t>Responders (%) (CR, PR)</w:t>
            </w:r>
          </w:p>
        </w:tc>
        <w:tc>
          <w:tcPr>
            <w:tcW w:w="2388" w:type="dxa"/>
            <w:gridSpan w:val="2"/>
            <w:tcBorders>
              <w:top w:val="nil"/>
              <w:left w:val="single" w:sz="4" w:space="0" w:color="auto"/>
              <w:bottom w:val="nil"/>
              <w:right w:val="nil"/>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97 (62.6%)</w:t>
            </w:r>
          </w:p>
        </w:tc>
        <w:tc>
          <w:tcPr>
            <w:tcW w:w="2204" w:type="dxa"/>
            <w:gridSpan w:val="2"/>
            <w:tcBorders>
              <w:top w:val="nil"/>
              <w:left w:val="nil"/>
              <w:bottom w:val="nil"/>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lang w:val="en-GB" w:eastAsia="zh-CN"/>
              </w:rPr>
              <w:t>105 (70.5%)</w:t>
            </w:r>
          </w:p>
        </w:tc>
      </w:tr>
      <w:tr w:rsidR="0051432E" w:rsidRPr="0051432E" w:rsidTr="002A6A20">
        <w:trPr>
          <w:gridBefore w:val="1"/>
          <w:wBefore w:w="51" w:type="dxa"/>
          <w:cantSplit/>
          <w:jc w:val="right"/>
        </w:trPr>
        <w:tc>
          <w:tcPr>
            <w:tcW w:w="4555" w:type="dxa"/>
            <w:gridSpan w:val="2"/>
            <w:tcBorders>
              <w:top w:val="nil"/>
              <w:left w:val="single" w:sz="4" w:space="0" w:color="auto"/>
              <w:right w:val="single" w:sz="4" w:space="0" w:color="auto"/>
            </w:tcBorders>
            <w:vAlign w:val="bottom"/>
            <w:hideMark/>
          </w:tcPr>
          <w:p w:rsidR="0051432E" w:rsidRPr="0051432E" w:rsidRDefault="0051432E" w:rsidP="0051432E">
            <w:pPr>
              <w:keepLines/>
              <w:spacing w:before="50" w:after="50" w:line="240" w:lineRule="exact"/>
              <w:ind w:left="213"/>
              <w:rPr>
                <w:rFonts w:eastAsia="SimSun"/>
                <w:sz w:val="22"/>
                <w:lang w:val="en-GB" w:eastAsia="zh-CN"/>
              </w:rPr>
            </w:pPr>
            <w:r w:rsidRPr="0051432E">
              <w:rPr>
                <w:rFonts w:eastAsia="SimSun"/>
                <w:sz w:val="22"/>
                <w:lang w:val="en-GB" w:eastAsia="zh-CN"/>
              </w:rPr>
              <w:t>Difference in response rate (%) [95% CI]</w:t>
            </w:r>
          </w:p>
        </w:tc>
        <w:tc>
          <w:tcPr>
            <w:tcW w:w="4592" w:type="dxa"/>
            <w:gridSpan w:val="4"/>
            <w:tcBorders>
              <w:top w:val="nil"/>
              <w:left w:val="single" w:sz="4" w:space="0" w:color="auto"/>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shd w:val="clear" w:color="auto" w:fill="FFFFFF"/>
                <w:lang w:val="en-US" w:eastAsia="zh-CN"/>
              </w:rPr>
              <w:t>7.89 [-3.05, 18.83]</w:t>
            </w:r>
          </w:p>
        </w:tc>
      </w:tr>
      <w:tr w:rsidR="0051432E" w:rsidRPr="0051432E" w:rsidTr="002A6A20">
        <w:trPr>
          <w:gridBefore w:val="1"/>
          <w:wBefore w:w="51" w:type="dxa"/>
          <w:cantSplit/>
          <w:jc w:val="right"/>
        </w:trPr>
        <w:tc>
          <w:tcPr>
            <w:tcW w:w="4555" w:type="dxa"/>
            <w:gridSpan w:val="2"/>
            <w:tcBorders>
              <w:top w:val="nil"/>
              <w:left w:val="single" w:sz="4" w:space="0" w:color="auto"/>
              <w:bottom w:val="single" w:sz="4" w:space="0" w:color="auto"/>
              <w:right w:val="single" w:sz="4" w:space="0" w:color="auto"/>
            </w:tcBorders>
            <w:vAlign w:val="bottom"/>
            <w:hideMark/>
          </w:tcPr>
          <w:p w:rsidR="0051432E" w:rsidRPr="0051432E" w:rsidRDefault="0051432E" w:rsidP="0051432E">
            <w:pPr>
              <w:keepLines/>
              <w:spacing w:before="50" w:after="50" w:line="240" w:lineRule="exact"/>
              <w:ind w:left="213"/>
              <w:rPr>
                <w:rFonts w:eastAsia="SimSun"/>
                <w:sz w:val="22"/>
                <w:lang w:val="en-GB" w:eastAsia="zh-CN"/>
              </w:rPr>
            </w:pPr>
            <w:r w:rsidRPr="0051432E">
              <w:rPr>
                <w:rFonts w:eastAsia="SimSun"/>
                <w:sz w:val="22"/>
                <w:lang w:val="en-GB" w:eastAsia="zh-CN"/>
              </w:rPr>
              <w:t>p-value (Cochran-Mantel-Haenszel test)</w:t>
            </w:r>
          </w:p>
        </w:tc>
        <w:tc>
          <w:tcPr>
            <w:tcW w:w="4592" w:type="dxa"/>
            <w:gridSpan w:val="4"/>
            <w:tcBorders>
              <w:top w:val="nil"/>
              <w:left w:val="single" w:sz="4" w:space="0" w:color="auto"/>
              <w:bottom w:val="single" w:sz="4" w:space="0" w:color="auto"/>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shd w:val="clear" w:color="auto" w:fill="FFFFFF"/>
                <w:lang w:val="en-US" w:eastAsia="zh-CN"/>
              </w:rPr>
              <w:t>0.1713</w:t>
            </w:r>
          </w:p>
        </w:tc>
      </w:tr>
      <w:tr w:rsidR="0051432E" w:rsidRPr="0051432E" w:rsidTr="002A6A20">
        <w:trPr>
          <w:gridBefore w:val="1"/>
          <w:wBefore w:w="51" w:type="dxa"/>
          <w:cantSplit/>
          <w:jc w:val="right"/>
        </w:trPr>
        <w:tc>
          <w:tcPr>
            <w:tcW w:w="4555" w:type="dxa"/>
            <w:gridSpan w:val="2"/>
            <w:tcBorders>
              <w:top w:val="single" w:sz="4" w:space="0" w:color="auto"/>
              <w:left w:val="single" w:sz="4" w:space="0" w:color="auto"/>
              <w:bottom w:val="nil"/>
              <w:right w:val="single" w:sz="4" w:space="0" w:color="auto"/>
            </w:tcBorders>
            <w:hideMark/>
          </w:tcPr>
          <w:p w:rsidR="0051432E" w:rsidRPr="0051432E" w:rsidRDefault="0051432E" w:rsidP="0051432E">
            <w:pPr>
              <w:keepNext/>
              <w:keepLines/>
              <w:spacing w:before="50" w:after="50" w:line="240" w:lineRule="exact"/>
              <w:rPr>
                <w:rFonts w:eastAsia="SimSun"/>
                <w:sz w:val="22"/>
                <w:lang w:val="en-GB" w:eastAsia="zh-CN"/>
              </w:rPr>
            </w:pPr>
            <w:r w:rsidRPr="0051432E">
              <w:rPr>
                <w:rFonts w:eastAsia="SimSun"/>
                <w:sz w:val="22"/>
                <w:lang w:val="en-GB" w:eastAsia="zh-CN"/>
              </w:rPr>
              <w:lastRenderedPageBreak/>
              <w:t>Complete response (CR)</w:t>
            </w:r>
          </w:p>
        </w:tc>
        <w:tc>
          <w:tcPr>
            <w:tcW w:w="2388" w:type="dxa"/>
            <w:gridSpan w:val="2"/>
            <w:tcBorders>
              <w:top w:val="single" w:sz="4" w:space="0" w:color="auto"/>
              <w:left w:val="single" w:sz="4" w:space="0" w:color="auto"/>
              <w:bottom w:val="nil"/>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shd w:val="clear" w:color="auto" w:fill="FFFFFF"/>
                <w:lang w:val="en-US" w:eastAsia="zh-CN"/>
              </w:rPr>
              <w:t>21 (13.5%)</w:t>
            </w:r>
          </w:p>
        </w:tc>
        <w:tc>
          <w:tcPr>
            <w:tcW w:w="2204" w:type="dxa"/>
            <w:gridSpan w:val="2"/>
            <w:tcBorders>
              <w:top w:val="single" w:sz="4" w:space="0" w:color="auto"/>
              <w:bottom w:val="nil"/>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shd w:val="clear" w:color="auto" w:fill="FFFFFF"/>
                <w:lang w:val="en-US" w:eastAsia="zh-CN"/>
              </w:rPr>
              <w:t>14 (9.4%)</w:t>
            </w:r>
          </w:p>
        </w:tc>
      </w:tr>
      <w:tr w:rsidR="0051432E" w:rsidRPr="0051432E" w:rsidTr="002A6A20">
        <w:trPr>
          <w:gridAfter w:val="1"/>
          <w:wAfter w:w="55" w:type="dxa"/>
          <w:trHeight w:val="235"/>
          <w:jc w:val="right"/>
        </w:trPr>
        <w:tc>
          <w:tcPr>
            <w:tcW w:w="4555" w:type="dxa"/>
            <w:gridSpan w:val="2"/>
            <w:tcBorders>
              <w:top w:val="nil"/>
              <w:left w:val="single" w:sz="4" w:space="0" w:color="auto"/>
              <w:bottom w:val="nil"/>
              <w:right w:val="single" w:sz="4" w:space="0" w:color="auto"/>
            </w:tcBorders>
            <w:tcMar>
              <w:top w:w="0" w:type="dxa"/>
              <w:left w:w="108" w:type="dxa"/>
              <w:bottom w:w="0" w:type="dxa"/>
              <w:right w:w="108" w:type="dxa"/>
            </w:tcMar>
            <w:hideMark/>
          </w:tcPr>
          <w:p w:rsidR="0051432E" w:rsidRPr="0051432E" w:rsidRDefault="0051432E" w:rsidP="0051432E">
            <w:pPr>
              <w:keepNext/>
              <w:keepLines/>
              <w:spacing w:before="50" w:after="50" w:line="240" w:lineRule="exact"/>
              <w:rPr>
                <w:rFonts w:eastAsia="SimSun"/>
                <w:sz w:val="22"/>
                <w:lang w:val="en-GB" w:eastAsia="zh-CN"/>
              </w:rPr>
            </w:pPr>
            <w:r w:rsidRPr="0051432E">
              <w:rPr>
                <w:rFonts w:eastAsia="SimSun"/>
                <w:sz w:val="22"/>
                <w:lang w:val="en-GB" w:eastAsia="zh-CN"/>
              </w:rPr>
              <w:t>Partial response (PR)</w:t>
            </w:r>
          </w:p>
        </w:tc>
        <w:tc>
          <w:tcPr>
            <w:tcW w:w="2388" w:type="dxa"/>
            <w:gridSpan w:val="2"/>
            <w:tcBorders>
              <w:top w:val="nil"/>
              <w:left w:val="single" w:sz="4" w:space="0" w:color="auto"/>
              <w:bottom w:val="nil"/>
              <w:right w:val="nil"/>
            </w:tcBorders>
            <w:tcMar>
              <w:top w:w="0" w:type="dxa"/>
              <w:left w:w="108" w:type="dxa"/>
              <w:bottom w:w="0" w:type="dxa"/>
              <w:right w:w="108" w:type="dxa"/>
            </w:tcMar>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shd w:val="clear" w:color="auto" w:fill="FFFFFF"/>
                <w:lang w:val="en-US" w:eastAsia="zh-CN"/>
              </w:rPr>
              <w:t>76 (49.0%)</w:t>
            </w:r>
          </w:p>
        </w:tc>
        <w:tc>
          <w:tcPr>
            <w:tcW w:w="2200" w:type="dxa"/>
            <w:gridSpan w:val="2"/>
            <w:tcBorders>
              <w:top w:val="nil"/>
              <w:left w:val="nil"/>
              <w:bottom w:val="nil"/>
              <w:right w:val="single" w:sz="4" w:space="0" w:color="auto"/>
            </w:tcBorders>
            <w:tcMar>
              <w:top w:w="0" w:type="dxa"/>
              <w:left w:w="108" w:type="dxa"/>
              <w:bottom w:w="0" w:type="dxa"/>
              <w:right w:w="108" w:type="dxa"/>
            </w:tcMar>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shd w:val="clear" w:color="auto" w:fill="FFFFFF"/>
                <w:lang w:val="en-US" w:eastAsia="zh-CN"/>
              </w:rPr>
              <w:t>91 (61.1%)</w:t>
            </w:r>
          </w:p>
        </w:tc>
      </w:tr>
      <w:tr w:rsidR="0051432E" w:rsidRPr="0051432E" w:rsidTr="002A6A20">
        <w:trPr>
          <w:gridAfter w:val="1"/>
          <w:wAfter w:w="55" w:type="dxa"/>
          <w:trHeight w:val="273"/>
          <w:jc w:val="right"/>
        </w:trPr>
        <w:tc>
          <w:tcPr>
            <w:tcW w:w="4555" w:type="dxa"/>
            <w:gridSpan w:val="2"/>
            <w:tcBorders>
              <w:top w:val="nil"/>
              <w:left w:val="single" w:sz="4" w:space="0" w:color="auto"/>
              <w:bottom w:val="nil"/>
              <w:right w:val="single" w:sz="4" w:space="0" w:color="auto"/>
            </w:tcBorders>
            <w:tcMar>
              <w:top w:w="0" w:type="dxa"/>
              <w:left w:w="108" w:type="dxa"/>
              <w:bottom w:w="0" w:type="dxa"/>
              <w:right w:w="108" w:type="dxa"/>
            </w:tcMar>
            <w:hideMark/>
          </w:tcPr>
          <w:p w:rsidR="0051432E" w:rsidRPr="0051432E" w:rsidRDefault="0051432E" w:rsidP="0051432E">
            <w:pPr>
              <w:keepNext/>
              <w:keepLines/>
              <w:spacing w:before="50" w:after="50" w:line="240" w:lineRule="exact"/>
              <w:rPr>
                <w:rFonts w:eastAsia="SimSun"/>
                <w:sz w:val="22"/>
                <w:lang w:val="en-GB" w:eastAsia="zh-CN"/>
              </w:rPr>
            </w:pPr>
            <w:r w:rsidRPr="0051432E">
              <w:rPr>
                <w:rFonts w:eastAsia="SimSun"/>
                <w:sz w:val="22"/>
                <w:lang w:val="en-GB" w:eastAsia="zh-CN"/>
              </w:rPr>
              <w:t>Stable disease (SD)</w:t>
            </w:r>
          </w:p>
        </w:tc>
        <w:tc>
          <w:tcPr>
            <w:tcW w:w="2388" w:type="dxa"/>
            <w:gridSpan w:val="2"/>
            <w:tcBorders>
              <w:top w:val="nil"/>
              <w:left w:val="single" w:sz="4" w:space="0" w:color="auto"/>
              <w:bottom w:val="nil"/>
              <w:right w:val="nil"/>
            </w:tcBorders>
            <w:tcMar>
              <w:top w:w="0" w:type="dxa"/>
              <w:left w:w="108" w:type="dxa"/>
              <w:bottom w:w="0" w:type="dxa"/>
              <w:right w:w="108" w:type="dxa"/>
            </w:tcMar>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shd w:val="clear" w:color="auto" w:fill="FFFFFF"/>
                <w:lang w:val="en-US" w:eastAsia="zh-CN"/>
              </w:rPr>
              <w:t>15 (9.7%)</w:t>
            </w:r>
          </w:p>
        </w:tc>
        <w:tc>
          <w:tcPr>
            <w:tcW w:w="2200" w:type="dxa"/>
            <w:gridSpan w:val="2"/>
            <w:tcBorders>
              <w:top w:val="nil"/>
              <w:left w:val="nil"/>
              <w:bottom w:val="nil"/>
              <w:right w:val="single" w:sz="4" w:space="0" w:color="auto"/>
            </w:tcBorders>
            <w:tcMar>
              <w:top w:w="0" w:type="dxa"/>
              <w:left w:w="108" w:type="dxa"/>
              <w:bottom w:w="0" w:type="dxa"/>
              <w:right w:w="108" w:type="dxa"/>
            </w:tcMar>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shd w:val="clear" w:color="auto" w:fill="FFFFFF"/>
                <w:lang w:val="en-US" w:eastAsia="zh-CN"/>
              </w:rPr>
              <w:t>12 (8.1%)</w:t>
            </w:r>
          </w:p>
        </w:tc>
      </w:tr>
      <w:tr w:rsidR="0051432E" w:rsidRPr="0051432E" w:rsidTr="002A6A20">
        <w:trPr>
          <w:gridBefore w:val="1"/>
          <w:wBefore w:w="51" w:type="dxa"/>
          <w:cantSplit/>
          <w:jc w:val="right"/>
        </w:trPr>
        <w:tc>
          <w:tcPr>
            <w:tcW w:w="4555" w:type="dxa"/>
            <w:gridSpan w:val="2"/>
            <w:tcBorders>
              <w:top w:val="nil"/>
              <w:left w:val="single" w:sz="4" w:space="0" w:color="auto"/>
              <w:bottom w:val="nil"/>
              <w:right w:val="single" w:sz="4" w:space="0" w:color="auto"/>
            </w:tcBorders>
            <w:hideMark/>
          </w:tcPr>
          <w:p w:rsidR="0051432E" w:rsidRPr="0051432E" w:rsidRDefault="0051432E" w:rsidP="0051432E">
            <w:pPr>
              <w:keepNext/>
              <w:keepLines/>
              <w:spacing w:before="50" w:after="50" w:line="240" w:lineRule="exact"/>
              <w:rPr>
                <w:rFonts w:eastAsia="SimSun"/>
                <w:sz w:val="22"/>
                <w:lang w:val="en-GB" w:eastAsia="zh-CN"/>
              </w:rPr>
            </w:pPr>
            <w:r w:rsidRPr="0051432E">
              <w:rPr>
                <w:rFonts w:eastAsia="SimSun"/>
                <w:sz w:val="22"/>
                <w:lang w:val="en-GB" w:eastAsia="zh-CN"/>
              </w:rPr>
              <w:t>Progressive disease (PD)</w:t>
            </w:r>
          </w:p>
        </w:tc>
        <w:tc>
          <w:tcPr>
            <w:tcW w:w="2388" w:type="dxa"/>
            <w:gridSpan w:val="2"/>
            <w:tcBorders>
              <w:top w:val="nil"/>
              <w:left w:val="single" w:sz="4" w:space="0" w:color="auto"/>
              <w:bottom w:val="nil"/>
              <w:right w:val="nil"/>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shd w:val="clear" w:color="auto" w:fill="FFFFFF"/>
                <w:lang w:val="en-US" w:eastAsia="zh-CN"/>
              </w:rPr>
              <w:t>15 (9.7%)</w:t>
            </w:r>
          </w:p>
        </w:tc>
        <w:tc>
          <w:tcPr>
            <w:tcW w:w="2204" w:type="dxa"/>
            <w:gridSpan w:val="2"/>
            <w:tcBorders>
              <w:top w:val="nil"/>
              <w:left w:val="nil"/>
              <w:bottom w:val="nil"/>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shd w:val="clear" w:color="auto" w:fill="FFFFFF"/>
                <w:lang w:val="en-US" w:eastAsia="zh-CN"/>
              </w:rPr>
              <w:t>15 (10.1%)</w:t>
            </w:r>
          </w:p>
        </w:tc>
      </w:tr>
      <w:tr w:rsidR="0051432E" w:rsidRPr="0051432E" w:rsidTr="002A6A20">
        <w:trPr>
          <w:gridBefore w:val="1"/>
          <w:wBefore w:w="51" w:type="dxa"/>
          <w:cantSplit/>
          <w:jc w:val="right"/>
        </w:trPr>
        <w:tc>
          <w:tcPr>
            <w:tcW w:w="4555" w:type="dxa"/>
            <w:gridSpan w:val="2"/>
            <w:tcBorders>
              <w:top w:val="nil"/>
              <w:left w:val="single" w:sz="4" w:space="0" w:color="auto"/>
              <w:right w:val="single" w:sz="4" w:space="0" w:color="auto"/>
            </w:tcBorders>
          </w:tcPr>
          <w:p w:rsidR="0051432E" w:rsidRPr="0051432E" w:rsidRDefault="0051432E" w:rsidP="0051432E">
            <w:pPr>
              <w:keepNext/>
              <w:keepLines/>
              <w:spacing w:before="50" w:after="50" w:line="240" w:lineRule="exact"/>
              <w:rPr>
                <w:rFonts w:eastAsia="SimSun"/>
                <w:sz w:val="22"/>
                <w:lang w:val="en-GB" w:eastAsia="zh-CN"/>
              </w:rPr>
            </w:pPr>
            <w:r w:rsidRPr="0051432E">
              <w:rPr>
                <w:rFonts w:eastAsia="SimSun"/>
                <w:sz w:val="22"/>
                <w:lang w:val="en-GB" w:eastAsia="zh-CN"/>
              </w:rPr>
              <w:t>Unable to evaluate (UE)</w:t>
            </w:r>
          </w:p>
        </w:tc>
        <w:tc>
          <w:tcPr>
            <w:tcW w:w="2388" w:type="dxa"/>
            <w:gridSpan w:val="2"/>
            <w:tcBorders>
              <w:top w:val="nil"/>
              <w:left w:val="single" w:sz="4" w:space="0" w:color="auto"/>
              <w:right w:val="nil"/>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shd w:val="clear" w:color="auto" w:fill="FFFFFF"/>
                <w:lang w:val="en-US" w:eastAsia="zh-CN"/>
              </w:rPr>
              <w:t>4 (2.6%)</w:t>
            </w:r>
          </w:p>
        </w:tc>
        <w:tc>
          <w:tcPr>
            <w:tcW w:w="2204" w:type="dxa"/>
            <w:gridSpan w:val="2"/>
            <w:tcBorders>
              <w:top w:val="nil"/>
              <w:left w:val="nil"/>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shd w:val="clear" w:color="auto" w:fill="FFFFFF"/>
                <w:lang w:val="en-US" w:eastAsia="zh-CN"/>
              </w:rPr>
              <w:t>3 (2.0%)</w:t>
            </w:r>
          </w:p>
        </w:tc>
      </w:tr>
      <w:tr w:rsidR="0051432E" w:rsidRPr="0051432E" w:rsidTr="002A6A20">
        <w:trPr>
          <w:gridBefore w:val="1"/>
          <w:wBefore w:w="51" w:type="dxa"/>
          <w:cantSplit/>
          <w:jc w:val="right"/>
        </w:trPr>
        <w:tc>
          <w:tcPr>
            <w:tcW w:w="4555" w:type="dxa"/>
            <w:gridSpan w:val="2"/>
            <w:tcBorders>
              <w:top w:val="nil"/>
              <w:left w:val="single" w:sz="4" w:space="0" w:color="auto"/>
              <w:bottom w:val="single" w:sz="4" w:space="0" w:color="auto"/>
              <w:right w:val="single" w:sz="4" w:space="0" w:color="auto"/>
            </w:tcBorders>
          </w:tcPr>
          <w:p w:rsidR="0051432E" w:rsidRPr="0051432E" w:rsidRDefault="0051432E" w:rsidP="0051432E">
            <w:pPr>
              <w:keepNext/>
              <w:keepLines/>
              <w:spacing w:before="50" w:after="50" w:line="240" w:lineRule="exact"/>
              <w:rPr>
                <w:rFonts w:eastAsia="SimSun"/>
                <w:sz w:val="22"/>
                <w:lang w:val="en-GB" w:eastAsia="zh-CN"/>
              </w:rPr>
            </w:pPr>
            <w:r w:rsidRPr="0051432E">
              <w:rPr>
                <w:rFonts w:eastAsia="SimSun"/>
                <w:sz w:val="22"/>
                <w:lang w:val="en-GB" w:eastAsia="zh-CN"/>
              </w:rPr>
              <w:t>Missing (NA)</w:t>
            </w:r>
          </w:p>
        </w:tc>
        <w:tc>
          <w:tcPr>
            <w:tcW w:w="2388" w:type="dxa"/>
            <w:gridSpan w:val="2"/>
            <w:tcBorders>
              <w:top w:val="nil"/>
              <w:left w:val="single" w:sz="4" w:space="0" w:color="auto"/>
              <w:bottom w:val="single" w:sz="4" w:space="0" w:color="auto"/>
              <w:right w:val="nil"/>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shd w:val="clear" w:color="auto" w:fill="FFFFFF"/>
                <w:lang w:val="en-US" w:eastAsia="zh-CN"/>
              </w:rPr>
              <w:t>24 (15.5%)</w:t>
            </w:r>
          </w:p>
        </w:tc>
        <w:tc>
          <w:tcPr>
            <w:tcW w:w="2204" w:type="dxa"/>
            <w:gridSpan w:val="2"/>
            <w:tcBorders>
              <w:top w:val="nil"/>
              <w:left w:val="nil"/>
              <w:bottom w:val="single" w:sz="4" w:space="0" w:color="auto"/>
              <w:right w:val="single" w:sz="4" w:space="0" w:color="auto"/>
            </w:tcBorders>
            <w:vAlign w:val="bottom"/>
          </w:tcPr>
          <w:p w:rsidR="0051432E" w:rsidRPr="0051432E" w:rsidRDefault="0051432E" w:rsidP="0051432E">
            <w:pPr>
              <w:keepNext/>
              <w:keepLines/>
              <w:spacing w:before="50" w:after="50" w:line="240" w:lineRule="exact"/>
              <w:jc w:val="center"/>
              <w:rPr>
                <w:rFonts w:eastAsia="SimSun"/>
                <w:sz w:val="22"/>
                <w:lang w:val="en-GB" w:eastAsia="zh-CN"/>
              </w:rPr>
            </w:pPr>
            <w:r w:rsidRPr="0051432E">
              <w:rPr>
                <w:rFonts w:eastAsia="SimSun"/>
                <w:sz w:val="22"/>
                <w:shd w:val="clear" w:color="auto" w:fill="FFFFFF"/>
                <w:lang w:val="en-US" w:eastAsia="zh-CN"/>
              </w:rPr>
              <w:t>14 (9.4%)</w:t>
            </w:r>
          </w:p>
        </w:tc>
      </w:tr>
      <w:tr w:rsidR="0051432E" w:rsidRPr="0051432E" w:rsidTr="007629A5">
        <w:trPr>
          <w:gridBefore w:val="1"/>
          <w:wBefore w:w="51" w:type="dxa"/>
          <w:cantSplit/>
          <w:jc w:val="right"/>
        </w:trPr>
        <w:tc>
          <w:tcPr>
            <w:tcW w:w="9147" w:type="dxa"/>
            <w:gridSpan w:val="6"/>
            <w:tcBorders>
              <w:top w:val="single" w:sz="4" w:space="0" w:color="auto"/>
            </w:tcBorders>
            <w:tcMar>
              <w:top w:w="58" w:type="dxa"/>
            </w:tcMar>
          </w:tcPr>
          <w:p w:rsidR="0051432E" w:rsidRPr="0051432E" w:rsidRDefault="0051432E" w:rsidP="0051432E">
            <w:pPr>
              <w:keepLines/>
              <w:ind w:left="33"/>
              <w:jc w:val="left"/>
              <w:rPr>
                <w:rFonts w:eastAsia="SimSun"/>
                <w:sz w:val="20"/>
                <w:szCs w:val="20"/>
                <w:lang w:val="en-GB" w:eastAsia="zh-CN"/>
              </w:rPr>
            </w:pPr>
            <w:r w:rsidRPr="0051432E">
              <w:rPr>
                <w:rFonts w:eastAsia="SimSun"/>
                <w:sz w:val="20"/>
                <w:szCs w:val="20"/>
                <w:lang w:val="en-GB" w:eastAsia="zh-CN"/>
              </w:rPr>
              <w:t>IRC: Independent Review Committee; PFS: progression-free survival; HR: Hazard Ratio; CI: Confidence Intervals, NR = Not Reached</w:t>
            </w:r>
          </w:p>
          <w:p w:rsidR="0051432E" w:rsidRPr="0051432E" w:rsidRDefault="0051432E" w:rsidP="0051432E">
            <w:pPr>
              <w:keepNext/>
              <w:keepLines/>
              <w:spacing w:after="40"/>
              <w:ind w:left="245" w:hanging="216"/>
              <w:jc w:val="left"/>
              <w:rPr>
                <w:rFonts w:eastAsia="SimSun"/>
                <w:sz w:val="20"/>
                <w:szCs w:val="20"/>
                <w:lang w:val="en-US" w:eastAsia="zh-CN"/>
              </w:rPr>
            </w:pPr>
            <w:r w:rsidRPr="0051432E">
              <w:rPr>
                <w:rFonts w:eastAsia="SimSun"/>
                <w:bCs/>
                <w:sz w:val="20"/>
                <w:szCs w:val="20"/>
                <w:lang w:val="en-GB" w:eastAsia="zh-CN"/>
              </w:rPr>
              <w:t>*</w:t>
            </w:r>
            <w:r w:rsidRPr="0051432E">
              <w:rPr>
                <w:rFonts w:eastAsia="SimSun"/>
                <w:sz w:val="20"/>
                <w:szCs w:val="20"/>
                <w:lang w:val="en-US" w:eastAsia="zh-CN"/>
              </w:rPr>
              <w:t xml:space="preserve"> Stratification factors were iNHL subtype (follicular vs. non-follicular: not us</w:t>
            </w:r>
            <w:r w:rsidR="002A6A20">
              <w:rPr>
                <w:rFonts w:eastAsia="SimSun"/>
                <w:sz w:val="20"/>
                <w:szCs w:val="20"/>
                <w:lang w:val="en-US" w:eastAsia="zh-CN"/>
              </w:rPr>
              <w:t xml:space="preserve">ed in analysis of patients with </w:t>
            </w:r>
            <w:r w:rsidRPr="0051432E">
              <w:rPr>
                <w:rFonts w:eastAsia="SimSun"/>
                <w:sz w:val="20"/>
                <w:szCs w:val="20"/>
                <w:lang w:val="en-US" w:eastAsia="zh-CN"/>
              </w:rPr>
              <w:t>FL), refractory type (rituximab monotherapy vs. rituximab </w:t>
            </w:r>
            <w:r w:rsidR="002A6A20">
              <w:rPr>
                <w:rFonts w:eastAsia="SimSun"/>
                <w:sz w:val="20"/>
                <w:szCs w:val="20"/>
                <w:lang w:val="en-US" w:eastAsia="zh-CN"/>
              </w:rPr>
              <w:t>+</w:t>
            </w:r>
            <w:r w:rsidRPr="0051432E">
              <w:rPr>
                <w:rFonts w:eastAsia="SimSun"/>
                <w:sz w:val="20"/>
                <w:szCs w:val="20"/>
                <w:lang w:val="en-US" w:eastAsia="zh-CN"/>
              </w:rPr>
              <w:t> chemotherapy) and prior therapies (</w:t>
            </w:r>
            <w:r w:rsidR="002A6A20">
              <w:rPr>
                <w:rFonts w:eastAsia="SimSun"/>
                <w:sz w:val="20"/>
                <w:szCs w:val="20"/>
                <w:lang w:val="en-US" w:eastAsia="zh-CN"/>
              </w:rPr>
              <w:t>≤</w:t>
            </w:r>
            <w:r w:rsidRPr="0051432E">
              <w:rPr>
                <w:rFonts w:eastAsia="SimSun"/>
                <w:sz w:val="20"/>
                <w:szCs w:val="20"/>
                <w:lang w:val="en-US" w:eastAsia="zh-CN"/>
              </w:rPr>
              <w:t xml:space="preserve"> 2 vs. </w:t>
            </w:r>
            <w:r w:rsidR="002A6A20">
              <w:rPr>
                <w:rFonts w:eastAsia="SimSun"/>
                <w:sz w:val="20"/>
                <w:szCs w:val="20"/>
                <w:lang w:val="en-US" w:eastAsia="zh-CN"/>
              </w:rPr>
              <w:t>&gt; 2)</w:t>
            </w:r>
          </w:p>
          <w:p w:rsidR="0051432E" w:rsidRPr="0051432E" w:rsidRDefault="0051432E" w:rsidP="0051432E">
            <w:pPr>
              <w:keepNext/>
              <w:keepLines/>
              <w:spacing w:after="40"/>
              <w:ind w:left="245" w:hanging="216"/>
              <w:jc w:val="left"/>
              <w:rPr>
                <w:rFonts w:eastAsia="SimSun"/>
                <w:bCs/>
                <w:sz w:val="20"/>
                <w:szCs w:val="20"/>
                <w:lang w:val="en-GB" w:eastAsia="zh-CN"/>
              </w:rPr>
            </w:pPr>
            <w:r w:rsidRPr="0051432E">
              <w:rPr>
                <w:rFonts w:eastAsia="SimSun"/>
                <w:sz w:val="20"/>
                <w:szCs w:val="20"/>
                <w:vertAlign w:val="superscript"/>
                <w:lang w:val="en-US" w:eastAsia="zh-CN"/>
              </w:rPr>
              <w:t>§</w:t>
            </w:r>
            <w:r w:rsidRPr="0051432E">
              <w:rPr>
                <w:rFonts w:eastAsia="SimSun"/>
                <w:sz w:val="20"/>
                <w:szCs w:val="20"/>
                <w:lang w:val="en-US" w:eastAsia="zh-CN"/>
              </w:rPr>
              <w:t xml:space="preserve"> </w:t>
            </w:r>
            <w:r w:rsidRPr="0051432E">
              <w:rPr>
                <w:rFonts w:eastAsia="SimSun"/>
                <w:bCs/>
                <w:sz w:val="20"/>
                <w:szCs w:val="20"/>
                <w:lang w:val="en-GB" w:eastAsia="zh-CN"/>
              </w:rPr>
              <w:t>Best response within 12 months of start of treatment</w:t>
            </w:r>
          </w:p>
          <w:p w:rsidR="0051432E" w:rsidRPr="0051432E" w:rsidRDefault="0051432E" w:rsidP="0051432E">
            <w:pPr>
              <w:keepNext/>
              <w:keepLines/>
              <w:spacing w:after="40"/>
              <w:ind w:left="245" w:hanging="216"/>
              <w:jc w:val="left"/>
              <w:rPr>
                <w:rFonts w:eastAsia="SimSun"/>
                <w:bCs/>
                <w:sz w:val="20"/>
                <w:szCs w:val="20"/>
                <w:lang w:val="en-GB" w:eastAsia="zh-CN"/>
              </w:rPr>
            </w:pPr>
            <w:r w:rsidRPr="0051432E">
              <w:rPr>
                <w:rFonts w:eastAsia="SimSun"/>
                <w:sz w:val="20"/>
                <w:szCs w:val="20"/>
                <w:vertAlign w:val="superscript"/>
                <w:lang w:val="en-US" w:eastAsia="zh-CN"/>
              </w:rPr>
              <w:t xml:space="preserve">¶ </w:t>
            </w:r>
            <w:r w:rsidRPr="0051432E">
              <w:rPr>
                <w:rFonts w:eastAsia="SimSun"/>
                <w:sz w:val="20"/>
                <w:szCs w:val="20"/>
                <w:lang w:val="en-US" w:eastAsia="zh-CN"/>
              </w:rPr>
              <w:t xml:space="preserve">Data Not Yet Mature </w:t>
            </w:r>
          </w:p>
          <w:p w:rsidR="0051432E" w:rsidRPr="0051432E" w:rsidRDefault="0051432E" w:rsidP="0051432E">
            <w:pPr>
              <w:spacing w:after="40"/>
              <w:ind w:left="33"/>
              <w:rPr>
                <w:rFonts w:eastAsia="SimSun"/>
                <w:sz w:val="20"/>
                <w:szCs w:val="20"/>
                <w:shd w:val="clear" w:color="auto" w:fill="FFFFFF"/>
                <w:lang w:val="en-US" w:eastAsia="zh-CN"/>
              </w:rPr>
            </w:pPr>
            <w:r w:rsidRPr="0051432E">
              <w:rPr>
                <w:rFonts w:eastAsia="SimSun"/>
                <w:sz w:val="20"/>
                <w:szCs w:val="20"/>
                <w:vertAlign w:val="superscript"/>
                <w:lang w:val="en-GB" w:eastAsia="zh-CN"/>
              </w:rPr>
              <w:t>‡</w:t>
            </w:r>
            <w:r w:rsidRPr="0051432E">
              <w:rPr>
                <w:rFonts w:eastAsia="SimSun"/>
                <w:sz w:val="20"/>
                <w:szCs w:val="20"/>
                <w:lang w:val="en-GB" w:eastAsia="zh-CN"/>
              </w:rPr>
              <w:t xml:space="preserve"> </w:t>
            </w:r>
            <w:r w:rsidRPr="0051432E">
              <w:rPr>
                <w:rFonts w:eastAsia="SimSun"/>
                <w:bCs/>
                <w:sz w:val="20"/>
                <w:szCs w:val="20"/>
                <w:lang w:val="en-GB" w:eastAsia="zh-CN"/>
              </w:rPr>
              <w:t>End of Induction = end of Induction phase, does not include monotherapy maintenance</w:t>
            </w:r>
          </w:p>
        </w:tc>
      </w:tr>
    </w:tbl>
    <w:p w:rsidR="007D6537" w:rsidRDefault="007D6537" w:rsidP="003B57FD">
      <w:pPr>
        <w:rPr>
          <w:lang w:val="en-US"/>
        </w:rPr>
      </w:pPr>
    </w:p>
    <w:p w:rsidR="002A6A20" w:rsidRPr="007D6537" w:rsidRDefault="00F82652" w:rsidP="003B57FD">
      <w:pPr>
        <w:rPr>
          <w:b/>
          <w:lang w:val="en-US"/>
        </w:rPr>
      </w:pPr>
      <w:r>
        <w:rPr>
          <w:b/>
          <w:lang w:val="en-US"/>
        </w:rPr>
        <w:t xml:space="preserve">Figure </w:t>
      </w:r>
      <w:r w:rsidR="00490681">
        <w:rPr>
          <w:b/>
          <w:lang w:val="en-US"/>
        </w:rPr>
        <w:t>5</w:t>
      </w:r>
      <w:r w:rsidR="00747FA2" w:rsidRPr="00747FA2">
        <w:rPr>
          <w:b/>
          <w:lang w:val="en-US"/>
        </w:rPr>
        <w:t xml:space="preserve"> Kaplan-Meier curve of IRC-assessed PFS in</w:t>
      </w:r>
      <w:r w:rsidR="002A6A20">
        <w:rPr>
          <w:b/>
          <w:lang w:val="en-US"/>
        </w:rPr>
        <w:t xml:space="preserve"> </w:t>
      </w:r>
      <w:r w:rsidR="002A6A20" w:rsidRPr="00E8637D">
        <w:rPr>
          <w:b/>
          <w:lang w:val="en-US"/>
        </w:rPr>
        <w:t>FL</w:t>
      </w:r>
      <w:r w:rsidR="00747FA2" w:rsidRPr="00747FA2">
        <w:rPr>
          <w:b/>
          <w:lang w:val="en-US"/>
        </w:rPr>
        <w:t xml:space="preserve"> patients from GAO4753g (GADOLIN) study</w:t>
      </w:r>
    </w:p>
    <w:p w:rsidR="007D6537" w:rsidRDefault="00AF4B3D" w:rsidP="003B57FD">
      <w:pPr>
        <w:rPr>
          <w:lang w:val="en-US"/>
        </w:rPr>
      </w:pPr>
      <w:r>
        <w:rPr>
          <w:noProof/>
          <w:lang w:eastAsia="en-AU"/>
        </w:rPr>
        <w:drawing>
          <wp:anchor distT="0" distB="0" distL="114300" distR="114300" simplePos="0" relativeHeight="251656704" behindDoc="0" locked="0" layoutInCell="1" allowOverlap="1">
            <wp:simplePos x="0" y="0"/>
            <wp:positionH relativeFrom="character">
              <wp:posOffset>0</wp:posOffset>
            </wp:positionH>
            <wp:positionV relativeFrom="line">
              <wp:posOffset>0</wp:posOffset>
            </wp:positionV>
            <wp:extent cx="5333365" cy="3866515"/>
            <wp:effectExtent l="0" t="0" r="635"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3365" cy="3866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inline distT="0" distB="0" distL="0" distR="0">
                <wp:extent cx="5334000" cy="386715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0" cy="386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420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" filled="f" stroked="f">
                <o:lock v:ext="edit" aspectratio="t"/>
                <w10:anchorlock/>
              </v:rect>
            </w:pict>
          </mc:Fallback>
        </mc:AlternateContent>
      </w:r>
    </w:p>
    <w:p w:rsidR="00A5039D" w:rsidRPr="00747FA2" w:rsidRDefault="00A5039D" w:rsidP="003B57FD">
      <w:pPr>
        <w:rPr>
          <w:i/>
          <w:lang w:val="en-US"/>
        </w:rPr>
      </w:pPr>
      <w:r w:rsidRPr="00747FA2">
        <w:rPr>
          <w:i/>
          <w:lang w:val="en-US"/>
        </w:rPr>
        <w:t>Results of subgroup analyses</w:t>
      </w:r>
    </w:p>
    <w:p w:rsidR="00A5039D" w:rsidRDefault="00A5039D" w:rsidP="003B57FD">
      <w:pPr>
        <w:rPr>
          <w:lang w:val="en-US"/>
        </w:rPr>
      </w:pPr>
      <w:r w:rsidRPr="00747FA2">
        <w:rPr>
          <w:lang w:val="en-US"/>
        </w:rPr>
        <w:t>Results of subgroup analyses were in general consistent with the results seen in the</w:t>
      </w:r>
      <w:r w:rsidR="004D7AFC">
        <w:rPr>
          <w:lang w:val="en-US"/>
        </w:rPr>
        <w:t xml:space="preserve"> </w:t>
      </w:r>
      <w:r w:rsidR="004D7AFC" w:rsidRPr="00E8637D">
        <w:rPr>
          <w:lang w:val="en-US"/>
        </w:rPr>
        <w:t>overall FL</w:t>
      </w:r>
      <w:r w:rsidR="00E8637D">
        <w:rPr>
          <w:lang w:val="en-US"/>
        </w:rPr>
        <w:t xml:space="preserve"> </w:t>
      </w:r>
      <w:r w:rsidRPr="00747FA2">
        <w:rPr>
          <w:lang w:val="en-US"/>
        </w:rPr>
        <w:t>population, supporting the robustness of the overall result.</w:t>
      </w:r>
    </w:p>
    <w:p w:rsidR="00826E4D" w:rsidRDefault="00826E4D" w:rsidP="003B57FD">
      <w:pPr>
        <w:rPr>
          <w:lang w:val="en-US"/>
        </w:rPr>
      </w:pPr>
    </w:p>
    <w:p w:rsidR="00A5039D" w:rsidRDefault="00A5039D" w:rsidP="003B57FD">
      <w:pPr>
        <w:rPr>
          <w:lang w:val="en-US"/>
        </w:rPr>
      </w:pPr>
      <w:r w:rsidRPr="00525B4D">
        <w:rPr>
          <w:b/>
        </w:rPr>
        <w:t>Patient Reported Outcomes</w:t>
      </w:r>
    </w:p>
    <w:p w:rsidR="00254841" w:rsidRPr="00254841" w:rsidRDefault="00254841" w:rsidP="003B57FD">
      <w:pPr>
        <w:rPr>
          <w:i/>
          <w:lang w:val="en-US"/>
        </w:rPr>
      </w:pPr>
      <w:r w:rsidRPr="00254841">
        <w:rPr>
          <w:i/>
          <w:lang w:val="en-US"/>
        </w:rPr>
        <w:t>Previously Untreated Follicular Lymphoma</w:t>
      </w:r>
    </w:p>
    <w:p w:rsidR="00254841" w:rsidRDefault="00254841" w:rsidP="003B57FD">
      <w:pPr>
        <w:rPr>
          <w:lang w:val="en-US"/>
        </w:rPr>
      </w:pPr>
      <w:r w:rsidRPr="00254841">
        <w:rPr>
          <w:rFonts w:hint="eastAsia"/>
          <w:lang w:val="en-US"/>
        </w:rPr>
        <w:t>Based on the FACT-Lym questionnaire collected during treatment and follow-up periods, both arms experienced clinically meaningful improvements in lymphoma-r</w:t>
      </w:r>
      <w:r>
        <w:rPr>
          <w:rFonts w:hint="eastAsia"/>
          <w:lang w:val="en-US"/>
        </w:rPr>
        <w:t xml:space="preserve">elated symptoms </w:t>
      </w:r>
      <w:r>
        <w:rPr>
          <w:rFonts w:hint="eastAsia"/>
          <w:lang w:val="en-US"/>
        </w:rPr>
        <w:lastRenderedPageBreak/>
        <w:t>as defined by a</w:t>
      </w:r>
      <w:r>
        <w:rPr>
          <w:lang w:val="en-US"/>
        </w:rPr>
        <w:t xml:space="preserve"> ≥ </w:t>
      </w:r>
      <w:r w:rsidRPr="00254841">
        <w:rPr>
          <w:rFonts w:hint="eastAsia"/>
          <w:lang w:val="en-US"/>
        </w:rPr>
        <w:t>3 point increase from baseline in the Lymphoma subscale, a</w:t>
      </w:r>
      <w:r>
        <w:rPr>
          <w:lang w:val="en-US"/>
        </w:rPr>
        <w:t xml:space="preserve"> ≥ </w:t>
      </w:r>
      <w:r w:rsidRPr="00254841">
        <w:rPr>
          <w:rFonts w:hint="eastAsia"/>
          <w:lang w:val="en-US"/>
        </w:rPr>
        <w:t xml:space="preserve">6 point increase from baseline in the FACT Lym TOI and a </w:t>
      </w:r>
      <w:r>
        <w:rPr>
          <w:lang w:val="en-US"/>
        </w:rPr>
        <w:t xml:space="preserve">≥ </w:t>
      </w:r>
      <w:r w:rsidRPr="00254841">
        <w:rPr>
          <w:rFonts w:hint="eastAsia"/>
          <w:lang w:val="en-US"/>
        </w:rPr>
        <w:t>7 point increase from baseline in the FACT Lym Total score. EQ-5D utility scores were similar at baseline, during treatment and follow-up. No meaningful differences we</w:t>
      </w:r>
      <w:r w:rsidR="000278A9">
        <w:rPr>
          <w:rFonts w:hint="eastAsia"/>
          <w:lang w:val="en-US"/>
        </w:rPr>
        <w:t xml:space="preserve">re seen between the arms in </w:t>
      </w:r>
      <w:r w:rsidR="000278A9" w:rsidRPr="000278A9">
        <w:rPr>
          <w:lang w:val="en-US"/>
        </w:rPr>
        <w:t>health-related quality of life</w:t>
      </w:r>
      <w:r w:rsidR="000278A9" w:rsidRPr="000278A9">
        <w:rPr>
          <w:rFonts w:hint="eastAsia"/>
          <w:lang w:val="en-US"/>
        </w:rPr>
        <w:t xml:space="preserve"> </w:t>
      </w:r>
      <w:r w:rsidR="000278A9">
        <w:rPr>
          <w:lang w:val="en-US"/>
        </w:rPr>
        <w:t>(</w:t>
      </w:r>
      <w:r w:rsidR="000278A9">
        <w:rPr>
          <w:rFonts w:hint="eastAsia"/>
          <w:lang w:val="en-US"/>
        </w:rPr>
        <w:t>HRQ</w:t>
      </w:r>
      <w:r w:rsidR="000278A9">
        <w:rPr>
          <w:lang w:val="en-US"/>
        </w:rPr>
        <w:t>o</w:t>
      </w:r>
      <w:r w:rsidRPr="00254841">
        <w:rPr>
          <w:rFonts w:hint="eastAsia"/>
          <w:lang w:val="en-US"/>
        </w:rPr>
        <w:t>L</w:t>
      </w:r>
      <w:r w:rsidR="000278A9">
        <w:rPr>
          <w:lang w:val="en-US"/>
        </w:rPr>
        <w:t>)</w:t>
      </w:r>
      <w:r w:rsidRPr="00254841">
        <w:rPr>
          <w:rFonts w:hint="eastAsia"/>
          <w:lang w:val="en-US"/>
        </w:rPr>
        <w:t xml:space="preserve"> o</w:t>
      </w:r>
      <w:r>
        <w:rPr>
          <w:lang w:val="en-US"/>
        </w:rPr>
        <w:t>r health status measures</w:t>
      </w:r>
      <w:r w:rsidRPr="00254841">
        <w:rPr>
          <w:lang w:val="en-US"/>
        </w:rPr>
        <w:t>.</w:t>
      </w:r>
    </w:p>
    <w:p w:rsidR="00254841" w:rsidRDefault="00254841" w:rsidP="003B57FD">
      <w:pPr>
        <w:rPr>
          <w:lang w:val="en-US"/>
        </w:rPr>
      </w:pPr>
    </w:p>
    <w:p w:rsidR="00AD1A21" w:rsidRDefault="00AD1A21" w:rsidP="003B57FD">
      <w:pPr>
        <w:rPr>
          <w:lang w:val="en-US"/>
        </w:rPr>
      </w:pPr>
      <w:r w:rsidRPr="00151C21">
        <w:rPr>
          <w:i/>
          <w:lang w:val="en-US"/>
        </w:rPr>
        <w:t>R</w:t>
      </w:r>
      <w:r w:rsidR="00712961">
        <w:rPr>
          <w:i/>
          <w:lang w:val="en-US"/>
        </w:rPr>
        <w:t>elapsed/</w:t>
      </w:r>
      <w:r w:rsidR="004804B2">
        <w:rPr>
          <w:i/>
          <w:lang w:val="en-US"/>
        </w:rPr>
        <w:t>r</w:t>
      </w:r>
      <w:r w:rsidR="00945E31">
        <w:rPr>
          <w:i/>
          <w:lang w:val="en-US"/>
        </w:rPr>
        <w:t xml:space="preserve">efractory </w:t>
      </w:r>
      <w:r w:rsidRPr="00151C21">
        <w:rPr>
          <w:i/>
          <w:lang w:val="en-US"/>
        </w:rPr>
        <w:t>Follicular Lymphoma</w:t>
      </w:r>
    </w:p>
    <w:p w:rsidR="00A5039D" w:rsidRDefault="00A5039D" w:rsidP="003B57FD">
      <w:pPr>
        <w:rPr>
          <w:lang w:val="en-US"/>
        </w:rPr>
      </w:pPr>
      <w:r w:rsidRPr="00A5039D">
        <w:rPr>
          <w:lang w:val="en-US"/>
        </w:rPr>
        <w:t xml:space="preserve">Based on the FACT-Lym questionnaire and EQ-5D index scale collected during the treatment and follow-up periods, </w:t>
      </w:r>
      <w:r w:rsidR="000278A9">
        <w:rPr>
          <w:lang w:val="en-US"/>
        </w:rPr>
        <w:t>HRQoL</w:t>
      </w:r>
      <w:r w:rsidRPr="00A5039D">
        <w:rPr>
          <w:lang w:val="en-US"/>
        </w:rPr>
        <w:t xml:space="preserve"> was generally maintained in the pivotal study with no </w:t>
      </w:r>
      <w:r w:rsidR="00AD1A21">
        <w:rPr>
          <w:lang w:val="en-US"/>
        </w:rPr>
        <w:t>meaningful</w:t>
      </w:r>
      <w:r w:rsidRPr="00A5039D">
        <w:rPr>
          <w:lang w:val="en-US"/>
        </w:rPr>
        <w:t xml:space="preserve"> difference between the arms. However, the addition of </w:t>
      </w:r>
      <w:r w:rsidR="00395BD6">
        <w:rPr>
          <w:lang w:val="en-US"/>
        </w:rPr>
        <w:t>Gazyva</w:t>
      </w:r>
      <w:r w:rsidRPr="00A5039D">
        <w:rPr>
          <w:lang w:val="en-US"/>
        </w:rPr>
        <w:t xml:space="preserve"> to bendamustine delayed the time to worsening of quality of life as measured by the FACT-Lym TOI score (</w:t>
      </w:r>
      <w:r>
        <w:rPr>
          <w:lang w:val="en-US"/>
        </w:rPr>
        <w:t>HR=0.83; 95% CI: 0.60, 1.13)</w:t>
      </w:r>
      <w:r w:rsidRPr="00A5039D">
        <w:rPr>
          <w:lang w:val="en-US"/>
        </w:rPr>
        <w:t>.</w:t>
      </w:r>
    </w:p>
    <w:p w:rsidR="00A5039D" w:rsidRPr="000B3114" w:rsidRDefault="00A5039D" w:rsidP="003B57FD">
      <w:pPr>
        <w:rPr>
          <w:lang w:val="en-US"/>
        </w:rPr>
      </w:pPr>
    </w:p>
    <w:p w:rsidR="00274C1A" w:rsidRPr="00827D1E" w:rsidRDefault="00274C1A" w:rsidP="003B57FD">
      <w:pPr>
        <w:rPr>
          <w:b/>
          <w:lang w:val="en-US"/>
        </w:rPr>
      </w:pPr>
      <w:r w:rsidRPr="00827D1E">
        <w:rPr>
          <w:b/>
          <w:lang w:val="en-US"/>
        </w:rPr>
        <w:t>Immunogenicity</w:t>
      </w:r>
    </w:p>
    <w:p w:rsidR="00AD1A21" w:rsidRDefault="00AD1A21" w:rsidP="009C2282">
      <w:pPr>
        <w:rPr>
          <w:rFonts w:eastAsia="Times New Roman" w:cs="Arial"/>
          <w:color w:val="000000"/>
          <w:szCs w:val="20"/>
          <w:lang w:val="en-US" w:eastAsia="ko-KR" w:bidi="he-IL"/>
        </w:rPr>
      </w:pPr>
      <w:r w:rsidRPr="00AD1A21">
        <w:rPr>
          <w:rFonts w:eastAsia="Times New Roman" w:cs="Arial"/>
          <w:color w:val="000000"/>
          <w:szCs w:val="20"/>
          <w:lang w:val="en-US" w:eastAsia="ko-KR" w:bidi="he-IL"/>
        </w:rPr>
        <w:t>Immunogenicity assay results are highly dependent on several factors including assay sensitivity and specificity, assay methodology, assay robustness to quantities of G</w:t>
      </w:r>
      <w:r w:rsidR="00395BD6">
        <w:rPr>
          <w:rFonts w:eastAsia="Times New Roman" w:cs="Arial"/>
          <w:color w:val="000000"/>
          <w:szCs w:val="20"/>
          <w:lang w:val="en-US" w:eastAsia="ko-KR" w:bidi="he-IL"/>
        </w:rPr>
        <w:t>azyva</w:t>
      </w:r>
      <w:r w:rsidRPr="00AD1A21">
        <w:rPr>
          <w:rFonts w:eastAsia="Times New Roman" w:cs="Arial"/>
          <w:color w:val="000000"/>
          <w:szCs w:val="20"/>
          <w:lang w:val="en-US" w:eastAsia="ko-KR" w:bidi="he-IL"/>
        </w:rPr>
        <w:t>/antibody in circulation, sample handling, timing of sample collection, concomitant medications and underlying disease. For these reasons, comparison of incidence of antibodies to G</w:t>
      </w:r>
      <w:r w:rsidR="00395BD6">
        <w:rPr>
          <w:rFonts w:eastAsia="Times New Roman" w:cs="Arial"/>
          <w:color w:val="000000"/>
          <w:szCs w:val="20"/>
          <w:lang w:val="en-US" w:eastAsia="ko-KR" w:bidi="he-IL"/>
        </w:rPr>
        <w:t>azyva</w:t>
      </w:r>
      <w:r w:rsidRPr="00AD1A21">
        <w:rPr>
          <w:rFonts w:eastAsia="Times New Roman" w:cs="Arial"/>
          <w:color w:val="000000"/>
          <w:szCs w:val="20"/>
          <w:lang w:val="en-US" w:eastAsia="ko-KR" w:bidi="he-IL"/>
        </w:rPr>
        <w:t xml:space="preserve"> with the incidence of antibodies to other products may be misleading.</w:t>
      </w:r>
    </w:p>
    <w:p w:rsidR="00AD1A21" w:rsidRDefault="00AD1A21" w:rsidP="009C2282">
      <w:pPr>
        <w:rPr>
          <w:rFonts w:eastAsia="Times New Roman" w:cs="Arial"/>
          <w:color w:val="000000"/>
          <w:szCs w:val="20"/>
          <w:lang w:val="en-US" w:eastAsia="ko-KR" w:bidi="he-IL"/>
        </w:rPr>
      </w:pPr>
    </w:p>
    <w:p w:rsidR="009C2282" w:rsidRDefault="009C2282" w:rsidP="009C2282">
      <w:pPr>
        <w:rPr>
          <w:rFonts w:eastAsia="Times New Roman" w:cs="Arial"/>
          <w:color w:val="000000"/>
          <w:szCs w:val="20"/>
          <w:lang w:val="en-US" w:eastAsia="ko-KR" w:bidi="he-IL"/>
        </w:rPr>
      </w:pPr>
      <w:r w:rsidRPr="009C2282">
        <w:rPr>
          <w:rFonts w:eastAsia="Times New Roman" w:cs="Arial"/>
          <w:color w:val="000000"/>
          <w:szCs w:val="20"/>
          <w:lang w:val="en-US" w:eastAsia="ko-KR" w:bidi="he-IL"/>
        </w:rPr>
        <w:t>Patients in the pivotal</w:t>
      </w:r>
      <w:r w:rsidR="00646B7A">
        <w:rPr>
          <w:rFonts w:eastAsia="Times New Roman" w:cs="Arial"/>
          <w:color w:val="000000"/>
          <w:szCs w:val="20"/>
          <w:lang w:val="en-US" w:eastAsia="ko-KR" w:bidi="he-IL"/>
        </w:rPr>
        <w:t xml:space="preserve"> CLL</w:t>
      </w:r>
      <w:r w:rsidRPr="009C2282">
        <w:rPr>
          <w:rFonts w:eastAsia="Times New Roman" w:cs="Arial"/>
          <w:color w:val="000000"/>
          <w:szCs w:val="20"/>
          <w:lang w:val="en-US" w:eastAsia="ko-KR" w:bidi="he-IL"/>
        </w:rPr>
        <w:t xml:space="preserve"> trial, BO21004/CLL11, were tested at multiple time-points </w:t>
      </w:r>
      <w:r>
        <w:rPr>
          <w:rFonts w:eastAsia="Times New Roman" w:cs="Arial"/>
          <w:color w:val="000000"/>
          <w:szCs w:val="20"/>
          <w:lang w:val="en-US" w:eastAsia="ko-KR" w:bidi="he-IL"/>
        </w:rPr>
        <w:t xml:space="preserve">for anti </w:t>
      </w:r>
      <w:r w:rsidRPr="009C2282">
        <w:rPr>
          <w:rFonts w:eastAsia="Times New Roman" w:cs="Arial"/>
          <w:color w:val="000000"/>
          <w:szCs w:val="20"/>
          <w:lang w:val="en-US" w:eastAsia="ko-KR" w:bidi="he-IL"/>
        </w:rPr>
        <w:t xml:space="preserve">therapeutic antibodies (ATA) to </w:t>
      </w:r>
      <w:r w:rsidR="00395BD6">
        <w:rPr>
          <w:lang w:val="en-US"/>
        </w:rPr>
        <w:t>Gazyva</w:t>
      </w:r>
      <w:r>
        <w:rPr>
          <w:rFonts w:eastAsia="Times New Roman" w:cs="Arial"/>
          <w:color w:val="000000"/>
          <w:szCs w:val="20"/>
          <w:lang w:val="en-US" w:eastAsia="ko-KR" w:bidi="he-IL"/>
        </w:rPr>
        <w:t xml:space="preserve">. In </w:t>
      </w:r>
      <w:r w:rsidR="00395BD6">
        <w:rPr>
          <w:lang w:val="en-US"/>
        </w:rPr>
        <w:t>Gazyva</w:t>
      </w:r>
      <w:r>
        <w:rPr>
          <w:rFonts w:eastAsia="Times New Roman" w:cs="Arial"/>
          <w:color w:val="000000"/>
          <w:szCs w:val="20"/>
          <w:lang w:val="en-US" w:eastAsia="ko-KR" w:bidi="he-IL"/>
        </w:rPr>
        <w:t xml:space="preserve"> treated patients, </w:t>
      </w:r>
      <w:r w:rsidR="00D65077">
        <w:rPr>
          <w:rFonts w:eastAsia="Times New Roman" w:cs="Arial"/>
          <w:color w:val="000000"/>
          <w:szCs w:val="20"/>
          <w:lang w:val="en-US" w:eastAsia="ko-KR" w:bidi="he-IL"/>
        </w:rPr>
        <w:t>8</w:t>
      </w:r>
      <w:r>
        <w:rPr>
          <w:rFonts w:eastAsia="Times New Roman" w:cs="Arial"/>
          <w:color w:val="000000"/>
          <w:szCs w:val="20"/>
          <w:lang w:val="en-US" w:eastAsia="ko-KR" w:bidi="he-IL"/>
        </w:rPr>
        <w:t xml:space="preserve"> out of </w:t>
      </w:r>
      <w:r w:rsidR="00D65077">
        <w:rPr>
          <w:rFonts w:eastAsia="Times New Roman" w:cs="Arial"/>
          <w:color w:val="000000"/>
          <w:szCs w:val="20"/>
          <w:lang w:val="en-US" w:eastAsia="ko-KR" w:bidi="he-IL"/>
        </w:rPr>
        <w:t>140</w:t>
      </w:r>
      <w:r>
        <w:rPr>
          <w:rFonts w:eastAsia="Times New Roman" w:cs="Arial"/>
          <w:color w:val="000000"/>
          <w:szCs w:val="20"/>
          <w:lang w:val="en-US" w:eastAsia="ko-KR" w:bidi="he-IL"/>
        </w:rPr>
        <w:t xml:space="preserve"> in </w:t>
      </w:r>
      <w:r w:rsidRPr="009C2282">
        <w:rPr>
          <w:rFonts w:eastAsia="Times New Roman" w:cs="Arial"/>
          <w:color w:val="000000"/>
          <w:szCs w:val="20"/>
          <w:lang w:val="en-US" w:eastAsia="ko-KR" w:bidi="he-IL"/>
        </w:rPr>
        <w:t>the randomi</w:t>
      </w:r>
      <w:r w:rsidR="00D65077">
        <w:rPr>
          <w:rFonts w:eastAsia="Times New Roman" w:cs="Arial"/>
          <w:color w:val="000000"/>
          <w:szCs w:val="20"/>
          <w:lang w:val="en-US" w:eastAsia="ko-KR" w:bidi="he-IL"/>
        </w:rPr>
        <w:t>s</w:t>
      </w:r>
      <w:r w:rsidRPr="009C2282">
        <w:rPr>
          <w:rFonts w:eastAsia="Times New Roman" w:cs="Arial"/>
          <w:color w:val="000000"/>
          <w:szCs w:val="20"/>
          <w:lang w:val="en-US" w:eastAsia="ko-KR" w:bidi="he-IL"/>
        </w:rPr>
        <w:t xml:space="preserve">ed phase </w:t>
      </w:r>
      <w:r>
        <w:rPr>
          <w:rFonts w:eastAsia="Times New Roman" w:cs="Arial"/>
          <w:color w:val="000000"/>
          <w:szCs w:val="20"/>
          <w:lang w:val="en-US" w:eastAsia="ko-KR" w:bidi="he-IL"/>
        </w:rPr>
        <w:t xml:space="preserve">and 2 out 6 in the run-in phase </w:t>
      </w:r>
      <w:r w:rsidRPr="009C2282">
        <w:rPr>
          <w:rFonts w:eastAsia="Times New Roman" w:cs="Arial"/>
          <w:color w:val="000000"/>
          <w:szCs w:val="20"/>
          <w:lang w:val="en-US" w:eastAsia="ko-KR" w:bidi="he-IL"/>
        </w:rPr>
        <w:t>tested positive for ATA at 12 months of fol</w:t>
      </w:r>
      <w:r w:rsidR="00215A4C">
        <w:rPr>
          <w:rFonts w:eastAsia="Times New Roman" w:cs="Arial"/>
          <w:color w:val="000000"/>
          <w:szCs w:val="20"/>
          <w:lang w:val="en-US" w:eastAsia="ko-KR" w:bidi="he-IL"/>
        </w:rPr>
        <w:t xml:space="preserve">low-up. Of these patients, none </w:t>
      </w:r>
      <w:r w:rsidRPr="009C2282">
        <w:rPr>
          <w:rFonts w:eastAsia="Times New Roman" w:cs="Arial"/>
          <w:color w:val="000000"/>
          <w:szCs w:val="20"/>
          <w:lang w:val="en-US" w:eastAsia="ko-KR" w:bidi="he-IL"/>
        </w:rPr>
        <w:t>experienced either anaphylactic or hyper</w:t>
      </w:r>
      <w:r w:rsidR="00215A4C">
        <w:rPr>
          <w:rFonts w:eastAsia="Times New Roman" w:cs="Arial"/>
          <w:color w:val="000000"/>
          <w:szCs w:val="20"/>
          <w:lang w:val="en-US" w:eastAsia="ko-KR" w:bidi="he-IL"/>
        </w:rPr>
        <w:t xml:space="preserve">sensitivity reactions that were </w:t>
      </w:r>
      <w:r w:rsidRPr="009C2282">
        <w:rPr>
          <w:rFonts w:eastAsia="Times New Roman" w:cs="Arial"/>
          <w:color w:val="000000"/>
          <w:szCs w:val="20"/>
          <w:lang w:val="en-US" w:eastAsia="ko-KR" w:bidi="he-IL"/>
        </w:rPr>
        <w:t>considered related to ATA, nor was clinical response affected.</w:t>
      </w:r>
    </w:p>
    <w:p w:rsidR="00191A2C" w:rsidRDefault="00191A2C" w:rsidP="009C2282">
      <w:pPr>
        <w:rPr>
          <w:rFonts w:eastAsia="Times New Roman" w:cs="Arial"/>
          <w:color w:val="000000"/>
          <w:szCs w:val="20"/>
          <w:lang w:val="en-US" w:eastAsia="ko-KR" w:bidi="he-IL"/>
        </w:rPr>
      </w:pPr>
    </w:p>
    <w:p w:rsidR="00215A4C" w:rsidRPr="009C2282" w:rsidRDefault="00646B7A" w:rsidP="009C2282">
      <w:pPr>
        <w:rPr>
          <w:rFonts w:eastAsia="Times New Roman" w:cs="Arial"/>
          <w:color w:val="000000"/>
          <w:szCs w:val="20"/>
          <w:lang w:val="en-US" w:eastAsia="ko-KR" w:bidi="he-IL"/>
        </w:rPr>
      </w:pPr>
      <w:r w:rsidRPr="00646B7A">
        <w:rPr>
          <w:rFonts w:eastAsia="Times New Roman" w:cs="Arial"/>
          <w:color w:val="000000"/>
          <w:szCs w:val="20"/>
          <w:lang w:val="en-US" w:eastAsia="ko-KR" w:bidi="he-IL"/>
        </w:rPr>
        <w:t xml:space="preserve">No patient developed HAHA to </w:t>
      </w:r>
      <w:r w:rsidR="00395BD6">
        <w:rPr>
          <w:rFonts w:eastAsia="Times New Roman" w:cs="Arial"/>
          <w:color w:val="000000"/>
          <w:szCs w:val="20"/>
          <w:lang w:val="en-US" w:eastAsia="ko-KR" w:bidi="he-IL"/>
        </w:rPr>
        <w:t>Gazyva</w:t>
      </w:r>
      <w:r w:rsidRPr="00646B7A">
        <w:rPr>
          <w:rFonts w:eastAsia="Times New Roman" w:cs="Arial"/>
          <w:color w:val="000000"/>
          <w:szCs w:val="20"/>
          <w:lang w:val="en-US" w:eastAsia="ko-KR" w:bidi="he-IL"/>
        </w:rPr>
        <w:t xml:space="preserve"> during or following </w:t>
      </w:r>
      <w:r w:rsidR="00395BD6">
        <w:rPr>
          <w:rFonts w:eastAsia="Times New Roman" w:cs="Arial"/>
          <w:color w:val="000000"/>
          <w:szCs w:val="20"/>
          <w:lang w:val="en-US" w:eastAsia="ko-KR" w:bidi="he-IL"/>
        </w:rPr>
        <w:t>Gazyva</w:t>
      </w:r>
      <w:r w:rsidRPr="00646B7A">
        <w:rPr>
          <w:rFonts w:eastAsia="Times New Roman" w:cs="Arial"/>
          <w:color w:val="000000"/>
          <w:szCs w:val="20"/>
          <w:lang w:val="en-US" w:eastAsia="ko-KR" w:bidi="he-IL"/>
        </w:rPr>
        <w:t xml:space="preserve"> treatment</w:t>
      </w:r>
      <w:r w:rsidR="00AD1A21">
        <w:rPr>
          <w:rFonts w:eastAsia="Times New Roman" w:cs="Arial"/>
          <w:color w:val="000000"/>
          <w:szCs w:val="20"/>
          <w:lang w:val="en-US" w:eastAsia="ko-KR" w:bidi="he-IL"/>
        </w:rPr>
        <w:t xml:space="preserve"> in either pivotal study in iNHL patients</w:t>
      </w:r>
      <w:r w:rsidRPr="00646B7A">
        <w:rPr>
          <w:rFonts w:eastAsia="Times New Roman" w:cs="Arial"/>
          <w:color w:val="000000"/>
          <w:szCs w:val="20"/>
          <w:lang w:val="en-US" w:eastAsia="ko-KR" w:bidi="he-IL"/>
        </w:rPr>
        <w:t>.</w:t>
      </w:r>
    </w:p>
    <w:p w:rsidR="00D844B2" w:rsidRDefault="00D844B2" w:rsidP="00580B71">
      <w:pPr>
        <w:pStyle w:val="Heading1"/>
        <w:numPr>
          <w:ilvl w:val="0"/>
          <w:numId w:val="0"/>
        </w:numPr>
        <w:jc w:val="both"/>
      </w:pPr>
      <w:r>
        <w:t>Indications</w:t>
      </w:r>
    </w:p>
    <w:p w:rsidR="0002169E" w:rsidRPr="0002169E" w:rsidRDefault="0002169E" w:rsidP="003B57FD">
      <w:pPr>
        <w:rPr>
          <w:b/>
        </w:rPr>
      </w:pPr>
      <w:r w:rsidRPr="0002169E">
        <w:rPr>
          <w:b/>
        </w:rPr>
        <w:t>Chronic Lymphocytic Leukaemia</w:t>
      </w:r>
    </w:p>
    <w:p w:rsidR="000E4C61" w:rsidRDefault="00395BD6" w:rsidP="003B57FD">
      <w:r>
        <w:rPr>
          <w:lang w:val="en-US"/>
        </w:rPr>
        <w:t>Gazyva</w:t>
      </w:r>
      <w:r w:rsidR="00B25E74">
        <w:t xml:space="preserve"> in combination with chlorambucil is indicated for the treatment of patients with previously untreated chronic lymphocytic leukaemia (CLL).</w:t>
      </w:r>
    </w:p>
    <w:p w:rsidR="00191A2C" w:rsidRDefault="00191A2C" w:rsidP="003B57FD"/>
    <w:p w:rsidR="0002169E" w:rsidRPr="0002169E" w:rsidRDefault="0002169E" w:rsidP="003B57FD">
      <w:pPr>
        <w:rPr>
          <w:b/>
        </w:rPr>
      </w:pPr>
      <w:r w:rsidRPr="0002169E">
        <w:rPr>
          <w:b/>
        </w:rPr>
        <w:t>Follicular Lymphoma</w:t>
      </w:r>
    </w:p>
    <w:p w:rsidR="0002169E" w:rsidRDefault="0002169E" w:rsidP="003B57FD">
      <w:r w:rsidRPr="0002169E">
        <w:t>G</w:t>
      </w:r>
      <w:r w:rsidR="00395BD6">
        <w:t>azyva</w:t>
      </w:r>
      <w:r w:rsidRPr="0002169E">
        <w:t xml:space="preserve"> in combination with chemotherapy followed by G</w:t>
      </w:r>
      <w:r w:rsidR="00395BD6">
        <w:t>azyva</w:t>
      </w:r>
      <w:r w:rsidRPr="0002169E">
        <w:t xml:space="preserve"> maintenance is indicated for the treatment of patients with previously untreated </w:t>
      </w:r>
      <w:r w:rsidR="00422C9A" w:rsidRPr="007D25C3">
        <w:t xml:space="preserve">advanced </w:t>
      </w:r>
      <w:r w:rsidRPr="0002169E">
        <w:t>follicular lymphoma.</w:t>
      </w:r>
    </w:p>
    <w:p w:rsidR="0002169E" w:rsidRDefault="0002169E" w:rsidP="003B57FD"/>
    <w:p w:rsidR="007D1A11" w:rsidRDefault="00395BD6" w:rsidP="003B57FD">
      <w:r>
        <w:rPr>
          <w:lang w:val="en-US"/>
        </w:rPr>
        <w:t>Gazyva</w:t>
      </w:r>
      <w:r w:rsidR="007D1A11">
        <w:t xml:space="preserve"> in </w:t>
      </w:r>
      <w:r w:rsidR="00191A2C">
        <w:t>combination with bendamustine</w:t>
      </w:r>
      <w:r w:rsidR="001E75A8">
        <w:t>,</w:t>
      </w:r>
      <w:r w:rsidR="007D1A11">
        <w:t xml:space="preserve"> followed by </w:t>
      </w:r>
      <w:r>
        <w:rPr>
          <w:lang w:val="en-US"/>
        </w:rPr>
        <w:t>Gazyva</w:t>
      </w:r>
      <w:r w:rsidR="007D1A11">
        <w:t xml:space="preserve"> maintenance</w:t>
      </w:r>
      <w:r w:rsidR="001E75A8">
        <w:t>,</w:t>
      </w:r>
      <w:r w:rsidR="007D1A11">
        <w:t xml:space="preserve"> is indicated for the treatment of patients </w:t>
      </w:r>
      <w:r w:rsidR="007D1A11" w:rsidRPr="00F068A0">
        <w:t xml:space="preserve">with </w:t>
      </w:r>
      <w:r w:rsidR="004350F2" w:rsidRPr="00E8637D">
        <w:t>follicular lymphoma (FL)</w:t>
      </w:r>
      <w:r w:rsidR="00E8637D">
        <w:t xml:space="preserve"> </w:t>
      </w:r>
      <w:r w:rsidR="00191A2C" w:rsidRPr="00E8637D">
        <w:t xml:space="preserve">who did not respond to, or who progressed during or </w:t>
      </w:r>
      <w:r w:rsidR="001E75A8" w:rsidRPr="00E8637D">
        <w:t xml:space="preserve">up to 6 months </w:t>
      </w:r>
      <w:r w:rsidR="00191A2C" w:rsidRPr="00E8637D">
        <w:t>after</w:t>
      </w:r>
      <w:r w:rsidR="00191A2C">
        <w:t xml:space="preserve"> treatment with rituximab or a rituximab-containing regimen.</w:t>
      </w:r>
    </w:p>
    <w:p w:rsidR="00D844B2" w:rsidRPr="00E90928" w:rsidRDefault="00D844B2" w:rsidP="00580B71">
      <w:pPr>
        <w:pStyle w:val="Heading1"/>
        <w:numPr>
          <w:ilvl w:val="0"/>
          <w:numId w:val="0"/>
        </w:numPr>
        <w:jc w:val="both"/>
      </w:pPr>
      <w:r w:rsidRPr="00E90928">
        <w:t>Contraindications</w:t>
      </w:r>
    </w:p>
    <w:p w:rsidR="000B64CB" w:rsidRDefault="00870096" w:rsidP="000B64CB">
      <w:pPr>
        <w:pStyle w:val="TextTi12"/>
        <w:rPr>
          <w:rStyle w:val="NormalArialChar"/>
          <w:rFonts w:cs="Arial"/>
          <w:color w:val="000000"/>
        </w:rPr>
      </w:pPr>
      <w:r>
        <w:rPr>
          <w:rFonts w:cs="Arial"/>
          <w:iCs/>
          <w:color w:val="000000"/>
        </w:rPr>
        <w:t>Gazyva</w:t>
      </w:r>
      <w:r w:rsidRPr="000A0780">
        <w:rPr>
          <w:rFonts w:cs="Arial"/>
          <w:iCs/>
          <w:color w:val="000000"/>
        </w:rPr>
        <w:t xml:space="preserve"> </w:t>
      </w:r>
      <w:r w:rsidR="000B64CB" w:rsidRPr="000A0780">
        <w:rPr>
          <w:rFonts w:cs="Arial"/>
          <w:color w:val="000000"/>
          <w:lang w:eastAsia="ko-KR" w:bidi="he-IL"/>
        </w:rPr>
        <w:t xml:space="preserve">is contraindicated in patients with a known hypersensitivity (IgE mediated) to </w:t>
      </w:r>
      <w:r w:rsidR="000B64CB" w:rsidRPr="00D86BD8">
        <w:rPr>
          <w:rFonts w:cs="Arial"/>
          <w:i/>
          <w:color w:val="000000"/>
          <w:lang w:eastAsia="ko-KR" w:bidi="he-IL"/>
        </w:rPr>
        <w:t>obinutuzumab</w:t>
      </w:r>
      <w:r w:rsidR="002862E1" w:rsidRPr="002862E1">
        <w:rPr>
          <w:rFonts w:cs="Arial"/>
          <w:color w:val="000000"/>
          <w:lang w:eastAsia="ko-KR" w:bidi="he-IL"/>
        </w:rPr>
        <w:t>,</w:t>
      </w:r>
      <w:r w:rsidR="009759BC">
        <w:rPr>
          <w:rFonts w:cs="Arial"/>
          <w:color w:val="000000"/>
          <w:lang w:eastAsia="ko-KR" w:bidi="he-IL"/>
        </w:rPr>
        <w:t xml:space="preserve"> </w:t>
      </w:r>
      <w:r w:rsidR="002862E1" w:rsidRPr="002862E1">
        <w:rPr>
          <w:rFonts w:cs="Arial"/>
          <w:color w:val="000000"/>
          <w:lang w:eastAsia="ko-KR" w:bidi="he-IL"/>
        </w:rPr>
        <w:t>murine proteins</w:t>
      </w:r>
      <w:r w:rsidR="000B64CB" w:rsidRPr="000A0780">
        <w:rPr>
          <w:rFonts w:cs="Arial"/>
          <w:color w:val="000000"/>
          <w:lang w:eastAsia="ko-KR" w:bidi="he-IL"/>
        </w:rPr>
        <w:t xml:space="preserve"> or to any of the excipients</w:t>
      </w:r>
      <w:r w:rsidR="000B64CB" w:rsidRPr="000A0780">
        <w:rPr>
          <w:rStyle w:val="NormalArialChar"/>
          <w:rFonts w:cs="Arial"/>
          <w:color w:val="000000"/>
        </w:rPr>
        <w:t>.</w:t>
      </w:r>
    </w:p>
    <w:p w:rsidR="00747F51" w:rsidRPr="000A0780" w:rsidRDefault="00747F51" w:rsidP="000B64CB">
      <w:pPr>
        <w:pStyle w:val="TextTi12"/>
        <w:rPr>
          <w:rFonts w:cs="Arial"/>
          <w:color w:val="000000"/>
          <w:lang w:eastAsia="ko-KR" w:bidi="he-IL"/>
        </w:rPr>
      </w:pPr>
    </w:p>
    <w:p w:rsidR="00D844B2" w:rsidRDefault="00D844B2" w:rsidP="00580B71">
      <w:pPr>
        <w:pStyle w:val="Heading1"/>
        <w:numPr>
          <w:ilvl w:val="0"/>
          <w:numId w:val="0"/>
        </w:numPr>
        <w:jc w:val="both"/>
      </w:pPr>
      <w:r>
        <w:lastRenderedPageBreak/>
        <w:t>Precautions</w:t>
      </w:r>
    </w:p>
    <w:p w:rsidR="00A72BEF" w:rsidRDefault="00A72BEF" w:rsidP="00A72BEF">
      <w:r w:rsidRPr="00A72BEF">
        <w:t xml:space="preserve">In order to improve traceability of biological medicinal products, the trade name </w:t>
      </w:r>
      <w:r w:rsidR="00B66C0A">
        <w:t xml:space="preserve">and batch number </w:t>
      </w:r>
      <w:r w:rsidRPr="00A72BEF">
        <w:t>of the administered product should be clearly recorded in the patient medical record.</w:t>
      </w:r>
    </w:p>
    <w:p w:rsidR="00803EC6" w:rsidRDefault="00803EC6" w:rsidP="00A72BEF"/>
    <w:p w:rsidR="00803EC6" w:rsidRPr="00A72BEF" w:rsidRDefault="00803EC6" w:rsidP="00A72BEF">
      <w:r w:rsidRPr="00803EC6">
        <w:t>I</w:t>
      </w:r>
      <w:r w:rsidR="00746A61">
        <w:t>n s</w:t>
      </w:r>
      <w:r w:rsidRPr="00803EC6">
        <w:t>tudy BO21223</w:t>
      </w:r>
      <w:r w:rsidR="00746A61">
        <w:t xml:space="preserve"> of patients with previously untreated follicular lymphoma (FL)</w:t>
      </w:r>
      <w:r w:rsidRPr="00803EC6">
        <w:t>, G</w:t>
      </w:r>
      <w:r>
        <w:t>azyva</w:t>
      </w:r>
      <w:r w:rsidRPr="00803EC6">
        <w:t xml:space="preserve"> plus chemotherapy compared with rituximab plus chemotherapy demonstrated a higher incidence of adverse events</w:t>
      </w:r>
      <w:r>
        <w:t xml:space="preserve"> (AEs)</w:t>
      </w:r>
      <w:r w:rsidRPr="00803EC6">
        <w:t>, in particular serious AEs, Grade 3-5 AEs and infections. Prescribers should consider this when choosing to prescribe G</w:t>
      </w:r>
      <w:r>
        <w:t>azyva</w:t>
      </w:r>
      <w:r w:rsidR="00746A61">
        <w:t xml:space="preserve"> for patients with previously untreated FL</w:t>
      </w:r>
      <w:r w:rsidRPr="00803EC6">
        <w:t xml:space="preserve">, particularly for patients </w:t>
      </w:r>
      <w:r w:rsidR="00746A61">
        <w:t xml:space="preserve">who are </w:t>
      </w:r>
      <w:r w:rsidRPr="00803EC6">
        <w:t>older age (65 years a</w:t>
      </w:r>
      <w:r w:rsidR="00746A61">
        <w:t>nd over)</w:t>
      </w:r>
      <w:r w:rsidRPr="00803EC6">
        <w:t>, or</w:t>
      </w:r>
      <w:r w:rsidR="00746A61">
        <w:t xml:space="preserve"> have</w:t>
      </w:r>
      <w:r w:rsidRPr="00803EC6">
        <w:t xml:space="preserve"> reduced renal function.</w:t>
      </w:r>
    </w:p>
    <w:p w:rsidR="00016089" w:rsidRDefault="00022B28" w:rsidP="00580B71">
      <w:pPr>
        <w:pStyle w:val="Heading2"/>
        <w:numPr>
          <w:ilvl w:val="0"/>
          <w:numId w:val="0"/>
        </w:numPr>
        <w:rPr>
          <w:lang w:val="en-GB"/>
        </w:rPr>
      </w:pPr>
      <w:r>
        <w:rPr>
          <w:lang w:val="en-GB"/>
        </w:rPr>
        <w:t>Infusion Related Reactions (IRR</w:t>
      </w:r>
      <w:r w:rsidR="00A0116D">
        <w:rPr>
          <w:lang w:val="en-GB"/>
        </w:rPr>
        <w:t>s</w:t>
      </w:r>
      <w:r>
        <w:rPr>
          <w:lang w:val="en-GB"/>
        </w:rPr>
        <w:t>)</w:t>
      </w:r>
    </w:p>
    <w:p w:rsidR="00A0116D" w:rsidRDefault="00A72BEF" w:rsidP="00A72BEF">
      <w:pPr>
        <w:rPr>
          <w:lang w:val="en-GB"/>
        </w:rPr>
      </w:pPr>
      <w:r w:rsidRPr="00A72BEF">
        <w:rPr>
          <w:lang w:val="en-GB"/>
        </w:rPr>
        <w:t xml:space="preserve">The most frequently observed adverse drug reactions (ADRs) in patients receiving </w:t>
      </w:r>
      <w:r w:rsidR="00395BD6">
        <w:rPr>
          <w:lang w:val="en-US"/>
        </w:rPr>
        <w:t>Gazyva</w:t>
      </w:r>
      <w:r w:rsidRPr="00A72BEF">
        <w:rPr>
          <w:lang w:val="en-GB"/>
        </w:rPr>
        <w:t xml:space="preserve"> were infusion related reactions (IRR</w:t>
      </w:r>
      <w:r w:rsidR="00A0116D">
        <w:rPr>
          <w:lang w:val="en-GB"/>
        </w:rPr>
        <w:t>s</w:t>
      </w:r>
      <w:r w:rsidRPr="00A72BEF">
        <w:rPr>
          <w:lang w:val="en-GB"/>
        </w:rPr>
        <w:t xml:space="preserve">) which occurred predominantly during </w:t>
      </w:r>
      <w:r w:rsidR="006908E7">
        <w:rPr>
          <w:lang w:val="en-GB"/>
        </w:rPr>
        <w:t xml:space="preserve">infusion of </w:t>
      </w:r>
      <w:r w:rsidRPr="00A72BEF">
        <w:rPr>
          <w:lang w:val="en-GB"/>
        </w:rPr>
        <w:t xml:space="preserve">the first </w:t>
      </w:r>
      <w:r w:rsidR="006908E7">
        <w:rPr>
          <w:lang w:val="en-GB"/>
        </w:rPr>
        <w:t>1000 mg</w:t>
      </w:r>
      <w:r w:rsidRPr="00A72BEF">
        <w:rPr>
          <w:lang w:val="en-GB"/>
        </w:rPr>
        <w:t xml:space="preserve">. </w:t>
      </w:r>
    </w:p>
    <w:p w:rsidR="00A0116D" w:rsidRDefault="00A0116D" w:rsidP="00A72BEF">
      <w:pPr>
        <w:rPr>
          <w:lang w:val="en-GB"/>
        </w:rPr>
      </w:pPr>
    </w:p>
    <w:p w:rsidR="00A72BEF" w:rsidRPr="00A72BEF" w:rsidRDefault="00A72BEF" w:rsidP="00A72BEF">
      <w:pPr>
        <w:rPr>
          <w:lang w:val="en-GB"/>
        </w:rPr>
      </w:pPr>
      <w:r w:rsidRPr="00A72BEF">
        <w:rPr>
          <w:lang w:val="en-GB"/>
        </w:rPr>
        <w:t xml:space="preserve">In </w:t>
      </w:r>
      <w:r w:rsidR="00A0116D">
        <w:rPr>
          <w:lang w:val="en-GB"/>
        </w:rPr>
        <w:t xml:space="preserve">CLL </w:t>
      </w:r>
      <w:r w:rsidRPr="00A72BEF">
        <w:rPr>
          <w:lang w:val="en-GB"/>
        </w:rPr>
        <w:t xml:space="preserve">patients who received the </w:t>
      </w:r>
      <w:r w:rsidR="006908E7">
        <w:rPr>
          <w:lang w:val="en-GB"/>
        </w:rPr>
        <w:t>combined measures for prevention of IRRs (</w:t>
      </w:r>
      <w:r w:rsidR="00A0116D">
        <w:rPr>
          <w:lang w:val="en-GB"/>
        </w:rPr>
        <w:t>corticosteroid</w:t>
      </w:r>
      <w:r w:rsidR="006908E7">
        <w:rPr>
          <w:lang w:val="en-GB"/>
        </w:rPr>
        <w:t>; oral analgesic/anti-histamine</w:t>
      </w:r>
      <w:r w:rsidR="009C2650">
        <w:rPr>
          <w:lang w:val="en-GB"/>
        </w:rPr>
        <w:t xml:space="preserve"> (H1 histamine receptor blockade)</w:t>
      </w:r>
      <w:r w:rsidR="006908E7">
        <w:rPr>
          <w:lang w:val="en-GB"/>
        </w:rPr>
        <w:t xml:space="preserve">; omission of antihypertensive medication in the morning of the first infusion; Cycle 1 Day 1 dose administered over </w:t>
      </w:r>
      <w:r w:rsidR="00C675D4">
        <w:rPr>
          <w:lang w:val="en-GB"/>
        </w:rPr>
        <w:t xml:space="preserve">1 or </w:t>
      </w:r>
      <w:r w:rsidR="006908E7">
        <w:rPr>
          <w:lang w:val="en-GB"/>
        </w:rPr>
        <w:t xml:space="preserve">2 days; see DOSAGE AND ADMINISTRATION) </w:t>
      </w:r>
      <w:r w:rsidRPr="00A72BEF">
        <w:rPr>
          <w:lang w:val="en-GB"/>
        </w:rPr>
        <w:t xml:space="preserve">decreased incidence of IRRs </w:t>
      </w:r>
      <w:r w:rsidR="00BA4FAC">
        <w:rPr>
          <w:lang w:val="en-GB"/>
        </w:rPr>
        <w:t xml:space="preserve">of all Grades </w:t>
      </w:r>
      <w:r w:rsidRPr="00A72BEF">
        <w:rPr>
          <w:lang w:val="en-GB"/>
        </w:rPr>
        <w:t>was observed.</w:t>
      </w:r>
      <w:r w:rsidR="006908E7">
        <w:rPr>
          <w:lang w:val="en-GB"/>
        </w:rPr>
        <w:t xml:space="preserve"> </w:t>
      </w:r>
      <w:r w:rsidR="0022769E">
        <w:rPr>
          <w:lang w:val="en-GB"/>
        </w:rPr>
        <w:t>The incidence of IRRs was independent of the corticosteroid pre-medication given</w:t>
      </w:r>
      <w:r w:rsidR="009427F1">
        <w:rPr>
          <w:lang w:val="en-GB"/>
        </w:rPr>
        <w:t xml:space="preserve"> (</w:t>
      </w:r>
      <w:r w:rsidR="009427F1" w:rsidRPr="009427F1">
        <w:rPr>
          <w:lang w:val="en-GB"/>
        </w:rPr>
        <w:t>prednisone/prednisolone or methylprednisolone/</w:t>
      </w:r>
      <w:r w:rsidR="003C036F">
        <w:rPr>
          <w:lang w:val="en-GB"/>
        </w:rPr>
        <w:t xml:space="preserve"> </w:t>
      </w:r>
      <w:r w:rsidR="009427F1" w:rsidRPr="009427F1">
        <w:rPr>
          <w:lang w:val="en-GB"/>
        </w:rPr>
        <w:t>dexamethasone</w:t>
      </w:r>
      <w:r w:rsidR="009427F1">
        <w:rPr>
          <w:lang w:val="en-GB"/>
        </w:rPr>
        <w:t>)</w:t>
      </w:r>
      <w:r w:rsidR="0022769E">
        <w:rPr>
          <w:lang w:val="en-GB"/>
        </w:rPr>
        <w:t xml:space="preserve">. </w:t>
      </w:r>
      <w:r w:rsidR="008340DA" w:rsidRPr="008340DA">
        <w:rPr>
          <w:lang w:val="en-GB"/>
        </w:rPr>
        <w:t xml:space="preserve">The </w:t>
      </w:r>
      <w:r w:rsidR="0022769E">
        <w:rPr>
          <w:lang w:val="en-GB"/>
        </w:rPr>
        <w:t xml:space="preserve">incidence </w:t>
      </w:r>
      <w:r w:rsidR="008340DA" w:rsidRPr="008340DA">
        <w:rPr>
          <w:lang w:val="en-GB"/>
        </w:rPr>
        <w:t xml:space="preserve">of Grade 3-4 IRRs </w:t>
      </w:r>
      <w:r w:rsidR="00547297">
        <w:rPr>
          <w:lang w:val="en-GB"/>
        </w:rPr>
        <w:t xml:space="preserve">(which were based on a relatively small number of patients) </w:t>
      </w:r>
      <w:r w:rsidR="008340DA" w:rsidRPr="008340DA">
        <w:rPr>
          <w:lang w:val="en-GB"/>
        </w:rPr>
        <w:t>were similar before and after mitig</w:t>
      </w:r>
      <w:r w:rsidR="008340DA">
        <w:rPr>
          <w:lang w:val="en-GB"/>
        </w:rPr>
        <w:t>ation measures were implemented</w:t>
      </w:r>
      <w:r w:rsidR="006908E7">
        <w:rPr>
          <w:lang w:val="en-GB"/>
        </w:rPr>
        <w:t>.</w:t>
      </w:r>
      <w:r w:rsidR="00547297">
        <w:rPr>
          <w:lang w:val="en-GB"/>
        </w:rPr>
        <w:t xml:space="preserve"> Mitigation measures to reduce IRRs should be followed (see DOSAGE AND ADMINISTRATION).</w:t>
      </w:r>
      <w:r w:rsidRPr="00A72BEF">
        <w:rPr>
          <w:lang w:val="en-GB"/>
        </w:rPr>
        <w:t xml:space="preserve"> The incidence and severity of infusion-related symptoms decreased substantially </w:t>
      </w:r>
      <w:r w:rsidR="0070780E">
        <w:rPr>
          <w:lang w:val="en-GB"/>
        </w:rPr>
        <w:t>after the first 1000 mg was infused</w:t>
      </w:r>
      <w:r w:rsidRPr="00A72BEF">
        <w:rPr>
          <w:lang w:val="en-GB"/>
        </w:rPr>
        <w:t>, with most patients having no IRRs d</w:t>
      </w:r>
      <w:r w:rsidR="003C036F">
        <w:rPr>
          <w:lang w:val="en-GB"/>
        </w:rPr>
        <w:t xml:space="preserve">uring </w:t>
      </w:r>
      <w:r w:rsidRPr="00A72BEF">
        <w:rPr>
          <w:lang w:val="en-GB"/>
        </w:rPr>
        <w:t xml:space="preserve">subsequent administrations of </w:t>
      </w:r>
      <w:r w:rsidR="00395BD6">
        <w:rPr>
          <w:lang w:val="en-US"/>
        </w:rPr>
        <w:t>Gazyva</w:t>
      </w:r>
      <w:r w:rsidRPr="00A72BEF">
        <w:rPr>
          <w:lang w:val="en-GB"/>
        </w:rPr>
        <w:t xml:space="preserve"> (see ADVERSE EFFECTS).</w:t>
      </w:r>
    </w:p>
    <w:p w:rsidR="00A72BEF" w:rsidRPr="00A72BEF" w:rsidRDefault="00A72BEF" w:rsidP="00A72BEF">
      <w:pPr>
        <w:rPr>
          <w:lang w:val="en-GB"/>
        </w:rPr>
      </w:pPr>
    </w:p>
    <w:p w:rsidR="00A72BEF" w:rsidRPr="00A72BEF" w:rsidRDefault="00A72BEF" w:rsidP="00A72BEF">
      <w:pPr>
        <w:rPr>
          <w:lang w:val="en-GB"/>
        </w:rPr>
      </w:pPr>
      <w:r w:rsidRPr="00A72BEF">
        <w:rPr>
          <w:lang w:val="en-GB"/>
        </w:rPr>
        <w:t>In the majority of patients,</w:t>
      </w:r>
      <w:r w:rsidR="00BA4FAC">
        <w:rPr>
          <w:lang w:val="en-GB"/>
        </w:rPr>
        <w:t xml:space="preserve"> irrespective of indication,</w:t>
      </w:r>
      <w:r w:rsidRPr="00A72BEF">
        <w:rPr>
          <w:lang w:val="en-GB"/>
        </w:rPr>
        <w:t xml:space="preserve"> IRRs were mild to moderate and could be managed by the slowing or temporary halting of the first infusion, but severe and life-threatening IRRs requiring symptomatic treatment have also been reported. IRRs may be clinically indistinguishable from IgE mediated allergic reactions (e.g. anaphylaxis). Patients with a high tumour burden </w:t>
      </w:r>
      <w:r w:rsidR="00BA4FAC">
        <w:rPr>
          <w:lang w:val="en-GB"/>
        </w:rPr>
        <w:t xml:space="preserve">and/or </w:t>
      </w:r>
      <w:r w:rsidRPr="00A72BEF">
        <w:rPr>
          <w:lang w:val="en-GB"/>
        </w:rPr>
        <w:t xml:space="preserve">high </w:t>
      </w:r>
      <w:r w:rsidR="00BA4FAC">
        <w:rPr>
          <w:lang w:val="en-GB"/>
        </w:rPr>
        <w:t>circulating</w:t>
      </w:r>
      <w:r w:rsidR="00BA4FAC" w:rsidRPr="00A72BEF">
        <w:rPr>
          <w:lang w:val="en-GB"/>
        </w:rPr>
        <w:t xml:space="preserve"> </w:t>
      </w:r>
      <w:r w:rsidRPr="00A72BEF">
        <w:rPr>
          <w:lang w:val="en-GB"/>
        </w:rPr>
        <w:t>lymphocyte count in CLL (&gt; 25 x 10</w:t>
      </w:r>
      <w:r w:rsidRPr="006E79C7">
        <w:rPr>
          <w:vertAlign w:val="superscript"/>
          <w:lang w:val="en-GB"/>
        </w:rPr>
        <w:t>9</w:t>
      </w:r>
      <w:r w:rsidRPr="00A72BEF">
        <w:rPr>
          <w:lang w:val="en-GB"/>
        </w:rPr>
        <w:t>/L) may be at increased risk of severe IRR. See DOSAGE AND ADMINISTRATION for information on prophylaxis</w:t>
      </w:r>
      <w:r w:rsidR="00023DB6">
        <w:rPr>
          <w:lang w:val="en-GB"/>
        </w:rPr>
        <w:t xml:space="preserve"> and Table </w:t>
      </w:r>
      <w:r w:rsidR="00B113C5">
        <w:rPr>
          <w:lang w:val="en-GB"/>
        </w:rPr>
        <w:t>10</w:t>
      </w:r>
      <w:r w:rsidR="00023DB6">
        <w:rPr>
          <w:lang w:val="en-GB"/>
        </w:rPr>
        <w:t xml:space="preserve"> for advice on how to manage IRRs based on Grade of reaction</w:t>
      </w:r>
      <w:r w:rsidRPr="00A72BEF">
        <w:rPr>
          <w:lang w:val="en-GB"/>
        </w:rPr>
        <w:t>.</w:t>
      </w:r>
    </w:p>
    <w:p w:rsidR="00BA4FAC" w:rsidRPr="00A72BEF" w:rsidRDefault="00BA4FAC" w:rsidP="00A72BEF">
      <w:pPr>
        <w:rPr>
          <w:lang w:val="en-GB"/>
        </w:rPr>
      </w:pPr>
    </w:p>
    <w:p w:rsidR="00861B43" w:rsidRDefault="00A72BEF" w:rsidP="00A72BEF">
      <w:pPr>
        <w:rPr>
          <w:lang w:val="en-GB"/>
        </w:rPr>
      </w:pPr>
      <w:r w:rsidRPr="00A72BEF">
        <w:rPr>
          <w:lang w:val="en-GB"/>
        </w:rPr>
        <w:t xml:space="preserve">Patients should not receive further </w:t>
      </w:r>
      <w:r w:rsidR="00395BD6">
        <w:rPr>
          <w:lang w:val="en-US"/>
        </w:rPr>
        <w:t>Gazyva</w:t>
      </w:r>
      <w:r w:rsidR="00861B43">
        <w:rPr>
          <w:lang w:val="en-GB"/>
        </w:rPr>
        <w:t xml:space="preserve"> infusions if they experience:</w:t>
      </w:r>
    </w:p>
    <w:p w:rsidR="00861B43" w:rsidRDefault="00861B43" w:rsidP="00A72BEF">
      <w:pPr>
        <w:rPr>
          <w:lang w:val="en-GB"/>
        </w:rPr>
      </w:pPr>
    </w:p>
    <w:p w:rsidR="00861B43" w:rsidRDefault="00A72BEF" w:rsidP="00861B43">
      <w:pPr>
        <w:numPr>
          <w:ilvl w:val="0"/>
          <w:numId w:val="31"/>
        </w:numPr>
        <w:rPr>
          <w:lang w:val="en-GB"/>
        </w:rPr>
      </w:pPr>
      <w:r w:rsidRPr="00A72BEF">
        <w:rPr>
          <w:lang w:val="en-GB"/>
        </w:rPr>
        <w:t>acute life-threatening respiratory symptoms,</w:t>
      </w:r>
    </w:p>
    <w:p w:rsidR="003F03C8" w:rsidRDefault="004D7206" w:rsidP="00861B43">
      <w:pPr>
        <w:numPr>
          <w:ilvl w:val="0"/>
          <w:numId w:val="31"/>
        </w:numPr>
        <w:rPr>
          <w:lang w:val="en-GB"/>
        </w:rPr>
      </w:pPr>
      <w:r>
        <w:rPr>
          <w:lang w:val="en-GB"/>
        </w:rPr>
        <w:t xml:space="preserve">other life-threatening anaphylactoid symptoms, </w:t>
      </w:r>
    </w:p>
    <w:p w:rsidR="00861B43" w:rsidRDefault="00A72BEF" w:rsidP="00861B43">
      <w:pPr>
        <w:numPr>
          <w:ilvl w:val="0"/>
          <w:numId w:val="31"/>
        </w:numPr>
        <w:rPr>
          <w:lang w:val="en-GB"/>
        </w:rPr>
      </w:pPr>
      <w:r w:rsidRPr="00861B43">
        <w:rPr>
          <w:lang w:val="en-GB"/>
        </w:rPr>
        <w:t>a Grade 4 (i.e. life-threatening) IRR or,</w:t>
      </w:r>
    </w:p>
    <w:p w:rsidR="00A72BEF" w:rsidRPr="00861B43" w:rsidRDefault="00A72BEF" w:rsidP="00861B43">
      <w:pPr>
        <w:numPr>
          <w:ilvl w:val="0"/>
          <w:numId w:val="31"/>
        </w:numPr>
        <w:rPr>
          <w:lang w:val="en-GB"/>
        </w:rPr>
      </w:pPr>
      <w:r w:rsidRPr="00861B43">
        <w:rPr>
          <w:lang w:val="en-GB"/>
        </w:rPr>
        <w:t>a second occurrence of a Grade 3 (prolonged/recurrent) IRR (after resuming the first infusion or during a subsequent infusion)</w:t>
      </w:r>
    </w:p>
    <w:p w:rsidR="00A72BEF" w:rsidRPr="00A72BEF" w:rsidRDefault="00A72BEF" w:rsidP="00A72BEF">
      <w:pPr>
        <w:rPr>
          <w:lang w:val="en-GB"/>
        </w:rPr>
      </w:pPr>
    </w:p>
    <w:p w:rsidR="00022B28" w:rsidRPr="00A72BEF" w:rsidRDefault="00A72BEF" w:rsidP="00A72BEF">
      <w:pPr>
        <w:rPr>
          <w:lang w:val="en-GB"/>
        </w:rPr>
      </w:pPr>
      <w:r w:rsidRPr="00A72BEF">
        <w:rPr>
          <w:lang w:val="en-GB"/>
        </w:rPr>
        <w:t xml:space="preserve">Patients who have pre-existing cardiac or pulmonary conditions should be monitored carefully throughout the infusion and the post-infusion period. Hypotension may occur during </w:t>
      </w:r>
      <w:r w:rsidR="00395BD6">
        <w:rPr>
          <w:lang w:val="en-US"/>
        </w:rPr>
        <w:t>Gazyva</w:t>
      </w:r>
      <w:r w:rsidRPr="00A72BEF">
        <w:rPr>
          <w:lang w:val="en-GB"/>
        </w:rPr>
        <w:t xml:space="preserve"> intravenous infusions. Therefore, withholding of antihypertensive treatments should be </w:t>
      </w:r>
      <w:r w:rsidRPr="00A72BEF">
        <w:rPr>
          <w:lang w:val="en-GB"/>
        </w:rPr>
        <w:lastRenderedPageBreak/>
        <w:t xml:space="preserve">considered for 12 hours prior to and throughout each </w:t>
      </w:r>
      <w:r w:rsidR="00395BD6">
        <w:rPr>
          <w:lang w:val="en-US"/>
        </w:rPr>
        <w:t>Gazyva</w:t>
      </w:r>
      <w:r w:rsidRPr="00A72BEF">
        <w:rPr>
          <w:lang w:val="en-GB"/>
        </w:rPr>
        <w:t xml:space="preserve"> infusion, and for the first hour after administration. Patients at acute risk of hypertensive crisis should be evaluated for the benefits and risks of withholding th</w:t>
      </w:r>
      <w:r w:rsidR="00861B43">
        <w:rPr>
          <w:lang w:val="en-GB"/>
        </w:rPr>
        <w:t xml:space="preserve">eir </w:t>
      </w:r>
      <w:r w:rsidR="00134841">
        <w:rPr>
          <w:lang w:val="en-GB"/>
        </w:rPr>
        <w:t>anti-</w:t>
      </w:r>
      <w:r w:rsidR="00861B43">
        <w:rPr>
          <w:lang w:val="en-GB"/>
        </w:rPr>
        <w:t>hypertensive medication</w:t>
      </w:r>
      <w:r w:rsidRPr="00A72BEF">
        <w:rPr>
          <w:lang w:val="en-GB"/>
        </w:rPr>
        <w:t>.</w:t>
      </w:r>
    </w:p>
    <w:p w:rsidR="00022B28" w:rsidRDefault="00022B28" w:rsidP="00580B71">
      <w:pPr>
        <w:pStyle w:val="Heading2"/>
        <w:numPr>
          <w:ilvl w:val="0"/>
          <w:numId w:val="0"/>
        </w:numPr>
        <w:rPr>
          <w:lang w:val="en-GB"/>
        </w:rPr>
      </w:pPr>
      <w:r>
        <w:rPr>
          <w:lang w:val="en-GB"/>
        </w:rPr>
        <w:t xml:space="preserve">Hypersensitivity </w:t>
      </w:r>
      <w:r w:rsidR="005657AA">
        <w:rPr>
          <w:lang w:val="en-GB"/>
        </w:rPr>
        <w:t>r</w:t>
      </w:r>
      <w:r>
        <w:rPr>
          <w:lang w:val="en-GB"/>
        </w:rPr>
        <w:t>eactions</w:t>
      </w:r>
    </w:p>
    <w:p w:rsidR="00022B28" w:rsidRDefault="00E21CD1" w:rsidP="00022B28">
      <w:pPr>
        <w:rPr>
          <w:lang w:val="en-GB"/>
        </w:rPr>
      </w:pPr>
      <w:r w:rsidRPr="00E21CD1">
        <w:rPr>
          <w:lang w:val="en-GB"/>
        </w:rPr>
        <w:t xml:space="preserve">Hypersensitivity </w:t>
      </w:r>
      <w:r w:rsidR="00422C9A">
        <w:rPr>
          <w:lang w:val="en-GB"/>
        </w:rPr>
        <w:t xml:space="preserve">reactions with immediate (e.g. anaphylaxis) and delayed onset (e.g. serum sickness) </w:t>
      </w:r>
      <w:r w:rsidRPr="00E21CD1">
        <w:rPr>
          <w:lang w:val="en-GB"/>
        </w:rPr>
        <w:t>ha</w:t>
      </w:r>
      <w:r w:rsidR="00422C9A">
        <w:rPr>
          <w:lang w:val="en-GB"/>
        </w:rPr>
        <w:t>ve</w:t>
      </w:r>
      <w:r w:rsidRPr="00E21CD1">
        <w:rPr>
          <w:lang w:val="en-GB"/>
        </w:rPr>
        <w:t xml:space="preserve"> been reported in patients treated with </w:t>
      </w:r>
      <w:r w:rsidR="00395BD6">
        <w:rPr>
          <w:lang w:val="en-US"/>
        </w:rPr>
        <w:t>Gazyva</w:t>
      </w:r>
      <w:r w:rsidRPr="00E21CD1">
        <w:rPr>
          <w:lang w:val="en-GB"/>
        </w:rPr>
        <w:t>. If a hypersensitivity reaction is suspected during</w:t>
      </w:r>
      <w:r w:rsidR="00422C9A">
        <w:rPr>
          <w:lang w:val="en-GB"/>
        </w:rPr>
        <w:t xml:space="preserve"> or after an</w:t>
      </w:r>
      <w:r w:rsidRPr="00E21CD1">
        <w:rPr>
          <w:lang w:val="en-GB"/>
        </w:rPr>
        <w:t xml:space="preserve"> infusion (e.g. symptoms typically occurring after previous exposure and very rarely with the first infusion), the infusion should be stopped</w:t>
      </w:r>
      <w:r w:rsidR="00D13781">
        <w:rPr>
          <w:lang w:val="en-GB"/>
        </w:rPr>
        <w:t>, appropriate treatment of the hypersensitivity reaction should be commenced,</w:t>
      </w:r>
      <w:r w:rsidRPr="00E21CD1">
        <w:rPr>
          <w:lang w:val="en-GB"/>
        </w:rPr>
        <w:t xml:space="preserve"> and </w:t>
      </w:r>
      <w:r w:rsidR="00395BD6">
        <w:rPr>
          <w:lang w:val="en-US"/>
        </w:rPr>
        <w:t>Gazyva</w:t>
      </w:r>
      <w:r w:rsidR="00D13781">
        <w:rPr>
          <w:lang w:val="en-GB"/>
        </w:rPr>
        <w:t xml:space="preserve"> </w:t>
      </w:r>
      <w:r w:rsidRPr="00E21CD1">
        <w:rPr>
          <w:lang w:val="en-GB"/>
        </w:rPr>
        <w:t xml:space="preserve">treatment permanently discontinued. Patients with known hypersensitivity to </w:t>
      </w:r>
      <w:r w:rsidR="00395BD6">
        <w:rPr>
          <w:lang w:val="en-US"/>
        </w:rPr>
        <w:t>Gazyva</w:t>
      </w:r>
      <w:r w:rsidRPr="00E21CD1">
        <w:rPr>
          <w:lang w:val="en-GB"/>
        </w:rPr>
        <w:t xml:space="preserve"> </w:t>
      </w:r>
      <w:r w:rsidR="00420636">
        <w:rPr>
          <w:lang w:val="en-GB"/>
        </w:rPr>
        <w:t>must</w:t>
      </w:r>
      <w:r w:rsidR="00420636" w:rsidRPr="00E21CD1">
        <w:rPr>
          <w:lang w:val="en-GB"/>
        </w:rPr>
        <w:t xml:space="preserve"> </w:t>
      </w:r>
      <w:r w:rsidRPr="00E21CD1">
        <w:rPr>
          <w:lang w:val="en-GB"/>
        </w:rPr>
        <w:t>not be treated (see CONTRAINDICATIONS).</w:t>
      </w:r>
      <w:r w:rsidR="00422C9A">
        <w:rPr>
          <w:lang w:val="en-GB"/>
        </w:rPr>
        <w:t xml:space="preserve"> Hypersensitivity may be clinically difficult to distinguish from IRRs.</w:t>
      </w:r>
    </w:p>
    <w:p w:rsidR="0003515E" w:rsidRDefault="0003515E" w:rsidP="00022B28">
      <w:pPr>
        <w:rPr>
          <w:lang w:val="en-GB"/>
        </w:rPr>
      </w:pPr>
    </w:p>
    <w:p w:rsidR="0003515E" w:rsidRPr="00E21CD1" w:rsidRDefault="0003515E" w:rsidP="0003515E">
      <w:pPr>
        <w:rPr>
          <w:lang w:val="en-GB"/>
        </w:rPr>
      </w:pPr>
      <w:r w:rsidRPr="0003515E">
        <w:rPr>
          <w:lang w:val="en-GB"/>
        </w:rPr>
        <w:t>In a 26-week cynomolgus monkey study, hypers</w:t>
      </w:r>
      <w:r>
        <w:rPr>
          <w:lang w:val="en-GB"/>
        </w:rPr>
        <w:t xml:space="preserve">ensitivity reactions were noted and attributed </w:t>
      </w:r>
      <w:r w:rsidRPr="0003515E">
        <w:rPr>
          <w:lang w:val="en-GB"/>
        </w:rPr>
        <w:t>to the foreign recogniti</w:t>
      </w:r>
      <w:r>
        <w:rPr>
          <w:lang w:val="en-GB"/>
        </w:rPr>
        <w:t>on of the humanised antibody in cynomolgus monkeys [C</w:t>
      </w:r>
      <w:r w:rsidRPr="0003515E">
        <w:rPr>
          <w:vertAlign w:val="subscript"/>
          <w:lang w:val="en-GB"/>
        </w:rPr>
        <w:t>max</w:t>
      </w:r>
      <w:r>
        <w:rPr>
          <w:lang w:val="en-GB"/>
        </w:rPr>
        <w:t xml:space="preserve"> and </w:t>
      </w:r>
      <w:r w:rsidRPr="0003515E">
        <w:rPr>
          <w:lang w:val="en-GB"/>
        </w:rPr>
        <w:t>AUC</w:t>
      </w:r>
      <w:r w:rsidRPr="0003515E">
        <w:rPr>
          <w:vertAlign w:val="subscript"/>
          <w:lang w:val="en-GB"/>
        </w:rPr>
        <w:t>0-168 h</w:t>
      </w:r>
      <w:r w:rsidRPr="0003515E">
        <w:rPr>
          <w:lang w:val="en-GB"/>
        </w:rPr>
        <w:t xml:space="preserve"> at stea</w:t>
      </w:r>
      <w:r>
        <w:rPr>
          <w:lang w:val="en-GB"/>
        </w:rPr>
        <w:t xml:space="preserve">dy state (Day 176) after weekly </w:t>
      </w:r>
      <w:r w:rsidRPr="0003515E">
        <w:rPr>
          <w:lang w:val="en-GB"/>
        </w:rPr>
        <w:t xml:space="preserve">administration of 5, </w:t>
      </w:r>
      <w:r>
        <w:rPr>
          <w:lang w:val="en-GB"/>
        </w:rPr>
        <w:t xml:space="preserve">25, and 50 mg/kg, </w:t>
      </w:r>
      <w:r w:rsidRPr="0003515E">
        <w:rPr>
          <w:lang w:val="en-GB"/>
        </w:rPr>
        <w:t xml:space="preserve">were </w:t>
      </w:r>
      <w:r w:rsidR="00C55D21">
        <w:rPr>
          <w:lang w:val="en-GB"/>
        </w:rPr>
        <w:t>377, 1,530, and 2,</w:t>
      </w:r>
      <w:r>
        <w:rPr>
          <w:lang w:val="en-GB"/>
        </w:rPr>
        <w:t xml:space="preserve">920 μg/mL and </w:t>
      </w:r>
      <w:r w:rsidR="00C55D21">
        <w:rPr>
          <w:lang w:val="en-GB"/>
        </w:rPr>
        <w:t>39,</w:t>
      </w:r>
      <w:r w:rsidRPr="0003515E">
        <w:rPr>
          <w:lang w:val="en-GB"/>
        </w:rPr>
        <w:t xml:space="preserve">800, </w:t>
      </w:r>
      <w:r w:rsidR="00C55D21">
        <w:rPr>
          <w:lang w:val="en-GB"/>
        </w:rPr>
        <w:t>183,000, and 344,</w:t>
      </w:r>
      <w:r>
        <w:rPr>
          <w:lang w:val="en-GB"/>
        </w:rPr>
        <w:t xml:space="preserve">000 (μg•h)/mL, </w:t>
      </w:r>
      <w:r w:rsidRPr="0003515E">
        <w:rPr>
          <w:lang w:val="en-GB"/>
        </w:rPr>
        <w:t>respect</w:t>
      </w:r>
      <w:r>
        <w:rPr>
          <w:lang w:val="en-GB"/>
        </w:rPr>
        <w:t xml:space="preserve">ively]. Findings included acute </w:t>
      </w:r>
      <w:r w:rsidRPr="0003515E">
        <w:rPr>
          <w:lang w:val="en-GB"/>
        </w:rPr>
        <w:t>anaphylactic or anaphylactoid reactions and an increased prevalence of systemic</w:t>
      </w:r>
      <w:r>
        <w:rPr>
          <w:lang w:val="en-GB"/>
        </w:rPr>
        <w:t xml:space="preserve"> </w:t>
      </w:r>
      <w:r w:rsidRPr="0003515E">
        <w:rPr>
          <w:lang w:val="en-GB"/>
        </w:rPr>
        <w:t>inflammation and infiltrates consiste</w:t>
      </w:r>
      <w:r>
        <w:rPr>
          <w:lang w:val="en-GB"/>
        </w:rPr>
        <w:t xml:space="preserve">nt with immune-complex mediated </w:t>
      </w:r>
      <w:r w:rsidRPr="0003515E">
        <w:rPr>
          <w:lang w:val="en-GB"/>
        </w:rPr>
        <w:t>hypersensitivity reactions, such as arteritis/per</w:t>
      </w:r>
      <w:r>
        <w:rPr>
          <w:lang w:val="en-GB"/>
        </w:rPr>
        <w:t xml:space="preserve">iarteritis, glomerulonephritis, and </w:t>
      </w:r>
      <w:r w:rsidRPr="0003515E">
        <w:rPr>
          <w:lang w:val="en-GB"/>
        </w:rPr>
        <w:t>serosal/adventitial inflammation. These reactions</w:t>
      </w:r>
      <w:r>
        <w:rPr>
          <w:lang w:val="en-GB"/>
        </w:rPr>
        <w:t xml:space="preserve"> led to unscheduled termination of 6/36 </w:t>
      </w:r>
      <w:r w:rsidRPr="0003515E">
        <w:rPr>
          <w:lang w:val="en-GB"/>
        </w:rPr>
        <w:t xml:space="preserve">animals treated with </w:t>
      </w:r>
      <w:r w:rsidR="00395BD6">
        <w:rPr>
          <w:lang w:val="en-US"/>
        </w:rPr>
        <w:t>Gazyva</w:t>
      </w:r>
      <w:r w:rsidRPr="0003515E">
        <w:rPr>
          <w:lang w:val="en-GB"/>
        </w:rPr>
        <w:t xml:space="preserve"> dur</w:t>
      </w:r>
      <w:r>
        <w:rPr>
          <w:lang w:val="en-GB"/>
        </w:rPr>
        <w:t xml:space="preserve">ing dosing and recovery phases; these changes were </w:t>
      </w:r>
      <w:r w:rsidRPr="0003515E">
        <w:rPr>
          <w:lang w:val="en-GB"/>
        </w:rPr>
        <w:t xml:space="preserve">partially reversible. No renal </w:t>
      </w:r>
      <w:r>
        <w:rPr>
          <w:lang w:val="en-GB"/>
        </w:rPr>
        <w:t xml:space="preserve">toxicity with a causal </w:t>
      </w:r>
      <w:r w:rsidRPr="0003515E">
        <w:rPr>
          <w:lang w:val="en-GB"/>
        </w:rPr>
        <w:t>relat</w:t>
      </w:r>
      <w:r>
        <w:rPr>
          <w:lang w:val="en-GB"/>
        </w:rPr>
        <w:t xml:space="preserve">ionship to </w:t>
      </w:r>
      <w:r w:rsidR="00395BD6">
        <w:rPr>
          <w:lang w:val="en-US"/>
        </w:rPr>
        <w:t>Gazyva</w:t>
      </w:r>
      <w:r>
        <w:rPr>
          <w:lang w:val="en-GB"/>
        </w:rPr>
        <w:t xml:space="preserve"> has been </w:t>
      </w:r>
      <w:r w:rsidRPr="0003515E">
        <w:rPr>
          <w:lang w:val="en-GB"/>
        </w:rPr>
        <w:t>observed in humans.</w:t>
      </w:r>
    </w:p>
    <w:p w:rsidR="00022B28" w:rsidRDefault="00022B28" w:rsidP="00CE3639">
      <w:pPr>
        <w:pStyle w:val="Heading2"/>
        <w:numPr>
          <w:ilvl w:val="0"/>
          <w:numId w:val="0"/>
        </w:numPr>
        <w:rPr>
          <w:lang w:val="en-GB"/>
        </w:rPr>
      </w:pPr>
      <w:r>
        <w:rPr>
          <w:lang w:val="en-GB"/>
        </w:rPr>
        <w:t>Tumour Lysis Syndrome</w:t>
      </w:r>
    </w:p>
    <w:p w:rsidR="008E5776" w:rsidRPr="00C8528C" w:rsidRDefault="00E21CD1" w:rsidP="00C8528C">
      <w:pPr>
        <w:rPr>
          <w:lang w:val="en-GB"/>
        </w:rPr>
      </w:pPr>
      <w:r w:rsidRPr="00C5563D">
        <w:rPr>
          <w:lang w:val="en-GB"/>
        </w:rPr>
        <w:t xml:space="preserve">Tumour lysis syndrome (TLS) has been reported with </w:t>
      </w:r>
      <w:r w:rsidR="00395BD6">
        <w:rPr>
          <w:lang w:val="en-US"/>
        </w:rPr>
        <w:t>Gazyva</w:t>
      </w:r>
      <w:r>
        <w:rPr>
          <w:lang w:val="en-GB"/>
        </w:rPr>
        <w:t xml:space="preserve">. Patients who are </w:t>
      </w:r>
      <w:r w:rsidRPr="00C5563D">
        <w:rPr>
          <w:lang w:val="en-GB"/>
        </w:rPr>
        <w:t>considered to be at risk of TLS [e.g. patients</w:t>
      </w:r>
      <w:r>
        <w:rPr>
          <w:lang w:val="en-GB"/>
        </w:rPr>
        <w:t xml:space="preserve"> with a high tumour burden </w:t>
      </w:r>
      <w:r w:rsidR="009433FB">
        <w:rPr>
          <w:lang w:val="en-GB"/>
        </w:rPr>
        <w:t>and/</w:t>
      </w:r>
      <w:r>
        <w:rPr>
          <w:lang w:val="en-GB"/>
        </w:rPr>
        <w:t xml:space="preserve">or a high circulating </w:t>
      </w:r>
      <w:r w:rsidRPr="00C5563D">
        <w:rPr>
          <w:lang w:val="en-GB"/>
        </w:rPr>
        <w:t>lymphocyte count (&gt; 25 x 10</w:t>
      </w:r>
      <w:r w:rsidRPr="00C5563D">
        <w:rPr>
          <w:vertAlign w:val="superscript"/>
          <w:lang w:val="en-GB"/>
        </w:rPr>
        <w:t>9</w:t>
      </w:r>
      <w:r w:rsidRPr="00C5563D">
        <w:rPr>
          <w:lang w:val="en-GB"/>
        </w:rPr>
        <w:t>/L)</w:t>
      </w:r>
      <w:r w:rsidR="009433FB">
        <w:rPr>
          <w:lang w:val="en-GB"/>
        </w:rPr>
        <w:t xml:space="preserve"> and/or renal impairment (CrCl &lt; 70 mL/min)</w:t>
      </w:r>
      <w:r w:rsidRPr="00C5563D">
        <w:rPr>
          <w:lang w:val="en-GB"/>
        </w:rPr>
        <w:t>]</w:t>
      </w:r>
      <w:r>
        <w:rPr>
          <w:lang w:val="en-GB"/>
        </w:rPr>
        <w:t xml:space="preserve"> should receive </w:t>
      </w:r>
      <w:r w:rsidR="009433FB">
        <w:rPr>
          <w:lang w:val="en-GB"/>
        </w:rPr>
        <w:t xml:space="preserve">prophylaxis. Prophylaxis should consist of </w:t>
      </w:r>
      <w:r>
        <w:rPr>
          <w:lang w:val="en-GB"/>
        </w:rPr>
        <w:t xml:space="preserve">adequate </w:t>
      </w:r>
      <w:r w:rsidR="009433FB">
        <w:rPr>
          <w:lang w:val="en-GB"/>
        </w:rPr>
        <w:t xml:space="preserve">hydration and administration of </w:t>
      </w:r>
      <w:r w:rsidRPr="00C5563D">
        <w:rPr>
          <w:lang w:val="en-GB"/>
        </w:rPr>
        <w:t>uricostatics (e.g. allopurinol)</w:t>
      </w:r>
      <w:r w:rsidR="009433FB">
        <w:rPr>
          <w:lang w:val="en-GB"/>
        </w:rPr>
        <w:t>, or a suitable alternative such as a urate oxidase (e.g. rasburicase),</w:t>
      </w:r>
      <w:r w:rsidRPr="00C5563D">
        <w:rPr>
          <w:lang w:val="en-GB"/>
        </w:rPr>
        <w:t xml:space="preserve"> </w:t>
      </w:r>
      <w:r>
        <w:rPr>
          <w:lang w:val="en-GB"/>
        </w:rPr>
        <w:t xml:space="preserve">prior to the infusion of </w:t>
      </w:r>
      <w:r w:rsidR="00395BD6">
        <w:rPr>
          <w:lang w:val="en-US"/>
        </w:rPr>
        <w:t>Gazyva</w:t>
      </w:r>
      <w:r>
        <w:rPr>
          <w:lang w:val="en-GB"/>
        </w:rPr>
        <w:t xml:space="preserve"> as described under DOSAGE AND ADMINISTRATION</w:t>
      </w:r>
      <w:r w:rsidRPr="00C5563D">
        <w:rPr>
          <w:lang w:val="en-GB"/>
        </w:rPr>
        <w:t xml:space="preserve">. </w:t>
      </w:r>
      <w:r w:rsidR="009433FB">
        <w:rPr>
          <w:lang w:val="en-GB"/>
        </w:rPr>
        <w:t>All patients considered at risk should be carefully monitored during the initial days of treatment with a special focus on renal function, potassium, and uric acid values. Any additional guidelines should also be followed</w:t>
      </w:r>
      <w:r w:rsidR="00A8636E">
        <w:rPr>
          <w:lang w:val="en-GB"/>
        </w:rPr>
        <w:t>, according to standard practice</w:t>
      </w:r>
      <w:r w:rsidR="009433FB">
        <w:rPr>
          <w:lang w:val="en-GB"/>
        </w:rPr>
        <w:t xml:space="preserve">. </w:t>
      </w:r>
      <w:r w:rsidRPr="00C5563D">
        <w:rPr>
          <w:lang w:val="en-GB"/>
        </w:rPr>
        <w:t>For treatm</w:t>
      </w:r>
      <w:r>
        <w:rPr>
          <w:lang w:val="en-GB"/>
        </w:rPr>
        <w:t xml:space="preserve">ent of TLS, correct electrolyte </w:t>
      </w:r>
      <w:r w:rsidRPr="00C5563D">
        <w:rPr>
          <w:lang w:val="en-GB"/>
        </w:rPr>
        <w:t>abnormalities, monitor renal function an</w:t>
      </w:r>
      <w:r>
        <w:rPr>
          <w:lang w:val="en-GB"/>
        </w:rPr>
        <w:t xml:space="preserve">d fluid balance, and administer supportive </w:t>
      </w:r>
      <w:r w:rsidRPr="00C5563D">
        <w:rPr>
          <w:lang w:val="en-GB"/>
        </w:rPr>
        <w:t>care, including dialysis as indicated</w:t>
      </w:r>
      <w:r w:rsidR="005E6539">
        <w:rPr>
          <w:lang w:val="en-GB"/>
        </w:rPr>
        <w:t xml:space="preserve"> (see PRECAUTIONS, </w:t>
      </w:r>
      <w:r w:rsidR="005E6539" w:rsidRPr="005E6539">
        <w:rPr>
          <w:i/>
          <w:lang w:val="en-GB"/>
        </w:rPr>
        <w:t>Worsening of Pre-existing Cardiac Conditions</w:t>
      </w:r>
      <w:r w:rsidR="005E6539">
        <w:rPr>
          <w:lang w:val="en-GB"/>
        </w:rPr>
        <w:t>)</w:t>
      </w:r>
      <w:r w:rsidRPr="00C5563D">
        <w:rPr>
          <w:lang w:val="en-GB"/>
        </w:rPr>
        <w:t>.</w:t>
      </w:r>
    </w:p>
    <w:p w:rsidR="00022B28" w:rsidRDefault="00022B28" w:rsidP="00CE3639">
      <w:pPr>
        <w:pStyle w:val="Heading2"/>
        <w:numPr>
          <w:ilvl w:val="0"/>
          <w:numId w:val="0"/>
        </w:numPr>
        <w:rPr>
          <w:lang w:val="en-GB"/>
        </w:rPr>
      </w:pPr>
      <w:r>
        <w:rPr>
          <w:lang w:val="en-GB"/>
        </w:rPr>
        <w:t>Neutropenia</w:t>
      </w:r>
    </w:p>
    <w:p w:rsidR="00022B28" w:rsidRPr="00022B28" w:rsidRDefault="00C8528C" w:rsidP="00022B28">
      <w:pPr>
        <w:rPr>
          <w:i/>
          <w:lang w:val="en-GB"/>
        </w:rPr>
      </w:pPr>
      <w:r>
        <w:rPr>
          <w:lang w:val="en-GB"/>
        </w:rPr>
        <w:t xml:space="preserve">Severe and life-threatening </w:t>
      </w:r>
      <w:r w:rsidR="00E21CD1" w:rsidRPr="000E69D4">
        <w:rPr>
          <w:lang w:val="en-GB"/>
        </w:rPr>
        <w:t>neutropenia including febrile neutropenia ha</w:t>
      </w:r>
      <w:r w:rsidR="00E21CD1">
        <w:rPr>
          <w:lang w:val="en-GB"/>
        </w:rPr>
        <w:t xml:space="preserve">s been reported during treatment with </w:t>
      </w:r>
      <w:r w:rsidR="00395BD6">
        <w:rPr>
          <w:lang w:val="en-US"/>
        </w:rPr>
        <w:t>Gazyva</w:t>
      </w:r>
      <w:r w:rsidR="00E21CD1" w:rsidRPr="000E69D4">
        <w:rPr>
          <w:lang w:val="en-GB"/>
        </w:rPr>
        <w:t>. Patients who e</w:t>
      </w:r>
      <w:r w:rsidR="00E21CD1">
        <w:rPr>
          <w:lang w:val="en-GB"/>
        </w:rPr>
        <w:t xml:space="preserve">xperience neutropenia should be closely monitored </w:t>
      </w:r>
      <w:r w:rsidR="00E21CD1" w:rsidRPr="000E69D4">
        <w:rPr>
          <w:lang w:val="en-GB"/>
        </w:rPr>
        <w:t>with regular labora</w:t>
      </w:r>
      <w:r w:rsidR="00E21CD1">
        <w:rPr>
          <w:lang w:val="en-GB"/>
        </w:rPr>
        <w:t xml:space="preserve">tory tests until resolution. </w:t>
      </w:r>
      <w:r w:rsidR="00AC4BB8">
        <w:rPr>
          <w:lang w:val="en-GB"/>
        </w:rPr>
        <w:t xml:space="preserve">Concomitant infection should be treated as </w:t>
      </w:r>
      <w:r w:rsidR="00AC4BB8" w:rsidRPr="00E8637D">
        <w:rPr>
          <w:lang w:val="en-GB"/>
        </w:rPr>
        <w:t xml:space="preserve">appropriate. </w:t>
      </w:r>
      <w:r w:rsidR="00200719" w:rsidRPr="00E8637D">
        <w:rPr>
          <w:lang w:val="en-GB"/>
        </w:rPr>
        <w:t xml:space="preserve">Dose delays should be considered in case of severe or life threatening neutropenia. It is strongly recommended that patients with severe neutropenia lasting more than 1 week receive antimicrobial prophylaxis throughout the treatment period until resolution to Grade 1 or 2. Antiviral and antifungal prophylaxis should also be considered. </w:t>
      </w:r>
      <w:r w:rsidR="00E21CD1" w:rsidRPr="00E8637D">
        <w:rPr>
          <w:lang w:val="en-GB"/>
        </w:rPr>
        <w:t xml:space="preserve">If treatment is necessary, it should be administered in accordance with local guidelines, and administration </w:t>
      </w:r>
      <w:r w:rsidR="00E21CD1" w:rsidRPr="00E8637D">
        <w:rPr>
          <w:lang w:val="en-GB"/>
        </w:rPr>
        <w:lastRenderedPageBreak/>
        <w:t>of granulocyte colony-stimulating factors</w:t>
      </w:r>
      <w:r w:rsidR="00BA4FAC" w:rsidRPr="00E8637D">
        <w:rPr>
          <w:lang w:val="en-GB"/>
        </w:rPr>
        <w:t xml:space="preserve"> (G-CSF)</w:t>
      </w:r>
      <w:r w:rsidR="00E21CD1" w:rsidRPr="00E8637D">
        <w:rPr>
          <w:lang w:val="en-GB"/>
        </w:rPr>
        <w:t xml:space="preserve"> should be considered. </w:t>
      </w:r>
      <w:r w:rsidR="000D2958">
        <w:rPr>
          <w:lang w:val="en-GB"/>
        </w:rPr>
        <w:t>L</w:t>
      </w:r>
      <w:r w:rsidR="00E21CD1" w:rsidRPr="00E8637D">
        <w:rPr>
          <w:lang w:val="en-GB"/>
        </w:rPr>
        <w:t xml:space="preserve">ate onset neutropenia (occurring 28 days after the end of treatment) or prolonged neutropenia (lasting more than 28 days after treatment has been completed/stopped) </w:t>
      </w:r>
      <w:r w:rsidR="00716AF1">
        <w:rPr>
          <w:lang w:val="en-GB"/>
        </w:rPr>
        <w:t>may occur</w:t>
      </w:r>
      <w:r w:rsidR="00E21CD1" w:rsidRPr="00E8637D">
        <w:rPr>
          <w:lang w:val="en-GB"/>
        </w:rPr>
        <w:t>.</w:t>
      </w:r>
      <w:r w:rsidR="00200719" w:rsidRPr="00E8637D">
        <w:rPr>
          <w:lang w:val="en-GB"/>
        </w:rPr>
        <w:t xml:space="preserve"> Patients with renal impairment (CrCl &lt; 50 mL/min) are more at risk of neutropenia.</w:t>
      </w:r>
    </w:p>
    <w:p w:rsidR="00022B28" w:rsidRDefault="00022B28" w:rsidP="00CE3639">
      <w:pPr>
        <w:pStyle w:val="Heading2"/>
        <w:numPr>
          <w:ilvl w:val="0"/>
          <w:numId w:val="0"/>
        </w:numPr>
        <w:rPr>
          <w:lang w:val="en-GB"/>
        </w:rPr>
      </w:pPr>
      <w:r>
        <w:rPr>
          <w:lang w:val="en-GB"/>
        </w:rPr>
        <w:t>Thrombocytopenia</w:t>
      </w:r>
    </w:p>
    <w:p w:rsidR="00245BD5" w:rsidRPr="004A2E15" w:rsidRDefault="00C8528C" w:rsidP="00245BD5">
      <w:pPr>
        <w:rPr>
          <w:lang w:val="en-GB"/>
        </w:rPr>
      </w:pPr>
      <w:r>
        <w:rPr>
          <w:lang w:val="en-GB"/>
        </w:rPr>
        <w:t>Severe and life-threatening</w:t>
      </w:r>
      <w:r w:rsidR="004A2E15" w:rsidRPr="004A2E15">
        <w:rPr>
          <w:lang w:val="en-GB"/>
        </w:rPr>
        <w:t xml:space="preserve"> </w:t>
      </w:r>
      <w:r w:rsidR="00245BD5" w:rsidRPr="00ED5D37">
        <w:rPr>
          <w:lang w:val="en-GB"/>
        </w:rPr>
        <w:t>thrombocytopenia including a</w:t>
      </w:r>
      <w:r w:rsidR="00245BD5">
        <w:rPr>
          <w:lang w:val="en-GB"/>
        </w:rPr>
        <w:t xml:space="preserve">cute thrombocytopenia (occurring within </w:t>
      </w:r>
      <w:r w:rsidR="00245BD5" w:rsidRPr="00ED5D37">
        <w:rPr>
          <w:lang w:val="en-GB"/>
        </w:rPr>
        <w:t>24 hours after the infusion) has been obser</w:t>
      </w:r>
      <w:r w:rsidR="00245BD5">
        <w:rPr>
          <w:lang w:val="en-GB"/>
        </w:rPr>
        <w:t xml:space="preserve">ved during treatment </w:t>
      </w:r>
      <w:r w:rsidR="00245BD5" w:rsidRPr="00ED5D37">
        <w:rPr>
          <w:lang w:val="en-GB"/>
        </w:rPr>
        <w:t xml:space="preserve">with </w:t>
      </w:r>
      <w:r w:rsidR="00395BD6">
        <w:rPr>
          <w:lang w:val="en-US"/>
        </w:rPr>
        <w:t>Gazyva</w:t>
      </w:r>
      <w:r w:rsidR="00245BD5" w:rsidRPr="00ED5D37">
        <w:rPr>
          <w:lang w:val="en-GB"/>
        </w:rPr>
        <w:t>.</w:t>
      </w:r>
      <w:r w:rsidR="0068136B">
        <w:rPr>
          <w:lang w:val="en-GB"/>
        </w:rPr>
        <w:t xml:space="preserve"> </w:t>
      </w:r>
      <w:r w:rsidR="005178D1">
        <w:rPr>
          <w:lang w:val="en-GB"/>
        </w:rPr>
        <w:t xml:space="preserve">Fatal haemorrhagic events have also been reported in Cycle 1 in patients treated with </w:t>
      </w:r>
      <w:r w:rsidR="00395BD6">
        <w:rPr>
          <w:lang w:val="en-US"/>
        </w:rPr>
        <w:t>Gazyva</w:t>
      </w:r>
      <w:r w:rsidR="005178D1">
        <w:rPr>
          <w:lang w:val="en-GB"/>
        </w:rPr>
        <w:t xml:space="preserve">. A clear relationship between thrombocytopenia and haemorrhagic events has not been established. </w:t>
      </w:r>
    </w:p>
    <w:p w:rsidR="00245BD5" w:rsidRPr="00ED5D37" w:rsidRDefault="00245BD5" w:rsidP="00245BD5">
      <w:pPr>
        <w:rPr>
          <w:lang w:val="en-GB"/>
        </w:rPr>
      </w:pPr>
    </w:p>
    <w:p w:rsidR="00022B28" w:rsidRDefault="00245BD5" w:rsidP="00016089">
      <w:pPr>
        <w:rPr>
          <w:lang w:val="en-GB"/>
        </w:rPr>
      </w:pPr>
      <w:r w:rsidRPr="00ED5D37">
        <w:rPr>
          <w:lang w:val="en-GB"/>
        </w:rPr>
        <w:t xml:space="preserve">Patients </w:t>
      </w:r>
      <w:r>
        <w:rPr>
          <w:lang w:val="en-GB"/>
        </w:rPr>
        <w:t xml:space="preserve">should be closely monitored </w:t>
      </w:r>
      <w:r w:rsidR="0068136B">
        <w:rPr>
          <w:lang w:val="en-GB"/>
        </w:rPr>
        <w:t>for thrombocytopenia, especially during the first cycle;</w:t>
      </w:r>
      <w:r w:rsidR="006D5E7A">
        <w:rPr>
          <w:lang w:val="en-GB"/>
        </w:rPr>
        <w:t xml:space="preserve"> </w:t>
      </w:r>
      <w:r w:rsidRPr="00ED5D37">
        <w:rPr>
          <w:lang w:val="en-GB"/>
        </w:rPr>
        <w:t xml:space="preserve">regular laboratory tests </w:t>
      </w:r>
      <w:r w:rsidR="0068136B">
        <w:rPr>
          <w:lang w:val="en-GB"/>
        </w:rPr>
        <w:t xml:space="preserve">should be performed </w:t>
      </w:r>
      <w:r w:rsidRPr="00ED5D37">
        <w:rPr>
          <w:lang w:val="en-GB"/>
        </w:rPr>
        <w:t xml:space="preserve">until </w:t>
      </w:r>
      <w:r w:rsidR="0068136B">
        <w:rPr>
          <w:lang w:val="en-GB"/>
        </w:rPr>
        <w:t>the event resolves, and dose delays should be considered in case of severe or life-threatening thrombocytopenia</w:t>
      </w:r>
      <w:r>
        <w:rPr>
          <w:lang w:val="en-GB"/>
        </w:rPr>
        <w:t xml:space="preserve">. Transfusion of blood products (i.e. platelet </w:t>
      </w:r>
      <w:r w:rsidRPr="00ED5D37">
        <w:rPr>
          <w:lang w:val="en-GB"/>
        </w:rPr>
        <w:t xml:space="preserve">transfusion) according to institutional </w:t>
      </w:r>
      <w:r>
        <w:rPr>
          <w:lang w:val="en-GB"/>
        </w:rPr>
        <w:t xml:space="preserve">practice is at the </w:t>
      </w:r>
      <w:r w:rsidRPr="00ED5D37">
        <w:rPr>
          <w:lang w:val="en-GB"/>
        </w:rPr>
        <w:t>discr</w:t>
      </w:r>
      <w:r>
        <w:rPr>
          <w:lang w:val="en-GB"/>
        </w:rPr>
        <w:t>etion of the treating physician</w:t>
      </w:r>
      <w:r w:rsidRPr="00ED5D37">
        <w:rPr>
          <w:lang w:val="en-GB"/>
        </w:rPr>
        <w:t>.</w:t>
      </w:r>
    </w:p>
    <w:p w:rsidR="005178D1" w:rsidRDefault="005178D1" w:rsidP="00016089">
      <w:pPr>
        <w:rPr>
          <w:lang w:val="en-GB"/>
        </w:rPr>
      </w:pPr>
    </w:p>
    <w:p w:rsidR="005178D1" w:rsidRDefault="005178D1" w:rsidP="00016089">
      <w:pPr>
        <w:rPr>
          <w:lang w:val="en-GB"/>
        </w:rPr>
      </w:pPr>
      <w:r>
        <w:rPr>
          <w:lang w:val="en-GB"/>
        </w:rPr>
        <w:t xml:space="preserve">Use of </w:t>
      </w:r>
      <w:r w:rsidR="00BA4FAC">
        <w:rPr>
          <w:lang w:val="en-GB"/>
        </w:rPr>
        <w:t xml:space="preserve">any </w:t>
      </w:r>
      <w:r>
        <w:rPr>
          <w:lang w:val="en-GB"/>
        </w:rPr>
        <w:t>concomitant therapies which could possibly worsen thrombocytopenia</w:t>
      </w:r>
      <w:r w:rsidR="00BA4FAC">
        <w:rPr>
          <w:lang w:val="en-GB"/>
        </w:rPr>
        <w:t>-</w:t>
      </w:r>
      <w:r>
        <w:rPr>
          <w:lang w:val="en-GB"/>
        </w:rPr>
        <w:t>related events</w:t>
      </w:r>
      <w:r w:rsidR="00BE0264">
        <w:rPr>
          <w:lang w:val="en-GB"/>
        </w:rPr>
        <w:t>,</w:t>
      </w:r>
      <w:r>
        <w:rPr>
          <w:lang w:val="en-GB"/>
        </w:rPr>
        <w:t xml:space="preserve"> such as platelet inhibitors and anticoagulants, should also be taken into consideration, especially during the first cycle.</w:t>
      </w:r>
    </w:p>
    <w:p w:rsidR="00022B28" w:rsidRDefault="008B7596" w:rsidP="00CE3639">
      <w:pPr>
        <w:pStyle w:val="Heading2"/>
        <w:numPr>
          <w:ilvl w:val="0"/>
          <w:numId w:val="0"/>
        </w:numPr>
        <w:rPr>
          <w:lang w:val="en-GB"/>
        </w:rPr>
      </w:pPr>
      <w:r>
        <w:rPr>
          <w:lang w:val="en-GB"/>
        </w:rPr>
        <w:t xml:space="preserve">Worsening of Pre-existing </w:t>
      </w:r>
      <w:r w:rsidR="00022B28">
        <w:rPr>
          <w:lang w:val="en-GB"/>
        </w:rPr>
        <w:t xml:space="preserve">Cardiac </w:t>
      </w:r>
      <w:r>
        <w:rPr>
          <w:lang w:val="en-GB"/>
        </w:rPr>
        <w:t>Conditions</w:t>
      </w:r>
    </w:p>
    <w:p w:rsidR="00022B28" w:rsidRPr="00287F31" w:rsidRDefault="00287F31" w:rsidP="00016089">
      <w:pPr>
        <w:rPr>
          <w:lang w:val="en-GB"/>
        </w:rPr>
      </w:pPr>
      <w:r w:rsidRPr="004D0336">
        <w:rPr>
          <w:lang w:val="en-GB"/>
        </w:rPr>
        <w:t>In patients with underlying cardiac disease, arrhythmi</w:t>
      </w:r>
      <w:r>
        <w:rPr>
          <w:lang w:val="en-GB"/>
        </w:rPr>
        <w:t xml:space="preserve">as </w:t>
      </w:r>
      <w:r w:rsidR="00917ED8">
        <w:rPr>
          <w:lang w:val="en-GB"/>
        </w:rPr>
        <w:t>(</w:t>
      </w:r>
      <w:r>
        <w:rPr>
          <w:lang w:val="en-GB"/>
        </w:rPr>
        <w:t xml:space="preserve">such as atrial fibrillation and </w:t>
      </w:r>
      <w:r w:rsidRPr="004D0336">
        <w:rPr>
          <w:lang w:val="en-GB"/>
        </w:rPr>
        <w:t>tachyarrhythmia</w:t>
      </w:r>
      <w:r w:rsidR="00917ED8">
        <w:rPr>
          <w:lang w:val="en-GB"/>
        </w:rPr>
        <w:t>)</w:t>
      </w:r>
      <w:r w:rsidRPr="004D0336">
        <w:rPr>
          <w:lang w:val="en-GB"/>
        </w:rPr>
        <w:t>, angina pectoris, acut</w:t>
      </w:r>
      <w:r>
        <w:rPr>
          <w:lang w:val="en-GB"/>
        </w:rPr>
        <w:t xml:space="preserve">e coronary syndrome, myocardial infarction and heart </w:t>
      </w:r>
      <w:r w:rsidRPr="004D0336">
        <w:rPr>
          <w:lang w:val="en-GB"/>
        </w:rPr>
        <w:t>failure have occurred whe</w:t>
      </w:r>
      <w:r>
        <w:rPr>
          <w:lang w:val="en-GB"/>
        </w:rPr>
        <w:t xml:space="preserve">n treated with </w:t>
      </w:r>
      <w:r w:rsidR="00395BD6">
        <w:rPr>
          <w:lang w:val="en-US"/>
        </w:rPr>
        <w:t>Gazyva</w:t>
      </w:r>
      <w:r>
        <w:rPr>
          <w:lang w:val="en-GB"/>
        </w:rPr>
        <w:t xml:space="preserve"> (see ADVERSE EFFECTS). </w:t>
      </w:r>
      <w:r w:rsidRPr="004D0336">
        <w:rPr>
          <w:lang w:val="en-GB"/>
        </w:rPr>
        <w:t xml:space="preserve">These events </w:t>
      </w:r>
      <w:r>
        <w:rPr>
          <w:lang w:val="en-GB"/>
        </w:rPr>
        <w:t xml:space="preserve">may occur as part of an IRR and </w:t>
      </w:r>
      <w:r w:rsidRPr="004D0336">
        <w:rPr>
          <w:lang w:val="en-GB"/>
        </w:rPr>
        <w:t>can be fatal. Th</w:t>
      </w:r>
      <w:r>
        <w:rPr>
          <w:lang w:val="en-GB"/>
        </w:rPr>
        <w:t xml:space="preserve">erefore patients with a history of cardiac disease should be </w:t>
      </w:r>
      <w:r w:rsidRPr="004D0336">
        <w:rPr>
          <w:lang w:val="en-GB"/>
        </w:rPr>
        <w:t>monitored closely. In addition these patients</w:t>
      </w:r>
      <w:r>
        <w:rPr>
          <w:lang w:val="en-GB"/>
        </w:rPr>
        <w:t xml:space="preserve"> should be hydrated with caution in </w:t>
      </w:r>
      <w:r w:rsidRPr="004D0336">
        <w:rPr>
          <w:lang w:val="en-GB"/>
        </w:rPr>
        <w:t>order to pre</w:t>
      </w:r>
      <w:r>
        <w:rPr>
          <w:lang w:val="en-GB"/>
        </w:rPr>
        <w:t>vent a potential fluid overload</w:t>
      </w:r>
      <w:r w:rsidRPr="004D0336">
        <w:rPr>
          <w:lang w:val="en-GB"/>
        </w:rPr>
        <w:t>.</w:t>
      </w:r>
    </w:p>
    <w:p w:rsidR="00414BFC" w:rsidRDefault="00414BFC" w:rsidP="00CE3639">
      <w:pPr>
        <w:pStyle w:val="Heading2"/>
        <w:numPr>
          <w:ilvl w:val="0"/>
          <w:numId w:val="0"/>
        </w:numPr>
        <w:rPr>
          <w:lang w:val="en-GB"/>
        </w:rPr>
      </w:pPr>
      <w:r>
        <w:rPr>
          <w:lang w:val="en-GB"/>
        </w:rPr>
        <w:t>Infections</w:t>
      </w:r>
    </w:p>
    <w:p w:rsidR="00414BFC" w:rsidRDefault="00395BD6" w:rsidP="00016089">
      <w:pPr>
        <w:rPr>
          <w:lang w:val="en-GB"/>
        </w:rPr>
      </w:pPr>
      <w:r>
        <w:rPr>
          <w:lang w:val="en-US"/>
        </w:rPr>
        <w:t>Gazyva</w:t>
      </w:r>
      <w:r w:rsidR="006C0E1A" w:rsidRPr="002F425C">
        <w:rPr>
          <w:lang w:val="en-GB"/>
        </w:rPr>
        <w:t xml:space="preserve"> should not be administered in the presence</w:t>
      </w:r>
      <w:r w:rsidR="006C0E1A">
        <w:rPr>
          <w:lang w:val="en-GB"/>
        </w:rPr>
        <w:t xml:space="preserve"> of an active infection and caution </w:t>
      </w:r>
      <w:r w:rsidR="006C0E1A" w:rsidRPr="002F425C">
        <w:rPr>
          <w:lang w:val="en-GB"/>
        </w:rPr>
        <w:t>should be exercised when consid</w:t>
      </w:r>
      <w:r w:rsidR="006C0E1A">
        <w:rPr>
          <w:lang w:val="en-GB"/>
        </w:rPr>
        <w:t xml:space="preserve">ering the use of </w:t>
      </w:r>
      <w:r>
        <w:rPr>
          <w:lang w:val="en-US"/>
        </w:rPr>
        <w:t>Gazyva</w:t>
      </w:r>
      <w:r w:rsidR="006C0E1A">
        <w:rPr>
          <w:lang w:val="en-GB"/>
        </w:rPr>
        <w:t xml:space="preserve"> in patients with a history of </w:t>
      </w:r>
      <w:r w:rsidR="006C0E1A" w:rsidRPr="002F425C">
        <w:rPr>
          <w:lang w:val="en-GB"/>
        </w:rPr>
        <w:t>recurring or chronic infectio</w:t>
      </w:r>
      <w:r w:rsidR="006C0E1A">
        <w:rPr>
          <w:lang w:val="en-GB"/>
        </w:rPr>
        <w:t xml:space="preserve">ns. Serious, bacterial, fungal, and new or reactivated viral </w:t>
      </w:r>
      <w:r w:rsidR="006C0E1A" w:rsidRPr="002F425C">
        <w:rPr>
          <w:lang w:val="en-GB"/>
        </w:rPr>
        <w:t>infections can occur during and followin</w:t>
      </w:r>
      <w:r w:rsidR="006C0E1A">
        <w:rPr>
          <w:lang w:val="en-GB"/>
        </w:rPr>
        <w:t xml:space="preserve">g the </w:t>
      </w:r>
      <w:r w:rsidR="006C0E1A" w:rsidRPr="002F425C">
        <w:rPr>
          <w:lang w:val="en-GB"/>
        </w:rPr>
        <w:t xml:space="preserve">completion of </w:t>
      </w:r>
      <w:r>
        <w:rPr>
          <w:lang w:val="en-US"/>
        </w:rPr>
        <w:t>Gazyva</w:t>
      </w:r>
      <w:r w:rsidR="006C0E1A" w:rsidRPr="002F425C">
        <w:rPr>
          <w:lang w:val="en-GB"/>
        </w:rPr>
        <w:t xml:space="preserve"> therapy.</w:t>
      </w:r>
      <w:r w:rsidR="0073595E">
        <w:rPr>
          <w:lang w:val="en-GB"/>
        </w:rPr>
        <w:t xml:space="preserve"> </w:t>
      </w:r>
      <w:r w:rsidR="003306B2">
        <w:rPr>
          <w:lang w:val="en-GB"/>
        </w:rPr>
        <w:t>Fatal infections have been reported.</w:t>
      </w:r>
      <w:r w:rsidR="00204D70">
        <w:rPr>
          <w:lang w:val="en-GB"/>
        </w:rPr>
        <w:t xml:space="preserve"> </w:t>
      </w:r>
      <w:r w:rsidR="00204D70" w:rsidRPr="00E8637D">
        <w:rPr>
          <w:lang w:val="en-GB"/>
        </w:rPr>
        <w:t>Patients with both CIRS &gt; 6 and CrCl &lt; 70 mL/min are more at risk of infections, including severe infections.</w:t>
      </w:r>
    </w:p>
    <w:p w:rsidR="001E4FA6" w:rsidRDefault="001E4FA6" w:rsidP="00016089">
      <w:pPr>
        <w:rPr>
          <w:lang w:val="en-GB"/>
        </w:rPr>
      </w:pPr>
    </w:p>
    <w:p w:rsidR="001E4FA6" w:rsidRDefault="001E4FA6" w:rsidP="00016089">
      <w:pPr>
        <w:rPr>
          <w:i/>
          <w:lang w:val="en-GB"/>
        </w:rPr>
      </w:pPr>
      <w:r>
        <w:rPr>
          <w:lang w:val="en-GB"/>
        </w:rPr>
        <w:t>In the FL studies, a high incidence of infections was observed in all phases of the studies, including follow-up, with the highest incidence seen in maintenance. During the follow-up phase, Grade 3-5 infections are observed more in patients who received G</w:t>
      </w:r>
      <w:r w:rsidR="00395BD6">
        <w:rPr>
          <w:lang w:val="en-GB"/>
        </w:rPr>
        <w:t>azyva</w:t>
      </w:r>
      <w:r>
        <w:rPr>
          <w:lang w:val="en-GB"/>
        </w:rPr>
        <w:t xml:space="preserve"> plus bendamustine in the induction phase. </w:t>
      </w:r>
    </w:p>
    <w:p w:rsidR="00414BFC" w:rsidRDefault="00414BFC" w:rsidP="00CE3639">
      <w:pPr>
        <w:pStyle w:val="Heading2"/>
        <w:numPr>
          <w:ilvl w:val="0"/>
          <w:numId w:val="0"/>
        </w:numPr>
        <w:rPr>
          <w:lang w:val="en-GB"/>
        </w:rPr>
      </w:pPr>
      <w:r>
        <w:rPr>
          <w:lang w:val="en-GB"/>
        </w:rPr>
        <w:t>Hepatitis B reactivation</w:t>
      </w:r>
    </w:p>
    <w:p w:rsidR="00E32F68" w:rsidRDefault="00E32F68" w:rsidP="00E32F68">
      <w:pPr>
        <w:rPr>
          <w:lang w:val="en-GB"/>
        </w:rPr>
      </w:pPr>
      <w:r w:rsidRPr="00E32F68">
        <w:rPr>
          <w:lang w:val="en-GB"/>
        </w:rPr>
        <w:t xml:space="preserve">Hepatitis B virus (HBV) reactivation, in some cases resulting in fulminant hepatitis, hepatic failure and death, can occur in patients treated with anti-CD20 antibodies </w:t>
      </w:r>
      <w:r w:rsidR="008340DA">
        <w:rPr>
          <w:lang w:val="en-GB"/>
        </w:rPr>
        <w:t>including</w:t>
      </w:r>
      <w:r w:rsidRPr="00E32F68">
        <w:rPr>
          <w:lang w:val="en-GB"/>
        </w:rPr>
        <w:t xml:space="preserve"> </w:t>
      </w:r>
      <w:r w:rsidR="00870096">
        <w:rPr>
          <w:lang w:val="en-GB"/>
        </w:rPr>
        <w:t xml:space="preserve">Gazyva </w:t>
      </w:r>
      <w:r w:rsidR="008340DA">
        <w:rPr>
          <w:lang w:val="en-GB"/>
        </w:rPr>
        <w:t>(see ADVERSE EFFECTS)</w:t>
      </w:r>
      <w:r w:rsidRPr="00E32F68">
        <w:rPr>
          <w:lang w:val="en-GB"/>
        </w:rPr>
        <w:t xml:space="preserve">. HBV reactivation has been reported in patients who are hepatitis B surface antigen (HBsAg) positive and also in patients who are HBsAg negative but are hepatitis B core antibody (anti-HBc) positive. Reactivation has also occurred in patients who </w:t>
      </w:r>
      <w:r w:rsidRPr="00E32F68">
        <w:rPr>
          <w:lang w:val="en-GB"/>
        </w:rPr>
        <w:lastRenderedPageBreak/>
        <w:t>appear to have resolved hepa</w:t>
      </w:r>
      <w:r w:rsidR="004B0D91">
        <w:rPr>
          <w:lang w:val="en-GB"/>
        </w:rPr>
        <w:t>titis B infection (i.e.</w:t>
      </w:r>
      <w:r w:rsidRPr="00E32F68">
        <w:rPr>
          <w:lang w:val="en-GB"/>
        </w:rPr>
        <w:t xml:space="preserve"> HBsAg negative, anti-HBc positive, and hepatitis B surface antibody [anti HBs] positive).</w:t>
      </w:r>
    </w:p>
    <w:p w:rsidR="004B0D91" w:rsidRPr="00E32F68" w:rsidRDefault="004B0D91" w:rsidP="00E32F68">
      <w:pPr>
        <w:rPr>
          <w:lang w:val="en-GB"/>
        </w:rPr>
      </w:pPr>
    </w:p>
    <w:p w:rsidR="00E32F68" w:rsidRDefault="00E32F68" w:rsidP="00E32F68">
      <w:pPr>
        <w:rPr>
          <w:lang w:val="en-GB"/>
        </w:rPr>
      </w:pPr>
      <w:r w:rsidRPr="00E32F68">
        <w:rPr>
          <w:lang w:val="en-GB"/>
        </w:rPr>
        <w:t>Screen all patients for HBV infection by measuring HBsAg and anti-HBc</w:t>
      </w:r>
      <w:r w:rsidR="00EA4912">
        <w:rPr>
          <w:lang w:val="en-GB"/>
        </w:rPr>
        <w:t>. The results of HBsAg and anti-HBc testing should be known in all patients</w:t>
      </w:r>
      <w:r w:rsidRPr="00E32F68">
        <w:rPr>
          <w:lang w:val="en-GB"/>
        </w:rPr>
        <w:t xml:space="preserve"> before initiating treatment with</w:t>
      </w:r>
      <w:r w:rsidR="004B0D91">
        <w:rPr>
          <w:lang w:val="en-GB"/>
        </w:rPr>
        <w:t xml:space="preserve"> </w:t>
      </w:r>
      <w:r w:rsidR="00870096">
        <w:rPr>
          <w:lang w:val="en-GB"/>
        </w:rPr>
        <w:t>Gazyva</w:t>
      </w:r>
      <w:r w:rsidRPr="00E32F68">
        <w:rPr>
          <w:lang w:val="en-GB"/>
        </w:rPr>
        <w:t>. For patients who show evidence of hepatitis B infection (HBsAg positive [regardless of antibody status] or HBsAg negative but anti-HBc positive), consult physicians with expertise in managing hepatitis B regarding monitoring and considera</w:t>
      </w:r>
      <w:r w:rsidR="004B0D91">
        <w:rPr>
          <w:lang w:val="en-GB"/>
        </w:rPr>
        <w:t>tion for HBV antiviral therapy.</w:t>
      </w:r>
    </w:p>
    <w:p w:rsidR="004B0D91" w:rsidRPr="00E32F68" w:rsidRDefault="004B0D91" w:rsidP="00E32F68">
      <w:pPr>
        <w:rPr>
          <w:lang w:val="en-GB"/>
        </w:rPr>
      </w:pPr>
    </w:p>
    <w:p w:rsidR="00E32F68" w:rsidRDefault="00E32F68" w:rsidP="00E32F68">
      <w:pPr>
        <w:rPr>
          <w:lang w:val="en-GB"/>
        </w:rPr>
      </w:pPr>
      <w:r w:rsidRPr="00E32F68">
        <w:rPr>
          <w:lang w:val="en-GB"/>
        </w:rPr>
        <w:t xml:space="preserve">Monitor patients with evidence of current or prior HBV infection for clinical and laboratory signs of hepatitis or HBV reactivation during and for at least 12 months following treatment with </w:t>
      </w:r>
      <w:r w:rsidR="00395BD6">
        <w:rPr>
          <w:lang w:val="en-US"/>
        </w:rPr>
        <w:t>Gazyva</w:t>
      </w:r>
      <w:r w:rsidRPr="00E32F68">
        <w:rPr>
          <w:lang w:val="en-GB"/>
        </w:rPr>
        <w:t>. HBV reactivation has been reported for other CD20-directed cytolytic antibodies following completion of therapy.</w:t>
      </w:r>
    </w:p>
    <w:p w:rsidR="004B0D91" w:rsidRPr="00E32F68" w:rsidRDefault="004B0D91" w:rsidP="00E32F68">
      <w:pPr>
        <w:rPr>
          <w:lang w:val="en-GB"/>
        </w:rPr>
      </w:pPr>
    </w:p>
    <w:p w:rsidR="00414BFC" w:rsidRPr="004A2E15" w:rsidRDefault="00E32F68" w:rsidP="00E32F68">
      <w:pPr>
        <w:rPr>
          <w:lang w:val="en-GB"/>
        </w:rPr>
      </w:pPr>
      <w:r w:rsidRPr="00E32F68">
        <w:rPr>
          <w:lang w:val="en-GB"/>
        </w:rPr>
        <w:t xml:space="preserve">In patients who develop reactivation of HBV while receiving </w:t>
      </w:r>
      <w:r w:rsidR="00395BD6">
        <w:rPr>
          <w:lang w:val="en-US"/>
        </w:rPr>
        <w:t>Gazyva</w:t>
      </w:r>
      <w:r w:rsidRPr="00E32F68">
        <w:rPr>
          <w:lang w:val="en-GB"/>
        </w:rPr>
        <w:t xml:space="preserve">, immediately discontinue </w:t>
      </w:r>
      <w:r w:rsidR="00395BD6">
        <w:rPr>
          <w:lang w:val="en-US"/>
        </w:rPr>
        <w:t>Gazyva</w:t>
      </w:r>
      <w:r w:rsidRPr="00E32F68">
        <w:rPr>
          <w:lang w:val="en-GB"/>
        </w:rPr>
        <w:t xml:space="preserve"> and any concomitant chemotherapy, and institute appropriate treatment and refer the patient to a gastroenterologist. Resumption of </w:t>
      </w:r>
      <w:r w:rsidR="00395BD6">
        <w:rPr>
          <w:lang w:val="en-US"/>
        </w:rPr>
        <w:t>Gazyva</w:t>
      </w:r>
      <w:r w:rsidRPr="00E32F68">
        <w:rPr>
          <w:lang w:val="en-GB"/>
        </w:rPr>
        <w:t xml:space="preserve"> in patients whose HBV reactivation resolves should be discussed with physicians with expertise in managing hepatitis B. Insufficient data exist regarding the safety of resuming </w:t>
      </w:r>
      <w:r w:rsidR="00395BD6">
        <w:rPr>
          <w:lang w:val="en-US"/>
        </w:rPr>
        <w:t>Gazyva</w:t>
      </w:r>
      <w:r w:rsidRPr="00E32F68">
        <w:rPr>
          <w:lang w:val="en-GB"/>
        </w:rPr>
        <w:t xml:space="preserve"> in patients who developed HBV reactivation.</w:t>
      </w:r>
    </w:p>
    <w:p w:rsidR="00414BFC" w:rsidRDefault="00414BFC" w:rsidP="00CE3639">
      <w:pPr>
        <w:pStyle w:val="Heading2"/>
        <w:numPr>
          <w:ilvl w:val="0"/>
          <w:numId w:val="0"/>
        </w:numPr>
        <w:rPr>
          <w:lang w:val="en-GB"/>
        </w:rPr>
      </w:pPr>
      <w:r>
        <w:rPr>
          <w:lang w:val="en-GB"/>
        </w:rPr>
        <w:t xml:space="preserve">Progressive </w:t>
      </w:r>
      <w:r w:rsidR="005657AA">
        <w:rPr>
          <w:lang w:val="en-GB"/>
        </w:rPr>
        <w:t>M</w:t>
      </w:r>
      <w:r>
        <w:rPr>
          <w:lang w:val="en-GB"/>
        </w:rPr>
        <w:t xml:space="preserve">ultifocal </w:t>
      </w:r>
      <w:r w:rsidR="005657AA">
        <w:rPr>
          <w:lang w:val="en-GB"/>
        </w:rPr>
        <w:t>L</w:t>
      </w:r>
      <w:r>
        <w:rPr>
          <w:lang w:val="en-GB"/>
        </w:rPr>
        <w:t>eukoencephalopathy</w:t>
      </w:r>
    </w:p>
    <w:p w:rsidR="00414BFC" w:rsidRPr="00A74D00" w:rsidRDefault="00DA0342" w:rsidP="00016089">
      <w:pPr>
        <w:rPr>
          <w:lang w:val="en-GB"/>
        </w:rPr>
      </w:pPr>
      <w:r>
        <w:rPr>
          <w:lang w:val="en-GB"/>
        </w:rPr>
        <w:t>P</w:t>
      </w:r>
      <w:r w:rsidR="00A74D00">
        <w:rPr>
          <w:lang w:val="en-GB"/>
        </w:rPr>
        <w:t>rogressive multifocal l</w:t>
      </w:r>
      <w:r w:rsidR="00A74D00" w:rsidRPr="002D4C5B">
        <w:rPr>
          <w:lang w:val="en-GB"/>
        </w:rPr>
        <w:t xml:space="preserve">eukoencephalopathy </w:t>
      </w:r>
      <w:r w:rsidR="00A74D00">
        <w:rPr>
          <w:lang w:val="en-GB"/>
        </w:rPr>
        <w:t>(</w:t>
      </w:r>
      <w:r w:rsidR="00A74D00" w:rsidRPr="002D4C5B">
        <w:rPr>
          <w:lang w:val="en-GB"/>
        </w:rPr>
        <w:t>PML</w:t>
      </w:r>
      <w:r w:rsidR="00A74D00">
        <w:rPr>
          <w:lang w:val="en-GB"/>
        </w:rPr>
        <w:t>)</w:t>
      </w:r>
      <w:r w:rsidR="00A74D00" w:rsidRPr="002D4C5B">
        <w:rPr>
          <w:lang w:val="en-GB"/>
        </w:rPr>
        <w:t xml:space="preserve"> </w:t>
      </w:r>
      <w:r>
        <w:rPr>
          <w:lang w:val="en-GB"/>
        </w:rPr>
        <w:t>has</w:t>
      </w:r>
      <w:r w:rsidR="00A74D00" w:rsidRPr="002D4C5B">
        <w:rPr>
          <w:lang w:val="en-GB"/>
        </w:rPr>
        <w:t xml:space="preserve"> been reported in patients tr</w:t>
      </w:r>
      <w:r w:rsidR="00A74D00">
        <w:rPr>
          <w:lang w:val="en-GB"/>
        </w:rPr>
        <w:t xml:space="preserve">eated with </w:t>
      </w:r>
      <w:r w:rsidR="00395BD6">
        <w:rPr>
          <w:lang w:val="en-US"/>
        </w:rPr>
        <w:t>Gazyva</w:t>
      </w:r>
      <w:r w:rsidR="00A74D00" w:rsidRPr="002D4C5B">
        <w:rPr>
          <w:lang w:val="en-GB"/>
        </w:rPr>
        <w:t xml:space="preserve"> (see </w:t>
      </w:r>
      <w:r w:rsidR="00642E1C">
        <w:rPr>
          <w:lang w:val="en-GB"/>
        </w:rPr>
        <w:t xml:space="preserve">BOXED WARNING, </w:t>
      </w:r>
      <w:r w:rsidR="00A74D00">
        <w:rPr>
          <w:lang w:val="en-GB"/>
        </w:rPr>
        <w:t xml:space="preserve">ADVERSE EFFECTS). The diagnosis of PML should be </w:t>
      </w:r>
      <w:r w:rsidR="00A74D00" w:rsidRPr="002D4C5B">
        <w:rPr>
          <w:lang w:val="en-GB"/>
        </w:rPr>
        <w:t>considered in any patient presenting with new-onset</w:t>
      </w:r>
      <w:r>
        <w:rPr>
          <w:lang w:val="en-GB"/>
        </w:rPr>
        <w:t xml:space="preserve"> or changes to pre-existing</w:t>
      </w:r>
      <w:r w:rsidR="00A74D00" w:rsidRPr="002D4C5B">
        <w:rPr>
          <w:lang w:val="en-GB"/>
        </w:rPr>
        <w:t xml:space="preserve"> neurologic</w:t>
      </w:r>
      <w:r w:rsidR="00A74D00">
        <w:rPr>
          <w:lang w:val="en-GB"/>
        </w:rPr>
        <w:t xml:space="preserve"> manifestations. The </w:t>
      </w:r>
      <w:r w:rsidR="00A74D00" w:rsidRPr="002D4C5B">
        <w:rPr>
          <w:lang w:val="en-GB"/>
        </w:rPr>
        <w:t xml:space="preserve">symptoms of PML are </w:t>
      </w:r>
      <w:r w:rsidR="00BA4FAC">
        <w:rPr>
          <w:lang w:val="en-GB"/>
        </w:rPr>
        <w:t>non-</w:t>
      </w:r>
      <w:r w:rsidR="00A74D00" w:rsidRPr="002D4C5B">
        <w:rPr>
          <w:lang w:val="en-GB"/>
        </w:rPr>
        <w:t>spe</w:t>
      </w:r>
      <w:r w:rsidR="00A74D00">
        <w:rPr>
          <w:lang w:val="en-GB"/>
        </w:rPr>
        <w:t xml:space="preserve">cific and can vary depending on </w:t>
      </w:r>
      <w:r w:rsidR="00A74D00" w:rsidRPr="002D4C5B">
        <w:rPr>
          <w:lang w:val="en-GB"/>
        </w:rPr>
        <w:t>the affected region of t</w:t>
      </w:r>
      <w:r w:rsidR="00A74D00">
        <w:rPr>
          <w:lang w:val="en-GB"/>
        </w:rPr>
        <w:t xml:space="preserve">he brain. </w:t>
      </w:r>
      <w:r w:rsidR="00A74D00" w:rsidRPr="002D4C5B">
        <w:rPr>
          <w:lang w:val="en-GB"/>
        </w:rPr>
        <w:t>Motor symptoms wi</w:t>
      </w:r>
      <w:r w:rsidR="00A74D00">
        <w:rPr>
          <w:lang w:val="en-GB"/>
        </w:rPr>
        <w:t xml:space="preserve">th corticospinal tract findings </w:t>
      </w:r>
      <w:r w:rsidR="00A74D00" w:rsidRPr="002D4C5B">
        <w:rPr>
          <w:lang w:val="en-GB"/>
        </w:rPr>
        <w:t>(e.g. mu</w:t>
      </w:r>
      <w:r w:rsidR="00A74D00">
        <w:rPr>
          <w:lang w:val="en-GB"/>
        </w:rPr>
        <w:t xml:space="preserve">scular weakness, paralysis, and sensory disturbances), sensory </w:t>
      </w:r>
      <w:r w:rsidR="00A74D00" w:rsidRPr="002D4C5B">
        <w:rPr>
          <w:lang w:val="en-GB"/>
        </w:rPr>
        <w:t>abnormalities, cerebellar sym</w:t>
      </w:r>
      <w:r w:rsidR="00A74D00">
        <w:rPr>
          <w:lang w:val="en-GB"/>
        </w:rPr>
        <w:t xml:space="preserve">ptoms, and visual field defects are common. Some </w:t>
      </w:r>
      <w:r w:rsidR="00A74D00" w:rsidRPr="002D4C5B">
        <w:rPr>
          <w:lang w:val="en-GB"/>
        </w:rPr>
        <w:t>signs/symptoms regarded as “cortical” (e.g. apha</w:t>
      </w:r>
      <w:r w:rsidR="00A74D00">
        <w:rPr>
          <w:lang w:val="en-GB"/>
        </w:rPr>
        <w:t xml:space="preserve">sia or visual-spatial </w:t>
      </w:r>
      <w:r w:rsidR="00A74D00" w:rsidRPr="002D4C5B">
        <w:rPr>
          <w:lang w:val="en-GB"/>
        </w:rPr>
        <w:t>disorientation) may occur. Evaluation of PML i</w:t>
      </w:r>
      <w:r w:rsidR="00A74D00">
        <w:rPr>
          <w:lang w:val="en-GB"/>
        </w:rPr>
        <w:t xml:space="preserve">ncludes, but is not limited to, consultation </w:t>
      </w:r>
      <w:r w:rsidR="00A74D00" w:rsidRPr="002D4C5B">
        <w:rPr>
          <w:lang w:val="en-GB"/>
        </w:rPr>
        <w:t>with a neurologist, brain magnet</w:t>
      </w:r>
      <w:r w:rsidR="00A74D00">
        <w:rPr>
          <w:lang w:val="en-GB"/>
        </w:rPr>
        <w:t xml:space="preserve">ic resonance imaging (MRI), and lumbar puncture (CSF </w:t>
      </w:r>
      <w:r w:rsidR="00A74D00" w:rsidRPr="002D4C5B">
        <w:rPr>
          <w:lang w:val="en-GB"/>
        </w:rPr>
        <w:t>testing for JC viral</w:t>
      </w:r>
      <w:r w:rsidR="00A74D00">
        <w:rPr>
          <w:lang w:val="en-GB"/>
        </w:rPr>
        <w:t xml:space="preserve"> DNA). Therapy with </w:t>
      </w:r>
      <w:r w:rsidR="00395BD6">
        <w:rPr>
          <w:lang w:val="en-US"/>
        </w:rPr>
        <w:t>Gazyva</w:t>
      </w:r>
      <w:r w:rsidR="00A74D00">
        <w:rPr>
          <w:lang w:val="en-GB"/>
        </w:rPr>
        <w:t xml:space="preserve"> </w:t>
      </w:r>
      <w:r w:rsidR="00A74D00" w:rsidRPr="002D4C5B">
        <w:rPr>
          <w:lang w:val="en-GB"/>
        </w:rPr>
        <w:t>should</w:t>
      </w:r>
      <w:r w:rsidR="00A74D00">
        <w:rPr>
          <w:lang w:val="en-GB"/>
        </w:rPr>
        <w:t xml:space="preserve"> be withheld during the </w:t>
      </w:r>
      <w:r w:rsidR="00A74D00" w:rsidRPr="002D4C5B">
        <w:rPr>
          <w:lang w:val="en-GB"/>
        </w:rPr>
        <w:t>investigation o</w:t>
      </w:r>
      <w:r w:rsidR="00A74D00">
        <w:rPr>
          <w:lang w:val="en-GB"/>
        </w:rPr>
        <w:t xml:space="preserve">f potential PML and permanently </w:t>
      </w:r>
      <w:r w:rsidR="00A74D00" w:rsidRPr="002D4C5B">
        <w:rPr>
          <w:lang w:val="en-GB"/>
        </w:rPr>
        <w:t>discont</w:t>
      </w:r>
      <w:r w:rsidR="00A74D00">
        <w:rPr>
          <w:lang w:val="en-GB"/>
        </w:rPr>
        <w:t xml:space="preserve">inued in case of confirmed PML. </w:t>
      </w:r>
      <w:r w:rsidR="00A74D00" w:rsidRPr="002D4C5B">
        <w:rPr>
          <w:lang w:val="en-GB"/>
        </w:rPr>
        <w:t>Disc</w:t>
      </w:r>
      <w:r w:rsidR="00A74D00">
        <w:rPr>
          <w:lang w:val="en-GB"/>
        </w:rPr>
        <w:t xml:space="preserve">ontinuation or reduction of any </w:t>
      </w:r>
      <w:r w:rsidR="00A74D00" w:rsidRPr="002D4C5B">
        <w:rPr>
          <w:lang w:val="en-GB"/>
        </w:rPr>
        <w:t>concomitant ch</w:t>
      </w:r>
      <w:r w:rsidR="00A74D00">
        <w:rPr>
          <w:lang w:val="en-GB"/>
        </w:rPr>
        <w:t xml:space="preserve">emotherapy or immunosuppressive therapy should also be </w:t>
      </w:r>
      <w:r w:rsidR="00A74D00" w:rsidRPr="002D4C5B">
        <w:rPr>
          <w:lang w:val="en-GB"/>
        </w:rPr>
        <w:t>considered. The patient should be referre</w:t>
      </w:r>
      <w:r w:rsidR="00A74D00">
        <w:rPr>
          <w:lang w:val="en-GB"/>
        </w:rPr>
        <w:t xml:space="preserve">d to a neurologist for the evaluation and </w:t>
      </w:r>
      <w:r w:rsidR="00A74D00" w:rsidRPr="002D4C5B">
        <w:rPr>
          <w:lang w:val="en-GB"/>
        </w:rPr>
        <w:t>treatment of PML.</w:t>
      </w:r>
    </w:p>
    <w:p w:rsidR="00414BFC" w:rsidRDefault="00414BFC" w:rsidP="00CE3639">
      <w:pPr>
        <w:pStyle w:val="Heading2"/>
        <w:numPr>
          <w:ilvl w:val="0"/>
          <w:numId w:val="0"/>
        </w:numPr>
        <w:rPr>
          <w:lang w:val="en-GB"/>
        </w:rPr>
      </w:pPr>
      <w:r>
        <w:rPr>
          <w:lang w:val="en-GB"/>
        </w:rPr>
        <w:t>Immunisation</w:t>
      </w:r>
    </w:p>
    <w:p w:rsidR="00414BFC" w:rsidRDefault="00365283" w:rsidP="00016089">
      <w:pPr>
        <w:rPr>
          <w:lang w:val="en-GB"/>
        </w:rPr>
      </w:pPr>
      <w:r>
        <w:rPr>
          <w:lang w:val="en-GB"/>
        </w:rPr>
        <w:t>The safety of immunisation with live or attenuated viral vaccines,</w:t>
      </w:r>
      <w:r w:rsidR="00EA4912">
        <w:rPr>
          <w:lang w:val="en-GB"/>
        </w:rPr>
        <w:t xml:space="preserve"> during or</w:t>
      </w:r>
      <w:r>
        <w:rPr>
          <w:lang w:val="en-GB"/>
        </w:rPr>
        <w:t xml:space="preserve"> following </w:t>
      </w:r>
      <w:r w:rsidR="00395BD6">
        <w:rPr>
          <w:lang w:val="en-US"/>
        </w:rPr>
        <w:t>Gazyva</w:t>
      </w:r>
      <w:r>
        <w:rPr>
          <w:lang w:val="en-GB"/>
        </w:rPr>
        <w:t xml:space="preserve"> therapy has not been studied</w:t>
      </w:r>
      <w:r w:rsidR="006D1855">
        <w:rPr>
          <w:lang w:val="en-GB"/>
        </w:rPr>
        <w:t>.</w:t>
      </w:r>
      <w:r>
        <w:rPr>
          <w:lang w:val="en-GB"/>
        </w:rPr>
        <w:t xml:space="preserve"> </w:t>
      </w:r>
      <w:r w:rsidR="006D1855">
        <w:rPr>
          <w:lang w:val="en-GB"/>
        </w:rPr>
        <w:t>V</w:t>
      </w:r>
      <w:r>
        <w:rPr>
          <w:lang w:val="en-GB"/>
        </w:rPr>
        <w:t>accination with live virus vaccines is not recommended during treatment and until B-cell recovery.</w:t>
      </w:r>
      <w:r w:rsidR="006D1855">
        <w:rPr>
          <w:lang w:val="en-GB"/>
        </w:rPr>
        <w:t xml:space="preserve"> Treatment with </w:t>
      </w:r>
      <w:r w:rsidR="00395BD6">
        <w:rPr>
          <w:lang w:val="en-US"/>
        </w:rPr>
        <w:t>Gazyva</w:t>
      </w:r>
      <w:r w:rsidR="006D1855">
        <w:rPr>
          <w:lang w:val="en-GB"/>
        </w:rPr>
        <w:t xml:space="preserve"> following vaccination should only commence once protective antibody titres have been reached.</w:t>
      </w:r>
    </w:p>
    <w:p w:rsidR="00BA4FAC" w:rsidRDefault="00BA4FAC" w:rsidP="00016089">
      <w:pPr>
        <w:rPr>
          <w:lang w:val="en-GB"/>
        </w:rPr>
      </w:pPr>
    </w:p>
    <w:p w:rsidR="00BA4FAC" w:rsidRPr="00414BFC" w:rsidRDefault="00BA4FAC" w:rsidP="00BA4FAC">
      <w:pPr>
        <w:rPr>
          <w:lang w:val="en-GB"/>
        </w:rPr>
      </w:pPr>
      <w:r w:rsidRPr="00421F12">
        <w:rPr>
          <w:i/>
          <w:lang w:val="en-GB"/>
        </w:rPr>
        <w:t>Exposure in utero to G</w:t>
      </w:r>
      <w:r w:rsidR="00395BD6">
        <w:rPr>
          <w:i/>
          <w:lang w:val="en-GB"/>
        </w:rPr>
        <w:t>azyva</w:t>
      </w:r>
      <w:r w:rsidRPr="00421F12">
        <w:rPr>
          <w:i/>
          <w:lang w:val="en-GB"/>
        </w:rPr>
        <w:t xml:space="preserve"> and vaccination of infants with live virus vaccines</w:t>
      </w:r>
      <w:r>
        <w:rPr>
          <w:lang w:val="en-GB"/>
        </w:rPr>
        <w:t xml:space="preserve">: </w:t>
      </w:r>
      <w:r w:rsidRPr="00BA4FAC">
        <w:rPr>
          <w:lang w:val="en-GB"/>
        </w:rPr>
        <w:t xml:space="preserve">Due to the potential depletion of B cells in infants of mothers who have been exposed to </w:t>
      </w:r>
      <w:r w:rsidR="00395BD6">
        <w:rPr>
          <w:lang w:val="en-US"/>
        </w:rPr>
        <w:t>Gazyva</w:t>
      </w:r>
      <w:r w:rsidRPr="00BA4FAC">
        <w:rPr>
          <w:lang w:val="en-GB"/>
        </w:rPr>
        <w:t xml:space="preserve"> during pregnancy, the safety and timing of vaccinations with live virus vaccines should be discussed with the child’s healthcare provider. Postponing vaccination with live vaccines should be considered for infants born to mothers who have been exposed to </w:t>
      </w:r>
      <w:r w:rsidR="00395BD6">
        <w:rPr>
          <w:lang w:val="en-US"/>
        </w:rPr>
        <w:t>Gazyva</w:t>
      </w:r>
      <w:r w:rsidRPr="00BA4FAC">
        <w:rPr>
          <w:lang w:val="en-GB"/>
        </w:rPr>
        <w:t xml:space="preserve"> during pregnancy </w:t>
      </w:r>
      <w:r w:rsidRPr="00BA4FAC">
        <w:rPr>
          <w:lang w:val="en-GB"/>
        </w:rPr>
        <w:lastRenderedPageBreak/>
        <w:t xml:space="preserve">until the infants’ B cell levels are within normal ranges (see </w:t>
      </w:r>
      <w:r w:rsidR="00421F12">
        <w:rPr>
          <w:lang w:val="en-GB"/>
        </w:rPr>
        <w:t>PRECAUTIONS</w:t>
      </w:r>
      <w:r w:rsidRPr="00BA4FAC">
        <w:rPr>
          <w:lang w:val="en-GB"/>
        </w:rPr>
        <w:t xml:space="preserve"> </w:t>
      </w:r>
      <w:r w:rsidR="00421F12" w:rsidRPr="00421F12">
        <w:rPr>
          <w:i/>
        </w:rPr>
        <w:t>Use in pregnancy</w:t>
      </w:r>
      <w:r w:rsidR="00421F12">
        <w:rPr>
          <w:lang w:val="en-GB"/>
        </w:rPr>
        <w:t>)</w:t>
      </w:r>
      <w:r w:rsidRPr="00BA4FAC">
        <w:rPr>
          <w:lang w:val="en-GB"/>
        </w:rPr>
        <w:t>.</w:t>
      </w:r>
    </w:p>
    <w:p w:rsidR="00385F31" w:rsidRPr="00AD52E8" w:rsidRDefault="00385F31" w:rsidP="00CE3639">
      <w:pPr>
        <w:pStyle w:val="Heading2"/>
        <w:numPr>
          <w:ilvl w:val="0"/>
          <w:numId w:val="0"/>
        </w:numPr>
      </w:pPr>
      <w:r w:rsidRPr="00AD52E8">
        <w:t>Use in renal impairment</w:t>
      </w:r>
    </w:p>
    <w:p w:rsidR="00475599" w:rsidRPr="00F068A0" w:rsidRDefault="00475599" w:rsidP="008A5C8F">
      <w:pPr>
        <w:spacing w:after="120"/>
      </w:pPr>
      <w:r w:rsidRPr="00F068A0">
        <w:rPr>
          <w:b/>
        </w:rPr>
        <w:t>Chronic Lymphocytic Leukaemia</w:t>
      </w:r>
    </w:p>
    <w:p w:rsidR="001504C9" w:rsidRDefault="00526BDF" w:rsidP="008A5C8F">
      <w:pPr>
        <w:spacing w:after="120"/>
      </w:pPr>
      <w:r>
        <w:t>In the pivotal study</w:t>
      </w:r>
      <w:r w:rsidR="00475599">
        <w:t xml:space="preserve"> in CLL</w:t>
      </w:r>
      <w:r>
        <w:t>, 2</w:t>
      </w:r>
      <w:r w:rsidR="00963454">
        <w:t>7</w:t>
      </w:r>
      <w:r>
        <w:t>% (</w:t>
      </w:r>
      <w:r w:rsidR="00963454">
        <w:t>90</w:t>
      </w:r>
      <w:r>
        <w:t xml:space="preserve"> out of </w:t>
      </w:r>
      <w:r w:rsidR="00963454">
        <w:t>336</w:t>
      </w:r>
      <w:r>
        <w:t xml:space="preserve">) of </w:t>
      </w:r>
      <w:r w:rsidR="00963454">
        <w:t xml:space="preserve">patients treated with </w:t>
      </w:r>
      <w:r w:rsidR="00395BD6">
        <w:rPr>
          <w:lang w:val="en-US"/>
        </w:rPr>
        <w:t>Gazyva</w:t>
      </w:r>
      <w:r w:rsidR="00963454">
        <w:t xml:space="preserve"> plus chlorambucil</w:t>
      </w:r>
      <w:r>
        <w:t xml:space="preserve"> had moderate renal impairment (</w:t>
      </w:r>
      <w:r w:rsidR="00963454">
        <w:t>CrCl</w:t>
      </w:r>
      <w:r>
        <w:t xml:space="preserve"> &lt;</w:t>
      </w:r>
      <w:r w:rsidR="00475599">
        <w:t xml:space="preserve"> </w:t>
      </w:r>
      <w:r>
        <w:t xml:space="preserve">50 mL/min). These patients experienced more serious adverse events and adverse events leading to death than those </w:t>
      </w:r>
      <w:r w:rsidR="00475599">
        <w:t xml:space="preserve">associated </w:t>
      </w:r>
      <w:r>
        <w:t xml:space="preserve">with </w:t>
      </w:r>
      <w:r w:rsidR="00963454">
        <w:t>CrCl</w:t>
      </w:r>
      <w:r>
        <w:t xml:space="preserve"> ≥ 50 mL/min</w:t>
      </w:r>
      <w:r w:rsidRPr="004A2E15">
        <w:t xml:space="preserve"> </w:t>
      </w:r>
      <w:r>
        <w:t xml:space="preserve">(see DOSAGE AND ADMINISTRATION and PHARMACOLOGY </w:t>
      </w:r>
      <w:r w:rsidRPr="008C7E0E">
        <w:rPr>
          <w:i/>
        </w:rPr>
        <w:t>Pharmacokinetics in special populations</w:t>
      </w:r>
      <w:r>
        <w:t>).</w:t>
      </w:r>
      <w:r w:rsidR="00963454">
        <w:t xml:space="preserve"> No significant differences in efficacy were observed between patients with CrCl &lt; 50 mL/min and those with CrCl ≥ 50 mL/min</w:t>
      </w:r>
      <w:r w:rsidR="00475599">
        <w:t>. Patients with CrCl &lt; 30 mL/min were excluded from the study</w:t>
      </w:r>
      <w:r w:rsidR="00963454">
        <w:t xml:space="preserve"> (see CLINICAL TRIALS)</w:t>
      </w:r>
      <w:r w:rsidR="00BE0264">
        <w:t>.</w:t>
      </w:r>
    </w:p>
    <w:p w:rsidR="009D44F7" w:rsidRDefault="009D44F7" w:rsidP="009D44F7"/>
    <w:p w:rsidR="00475599" w:rsidRPr="00F068A0" w:rsidRDefault="00475599" w:rsidP="008A5C8F">
      <w:pPr>
        <w:spacing w:after="120"/>
      </w:pPr>
      <w:r w:rsidRPr="00F068A0">
        <w:rPr>
          <w:b/>
        </w:rPr>
        <w:t>Non-Hodgkin Lymphoma</w:t>
      </w:r>
    </w:p>
    <w:p w:rsidR="00475599" w:rsidRDefault="00475599" w:rsidP="008A5C8F">
      <w:pPr>
        <w:spacing w:after="120"/>
      </w:pPr>
      <w:r w:rsidRPr="00475599">
        <w:t>In the pivotal stud</w:t>
      </w:r>
      <w:r w:rsidR="001E4FA6">
        <w:t>ies</w:t>
      </w:r>
      <w:r w:rsidRPr="00475599">
        <w:t xml:space="preserve"> in iNHL, </w:t>
      </w:r>
      <w:r w:rsidR="001E4FA6">
        <w:t xml:space="preserve">7.7% of patients </w:t>
      </w:r>
      <w:r w:rsidR="004A50DD">
        <w:t xml:space="preserve">(15 of 194) </w:t>
      </w:r>
      <w:r w:rsidR="001E4FA6">
        <w:t xml:space="preserve">in study GAO4753g and 5% of patients </w:t>
      </w:r>
      <w:r w:rsidR="004A50DD">
        <w:t xml:space="preserve">(35 of 698) </w:t>
      </w:r>
      <w:r w:rsidR="001E4FA6">
        <w:t xml:space="preserve">in study BO21223 had </w:t>
      </w:r>
      <w:r w:rsidRPr="00475599">
        <w:t>moderate renal impairment (CrCl &lt;</w:t>
      </w:r>
      <w:r>
        <w:t xml:space="preserve"> </w:t>
      </w:r>
      <w:r w:rsidRPr="00475599">
        <w:t>50 mL/min). These patients experienced more serious adverse events</w:t>
      </w:r>
      <w:r w:rsidR="001E4FA6">
        <w:t>,</w:t>
      </w:r>
      <w:r w:rsidRPr="00475599">
        <w:t xml:space="preserve"> adverse events leading to death </w:t>
      </w:r>
      <w:r w:rsidR="001E4FA6">
        <w:t xml:space="preserve">and adverse events leading to treatment withdrawal </w:t>
      </w:r>
      <w:r w:rsidRPr="00475599">
        <w:t>than those associated with CrCl ≥</w:t>
      </w:r>
      <w:r>
        <w:t xml:space="preserve"> </w:t>
      </w:r>
      <w:r w:rsidRPr="00475599">
        <w:t xml:space="preserve">50 mL/min (see DOSAGE AND ADMINISTRATION and PHARMACOLOGY </w:t>
      </w:r>
      <w:r w:rsidRPr="00EB4C25">
        <w:rPr>
          <w:i/>
        </w:rPr>
        <w:t>Pharmacokinetics in special populations</w:t>
      </w:r>
      <w:r w:rsidRPr="00475599">
        <w:t>). Patients with CrCl &lt;</w:t>
      </w:r>
      <w:r>
        <w:t xml:space="preserve"> </w:t>
      </w:r>
      <w:r w:rsidRPr="00475599">
        <w:t>40 mL/min were excluded from the stud</w:t>
      </w:r>
      <w:r w:rsidR="001E4FA6">
        <w:t>ies</w:t>
      </w:r>
      <w:r w:rsidRPr="00475599">
        <w:t xml:space="preserve"> (see </w:t>
      </w:r>
      <w:r>
        <w:t>CLINICAL TRIALS</w:t>
      </w:r>
      <w:r w:rsidRPr="00475599">
        <w:t>).</w:t>
      </w:r>
    </w:p>
    <w:p w:rsidR="00385F31" w:rsidRPr="00385F31" w:rsidRDefault="00385F31" w:rsidP="00CE3639">
      <w:pPr>
        <w:pStyle w:val="Heading2"/>
        <w:numPr>
          <w:ilvl w:val="0"/>
          <w:numId w:val="0"/>
        </w:numPr>
      </w:pPr>
      <w:r w:rsidRPr="00385F31">
        <w:t>Use in hepatic impairment</w:t>
      </w:r>
    </w:p>
    <w:p w:rsidR="005657AA" w:rsidRPr="00995C08" w:rsidRDefault="00995C08" w:rsidP="00385F31">
      <w:pPr>
        <w:spacing w:after="120"/>
        <w:rPr>
          <w:rFonts w:eastAsia="Times New Roman"/>
          <w:szCs w:val="24"/>
          <w:lang w:val="en" w:eastAsia="en-AU"/>
        </w:rPr>
      </w:pPr>
      <w:r>
        <w:t xml:space="preserve">The safety and efficacy of </w:t>
      </w:r>
      <w:r w:rsidR="00395BD6">
        <w:rPr>
          <w:lang w:val="en-US"/>
        </w:rPr>
        <w:t>Gazyva</w:t>
      </w:r>
      <w:r>
        <w:t xml:space="preserve"> in patients with hepatic impairment have not been established.</w:t>
      </w:r>
    </w:p>
    <w:p w:rsidR="00D844B2" w:rsidRDefault="00F13C7E" w:rsidP="00CE3639">
      <w:pPr>
        <w:pStyle w:val="Heading2"/>
        <w:numPr>
          <w:ilvl w:val="0"/>
          <w:numId w:val="0"/>
        </w:numPr>
      </w:pPr>
      <w:r>
        <w:t>Effects on fertility</w:t>
      </w:r>
    </w:p>
    <w:p w:rsidR="00BE6433" w:rsidRPr="008A6DAC" w:rsidRDefault="008A6DAC" w:rsidP="008A6DAC">
      <w:pPr>
        <w:spacing w:after="120"/>
      </w:pPr>
      <w:r>
        <w:t xml:space="preserve">No specific studies in animals have been performed to evaluate the effect of </w:t>
      </w:r>
      <w:r w:rsidR="00395BD6">
        <w:rPr>
          <w:lang w:val="en-US"/>
        </w:rPr>
        <w:t>Gazyva</w:t>
      </w:r>
      <w:r>
        <w:t xml:space="preserve"> on fertility. No adverse effects on male and female reproductive organs were observed in repeat dose toxicity studies in cynomolgus monkeys</w:t>
      </w:r>
      <w:r w:rsidR="002B55D9">
        <w:t xml:space="preserve"> </w:t>
      </w:r>
      <w:r w:rsidR="002B55D9" w:rsidRPr="002B55D9">
        <w:t>at up to 100 mg/kg/day for 3 months (8 times the clinical exposure based on AUC at the clinical dose of 1000 mg/kg, 3 doses per 28 day cycle) and 50 mg/kg/day for 6 months (6 times the clinical exposure based on AUC)</w:t>
      </w:r>
      <w:r>
        <w:t>.</w:t>
      </w:r>
    </w:p>
    <w:p w:rsidR="00D844B2" w:rsidRDefault="00385F31" w:rsidP="00CE3639">
      <w:pPr>
        <w:pStyle w:val="Heading2"/>
        <w:numPr>
          <w:ilvl w:val="0"/>
          <w:numId w:val="0"/>
        </w:numPr>
      </w:pPr>
      <w:r>
        <w:t>Use in p</w:t>
      </w:r>
      <w:r w:rsidR="00D844B2">
        <w:t>regnancy</w:t>
      </w:r>
      <w:r w:rsidR="00AF3B7A">
        <w:t xml:space="preserve"> – Category C</w:t>
      </w:r>
    </w:p>
    <w:p w:rsidR="00882E30" w:rsidRDefault="00395BD6" w:rsidP="00ED68A3">
      <w:r>
        <w:rPr>
          <w:lang w:val="en-US"/>
        </w:rPr>
        <w:t>Gazyva</w:t>
      </w:r>
      <w:r w:rsidR="00882E30">
        <w:t xml:space="preserve"> should be avoided during pregnancy unless the potential benefit to the mother outweighs the potential ris</w:t>
      </w:r>
      <w:r w:rsidR="00A93831">
        <w:t>k to the foetus. Women of child-</w:t>
      </w:r>
      <w:r w:rsidR="00882E30">
        <w:t xml:space="preserve">bearing potential should use effective contraception while receiving </w:t>
      </w:r>
      <w:r>
        <w:rPr>
          <w:lang w:val="en-US"/>
        </w:rPr>
        <w:t>Gazyva</w:t>
      </w:r>
      <w:r w:rsidR="00882E30">
        <w:t xml:space="preserve"> and for </w:t>
      </w:r>
      <w:r w:rsidR="0043636E">
        <w:t xml:space="preserve">18 </w:t>
      </w:r>
      <w:r w:rsidR="00882E30">
        <w:t xml:space="preserve">months following treatment with </w:t>
      </w:r>
      <w:r>
        <w:rPr>
          <w:lang w:val="en-US"/>
        </w:rPr>
        <w:t>Gazyva</w:t>
      </w:r>
      <w:r w:rsidR="00882E30">
        <w:t xml:space="preserve"> (see PHARMACOLOGY, Excretion).</w:t>
      </w:r>
      <w:r w:rsidR="002812C0">
        <w:t xml:space="preserve"> </w:t>
      </w:r>
      <w:r w:rsidR="00A93831">
        <w:t xml:space="preserve">Postponing vaccination with live vaccines should be considered for infants born </w:t>
      </w:r>
      <w:r w:rsidR="002812C0">
        <w:t xml:space="preserve">to mothers who have been exposed to </w:t>
      </w:r>
      <w:r>
        <w:rPr>
          <w:lang w:val="en-US"/>
        </w:rPr>
        <w:t>Gazyva</w:t>
      </w:r>
      <w:r w:rsidR="002812C0">
        <w:t xml:space="preserve"> during pregnancy until </w:t>
      </w:r>
      <w:r w:rsidR="00A93831">
        <w:t xml:space="preserve">the infants’ </w:t>
      </w:r>
      <w:r w:rsidR="002812C0">
        <w:t>B-cell levels are within normal ranges.</w:t>
      </w:r>
    </w:p>
    <w:p w:rsidR="00514921" w:rsidRDefault="00514921" w:rsidP="00ED68A3"/>
    <w:p w:rsidR="00385F31" w:rsidRDefault="00882E30" w:rsidP="00385F31">
      <w:pPr>
        <w:spacing w:after="120"/>
      </w:pPr>
      <w:r>
        <w:t xml:space="preserve">No studies in pregnant women have been performed. A reproduction study in </w:t>
      </w:r>
      <w:r w:rsidR="009A1A52">
        <w:t xml:space="preserve">pregnant </w:t>
      </w:r>
      <w:r>
        <w:t>cynomolgus monkeys showed no evidence of teratogenic effects. However,</w:t>
      </w:r>
      <w:r w:rsidR="009A1A52">
        <w:t xml:space="preserve"> </w:t>
      </w:r>
      <w:r w:rsidR="009A1A52" w:rsidRPr="009A1A52">
        <w:t xml:space="preserve">weekly </w:t>
      </w:r>
      <w:r w:rsidR="009A1A52" w:rsidRPr="009A1A52">
        <w:rPr>
          <w:i/>
        </w:rPr>
        <w:t>obinutuzumab</w:t>
      </w:r>
      <w:r w:rsidR="009A1A52" w:rsidRPr="009A1A52">
        <w:t xml:space="preserve"> dosing from post-coitum day 20 to delivery resulted in complete depletion of B-lymphocytes, opportunistic infections and immune-complex mediated hypersensitivity reactions in infants at weekly intravenous </w:t>
      </w:r>
      <w:r w:rsidR="009A1A52" w:rsidRPr="009A1A52">
        <w:rPr>
          <w:i/>
        </w:rPr>
        <w:t>obinutuzumab</w:t>
      </w:r>
      <w:r w:rsidR="009A1A52" w:rsidRPr="009A1A52">
        <w:t xml:space="preserve"> doses of 25 and 50 mg/kg (2-5 times the clinical exposure based on C</w:t>
      </w:r>
      <w:r w:rsidR="009A1A52" w:rsidRPr="009A1A52">
        <w:rPr>
          <w:vertAlign w:val="subscript"/>
        </w:rPr>
        <w:t>max</w:t>
      </w:r>
      <w:r w:rsidR="009A1A52" w:rsidRPr="009A1A52">
        <w:t xml:space="preserve"> and AUC).</w:t>
      </w:r>
      <w:r>
        <w:t xml:space="preserve"> Offspring exposures on day 28 postpartum </w:t>
      </w:r>
      <w:r w:rsidR="009A1A52" w:rsidRPr="009A1A52">
        <w:t>(mean C</w:t>
      </w:r>
      <w:r w:rsidR="009A1A52" w:rsidRPr="009A1A52">
        <w:rPr>
          <w:vertAlign w:val="subscript"/>
        </w:rPr>
        <w:t>max</w:t>
      </w:r>
      <w:r w:rsidR="009A1A52" w:rsidRPr="009A1A52">
        <w:t xml:space="preserve"> 80-240 µg/mL, in the range of concentrations in maternal serum) and very low </w:t>
      </w:r>
      <w:r w:rsidR="009A1A52" w:rsidRPr="009A1A52">
        <w:lastRenderedPageBreak/>
        <w:t xml:space="preserve">concentrations in milk </w:t>
      </w:r>
      <w:r>
        <w:t>(less than 0.5% of the corresponding maternal serum levels) suggest in utero</w:t>
      </w:r>
      <w:r w:rsidR="003053E9">
        <w:t xml:space="preserve"> exposure</w:t>
      </w:r>
      <w:r>
        <w:t>. B-cell counts returned to normal levels in the infants, and immunologic function was restored within 6 months of birth.</w:t>
      </w:r>
      <w:r w:rsidR="00CD302B">
        <w:t xml:space="preserve"> Furthermore, the serum concentrations of </w:t>
      </w:r>
      <w:r w:rsidR="00870096">
        <w:t xml:space="preserve">Gazyva </w:t>
      </w:r>
      <w:r w:rsidR="00CD302B">
        <w:t xml:space="preserve">in offspring were similar to those in the mothers on day 28 post-partum, whereas concentrations in milk on the same day were very low, suggesting that </w:t>
      </w:r>
      <w:r w:rsidR="00395BD6">
        <w:rPr>
          <w:lang w:val="en-US"/>
        </w:rPr>
        <w:t>Gazyva</w:t>
      </w:r>
      <w:r w:rsidR="00CD302B">
        <w:t xml:space="preserve"> crosses the placenta.</w:t>
      </w:r>
    </w:p>
    <w:p w:rsidR="00D844B2" w:rsidRDefault="00D844B2" w:rsidP="00CE3639">
      <w:pPr>
        <w:pStyle w:val="Heading2"/>
        <w:numPr>
          <w:ilvl w:val="0"/>
          <w:numId w:val="0"/>
        </w:numPr>
      </w:pPr>
      <w:r>
        <w:t>Use in lactation</w:t>
      </w:r>
    </w:p>
    <w:p w:rsidR="00385F31" w:rsidRDefault="00C11534" w:rsidP="00385F31">
      <w:pPr>
        <w:spacing w:after="120"/>
      </w:pPr>
      <w:r>
        <w:t xml:space="preserve">As human IgG is </w:t>
      </w:r>
      <w:r w:rsidR="00A93831">
        <w:t xml:space="preserve">secreted </w:t>
      </w:r>
      <w:r>
        <w:t xml:space="preserve">in human milk and the potential for absorption and harm to the infant is unknown, women should be advised to discontinue breast-feeding during </w:t>
      </w:r>
      <w:r w:rsidR="00395BD6">
        <w:rPr>
          <w:lang w:val="en-US"/>
        </w:rPr>
        <w:t>Gazyva</w:t>
      </w:r>
      <w:r>
        <w:t xml:space="preserve"> therapy and for </w:t>
      </w:r>
      <w:r w:rsidR="00A81D9B">
        <w:t xml:space="preserve">18 </w:t>
      </w:r>
      <w:r>
        <w:t xml:space="preserve">months after the last dose of </w:t>
      </w:r>
      <w:r w:rsidR="00395BD6">
        <w:rPr>
          <w:lang w:val="en-US"/>
        </w:rPr>
        <w:t>Gazyva</w:t>
      </w:r>
      <w:r>
        <w:t xml:space="preserve"> (see PHARMACOLOGY, Excretion). Animal studies have shown excretion of </w:t>
      </w:r>
      <w:r w:rsidR="00395BD6">
        <w:rPr>
          <w:lang w:val="en-US"/>
        </w:rPr>
        <w:t>Gazyva</w:t>
      </w:r>
      <w:r>
        <w:t xml:space="preserve"> in breast milk (see PRECAUTIONS </w:t>
      </w:r>
      <w:r w:rsidRPr="00110A3A">
        <w:rPr>
          <w:i/>
        </w:rPr>
        <w:t>Use in pregnancy</w:t>
      </w:r>
      <w:r>
        <w:t>).</w:t>
      </w:r>
    </w:p>
    <w:p w:rsidR="00D844B2" w:rsidRDefault="00D844B2" w:rsidP="00CE3639">
      <w:pPr>
        <w:pStyle w:val="Heading2"/>
        <w:numPr>
          <w:ilvl w:val="0"/>
          <w:numId w:val="0"/>
        </w:numPr>
      </w:pPr>
      <w:r>
        <w:t>Paediatric use</w:t>
      </w:r>
    </w:p>
    <w:p w:rsidR="00385F31" w:rsidRDefault="00C11534" w:rsidP="00385F31">
      <w:pPr>
        <w:spacing w:after="120"/>
      </w:pPr>
      <w:r>
        <w:t xml:space="preserve">The safety and efficacy of </w:t>
      </w:r>
      <w:r w:rsidR="00395BD6">
        <w:rPr>
          <w:lang w:val="en-US"/>
        </w:rPr>
        <w:t>Gazyva</w:t>
      </w:r>
      <w:r>
        <w:t xml:space="preserve"> in children below 18 years of age have not been established.</w:t>
      </w:r>
    </w:p>
    <w:p w:rsidR="00D844B2" w:rsidRDefault="00D844B2" w:rsidP="00CE3639">
      <w:pPr>
        <w:pStyle w:val="Heading2"/>
        <w:numPr>
          <w:ilvl w:val="0"/>
          <w:numId w:val="0"/>
        </w:numPr>
      </w:pPr>
      <w:r>
        <w:t>Use in the elderly</w:t>
      </w:r>
    </w:p>
    <w:p w:rsidR="00A93831" w:rsidRPr="00F068A0" w:rsidRDefault="00A93831" w:rsidP="00385F31">
      <w:pPr>
        <w:spacing w:after="120"/>
        <w:rPr>
          <w:b/>
        </w:rPr>
      </w:pPr>
      <w:r w:rsidRPr="00F068A0">
        <w:rPr>
          <w:b/>
        </w:rPr>
        <w:t>Chronic Lymphocytic Leukaemia</w:t>
      </w:r>
    </w:p>
    <w:p w:rsidR="00385F31" w:rsidRDefault="00C11534" w:rsidP="00385F31">
      <w:pPr>
        <w:spacing w:after="120"/>
      </w:pPr>
      <w:r>
        <w:t>In the pivotal study</w:t>
      </w:r>
      <w:r w:rsidR="00A93831">
        <w:t xml:space="preserve"> in CLL</w:t>
      </w:r>
      <w:r>
        <w:t>, 4</w:t>
      </w:r>
      <w:r w:rsidR="0051687C">
        <w:t>6</w:t>
      </w:r>
      <w:r>
        <w:t>% (</w:t>
      </w:r>
      <w:r w:rsidR="0051687C">
        <w:t>156</w:t>
      </w:r>
      <w:r>
        <w:t xml:space="preserve"> out of </w:t>
      </w:r>
      <w:r w:rsidR="0051687C">
        <w:t>336</w:t>
      </w:r>
      <w:r>
        <w:t xml:space="preserve">) of </w:t>
      </w:r>
      <w:r w:rsidR="0051687C">
        <w:t xml:space="preserve">patients treated with </w:t>
      </w:r>
      <w:r w:rsidR="00395BD6">
        <w:rPr>
          <w:lang w:val="en-US"/>
        </w:rPr>
        <w:t>Gazyva</w:t>
      </w:r>
      <w:r>
        <w:t xml:space="preserve"> </w:t>
      </w:r>
      <w:r w:rsidR="0051687C">
        <w:t xml:space="preserve">plus chlorambucil </w:t>
      </w:r>
      <w:r>
        <w:t>were 75 years old or older (median age was 74 years). These patients experienced more serious adverse events and adverse events leading to death than patients &lt; 75 years of age. No significant differences in efficacy were observed between patients ≥ 75 years of age and those &lt; 75 years of age (see CLINICAL TRIALS).</w:t>
      </w:r>
    </w:p>
    <w:p w:rsidR="009D44F7" w:rsidRDefault="009D44F7" w:rsidP="009D44F7"/>
    <w:p w:rsidR="00A93831" w:rsidRPr="00F068A0" w:rsidRDefault="00A93831" w:rsidP="00385F31">
      <w:pPr>
        <w:spacing w:after="120"/>
      </w:pPr>
      <w:r w:rsidRPr="00F068A0">
        <w:rPr>
          <w:b/>
        </w:rPr>
        <w:t>Non-Hodgkin Lymphoma</w:t>
      </w:r>
    </w:p>
    <w:p w:rsidR="00BE6433" w:rsidRDefault="00E027C8" w:rsidP="00385F31">
      <w:pPr>
        <w:spacing w:after="120"/>
      </w:pPr>
      <w:r w:rsidRPr="00E027C8">
        <w:t>In the pivotal stud</w:t>
      </w:r>
      <w:r w:rsidR="001E4FA6">
        <w:t>ies</w:t>
      </w:r>
      <w:r w:rsidRPr="00E027C8">
        <w:t xml:space="preserve"> in iNHL,</w:t>
      </w:r>
      <w:r w:rsidR="001E4FA6">
        <w:t xml:space="preserve"> patients ≥ 65 years of age experienced more serious adverse events and adverse events leading to withdrawal or death than patients &lt; 65 years of age</w:t>
      </w:r>
      <w:r w:rsidRPr="00E027C8">
        <w:t>. No clinically meaningful differences in efficacy were observed.</w:t>
      </w:r>
      <w:r w:rsidR="00422C9A">
        <w:t xml:space="preserve"> Table 4 outlines treatment-related AEs by age group for patients enrolled in study BO21223.</w:t>
      </w:r>
    </w:p>
    <w:p w:rsidR="00422C9A" w:rsidRDefault="00422C9A" w:rsidP="00422C9A">
      <w:r w:rsidRPr="00422C9A">
        <w:rPr>
          <w:b/>
        </w:rPr>
        <w:t>Table 4 G</w:t>
      </w:r>
      <w:r w:rsidR="00395BD6">
        <w:rPr>
          <w:b/>
        </w:rPr>
        <w:t>azyva treatment-r</w:t>
      </w:r>
      <w:r w:rsidRPr="00422C9A">
        <w:rPr>
          <w:b/>
        </w:rPr>
        <w:t>elated Adv</w:t>
      </w:r>
      <w:r w:rsidR="00395BD6">
        <w:rPr>
          <w:b/>
        </w:rPr>
        <w:t>erse Events by age g</w:t>
      </w:r>
      <w:r w:rsidRPr="00422C9A">
        <w:rPr>
          <w:b/>
        </w:rPr>
        <w:t>roup in patients receiving G</w:t>
      </w:r>
      <w:r w:rsidR="00395BD6">
        <w:rPr>
          <w:b/>
        </w:rPr>
        <w:t>azyva</w:t>
      </w:r>
      <w:r w:rsidRPr="00422C9A">
        <w:rPr>
          <w:b/>
        </w:rPr>
        <w:t xml:space="preserve"> plus chemotherapy vs rituximab plus chemotherapy followed by G</w:t>
      </w:r>
      <w:r w:rsidR="00395BD6">
        <w:rPr>
          <w:b/>
        </w:rPr>
        <w:t>azyva</w:t>
      </w:r>
      <w:r w:rsidRPr="00422C9A">
        <w:rPr>
          <w:b/>
        </w:rPr>
        <w:t xml:space="preserve"> or rituximab maintenance</w:t>
      </w:r>
      <w:r w:rsidR="000A6FEA">
        <w:rPr>
          <w:b/>
        </w:rPr>
        <w:t xml:space="preserve"> in study BO21223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371"/>
        <w:gridCol w:w="2031"/>
        <w:gridCol w:w="1575"/>
        <w:gridCol w:w="1804"/>
      </w:tblGrid>
      <w:tr w:rsidR="00422C9A" w:rsidRPr="00422C9A" w:rsidTr="00A42C1E">
        <w:tc>
          <w:tcPr>
            <w:tcW w:w="2235" w:type="dxa"/>
            <w:shd w:val="clear" w:color="auto" w:fill="auto"/>
          </w:tcPr>
          <w:p w:rsidR="00422C9A" w:rsidRPr="00422C9A" w:rsidRDefault="00422C9A" w:rsidP="00422C9A"/>
        </w:tc>
        <w:tc>
          <w:tcPr>
            <w:tcW w:w="3402" w:type="dxa"/>
            <w:gridSpan w:val="2"/>
            <w:shd w:val="clear" w:color="auto" w:fill="auto"/>
          </w:tcPr>
          <w:p w:rsidR="00422C9A" w:rsidRPr="00422C9A" w:rsidRDefault="00422C9A" w:rsidP="00422C9A">
            <w:pPr>
              <w:spacing w:before="40" w:after="40"/>
              <w:jc w:val="center"/>
              <w:rPr>
                <w:b/>
              </w:rPr>
            </w:pPr>
            <w:r w:rsidRPr="00422C9A">
              <w:rPr>
                <w:b/>
              </w:rPr>
              <w:t>Rituximab plus chemotherapy</w:t>
            </w:r>
          </w:p>
        </w:tc>
        <w:tc>
          <w:tcPr>
            <w:tcW w:w="3379" w:type="dxa"/>
            <w:gridSpan w:val="2"/>
            <w:shd w:val="clear" w:color="auto" w:fill="auto"/>
          </w:tcPr>
          <w:p w:rsidR="00422C9A" w:rsidRPr="00422C9A" w:rsidRDefault="00422C9A" w:rsidP="00395BD6">
            <w:pPr>
              <w:spacing w:before="40" w:after="40"/>
              <w:jc w:val="center"/>
              <w:rPr>
                <w:b/>
              </w:rPr>
            </w:pPr>
            <w:r w:rsidRPr="00422C9A">
              <w:rPr>
                <w:b/>
              </w:rPr>
              <w:t>G</w:t>
            </w:r>
            <w:r w:rsidR="00395BD6">
              <w:rPr>
                <w:b/>
              </w:rPr>
              <w:t>azyva</w:t>
            </w:r>
            <w:r w:rsidRPr="00422C9A">
              <w:rPr>
                <w:b/>
              </w:rPr>
              <w:t xml:space="preserve"> plus chemotherapy</w:t>
            </w:r>
          </w:p>
        </w:tc>
      </w:tr>
      <w:tr w:rsidR="00422C9A" w:rsidRPr="00422C9A" w:rsidTr="00A42C1E">
        <w:tc>
          <w:tcPr>
            <w:tcW w:w="2235" w:type="dxa"/>
            <w:shd w:val="clear" w:color="auto" w:fill="auto"/>
          </w:tcPr>
          <w:p w:rsidR="00422C9A" w:rsidRPr="00422C9A" w:rsidRDefault="00422C9A" w:rsidP="00422C9A">
            <w:pPr>
              <w:jc w:val="left"/>
            </w:pPr>
            <w:r w:rsidRPr="00422C9A">
              <w:t>Number of patients</w:t>
            </w:r>
          </w:p>
        </w:tc>
        <w:tc>
          <w:tcPr>
            <w:tcW w:w="1371" w:type="dxa"/>
            <w:shd w:val="clear" w:color="auto" w:fill="auto"/>
          </w:tcPr>
          <w:p w:rsidR="00422C9A" w:rsidRPr="00422C9A" w:rsidRDefault="00422C9A" w:rsidP="00422C9A">
            <w:pPr>
              <w:jc w:val="center"/>
            </w:pPr>
            <w:r w:rsidRPr="00422C9A">
              <w:t xml:space="preserve">&lt;65 </w:t>
            </w:r>
          </w:p>
          <w:p w:rsidR="00422C9A" w:rsidRPr="00422C9A" w:rsidRDefault="00422C9A" w:rsidP="00422C9A">
            <w:pPr>
              <w:jc w:val="center"/>
            </w:pPr>
            <w:r w:rsidRPr="00422C9A">
              <w:t>n=467</w:t>
            </w:r>
          </w:p>
        </w:tc>
        <w:tc>
          <w:tcPr>
            <w:tcW w:w="2031" w:type="dxa"/>
            <w:shd w:val="clear" w:color="auto" w:fill="auto"/>
          </w:tcPr>
          <w:p w:rsidR="00E50427" w:rsidRDefault="00E50427" w:rsidP="00422C9A">
            <w:pPr>
              <w:jc w:val="center"/>
            </w:pPr>
            <w:r>
              <w:t>&gt;=65</w:t>
            </w:r>
          </w:p>
          <w:p w:rsidR="00422C9A" w:rsidRPr="00422C9A" w:rsidRDefault="00422C9A" w:rsidP="00422C9A">
            <w:pPr>
              <w:jc w:val="center"/>
            </w:pPr>
            <w:r w:rsidRPr="00422C9A">
              <w:t>n=225</w:t>
            </w:r>
          </w:p>
        </w:tc>
        <w:tc>
          <w:tcPr>
            <w:tcW w:w="1575" w:type="dxa"/>
            <w:shd w:val="clear" w:color="auto" w:fill="auto"/>
          </w:tcPr>
          <w:p w:rsidR="00422C9A" w:rsidRPr="00422C9A" w:rsidRDefault="00422C9A" w:rsidP="00422C9A">
            <w:pPr>
              <w:jc w:val="center"/>
            </w:pPr>
            <w:r w:rsidRPr="00422C9A">
              <w:t>&lt;65</w:t>
            </w:r>
          </w:p>
          <w:p w:rsidR="00422C9A" w:rsidRPr="00422C9A" w:rsidRDefault="00422C9A" w:rsidP="00422C9A">
            <w:pPr>
              <w:jc w:val="center"/>
            </w:pPr>
            <w:r w:rsidRPr="00422C9A">
              <w:t>n=465</w:t>
            </w:r>
          </w:p>
        </w:tc>
        <w:tc>
          <w:tcPr>
            <w:tcW w:w="1804" w:type="dxa"/>
            <w:shd w:val="clear" w:color="auto" w:fill="auto"/>
          </w:tcPr>
          <w:p w:rsidR="00422C9A" w:rsidRPr="00422C9A" w:rsidRDefault="00422C9A" w:rsidP="00422C9A">
            <w:pPr>
              <w:jc w:val="center"/>
            </w:pPr>
            <w:r w:rsidRPr="00422C9A">
              <w:t>&gt;=65</w:t>
            </w:r>
          </w:p>
          <w:p w:rsidR="00422C9A" w:rsidRPr="00422C9A" w:rsidRDefault="00422C9A" w:rsidP="00422C9A">
            <w:pPr>
              <w:jc w:val="center"/>
            </w:pPr>
            <w:r w:rsidRPr="00422C9A">
              <w:t>n=233</w:t>
            </w:r>
          </w:p>
        </w:tc>
      </w:tr>
      <w:tr w:rsidR="00422C9A" w:rsidRPr="00422C9A" w:rsidTr="00A42C1E">
        <w:tc>
          <w:tcPr>
            <w:tcW w:w="2235" w:type="dxa"/>
            <w:shd w:val="clear" w:color="auto" w:fill="auto"/>
          </w:tcPr>
          <w:p w:rsidR="00422C9A" w:rsidRPr="00422C9A" w:rsidRDefault="00422C9A" w:rsidP="00422C9A">
            <w:pPr>
              <w:jc w:val="left"/>
            </w:pPr>
            <w:r w:rsidRPr="00422C9A">
              <w:t>Serious AEs</w:t>
            </w:r>
          </w:p>
        </w:tc>
        <w:tc>
          <w:tcPr>
            <w:tcW w:w="1371" w:type="dxa"/>
            <w:shd w:val="clear" w:color="auto" w:fill="auto"/>
            <w:vAlign w:val="center"/>
          </w:tcPr>
          <w:p w:rsidR="00422C9A" w:rsidRPr="00422C9A" w:rsidRDefault="00422C9A" w:rsidP="00422C9A">
            <w:pPr>
              <w:jc w:val="center"/>
            </w:pPr>
            <w:r w:rsidRPr="00422C9A">
              <w:t>36.8%</w:t>
            </w:r>
          </w:p>
        </w:tc>
        <w:tc>
          <w:tcPr>
            <w:tcW w:w="2031" w:type="dxa"/>
            <w:shd w:val="clear" w:color="auto" w:fill="auto"/>
            <w:vAlign w:val="center"/>
          </w:tcPr>
          <w:p w:rsidR="00422C9A" w:rsidRPr="00422C9A" w:rsidRDefault="00422C9A" w:rsidP="00422C9A">
            <w:pPr>
              <w:jc w:val="center"/>
            </w:pPr>
            <w:r w:rsidRPr="00422C9A">
              <w:t>50.7%</w:t>
            </w:r>
          </w:p>
        </w:tc>
        <w:tc>
          <w:tcPr>
            <w:tcW w:w="1575" w:type="dxa"/>
            <w:shd w:val="clear" w:color="auto" w:fill="auto"/>
            <w:vAlign w:val="center"/>
          </w:tcPr>
          <w:p w:rsidR="00422C9A" w:rsidRPr="00422C9A" w:rsidRDefault="00422C9A" w:rsidP="00422C9A">
            <w:pPr>
              <w:jc w:val="center"/>
            </w:pPr>
            <w:r w:rsidRPr="00422C9A">
              <w:t>42.6%</w:t>
            </w:r>
          </w:p>
        </w:tc>
        <w:tc>
          <w:tcPr>
            <w:tcW w:w="1804" w:type="dxa"/>
            <w:shd w:val="clear" w:color="auto" w:fill="auto"/>
            <w:vAlign w:val="center"/>
          </w:tcPr>
          <w:p w:rsidR="00422C9A" w:rsidRPr="00422C9A" w:rsidRDefault="00422C9A" w:rsidP="00422C9A">
            <w:pPr>
              <w:jc w:val="center"/>
            </w:pPr>
            <w:r w:rsidRPr="00422C9A">
              <w:t>62.2%</w:t>
            </w:r>
          </w:p>
        </w:tc>
      </w:tr>
      <w:tr w:rsidR="00422C9A" w:rsidRPr="00422C9A" w:rsidTr="00A42C1E">
        <w:tc>
          <w:tcPr>
            <w:tcW w:w="2235" w:type="dxa"/>
            <w:shd w:val="clear" w:color="auto" w:fill="auto"/>
          </w:tcPr>
          <w:p w:rsidR="00422C9A" w:rsidRPr="00422C9A" w:rsidRDefault="00422C9A" w:rsidP="00422C9A">
            <w:pPr>
              <w:jc w:val="left"/>
            </w:pPr>
            <w:r w:rsidRPr="00422C9A">
              <w:t>AEs leading to withdrawal from any treatment</w:t>
            </w:r>
          </w:p>
        </w:tc>
        <w:tc>
          <w:tcPr>
            <w:tcW w:w="1371" w:type="dxa"/>
            <w:shd w:val="clear" w:color="auto" w:fill="auto"/>
            <w:vAlign w:val="center"/>
          </w:tcPr>
          <w:p w:rsidR="00422C9A" w:rsidRPr="00422C9A" w:rsidRDefault="00422C9A" w:rsidP="00422C9A">
            <w:pPr>
              <w:jc w:val="center"/>
            </w:pPr>
            <w:r w:rsidRPr="00422C9A">
              <w:t>13.9%</w:t>
            </w:r>
          </w:p>
        </w:tc>
        <w:tc>
          <w:tcPr>
            <w:tcW w:w="2031" w:type="dxa"/>
            <w:shd w:val="clear" w:color="auto" w:fill="auto"/>
            <w:vAlign w:val="center"/>
          </w:tcPr>
          <w:p w:rsidR="00422C9A" w:rsidRPr="00422C9A" w:rsidRDefault="00422C9A" w:rsidP="00422C9A">
            <w:pPr>
              <w:jc w:val="center"/>
            </w:pPr>
            <w:r w:rsidRPr="00422C9A">
              <w:t>18.2%</w:t>
            </w:r>
          </w:p>
        </w:tc>
        <w:tc>
          <w:tcPr>
            <w:tcW w:w="1575" w:type="dxa"/>
            <w:shd w:val="clear" w:color="auto" w:fill="auto"/>
            <w:vAlign w:val="center"/>
          </w:tcPr>
          <w:p w:rsidR="00422C9A" w:rsidRPr="00422C9A" w:rsidRDefault="00422C9A" w:rsidP="00422C9A">
            <w:pPr>
              <w:jc w:val="center"/>
            </w:pPr>
            <w:r w:rsidRPr="00422C9A">
              <w:t>13.1%</w:t>
            </w:r>
          </w:p>
        </w:tc>
        <w:tc>
          <w:tcPr>
            <w:tcW w:w="1804" w:type="dxa"/>
            <w:shd w:val="clear" w:color="auto" w:fill="auto"/>
            <w:vAlign w:val="center"/>
          </w:tcPr>
          <w:p w:rsidR="00422C9A" w:rsidRPr="00422C9A" w:rsidRDefault="00422C9A" w:rsidP="00422C9A">
            <w:pPr>
              <w:jc w:val="center"/>
            </w:pPr>
            <w:r w:rsidRPr="00422C9A">
              <w:t>26.2%</w:t>
            </w:r>
          </w:p>
        </w:tc>
      </w:tr>
      <w:tr w:rsidR="00422C9A" w:rsidRPr="00422C9A" w:rsidTr="00A42C1E">
        <w:tc>
          <w:tcPr>
            <w:tcW w:w="2235" w:type="dxa"/>
            <w:shd w:val="clear" w:color="auto" w:fill="auto"/>
          </w:tcPr>
          <w:p w:rsidR="00422C9A" w:rsidRPr="00422C9A" w:rsidRDefault="00422C9A" w:rsidP="00422C9A">
            <w:pPr>
              <w:jc w:val="left"/>
            </w:pPr>
            <w:r w:rsidRPr="00422C9A">
              <w:t>AEs leading to death</w:t>
            </w:r>
          </w:p>
        </w:tc>
        <w:tc>
          <w:tcPr>
            <w:tcW w:w="1371" w:type="dxa"/>
            <w:shd w:val="clear" w:color="auto" w:fill="auto"/>
            <w:vAlign w:val="center"/>
          </w:tcPr>
          <w:p w:rsidR="00422C9A" w:rsidRPr="00422C9A" w:rsidRDefault="00422C9A" w:rsidP="00422C9A">
            <w:pPr>
              <w:jc w:val="center"/>
            </w:pPr>
            <w:r w:rsidRPr="00422C9A">
              <w:t>2.4%</w:t>
            </w:r>
          </w:p>
        </w:tc>
        <w:tc>
          <w:tcPr>
            <w:tcW w:w="2031" w:type="dxa"/>
            <w:shd w:val="clear" w:color="auto" w:fill="auto"/>
            <w:vAlign w:val="center"/>
          </w:tcPr>
          <w:p w:rsidR="00422C9A" w:rsidRPr="00422C9A" w:rsidRDefault="00422C9A" w:rsidP="00422C9A">
            <w:pPr>
              <w:jc w:val="center"/>
            </w:pPr>
            <w:r w:rsidRPr="00422C9A">
              <w:t>7.1%</w:t>
            </w:r>
          </w:p>
        </w:tc>
        <w:tc>
          <w:tcPr>
            <w:tcW w:w="1575" w:type="dxa"/>
            <w:shd w:val="clear" w:color="auto" w:fill="auto"/>
            <w:vAlign w:val="center"/>
          </w:tcPr>
          <w:p w:rsidR="00422C9A" w:rsidRPr="00422C9A" w:rsidRDefault="00422C9A" w:rsidP="00422C9A">
            <w:pPr>
              <w:jc w:val="center"/>
            </w:pPr>
            <w:r w:rsidRPr="00422C9A">
              <w:t>2.6%</w:t>
            </w:r>
          </w:p>
        </w:tc>
        <w:tc>
          <w:tcPr>
            <w:tcW w:w="1804" w:type="dxa"/>
            <w:shd w:val="clear" w:color="auto" w:fill="auto"/>
            <w:vAlign w:val="center"/>
          </w:tcPr>
          <w:p w:rsidR="00422C9A" w:rsidRPr="00422C9A" w:rsidRDefault="00422C9A" w:rsidP="00422C9A">
            <w:pPr>
              <w:jc w:val="center"/>
            </w:pPr>
            <w:r w:rsidRPr="00422C9A">
              <w:t>10.3%</w:t>
            </w:r>
          </w:p>
        </w:tc>
      </w:tr>
    </w:tbl>
    <w:p w:rsidR="00D844B2" w:rsidRDefault="00D844B2" w:rsidP="00CE3639">
      <w:pPr>
        <w:pStyle w:val="Heading2"/>
        <w:numPr>
          <w:ilvl w:val="0"/>
          <w:numId w:val="0"/>
        </w:numPr>
      </w:pPr>
      <w:r>
        <w:t>Genotoxicity</w:t>
      </w:r>
    </w:p>
    <w:p w:rsidR="00385F31" w:rsidRDefault="008A6DAC" w:rsidP="00385F31">
      <w:pPr>
        <w:spacing w:after="120"/>
      </w:pPr>
      <w:r>
        <w:t xml:space="preserve">No studies have been performed to establish the mutagenic potential of </w:t>
      </w:r>
      <w:r w:rsidR="00395BD6">
        <w:rPr>
          <w:lang w:val="en-US"/>
        </w:rPr>
        <w:t>Gazyva</w:t>
      </w:r>
      <w:r w:rsidRPr="00F951E5">
        <w:t>.</w:t>
      </w:r>
    </w:p>
    <w:p w:rsidR="00747F51" w:rsidRDefault="00747F51" w:rsidP="00385F31">
      <w:pPr>
        <w:spacing w:after="120"/>
      </w:pPr>
    </w:p>
    <w:p w:rsidR="00D844B2" w:rsidRDefault="00D844B2" w:rsidP="00CE3639">
      <w:pPr>
        <w:pStyle w:val="Heading2"/>
        <w:numPr>
          <w:ilvl w:val="0"/>
          <w:numId w:val="0"/>
        </w:numPr>
      </w:pPr>
      <w:r>
        <w:lastRenderedPageBreak/>
        <w:t>Carcinogenicity</w:t>
      </w:r>
    </w:p>
    <w:p w:rsidR="00385F31" w:rsidRPr="00F951E5" w:rsidRDefault="00F951E5" w:rsidP="00F951E5">
      <w:pPr>
        <w:spacing w:after="120"/>
      </w:pPr>
      <w:r w:rsidRPr="00F951E5">
        <w:t>No carcinogenicity studies have been performed to establish the carci</w:t>
      </w:r>
      <w:r>
        <w:t xml:space="preserve">nogenic </w:t>
      </w:r>
      <w:r w:rsidRPr="00F951E5">
        <w:t xml:space="preserve">potential of </w:t>
      </w:r>
      <w:r w:rsidR="00395BD6">
        <w:rPr>
          <w:lang w:val="en-US"/>
        </w:rPr>
        <w:t>Gazyva</w:t>
      </w:r>
      <w:r w:rsidRPr="00F951E5">
        <w:t>.</w:t>
      </w:r>
    </w:p>
    <w:p w:rsidR="00D844B2" w:rsidRDefault="00D844B2" w:rsidP="00CE3639">
      <w:pPr>
        <w:pStyle w:val="Heading2"/>
        <w:numPr>
          <w:ilvl w:val="0"/>
          <w:numId w:val="0"/>
        </w:numPr>
      </w:pPr>
      <w:r>
        <w:t>Effect on laboratory tests</w:t>
      </w:r>
    </w:p>
    <w:p w:rsidR="00385F31" w:rsidRDefault="00C11534" w:rsidP="00385F31">
      <w:pPr>
        <w:spacing w:after="120"/>
      </w:pPr>
      <w:r w:rsidRPr="00C11534">
        <w:t>See PRECAUTIONS.</w:t>
      </w:r>
    </w:p>
    <w:p w:rsidR="00C11534" w:rsidRDefault="00C11534" w:rsidP="00CE3639">
      <w:pPr>
        <w:pStyle w:val="Heading2"/>
        <w:numPr>
          <w:ilvl w:val="0"/>
          <w:numId w:val="0"/>
        </w:numPr>
      </w:pPr>
      <w:r>
        <w:t>Ability to Drive and Use Machines</w:t>
      </w:r>
    </w:p>
    <w:p w:rsidR="00C11534" w:rsidRPr="00C11534" w:rsidRDefault="00C11534" w:rsidP="00C11534">
      <w:pPr>
        <w:spacing w:after="120"/>
      </w:pPr>
      <w:r>
        <w:t xml:space="preserve">No studies on the effects of </w:t>
      </w:r>
      <w:r w:rsidR="00395BD6">
        <w:rPr>
          <w:lang w:val="en-US"/>
        </w:rPr>
        <w:t>Gazyva</w:t>
      </w:r>
      <w:r>
        <w:t xml:space="preserve"> on the ability to drive and to use machines have been performed. Patients experiencing infusion-related symptoms should be advised not to drive and use machines until symptoms abate.</w:t>
      </w:r>
    </w:p>
    <w:p w:rsidR="00D844B2" w:rsidRDefault="00D844B2" w:rsidP="00CE3639">
      <w:pPr>
        <w:pStyle w:val="Heading1"/>
        <w:numPr>
          <w:ilvl w:val="0"/>
          <w:numId w:val="0"/>
        </w:numPr>
      </w:pPr>
      <w:r>
        <w:t>Interactions with other medicines</w:t>
      </w:r>
    </w:p>
    <w:p w:rsidR="007577C1" w:rsidRPr="004A4A8E" w:rsidRDefault="00C11534" w:rsidP="007577C1">
      <w:pPr>
        <w:rPr>
          <w:i/>
        </w:rPr>
      </w:pPr>
      <w:r>
        <w:t xml:space="preserve">No </w:t>
      </w:r>
      <w:r w:rsidR="00DA0342">
        <w:t xml:space="preserve">formal </w:t>
      </w:r>
      <w:r>
        <w:t>drug-drug interaction studies have been performed</w:t>
      </w:r>
      <w:r w:rsidR="00A93831" w:rsidRPr="00A93831">
        <w:t xml:space="preserve">, although limited drug interaction sub-studies have been undertaken for </w:t>
      </w:r>
      <w:r w:rsidR="00395BD6">
        <w:rPr>
          <w:lang w:val="en-US"/>
        </w:rPr>
        <w:t>Gazyva</w:t>
      </w:r>
      <w:r w:rsidR="00A93831" w:rsidRPr="00A93831">
        <w:t xml:space="preserve"> with bendamustine, CHOP (cyclophosphamide, doxorubicin, vincristine, prednisolone), FC (fludarabine, cyclophosphamide) and chlorambucil. Co-administration with </w:t>
      </w:r>
      <w:r w:rsidR="00395BD6">
        <w:rPr>
          <w:lang w:val="en-US"/>
        </w:rPr>
        <w:t>Gazyva</w:t>
      </w:r>
      <w:r w:rsidR="00A93831" w:rsidRPr="00A93831">
        <w:t xml:space="preserve"> had no effect on the pharmacokinetics of bendamustine, FC or the individual components of CHOP; in addition, there were no apparent effects of bendamustine, FC, chlorambucil or CHOP on the pharmacokinetics of </w:t>
      </w:r>
      <w:r w:rsidR="00395BD6">
        <w:rPr>
          <w:lang w:val="en-US"/>
        </w:rPr>
        <w:t>Gazyva</w:t>
      </w:r>
      <w:r>
        <w:t>. A risk for interactions with concomitantly used medicinal products cannot be excluded.</w:t>
      </w:r>
    </w:p>
    <w:p w:rsidR="00D844B2" w:rsidRDefault="00D844B2" w:rsidP="00CE3639">
      <w:pPr>
        <w:pStyle w:val="Heading1"/>
        <w:numPr>
          <w:ilvl w:val="0"/>
          <w:numId w:val="0"/>
        </w:numPr>
      </w:pPr>
      <w:r>
        <w:t>Adverse effects</w:t>
      </w:r>
    </w:p>
    <w:p w:rsidR="00A31A69" w:rsidRPr="00A31A69" w:rsidRDefault="00A31A69" w:rsidP="00760A93">
      <w:pPr>
        <w:rPr>
          <w:b/>
        </w:rPr>
      </w:pPr>
      <w:r w:rsidRPr="00A31A69">
        <w:rPr>
          <w:b/>
        </w:rPr>
        <w:t>Chronic Lymphocytic Leukaemia</w:t>
      </w:r>
    </w:p>
    <w:p w:rsidR="00760A93" w:rsidRDefault="004A4A8E" w:rsidP="00760A93">
      <w:r w:rsidRPr="004A4A8E">
        <w:t xml:space="preserve">The adverse drug reactions (ADRs) described in this section were identified </w:t>
      </w:r>
      <w:r w:rsidR="00760A93">
        <w:t xml:space="preserve">during treatment and follow-up </w:t>
      </w:r>
      <w:r w:rsidRPr="004A4A8E">
        <w:t xml:space="preserve">from the pivotal clinical trial, BO21004/CLL11, in which </w:t>
      </w:r>
      <w:r w:rsidR="00395BD6">
        <w:rPr>
          <w:lang w:val="en-US"/>
        </w:rPr>
        <w:t>Gazyva</w:t>
      </w:r>
      <w:r w:rsidRPr="004A4A8E">
        <w:t xml:space="preserve"> was given in combination with chlorambucil </w:t>
      </w:r>
      <w:r w:rsidR="00760A93">
        <w:t>compared to</w:t>
      </w:r>
      <w:r w:rsidR="00760A93" w:rsidRPr="004A4A8E">
        <w:t xml:space="preserve"> </w:t>
      </w:r>
      <w:r w:rsidRPr="004A4A8E">
        <w:t>chlorambucil alone</w:t>
      </w:r>
      <w:r w:rsidR="001C606E">
        <w:t xml:space="preserve"> (Stage 1) or rituximab plus chlormabucil (Stage 2)</w:t>
      </w:r>
      <w:r w:rsidRPr="004A4A8E">
        <w:t xml:space="preserve">. </w:t>
      </w:r>
      <w:r w:rsidR="00760A93">
        <w:t xml:space="preserve">In patients treated with </w:t>
      </w:r>
      <w:r w:rsidR="00395BD6">
        <w:rPr>
          <w:lang w:val="en-US"/>
        </w:rPr>
        <w:t>Gazyva</w:t>
      </w:r>
      <w:r w:rsidR="00760A93">
        <w:t xml:space="preserve"> in combination with chlorambucil, 81% received all 6 treatment cycles compared to</w:t>
      </w:r>
      <w:r w:rsidR="001C606E">
        <w:t xml:space="preserve"> 89% of patients in the rituximab plus chlorambucil arm and</w:t>
      </w:r>
      <w:r w:rsidR="00760A93">
        <w:t xml:space="preserve"> 67% of patients in the chlorambucil alone arm.</w:t>
      </w:r>
    </w:p>
    <w:p w:rsidR="00760A93" w:rsidRDefault="00760A93" w:rsidP="00760A93"/>
    <w:p w:rsidR="001C077E" w:rsidRDefault="00760A93" w:rsidP="00760A93">
      <w:r>
        <w:t>Table</w:t>
      </w:r>
      <w:r w:rsidR="00917ED8">
        <w:t>s</w:t>
      </w:r>
      <w:r>
        <w:t xml:space="preserve"> </w:t>
      </w:r>
      <w:r w:rsidR="00C31F70">
        <w:t>5</w:t>
      </w:r>
      <w:r w:rsidR="00917ED8">
        <w:t xml:space="preserve"> and </w:t>
      </w:r>
      <w:r w:rsidR="00C31F70">
        <w:t>6</w:t>
      </w:r>
      <w:r>
        <w:t xml:space="preserve"> summarise the ADRs that occurred at a higher incidence (difference of ≥2%) in patients receiving </w:t>
      </w:r>
      <w:r w:rsidR="00395BD6">
        <w:rPr>
          <w:lang w:val="en-US"/>
        </w:rPr>
        <w:t>Gazyva</w:t>
      </w:r>
      <w:r>
        <w:t xml:space="preserve"> plus chlorambucil as compared to chlorambucil alone</w:t>
      </w:r>
      <w:r w:rsidR="00917ED8">
        <w:t xml:space="preserve"> or rituximab plus chlorambucil, respectively</w:t>
      </w:r>
      <w:r>
        <w:t>.</w:t>
      </w:r>
    </w:p>
    <w:p w:rsidR="001A1DBF" w:rsidRDefault="001A1DBF" w:rsidP="007577C1"/>
    <w:p w:rsidR="00E719F9" w:rsidRDefault="003C47FC" w:rsidP="007577C1">
      <w:pPr>
        <w:rPr>
          <w:rFonts w:cs="Arial"/>
          <w:b/>
          <w:color w:val="000000"/>
          <w:lang w:eastAsia="ko-KR" w:bidi="he-IL"/>
        </w:rPr>
      </w:pPr>
      <w:r w:rsidRPr="00C92F9F">
        <w:rPr>
          <w:rFonts w:cs="Arial"/>
          <w:b/>
          <w:color w:val="000000"/>
          <w:lang w:eastAsia="ko-KR" w:bidi="he-IL"/>
        </w:rPr>
        <w:t>T</w:t>
      </w:r>
      <w:r>
        <w:rPr>
          <w:rFonts w:cs="Arial"/>
          <w:b/>
          <w:color w:val="000000"/>
          <w:lang w:eastAsia="ko-KR" w:bidi="he-IL"/>
        </w:rPr>
        <w:t xml:space="preserve">able </w:t>
      </w:r>
      <w:r w:rsidR="00C31F70">
        <w:rPr>
          <w:rFonts w:cs="Arial"/>
          <w:b/>
          <w:color w:val="000000"/>
          <w:lang w:eastAsia="ko-KR" w:bidi="he-IL"/>
        </w:rPr>
        <w:t>5</w:t>
      </w:r>
      <w:r w:rsidRPr="00C92F9F">
        <w:rPr>
          <w:rFonts w:cs="Arial"/>
          <w:b/>
          <w:color w:val="000000"/>
          <w:lang w:eastAsia="ko-KR" w:bidi="he-IL"/>
        </w:rPr>
        <w:t xml:space="preserve"> </w:t>
      </w:r>
      <w:r w:rsidR="00A31A69">
        <w:rPr>
          <w:rFonts w:cs="Arial"/>
          <w:b/>
          <w:color w:val="000000"/>
          <w:lang w:eastAsia="ko-KR" w:bidi="he-IL"/>
        </w:rPr>
        <w:t>Adverse Reactions</w:t>
      </w:r>
      <w:r>
        <w:rPr>
          <w:rFonts w:cs="Arial"/>
          <w:b/>
          <w:color w:val="000000"/>
          <w:lang w:eastAsia="ko-KR" w:bidi="he-IL"/>
        </w:rPr>
        <w:t xml:space="preserve"> reported with a higher incidence (difference of </w:t>
      </w:r>
      <w:r>
        <w:rPr>
          <w:b/>
          <w:color w:val="000000"/>
          <w:lang w:eastAsia="ko-KR" w:bidi="he-IL"/>
        </w:rPr>
        <w:t>≥</w:t>
      </w:r>
      <w:r>
        <w:rPr>
          <w:rFonts w:cs="Arial"/>
          <w:b/>
          <w:color w:val="000000"/>
          <w:lang w:eastAsia="ko-KR" w:bidi="he-IL"/>
        </w:rPr>
        <w:t xml:space="preserve"> 2%</w:t>
      </w:r>
      <w:r w:rsidR="00C7198D">
        <w:rPr>
          <w:rFonts w:cs="Arial"/>
          <w:b/>
          <w:color w:val="000000"/>
          <w:lang w:eastAsia="ko-KR" w:bidi="he-IL"/>
        </w:rPr>
        <w:t xml:space="preserve"> compared to chlorambucil alone [Stage 1]</w:t>
      </w:r>
      <w:r>
        <w:rPr>
          <w:rFonts w:cs="Arial"/>
          <w:b/>
          <w:color w:val="000000"/>
          <w:lang w:eastAsia="ko-KR" w:bidi="he-IL"/>
        </w:rPr>
        <w:t xml:space="preserve">) in patients receiving </w:t>
      </w:r>
      <w:r w:rsidR="00395BD6">
        <w:rPr>
          <w:rFonts w:cs="Arial"/>
          <w:b/>
          <w:color w:val="000000"/>
          <w:lang w:eastAsia="ko-KR" w:bidi="he-IL"/>
        </w:rPr>
        <w:t xml:space="preserve">Gazyva </w:t>
      </w:r>
      <w:r>
        <w:rPr>
          <w:rFonts w:cs="Arial"/>
          <w:b/>
          <w:color w:val="000000"/>
          <w:lang w:eastAsia="ko-KR" w:bidi="he-IL"/>
        </w:rPr>
        <w:t>plus chlorambucil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8"/>
        <w:gridCol w:w="1424"/>
        <w:gridCol w:w="1416"/>
        <w:gridCol w:w="1475"/>
      </w:tblGrid>
      <w:tr w:rsidR="00E719F9" w:rsidRPr="004362B1" w:rsidTr="004362B1">
        <w:tc>
          <w:tcPr>
            <w:tcW w:w="3686" w:type="dxa"/>
            <w:shd w:val="clear" w:color="auto" w:fill="auto"/>
            <w:vAlign w:val="center"/>
          </w:tcPr>
          <w:p w:rsidR="00E719F9" w:rsidRPr="004362B1" w:rsidRDefault="00E719F9" w:rsidP="004362B1">
            <w:pPr>
              <w:jc w:val="center"/>
              <w:rPr>
                <w:b/>
                <w:sz w:val="22"/>
                <w:lang w:val="en-US"/>
              </w:rPr>
            </w:pPr>
            <w:r w:rsidRPr="004362B1">
              <w:rPr>
                <w:b/>
                <w:sz w:val="22"/>
                <w:lang w:val="en-US"/>
              </w:rPr>
              <w:t xml:space="preserve">ADR (MedDRA) </w:t>
            </w:r>
          </w:p>
          <w:p w:rsidR="00E719F9" w:rsidRPr="004362B1" w:rsidRDefault="00E719F9" w:rsidP="004362B1">
            <w:pPr>
              <w:jc w:val="center"/>
              <w:rPr>
                <w:b/>
                <w:sz w:val="22"/>
                <w:lang w:val="en-US"/>
              </w:rPr>
            </w:pPr>
            <w:r w:rsidRPr="004362B1">
              <w:rPr>
                <w:b/>
                <w:sz w:val="22"/>
                <w:lang w:val="en-US"/>
              </w:rPr>
              <w:t>System Organ Class</w:t>
            </w:r>
          </w:p>
        </w:tc>
        <w:tc>
          <w:tcPr>
            <w:tcW w:w="2842" w:type="dxa"/>
            <w:gridSpan w:val="2"/>
            <w:shd w:val="clear" w:color="auto" w:fill="auto"/>
            <w:vAlign w:val="center"/>
          </w:tcPr>
          <w:p w:rsidR="00E719F9" w:rsidRPr="004362B1" w:rsidRDefault="00E719F9" w:rsidP="004362B1">
            <w:pPr>
              <w:jc w:val="center"/>
              <w:rPr>
                <w:b/>
                <w:sz w:val="22"/>
                <w:lang w:val="en-US"/>
              </w:rPr>
            </w:pPr>
            <w:r w:rsidRPr="004362B1">
              <w:rPr>
                <w:b/>
                <w:sz w:val="22"/>
                <w:lang w:val="en-US"/>
              </w:rPr>
              <w:t>All Grades %</w:t>
            </w:r>
          </w:p>
        </w:tc>
        <w:tc>
          <w:tcPr>
            <w:tcW w:w="2891" w:type="dxa"/>
            <w:gridSpan w:val="2"/>
            <w:shd w:val="clear" w:color="auto" w:fill="auto"/>
            <w:vAlign w:val="center"/>
          </w:tcPr>
          <w:p w:rsidR="00E719F9" w:rsidRPr="004362B1" w:rsidRDefault="00E719F9" w:rsidP="004362B1">
            <w:pPr>
              <w:jc w:val="center"/>
              <w:rPr>
                <w:b/>
                <w:sz w:val="22"/>
                <w:lang w:val="en-US"/>
              </w:rPr>
            </w:pPr>
            <w:r w:rsidRPr="004362B1">
              <w:rPr>
                <w:b/>
                <w:sz w:val="22"/>
                <w:lang w:val="en-US"/>
              </w:rPr>
              <w:t>Grades 3-5</w:t>
            </w:r>
            <w:r w:rsidRPr="004362B1">
              <w:rPr>
                <w:b/>
                <w:sz w:val="22"/>
                <w:vertAlign w:val="superscript"/>
                <w:lang w:val="en-US"/>
              </w:rPr>
              <w:t>†</w:t>
            </w:r>
            <w:r w:rsidRPr="004362B1">
              <w:rPr>
                <w:b/>
                <w:sz w:val="22"/>
                <w:lang w:val="en-US"/>
              </w:rPr>
              <w:t xml:space="preserve"> %</w:t>
            </w:r>
          </w:p>
        </w:tc>
      </w:tr>
      <w:tr w:rsidR="00E719F9" w:rsidRPr="004362B1" w:rsidTr="004362B1">
        <w:tc>
          <w:tcPr>
            <w:tcW w:w="3686" w:type="dxa"/>
            <w:shd w:val="clear" w:color="auto" w:fill="auto"/>
          </w:tcPr>
          <w:p w:rsidR="00E719F9" w:rsidRPr="004362B1" w:rsidRDefault="00E719F9" w:rsidP="004362B1">
            <w:pPr>
              <w:jc w:val="left"/>
              <w:rPr>
                <w:sz w:val="22"/>
                <w:lang w:val="en-US"/>
              </w:rPr>
            </w:pPr>
          </w:p>
        </w:tc>
        <w:tc>
          <w:tcPr>
            <w:tcW w:w="1418" w:type="dxa"/>
            <w:shd w:val="clear" w:color="auto" w:fill="auto"/>
            <w:vAlign w:val="center"/>
          </w:tcPr>
          <w:p w:rsidR="00E719F9" w:rsidRPr="004362B1" w:rsidRDefault="00EB75BA" w:rsidP="004362B1">
            <w:pPr>
              <w:jc w:val="center"/>
              <w:rPr>
                <w:sz w:val="22"/>
                <w:lang w:val="en-US"/>
              </w:rPr>
            </w:pPr>
            <w:r>
              <w:rPr>
                <w:sz w:val="22"/>
                <w:lang w:val="en-US"/>
              </w:rPr>
              <w:t>chlorambucil n=</w:t>
            </w:r>
            <w:r w:rsidR="00E719F9" w:rsidRPr="004362B1">
              <w:rPr>
                <w:sz w:val="22"/>
                <w:lang w:val="en-US"/>
              </w:rPr>
              <w:t>116</w:t>
            </w:r>
          </w:p>
        </w:tc>
        <w:tc>
          <w:tcPr>
            <w:tcW w:w="1424" w:type="dxa"/>
            <w:shd w:val="clear" w:color="auto" w:fill="auto"/>
            <w:vAlign w:val="center"/>
          </w:tcPr>
          <w:p w:rsidR="00E719F9" w:rsidRPr="00916A73" w:rsidRDefault="00395BD6" w:rsidP="00395BD6">
            <w:pPr>
              <w:jc w:val="center"/>
              <w:rPr>
                <w:sz w:val="22"/>
                <w:lang w:val="en-US"/>
              </w:rPr>
            </w:pPr>
            <w:r>
              <w:rPr>
                <w:sz w:val="22"/>
                <w:lang w:val="en-US"/>
              </w:rPr>
              <w:t>Gazyva</w:t>
            </w:r>
            <w:r w:rsidR="00EB75BA">
              <w:rPr>
                <w:sz w:val="22"/>
                <w:lang w:val="en-US"/>
              </w:rPr>
              <w:t xml:space="preserve"> + chlorambucil n=</w:t>
            </w:r>
            <w:r w:rsidR="00E719F9" w:rsidRPr="004362B1">
              <w:rPr>
                <w:sz w:val="22"/>
                <w:lang w:val="en-US"/>
              </w:rPr>
              <w:t>24</w:t>
            </w:r>
            <w:r w:rsidR="006E108D">
              <w:rPr>
                <w:sz w:val="22"/>
                <w:lang w:val="en-US"/>
              </w:rPr>
              <w:t>1</w:t>
            </w:r>
          </w:p>
        </w:tc>
        <w:tc>
          <w:tcPr>
            <w:tcW w:w="1416" w:type="dxa"/>
            <w:shd w:val="clear" w:color="auto" w:fill="auto"/>
            <w:vAlign w:val="center"/>
          </w:tcPr>
          <w:p w:rsidR="00E719F9" w:rsidRPr="004362B1" w:rsidRDefault="00EB75BA" w:rsidP="004362B1">
            <w:pPr>
              <w:jc w:val="center"/>
              <w:rPr>
                <w:sz w:val="22"/>
                <w:lang w:val="en-US"/>
              </w:rPr>
            </w:pPr>
            <w:r>
              <w:rPr>
                <w:sz w:val="22"/>
                <w:lang w:val="en-US"/>
              </w:rPr>
              <w:t>chlorambucil n=</w:t>
            </w:r>
            <w:r w:rsidR="00E719F9" w:rsidRPr="004362B1">
              <w:rPr>
                <w:sz w:val="22"/>
                <w:lang w:val="en-US"/>
              </w:rPr>
              <w:t>116</w:t>
            </w:r>
          </w:p>
        </w:tc>
        <w:tc>
          <w:tcPr>
            <w:tcW w:w="1475" w:type="dxa"/>
            <w:shd w:val="clear" w:color="auto" w:fill="auto"/>
            <w:vAlign w:val="center"/>
          </w:tcPr>
          <w:p w:rsidR="00E719F9" w:rsidRPr="00916A73" w:rsidRDefault="00395BD6" w:rsidP="00395BD6">
            <w:pPr>
              <w:jc w:val="center"/>
              <w:rPr>
                <w:sz w:val="22"/>
                <w:lang w:val="en-US"/>
              </w:rPr>
            </w:pPr>
            <w:r>
              <w:rPr>
                <w:sz w:val="22"/>
                <w:lang w:val="en-US"/>
              </w:rPr>
              <w:t>Gazyva</w:t>
            </w:r>
            <w:r w:rsidR="00E719F9" w:rsidRPr="004362B1">
              <w:rPr>
                <w:sz w:val="22"/>
                <w:lang w:val="en-US"/>
              </w:rPr>
              <w:t xml:space="preserve"> + chlorambuci</w:t>
            </w:r>
            <w:r w:rsidR="00EB75BA">
              <w:rPr>
                <w:sz w:val="22"/>
                <w:lang w:val="en-US"/>
              </w:rPr>
              <w:t>l n=</w:t>
            </w:r>
            <w:r w:rsidR="00E719F9" w:rsidRPr="004362B1">
              <w:rPr>
                <w:sz w:val="22"/>
                <w:lang w:val="en-US"/>
              </w:rPr>
              <w:t>24</w:t>
            </w:r>
            <w:r w:rsidR="006E108D">
              <w:rPr>
                <w:sz w:val="22"/>
                <w:lang w:val="en-US"/>
              </w:rPr>
              <w:t>1</w:t>
            </w:r>
          </w:p>
        </w:tc>
      </w:tr>
      <w:tr w:rsidR="00E719F9" w:rsidRPr="004362B1" w:rsidTr="004362B1">
        <w:tc>
          <w:tcPr>
            <w:tcW w:w="3686" w:type="dxa"/>
            <w:shd w:val="clear" w:color="auto" w:fill="auto"/>
          </w:tcPr>
          <w:p w:rsidR="00E719F9" w:rsidRPr="004362B1" w:rsidRDefault="00E719F9" w:rsidP="004362B1">
            <w:pPr>
              <w:jc w:val="left"/>
              <w:rPr>
                <w:b/>
                <w:sz w:val="22"/>
                <w:lang w:val="en-US"/>
              </w:rPr>
            </w:pPr>
            <w:r w:rsidRPr="004362B1">
              <w:rPr>
                <w:b/>
                <w:sz w:val="22"/>
                <w:lang w:val="en-US"/>
              </w:rPr>
              <w:t>Injury, Poisoning and Procedural Complications</w:t>
            </w:r>
          </w:p>
        </w:tc>
        <w:tc>
          <w:tcPr>
            <w:tcW w:w="5733" w:type="dxa"/>
            <w:gridSpan w:val="4"/>
            <w:shd w:val="clear" w:color="auto" w:fill="auto"/>
          </w:tcPr>
          <w:p w:rsidR="00E719F9" w:rsidRPr="004362B1" w:rsidRDefault="00E719F9" w:rsidP="004362B1">
            <w:pPr>
              <w:jc w:val="left"/>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Infusion related reactions</w:t>
            </w:r>
          </w:p>
        </w:tc>
        <w:tc>
          <w:tcPr>
            <w:tcW w:w="1418" w:type="dxa"/>
            <w:shd w:val="clear" w:color="auto" w:fill="auto"/>
            <w:vAlign w:val="center"/>
          </w:tcPr>
          <w:p w:rsidR="00E719F9" w:rsidRPr="004362B1" w:rsidRDefault="00E719F9" w:rsidP="004362B1">
            <w:pPr>
              <w:jc w:val="center"/>
              <w:rPr>
                <w:sz w:val="22"/>
                <w:lang w:val="en-US"/>
              </w:rPr>
            </w:pPr>
            <w:r w:rsidRPr="004362B1">
              <w:rPr>
                <w:sz w:val="22"/>
                <w:lang w:val="en-US"/>
              </w:rPr>
              <w:t>N/A</w:t>
            </w:r>
          </w:p>
        </w:tc>
        <w:tc>
          <w:tcPr>
            <w:tcW w:w="1424" w:type="dxa"/>
            <w:shd w:val="clear" w:color="auto" w:fill="auto"/>
            <w:vAlign w:val="center"/>
          </w:tcPr>
          <w:p w:rsidR="00E719F9" w:rsidRPr="00916A73" w:rsidRDefault="00E719F9" w:rsidP="004362B1">
            <w:pPr>
              <w:jc w:val="center"/>
              <w:rPr>
                <w:sz w:val="22"/>
                <w:lang w:val="en-US"/>
              </w:rPr>
            </w:pPr>
            <w:r w:rsidRPr="004362B1">
              <w:rPr>
                <w:sz w:val="22"/>
                <w:lang w:val="en-US"/>
              </w:rPr>
              <w:t>68.</w:t>
            </w:r>
            <w:r w:rsidR="006E108D">
              <w:rPr>
                <w:sz w:val="22"/>
                <w:lang w:val="en-US"/>
              </w:rPr>
              <w:t>9</w:t>
            </w:r>
          </w:p>
        </w:tc>
        <w:tc>
          <w:tcPr>
            <w:tcW w:w="1416" w:type="dxa"/>
            <w:shd w:val="clear" w:color="auto" w:fill="auto"/>
            <w:vAlign w:val="center"/>
          </w:tcPr>
          <w:p w:rsidR="00E719F9" w:rsidRPr="004362B1" w:rsidRDefault="00E719F9" w:rsidP="004362B1">
            <w:pPr>
              <w:jc w:val="center"/>
              <w:rPr>
                <w:sz w:val="22"/>
                <w:lang w:val="en-US"/>
              </w:rPr>
            </w:pPr>
            <w:r w:rsidRPr="004362B1">
              <w:rPr>
                <w:sz w:val="22"/>
                <w:lang w:val="en-US"/>
              </w:rPr>
              <w:t>N/A</w:t>
            </w:r>
          </w:p>
        </w:tc>
        <w:tc>
          <w:tcPr>
            <w:tcW w:w="1475" w:type="dxa"/>
            <w:shd w:val="clear" w:color="auto" w:fill="auto"/>
            <w:vAlign w:val="center"/>
          </w:tcPr>
          <w:p w:rsidR="00E719F9" w:rsidRPr="00916A73" w:rsidRDefault="00E719F9" w:rsidP="004362B1">
            <w:pPr>
              <w:jc w:val="center"/>
              <w:rPr>
                <w:sz w:val="22"/>
                <w:lang w:val="en-US"/>
              </w:rPr>
            </w:pPr>
            <w:r w:rsidRPr="004362B1">
              <w:rPr>
                <w:sz w:val="22"/>
                <w:lang w:val="en-US"/>
              </w:rPr>
              <w:t>21.</w:t>
            </w:r>
            <w:r w:rsidR="006E108D">
              <w:rPr>
                <w:sz w:val="22"/>
                <w:lang w:val="en-US"/>
              </w:rPr>
              <w:t>2</w:t>
            </w:r>
          </w:p>
        </w:tc>
      </w:tr>
      <w:tr w:rsidR="00E719F9" w:rsidRPr="004362B1" w:rsidTr="004362B1">
        <w:tc>
          <w:tcPr>
            <w:tcW w:w="3686" w:type="dxa"/>
            <w:shd w:val="clear" w:color="auto" w:fill="auto"/>
          </w:tcPr>
          <w:p w:rsidR="00E719F9" w:rsidRPr="004362B1" w:rsidRDefault="00E719F9" w:rsidP="004362B1">
            <w:pPr>
              <w:jc w:val="left"/>
              <w:rPr>
                <w:b/>
                <w:sz w:val="22"/>
                <w:lang w:val="en-US"/>
              </w:rPr>
            </w:pPr>
            <w:r w:rsidRPr="004362B1">
              <w:rPr>
                <w:b/>
                <w:sz w:val="22"/>
                <w:lang w:val="en-US"/>
              </w:rPr>
              <w:t>Blood and lymphatic system disorders</w:t>
            </w:r>
          </w:p>
        </w:tc>
        <w:tc>
          <w:tcPr>
            <w:tcW w:w="5733" w:type="dxa"/>
            <w:gridSpan w:val="4"/>
            <w:shd w:val="clear" w:color="auto" w:fill="auto"/>
          </w:tcPr>
          <w:p w:rsidR="00E719F9" w:rsidRPr="004362B1" w:rsidRDefault="00E719F9" w:rsidP="004362B1">
            <w:pPr>
              <w:jc w:val="left"/>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Neutropenia</w:t>
            </w:r>
          </w:p>
        </w:tc>
        <w:tc>
          <w:tcPr>
            <w:tcW w:w="1418" w:type="dxa"/>
            <w:shd w:val="clear" w:color="auto" w:fill="auto"/>
            <w:vAlign w:val="center"/>
          </w:tcPr>
          <w:p w:rsidR="00E719F9" w:rsidRPr="004362B1" w:rsidRDefault="00E719F9" w:rsidP="004362B1">
            <w:pPr>
              <w:jc w:val="center"/>
              <w:rPr>
                <w:sz w:val="22"/>
                <w:lang w:val="en-US"/>
              </w:rPr>
            </w:pPr>
            <w:r w:rsidRPr="004362B1">
              <w:rPr>
                <w:sz w:val="22"/>
                <w:lang w:val="en-US"/>
              </w:rPr>
              <w:t>18.1</w:t>
            </w:r>
          </w:p>
        </w:tc>
        <w:tc>
          <w:tcPr>
            <w:tcW w:w="1424" w:type="dxa"/>
            <w:shd w:val="clear" w:color="auto" w:fill="auto"/>
            <w:vAlign w:val="center"/>
          </w:tcPr>
          <w:p w:rsidR="00E719F9" w:rsidRPr="00916A73" w:rsidRDefault="00E719F9" w:rsidP="004362B1">
            <w:pPr>
              <w:jc w:val="center"/>
              <w:rPr>
                <w:sz w:val="22"/>
                <w:lang w:val="en-US"/>
              </w:rPr>
            </w:pPr>
            <w:r w:rsidRPr="004362B1">
              <w:rPr>
                <w:sz w:val="22"/>
                <w:lang w:val="en-US"/>
              </w:rPr>
              <w:t>40.</w:t>
            </w:r>
            <w:r w:rsidR="006E108D">
              <w:rPr>
                <w:sz w:val="22"/>
                <w:lang w:val="en-US"/>
              </w:rPr>
              <w:t>7</w:t>
            </w:r>
          </w:p>
        </w:tc>
        <w:tc>
          <w:tcPr>
            <w:tcW w:w="1416" w:type="dxa"/>
            <w:shd w:val="clear" w:color="auto" w:fill="auto"/>
            <w:vAlign w:val="center"/>
          </w:tcPr>
          <w:p w:rsidR="00E719F9" w:rsidRPr="004362B1" w:rsidRDefault="00E719F9" w:rsidP="004362B1">
            <w:pPr>
              <w:jc w:val="center"/>
              <w:rPr>
                <w:sz w:val="22"/>
                <w:lang w:val="en-US"/>
              </w:rPr>
            </w:pPr>
            <w:r w:rsidRPr="004362B1">
              <w:rPr>
                <w:sz w:val="22"/>
                <w:lang w:val="en-US"/>
              </w:rPr>
              <w:t>15.5</w:t>
            </w:r>
          </w:p>
        </w:tc>
        <w:tc>
          <w:tcPr>
            <w:tcW w:w="1475" w:type="dxa"/>
            <w:shd w:val="clear" w:color="auto" w:fill="auto"/>
            <w:vAlign w:val="center"/>
          </w:tcPr>
          <w:p w:rsidR="00E719F9" w:rsidRPr="00916A73" w:rsidRDefault="00E719F9" w:rsidP="004362B1">
            <w:pPr>
              <w:jc w:val="center"/>
              <w:rPr>
                <w:sz w:val="22"/>
                <w:lang w:val="en-US"/>
              </w:rPr>
            </w:pPr>
            <w:r w:rsidRPr="004362B1">
              <w:rPr>
                <w:sz w:val="22"/>
                <w:lang w:val="en-US"/>
              </w:rPr>
              <w:t>34.</w:t>
            </w:r>
            <w:r w:rsidR="006E108D">
              <w:rPr>
                <w:sz w:val="22"/>
                <w:lang w:val="en-US"/>
              </w:rPr>
              <w:t>9</w:t>
            </w: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lastRenderedPageBreak/>
              <w:t>Thrombocytopenia</w:t>
            </w:r>
          </w:p>
        </w:tc>
        <w:tc>
          <w:tcPr>
            <w:tcW w:w="1418" w:type="dxa"/>
            <w:shd w:val="clear" w:color="auto" w:fill="auto"/>
            <w:vAlign w:val="center"/>
          </w:tcPr>
          <w:p w:rsidR="00E719F9" w:rsidRPr="00916A73" w:rsidRDefault="006E108D" w:rsidP="004362B1">
            <w:pPr>
              <w:jc w:val="center"/>
              <w:rPr>
                <w:sz w:val="22"/>
                <w:lang w:val="en-US"/>
              </w:rPr>
            </w:pPr>
            <w:r>
              <w:rPr>
                <w:sz w:val="22"/>
                <w:lang w:val="en-US"/>
              </w:rPr>
              <w:t>7.8</w:t>
            </w:r>
          </w:p>
        </w:tc>
        <w:tc>
          <w:tcPr>
            <w:tcW w:w="1424" w:type="dxa"/>
            <w:shd w:val="clear" w:color="auto" w:fill="auto"/>
            <w:vAlign w:val="center"/>
          </w:tcPr>
          <w:p w:rsidR="00E719F9" w:rsidRPr="00916A73" w:rsidRDefault="00E719F9" w:rsidP="004362B1">
            <w:pPr>
              <w:jc w:val="center"/>
              <w:rPr>
                <w:sz w:val="22"/>
                <w:lang w:val="en-US"/>
              </w:rPr>
            </w:pPr>
            <w:r w:rsidRPr="004362B1">
              <w:rPr>
                <w:sz w:val="22"/>
                <w:lang w:val="en-US"/>
              </w:rPr>
              <w:t>15.</w:t>
            </w:r>
            <w:r w:rsidR="006E108D">
              <w:rPr>
                <w:sz w:val="22"/>
                <w:lang w:val="en-US"/>
              </w:rPr>
              <w:t>4</w:t>
            </w:r>
          </w:p>
        </w:tc>
        <w:tc>
          <w:tcPr>
            <w:tcW w:w="1416" w:type="dxa"/>
            <w:shd w:val="clear" w:color="auto" w:fill="auto"/>
            <w:vAlign w:val="center"/>
          </w:tcPr>
          <w:p w:rsidR="00E719F9" w:rsidRPr="00916A73" w:rsidRDefault="006E108D" w:rsidP="004362B1">
            <w:pPr>
              <w:jc w:val="center"/>
              <w:rPr>
                <w:sz w:val="22"/>
                <w:lang w:val="en-US"/>
              </w:rPr>
            </w:pPr>
            <w:r>
              <w:rPr>
                <w:sz w:val="22"/>
                <w:lang w:val="en-US"/>
              </w:rPr>
              <w:t>4.3</w:t>
            </w:r>
          </w:p>
        </w:tc>
        <w:tc>
          <w:tcPr>
            <w:tcW w:w="1475" w:type="dxa"/>
            <w:shd w:val="clear" w:color="auto" w:fill="auto"/>
            <w:vAlign w:val="center"/>
          </w:tcPr>
          <w:p w:rsidR="00E719F9" w:rsidRPr="00916A73" w:rsidRDefault="006E108D" w:rsidP="004362B1">
            <w:pPr>
              <w:jc w:val="center"/>
              <w:rPr>
                <w:sz w:val="22"/>
                <w:lang w:val="en-US"/>
              </w:rPr>
            </w:pPr>
            <w:r>
              <w:rPr>
                <w:sz w:val="22"/>
                <w:lang w:val="en-US"/>
              </w:rPr>
              <w:t>11.2</w:t>
            </w:r>
          </w:p>
        </w:tc>
      </w:tr>
      <w:tr w:rsidR="006E108D" w:rsidRPr="004362B1" w:rsidTr="004362B1">
        <w:tc>
          <w:tcPr>
            <w:tcW w:w="3686" w:type="dxa"/>
            <w:shd w:val="clear" w:color="auto" w:fill="auto"/>
          </w:tcPr>
          <w:p w:rsidR="006E108D" w:rsidRPr="004362B1" w:rsidRDefault="006E108D" w:rsidP="004362B1">
            <w:pPr>
              <w:jc w:val="left"/>
              <w:rPr>
                <w:sz w:val="22"/>
                <w:lang w:val="en-US"/>
              </w:rPr>
            </w:pPr>
            <w:r>
              <w:rPr>
                <w:sz w:val="22"/>
                <w:lang w:val="en-US"/>
              </w:rPr>
              <w:t>Anaemia</w:t>
            </w:r>
          </w:p>
        </w:tc>
        <w:tc>
          <w:tcPr>
            <w:tcW w:w="1418" w:type="dxa"/>
            <w:shd w:val="clear" w:color="auto" w:fill="auto"/>
            <w:vAlign w:val="center"/>
          </w:tcPr>
          <w:p w:rsidR="006E108D" w:rsidRPr="004362B1" w:rsidRDefault="006E108D" w:rsidP="004362B1">
            <w:pPr>
              <w:jc w:val="center"/>
              <w:rPr>
                <w:sz w:val="22"/>
                <w:lang w:val="en-US"/>
              </w:rPr>
            </w:pPr>
            <w:r>
              <w:rPr>
                <w:sz w:val="22"/>
                <w:lang w:val="en-US"/>
              </w:rPr>
              <w:t>10.3</w:t>
            </w:r>
          </w:p>
        </w:tc>
        <w:tc>
          <w:tcPr>
            <w:tcW w:w="1424" w:type="dxa"/>
            <w:shd w:val="clear" w:color="auto" w:fill="auto"/>
            <w:vAlign w:val="center"/>
          </w:tcPr>
          <w:p w:rsidR="006E108D" w:rsidRPr="004362B1" w:rsidRDefault="006E108D" w:rsidP="004362B1">
            <w:pPr>
              <w:jc w:val="center"/>
              <w:rPr>
                <w:sz w:val="22"/>
                <w:lang w:val="en-US"/>
              </w:rPr>
            </w:pPr>
            <w:r>
              <w:rPr>
                <w:sz w:val="22"/>
                <w:lang w:val="en-US"/>
              </w:rPr>
              <w:t>12.4</w:t>
            </w:r>
          </w:p>
        </w:tc>
        <w:tc>
          <w:tcPr>
            <w:tcW w:w="1416" w:type="dxa"/>
            <w:shd w:val="clear" w:color="auto" w:fill="auto"/>
            <w:vAlign w:val="center"/>
          </w:tcPr>
          <w:p w:rsidR="006E108D" w:rsidRPr="004362B1" w:rsidRDefault="006E108D" w:rsidP="004362B1">
            <w:pPr>
              <w:jc w:val="center"/>
              <w:rPr>
                <w:sz w:val="22"/>
                <w:lang w:val="en-US"/>
              </w:rPr>
            </w:pPr>
            <w:r>
              <w:rPr>
                <w:sz w:val="22"/>
                <w:lang w:val="en-US"/>
              </w:rPr>
              <w:t>4.3</w:t>
            </w:r>
          </w:p>
        </w:tc>
        <w:tc>
          <w:tcPr>
            <w:tcW w:w="1475" w:type="dxa"/>
            <w:shd w:val="clear" w:color="auto" w:fill="auto"/>
            <w:vAlign w:val="center"/>
          </w:tcPr>
          <w:p w:rsidR="006E108D" w:rsidRPr="004362B1" w:rsidRDefault="006E108D" w:rsidP="004362B1">
            <w:pPr>
              <w:jc w:val="center"/>
              <w:rPr>
                <w:sz w:val="22"/>
                <w:lang w:val="en-US"/>
              </w:rPr>
            </w:pPr>
            <w:r>
              <w:rPr>
                <w:sz w:val="22"/>
                <w:lang w:val="en-US"/>
              </w:rPr>
              <w:t>4.6</w:t>
            </w: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Leucopenia</w:t>
            </w:r>
          </w:p>
        </w:tc>
        <w:tc>
          <w:tcPr>
            <w:tcW w:w="1418" w:type="dxa"/>
            <w:shd w:val="clear" w:color="auto" w:fill="auto"/>
            <w:vAlign w:val="center"/>
          </w:tcPr>
          <w:p w:rsidR="00E719F9" w:rsidRPr="004362B1" w:rsidRDefault="00E719F9" w:rsidP="004362B1">
            <w:pPr>
              <w:jc w:val="center"/>
              <w:rPr>
                <w:sz w:val="22"/>
                <w:lang w:val="en-US"/>
              </w:rPr>
            </w:pPr>
            <w:r w:rsidRPr="004362B1">
              <w:rPr>
                <w:sz w:val="22"/>
                <w:lang w:val="en-US"/>
              </w:rPr>
              <w:t>0</w:t>
            </w:r>
          </w:p>
        </w:tc>
        <w:tc>
          <w:tcPr>
            <w:tcW w:w="1424" w:type="dxa"/>
            <w:shd w:val="clear" w:color="auto" w:fill="auto"/>
            <w:vAlign w:val="center"/>
          </w:tcPr>
          <w:p w:rsidR="00E719F9" w:rsidRPr="00916A73" w:rsidRDefault="006E108D" w:rsidP="004362B1">
            <w:pPr>
              <w:jc w:val="center"/>
              <w:rPr>
                <w:sz w:val="22"/>
                <w:lang w:val="en-US"/>
              </w:rPr>
            </w:pPr>
            <w:r>
              <w:rPr>
                <w:sz w:val="22"/>
                <w:lang w:val="en-US"/>
              </w:rPr>
              <w:t>7.1</w:t>
            </w:r>
          </w:p>
        </w:tc>
        <w:tc>
          <w:tcPr>
            <w:tcW w:w="1416" w:type="dxa"/>
            <w:shd w:val="clear" w:color="auto" w:fill="auto"/>
            <w:vAlign w:val="center"/>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vAlign w:val="center"/>
          </w:tcPr>
          <w:p w:rsidR="00E719F9" w:rsidRPr="004362B1" w:rsidRDefault="00E719F9" w:rsidP="004362B1">
            <w:pPr>
              <w:jc w:val="center"/>
              <w:rPr>
                <w:sz w:val="22"/>
                <w:lang w:val="en-US"/>
              </w:rPr>
            </w:pPr>
            <w:r w:rsidRPr="004362B1">
              <w:rPr>
                <w:sz w:val="22"/>
                <w:lang w:val="en-US"/>
              </w:rPr>
              <w:t>5.4</w:t>
            </w:r>
          </w:p>
        </w:tc>
      </w:tr>
      <w:tr w:rsidR="00E719F9" w:rsidRPr="004362B1" w:rsidTr="004362B1">
        <w:tc>
          <w:tcPr>
            <w:tcW w:w="3686" w:type="dxa"/>
            <w:shd w:val="clear" w:color="auto" w:fill="auto"/>
          </w:tcPr>
          <w:p w:rsidR="00E719F9" w:rsidRPr="00780839" w:rsidRDefault="00E719F9" w:rsidP="004362B1">
            <w:pPr>
              <w:jc w:val="left"/>
              <w:rPr>
                <w:b/>
                <w:sz w:val="22"/>
                <w:lang w:val="en-US"/>
              </w:rPr>
            </w:pPr>
            <w:r w:rsidRPr="00780839">
              <w:rPr>
                <w:b/>
                <w:sz w:val="22"/>
                <w:lang w:val="en-US"/>
              </w:rPr>
              <w:t>Infections and Infestations</w:t>
            </w:r>
          </w:p>
        </w:tc>
        <w:tc>
          <w:tcPr>
            <w:tcW w:w="5733" w:type="dxa"/>
            <w:gridSpan w:val="4"/>
            <w:shd w:val="clear" w:color="auto" w:fill="auto"/>
          </w:tcPr>
          <w:p w:rsidR="00E719F9" w:rsidRPr="004362B1" w:rsidRDefault="00E719F9" w:rsidP="004362B1">
            <w:pPr>
              <w:jc w:val="left"/>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Urinary tract infection</w:t>
            </w:r>
          </w:p>
        </w:tc>
        <w:tc>
          <w:tcPr>
            <w:tcW w:w="1418" w:type="dxa"/>
            <w:shd w:val="clear" w:color="auto" w:fill="auto"/>
            <w:vAlign w:val="center"/>
          </w:tcPr>
          <w:p w:rsidR="00E719F9" w:rsidRPr="004362B1" w:rsidRDefault="00E719F9" w:rsidP="004362B1">
            <w:pPr>
              <w:jc w:val="center"/>
              <w:rPr>
                <w:sz w:val="22"/>
                <w:lang w:val="en-US"/>
              </w:rPr>
            </w:pPr>
            <w:r w:rsidRPr="004362B1">
              <w:rPr>
                <w:sz w:val="22"/>
                <w:lang w:val="en-US"/>
              </w:rPr>
              <w:t>2.6</w:t>
            </w:r>
          </w:p>
        </w:tc>
        <w:tc>
          <w:tcPr>
            <w:tcW w:w="1424" w:type="dxa"/>
            <w:shd w:val="clear" w:color="auto" w:fill="auto"/>
            <w:vAlign w:val="center"/>
          </w:tcPr>
          <w:p w:rsidR="00E719F9" w:rsidRPr="00916A73" w:rsidRDefault="0055536F" w:rsidP="004362B1">
            <w:pPr>
              <w:jc w:val="center"/>
              <w:rPr>
                <w:sz w:val="22"/>
                <w:lang w:val="en-US"/>
              </w:rPr>
            </w:pPr>
            <w:r>
              <w:rPr>
                <w:sz w:val="22"/>
                <w:lang w:val="en-US"/>
              </w:rPr>
              <w:t>6.2</w:t>
            </w:r>
          </w:p>
        </w:tc>
        <w:tc>
          <w:tcPr>
            <w:tcW w:w="1416" w:type="dxa"/>
            <w:shd w:val="clear" w:color="auto" w:fill="auto"/>
            <w:vAlign w:val="center"/>
          </w:tcPr>
          <w:p w:rsidR="00E719F9" w:rsidRPr="004362B1" w:rsidRDefault="00E719F9" w:rsidP="004362B1">
            <w:pPr>
              <w:jc w:val="center"/>
              <w:rPr>
                <w:sz w:val="22"/>
                <w:lang w:val="en-US"/>
              </w:rPr>
            </w:pPr>
            <w:r w:rsidRPr="004362B1">
              <w:rPr>
                <w:sz w:val="22"/>
                <w:lang w:val="en-US"/>
              </w:rPr>
              <w:t>&lt; 1</w:t>
            </w:r>
          </w:p>
        </w:tc>
        <w:tc>
          <w:tcPr>
            <w:tcW w:w="1475" w:type="dxa"/>
            <w:shd w:val="clear" w:color="auto" w:fill="auto"/>
            <w:vAlign w:val="center"/>
          </w:tcPr>
          <w:p w:rsidR="00E719F9" w:rsidRPr="00916A73" w:rsidRDefault="00E719F9" w:rsidP="004362B1">
            <w:pPr>
              <w:jc w:val="center"/>
              <w:rPr>
                <w:sz w:val="22"/>
                <w:lang w:val="en-US"/>
              </w:rPr>
            </w:pPr>
            <w:r w:rsidRPr="004362B1">
              <w:rPr>
                <w:sz w:val="22"/>
                <w:lang w:val="en-US"/>
              </w:rPr>
              <w:t>1.</w:t>
            </w:r>
            <w:r w:rsidR="0055536F">
              <w:rPr>
                <w:sz w:val="22"/>
                <w:lang w:val="en-US"/>
              </w:rPr>
              <w:t>7</w:t>
            </w: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Oral herpes</w:t>
            </w:r>
          </w:p>
        </w:tc>
        <w:tc>
          <w:tcPr>
            <w:tcW w:w="1418" w:type="dxa"/>
            <w:shd w:val="clear" w:color="auto" w:fill="auto"/>
            <w:vAlign w:val="center"/>
          </w:tcPr>
          <w:p w:rsidR="00E719F9" w:rsidRPr="004362B1" w:rsidRDefault="00E719F9" w:rsidP="004362B1">
            <w:pPr>
              <w:jc w:val="center"/>
              <w:rPr>
                <w:sz w:val="22"/>
                <w:lang w:val="en-US"/>
              </w:rPr>
            </w:pPr>
            <w:r w:rsidRPr="004362B1">
              <w:rPr>
                <w:sz w:val="22"/>
                <w:lang w:val="en-US"/>
              </w:rPr>
              <w:t>&lt; 1</w:t>
            </w:r>
          </w:p>
        </w:tc>
        <w:tc>
          <w:tcPr>
            <w:tcW w:w="1424" w:type="dxa"/>
            <w:shd w:val="clear" w:color="auto" w:fill="auto"/>
            <w:vAlign w:val="center"/>
          </w:tcPr>
          <w:p w:rsidR="00E719F9" w:rsidRPr="00916A73" w:rsidRDefault="00E719F9" w:rsidP="004362B1">
            <w:pPr>
              <w:jc w:val="center"/>
              <w:rPr>
                <w:sz w:val="22"/>
                <w:lang w:val="en-US"/>
              </w:rPr>
            </w:pPr>
            <w:r w:rsidRPr="004362B1">
              <w:rPr>
                <w:sz w:val="22"/>
                <w:lang w:val="en-US"/>
              </w:rPr>
              <w:t>3.</w:t>
            </w:r>
            <w:r w:rsidR="0055536F">
              <w:rPr>
                <w:sz w:val="22"/>
                <w:lang w:val="en-US"/>
              </w:rPr>
              <w:t>7</w:t>
            </w:r>
          </w:p>
        </w:tc>
        <w:tc>
          <w:tcPr>
            <w:tcW w:w="1416" w:type="dxa"/>
            <w:shd w:val="clear" w:color="auto" w:fill="auto"/>
            <w:vAlign w:val="center"/>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vAlign w:val="center"/>
          </w:tcPr>
          <w:p w:rsidR="00E719F9" w:rsidRPr="004362B1" w:rsidRDefault="00E719F9" w:rsidP="004362B1">
            <w:pPr>
              <w:jc w:val="center"/>
              <w:rPr>
                <w:sz w:val="22"/>
                <w:lang w:val="en-US"/>
              </w:rPr>
            </w:pPr>
            <w:r w:rsidRPr="004362B1">
              <w:rPr>
                <w:sz w:val="22"/>
                <w:lang w:val="en-US"/>
              </w:rPr>
              <w:t>0</w:t>
            </w: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Rhinitis</w:t>
            </w:r>
            <w:r w:rsidR="0055536F" w:rsidRPr="0055536F">
              <w:rPr>
                <w:sz w:val="22"/>
                <w:lang w:val="en-US"/>
              </w:rPr>
              <w:t>‡</w:t>
            </w:r>
          </w:p>
        </w:tc>
        <w:tc>
          <w:tcPr>
            <w:tcW w:w="1418" w:type="dxa"/>
            <w:shd w:val="clear" w:color="auto" w:fill="auto"/>
            <w:vAlign w:val="center"/>
          </w:tcPr>
          <w:p w:rsidR="00E719F9" w:rsidRPr="004362B1" w:rsidRDefault="00E719F9" w:rsidP="004362B1">
            <w:pPr>
              <w:jc w:val="center"/>
              <w:rPr>
                <w:sz w:val="22"/>
                <w:lang w:val="en-US"/>
              </w:rPr>
            </w:pPr>
            <w:r w:rsidRPr="004362B1">
              <w:rPr>
                <w:sz w:val="22"/>
                <w:lang w:val="en-US"/>
              </w:rPr>
              <w:t>&lt; 1</w:t>
            </w:r>
          </w:p>
        </w:tc>
        <w:tc>
          <w:tcPr>
            <w:tcW w:w="1424" w:type="dxa"/>
            <w:shd w:val="clear" w:color="auto" w:fill="auto"/>
            <w:vAlign w:val="center"/>
          </w:tcPr>
          <w:p w:rsidR="00E719F9" w:rsidRPr="004362B1" w:rsidRDefault="00E719F9" w:rsidP="004362B1">
            <w:pPr>
              <w:jc w:val="center"/>
              <w:rPr>
                <w:sz w:val="22"/>
                <w:lang w:val="en-US"/>
              </w:rPr>
            </w:pPr>
            <w:r w:rsidRPr="004362B1">
              <w:rPr>
                <w:sz w:val="22"/>
                <w:lang w:val="en-US"/>
              </w:rPr>
              <w:t>2.1</w:t>
            </w:r>
          </w:p>
        </w:tc>
        <w:tc>
          <w:tcPr>
            <w:tcW w:w="1416" w:type="dxa"/>
            <w:shd w:val="clear" w:color="auto" w:fill="auto"/>
            <w:vAlign w:val="center"/>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vAlign w:val="center"/>
          </w:tcPr>
          <w:p w:rsidR="00E719F9" w:rsidRPr="004362B1" w:rsidRDefault="00E719F9" w:rsidP="004362B1">
            <w:pPr>
              <w:jc w:val="center"/>
              <w:rPr>
                <w:sz w:val="22"/>
                <w:lang w:val="en-US"/>
              </w:rPr>
            </w:pPr>
            <w:r w:rsidRPr="004362B1">
              <w:rPr>
                <w:sz w:val="22"/>
                <w:lang w:val="en-US"/>
              </w:rPr>
              <w:t>0</w:t>
            </w:r>
          </w:p>
        </w:tc>
      </w:tr>
      <w:tr w:rsidR="0055536F" w:rsidRPr="004362B1" w:rsidTr="004362B1">
        <w:tc>
          <w:tcPr>
            <w:tcW w:w="3686" w:type="dxa"/>
            <w:shd w:val="clear" w:color="auto" w:fill="auto"/>
          </w:tcPr>
          <w:p w:rsidR="0055536F" w:rsidRPr="004362B1" w:rsidRDefault="0055536F" w:rsidP="004362B1">
            <w:pPr>
              <w:jc w:val="left"/>
              <w:rPr>
                <w:sz w:val="22"/>
                <w:lang w:val="en-US"/>
              </w:rPr>
            </w:pPr>
            <w:r>
              <w:rPr>
                <w:sz w:val="22"/>
                <w:lang w:val="en-US"/>
              </w:rPr>
              <w:t>Pharyngitis</w:t>
            </w:r>
          </w:p>
        </w:tc>
        <w:tc>
          <w:tcPr>
            <w:tcW w:w="1418" w:type="dxa"/>
            <w:shd w:val="clear" w:color="auto" w:fill="auto"/>
            <w:vAlign w:val="center"/>
          </w:tcPr>
          <w:p w:rsidR="0055536F" w:rsidRPr="004362B1" w:rsidRDefault="0055536F" w:rsidP="004362B1">
            <w:pPr>
              <w:jc w:val="center"/>
              <w:rPr>
                <w:sz w:val="22"/>
                <w:lang w:val="en-US"/>
              </w:rPr>
            </w:pPr>
            <w:r>
              <w:rPr>
                <w:sz w:val="22"/>
                <w:lang w:val="en-US"/>
              </w:rPr>
              <w:t>0</w:t>
            </w:r>
          </w:p>
        </w:tc>
        <w:tc>
          <w:tcPr>
            <w:tcW w:w="1424" w:type="dxa"/>
            <w:shd w:val="clear" w:color="auto" w:fill="auto"/>
            <w:vAlign w:val="center"/>
          </w:tcPr>
          <w:p w:rsidR="0055536F" w:rsidRPr="004362B1" w:rsidRDefault="0055536F" w:rsidP="004362B1">
            <w:pPr>
              <w:jc w:val="center"/>
              <w:rPr>
                <w:sz w:val="22"/>
                <w:lang w:val="en-US"/>
              </w:rPr>
            </w:pPr>
            <w:r>
              <w:rPr>
                <w:sz w:val="22"/>
                <w:lang w:val="en-US"/>
              </w:rPr>
              <w:t>2.1</w:t>
            </w:r>
          </w:p>
        </w:tc>
        <w:tc>
          <w:tcPr>
            <w:tcW w:w="1416" w:type="dxa"/>
            <w:shd w:val="clear" w:color="auto" w:fill="auto"/>
            <w:vAlign w:val="center"/>
          </w:tcPr>
          <w:p w:rsidR="0055536F" w:rsidRPr="004362B1" w:rsidRDefault="0055536F" w:rsidP="004362B1">
            <w:pPr>
              <w:jc w:val="center"/>
              <w:rPr>
                <w:sz w:val="22"/>
                <w:lang w:val="en-US"/>
              </w:rPr>
            </w:pPr>
            <w:r>
              <w:rPr>
                <w:sz w:val="22"/>
                <w:lang w:val="en-US"/>
              </w:rPr>
              <w:t>0</w:t>
            </w:r>
          </w:p>
        </w:tc>
        <w:tc>
          <w:tcPr>
            <w:tcW w:w="1475" w:type="dxa"/>
            <w:shd w:val="clear" w:color="auto" w:fill="auto"/>
            <w:vAlign w:val="center"/>
          </w:tcPr>
          <w:p w:rsidR="0055536F" w:rsidRPr="004362B1" w:rsidRDefault="0055536F" w:rsidP="004362B1">
            <w:pPr>
              <w:jc w:val="center"/>
              <w:rPr>
                <w:sz w:val="22"/>
                <w:lang w:val="en-US"/>
              </w:rPr>
            </w:pPr>
            <w:r>
              <w:rPr>
                <w:sz w:val="22"/>
                <w:lang w:val="en-US"/>
              </w:rPr>
              <w:t>0</w:t>
            </w:r>
          </w:p>
        </w:tc>
      </w:tr>
      <w:tr w:rsidR="00E719F9" w:rsidRPr="004362B1" w:rsidTr="004362B1">
        <w:tc>
          <w:tcPr>
            <w:tcW w:w="3686" w:type="dxa"/>
            <w:shd w:val="clear" w:color="auto" w:fill="auto"/>
          </w:tcPr>
          <w:p w:rsidR="00E719F9" w:rsidRPr="004362B1" w:rsidRDefault="00E719F9" w:rsidP="004362B1">
            <w:pPr>
              <w:jc w:val="left"/>
              <w:rPr>
                <w:b/>
                <w:sz w:val="22"/>
                <w:lang w:val="en-US"/>
              </w:rPr>
            </w:pPr>
            <w:r w:rsidRPr="004362B1">
              <w:rPr>
                <w:b/>
                <w:sz w:val="22"/>
                <w:lang w:val="en-US"/>
              </w:rPr>
              <w:t>General disorders and administration site conditions</w:t>
            </w:r>
          </w:p>
        </w:tc>
        <w:tc>
          <w:tcPr>
            <w:tcW w:w="5733" w:type="dxa"/>
            <w:gridSpan w:val="4"/>
            <w:shd w:val="clear" w:color="auto" w:fill="auto"/>
          </w:tcPr>
          <w:p w:rsidR="00E719F9" w:rsidRPr="004362B1" w:rsidRDefault="00E719F9" w:rsidP="004362B1">
            <w:pPr>
              <w:jc w:val="left"/>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Pyrexia</w:t>
            </w:r>
          </w:p>
        </w:tc>
        <w:tc>
          <w:tcPr>
            <w:tcW w:w="1418" w:type="dxa"/>
            <w:shd w:val="clear" w:color="auto" w:fill="auto"/>
            <w:vAlign w:val="center"/>
          </w:tcPr>
          <w:p w:rsidR="00E719F9" w:rsidRPr="004362B1" w:rsidRDefault="00E719F9" w:rsidP="004362B1">
            <w:pPr>
              <w:jc w:val="center"/>
              <w:rPr>
                <w:sz w:val="22"/>
                <w:lang w:val="en-US"/>
              </w:rPr>
            </w:pPr>
            <w:r w:rsidRPr="004362B1">
              <w:rPr>
                <w:sz w:val="22"/>
                <w:lang w:val="en-US"/>
              </w:rPr>
              <w:t>6.9</w:t>
            </w:r>
          </w:p>
        </w:tc>
        <w:tc>
          <w:tcPr>
            <w:tcW w:w="1424" w:type="dxa"/>
            <w:shd w:val="clear" w:color="auto" w:fill="auto"/>
            <w:vAlign w:val="center"/>
          </w:tcPr>
          <w:p w:rsidR="00E719F9" w:rsidRPr="004362B1" w:rsidRDefault="00E719F9" w:rsidP="004362B1">
            <w:pPr>
              <w:jc w:val="center"/>
              <w:rPr>
                <w:sz w:val="22"/>
                <w:lang w:val="en-US"/>
              </w:rPr>
            </w:pPr>
            <w:r w:rsidRPr="004362B1">
              <w:rPr>
                <w:sz w:val="22"/>
                <w:lang w:val="en-US"/>
              </w:rPr>
              <w:t>10.4</w:t>
            </w:r>
          </w:p>
        </w:tc>
        <w:tc>
          <w:tcPr>
            <w:tcW w:w="1416" w:type="dxa"/>
            <w:shd w:val="clear" w:color="auto" w:fill="auto"/>
            <w:vAlign w:val="center"/>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vAlign w:val="center"/>
          </w:tcPr>
          <w:p w:rsidR="00E719F9" w:rsidRPr="004362B1" w:rsidRDefault="00E719F9" w:rsidP="004362B1">
            <w:pPr>
              <w:jc w:val="center"/>
              <w:rPr>
                <w:sz w:val="22"/>
                <w:lang w:val="en-US"/>
              </w:rPr>
            </w:pPr>
            <w:r w:rsidRPr="004362B1">
              <w:rPr>
                <w:sz w:val="22"/>
                <w:lang w:val="en-US"/>
              </w:rPr>
              <w:t>&lt; 1</w:t>
            </w:r>
          </w:p>
        </w:tc>
      </w:tr>
      <w:tr w:rsidR="00E719F9" w:rsidRPr="004362B1" w:rsidTr="004362B1">
        <w:tc>
          <w:tcPr>
            <w:tcW w:w="3686" w:type="dxa"/>
            <w:shd w:val="clear" w:color="auto" w:fill="auto"/>
          </w:tcPr>
          <w:p w:rsidR="00E719F9" w:rsidRPr="004362B1" w:rsidRDefault="00E719F9" w:rsidP="004362B1">
            <w:pPr>
              <w:jc w:val="left"/>
              <w:rPr>
                <w:b/>
                <w:sz w:val="22"/>
                <w:lang w:val="en-US"/>
              </w:rPr>
            </w:pPr>
            <w:r w:rsidRPr="004362B1">
              <w:rPr>
                <w:b/>
                <w:sz w:val="22"/>
                <w:lang w:val="en-US"/>
              </w:rPr>
              <w:t>Respiratory, thoracic and mediastinal disorders</w:t>
            </w:r>
          </w:p>
        </w:tc>
        <w:tc>
          <w:tcPr>
            <w:tcW w:w="5733" w:type="dxa"/>
            <w:gridSpan w:val="4"/>
            <w:shd w:val="clear" w:color="auto" w:fill="auto"/>
          </w:tcPr>
          <w:p w:rsidR="00E719F9" w:rsidRPr="004362B1" w:rsidRDefault="00E719F9" w:rsidP="004362B1">
            <w:pPr>
              <w:jc w:val="left"/>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Cough</w:t>
            </w:r>
          </w:p>
        </w:tc>
        <w:tc>
          <w:tcPr>
            <w:tcW w:w="1418" w:type="dxa"/>
            <w:shd w:val="clear" w:color="auto" w:fill="auto"/>
            <w:vAlign w:val="center"/>
          </w:tcPr>
          <w:p w:rsidR="00E719F9" w:rsidRPr="004362B1" w:rsidRDefault="00E719F9" w:rsidP="004362B1">
            <w:pPr>
              <w:jc w:val="center"/>
              <w:rPr>
                <w:sz w:val="22"/>
                <w:lang w:val="en-US"/>
              </w:rPr>
            </w:pPr>
            <w:r w:rsidRPr="004362B1">
              <w:rPr>
                <w:sz w:val="22"/>
                <w:lang w:val="en-US"/>
              </w:rPr>
              <w:t>6.9</w:t>
            </w:r>
          </w:p>
        </w:tc>
        <w:tc>
          <w:tcPr>
            <w:tcW w:w="1424" w:type="dxa"/>
            <w:shd w:val="clear" w:color="auto" w:fill="auto"/>
            <w:vAlign w:val="center"/>
          </w:tcPr>
          <w:p w:rsidR="00E719F9" w:rsidRPr="00916A73" w:rsidRDefault="00E719F9" w:rsidP="004362B1">
            <w:pPr>
              <w:jc w:val="center"/>
              <w:rPr>
                <w:sz w:val="22"/>
                <w:lang w:val="en-US"/>
              </w:rPr>
            </w:pPr>
            <w:r w:rsidRPr="004362B1">
              <w:rPr>
                <w:sz w:val="22"/>
                <w:lang w:val="en-US"/>
              </w:rPr>
              <w:t>9.</w:t>
            </w:r>
            <w:r w:rsidR="00A6121A">
              <w:rPr>
                <w:sz w:val="22"/>
                <w:lang w:val="en-US"/>
              </w:rPr>
              <w:t>5</w:t>
            </w:r>
          </w:p>
        </w:tc>
        <w:tc>
          <w:tcPr>
            <w:tcW w:w="1416" w:type="dxa"/>
            <w:shd w:val="clear" w:color="auto" w:fill="auto"/>
            <w:vAlign w:val="center"/>
          </w:tcPr>
          <w:p w:rsidR="00E719F9" w:rsidRPr="004362B1" w:rsidRDefault="00E719F9" w:rsidP="004362B1">
            <w:pPr>
              <w:jc w:val="center"/>
              <w:rPr>
                <w:sz w:val="22"/>
                <w:lang w:val="en-US"/>
              </w:rPr>
            </w:pPr>
            <w:r w:rsidRPr="004362B1">
              <w:rPr>
                <w:sz w:val="22"/>
                <w:lang w:val="en-US"/>
              </w:rPr>
              <w:t>&lt; 1</w:t>
            </w:r>
          </w:p>
        </w:tc>
        <w:tc>
          <w:tcPr>
            <w:tcW w:w="1475" w:type="dxa"/>
            <w:shd w:val="clear" w:color="auto" w:fill="auto"/>
            <w:vAlign w:val="center"/>
          </w:tcPr>
          <w:p w:rsidR="00E719F9" w:rsidRPr="004362B1" w:rsidRDefault="00E719F9" w:rsidP="004362B1">
            <w:pPr>
              <w:jc w:val="center"/>
              <w:rPr>
                <w:sz w:val="22"/>
                <w:lang w:val="en-US"/>
              </w:rPr>
            </w:pPr>
            <w:r w:rsidRPr="004362B1">
              <w:rPr>
                <w:sz w:val="22"/>
                <w:lang w:val="en-US"/>
              </w:rPr>
              <w:t>0</w:t>
            </w:r>
          </w:p>
        </w:tc>
      </w:tr>
      <w:tr w:rsidR="00E719F9" w:rsidRPr="004362B1" w:rsidTr="004362B1">
        <w:tc>
          <w:tcPr>
            <w:tcW w:w="3686" w:type="dxa"/>
            <w:shd w:val="clear" w:color="auto" w:fill="auto"/>
          </w:tcPr>
          <w:p w:rsidR="00E719F9" w:rsidRPr="004362B1" w:rsidRDefault="00E719F9" w:rsidP="004362B1">
            <w:pPr>
              <w:jc w:val="left"/>
              <w:rPr>
                <w:b/>
                <w:sz w:val="22"/>
                <w:lang w:val="en-US"/>
              </w:rPr>
            </w:pPr>
            <w:r w:rsidRPr="004362B1">
              <w:rPr>
                <w:b/>
                <w:sz w:val="22"/>
                <w:lang w:val="en-US"/>
              </w:rPr>
              <w:t>Metabolism and nutrition disorders</w:t>
            </w:r>
          </w:p>
        </w:tc>
        <w:tc>
          <w:tcPr>
            <w:tcW w:w="5733" w:type="dxa"/>
            <w:gridSpan w:val="4"/>
            <w:shd w:val="clear" w:color="auto" w:fill="auto"/>
          </w:tcPr>
          <w:p w:rsidR="00E719F9" w:rsidRPr="004362B1" w:rsidRDefault="00E719F9" w:rsidP="004362B1">
            <w:pPr>
              <w:jc w:val="left"/>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Tumour lysis syndrome</w:t>
            </w:r>
          </w:p>
        </w:tc>
        <w:tc>
          <w:tcPr>
            <w:tcW w:w="1418" w:type="dxa"/>
            <w:shd w:val="clear" w:color="auto" w:fill="auto"/>
          </w:tcPr>
          <w:p w:rsidR="00E719F9" w:rsidRPr="004362B1" w:rsidRDefault="00E719F9" w:rsidP="004362B1">
            <w:pPr>
              <w:jc w:val="center"/>
              <w:rPr>
                <w:sz w:val="22"/>
                <w:lang w:val="en-US"/>
              </w:rPr>
            </w:pPr>
            <w:r w:rsidRPr="004362B1">
              <w:rPr>
                <w:sz w:val="22"/>
                <w:lang w:val="en-US"/>
              </w:rPr>
              <w:t>&lt; 1</w:t>
            </w:r>
          </w:p>
        </w:tc>
        <w:tc>
          <w:tcPr>
            <w:tcW w:w="1424" w:type="dxa"/>
            <w:shd w:val="clear" w:color="auto" w:fill="auto"/>
          </w:tcPr>
          <w:p w:rsidR="00E719F9" w:rsidRPr="00916A73" w:rsidRDefault="00E719F9" w:rsidP="004362B1">
            <w:pPr>
              <w:jc w:val="center"/>
              <w:rPr>
                <w:sz w:val="22"/>
                <w:lang w:val="en-US"/>
              </w:rPr>
            </w:pPr>
            <w:r w:rsidRPr="004362B1">
              <w:rPr>
                <w:sz w:val="22"/>
                <w:lang w:val="en-US"/>
              </w:rPr>
              <w:t>4.</w:t>
            </w:r>
            <w:r w:rsidR="00A6121A">
              <w:rPr>
                <w:sz w:val="22"/>
                <w:lang w:val="en-US"/>
              </w:rPr>
              <w:t>1</w:t>
            </w:r>
          </w:p>
        </w:tc>
        <w:tc>
          <w:tcPr>
            <w:tcW w:w="1416" w:type="dxa"/>
            <w:shd w:val="clear" w:color="auto" w:fill="auto"/>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tcPr>
          <w:p w:rsidR="00E719F9" w:rsidRPr="004362B1" w:rsidRDefault="00E719F9" w:rsidP="004362B1">
            <w:pPr>
              <w:jc w:val="center"/>
              <w:rPr>
                <w:sz w:val="22"/>
                <w:lang w:val="en-US"/>
              </w:rPr>
            </w:pPr>
            <w:r w:rsidRPr="004362B1">
              <w:rPr>
                <w:sz w:val="22"/>
                <w:lang w:val="en-US"/>
              </w:rPr>
              <w:t>1.7</w:t>
            </w: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Hyperuricaemia</w:t>
            </w:r>
          </w:p>
        </w:tc>
        <w:tc>
          <w:tcPr>
            <w:tcW w:w="1418" w:type="dxa"/>
            <w:shd w:val="clear" w:color="auto" w:fill="auto"/>
          </w:tcPr>
          <w:p w:rsidR="00E719F9" w:rsidRPr="004362B1" w:rsidRDefault="00E719F9" w:rsidP="004362B1">
            <w:pPr>
              <w:jc w:val="center"/>
              <w:rPr>
                <w:sz w:val="22"/>
                <w:lang w:val="en-US"/>
              </w:rPr>
            </w:pPr>
            <w:r w:rsidRPr="004362B1">
              <w:rPr>
                <w:sz w:val="22"/>
                <w:lang w:val="en-US"/>
              </w:rPr>
              <w:t>0</w:t>
            </w:r>
          </w:p>
        </w:tc>
        <w:tc>
          <w:tcPr>
            <w:tcW w:w="1424" w:type="dxa"/>
            <w:shd w:val="clear" w:color="auto" w:fill="auto"/>
          </w:tcPr>
          <w:p w:rsidR="00E719F9" w:rsidRPr="004362B1" w:rsidRDefault="00E719F9" w:rsidP="004362B1">
            <w:pPr>
              <w:jc w:val="center"/>
              <w:rPr>
                <w:sz w:val="22"/>
                <w:lang w:val="en-US"/>
              </w:rPr>
            </w:pPr>
            <w:r w:rsidRPr="004362B1">
              <w:rPr>
                <w:sz w:val="22"/>
                <w:lang w:val="en-US"/>
              </w:rPr>
              <w:t>3.3</w:t>
            </w:r>
          </w:p>
        </w:tc>
        <w:tc>
          <w:tcPr>
            <w:tcW w:w="1416" w:type="dxa"/>
            <w:shd w:val="clear" w:color="auto" w:fill="auto"/>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tcPr>
          <w:p w:rsidR="00E719F9" w:rsidRPr="004362B1" w:rsidRDefault="00E719F9" w:rsidP="004362B1">
            <w:pPr>
              <w:jc w:val="center"/>
              <w:rPr>
                <w:sz w:val="22"/>
                <w:lang w:val="en-US"/>
              </w:rPr>
            </w:pPr>
            <w:r w:rsidRPr="004362B1">
              <w:rPr>
                <w:sz w:val="22"/>
                <w:lang w:val="en-US"/>
              </w:rPr>
              <w:t>&lt; 1</w:t>
            </w:r>
          </w:p>
        </w:tc>
      </w:tr>
      <w:tr w:rsidR="00E719F9" w:rsidRPr="004362B1" w:rsidTr="004362B1">
        <w:tc>
          <w:tcPr>
            <w:tcW w:w="3686" w:type="dxa"/>
            <w:shd w:val="clear" w:color="auto" w:fill="auto"/>
          </w:tcPr>
          <w:p w:rsidR="00E719F9" w:rsidRPr="004362B1" w:rsidRDefault="00E719F9" w:rsidP="004362B1">
            <w:pPr>
              <w:jc w:val="left"/>
              <w:rPr>
                <w:b/>
                <w:sz w:val="22"/>
                <w:lang w:val="en-US"/>
              </w:rPr>
            </w:pPr>
            <w:r w:rsidRPr="004362B1">
              <w:rPr>
                <w:b/>
                <w:sz w:val="22"/>
                <w:lang w:val="en-US"/>
              </w:rPr>
              <w:t>Musculoskeletal and connective tissue disorders</w:t>
            </w:r>
          </w:p>
        </w:tc>
        <w:tc>
          <w:tcPr>
            <w:tcW w:w="5733" w:type="dxa"/>
            <w:gridSpan w:val="4"/>
            <w:shd w:val="clear" w:color="auto" w:fill="auto"/>
          </w:tcPr>
          <w:p w:rsidR="00E719F9" w:rsidRPr="004362B1" w:rsidRDefault="00E719F9" w:rsidP="004362B1">
            <w:pPr>
              <w:jc w:val="center"/>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Arthralgia</w:t>
            </w:r>
          </w:p>
        </w:tc>
        <w:tc>
          <w:tcPr>
            <w:tcW w:w="1418" w:type="dxa"/>
            <w:shd w:val="clear" w:color="auto" w:fill="auto"/>
          </w:tcPr>
          <w:p w:rsidR="00E719F9" w:rsidRPr="004362B1" w:rsidRDefault="00E719F9" w:rsidP="004362B1">
            <w:pPr>
              <w:jc w:val="center"/>
              <w:rPr>
                <w:sz w:val="22"/>
                <w:lang w:val="en-US"/>
              </w:rPr>
            </w:pPr>
            <w:r w:rsidRPr="004362B1">
              <w:rPr>
                <w:sz w:val="22"/>
                <w:lang w:val="en-US"/>
              </w:rPr>
              <w:t>2.6</w:t>
            </w:r>
          </w:p>
        </w:tc>
        <w:tc>
          <w:tcPr>
            <w:tcW w:w="1424" w:type="dxa"/>
            <w:shd w:val="clear" w:color="auto" w:fill="auto"/>
          </w:tcPr>
          <w:p w:rsidR="00E719F9" w:rsidRPr="004362B1" w:rsidRDefault="00E719F9" w:rsidP="004362B1">
            <w:pPr>
              <w:jc w:val="center"/>
              <w:rPr>
                <w:sz w:val="22"/>
                <w:lang w:val="en-US"/>
              </w:rPr>
            </w:pPr>
            <w:r w:rsidRPr="004362B1">
              <w:rPr>
                <w:sz w:val="22"/>
                <w:lang w:val="en-US"/>
              </w:rPr>
              <w:t>4.6</w:t>
            </w:r>
          </w:p>
        </w:tc>
        <w:tc>
          <w:tcPr>
            <w:tcW w:w="1416" w:type="dxa"/>
            <w:shd w:val="clear" w:color="auto" w:fill="auto"/>
          </w:tcPr>
          <w:p w:rsidR="00E719F9" w:rsidRPr="004362B1" w:rsidRDefault="00E719F9" w:rsidP="004362B1">
            <w:pPr>
              <w:jc w:val="center"/>
              <w:rPr>
                <w:sz w:val="22"/>
                <w:lang w:val="en-US"/>
              </w:rPr>
            </w:pPr>
            <w:r w:rsidRPr="004362B1">
              <w:rPr>
                <w:sz w:val="22"/>
                <w:lang w:val="en-US"/>
              </w:rPr>
              <w:t>&lt; 1</w:t>
            </w:r>
          </w:p>
        </w:tc>
        <w:tc>
          <w:tcPr>
            <w:tcW w:w="1475" w:type="dxa"/>
            <w:shd w:val="clear" w:color="auto" w:fill="auto"/>
          </w:tcPr>
          <w:p w:rsidR="00E719F9" w:rsidRPr="004362B1" w:rsidRDefault="00E719F9" w:rsidP="004362B1">
            <w:pPr>
              <w:jc w:val="center"/>
              <w:rPr>
                <w:sz w:val="22"/>
                <w:lang w:val="en-US"/>
              </w:rPr>
            </w:pPr>
            <w:r w:rsidRPr="004362B1">
              <w:rPr>
                <w:sz w:val="22"/>
                <w:lang w:val="en-US"/>
              </w:rPr>
              <w:t>&lt; 1</w:t>
            </w: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Back pain</w:t>
            </w:r>
          </w:p>
        </w:tc>
        <w:tc>
          <w:tcPr>
            <w:tcW w:w="1418" w:type="dxa"/>
            <w:shd w:val="clear" w:color="auto" w:fill="auto"/>
          </w:tcPr>
          <w:p w:rsidR="00E719F9" w:rsidRPr="004362B1" w:rsidRDefault="00E719F9" w:rsidP="004362B1">
            <w:pPr>
              <w:jc w:val="center"/>
              <w:rPr>
                <w:sz w:val="22"/>
                <w:lang w:val="en-US"/>
              </w:rPr>
            </w:pPr>
            <w:r w:rsidRPr="004362B1">
              <w:rPr>
                <w:sz w:val="22"/>
                <w:lang w:val="en-US"/>
              </w:rPr>
              <w:t>1</w:t>
            </w:r>
            <w:r w:rsidR="00A6121A">
              <w:rPr>
                <w:sz w:val="22"/>
                <w:lang w:val="en-US"/>
              </w:rPr>
              <w:t>.7</w:t>
            </w:r>
          </w:p>
        </w:tc>
        <w:tc>
          <w:tcPr>
            <w:tcW w:w="1424" w:type="dxa"/>
            <w:shd w:val="clear" w:color="auto" w:fill="auto"/>
          </w:tcPr>
          <w:p w:rsidR="00E719F9" w:rsidRPr="00916A73" w:rsidRDefault="00A6121A" w:rsidP="004362B1">
            <w:pPr>
              <w:jc w:val="center"/>
              <w:rPr>
                <w:sz w:val="22"/>
                <w:lang w:val="en-US"/>
              </w:rPr>
            </w:pPr>
            <w:r>
              <w:rPr>
                <w:sz w:val="22"/>
                <w:lang w:val="en-US"/>
              </w:rPr>
              <w:t>5.0</w:t>
            </w:r>
          </w:p>
        </w:tc>
        <w:tc>
          <w:tcPr>
            <w:tcW w:w="1416" w:type="dxa"/>
            <w:shd w:val="clear" w:color="auto" w:fill="auto"/>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tcPr>
          <w:p w:rsidR="00E719F9" w:rsidRPr="004362B1" w:rsidRDefault="00E719F9" w:rsidP="004362B1">
            <w:pPr>
              <w:jc w:val="center"/>
              <w:rPr>
                <w:sz w:val="22"/>
                <w:lang w:val="en-US"/>
              </w:rPr>
            </w:pPr>
            <w:r w:rsidRPr="004362B1">
              <w:rPr>
                <w:sz w:val="22"/>
                <w:lang w:val="en-US"/>
              </w:rPr>
              <w:t>&lt; 1</w:t>
            </w: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Musculoskeletal chest pain</w:t>
            </w:r>
          </w:p>
        </w:tc>
        <w:tc>
          <w:tcPr>
            <w:tcW w:w="1418" w:type="dxa"/>
            <w:shd w:val="clear" w:color="auto" w:fill="auto"/>
          </w:tcPr>
          <w:p w:rsidR="00E719F9" w:rsidRPr="004362B1" w:rsidRDefault="00E719F9" w:rsidP="004362B1">
            <w:pPr>
              <w:jc w:val="center"/>
              <w:rPr>
                <w:sz w:val="22"/>
                <w:lang w:val="en-US"/>
              </w:rPr>
            </w:pPr>
            <w:r w:rsidRPr="004362B1">
              <w:rPr>
                <w:sz w:val="22"/>
                <w:lang w:val="en-US"/>
              </w:rPr>
              <w:t>0</w:t>
            </w:r>
          </w:p>
        </w:tc>
        <w:tc>
          <w:tcPr>
            <w:tcW w:w="1424" w:type="dxa"/>
            <w:shd w:val="clear" w:color="auto" w:fill="auto"/>
          </w:tcPr>
          <w:p w:rsidR="00E719F9" w:rsidRPr="00916A73" w:rsidRDefault="00E719F9" w:rsidP="004362B1">
            <w:pPr>
              <w:jc w:val="center"/>
              <w:rPr>
                <w:sz w:val="22"/>
                <w:lang w:val="en-US"/>
              </w:rPr>
            </w:pPr>
            <w:r w:rsidRPr="004362B1">
              <w:rPr>
                <w:sz w:val="22"/>
                <w:lang w:val="en-US"/>
              </w:rPr>
              <w:t>2.</w:t>
            </w:r>
            <w:r w:rsidR="00431D19">
              <w:rPr>
                <w:sz w:val="22"/>
                <w:lang w:val="en-US"/>
              </w:rPr>
              <w:t>5</w:t>
            </w:r>
          </w:p>
        </w:tc>
        <w:tc>
          <w:tcPr>
            <w:tcW w:w="1416" w:type="dxa"/>
            <w:shd w:val="clear" w:color="auto" w:fill="auto"/>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tcPr>
          <w:p w:rsidR="00E719F9" w:rsidRPr="004362B1" w:rsidRDefault="00E719F9" w:rsidP="004362B1">
            <w:pPr>
              <w:jc w:val="center"/>
              <w:rPr>
                <w:sz w:val="22"/>
                <w:lang w:val="en-US"/>
              </w:rPr>
            </w:pPr>
            <w:r w:rsidRPr="004362B1">
              <w:rPr>
                <w:sz w:val="22"/>
                <w:lang w:val="en-US"/>
              </w:rPr>
              <w:t>&lt; 1</w:t>
            </w:r>
          </w:p>
        </w:tc>
      </w:tr>
      <w:tr w:rsidR="001F746C" w:rsidRPr="004362B1" w:rsidTr="00DB6FE4">
        <w:tc>
          <w:tcPr>
            <w:tcW w:w="3686" w:type="dxa"/>
            <w:shd w:val="clear" w:color="auto" w:fill="auto"/>
          </w:tcPr>
          <w:p w:rsidR="001F746C" w:rsidRPr="004362B1" w:rsidRDefault="001F746C" w:rsidP="001F746C">
            <w:pPr>
              <w:jc w:val="left"/>
              <w:rPr>
                <w:b/>
                <w:sz w:val="22"/>
                <w:lang w:val="en-US"/>
              </w:rPr>
            </w:pPr>
            <w:r>
              <w:rPr>
                <w:b/>
                <w:sz w:val="22"/>
                <w:lang w:val="en-US"/>
              </w:rPr>
              <w:t>Vascular disorders</w:t>
            </w:r>
          </w:p>
        </w:tc>
        <w:tc>
          <w:tcPr>
            <w:tcW w:w="5733" w:type="dxa"/>
            <w:gridSpan w:val="4"/>
            <w:shd w:val="clear" w:color="auto" w:fill="auto"/>
          </w:tcPr>
          <w:p w:rsidR="001F746C" w:rsidRPr="004362B1" w:rsidRDefault="001F746C" w:rsidP="004362B1">
            <w:pPr>
              <w:jc w:val="center"/>
              <w:rPr>
                <w:sz w:val="22"/>
                <w:lang w:val="en-US"/>
              </w:rPr>
            </w:pPr>
          </w:p>
        </w:tc>
      </w:tr>
      <w:tr w:rsidR="001F746C" w:rsidRPr="004362B1" w:rsidTr="004362B1">
        <w:tc>
          <w:tcPr>
            <w:tcW w:w="3686" w:type="dxa"/>
            <w:shd w:val="clear" w:color="auto" w:fill="auto"/>
          </w:tcPr>
          <w:p w:rsidR="001F746C" w:rsidRPr="001F746C" w:rsidRDefault="001F746C" w:rsidP="004362B1">
            <w:pPr>
              <w:jc w:val="left"/>
              <w:rPr>
                <w:sz w:val="22"/>
                <w:lang w:val="en-US"/>
              </w:rPr>
            </w:pPr>
            <w:r w:rsidRPr="001F746C">
              <w:rPr>
                <w:sz w:val="22"/>
                <w:lang w:val="en-US"/>
              </w:rPr>
              <w:t>Hypertension</w:t>
            </w:r>
          </w:p>
        </w:tc>
        <w:tc>
          <w:tcPr>
            <w:tcW w:w="1418" w:type="dxa"/>
            <w:shd w:val="clear" w:color="auto" w:fill="auto"/>
          </w:tcPr>
          <w:p w:rsidR="001F746C" w:rsidRPr="004362B1" w:rsidRDefault="001F746C" w:rsidP="004362B1">
            <w:pPr>
              <w:jc w:val="center"/>
              <w:rPr>
                <w:sz w:val="22"/>
                <w:lang w:val="en-US"/>
              </w:rPr>
            </w:pPr>
            <w:r>
              <w:rPr>
                <w:sz w:val="22"/>
                <w:lang w:val="en-US"/>
              </w:rPr>
              <w:t>1.7</w:t>
            </w:r>
          </w:p>
        </w:tc>
        <w:tc>
          <w:tcPr>
            <w:tcW w:w="1424" w:type="dxa"/>
            <w:shd w:val="clear" w:color="auto" w:fill="auto"/>
          </w:tcPr>
          <w:p w:rsidR="001F746C" w:rsidRPr="004362B1" w:rsidRDefault="001F746C" w:rsidP="004362B1">
            <w:pPr>
              <w:jc w:val="center"/>
              <w:rPr>
                <w:sz w:val="22"/>
                <w:lang w:val="en-US"/>
              </w:rPr>
            </w:pPr>
            <w:r>
              <w:rPr>
                <w:sz w:val="22"/>
                <w:lang w:val="en-US"/>
              </w:rPr>
              <w:t>3.7</w:t>
            </w:r>
          </w:p>
        </w:tc>
        <w:tc>
          <w:tcPr>
            <w:tcW w:w="1416" w:type="dxa"/>
            <w:shd w:val="clear" w:color="auto" w:fill="auto"/>
          </w:tcPr>
          <w:p w:rsidR="001F746C" w:rsidRPr="004362B1" w:rsidRDefault="001F746C" w:rsidP="004362B1">
            <w:pPr>
              <w:jc w:val="center"/>
              <w:rPr>
                <w:sz w:val="22"/>
                <w:lang w:val="en-US"/>
              </w:rPr>
            </w:pPr>
            <w:r>
              <w:rPr>
                <w:sz w:val="22"/>
                <w:lang w:val="en-US"/>
              </w:rPr>
              <w:t>1.7</w:t>
            </w:r>
          </w:p>
        </w:tc>
        <w:tc>
          <w:tcPr>
            <w:tcW w:w="1475" w:type="dxa"/>
            <w:shd w:val="clear" w:color="auto" w:fill="auto"/>
          </w:tcPr>
          <w:p w:rsidR="001F746C" w:rsidRPr="004362B1" w:rsidRDefault="001F746C" w:rsidP="004362B1">
            <w:pPr>
              <w:jc w:val="center"/>
              <w:rPr>
                <w:sz w:val="22"/>
                <w:lang w:val="en-US"/>
              </w:rPr>
            </w:pPr>
            <w:r>
              <w:rPr>
                <w:sz w:val="22"/>
                <w:lang w:val="en-US"/>
              </w:rPr>
              <w:t>1.7</w:t>
            </w:r>
          </w:p>
        </w:tc>
      </w:tr>
      <w:tr w:rsidR="001F746C" w:rsidRPr="004362B1" w:rsidTr="00DB6FE4">
        <w:tc>
          <w:tcPr>
            <w:tcW w:w="3686" w:type="dxa"/>
            <w:shd w:val="clear" w:color="auto" w:fill="auto"/>
          </w:tcPr>
          <w:p w:rsidR="001F746C" w:rsidRPr="004362B1" w:rsidRDefault="001F746C" w:rsidP="004362B1">
            <w:pPr>
              <w:jc w:val="left"/>
              <w:rPr>
                <w:b/>
                <w:sz w:val="22"/>
                <w:lang w:val="en-US"/>
              </w:rPr>
            </w:pPr>
            <w:r w:rsidRPr="004362B1">
              <w:rPr>
                <w:b/>
                <w:sz w:val="22"/>
                <w:lang w:val="en-US"/>
              </w:rPr>
              <w:t>Investigations</w:t>
            </w:r>
          </w:p>
        </w:tc>
        <w:tc>
          <w:tcPr>
            <w:tcW w:w="5733" w:type="dxa"/>
            <w:gridSpan w:val="4"/>
            <w:shd w:val="clear" w:color="auto" w:fill="auto"/>
          </w:tcPr>
          <w:p w:rsidR="001F746C" w:rsidRPr="004362B1" w:rsidRDefault="001F746C" w:rsidP="004362B1">
            <w:pPr>
              <w:jc w:val="center"/>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White blood cell count decreased</w:t>
            </w:r>
            <w:r w:rsidR="00431D19" w:rsidRPr="0055536F">
              <w:rPr>
                <w:sz w:val="22"/>
                <w:lang w:val="en-US"/>
              </w:rPr>
              <w:t>‡</w:t>
            </w:r>
          </w:p>
        </w:tc>
        <w:tc>
          <w:tcPr>
            <w:tcW w:w="1418" w:type="dxa"/>
            <w:shd w:val="clear" w:color="auto" w:fill="auto"/>
          </w:tcPr>
          <w:p w:rsidR="00E719F9" w:rsidRPr="004362B1" w:rsidRDefault="00E719F9" w:rsidP="004362B1">
            <w:pPr>
              <w:jc w:val="center"/>
              <w:rPr>
                <w:sz w:val="22"/>
                <w:lang w:val="en-US"/>
              </w:rPr>
            </w:pPr>
            <w:r w:rsidRPr="004362B1">
              <w:rPr>
                <w:sz w:val="22"/>
                <w:lang w:val="en-US"/>
              </w:rPr>
              <w:t>&lt; 1</w:t>
            </w:r>
          </w:p>
        </w:tc>
        <w:tc>
          <w:tcPr>
            <w:tcW w:w="1424" w:type="dxa"/>
            <w:shd w:val="clear" w:color="auto" w:fill="auto"/>
          </w:tcPr>
          <w:p w:rsidR="00E719F9" w:rsidRPr="004362B1" w:rsidRDefault="00E719F9" w:rsidP="004362B1">
            <w:pPr>
              <w:jc w:val="center"/>
              <w:rPr>
                <w:sz w:val="22"/>
                <w:lang w:val="en-US"/>
              </w:rPr>
            </w:pPr>
            <w:r w:rsidRPr="004362B1">
              <w:rPr>
                <w:sz w:val="22"/>
                <w:lang w:val="en-US"/>
              </w:rPr>
              <w:t>2.1</w:t>
            </w:r>
          </w:p>
        </w:tc>
        <w:tc>
          <w:tcPr>
            <w:tcW w:w="1416" w:type="dxa"/>
            <w:shd w:val="clear" w:color="auto" w:fill="auto"/>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tcPr>
          <w:p w:rsidR="00E719F9" w:rsidRPr="004362B1" w:rsidRDefault="00E719F9" w:rsidP="004362B1">
            <w:pPr>
              <w:jc w:val="center"/>
              <w:rPr>
                <w:sz w:val="22"/>
                <w:lang w:val="en-US"/>
              </w:rPr>
            </w:pPr>
            <w:r w:rsidRPr="004362B1">
              <w:rPr>
                <w:sz w:val="22"/>
                <w:lang w:val="en-US"/>
              </w:rPr>
              <w:t>2.1</w:t>
            </w: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Neutrophil count decreased</w:t>
            </w:r>
          </w:p>
        </w:tc>
        <w:tc>
          <w:tcPr>
            <w:tcW w:w="1418" w:type="dxa"/>
            <w:shd w:val="clear" w:color="auto" w:fill="auto"/>
          </w:tcPr>
          <w:p w:rsidR="00E719F9" w:rsidRPr="004362B1" w:rsidRDefault="00E719F9" w:rsidP="004362B1">
            <w:pPr>
              <w:jc w:val="center"/>
              <w:rPr>
                <w:sz w:val="22"/>
                <w:lang w:val="en-US"/>
              </w:rPr>
            </w:pPr>
            <w:r w:rsidRPr="004362B1">
              <w:rPr>
                <w:sz w:val="22"/>
                <w:lang w:val="en-US"/>
              </w:rPr>
              <w:t>0</w:t>
            </w:r>
          </w:p>
        </w:tc>
        <w:tc>
          <w:tcPr>
            <w:tcW w:w="1424" w:type="dxa"/>
            <w:shd w:val="clear" w:color="auto" w:fill="auto"/>
          </w:tcPr>
          <w:p w:rsidR="00E719F9" w:rsidRPr="004362B1" w:rsidRDefault="00E719F9" w:rsidP="004362B1">
            <w:pPr>
              <w:jc w:val="center"/>
              <w:rPr>
                <w:sz w:val="22"/>
                <w:lang w:val="en-US"/>
              </w:rPr>
            </w:pPr>
            <w:r w:rsidRPr="004362B1">
              <w:rPr>
                <w:sz w:val="22"/>
                <w:lang w:val="en-US"/>
              </w:rPr>
              <w:t>2.1</w:t>
            </w:r>
          </w:p>
        </w:tc>
        <w:tc>
          <w:tcPr>
            <w:tcW w:w="1416" w:type="dxa"/>
            <w:shd w:val="clear" w:color="auto" w:fill="auto"/>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tcPr>
          <w:p w:rsidR="00E719F9" w:rsidRPr="004362B1" w:rsidRDefault="00E719F9" w:rsidP="004362B1">
            <w:pPr>
              <w:jc w:val="center"/>
              <w:rPr>
                <w:sz w:val="22"/>
                <w:lang w:val="en-US"/>
              </w:rPr>
            </w:pPr>
            <w:r w:rsidRPr="004362B1">
              <w:rPr>
                <w:sz w:val="22"/>
                <w:lang w:val="en-US"/>
              </w:rPr>
              <w:t>2.1</w:t>
            </w: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Weight increased</w:t>
            </w:r>
          </w:p>
        </w:tc>
        <w:tc>
          <w:tcPr>
            <w:tcW w:w="1418" w:type="dxa"/>
            <w:shd w:val="clear" w:color="auto" w:fill="auto"/>
          </w:tcPr>
          <w:p w:rsidR="00E719F9" w:rsidRPr="004362B1" w:rsidRDefault="00E719F9" w:rsidP="004362B1">
            <w:pPr>
              <w:jc w:val="center"/>
              <w:rPr>
                <w:sz w:val="22"/>
                <w:lang w:val="en-US"/>
              </w:rPr>
            </w:pPr>
            <w:r w:rsidRPr="004362B1">
              <w:rPr>
                <w:sz w:val="22"/>
                <w:lang w:val="en-US"/>
              </w:rPr>
              <w:t>0</w:t>
            </w:r>
          </w:p>
        </w:tc>
        <w:tc>
          <w:tcPr>
            <w:tcW w:w="1424" w:type="dxa"/>
            <w:shd w:val="clear" w:color="auto" w:fill="auto"/>
          </w:tcPr>
          <w:p w:rsidR="00E719F9" w:rsidRPr="004362B1" w:rsidRDefault="00E719F9" w:rsidP="004362B1">
            <w:pPr>
              <w:jc w:val="center"/>
              <w:rPr>
                <w:sz w:val="22"/>
                <w:lang w:val="en-US"/>
              </w:rPr>
            </w:pPr>
            <w:r w:rsidRPr="004362B1">
              <w:rPr>
                <w:sz w:val="22"/>
                <w:lang w:val="en-US"/>
              </w:rPr>
              <w:t>2.1</w:t>
            </w:r>
          </w:p>
        </w:tc>
        <w:tc>
          <w:tcPr>
            <w:tcW w:w="1416" w:type="dxa"/>
            <w:shd w:val="clear" w:color="auto" w:fill="auto"/>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tcPr>
          <w:p w:rsidR="00E719F9" w:rsidRPr="004362B1" w:rsidRDefault="00E719F9" w:rsidP="004362B1">
            <w:pPr>
              <w:jc w:val="center"/>
              <w:rPr>
                <w:sz w:val="22"/>
                <w:lang w:val="en-US"/>
              </w:rPr>
            </w:pPr>
            <w:r w:rsidRPr="004362B1">
              <w:rPr>
                <w:sz w:val="22"/>
                <w:lang w:val="en-US"/>
              </w:rPr>
              <w:t>0</w:t>
            </w:r>
          </w:p>
        </w:tc>
      </w:tr>
      <w:tr w:rsidR="001F746C" w:rsidRPr="004362B1" w:rsidTr="00DB6FE4">
        <w:tc>
          <w:tcPr>
            <w:tcW w:w="3686" w:type="dxa"/>
            <w:shd w:val="clear" w:color="auto" w:fill="auto"/>
          </w:tcPr>
          <w:p w:rsidR="001F746C" w:rsidRPr="00431D19" w:rsidRDefault="001F746C" w:rsidP="004362B1">
            <w:pPr>
              <w:jc w:val="left"/>
              <w:rPr>
                <w:b/>
                <w:sz w:val="22"/>
                <w:lang w:val="en-US"/>
              </w:rPr>
            </w:pPr>
            <w:r w:rsidRPr="00431D19">
              <w:rPr>
                <w:b/>
                <w:sz w:val="22"/>
                <w:lang w:val="en-US"/>
              </w:rPr>
              <w:t>Cardiac disorders</w:t>
            </w:r>
          </w:p>
        </w:tc>
        <w:tc>
          <w:tcPr>
            <w:tcW w:w="5733" w:type="dxa"/>
            <w:gridSpan w:val="4"/>
            <w:shd w:val="clear" w:color="auto" w:fill="auto"/>
          </w:tcPr>
          <w:p w:rsidR="001F746C" w:rsidRPr="004362B1" w:rsidRDefault="001F746C" w:rsidP="004362B1">
            <w:pPr>
              <w:jc w:val="center"/>
              <w:rPr>
                <w:sz w:val="22"/>
                <w:lang w:val="en-US"/>
              </w:rPr>
            </w:pPr>
          </w:p>
        </w:tc>
      </w:tr>
      <w:tr w:rsidR="00431D19" w:rsidRPr="004362B1" w:rsidTr="004362B1">
        <w:tc>
          <w:tcPr>
            <w:tcW w:w="3686" w:type="dxa"/>
            <w:shd w:val="clear" w:color="auto" w:fill="auto"/>
          </w:tcPr>
          <w:p w:rsidR="00431D19" w:rsidRPr="004362B1" w:rsidRDefault="00431D19" w:rsidP="004362B1">
            <w:pPr>
              <w:jc w:val="left"/>
              <w:rPr>
                <w:sz w:val="22"/>
                <w:lang w:val="en-US"/>
              </w:rPr>
            </w:pPr>
            <w:r>
              <w:rPr>
                <w:sz w:val="22"/>
                <w:lang w:val="en-US"/>
              </w:rPr>
              <w:t>Atrial fibrillation</w:t>
            </w:r>
          </w:p>
        </w:tc>
        <w:tc>
          <w:tcPr>
            <w:tcW w:w="1418" w:type="dxa"/>
            <w:shd w:val="clear" w:color="auto" w:fill="auto"/>
          </w:tcPr>
          <w:p w:rsidR="00431D19" w:rsidRPr="004362B1" w:rsidRDefault="00431D19" w:rsidP="004362B1">
            <w:pPr>
              <w:jc w:val="center"/>
              <w:rPr>
                <w:sz w:val="22"/>
                <w:lang w:val="en-US"/>
              </w:rPr>
            </w:pPr>
            <w:r>
              <w:rPr>
                <w:sz w:val="22"/>
                <w:lang w:val="en-US"/>
              </w:rPr>
              <w:t>0</w:t>
            </w:r>
          </w:p>
        </w:tc>
        <w:tc>
          <w:tcPr>
            <w:tcW w:w="1424" w:type="dxa"/>
            <w:shd w:val="clear" w:color="auto" w:fill="auto"/>
          </w:tcPr>
          <w:p w:rsidR="00431D19" w:rsidRPr="004362B1" w:rsidRDefault="00431D19" w:rsidP="004362B1">
            <w:pPr>
              <w:jc w:val="center"/>
              <w:rPr>
                <w:sz w:val="22"/>
                <w:lang w:val="en-US"/>
              </w:rPr>
            </w:pPr>
            <w:r>
              <w:rPr>
                <w:sz w:val="22"/>
                <w:lang w:val="en-US"/>
              </w:rPr>
              <w:t>2.1</w:t>
            </w:r>
          </w:p>
        </w:tc>
        <w:tc>
          <w:tcPr>
            <w:tcW w:w="1416" w:type="dxa"/>
            <w:shd w:val="clear" w:color="auto" w:fill="auto"/>
          </w:tcPr>
          <w:p w:rsidR="00431D19" w:rsidRPr="004362B1" w:rsidRDefault="00431D19" w:rsidP="004362B1">
            <w:pPr>
              <w:jc w:val="center"/>
              <w:rPr>
                <w:sz w:val="22"/>
                <w:lang w:val="en-US"/>
              </w:rPr>
            </w:pPr>
            <w:r>
              <w:rPr>
                <w:sz w:val="22"/>
                <w:lang w:val="en-US"/>
              </w:rPr>
              <w:t>0</w:t>
            </w:r>
          </w:p>
        </w:tc>
        <w:tc>
          <w:tcPr>
            <w:tcW w:w="1475" w:type="dxa"/>
            <w:shd w:val="clear" w:color="auto" w:fill="auto"/>
          </w:tcPr>
          <w:p w:rsidR="00431D19" w:rsidRPr="004362B1" w:rsidRDefault="00431D19" w:rsidP="004362B1">
            <w:pPr>
              <w:jc w:val="center"/>
              <w:rPr>
                <w:sz w:val="22"/>
                <w:lang w:val="en-US"/>
              </w:rPr>
            </w:pPr>
            <w:r>
              <w:rPr>
                <w:sz w:val="22"/>
                <w:lang w:val="en-US"/>
              </w:rPr>
              <w:t>&lt; 1</w:t>
            </w:r>
          </w:p>
        </w:tc>
      </w:tr>
      <w:tr w:rsidR="001F746C" w:rsidRPr="004362B1" w:rsidTr="00DB6FE4">
        <w:tc>
          <w:tcPr>
            <w:tcW w:w="3686" w:type="dxa"/>
            <w:shd w:val="clear" w:color="auto" w:fill="auto"/>
          </w:tcPr>
          <w:p w:rsidR="001F746C" w:rsidRPr="00431D19" w:rsidRDefault="001F746C" w:rsidP="004362B1">
            <w:pPr>
              <w:jc w:val="left"/>
              <w:rPr>
                <w:b/>
                <w:sz w:val="22"/>
                <w:lang w:val="en-US"/>
              </w:rPr>
            </w:pPr>
            <w:r w:rsidRPr="00431D19">
              <w:rPr>
                <w:b/>
                <w:sz w:val="22"/>
                <w:lang w:val="en-US"/>
              </w:rPr>
              <w:t>Neoplasms benign, malignant and unspecified (incl cysts and polyps)</w:t>
            </w:r>
          </w:p>
        </w:tc>
        <w:tc>
          <w:tcPr>
            <w:tcW w:w="5733" w:type="dxa"/>
            <w:gridSpan w:val="4"/>
            <w:shd w:val="clear" w:color="auto" w:fill="auto"/>
          </w:tcPr>
          <w:p w:rsidR="001F746C" w:rsidRPr="004362B1" w:rsidRDefault="001F746C" w:rsidP="004362B1">
            <w:pPr>
              <w:jc w:val="center"/>
              <w:rPr>
                <w:sz w:val="22"/>
                <w:lang w:val="en-US"/>
              </w:rPr>
            </w:pPr>
          </w:p>
        </w:tc>
      </w:tr>
      <w:tr w:rsidR="00431D19" w:rsidRPr="004362B1" w:rsidTr="004362B1">
        <w:tc>
          <w:tcPr>
            <w:tcW w:w="3686" w:type="dxa"/>
            <w:shd w:val="clear" w:color="auto" w:fill="auto"/>
          </w:tcPr>
          <w:p w:rsidR="00431D19" w:rsidRPr="004362B1" w:rsidRDefault="00431D19" w:rsidP="004362B1">
            <w:pPr>
              <w:jc w:val="left"/>
              <w:rPr>
                <w:sz w:val="22"/>
                <w:lang w:val="en-US"/>
              </w:rPr>
            </w:pPr>
            <w:r>
              <w:rPr>
                <w:sz w:val="22"/>
                <w:lang w:val="en-US"/>
              </w:rPr>
              <w:t>Squamous cell carcinoma of skin</w:t>
            </w:r>
          </w:p>
        </w:tc>
        <w:tc>
          <w:tcPr>
            <w:tcW w:w="1418" w:type="dxa"/>
            <w:shd w:val="clear" w:color="auto" w:fill="auto"/>
          </w:tcPr>
          <w:p w:rsidR="00431D19" w:rsidRPr="004362B1" w:rsidRDefault="00431D19" w:rsidP="004362B1">
            <w:pPr>
              <w:jc w:val="center"/>
              <w:rPr>
                <w:sz w:val="22"/>
                <w:lang w:val="en-US"/>
              </w:rPr>
            </w:pPr>
            <w:r>
              <w:rPr>
                <w:sz w:val="22"/>
                <w:lang w:val="en-US"/>
              </w:rPr>
              <w:t>0</w:t>
            </w:r>
          </w:p>
        </w:tc>
        <w:tc>
          <w:tcPr>
            <w:tcW w:w="1424" w:type="dxa"/>
            <w:shd w:val="clear" w:color="auto" w:fill="auto"/>
          </w:tcPr>
          <w:p w:rsidR="00431D19" w:rsidRPr="004362B1" w:rsidRDefault="00431D19" w:rsidP="004362B1">
            <w:pPr>
              <w:jc w:val="center"/>
              <w:rPr>
                <w:sz w:val="22"/>
                <w:lang w:val="en-US"/>
              </w:rPr>
            </w:pPr>
            <w:r>
              <w:rPr>
                <w:sz w:val="22"/>
                <w:lang w:val="en-US"/>
              </w:rPr>
              <w:t>2.1</w:t>
            </w:r>
          </w:p>
        </w:tc>
        <w:tc>
          <w:tcPr>
            <w:tcW w:w="1416" w:type="dxa"/>
            <w:shd w:val="clear" w:color="auto" w:fill="auto"/>
          </w:tcPr>
          <w:p w:rsidR="00431D19" w:rsidRPr="004362B1" w:rsidRDefault="00431D19" w:rsidP="004362B1">
            <w:pPr>
              <w:jc w:val="center"/>
              <w:rPr>
                <w:sz w:val="22"/>
                <w:lang w:val="en-US"/>
              </w:rPr>
            </w:pPr>
            <w:r>
              <w:rPr>
                <w:sz w:val="22"/>
                <w:lang w:val="en-US"/>
              </w:rPr>
              <w:t>0</w:t>
            </w:r>
          </w:p>
        </w:tc>
        <w:tc>
          <w:tcPr>
            <w:tcW w:w="1475" w:type="dxa"/>
            <w:shd w:val="clear" w:color="auto" w:fill="auto"/>
          </w:tcPr>
          <w:p w:rsidR="00431D19" w:rsidRPr="004362B1" w:rsidRDefault="00431D19" w:rsidP="004362B1">
            <w:pPr>
              <w:jc w:val="center"/>
              <w:rPr>
                <w:sz w:val="22"/>
                <w:lang w:val="en-US"/>
              </w:rPr>
            </w:pPr>
            <w:r>
              <w:rPr>
                <w:sz w:val="22"/>
                <w:lang w:val="en-US"/>
              </w:rPr>
              <w:t>1.2</w:t>
            </w:r>
          </w:p>
        </w:tc>
      </w:tr>
      <w:tr w:rsidR="001F746C" w:rsidRPr="004362B1" w:rsidTr="00DB6FE4">
        <w:tc>
          <w:tcPr>
            <w:tcW w:w="3686" w:type="dxa"/>
            <w:shd w:val="clear" w:color="auto" w:fill="auto"/>
          </w:tcPr>
          <w:p w:rsidR="001F746C" w:rsidRPr="004362B1" w:rsidRDefault="001F746C" w:rsidP="004362B1">
            <w:pPr>
              <w:jc w:val="left"/>
              <w:rPr>
                <w:b/>
                <w:sz w:val="22"/>
                <w:lang w:val="en-US"/>
              </w:rPr>
            </w:pPr>
            <w:r w:rsidRPr="004362B1">
              <w:rPr>
                <w:b/>
                <w:sz w:val="22"/>
                <w:lang w:val="en-US"/>
              </w:rPr>
              <w:t>Gastrointestinal disorders</w:t>
            </w:r>
          </w:p>
        </w:tc>
        <w:tc>
          <w:tcPr>
            <w:tcW w:w="5733" w:type="dxa"/>
            <w:gridSpan w:val="4"/>
            <w:shd w:val="clear" w:color="auto" w:fill="auto"/>
          </w:tcPr>
          <w:p w:rsidR="001F746C" w:rsidRPr="004362B1" w:rsidRDefault="001F746C" w:rsidP="004362B1">
            <w:pPr>
              <w:jc w:val="center"/>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Diarrhoea</w:t>
            </w:r>
            <w:r w:rsidR="00431D19" w:rsidRPr="0055536F">
              <w:rPr>
                <w:sz w:val="22"/>
                <w:lang w:val="en-US"/>
              </w:rPr>
              <w:t>‡</w:t>
            </w:r>
          </w:p>
        </w:tc>
        <w:tc>
          <w:tcPr>
            <w:tcW w:w="1418" w:type="dxa"/>
            <w:shd w:val="clear" w:color="auto" w:fill="auto"/>
          </w:tcPr>
          <w:p w:rsidR="00E719F9" w:rsidRPr="004362B1" w:rsidRDefault="00E719F9" w:rsidP="004362B1">
            <w:pPr>
              <w:jc w:val="center"/>
              <w:rPr>
                <w:sz w:val="22"/>
                <w:lang w:val="en-US"/>
              </w:rPr>
            </w:pPr>
            <w:r w:rsidRPr="004362B1">
              <w:rPr>
                <w:sz w:val="22"/>
                <w:lang w:val="en-US"/>
              </w:rPr>
              <w:t>11.2</w:t>
            </w:r>
          </w:p>
        </w:tc>
        <w:tc>
          <w:tcPr>
            <w:tcW w:w="1424" w:type="dxa"/>
            <w:shd w:val="clear" w:color="auto" w:fill="auto"/>
          </w:tcPr>
          <w:p w:rsidR="00E719F9" w:rsidRPr="004362B1" w:rsidRDefault="00E719F9" w:rsidP="004362B1">
            <w:pPr>
              <w:jc w:val="center"/>
              <w:rPr>
                <w:sz w:val="22"/>
                <w:lang w:val="en-US"/>
              </w:rPr>
            </w:pPr>
            <w:r w:rsidRPr="004362B1">
              <w:rPr>
                <w:sz w:val="22"/>
                <w:lang w:val="en-US"/>
              </w:rPr>
              <w:t>10.4</w:t>
            </w:r>
          </w:p>
        </w:tc>
        <w:tc>
          <w:tcPr>
            <w:tcW w:w="1416" w:type="dxa"/>
            <w:shd w:val="clear" w:color="auto" w:fill="auto"/>
          </w:tcPr>
          <w:p w:rsidR="00E719F9" w:rsidRPr="004362B1" w:rsidRDefault="00E719F9" w:rsidP="004362B1">
            <w:pPr>
              <w:jc w:val="center"/>
              <w:rPr>
                <w:sz w:val="22"/>
                <w:lang w:val="en-US"/>
              </w:rPr>
            </w:pPr>
            <w:r w:rsidRPr="004362B1">
              <w:rPr>
                <w:sz w:val="22"/>
                <w:lang w:val="en-US"/>
              </w:rPr>
              <w:t>&lt; 1</w:t>
            </w:r>
          </w:p>
        </w:tc>
        <w:tc>
          <w:tcPr>
            <w:tcW w:w="1475" w:type="dxa"/>
            <w:shd w:val="clear" w:color="auto" w:fill="auto"/>
          </w:tcPr>
          <w:p w:rsidR="00E719F9" w:rsidRPr="004362B1" w:rsidRDefault="00E719F9" w:rsidP="004362B1">
            <w:pPr>
              <w:jc w:val="center"/>
              <w:rPr>
                <w:sz w:val="22"/>
                <w:lang w:val="en-US"/>
              </w:rPr>
            </w:pPr>
            <w:r w:rsidRPr="004362B1">
              <w:rPr>
                <w:sz w:val="22"/>
                <w:lang w:val="en-US"/>
              </w:rPr>
              <w:t>2.5</w:t>
            </w:r>
          </w:p>
        </w:tc>
      </w:tr>
      <w:tr w:rsidR="001F746C" w:rsidRPr="004362B1" w:rsidTr="00DB6FE4">
        <w:tc>
          <w:tcPr>
            <w:tcW w:w="3686" w:type="dxa"/>
            <w:shd w:val="clear" w:color="auto" w:fill="auto"/>
          </w:tcPr>
          <w:p w:rsidR="001F746C" w:rsidRPr="004362B1" w:rsidRDefault="001F746C" w:rsidP="004362B1">
            <w:pPr>
              <w:jc w:val="left"/>
              <w:rPr>
                <w:b/>
                <w:sz w:val="22"/>
                <w:lang w:val="en-US"/>
              </w:rPr>
            </w:pPr>
            <w:r w:rsidRPr="004362B1">
              <w:rPr>
                <w:b/>
                <w:sz w:val="22"/>
                <w:lang w:val="en-US"/>
              </w:rPr>
              <w:t>Skin and subcutaneous tissue disorders</w:t>
            </w:r>
          </w:p>
        </w:tc>
        <w:tc>
          <w:tcPr>
            <w:tcW w:w="5733" w:type="dxa"/>
            <w:gridSpan w:val="4"/>
            <w:shd w:val="clear" w:color="auto" w:fill="auto"/>
          </w:tcPr>
          <w:p w:rsidR="001F746C" w:rsidRPr="004362B1" w:rsidRDefault="001F746C" w:rsidP="004362B1">
            <w:pPr>
              <w:jc w:val="center"/>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Alopecia</w:t>
            </w:r>
          </w:p>
        </w:tc>
        <w:tc>
          <w:tcPr>
            <w:tcW w:w="1418" w:type="dxa"/>
            <w:shd w:val="clear" w:color="auto" w:fill="auto"/>
          </w:tcPr>
          <w:p w:rsidR="00E719F9" w:rsidRPr="004362B1" w:rsidRDefault="00E719F9" w:rsidP="004362B1">
            <w:pPr>
              <w:jc w:val="center"/>
              <w:rPr>
                <w:sz w:val="22"/>
                <w:lang w:val="en-US"/>
              </w:rPr>
            </w:pPr>
            <w:r w:rsidRPr="004362B1">
              <w:rPr>
                <w:sz w:val="22"/>
                <w:lang w:val="en-US"/>
              </w:rPr>
              <w:t>0</w:t>
            </w:r>
          </w:p>
        </w:tc>
        <w:tc>
          <w:tcPr>
            <w:tcW w:w="1424" w:type="dxa"/>
            <w:shd w:val="clear" w:color="auto" w:fill="auto"/>
          </w:tcPr>
          <w:p w:rsidR="00E719F9" w:rsidRPr="004362B1" w:rsidRDefault="00E719F9" w:rsidP="004362B1">
            <w:pPr>
              <w:jc w:val="center"/>
              <w:rPr>
                <w:sz w:val="22"/>
                <w:lang w:val="en-US"/>
              </w:rPr>
            </w:pPr>
            <w:r w:rsidRPr="004362B1">
              <w:rPr>
                <w:sz w:val="22"/>
                <w:lang w:val="en-US"/>
              </w:rPr>
              <w:t>2.1</w:t>
            </w:r>
          </w:p>
        </w:tc>
        <w:tc>
          <w:tcPr>
            <w:tcW w:w="1416" w:type="dxa"/>
            <w:shd w:val="clear" w:color="auto" w:fill="auto"/>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tcPr>
          <w:p w:rsidR="00E719F9" w:rsidRPr="004362B1" w:rsidRDefault="00E719F9" w:rsidP="004362B1">
            <w:pPr>
              <w:jc w:val="center"/>
              <w:rPr>
                <w:sz w:val="22"/>
                <w:lang w:val="en-US"/>
              </w:rPr>
            </w:pPr>
            <w:r w:rsidRPr="004362B1">
              <w:rPr>
                <w:sz w:val="22"/>
                <w:lang w:val="en-US"/>
              </w:rPr>
              <w:t>0</w:t>
            </w:r>
          </w:p>
        </w:tc>
      </w:tr>
    </w:tbl>
    <w:p w:rsidR="00E719F9" w:rsidRPr="00C8539B" w:rsidRDefault="00E719F9" w:rsidP="007577C1">
      <w:pPr>
        <w:rPr>
          <w:rFonts w:cs="Arial"/>
          <w:color w:val="000000"/>
          <w:sz w:val="20"/>
          <w:szCs w:val="20"/>
          <w:lang w:eastAsia="ko-KR" w:bidi="he-IL"/>
        </w:rPr>
      </w:pPr>
      <w:r w:rsidRPr="00C8539B">
        <w:rPr>
          <w:rFonts w:cs="Arial"/>
          <w:color w:val="000000"/>
          <w:sz w:val="20"/>
          <w:szCs w:val="20"/>
          <w:vertAlign w:val="superscript"/>
          <w:lang w:eastAsia="ko-KR" w:bidi="he-IL"/>
        </w:rPr>
        <w:t xml:space="preserve">* </w:t>
      </w:r>
      <w:r w:rsidRPr="00C8539B">
        <w:rPr>
          <w:rFonts w:cs="Arial"/>
          <w:color w:val="000000"/>
          <w:sz w:val="20"/>
          <w:szCs w:val="20"/>
          <w:lang w:eastAsia="ko-KR" w:bidi="he-IL"/>
        </w:rPr>
        <w:t>In all Grades or Grade 3-5</w:t>
      </w:r>
    </w:p>
    <w:p w:rsidR="008E64DB" w:rsidRPr="00C8539B" w:rsidRDefault="00AD7D41" w:rsidP="007577C1">
      <w:pPr>
        <w:rPr>
          <w:rFonts w:cs="Arial"/>
          <w:color w:val="000000"/>
          <w:sz w:val="20"/>
          <w:szCs w:val="20"/>
          <w:lang w:eastAsia="ko-KR" w:bidi="he-IL"/>
        </w:rPr>
      </w:pPr>
      <w:r w:rsidRPr="00C8539B">
        <w:rPr>
          <w:b/>
          <w:sz w:val="20"/>
          <w:szCs w:val="20"/>
          <w:vertAlign w:val="superscript"/>
          <w:lang w:val="en-US"/>
        </w:rPr>
        <w:t>†</w:t>
      </w:r>
      <w:r w:rsidR="00E719F9" w:rsidRPr="00C8539B">
        <w:rPr>
          <w:rFonts w:ascii="Times New Roman Bold" w:hAnsi="Times New Roman Bold"/>
          <w:b/>
          <w:sz w:val="20"/>
          <w:szCs w:val="20"/>
          <w:lang w:val="en-US"/>
        </w:rPr>
        <w:t xml:space="preserve"> </w:t>
      </w:r>
      <w:r w:rsidR="00E719F9" w:rsidRPr="00C8539B">
        <w:rPr>
          <w:rFonts w:cs="Arial"/>
          <w:color w:val="000000"/>
          <w:sz w:val="20"/>
          <w:szCs w:val="20"/>
          <w:lang w:eastAsia="ko-KR" w:bidi="he-IL"/>
        </w:rPr>
        <w:t xml:space="preserve">No Grade 5 adverse reactions have been observed with a difference of </w:t>
      </w:r>
      <w:r w:rsidR="00E719F9" w:rsidRPr="00C8539B">
        <w:rPr>
          <w:color w:val="000000"/>
          <w:sz w:val="20"/>
          <w:szCs w:val="20"/>
          <w:lang w:eastAsia="ko-KR" w:bidi="he-IL"/>
        </w:rPr>
        <w:t>≥</w:t>
      </w:r>
      <w:r w:rsidR="00E719F9" w:rsidRPr="00C8539B">
        <w:rPr>
          <w:rFonts w:cs="Arial"/>
          <w:color w:val="000000"/>
          <w:sz w:val="20"/>
          <w:szCs w:val="20"/>
          <w:lang w:eastAsia="ko-KR" w:bidi="he-IL"/>
        </w:rPr>
        <w:t xml:space="preserve"> 2% between the treatment arms</w:t>
      </w:r>
    </w:p>
    <w:p w:rsidR="00431D19" w:rsidRPr="00C8539B" w:rsidRDefault="00431D19" w:rsidP="00431D19">
      <w:pPr>
        <w:rPr>
          <w:rFonts w:cs="Arial"/>
          <w:color w:val="000000"/>
          <w:sz w:val="20"/>
          <w:szCs w:val="20"/>
          <w:lang w:eastAsia="ko-KR" w:bidi="he-IL"/>
        </w:rPr>
      </w:pPr>
      <w:r w:rsidRPr="00C8539B">
        <w:rPr>
          <w:sz w:val="20"/>
          <w:szCs w:val="20"/>
          <w:vertAlign w:val="superscript"/>
          <w:lang w:val="en-US"/>
        </w:rPr>
        <w:t>‡</w:t>
      </w:r>
      <w:r w:rsidRPr="00C8539B">
        <w:rPr>
          <w:rFonts w:ascii="Times New Roman Bold" w:hAnsi="Times New Roman Bold"/>
          <w:b/>
          <w:sz w:val="20"/>
          <w:szCs w:val="20"/>
          <w:lang w:val="en-US"/>
        </w:rPr>
        <w:t xml:space="preserve"> </w:t>
      </w:r>
      <w:r w:rsidRPr="00C8539B">
        <w:rPr>
          <w:rFonts w:cs="Arial"/>
          <w:color w:val="000000"/>
          <w:sz w:val="20"/>
          <w:szCs w:val="20"/>
          <w:lang w:eastAsia="ko-KR" w:bidi="he-IL"/>
        </w:rPr>
        <w:t xml:space="preserve">With Stage 1 update and Stage 2 data, this event was no longer reported with a difference of </w:t>
      </w:r>
      <w:r w:rsidRPr="00C8539B">
        <w:rPr>
          <w:color w:val="000000"/>
          <w:sz w:val="20"/>
          <w:szCs w:val="20"/>
          <w:lang w:eastAsia="ko-KR" w:bidi="he-IL"/>
        </w:rPr>
        <w:t>≥</w:t>
      </w:r>
      <w:r w:rsidRPr="00C8539B">
        <w:rPr>
          <w:rFonts w:cs="Arial"/>
          <w:color w:val="000000"/>
          <w:sz w:val="20"/>
          <w:szCs w:val="20"/>
          <w:lang w:eastAsia="ko-KR" w:bidi="he-IL"/>
        </w:rPr>
        <w:t xml:space="preserve"> 2% between the treatment arms</w:t>
      </w:r>
    </w:p>
    <w:p w:rsidR="00A37482" w:rsidRDefault="00A37482" w:rsidP="00A6146B"/>
    <w:p w:rsidR="00431D19" w:rsidRDefault="00431D19" w:rsidP="00431D19">
      <w:pPr>
        <w:rPr>
          <w:rFonts w:cs="Arial"/>
          <w:b/>
          <w:color w:val="000000"/>
          <w:lang w:eastAsia="ko-KR" w:bidi="he-IL"/>
        </w:rPr>
      </w:pPr>
      <w:r w:rsidRPr="00C92F9F">
        <w:rPr>
          <w:rFonts w:cs="Arial"/>
          <w:b/>
          <w:color w:val="000000"/>
          <w:lang w:eastAsia="ko-KR" w:bidi="he-IL"/>
        </w:rPr>
        <w:t>T</w:t>
      </w:r>
      <w:r>
        <w:rPr>
          <w:rFonts w:cs="Arial"/>
          <w:b/>
          <w:color w:val="000000"/>
          <w:lang w:eastAsia="ko-KR" w:bidi="he-IL"/>
        </w:rPr>
        <w:t xml:space="preserve">able </w:t>
      </w:r>
      <w:r w:rsidR="00C31F70">
        <w:rPr>
          <w:rFonts w:cs="Arial"/>
          <w:b/>
          <w:color w:val="000000"/>
          <w:lang w:eastAsia="ko-KR" w:bidi="he-IL"/>
        </w:rPr>
        <w:t>6</w:t>
      </w:r>
      <w:r w:rsidRPr="00C92F9F">
        <w:rPr>
          <w:rFonts w:cs="Arial"/>
          <w:b/>
          <w:color w:val="000000"/>
          <w:lang w:eastAsia="ko-KR" w:bidi="he-IL"/>
        </w:rPr>
        <w:t xml:space="preserve"> </w:t>
      </w:r>
      <w:r w:rsidR="00A31A69">
        <w:rPr>
          <w:rFonts w:cs="Arial"/>
          <w:b/>
          <w:color w:val="000000"/>
          <w:lang w:eastAsia="ko-KR" w:bidi="he-IL"/>
        </w:rPr>
        <w:t>Adverse Reactions</w:t>
      </w:r>
      <w:r>
        <w:rPr>
          <w:rFonts w:cs="Arial"/>
          <w:b/>
          <w:color w:val="000000"/>
          <w:lang w:eastAsia="ko-KR" w:bidi="he-IL"/>
        </w:rPr>
        <w:t xml:space="preserve"> reported with a higher incidence (difference of </w:t>
      </w:r>
      <w:r>
        <w:rPr>
          <w:b/>
          <w:color w:val="000000"/>
          <w:lang w:eastAsia="ko-KR" w:bidi="he-IL"/>
        </w:rPr>
        <w:t>≥</w:t>
      </w:r>
      <w:r>
        <w:rPr>
          <w:rFonts w:cs="Arial"/>
          <w:b/>
          <w:color w:val="000000"/>
          <w:lang w:eastAsia="ko-KR" w:bidi="he-IL"/>
        </w:rPr>
        <w:t xml:space="preserve"> 2%) in patients receiving </w:t>
      </w:r>
      <w:r w:rsidR="00395BD6">
        <w:rPr>
          <w:rFonts w:cs="Arial"/>
          <w:b/>
          <w:color w:val="000000"/>
          <w:lang w:eastAsia="ko-KR" w:bidi="he-IL"/>
        </w:rPr>
        <w:t>Gazyva</w:t>
      </w:r>
      <w:r>
        <w:rPr>
          <w:rFonts w:cs="Arial"/>
          <w:b/>
          <w:color w:val="000000"/>
          <w:lang w:eastAsia="ko-KR" w:bidi="he-IL"/>
        </w:rPr>
        <w:t xml:space="preserve"> plus chlorambucil vs rituximab plus chlorambucil (Stage 2)*</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8"/>
        <w:gridCol w:w="1424"/>
        <w:gridCol w:w="1416"/>
        <w:gridCol w:w="1475"/>
      </w:tblGrid>
      <w:tr w:rsidR="00431D19" w:rsidRPr="004362B1" w:rsidTr="00504DD8">
        <w:tc>
          <w:tcPr>
            <w:tcW w:w="3686" w:type="dxa"/>
            <w:shd w:val="clear" w:color="auto" w:fill="auto"/>
            <w:vAlign w:val="center"/>
          </w:tcPr>
          <w:p w:rsidR="00431D19" w:rsidRPr="004362B1" w:rsidRDefault="00431D19" w:rsidP="00504DD8">
            <w:pPr>
              <w:jc w:val="center"/>
              <w:rPr>
                <w:b/>
                <w:sz w:val="22"/>
                <w:lang w:val="en-US"/>
              </w:rPr>
            </w:pPr>
            <w:r w:rsidRPr="004362B1">
              <w:rPr>
                <w:b/>
                <w:sz w:val="22"/>
                <w:lang w:val="en-US"/>
              </w:rPr>
              <w:t xml:space="preserve">ADR (MedDRA) </w:t>
            </w:r>
          </w:p>
          <w:p w:rsidR="00431D19" w:rsidRPr="004362B1" w:rsidRDefault="00431D19" w:rsidP="00504DD8">
            <w:pPr>
              <w:jc w:val="center"/>
              <w:rPr>
                <w:b/>
                <w:sz w:val="22"/>
                <w:lang w:val="en-US"/>
              </w:rPr>
            </w:pPr>
            <w:r w:rsidRPr="004362B1">
              <w:rPr>
                <w:b/>
                <w:sz w:val="22"/>
                <w:lang w:val="en-US"/>
              </w:rPr>
              <w:t>System Organ Class</w:t>
            </w:r>
          </w:p>
        </w:tc>
        <w:tc>
          <w:tcPr>
            <w:tcW w:w="2842" w:type="dxa"/>
            <w:gridSpan w:val="2"/>
            <w:shd w:val="clear" w:color="auto" w:fill="auto"/>
            <w:vAlign w:val="center"/>
          </w:tcPr>
          <w:p w:rsidR="00431D19" w:rsidRPr="004362B1" w:rsidRDefault="00431D19" w:rsidP="00504DD8">
            <w:pPr>
              <w:jc w:val="center"/>
              <w:rPr>
                <w:b/>
                <w:sz w:val="22"/>
                <w:lang w:val="en-US"/>
              </w:rPr>
            </w:pPr>
            <w:r w:rsidRPr="004362B1">
              <w:rPr>
                <w:b/>
                <w:sz w:val="22"/>
                <w:lang w:val="en-US"/>
              </w:rPr>
              <w:t>All Grades %</w:t>
            </w:r>
          </w:p>
        </w:tc>
        <w:tc>
          <w:tcPr>
            <w:tcW w:w="2891" w:type="dxa"/>
            <w:gridSpan w:val="2"/>
            <w:shd w:val="clear" w:color="auto" w:fill="auto"/>
            <w:vAlign w:val="center"/>
          </w:tcPr>
          <w:p w:rsidR="00431D19" w:rsidRPr="004362B1" w:rsidRDefault="00431D19" w:rsidP="00504DD8">
            <w:pPr>
              <w:jc w:val="center"/>
              <w:rPr>
                <w:b/>
                <w:sz w:val="22"/>
                <w:lang w:val="en-US"/>
              </w:rPr>
            </w:pPr>
            <w:r w:rsidRPr="004362B1">
              <w:rPr>
                <w:b/>
                <w:sz w:val="22"/>
                <w:lang w:val="en-US"/>
              </w:rPr>
              <w:t>Grades 3-5</w:t>
            </w:r>
            <w:r w:rsidRPr="004362B1">
              <w:rPr>
                <w:b/>
                <w:sz w:val="22"/>
                <w:vertAlign w:val="superscript"/>
                <w:lang w:val="en-US"/>
              </w:rPr>
              <w:t>†</w:t>
            </w:r>
            <w:r w:rsidRPr="004362B1">
              <w:rPr>
                <w:b/>
                <w:sz w:val="22"/>
                <w:lang w:val="en-US"/>
              </w:rPr>
              <w:t xml:space="preserve"> %</w:t>
            </w:r>
          </w:p>
        </w:tc>
      </w:tr>
      <w:tr w:rsidR="00431D19" w:rsidRPr="004362B1" w:rsidTr="00504DD8">
        <w:tc>
          <w:tcPr>
            <w:tcW w:w="3686" w:type="dxa"/>
            <w:shd w:val="clear" w:color="auto" w:fill="auto"/>
          </w:tcPr>
          <w:p w:rsidR="00431D19" w:rsidRPr="004362B1" w:rsidRDefault="00431D19" w:rsidP="00504DD8">
            <w:pPr>
              <w:jc w:val="left"/>
              <w:rPr>
                <w:sz w:val="22"/>
                <w:lang w:val="en-US"/>
              </w:rPr>
            </w:pPr>
          </w:p>
        </w:tc>
        <w:tc>
          <w:tcPr>
            <w:tcW w:w="1418" w:type="dxa"/>
            <w:shd w:val="clear" w:color="auto" w:fill="auto"/>
            <w:vAlign w:val="center"/>
          </w:tcPr>
          <w:p w:rsidR="00431D19" w:rsidRPr="004362B1" w:rsidRDefault="00EB75BA" w:rsidP="00504DD8">
            <w:pPr>
              <w:jc w:val="center"/>
              <w:rPr>
                <w:sz w:val="22"/>
                <w:lang w:val="en-US"/>
              </w:rPr>
            </w:pPr>
            <w:r>
              <w:rPr>
                <w:sz w:val="22"/>
                <w:lang w:val="en-US"/>
              </w:rPr>
              <w:t>rituximab + chlorambucil n=</w:t>
            </w:r>
            <w:r w:rsidR="00431D19">
              <w:rPr>
                <w:sz w:val="22"/>
                <w:lang w:val="en-US"/>
              </w:rPr>
              <w:t>321</w:t>
            </w:r>
          </w:p>
        </w:tc>
        <w:tc>
          <w:tcPr>
            <w:tcW w:w="1424" w:type="dxa"/>
            <w:shd w:val="clear" w:color="auto" w:fill="auto"/>
            <w:vAlign w:val="center"/>
          </w:tcPr>
          <w:p w:rsidR="00431D19" w:rsidRPr="004362B1" w:rsidRDefault="00395BD6" w:rsidP="00395BD6">
            <w:pPr>
              <w:jc w:val="center"/>
              <w:rPr>
                <w:sz w:val="22"/>
                <w:lang w:val="en-US"/>
              </w:rPr>
            </w:pPr>
            <w:r>
              <w:rPr>
                <w:sz w:val="22"/>
                <w:lang w:val="en-US"/>
              </w:rPr>
              <w:t>Gazyva</w:t>
            </w:r>
            <w:r w:rsidR="00EB75BA">
              <w:rPr>
                <w:sz w:val="22"/>
                <w:lang w:val="en-US"/>
              </w:rPr>
              <w:t xml:space="preserve"> + chlorambucil n=</w:t>
            </w:r>
            <w:r w:rsidR="00431D19">
              <w:rPr>
                <w:sz w:val="22"/>
                <w:lang w:val="en-US"/>
              </w:rPr>
              <w:t>336</w:t>
            </w:r>
          </w:p>
        </w:tc>
        <w:tc>
          <w:tcPr>
            <w:tcW w:w="1416" w:type="dxa"/>
            <w:shd w:val="clear" w:color="auto" w:fill="auto"/>
            <w:vAlign w:val="center"/>
          </w:tcPr>
          <w:p w:rsidR="00431D19" w:rsidRPr="004362B1" w:rsidRDefault="00431D19" w:rsidP="00431D19">
            <w:pPr>
              <w:jc w:val="center"/>
              <w:rPr>
                <w:sz w:val="22"/>
                <w:lang w:val="en-US"/>
              </w:rPr>
            </w:pPr>
            <w:r>
              <w:rPr>
                <w:sz w:val="22"/>
                <w:lang w:val="en-US"/>
              </w:rPr>
              <w:t xml:space="preserve">rituximab + </w:t>
            </w:r>
            <w:r w:rsidR="00EB75BA">
              <w:rPr>
                <w:sz w:val="22"/>
                <w:lang w:val="en-US"/>
              </w:rPr>
              <w:t>chlorambucil n=</w:t>
            </w:r>
            <w:r>
              <w:rPr>
                <w:sz w:val="22"/>
                <w:lang w:val="en-US"/>
              </w:rPr>
              <w:t>321</w:t>
            </w:r>
          </w:p>
        </w:tc>
        <w:tc>
          <w:tcPr>
            <w:tcW w:w="1475" w:type="dxa"/>
            <w:shd w:val="clear" w:color="auto" w:fill="auto"/>
            <w:vAlign w:val="center"/>
          </w:tcPr>
          <w:p w:rsidR="00431D19" w:rsidRPr="004362B1" w:rsidRDefault="00395BD6" w:rsidP="00395BD6">
            <w:pPr>
              <w:jc w:val="center"/>
              <w:rPr>
                <w:sz w:val="22"/>
                <w:lang w:val="en-US"/>
              </w:rPr>
            </w:pPr>
            <w:r>
              <w:rPr>
                <w:sz w:val="22"/>
                <w:lang w:val="en-US"/>
              </w:rPr>
              <w:t>Gazyva</w:t>
            </w:r>
            <w:r w:rsidR="00431D19" w:rsidRPr="004362B1">
              <w:rPr>
                <w:sz w:val="22"/>
                <w:lang w:val="en-US"/>
              </w:rPr>
              <w:t xml:space="preserve"> + </w:t>
            </w:r>
            <w:r w:rsidR="00EB75BA">
              <w:rPr>
                <w:sz w:val="22"/>
                <w:lang w:val="en-US"/>
              </w:rPr>
              <w:t>chlorambucil n=</w:t>
            </w:r>
            <w:r w:rsidR="00431D19">
              <w:rPr>
                <w:sz w:val="22"/>
                <w:lang w:val="en-US"/>
              </w:rPr>
              <w:t>336</w:t>
            </w:r>
          </w:p>
        </w:tc>
      </w:tr>
      <w:tr w:rsidR="00431D19" w:rsidRPr="004362B1" w:rsidTr="00504DD8">
        <w:tc>
          <w:tcPr>
            <w:tcW w:w="3686" w:type="dxa"/>
            <w:shd w:val="clear" w:color="auto" w:fill="auto"/>
          </w:tcPr>
          <w:p w:rsidR="00431D19" w:rsidRPr="004362B1" w:rsidRDefault="00431D19" w:rsidP="00504DD8">
            <w:pPr>
              <w:jc w:val="left"/>
              <w:rPr>
                <w:b/>
                <w:sz w:val="22"/>
                <w:lang w:val="en-US"/>
              </w:rPr>
            </w:pPr>
            <w:r w:rsidRPr="004362B1">
              <w:rPr>
                <w:b/>
                <w:sz w:val="22"/>
                <w:lang w:val="en-US"/>
              </w:rPr>
              <w:t>Injury, Poisoning and Procedural Complications</w:t>
            </w:r>
          </w:p>
        </w:tc>
        <w:tc>
          <w:tcPr>
            <w:tcW w:w="5733" w:type="dxa"/>
            <w:gridSpan w:val="4"/>
            <w:shd w:val="clear" w:color="auto" w:fill="auto"/>
          </w:tcPr>
          <w:p w:rsidR="00431D19" w:rsidRPr="004362B1" w:rsidRDefault="00431D19" w:rsidP="00504DD8">
            <w:pPr>
              <w:jc w:val="left"/>
              <w:rPr>
                <w:sz w:val="22"/>
                <w:lang w:val="en-US"/>
              </w:rPr>
            </w:pPr>
          </w:p>
        </w:tc>
      </w:tr>
      <w:tr w:rsidR="00431D19" w:rsidRPr="004362B1" w:rsidTr="00504DD8">
        <w:tc>
          <w:tcPr>
            <w:tcW w:w="3686" w:type="dxa"/>
            <w:shd w:val="clear" w:color="auto" w:fill="auto"/>
          </w:tcPr>
          <w:p w:rsidR="00431D19" w:rsidRPr="004362B1" w:rsidRDefault="00431D19" w:rsidP="00504DD8">
            <w:pPr>
              <w:jc w:val="left"/>
              <w:rPr>
                <w:sz w:val="22"/>
                <w:lang w:val="en-US"/>
              </w:rPr>
            </w:pPr>
            <w:r w:rsidRPr="004362B1">
              <w:rPr>
                <w:sz w:val="22"/>
                <w:lang w:val="en-US"/>
              </w:rPr>
              <w:t>Infusion related reactions</w:t>
            </w:r>
          </w:p>
        </w:tc>
        <w:tc>
          <w:tcPr>
            <w:tcW w:w="1418" w:type="dxa"/>
            <w:shd w:val="clear" w:color="auto" w:fill="auto"/>
            <w:vAlign w:val="center"/>
          </w:tcPr>
          <w:p w:rsidR="00431D19" w:rsidRPr="004362B1" w:rsidRDefault="00431D19" w:rsidP="00504DD8">
            <w:pPr>
              <w:jc w:val="center"/>
              <w:rPr>
                <w:sz w:val="22"/>
                <w:lang w:val="en-US"/>
              </w:rPr>
            </w:pPr>
            <w:r>
              <w:rPr>
                <w:sz w:val="22"/>
                <w:lang w:val="en-US"/>
              </w:rPr>
              <w:t>37.7</w:t>
            </w:r>
          </w:p>
        </w:tc>
        <w:tc>
          <w:tcPr>
            <w:tcW w:w="1424" w:type="dxa"/>
            <w:shd w:val="clear" w:color="auto" w:fill="auto"/>
            <w:vAlign w:val="center"/>
          </w:tcPr>
          <w:p w:rsidR="00431D19" w:rsidRPr="004362B1" w:rsidRDefault="00431D19" w:rsidP="00504DD8">
            <w:pPr>
              <w:jc w:val="center"/>
              <w:rPr>
                <w:sz w:val="22"/>
                <w:lang w:val="en-US"/>
              </w:rPr>
            </w:pPr>
            <w:r>
              <w:rPr>
                <w:sz w:val="22"/>
                <w:lang w:val="en-US"/>
              </w:rPr>
              <w:t>65.8</w:t>
            </w:r>
          </w:p>
        </w:tc>
        <w:tc>
          <w:tcPr>
            <w:tcW w:w="1416" w:type="dxa"/>
            <w:shd w:val="clear" w:color="auto" w:fill="auto"/>
            <w:vAlign w:val="center"/>
          </w:tcPr>
          <w:p w:rsidR="00431D19" w:rsidRPr="004362B1" w:rsidRDefault="00431D19" w:rsidP="00504DD8">
            <w:pPr>
              <w:jc w:val="center"/>
              <w:rPr>
                <w:sz w:val="22"/>
                <w:lang w:val="en-US"/>
              </w:rPr>
            </w:pPr>
            <w:r>
              <w:rPr>
                <w:sz w:val="22"/>
                <w:lang w:val="en-US"/>
              </w:rPr>
              <w:t>3.7</w:t>
            </w:r>
          </w:p>
        </w:tc>
        <w:tc>
          <w:tcPr>
            <w:tcW w:w="1475" w:type="dxa"/>
            <w:shd w:val="clear" w:color="auto" w:fill="auto"/>
            <w:vAlign w:val="center"/>
          </w:tcPr>
          <w:p w:rsidR="00431D19" w:rsidRPr="004362B1" w:rsidRDefault="00431D19" w:rsidP="00504DD8">
            <w:pPr>
              <w:jc w:val="center"/>
              <w:rPr>
                <w:sz w:val="22"/>
                <w:lang w:val="en-US"/>
              </w:rPr>
            </w:pPr>
            <w:r>
              <w:rPr>
                <w:sz w:val="22"/>
                <w:lang w:val="en-US"/>
              </w:rPr>
              <w:t>19.9</w:t>
            </w:r>
          </w:p>
        </w:tc>
      </w:tr>
      <w:tr w:rsidR="00431D19" w:rsidRPr="004362B1" w:rsidTr="00504DD8">
        <w:tc>
          <w:tcPr>
            <w:tcW w:w="3686" w:type="dxa"/>
            <w:shd w:val="clear" w:color="auto" w:fill="auto"/>
          </w:tcPr>
          <w:p w:rsidR="00431D19" w:rsidRPr="004362B1" w:rsidRDefault="00431D19" w:rsidP="00504DD8">
            <w:pPr>
              <w:jc w:val="left"/>
              <w:rPr>
                <w:b/>
                <w:sz w:val="22"/>
                <w:lang w:val="en-US"/>
              </w:rPr>
            </w:pPr>
            <w:r w:rsidRPr="004362B1">
              <w:rPr>
                <w:b/>
                <w:sz w:val="22"/>
                <w:lang w:val="en-US"/>
              </w:rPr>
              <w:lastRenderedPageBreak/>
              <w:t>Blood and lymphatic system disorders</w:t>
            </w:r>
          </w:p>
        </w:tc>
        <w:tc>
          <w:tcPr>
            <w:tcW w:w="5733" w:type="dxa"/>
            <w:gridSpan w:val="4"/>
            <w:shd w:val="clear" w:color="auto" w:fill="auto"/>
          </w:tcPr>
          <w:p w:rsidR="00431D19" w:rsidRPr="004362B1" w:rsidRDefault="00431D19" w:rsidP="00504DD8">
            <w:pPr>
              <w:jc w:val="left"/>
              <w:rPr>
                <w:sz w:val="22"/>
                <w:lang w:val="en-US"/>
              </w:rPr>
            </w:pPr>
          </w:p>
        </w:tc>
      </w:tr>
      <w:tr w:rsidR="00431D19" w:rsidRPr="004362B1" w:rsidTr="00504DD8">
        <w:tc>
          <w:tcPr>
            <w:tcW w:w="3686" w:type="dxa"/>
            <w:shd w:val="clear" w:color="auto" w:fill="auto"/>
          </w:tcPr>
          <w:p w:rsidR="00431D19" w:rsidRPr="004362B1" w:rsidRDefault="00431D19" w:rsidP="00504DD8">
            <w:pPr>
              <w:jc w:val="left"/>
              <w:rPr>
                <w:sz w:val="22"/>
                <w:lang w:val="en-US"/>
              </w:rPr>
            </w:pPr>
            <w:r w:rsidRPr="004362B1">
              <w:rPr>
                <w:sz w:val="22"/>
                <w:lang w:val="en-US"/>
              </w:rPr>
              <w:t>Neutropenia</w:t>
            </w:r>
          </w:p>
        </w:tc>
        <w:tc>
          <w:tcPr>
            <w:tcW w:w="1418" w:type="dxa"/>
            <w:shd w:val="clear" w:color="auto" w:fill="auto"/>
            <w:vAlign w:val="center"/>
          </w:tcPr>
          <w:p w:rsidR="00431D19" w:rsidRPr="004362B1" w:rsidRDefault="00431D19" w:rsidP="00504DD8">
            <w:pPr>
              <w:jc w:val="center"/>
              <w:rPr>
                <w:sz w:val="22"/>
                <w:lang w:val="en-US"/>
              </w:rPr>
            </w:pPr>
            <w:r>
              <w:rPr>
                <w:sz w:val="22"/>
                <w:lang w:val="en-US"/>
              </w:rPr>
              <w:t>32.1</w:t>
            </w:r>
          </w:p>
        </w:tc>
        <w:tc>
          <w:tcPr>
            <w:tcW w:w="1424" w:type="dxa"/>
            <w:shd w:val="clear" w:color="auto" w:fill="auto"/>
            <w:vAlign w:val="center"/>
          </w:tcPr>
          <w:p w:rsidR="00431D19" w:rsidRPr="004362B1" w:rsidRDefault="00431D19" w:rsidP="00504DD8">
            <w:pPr>
              <w:jc w:val="center"/>
              <w:rPr>
                <w:sz w:val="22"/>
                <w:lang w:val="en-US"/>
              </w:rPr>
            </w:pPr>
            <w:r>
              <w:rPr>
                <w:sz w:val="22"/>
                <w:lang w:val="en-US"/>
              </w:rPr>
              <w:t>38.1</w:t>
            </w:r>
          </w:p>
        </w:tc>
        <w:tc>
          <w:tcPr>
            <w:tcW w:w="1416" w:type="dxa"/>
            <w:shd w:val="clear" w:color="auto" w:fill="auto"/>
            <w:vAlign w:val="center"/>
          </w:tcPr>
          <w:p w:rsidR="00431D19" w:rsidRPr="004362B1" w:rsidRDefault="00431D19" w:rsidP="00504DD8">
            <w:pPr>
              <w:jc w:val="center"/>
              <w:rPr>
                <w:sz w:val="22"/>
                <w:lang w:val="en-US"/>
              </w:rPr>
            </w:pPr>
            <w:r>
              <w:rPr>
                <w:sz w:val="22"/>
                <w:lang w:val="en-US"/>
              </w:rPr>
              <w:t>28.3</w:t>
            </w:r>
          </w:p>
        </w:tc>
        <w:tc>
          <w:tcPr>
            <w:tcW w:w="1475" w:type="dxa"/>
            <w:shd w:val="clear" w:color="auto" w:fill="auto"/>
            <w:vAlign w:val="center"/>
          </w:tcPr>
          <w:p w:rsidR="00431D19" w:rsidRPr="004362B1" w:rsidRDefault="00431D19" w:rsidP="00504DD8">
            <w:pPr>
              <w:jc w:val="center"/>
              <w:rPr>
                <w:sz w:val="22"/>
                <w:lang w:val="en-US"/>
              </w:rPr>
            </w:pPr>
            <w:r>
              <w:rPr>
                <w:sz w:val="22"/>
                <w:lang w:val="en-US"/>
              </w:rPr>
              <w:t>33.0</w:t>
            </w:r>
          </w:p>
        </w:tc>
      </w:tr>
      <w:tr w:rsidR="00431D19" w:rsidRPr="004362B1" w:rsidTr="00504DD8">
        <w:tc>
          <w:tcPr>
            <w:tcW w:w="3686" w:type="dxa"/>
            <w:shd w:val="clear" w:color="auto" w:fill="auto"/>
          </w:tcPr>
          <w:p w:rsidR="00431D19" w:rsidRPr="004362B1" w:rsidRDefault="00431D19" w:rsidP="00504DD8">
            <w:pPr>
              <w:jc w:val="left"/>
              <w:rPr>
                <w:sz w:val="22"/>
                <w:lang w:val="en-US"/>
              </w:rPr>
            </w:pPr>
            <w:r w:rsidRPr="004362B1">
              <w:rPr>
                <w:sz w:val="22"/>
                <w:lang w:val="en-US"/>
              </w:rPr>
              <w:t>Thrombocytopenia</w:t>
            </w:r>
          </w:p>
        </w:tc>
        <w:tc>
          <w:tcPr>
            <w:tcW w:w="1418" w:type="dxa"/>
            <w:shd w:val="clear" w:color="auto" w:fill="auto"/>
            <w:vAlign w:val="center"/>
          </w:tcPr>
          <w:p w:rsidR="00431D19" w:rsidRPr="004362B1" w:rsidRDefault="00431D19" w:rsidP="00504DD8">
            <w:pPr>
              <w:jc w:val="center"/>
              <w:rPr>
                <w:sz w:val="22"/>
                <w:lang w:val="en-US"/>
              </w:rPr>
            </w:pPr>
            <w:r>
              <w:rPr>
                <w:sz w:val="22"/>
                <w:lang w:val="en-US"/>
              </w:rPr>
              <w:t>6.5</w:t>
            </w:r>
          </w:p>
        </w:tc>
        <w:tc>
          <w:tcPr>
            <w:tcW w:w="1424" w:type="dxa"/>
            <w:shd w:val="clear" w:color="auto" w:fill="auto"/>
            <w:vAlign w:val="center"/>
          </w:tcPr>
          <w:p w:rsidR="00431D19" w:rsidRPr="004362B1" w:rsidRDefault="00431D19" w:rsidP="00504DD8">
            <w:pPr>
              <w:jc w:val="center"/>
              <w:rPr>
                <w:sz w:val="22"/>
                <w:lang w:val="en-US"/>
              </w:rPr>
            </w:pPr>
            <w:r>
              <w:rPr>
                <w:sz w:val="22"/>
                <w:lang w:val="en-US"/>
              </w:rPr>
              <w:t>14.3</w:t>
            </w:r>
          </w:p>
        </w:tc>
        <w:tc>
          <w:tcPr>
            <w:tcW w:w="1416" w:type="dxa"/>
            <w:shd w:val="clear" w:color="auto" w:fill="auto"/>
            <w:vAlign w:val="center"/>
          </w:tcPr>
          <w:p w:rsidR="00431D19" w:rsidRPr="004362B1" w:rsidRDefault="00431D19" w:rsidP="00504DD8">
            <w:pPr>
              <w:jc w:val="center"/>
              <w:rPr>
                <w:sz w:val="22"/>
                <w:lang w:val="en-US"/>
              </w:rPr>
            </w:pPr>
            <w:r>
              <w:rPr>
                <w:sz w:val="22"/>
                <w:lang w:val="en-US"/>
              </w:rPr>
              <w:t>3.1</w:t>
            </w:r>
          </w:p>
        </w:tc>
        <w:tc>
          <w:tcPr>
            <w:tcW w:w="1475" w:type="dxa"/>
            <w:shd w:val="clear" w:color="auto" w:fill="auto"/>
            <w:vAlign w:val="center"/>
          </w:tcPr>
          <w:p w:rsidR="00431D19" w:rsidRPr="004362B1" w:rsidRDefault="00431D19" w:rsidP="00504DD8">
            <w:pPr>
              <w:jc w:val="center"/>
              <w:rPr>
                <w:sz w:val="22"/>
                <w:lang w:val="en-US"/>
              </w:rPr>
            </w:pPr>
            <w:r>
              <w:rPr>
                <w:sz w:val="22"/>
                <w:lang w:val="en-US"/>
              </w:rPr>
              <w:t>10.4</w:t>
            </w:r>
          </w:p>
        </w:tc>
      </w:tr>
      <w:tr w:rsidR="00431D19" w:rsidRPr="004362B1" w:rsidTr="00504DD8">
        <w:tc>
          <w:tcPr>
            <w:tcW w:w="3686" w:type="dxa"/>
            <w:shd w:val="clear" w:color="auto" w:fill="auto"/>
          </w:tcPr>
          <w:p w:rsidR="00431D19" w:rsidRPr="004362B1" w:rsidRDefault="00431D19" w:rsidP="00504DD8">
            <w:pPr>
              <w:jc w:val="left"/>
              <w:rPr>
                <w:sz w:val="22"/>
                <w:lang w:val="en-US"/>
              </w:rPr>
            </w:pPr>
            <w:r w:rsidRPr="004362B1">
              <w:rPr>
                <w:sz w:val="22"/>
                <w:lang w:val="en-US"/>
              </w:rPr>
              <w:t>Leucopenia</w:t>
            </w:r>
          </w:p>
        </w:tc>
        <w:tc>
          <w:tcPr>
            <w:tcW w:w="1418" w:type="dxa"/>
            <w:shd w:val="clear" w:color="auto" w:fill="auto"/>
            <w:vAlign w:val="center"/>
          </w:tcPr>
          <w:p w:rsidR="00431D19" w:rsidRPr="004362B1" w:rsidRDefault="00431D19" w:rsidP="00504DD8">
            <w:pPr>
              <w:jc w:val="center"/>
              <w:rPr>
                <w:sz w:val="22"/>
                <w:lang w:val="en-US"/>
              </w:rPr>
            </w:pPr>
            <w:r>
              <w:rPr>
                <w:sz w:val="22"/>
                <w:lang w:val="en-US"/>
              </w:rPr>
              <w:t>1.9</w:t>
            </w:r>
          </w:p>
        </w:tc>
        <w:tc>
          <w:tcPr>
            <w:tcW w:w="1424" w:type="dxa"/>
            <w:shd w:val="clear" w:color="auto" w:fill="auto"/>
            <w:vAlign w:val="center"/>
          </w:tcPr>
          <w:p w:rsidR="00431D19" w:rsidRPr="004362B1" w:rsidRDefault="00431D19" w:rsidP="00504DD8">
            <w:pPr>
              <w:jc w:val="center"/>
              <w:rPr>
                <w:sz w:val="22"/>
                <w:lang w:val="en-US"/>
              </w:rPr>
            </w:pPr>
            <w:r>
              <w:rPr>
                <w:sz w:val="22"/>
                <w:lang w:val="en-US"/>
              </w:rPr>
              <w:t>6.3</w:t>
            </w:r>
          </w:p>
        </w:tc>
        <w:tc>
          <w:tcPr>
            <w:tcW w:w="1416" w:type="dxa"/>
            <w:shd w:val="clear" w:color="auto" w:fill="auto"/>
            <w:vAlign w:val="center"/>
          </w:tcPr>
          <w:p w:rsidR="00431D19" w:rsidRPr="004362B1" w:rsidRDefault="00431D19" w:rsidP="00504DD8">
            <w:pPr>
              <w:jc w:val="center"/>
              <w:rPr>
                <w:sz w:val="22"/>
                <w:lang w:val="en-US"/>
              </w:rPr>
            </w:pPr>
            <w:r>
              <w:rPr>
                <w:sz w:val="22"/>
                <w:lang w:val="en-US"/>
              </w:rPr>
              <w:t>&lt; 1</w:t>
            </w:r>
          </w:p>
        </w:tc>
        <w:tc>
          <w:tcPr>
            <w:tcW w:w="1475" w:type="dxa"/>
            <w:shd w:val="clear" w:color="auto" w:fill="auto"/>
            <w:vAlign w:val="center"/>
          </w:tcPr>
          <w:p w:rsidR="00431D19" w:rsidRPr="004362B1" w:rsidRDefault="00431D19" w:rsidP="00504DD8">
            <w:pPr>
              <w:jc w:val="center"/>
              <w:rPr>
                <w:sz w:val="22"/>
                <w:lang w:val="en-US"/>
              </w:rPr>
            </w:pPr>
            <w:r>
              <w:rPr>
                <w:sz w:val="22"/>
                <w:lang w:val="en-US"/>
              </w:rPr>
              <w:t>4.5</w:t>
            </w:r>
          </w:p>
        </w:tc>
      </w:tr>
      <w:tr w:rsidR="009C044A" w:rsidRPr="004362B1" w:rsidTr="00504DD8">
        <w:tc>
          <w:tcPr>
            <w:tcW w:w="3686" w:type="dxa"/>
            <w:shd w:val="clear" w:color="auto" w:fill="auto"/>
          </w:tcPr>
          <w:p w:rsidR="009C044A" w:rsidRPr="004362B1" w:rsidRDefault="009C044A" w:rsidP="00504DD8">
            <w:pPr>
              <w:jc w:val="left"/>
              <w:rPr>
                <w:sz w:val="22"/>
                <w:lang w:val="en-US"/>
              </w:rPr>
            </w:pPr>
            <w:r w:rsidRPr="004362B1">
              <w:rPr>
                <w:b/>
                <w:sz w:val="22"/>
                <w:lang w:val="en-US"/>
              </w:rPr>
              <w:t>Gastrointestinal disorders</w:t>
            </w:r>
          </w:p>
        </w:tc>
        <w:tc>
          <w:tcPr>
            <w:tcW w:w="5733" w:type="dxa"/>
            <w:gridSpan w:val="4"/>
            <w:shd w:val="clear" w:color="auto" w:fill="auto"/>
            <w:vAlign w:val="center"/>
          </w:tcPr>
          <w:p w:rsidR="009C044A" w:rsidRDefault="009C044A" w:rsidP="00504DD8">
            <w:pPr>
              <w:jc w:val="center"/>
              <w:rPr>
                <w:sz w:val="22"/>
                <w:lang w:val="en-US"/>
              </w:rPr>
            </w:pPr>
          </w:p>
        </w:tc>
      </w:tr>
      <w:tr w:rsidR="009C044A" w:rsidRPr="004362B1" w:rsidTr="00504DD8">
        <w:tc>
          <w:tcPr>
            <w:tcW w:w="3686" w:type="dxa"/>
            <w:shd w:val="clear" w:color="auto" w:fill="auto"/>
          </w:tcPr>
          <w:p w:rsidR="009C044A" w:rsidRPr="004362B1" w:rsidRDefault="009C044A" w:rsidP="00504DD8">
            <w:pPr>
              <w:jc w:val="left"/>
              <w:rPr>
                <w:sz w:val="22"/>
                <w:lang w:val="en-US"/>
              </w:rPr>
            </w:pPr>
            <w:r w:rsidRPr="004362B1">
              <w:rPr>
                <w:sz w:val="22"/>
                <w:lang w:val="en-US"/>
              </w:rPr>
              <w:t>Diarrhoea</w:t>
            </w:r>
          </w:p>
        </w:tc>
        <w:tc>
          <w:tcPr>
            <w:tcW w:w="1418" w:type="dxa"/>
            <w:shd w:val="clear" w:color="auto" w:fill="auto"/>
            <w:vAlign w:val="center"/>
          </w:tcPr>
          <w:p w:rsidR="009C044A" w:rsidRDefault="009C044A" w:rsidP="00504DD8">
            <w:pPr>
              <w:jc w:val="center"/>
              <w:rPr>
                <w:sz w:val="22"/>
                <w:lang w:val="en-US"/>
              </w:rPr>
            </w:pPr>
            <w:r>
              <w:rPr>
                <w:sz w:val="22"/>
                <w:lang w:val="en-US"/>
              </w:rPr>
              <w:t>7.5</w:t>
            </w:r>
          </w:p>
        </w:tc>
        <w:tc>
          <w:tcPr>
            <w:tcW w:w="1424" w:type="dxa"/>
            <w:shd w:val="clear" w:color="auto" w:fill="auto"/>
            <w:vAlign w:val="center"/>
          </w:tcPr>
          <w:p w:rsidR="009C044A" w:rsidRDefault="009C044A" w:rsidP="00504DD8">
            <w:pPr>
              <w:jc w:val="center"/>
              <w:rPr>
                <w:sz w:val="22"/>
                <w:lang w:val="en-US"/>
              </w:rPr>
            </w:pPr>
            <w:r>
              <w:rPr>
                <w:sz w:val="22"/>
                <w:lang w:val="en-US"/>
              </w:rPr>
              <w:t>10.1</w:t>
            </w:r>
          </w:p>
        </w:tc>
        <w:tc>
          <w:tcPr>
            <w:tcW w:w="1416" w:type="dxa"/>
            <w:shd w:val="clear" w:color="auto" w:fill="auto"/>
            <w:vAlign w:val="center"/>
          </w:tcPr>
          <w:p w:rsidR="009C044A" w:rsidRDefault="009C044A" w:rsidP="00504DD8">
            <w:pPr>
              <w:jc w:val="center"/>
              <w:rPr>
                <w:sz w:val="22"/>
                <w:lang w:val="en-US"/>
              </w:rPr>
            </w:pPr>
            <w:r>
              <w:rPr>
                <w:sz w:val="22"/>
                <w:lang w:val="en-US"/>
              </w:rPr>
              <w:t>0</w:t>
            </w:r>
          </w:p>
        </w:tc>
        <w:tc>
          <w:tcPr>
            <w:tcW w:w="1475" w:type="dxa"/>
            <w:shd w:val="clear" w:color="auto" w:fill="auto"/>
            <w:vAlign w:val="center"/>
          </w:tcPr>
          <w:p w:rsidR="009C044A" w:rsidRDefault="009C044A" w:rsidP="00504DD8">
            <w:pPr>
              <w:jc w:val="center"/>
              <w:rPr>
                <w:sz w:val="22"/>
                <w:lang w:val="en-US"/>
              </w:rPr>
            </w:pPr>
            <w:r>
              <w:rPr>
                <w:sz w:val="22"/>
                <w:lang w:val="en-US"/>
              </w:rPr>
              <w:t>2.1</w:t>
            </w:r>
          </w:p>
        </w:tc>
      </w:tr>
      <w:tr w:rsidR="009C044A" w:rsidRPr="004362B1" w:rsidTr="00504DD8">
        <w:tc>
          <w:tcPr>
            <w:tcW w:w="3686" w:type="dxa"/>
            <w:shd w:val="clear" w:color="auto" w:fill="auto"/>
          </w:tcPr>
          <w:p w:rsidR="009C044A" w:rsidRPr="004362B1" w:rsidRDefault="009C044A" w:rsidP="00504DD8">
            <w:pPr>
              <w:jc w:val="left"/>
              <w:rPr>
                <w:sz w:val="22"/>
                <w:lang w:val="en-US"/>
              </w:rPr>
            </w:pPr>
            <w:r>
              <w:rPr>
                <w:sz w:val="22"/>
                <w:lang w:val="en-US"/>
              </w:rPr>
              <w:t>Constipation</w:t>
            </w:r>
          </w:p>
        </w:tc>
        <w:tc>
          <w:tcPr>
            <w:tcW w:w="1418" w:type="dxa"/>
            <w:shd w:val="clear" w:color="auto" w:fill="auto"/>
            <w:vAlign w:val="center"/>
          </w:tcPr>
          <w:p w:rsidR="009C044A" w:rsidRDefault="009C044A" w:rsidP="00504DD8">
            <w:pPr>
              <w:jc w:val="center"/>
              <w:rPr>
                <w:sz w:val="22"/>
                <w:lang w:val="en-US"/>
              </w:rPr>
            </w:pPr>
            <w:r>
              <w:rPr>
                <w:sz w:val="22"/>
                <w:lang w:val="en-US"/>
              </w:rPr>
              <w:t>5.0</w:t>
            </w:r>
          </w:p>
        </w:tc>
        <w:tc>
          <w:tcPr>
            <w:tcW w:w="1424" w:type="dxa"/>
            <w:shd w:val="clear" w:color="auto" w:fill="auto"/>
            <w:vAlign w:val="center"/>
          </w:tcPr>
          <w:p w:rsidR="009C044A" w:rsidRDefault="009C044A" w:rsidP="00504DD8">
            <w:pPr>
              <w:jc w:val="center"/>
              <w:rPr>
                <w:sz w:val="22"/>
                <w:lang w:val="en-US"/>
              </w:rPr>
            </w:pPr>
            <w:r>
              <w:rPr>
                <w:sz w:val="22"/>
                <w:lang w:val="en-US"/>
              </w:rPr>
              <w:t>8.3</w:t>
            </w:r>
          </w:p>
        </w:tc>
        <w:tc>
          <w:tcPr>
            <w:tcW w:w="1416" w:type="dxa"/>
            <w:shd w:val="clear" w:color="auto" w:fill="auto"/>
            <w:vAlign w:val="center"/>
          </w:tcPr>
          <w:p w:rsidR="009C044A" w:rsidRDefault="009C044A" w:rsidP="00504DD8">
            <w:pPr>
              <w:jc w:val="center"/>
              <w:rPr>
                <w:sz w:val="22"/>
                <w:lang w:val="en-US"/>
              </w:rPr>
            </w:pPr>
            <w:r>
              <w:rPr>
                <w:sz w:val="22"/>
                <w:lang w:val="en-US"/>
              </w:rPr>
              <w:t>0</w:t>
            </w:r>
          </w:p>
        </w:tc>
        <w:tc>
          <w:tcPr>
            <w:tcW w:w="1475" w:type="dxa"/>
            <w:shd w:val="clear" w:color="auto" w:fill="auto"/>
            <w:vAlign w:val="center"/>
          </w:tcPr>
          <w:p w:rsidR="009C044A" w:rsidRDefault="009C044A" w:rsidP="00504DD8">
            <w:pPr>
              <w:jc w:val="center"/>
              <w:rPr>
                <w:sz w:val="22"/>
                <w:lang w:val="en-US"/>
              </w:rPr>
            </w:pPr>
            <w:r>
              <w:rPr>
                <w:sz w:val="22"/>
                <w:lang w:val="en-US"/>
              </w:rPr>
              <w:t>0</w:t>
            </w:r>
          </w:p>
        </w:tc>
      </w:tr>
      <w:tr w:rsidR="00431D19" w:rsidRPr="004362B1" w:rsidTr="00504DD8">
        <w:tc>
          <w:tcPr>
            <w:tcW w:w="3686" w:type="dxa"/>
            <w:shd w:val="clear" w:color="auto" w:fill="auto"/>
          </w:tcPr>
          <w:p w:rsidR="00431D19" w:rsidRPr="00780839" w:rsidRDefault="00431D19" w:rsidP="00504DD8">
            <w:pPr>
              <w:jc w:val="left"/>
              <w:rPr>
                <w:b/>
                <w:sz w:val="22"/>
                <w:lang w:val="en-US"/>
              </w:rPr>
            </w:pPr>
            <w:r w:rsidRPr="00780839">
              <w:rPr>
                <w:b/>
                <w:sz w:val="22"/>
                <w:lang w:val="en-US"/>
              </w:rPr>
              <w:t>Infections and Infestations</w:t>
            </w:r>
          </w:p>
        </w:tc>
        <w:tc>
          <w:tcPr>
            <w:tcW w:w="5733" w:type="dxa"/>
            <w:gridSpan w:val="4"/>
            <w:shd w:val="clear" w:color="auto" w:fill="auto"/>
          </w:tcPr>
          <w:p w:rsidR="00431D19" w:rsidRPr="004362B1" w:rsidRDefault="00431D19" w:rsidP="00504DD8">
            <w:pPr>
              <w:jc w:val="left"/>
              <w:rPr>
                <w:sz w:val="22"/>
                <w:lang w:val="en-US"/>
              </w:rPr>
            </w:pPr>
          </w:p>
        </w:tc>
      </w:tr>
      <w:tr w:rsidR="00431D19" w:rsidRPr="004362B1" w:rsidTr="00504DD8">
        <w:tc>
          <w:tcPr>
            <w:tcW w:w="3686" w:type="dxa"/>
            <w:shd w:val="clear" w:color="auto" w:fill="auto"/>
          </w:tcPr>
          <w:p w:rsidR="00431D19" w:rsidRPr="004362B1" w:rsidRDefault="000E59D6" w:rsidP="00504DD8">
            <w:pPr>
              <w:jc w:val="left"/>
              <w:rPr>
                <w:sz w:val="22"/>
                <w:lang w:val="en-US"/>
              </w:rPr>
            </w:pPr>
            <w:r>
              <w:rPr>
                <w:sz w:val="22"/>
                <w:lang w:val="en-US"/>
              </w:rPr>
              <w:t>Nasopharyngitis</w:t>
            </w:r>
          </w:p>
        </w:tc>
        <w:tc>
          <w:tcPr>
            <w:tcW w:w="1418" w:type="dxa"/>
            <w:shd w:val="clear" w:color="auto" w:fill="auto"/>
            <w:vAlign w:val="center"/>
          </w:tcPr>
          <w:p w:rsidR="00431D19" w:rsidRPr="004362B1" w:rsidRDefault="000E59D6" w:rsidP="00504DD8">
            <w:pPr>
              <w:jc w:val="center"/>
              <w:rPr>
                <w:sz w:val="22"/>
                <w:lang w:val="en-US"/>
              </w:rPr>
            </w:pPr>
            <w:r>
              <w:rPr>
                <w:sz w:val="22"/>
                <w:lang w:val="en-US"/>
              </w:rPr>
              <w:t>3.1</w:t>
            </w:r>
          </w:p>
        </w:tc>
        <w:tc>
          <w:tcPr>
            <w:tcW w:w="1424" w:type="dxa"/>
            <w:shd w:val="clear" w:color="auto" w:fill="auto"/>
            <w:vAlign w:val="center"/>
          </w:tcPr>
          <w:p w:rsidR="00431D19" w:rsidRPr="004362B1" w:rsidRDefault="000E59D6" w:rsidP="00504DD8">
            <w:pPr>
              <w:jc w:val="center"/>
              <w:rPr>
                <w:sz w:val="22"/>
                <w:lang w:val="en-US"/>
              </w:rPr>
            </w:pPr>
            <w:r>
              <w:rPr>
                <w:sz w:val="22"/>
                <w:lang w:val="en-US"/>
              </w:rPr>
              <w:t>5.7</w:t>
            </w:r>
          </w:p>
        </w:tc>
        <w:tc>
          <w:tcPr>
            <w:tcW w:w="1416" w:type="dxa"/>
            <w:shd w:val="clear" w:color="auto" w:fill="auto"/>
            <w:vAlign w:val="center"/>
          </w:tcPr>
          <w:p w:rsidR="00431D19" w:rsidRPr="004362B1" w:rsidRDefault="000E59D6" w:rsidP="00504DD8">
            <w:pPr>
              <w:jc w:val="center"/>
              <w:rPr>
                <w:sz w:val="22"/>
                <w:lang w:val="en-US"/>
              </w:rPr>
            </w:pPr>
            <w:r>
              <w:rPr>
                <w:sz w:val="22"/>
                <w:lang w:val="en-US"/>
              </w:rPr>
              <w:t>0</w:t>
            </w:r>
          </w:p>
        </w:tc>
        <w:tc>
          <w:tcPr>
            <w:tcW w:w="1475" w:type="dxa"/>
            <w:shd w:val="clear" w:color="auto" w:fill="auto"/>
            <w:vAlign w:val="center"/>
          </w:tcPr>
          <w:p w:rsidR="00431D19" w:rsidRPr="004362B1" w:rsidRDefault="000E59D6" w:rsidP="00504DD8">
            <w:pPr>
              <w:jc w:val="center"/>
              <w:rPr>
                <w:sz w:val="22"/>
                <w:lang w:val="en-US"/>
              </w:rPr>
            </w:pPr>
            <w:r>
              <w:rPr>
                <w:sz w:val="22"/>
                <w:lang w:val="en-US"/>
              </w:rPr>
              <w:t>&lt; 1</w:t>
            </w:r>
          </w:p>
        </w:tc>
      </w:tr>
      <w:tr w:rsidR="000E59D6" w:rsidRPr="004362B1" w:rsidTr="00504DD8">
        <w:tc>
          <w:tcPr>
            <w:tcW w:w="3686" w:type="dxa"/>
            <w:shd w:val="clear" w:color="auto" w:fill="auto"/>
          </w:tcPr>
          <w:p w:rsidR="000E59D6" w:rsidRPr="004362B1" w:rsidRDefault="000E59D6" w:rsidP="00504DD8">
            <w:pPr>
              <w:jc w:val="left"/>
              <w:rPr>
                <w:sz w:val="22"/>
                <w:lang w:val="en-US"/>
              </w:rPr>
            </w:pPr>
            <w:r w:rsidRPr="004362B1">
              <w:rPr>
                <w:sz w:val="22"/>
                <w:lang w:val="en-US"/>
              </w:rPr>
              <w:t>Urinary tract infection</w:t>
            </w:r>
          </w:p>
        </w:tc>
        <w:tc>
          <w:tcPr>
            <w:tcW w:w="1418" w:type="dxa"/>
            <w:shd w:val="clear" w:color="auto" w:fill="auto"/>
            <w:vAlign w:val="center"/>
          </w:tcPr>
          <w:p w:rsidR="000E59D6" w:rsidRPr="004362B1" w:rsidRDefault="000E59D6" w:rsidP="00504DD8">
            <w:pPr>
              <w:jc w:val="center"/>
              <w:rPr>
                <w:sz w:val="22"/>
                <w:lang w:val="en-US"/>
              </w:rPr>
            </w:pPr>
            <w:r>
              <w:rPr>
                <w:sz w:val="22"/>
                <w:lang w:val="en-US"/>
              </w:rPr>
              <w:t>1.6</w:t>
            </w:r>
          </w:p>
        </w:tc>
        <w:tc>
          <w:tcPr>
            <w:tcW w:w="1424" w:type="dxa"/>
            <w:shd w:val="clear" w:color="auto" w:fill="auto"/>
            <w:vAlign w:val="center"/>
          </w:tcPr>
          <w:p w:rsidR="000E59D6" w:rsidRDefault="000E59D6" w:rsidP="00504DD8">
            <w:pPr>
              <w:jc w:val="center"/>
              <w:rPr>
                <w:sz w:val="22"/>
                <w:lang w:val="en-US"/>
              </w:rPr>
            </w:pPr>
            <w:r>
              <w:rPr>
                <w:sz w:val="22"/>
                <w:lang w:val="en-US"/>
              </w:rPr>
              <w:t>5.4</w:t>
            </w:r>
          </w:p>
        </w:tc>
        <w:tc>
          <w:tcPr>
            <w:tcW w:w="1416" w:type="dxa"/>
            <w:shd w:val="clear" w:color="auto" w:fill="auto"/>
            <w:vAlign w:val="center"/>
          </w:tcPr>
          <w:p w:rsidR="000E59D6" w:rsidRPr="004362B1" w:rsidRDefault="000E59D6" w:rsidP="00504DD8">
            <w:pPr>
              <w:jc w:val="center"/>
              <w:rPr>
                <w:sz w:val="22"/>
                <w:lang w:val="en-US"/>
              </w:rPr>
            </w:pPr>
            <w:r>
              <w:rPr>
                <w:sz w:val="22"/>
                <w:lang w:val="en-US"/>
              </w:rPr>
              <w:t>&lt; 1</w:t>
            </w:r>
          </w:p>
        </w:tc>
        <w:tc>
          <w:tcPr>
            <w:tcW w:w="1475" w:type="dxa"/>
            <w:shd w:val="clear" w:color="auto" w:fill="auto"/>
            <w:vAlign w:val="center"/>
          </w:tcPr>
          <w:p w:rsidR="000E59D6" w:rsidRPr="004362B1" w:rsidRDefault="000E59D6" w:rsidP="00504DD8">
            <w:pPr>
              <w:jc w:val="center"/>
              <w:rPr>
                <w:sz w:val="22"/>
                <w:lang w:val="en-US"/>
              </w:rPr>
            </w:pPr>
            <w:r>
              <w:rPr>
                <w:sz w:val="22"/>
                <w:lang w:val="en-US"/>
              </w:rPr>
              <w:t>1.5</w:t>
            </w:r>
          </w:p>
        </w:tc>
      </w:tr>
      <w:tr w:rsidR="00431D19" w:rsidRPr="004362B1" w:rsidTr="00504DD8">
        <w:tc>
          <w:tcPr>
            <w:tcW w:w="3686" w:type="dxa"/>
            <w:shd w:val="clear" w:color="auto" w:fill="auto"/>
          </w:tcPr>
          <w:p w:rsidR="00431D19" w:rsidRPr="004362B1" w:rsidRDefault="00431D19" w:rsidP="00504DD8">
            <w:pPr>
              <w:jc w:val="left"/>
              <w:rPr>
                <w:b/>
                <w:sz w:val="22"/>
                <w:lang w:val="en-US"/>
              </w:rPr>
            </w:pPr>
            <w:r w:rsidRPr="004362B1">
              <w:rPr>
                <w:b/>
                <w:sz w:val="22"/>
                <w:lang w:val="en-US"/>
              </w:rPr>
              <w:t>Musculoskeletal and connective tissue disorders</w:t>
            </w:r>
          </w:p>
        </w:tc>
        <w:tc>
          <w:tcPr>
            <w:tcW w:w="5733" w:type="dxa"/>
            <w:gridSpan w:val="4"/>
            <w:shd w:val="clear" w:color="auto" w:fill="auto"/>
          </w:tcPr>
          <w:p w:rsidR="00431D19" w:rsidRPr="004362B1" w:rsidRDefault="00431D19" w:rsidP="00504DD8">
            <w:pPr>
              <w:jc w:val="center"/>
              <w:rPr>
                <w:sz w:val="22"/>
                <w:lang w:val="en-US"/>
              </w:rPr>
            </w:pPr>
          </w:p>
        </w:tc>
      </w:tr>
      <w:tr w:rsidR="00431D19" w:rsidRPr="004362B1" w:rsidTr="00504DD8">
        <w:tc>
          <w:tcPr>
            <w:tcW w:w="3686" w:type="dxa"/>
            <w:shd w:val="clear" w:color="auto" w:fill="auto"/>
          </w:tcPr>
          <w:p w:rsidR="00431D19" w:rsidRPr="004362B1" w:rsidRDefault="000E59D6" w:rsidP="00504DD8">
            <w:pPr>
              <w:jc w:val="left"/>
              <w:rPr>
                <w:sz w:val="22"/>
                <w:lang w:val="en-US"/>
              </w:rPr>
            </w:pPr>
            <w:r w:rsidRPr="004362B1">
              <w:rPr>
                <w:sz w:val="22"/>
                <w:lang w:val="en-US"/>
              </w:rPr>
              <w:t>Back pain</w:t>
            </w:r>
          </w:p>
        </w:tc>
        <w:tc>
          <w:tcPr>
            <w:tcW w:w="1418" w:type="dxa"/>
            <w:shd w:val="clear" w:color="auto" w:fill="auto"/>
          </w:tcPr>
          <w:p w:rsidR="00431D19" w:rsidRPr="004362B1" w:rsidRDefault="000E59D6" w:rsidP="00504DD8">
            <w:pPr>
              <w:jc w:val="center"/>
              <w:rPr>
                <w:sz w:val="22"/>
                <w:lang w:val="en-US"/>
              </w:rPr>
            </w:pPr>
            <w:r>
              <w:rPr>
                <w:sz w:val="22"/>
                <w:lang w:val="en-US"/>
              </w:rPr>
              <w:t>2.8</w:t>
            </w:r>
          </w:p>
        </w:tc>
        <w:tc>
          <w:tcPr>
            <w:tcW w:w="1424" w:type="dxa"/>
            <w:shd w:val="clear" w:color="auto" w:fill="auto"/>
          </w:tcPr>
          <w:p w:rsidR="00431D19" w:rsidRPr="004362B1" w:rsidRDefault="000E59D6" w:rsidP="00504DD8">
            <w:pPr>
              <w:jc w:val="center"/>
              <w:rPr>
                <w:sz w:val="22"/>
                <w:lang w:val="en-US"/>
              </w:rPr>
            </w:pPr>
            <w:r>
              <w:rPr>
                <w:sz w:val="22"/>
                <w:lang w:val="en-US"/>
              </w:rPr>
              <w:t>4.8</w:t>
            </w:r>
          </w:p>
        </w:tc>
        <w:tc>
          <w:tcPr>
            <w:tcW w:w="1416" w:type="dxa"/>
            <w:shd w:val="clear" w:color="auto" w:fill="auto"/>
          </w:tcPr>
          <w:p w:rsidR="00431D19" w:rsidRPr="004362B1" w:rsidRDefault="00431D19" w:rsidP="00504DD8">
            <w:pPr>
              <w:jc w:val="center"/>
              <w:rPr>
                <w:sz w:val="22"/>
                <w:lang w:val="en-US"/>
              </w:rPr>
            </w:pPr>
            <w:r w:rsidRPr="004362B1">
              <w:rPr>
                <w:sz w:val="22"/>
                <w:lang w:val="en-US"/>
              </w:rPr>
              <w:t>&lt; 1</w:t>
            </w:r>
          </w:p>
        </w:tc>
        <w:tc>
          <w:tcPr>
            <w:tcW w:w="1475" w:type="dxa"/>
            <w:shd w:val="clear" w:color="auto" w:fill="auto"/>
          </w:tcPr>
          <w:p w:rsidR="00431D19" w:rsidRPr="004362B1" w:rsidRDefault="00431D19" w:rsidP="00504DD8">
            <w:pPr>
              <w:jc w:val="center"/>
              <w:rPr>
                <w:sz w:val="22"/>
                <w:lang w:val="en-US"/>
              </w:rPr>
            </w:pPr>
            <w:r w:rsidRPr="004362B1">
              <w:rPr>
                <w:sz w:val="22"/>
                <w:lang w:val="en-US"/>
              </w:rPr>
              <w:t>&lt; 1</w:t>
            </w:r>
          </w:p>
        </w:tc>
      </w:tr>
      <w:tr w:rsidR="00431D19" w:rsidRPr="004362B1" w:rsidTr="00504DD8">
        <w:tc>
          <w:tcPr>
            <w:tcW w:w="3686" w:type="dxa"/>
            <w:shd w:val="clear" w:color="auto" w:fill="auto"/>
          </w:tcPr>
          <w:p w:rsidR="00431D19" w:rsidRPr="004362B1" w:rsidRDefault="000E59D6" w:rsidP="00504DD8">
            <w:pPr>
              <w:jc w:val="left"/>
              <w:rPr>
                <w:sz w:val="22"/>
                <w:lang w:val="en-US"/>
              </w:rPr>
            </w:pPr>
            <w:r w:rsidRPr="004362B1">
              <w:rPr>
                <w:sz w:val="22"/>
                <w:lang w:val="en-US"/>
              </w:rPr>
              <w:t>Arthralgia</w:t>
            </w:r>
          </w:p>
        </w:tc>
        <w:tc>
          <w:tcPr>
            <w:tcW w:w="1418" w:type="dxa"/>
            <w:shd w:val="clear" w:color="auto" w:fill="auto"/>
          </w:tcPr>
          <w:p w:rsidR="00431D19" w:rsidRPr="000E59D6" w:rsidRDefault="000E59D6" w:rsidP="00504DD8">
            <w:pPr>
              <w:jc w:val="center"/>
              <w:rPr>
                <w:sz w:val="22"/>
                <w:lang w:val="en-US"/>
              </w:rPr>
            </w:pPr>
            <w:r w:rsidRPr="000E59D6">
              <w:rPr>
                <w:sz w:val="22"/>
                <w:lang w:val="en-US"/>
              </w:rPr>
              <w:t>2.5</w:t>
            </w:r>
          </w:p>
        </w:tc>
        <w:tc>
          <w:tcPr>
            <w:tcW w:w="1424" w:type="dxa"/>
            <w:shd w:val="clear" w:color="auto" w:fill="auto"/>
          </w:tcPr>
          <w:p w:rsidR="00431D19" w:rsidRPr="004362B1" w:rsidRDefault="000E59D6" w:rsidP="00504DD8">
            <w:pPr>
              <w:jc w:val="center"/>
              <w:rPr>
                <w:sz w:val="22"/>
                <w:lang w:val="en-US"/>
              </w:rPr>
            </w:pPr>
            <w:r>
              <w:rPr>
                <w:sz w:val="22"/>
                <w:lang w:val="en-US"/>
              </w:rPr>
              <w:t>4.8</w:t>
            </w:r>
          </w:p>
        </w:tc>
        <w:tc>
          <w:tcPr>
            <w:tcW w:w="1416" w:type="dxa"/>
            <w:shd w:val="clear" w:color="auto" w:fill="auto"/>
          </w:tcPr>
          <w:p w:rsidR="00431D19" w:rsidRPr="004362B1" w:rsidRDefault="00431D19" w:rsidP="00504DD8">
            <w:pPr>
              <w:jc w:val="center"/>
              <w:rPr>
                <w:sz w:val="22"/>
                <w:lang w:val="en-US"/>
              </w:rPr>
            </w:pPr>
            <w:r w:rsidRPr="004362B1">
              <w:rPr>
                <w:sz w:val="22"/>
                <w:lang w:val="en-US"/>
              </w:rPr>
              <w:t>0</w:t>
            </w:r>
          </w:p>
        </w:tc>
        <w:tc>
          <w:tcPr>
            <w:tcW w:w="1475" w:type="dxa"/>
            <w:shd w:val="clear" w:color="auto" w:fill="auto"/>
          </w:tcPr>
          <w:p w:rsidR="00431D19" w:rsidRPr="004362B1" w:rsidRDefault="00431D19" w:rsidP="00504DD8">
            <w:pPr>
              <w:jc w:val="center"/>
              <w:rPr>
                <w:sz w:val="22"/>
                <w:lang w:val="en-US"/>
              </w:rPr>
            </w:pPr>
            <w:r w:rsidRPr="004362B1">
              <w:rPr>
                <w:sz w:val="22"/>
                <w:lang w:val="en-US"/>
              </w:rPr>
              <w:t>&lt; 1</w:t>
            </w:r>
          </w:p>
        </w:tc>
      </w:tr>
      <w:tr w:rsidR="00431D19" w:rsidRPr="004362B1" w:rsidTr="00504DD8">
        <w:tc>
          <w:tcPr>
            <w:tcW w:w="3686" w:type="dxa"/>
            <w:shd w:val="clear" w:color="auto" w:fill="auto"/>
          </w:tcPr>
          <w:p w:rsidR="00431D19" w:rsidRPr="004362B1" w:rsidRDefault="000E59D6" w:rsidP="00504DD8">
            <w:pPr>
              <w:jc w:val="left"/>
              <w:rPr>
                <w:b/>
                <w:sz w:val="22"/>
                <w:lang w:val="en-US"/>
              </w:rPr>
            </w:pPr>
            <w:r>
              <w:rPr>
                <w:b/>
                <w:sz w:val="22"/>
                <w:lang w:val="en-US"/>
              </w:rPr>
              <w:t>Metabolism and nutrition</w:t>
            </w:r>
            <w:r w:rsidR="00431D19" w:rsidRPr="004362B1">
              <w:rPr>
                <w:b/>
                <w:sz w:val="22"/>
                <w:lang w:val="en-US"/>
              </w:rPr>
              <w:t xml:space="preserve"> disorders</w:t>
            </w:r>
          </w:p>
        </w:tc>
        <w:tc>
          <w:tcPr>
            <w:tcW w:w="1418" w:type="dxa"/>
            <w:shd w:val="clear" w:color="auto" w:fill="auto"/>
          </w:tcPr>
          <w:p w:rsidR="00431D19" w:rsidRPr="004362B1" w:rsidRDefault="00431D19" w:rsidP="00504DD8">
            <w:pPr>
              <w:jc w:val="center"/>
              <w:rPr>
                <w:sz w:val="22"/>
                <w:lang w:val="en-US"/>
              </w:rPr>
            </w:pPr>
          </w:p>
        </w:tc>
        <w:tc>
          <w:tcPr>
            <w:tcW w:w="1424" w:type="dxa"/>
            <w:shd w:val="clear" w:color="auto" w:fill="auto"/>
          </w:tcPr>
          <w:p w:rsidR="00431D19" w:rsidRPr="004362B1" w:rsidRDefault="00431D19" w:rsidP="00504DD8">
            <w:pPr>
              <w:jc w:val="center"/>
              <w:rPr>
                <w:sz w:val="22"/>
                <w:lang w:val="en-US"/>
              </w:rPr>
            </w:pPr>
          </w:p>
        </w:tc>
        <w:tc>
          <w:tcPr>
            <w:tcW w:w="1416" w:type="dxa"/>
            <w:shd w:val="clear" w:color="auto" w:fill="auto"/>
          </w:tcPr>
          <w:p w:rsidR="00431D19" w:rsidRPr="004362B1" w:rsidRDefault="00431D19" w:rsidP="00504DD8">
            <w:pPr>
              <w:jc w:val="center"/>
              <w:rPr>
                <w:sz w:val="22"/>
                <w:lang w:val="en-US"/>
              </w:rPr>
            </w:pPr>
          </w:p>
        </w:tc>
        <w:tc>
          <w:tcPr>
            <w:tcW w:w="1475" w:type="dxa"/>
            <w:shd w:val="clear" w:color="auto" w:fill="auto"/>
          </w:tcPr>
          <w:p w:rsidR="00431D19" w:rsidRPr="004362B1" w:rsidRDefault="00431D19" w:rsidP="00504DD8">
            <w:pPr>
              <w:jc w:val="center"/>
              <w:rPr>
                <w:sz w:val="22"/>
                <w:lang w:val="en-US"/>
              </w:rPr>
            </w:pPr>
          </w:p>
        </w:tc>
      </w:tr>
      <w:tr w:rsidR="00431D19" w:rsidRPr="004362B1" w:rsidTr="00504DD8">
        <w:tc>
          <w:tcPr>
            <w:tcW w:w="3686" w:type="dxa"/>
            <w:shd w:val="clear" w:color="auto" w:fill="auto"/>
          </w:tcPr>
          <w:p w:rsidR="00431D19" w:rsidRPr="004362B1" w:rsidRDefault="000E59D6" w:rsidP="00504DD8">
            <w:pPr>
              <w:jc w:val="left"/>
              <w:rPr>
                <w:sz w:val="22"/>
                <w:lang w:val="en-US"/>
              </w:rPr>
            </w:pPr>
            <w:r>
              <w:rPr>
                <w:sz w:val="22"/>
                <w:lang w:val="en-US"/>
              </w:rPr>
              <w:t>Tumour lysis syndrome</w:t>
            </w:r>
          </w:p>
        </w:tc>
        <w:tc>
          <w:tcPr>
            <w:tcW w:w="1418" w:type="dxa"/>
            <w:shd w:val="clear" w:color="auto" w:fill="auto"/>
          </w:tcPr>
          <w:p w:rsidR="00431D19" w:rsidRPr="004362B1" w:rsidRDefault="00431D19" w:rsidP="00504DD8">
            <w:pPr>
              <w:jc w:val="center"/>
              <w:rPr>
                <w:sz w:val="22"/>
                <w:lang w:val="en-US"/>
              </w:rPr>
            </w:pPr>
            <w:r w:rsidRPr="004362B1">
              <w:rPr>
                <w:sz w:val="22"/>
                <w:lang w:val="en-US"/>
              </w:rPr>
              <w:t>0</w:t>
            </w:r>
          </w:p>
        </w:tc>
        <w:tc>
          <w:tcPr>
            <w:tcW w:w="1424" w:type="dxa"/>
            <w:shd w:val="clear" w:color="auto" w:fill="auto"/>
          </w:tcPr>
          <w:p w:rsidR="00431D19" w:rsidRPr="004362B1" w:rsidRDefault="000E59D6" w:rsidP="00504DD8">
            <w:pPr>
              <w:jc w:val="center"/>
              <w:rPr>
                <w:sz w:val="22"/>
                <w:lang w:val="en-US"/>
              </w:rPr>
            </w:pPr>
            <w:r>
              <w:rPr>
                <w:sz w:val="22"/>
                <w:lang w:val="en-US"/>
              </w:rPr>
              <w:t>4.2</w:t>
            </w:r>
          </w:p>
        </w:tc>
        <w:tc>
          <w:tcPr>
            <w:tcW w:w="1416" w:type="dxa"/>
            <w:shd w:val="clear" w:color="auto" w:fill="auto"/>
          </w:tcPr>
          <w:p w:rsidR="00431D19" w:rsidRPr="004362B1" w:rsidRDefault="00431D19" w:rsidP="00504DD8">
            <w:pPr>
              <w:jc w:val="center"/>
              <w:rPr>
                <w:sz w:val="22"/>
                <w:lang w:val="en-US"/>
              </w:rPr>
            </w:pPr>
            <w:r w:rsidRPr="004362B1">
              <w:rPr>
                <w:sz w:val="22"/>
                <w:lang w:val="en-US"/>
              </w:rPr>
              <w:t>0</w:t>
            </w:r>
          </w:p>
        </w:tc>
        <w:tc>
          <w:tcPr>
            <w:tcW w:w="1475" w:type="dxa"/>
            <w:shd w:val="clear" w:color="auto" w:fill="auto"/>
          </w:tcPr>
          <w:p w:rsidR="00431D19" w:rsidRPr="004362B1" w:rsidRDefault="000E59D6" w:rsidP="00504DD8">
            <w:pPr>
              <w:jc w:val="center"/>
              <w:rPr>
                <w:sz w:val="22"/>
                <w:lang w:val="en-US"/>
              </w:rPr>
            </w:pPr>
            <w:r>
              <w:rPr>
                <w:sz w:val="22"/>
                <w:lang w:val="en-US"/>
              </w:rPr>
              <w:t>1.8</w:t>
            </w:r>
          </w:p>
        </w:tc>
      </w:tr>
    </w:tbl>
    <w:p w:rsidR="000E59D6" w:rsidRPr="00C8539B" w:rsidRDefault="000E59D6" w:rsidP="000E59D6">
      <w:pPr>
        <w:rPr>
          <w:rFonts w:cs="Arial"/>
          <w:color w:val="000000"/>
          <w:sz w:val="20"/>
          <w:szCs w:val="20"/>
          <w:lang w:eastAsia="ko-KR" w:bidi="he-IL"/>
        </w:rPr>
      </w:pPr>
      <w:r w:rsidRPr="00C8539B">
        <w:rPr>
          <w:rFonts w:cs="Arial"/>
          <w:color w:val="000000"/>
          <w:sz w:val="20"/>
          <w:szCs w:val="20"/>
          <w:vertAlign w:val="superscript"/>
          <w:lang w:eastAsia="ko-KR" w:bidi="he-IL"/>
        </w:rPr>
        <w:t xml:space="preserve">* </w:t>
      </w:r>
      <w:r w:rsidRPr="00C8539B">
        <w:rPr>
          <w:rFonts w:cs="Arial"/>
          <w:color w:val="000000"/>
          <w:sz w:val="20"/>
          <w:szCs w:val="20"/>
          <w:lang w:eastAsia="ko-KR" w:bidi="he-IL"/>
        </w:rPr>
        <w:t>In all Grades or Grade 3-5</w:t>
      </w:r>
    </w:p>
    <w:p w:rsidR="00A37482" w:rsidRDefault="000E59D6" w:rsidP="00A6146B">
      <w:pPr>
        <w:rPr>
          <w:rFonts w:cs="Arial"/>
          <w:color w:val="000000"/>
          <w:lang w:eastAsia="ko-KR" w:bidi="he-IL"/>
        </w:rPr>
      </w:pPr>
      <w:r w:rsidRPr="00C8539B">
        <w:rPr>
          <w:b/>
          <w:sz w:val="20"/>
          <w:szCs w:val="20"/>
          <w:vertAlign w:val="superscript"/>
          <w:lang w:val="en-US"/>
        </w:rPr>
        <w:t>†</w:t>
      </w:r>
      <w:r w:rsidRPr="00C8539B">
        <w:rPr>
          <w:rFonts w:ascii="Times New Roman Bold" w:hAnsi="Times New Roman Bold"/>
          <w:b/>
          <w:sz w:val="20"/>
          <w:szCs w:val="20"/>
          <w:lang w:val="en-US"/>
        </w:rPr>
        <w:t xml:space="preserve"> </w:t>
      </w:r>
      <w:r w:rsidRPr="00C8539B">
        <w:rPr>
          <w:rFonts w:cs="Arial"/>
          <w:color w:val="000000"/>
          <w:sz w:val="20"/>
          <w:szCs w:val="20"/>
          <w:lang w:eastAsia="ko-KR" w:bidi="he-IL"/>
        </w:rPr>
        <w:t xml:space="preserve">No Grade 5 adverse reactions have been observed with a difference of </w:t>
      </w:r>
      <w:r w:rsidRPr="00C8539B">
        <w:rPr>
          <w:color w:val="000000"/>
          <w:sz w:val="20"/>
          <w:szCs w:val="20"/>
          <w:lang w:eastAsia="ko-KR" w:bidi="he-IL"/>
        </w:rPr>
        <w:t>≥</w:t>
      </w:r>
      <w:r w:rsidRPr="00C8539B">
        <w:rPr>
          <w:rFonts w:cs="Arial"/>
          <w:color w:val="000000"/>
          <w:sz w:val="20"/>
          <w:szCs w:val="20"/>
          <w:lang w:eastAsia="ko-KR" w:bidi="he-IL"/>
        </w:rPr>
        <w:t xml:space="preserve"> 2% between the treatment arms</w:t>
      </w:r>
    </w:p>
    <w:p w:rsidR="00CC7781" w:rsidRDefault="00CC7781" w:rsidP="00A6146B">
      <w:pPr>
        <w:rPr>
          <w:rFonts w:cs="Arial"/>
          <w:color w:val="000000"/>
          <w:lang w:eastAsia="ko-KR" w:bidi="he-IL"/>
        </w:rPr>
      </w:pPr>
    </w:p>
    <w:p w:rsidR="00CC7781" w:rsidRPr="00A31A69" w:rsidRDefault="00CC7781" w:rsidP="00CC7781">
      <w:pPr>
        <w:rPr>
          <w:b/>
        </w:rPr>
      </w:pPr>
      <w:r>
        <w:rPr>
          <w:b/>
        </w:rPr>
        <w:t>Non-Hodgkin Lymphoma</w:t>
      </w:r>
    </w:p>
    <w:p w:rsidR="00791891" w:rsidRDefault="00791891" w:rsidP="00CC7781">
      <w:r>
        <w:t xml:space="preserve">In patients with FL, the profile of adverse drug reactions (ADRs) was consistent with the overall iNHL population. </w:t>
      </w:r>
    </w:p>
    <w:p w:rsidR="00791891" w:rsidRDefault="00791891" w:rsidP="00CC7781"/>
    <w:p w:rsidR="00791891" w:rsidRDefault="00791891" w:rsidP="00CC7781">
      <w:r>
        <w:t>ADRs described in this section were identified during induction, maintenance and follow-up in 2 pivotal studies that investigated G</w:t>
      </w:r>
      <w:r w:rsidR="00395BD6">
        <w:t>azyva</w:t>
      </w:r>
      <w:r>
        <w:t xml:space="preserve"> in combination with bendamustine, CHOP, or CVP followed by G</w:t>
      </w:r>
      <w:r w:rsidR="00395BD6">
        <w:t>azyva</w:t>
      </w:r>
      <w:r>
        <w:t xml:space="preserve"> maintenance therapy in:</w:t>
      </w:r>
    </w:p>
    <w:p w:rsidR="00791891" w:rsidRDefault="00791891" w:rsidP="00CC7781"/>
    <w:p w:rsidR="00791891" w:rsidRDefault="00791891" w:rsidP="002E38C7">
      <w:pPr>
        <w:numPr>
          <w:ilvl w:val="0"/>
          <w:numId w:val="35"/>
        </w:numPr>
      </w:pPr>
      <w:r>
        <w:t>Patients with previously untreated iNHL (</w:t>
      </w:r>
      <w:r w:rsidR="005C6AC8">
        <w:t>study BO21223,</w:t>
      </w:r>
      <w:r>
        <w:t xml:space="preserve"> n=1390; 692 patients in the rituximab plus chemotherapy arm, and 698 patients in the G</w:t>
      </w:r>
      <w:r w:rsidR="00395BD6">
        <w:t>azyva</w:t>
      </w:r>
      <w:r>
        <w:t xml:space="preserve"> plus chemotherapy arm), of whom 86% had FL</w:t>
      </w:r>
      <w:r w:rsidR="002E38C7">
        <w:t>. Of these patients, 92.7% who were treated with G</w:t>
      </w:r>
      <w:r w:rsidR="00395BD6">
        <w:t>azyva</w:t>
      </w:r>
      <w:r w:rsidR="002E38C7">
        <w:t xml:space="preserve"> plus chemotherapy (induction) received all 6 or 8 treatment cycles (depending on the chemotherapy) of G</w:t>
      </w:r>
      <w:r w:rsidR="00395BD6">
        <w:t>azyva</w:t>
      </w:r>
      <w:r w:rsidR="002E38C7">
        <w:t>.</w:t>
      </w:r>
    </w:p>
    <w:p w:rsidR="002E38C7" w:rsidRDefault="002E38C7" w:rsidP="002E38C7"/>
    <w:p w:rsidR="002E38C7" w:rsidRDefault="002E38C7" w:rsidP="002E38C7">
      <w:pPr>
        <w:numPr>
          <w:ilvl w:val="0"/>
          <w:numId w:val="35"/>
        </w:numPr>
      </w:pPr>
      <w:r>
        <w:t>Patients with relapsed/refractory iNHL (study GAO4753g</w:t>
      </w:r>
      <w:r w:rsidR="005C6AC8">
        <w:t>,</w:t>
      </w:r>
      <w:r>
        <w:t xml:space="preserve"> n=392; 198 patients in the bendamustine arm, and 194 in the G</w:t>
      </w:r>
      <w:r w:rsidR="00395BD6">
        <w:t>azyva</w:t>
      </w:r>
      <w:r>
        <w:t xml:space="preserve"> plus bendamustine arm), of whom 81% had FL. Of these patients, 79.4% who were treated with G</w:t>
      </w:r>
      <w:r w:rsidR="00395BD6">
        <w:t>azyva</w:t>
      </w:r>
      <w:r>
        <w:t xml:space="preserve"> plus bendamustine received all 6 treatment cycles of G</w:t>
      </w:r>
      <w:r w:rsidR="00395BD6">
        <w:t>azyva</w:t>
      </w:r>
      <w:r>
        <w:t>.</w:t>
      </w:r>
    </w:p>
    <w:p w:rsidR="00791891" w:rsidRDefault="00791891" w:rsidP="00CC7781"/>
    <w:p w:rsidR="00CC7781" w:rsidRDefault="00CC7781" w:rsidP="00CC7781">
      <w:r>
        <w:t xml:space="preserve">The adverse drug reactions (ADRs) described in </w:t>
      </w:r>
      <w:r w:rsidR="00C31F70">
        <w:t xml:space="preserve">Table 7 </w:t>
      </w:r>
      <w:r>
        <w:t xml:space="preserve">this section (based on a safety population of 392 patients with </w:t>
      </w:r>
      <w:r w:rsidR="001E7491">
        <w:t>i</w:t>
      </w:r>
      <w:r w:rsidR="00325103">
        <w:t xml:space="preserve">ndolent </w:t>
      </w:r>
      <w:r>
        <w:t>NHL</w:t>
      </w:r>
      <w:r w:rsidRPr="00871BCD">
        <w:t>)</w:t>
      </w:r>
      <w:r>
        <w:t xml:space="preserve"> were identified during induction, maintenance, and follow-up from study GAO4753g, in which </w:t>
      </w:r>
      <w:r w:rsidR="00395BD6">
        <w:rPr>
          <w:lang w:val="en-US"/>
        </w:rPr>
        <w:t>Gazyva</w:t>
      </w:r>
      <w:r>
        <w:t xml:space="preserve"> was given in combination with bendamustine during induction</w:t>
      </w:r>
      <w:r w:rsidR="00325103">
        <w:t xml:space="preserve"> (G+B)</w:t>
      </w:r>
      <w:r>
        <w:t xml:space="preserve">, and as </w:t>
      </w:r>
      <w:r w:rsidR="00395BD6">
        <w:rPr>
          <w:lang w:val="en-US"/>
        </w:rPr>
        <w:t>Gazyva</w:t>
      </w:r>
      <w:r>
        <w:t xml:space="preserve"> monotherapy in maintenance and compared to bendamustine during induction alone (B). In patients treated with G+B, 79.4% received all 6 treatment cycles of </w:t>
      </w:r>
      <w:r w:rsidR="00395BD6">
        <w:rPr>
          <w:lang w:val="en-US"/>
        </w:rPr>
        <w:t>Gazyva</w:t>
      </w:r>
      <w:r>
        <w:t xml:space="preserve"> and 75.6% received all 6 cycles of B compared to 66.</w:t>
      </w:r>
      <w:r w:rsidR="001C7C17">
        <w:t>7% of patients in the B arm</w:t>
      </w:r>
      <w:r>
        <w:t xml:space="preserve">. </w:t>
      </w:r>
    </w:p>
    <w:p w:rsidR="001C7C17" w:rsidRDefault="001C7C17" w:rsidP="00CC7781"/>
    <w:p w:rsidR="00F068A0" w:rsidRDefault="00CC7781" w:rsidP="00CC7781">
      <w:r>
        <w:t xml:space="preserve">Table </w:t>
      </w:r>
      <w:r w:rsidR="00A42C1E">
        <w:t>7</w:t>
      </w:r>
      <w:r>
        <w:t xml:space="preserve"> summarises the ADRs that occurred at a higher incidence (difference of ≥</w:t>
      </w:r>
      <w:r w:rsidR="001C7C17">
        <w:t xml:space="preserve"> </w:t>
      </w:r>
      <w:r>
        <w:t xml:space="preserve">2%) in patients receiving G+B during induction followed by </w:t>
      </w:r>
      <w:r w:rsidR="00395BD6">
        <w:rPr>
          <w:lang w:val="en-US"/>
        </w:rPr>
        <w:t>Gazyva</w:t>
      </w:r>
      <w:r w:rsidR="001C7C17">
        <w:t xml:space="preserve"> maintenance as compared to B </w:t>
      </w:r>
      <w:r>
        <w:t>during induction alone.</w:t>
      </w:r>
    </w:p>
    <w:p w:rsidR="001C7C17" w:rsidRDefault="001C7C17" w:rsidP="00CC7781"/>
    <w:p w:rsidR="005C6177" w:rsidRPr="001C7C17" w:rsidRDefault="001C7C17" w:rsidP="00CC7781">
      <w:pPr>
        <w:rPr>
          <w:b/>
        </w:rPr>
      </w:pPr>
      <w:r w:rsidRPr="001C7C17">
        <w:rPr>
          <w:b/>
        </w:rPr>
        <w:lastRenderedPageBreak/>
        <w:t xml:space="preserve">Table </w:t>
      </w:r>
      <w:r w:rsidR="00C31F70">
        <w:rPr>
          <w:b/>
        </w:rPr>
        <w:t>7</w:t>
      </w:r>
      <w:r w:rsidRPr="001C7C17">
        <w:rPr>
          <w:b/>
        </w:rPr>
        <w:t xml:space="preserve"> Adverse Reactions reported with a higher incidence (difference of ≥ 2%) in patients receiving G</w:t>
      </w:r>
      <w:r w:rsidR="00395BD6">
        <w:rPr>
          <w:b/>
        </w:rPr>
        <w:t>azyva</w:t>
      </w:r>
      <w:r w:rsidRPr="001C7C17">
        <w:rPr>
          <w:b/>
        </w:rPr>
        <w:t xml:space="preserve"> plus </w:t>
      </w:r>
      <w:r>
        <w:rPr>
          <w:b/>
        </w:rPr>
        <w:t>bendamustine (induction) followed by G</w:t>
      </w:r>
      <w:r w:rsidR="00395BD6">
        <w:rPr>
          <w:b/>
        </w:rPr>
        <w:t>azyva</w:t>
      </w:r>
      <w:r>
        <w:rPr>
          <w:b/>
        </w:rPr>
        <w:t xml:space="preserve"> maintenance vs bendamustine (induction) alone</w:t>
      </w:r>
    </w:p>
    <w:tbl>
      <w:tblPr>
        <w:tblW w:w="9288" w:type="dxa"/>
        <w:jc w:val="right"/>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1559"/>
        <w:gridCol w:w="1701"/>
        <w:gridCol w:w="1657"/>
        <w:gridCol w:w="1710"/>
      </w:tblGrid>
      <w:tr w:rsidR="001C7C17" w:rsidRPr="001C7C17" w:rsidTr="00FD505F">
        <w:trPr>
          <w:trHeight w:val="20"/>
          <w:tblHeader/>
          <w:jc w:val="right"/>
        </w:trPr>
        <w:tc>
          <w:tcPr>
            <w:tcW w:w="2661" w:type="dxa"/>
            <w:shd w:val="clear" w:color="auto" w:fill="auto"/>
            <w:vAlign w:val="center"/>
          </w:tcPr>
          <w:p w:rsidR="001C7C17" w:rsidRPr="001C7C17" w:rsidRDefault="001C7C17" w:rsidP="001C7C17">
            <w:pPr>
              <w:jc w:val="center"/>
              <w:rPr>
                <w:b/>
                <w:sz w:val="22"/>
                <w:lang w:val="en-GB"/>
              </w:rPr>
            </w:pPr>
            <w:r w:rsidRPr="001C7C17">
              <w:rPr>
                <w:b/>
                <w:sz w:val="22"/>
                <w:lang w:val="en-GB"/>
              </w:rPr>
              <w:t xml:space="preserve">ADR </w:t>
            </w:r>
            <w:r w:rsidRPr="001C7C17">
              <w:rPr>
                <w:b/>
                <w:bCs/>
                <w:sz w:val="22"/>
                <w:lang w:val="en-GB"/>
              </w:rPr>
              <w:t>(MedDRA</w:t>
            </w:r>
            <w:r w:rsidRPr="001C7C17">
              <w:rPr>
                <w:b/>
                <w:bCs/>
                <w:sz w:val="22"/>
                <w:vertAlign w:val="superscript"/>
                <w:lang w:val="en-GB"/>
              </w:rPr>
              <w:t>a</w:t>
            </w:r>
            <w:r w:rsidRPr="001C7C17">
              <w:rPr>
                <w:b/>
                <w:bCs/>
                <w:sz w:val="22"/>
                <w:lang w:val="en-GB"/>
              </w:rPr>
              <w:t>)</w:t>
            </w:r>
          </w:p>
          <w:p w:rsidR="001C7C17" w:rsidRPr="001C7C17" w:rsidRDefault="001C7C17" w:rsidP="001C7C17">
            <w:pPr>
              <w:jc w:val="center"/>
              <w:rPr>
                <w:b/>
                <w:bCs/>
                <w:sz w:val="22"/>
                <w:lang w:val="en-GB"/>
              </w:rPr>
            </w:pPr>
            <w:r w:rsidRPr="001C7C17">
              <w:rPr>
                <w:b/>
                <w:bCs/>
                <w:sz w:val="22"/>
                <w:lang w:val="en-GB"/>
              </w:rPr>
              <w:t>System Organ Class</w:t>
            </w:r>
          </w:p>
        </w:tc>
        <w:tc>
          <w:tcPr>
            <w:tcW w:w="3260" w:type="dxa"/>
            <w:gridSpan w:val="2"/>
            <w:shd w:val="clear" w:color="auto" w:fill="auto"/>
            <w:vAlign w:val="center"/>
          </w:tcPr>
          <w:p w:rsidR="001C7C17" w:rsidRPr="001C7C17" w:rsidRDefault="001C7C17" w:rsidP="001C7C17">
            <w:pPr>
              <w:jc w:val="center"/>
              <w:rPr>
                <w:b/>
                <w:bCs/>
                <w:sz w:val="22"/>
                <w:lang w:val="en-GB"/>
              </w:rPr>
            </w:pPr>
            <w:r w:rsidRPr="001C7C17">
              <w:rPr>
                <w:b/>
                <w:sz w:val="22"/>
                <w:lang w:val="en-GB"/>
              </w:rPr>
              <w:t>All Grades %</w:t>
            </w:r>
          </w:p>
        </w:tc>
        <w:tc>
          <w:tcPr>
            <w:tcW w:w="3367" w:type="dxa"/>
            <w:gridSpan w:val="2"/>
            <w:vAlign w:val="center"/>
          </w:tcPr>
          <w:p w:rsidR="001C7C17" w:rsidRPr="001C7C17" w:rsidRDefault="001C7C17" w:rsidP="001C7C17">
            <w:pPr>
              <w:jc w:val="center"/>
              <w:rPr>
                <w:b/>
                <w:sz w:val="22"/>
                <w:lang w:val="en-GB"/>
              </w:rPr>
            </w:pPr>
            <w:r w:rsidRPr="001C7C17">
              <w:rPr>
                <w:b/>
                <w:sz w:val="22"/>
                <w:lang w:val="en-GB"/>
              </w:rPr>
              <w:t>Grades 3-5</w:t>
            </w:r>
            <w:r w:rsidRPr="001C7C17">
              <w:rPr>
                <w:b/>
                <w:sz w:val="22"/>
                <w:vertAlign w:val="superscript"/>
                <w:lang w:val="en-GB"/>
              </w:rPr>
              <w:t>†</w:t>
            </w:r>
            <w:r w:rsidRPr="001C7C17">
              <w:rPr>
                <w:b/>
                <w:sz w:val="22"/>
                <w:lang w:val="en-GB"/>
              </w:rPr>
              <w:t xml:space="preserve"> %</w:t>
            </w:r>
          </w:p>
        </w:tc>
      </w:tr>
      <w:tr w:rsidR="001C7C17" w:rsidRPr="001C7C17" w:rsidTr="00FD505F">
        <w:trPr>
          <w:trHeight w:val="20"/>
          <w:tblHeader/>
          <w:jc w:val="right"/>
        </w:trPr>
        <w:tc>
          <w:tcPr>
            <w:tcW w:w="2661" w:type="dxa"/>
            <w:shd w:val="clear" w:color="auto" w:fill="auto"/>
            <w:vAlign w:val="center"/>
          </w:tcPr>
          <w:p w:rsidR="001C7C17" w:rsidRPr="001C7C17" w:rsidRDefault="001C7C17" w:rsidP="001C7C17">
            <w:pPr>
              <w:jc w:val="center"/>
              <w:rPr>
                <w:b/>
                <w:sz w:val="22"/>
                <w:lang w:val="en-GB"/>
              </w:rPr>
            </w:pPr>
          </w:p>
        </w:tc>
        <w:tc>
          <w:tcPr>
            <w:tcW w:w="1559" w:type="dxa"/>
            <w:shd w:val="clear" w:color="auto" w:fill="auto"/>
            <w:vAlign w:val="center"/>
          </w:tcPr>
          <w:p w:rsidR="001C7C17" w:rsidRPr="001C7C17" w:rsidRDefault="001C7C17" w:rsidP="001C7C17">
            <w:pPr>
              <w:jc w:val="center"/>
              <w:rPr>
                <w:b/>
                <w:bCs/>
                <w:sz w:val="22"/>
                <w:lang w:val="en-GB"/>
              </w:rPr>
            </w:pPr>
            <w:r>
              <w:rPr>
                <w:b/>
                <w:bCs/>
                <w:sz w:val="22"/>
                <w:lang w:val="en-GB"/>
              </w:rPr>
              <w:t>b</w:t>
            </w:r>
            <w:r w:rsidRPr="001C7C17">
              <w:rPr>
                <w:b/>
                <w:bCs/>
                <w:sz w:val="22"/>
                <w:lang w:val="en-GB"/>
              </w:rPr>
              <w:t>endamustine</w:t>
            </w:r>
          </w:p>
          <w:p w:rsidR="001C7C17" w:rsidRPr="001C7C17" w:rsidRDefault="001C7C17" w:rsidP="00FD505F">
            <w:pPr>
              <w:jc w:val="center"/>
              <w:rPr>
                <w:b/>
                <w:sz w:val="22"/>
                <w:lang w:val="en-GB"/>
              </w:rPr>
            </w:pPr>
            <w:r w:rsidRPr="001C7C17">
              <w:rPr>
                <w:b/>
                <w:bCs/>
                <w:sz w:val="22"/>
                <w:lang w:val="en-GB"/>
              </w:rPr>
              <w:t>n=198</w:t>
            </w:r>
          </w:p>
        </w:tc>
        <w:tc>
          <w:tcPr>
            <w:tcW w:w="1701" w:type="dxa"/>
            <w:shd w:val="clear" w:color="auto" w:fill="auto"/>
            <w:vAlign w:val="center"/>
          </w:tcPr>
          <w:p w:rsidR="001C7C17" w:rsidRPr="00FD505F" w:rsidRDefault="001C7C17" w:rsidP="00395BD6">
            <w:pPr>
              <w:jc w:val="center"/>
              <w:rPr>
                <w:b/>
                <w:bCs/>
                <w:sz w:val="22"/>
                <w:lang w:val="en-GB"/>
              </w:rPr>
            </w:pPr>
            <w:r>
              <w:rPr>
                <w:b/>
                <w:bCs/>
                <w:sz w:val="22"/>
                <w:lang w:val="en-GB"/>
              </w:rPr>
              <w:t>G</w:t>
            </w:r>
            <w:r w:rsidR="00395BD6">
              <w:rPr>
                <w:b/>
                <w:bCs/>
                <w:sz w:val="22"/>
                <w:lang w:val="en-GB"/>
              </w:rPr>
              <w:t>azyva</w:t>
            </w:r>
            <w:r>
              <w:rPr>
                <w:b/>
                <w:bCs/>
                <w:sz w:val="22"/>
                <w:lang w:val="en-GB"/>
              </w:rPr>
              <w:t xml:space="preserve"> + b</w:t>
            </w:r>
            <w:r w:rsidRPr="001C7C17">
              <w:rPr>
                <w:b/>
                <w:bCs/>
                <w:sz w:val="22"/>
                <w:lang w:val="en-GB"/>
              </w:rPr>
              <w:t>endamustine*</w:t>
            </w:r>
            <w:r w:rsidRPr="001C7C17">
              <w:rPr>
                <w:b/>
                <w:bCs/>
                <w:sz w:val="22"/>
                <w:lang w:val="en-GB"/>
              </w:rPr>
              <w:br/>
            </w:r>
            <w:r w:rsidRPr="001C7C17">
              <w:rPr>
                <w:b/>
                <w:sz w:val="22"/>
                <w:lang w:val="en-GB"/>
              </w:rPr>
              <w:t>n=194</w:t>
            </w:r>
          </w:p>
        </w:tc>
        <w:tc>
          <w:tcPr>
            <w:tcW w:w="1657" w:type="dxa"/>
            <w:vAlign w:val="center"/>
          </w:tcPr>
          <w:p w:rsidR="001C7C17" w:rsidRPr="001C7C17" w:rsidRDefault="001C7C17" w:rsidP="00FD505F">
            <w:pPr>
              <w:jc w:val="center"/>
              <w:rPr>
                <w:b/>
                <w:bCs/>
                <w:sz w:val="22"/>
                <w:lang w:val="en-GB"/>
              </w:rPr>
            </w:pPr>
            <w:r>
              <w:rPr>
                <w:b/>
                <w:bCs/>
                <w:sz w:val="22"/>
                <w:lang w:val="en-GB"/>
              </w:rPr>
              <w:t>b</w:t>
            </w:r>
            <w:r w:rsidRPr="001C7C17">
              <w:rPr>
                <w:b/>
                <w:bCs/>
                <w:sz w:val="22"/>
                <w:lang w:val="en-GB"/>
              </w:rPr>
              <w:t>endamustine</w:t>
            </w:r>
          </w:p>
          <w:p w:rsidR="001C7C17" w:rsidRPr="001C7C17" w:rsidRDefault="001C7C17" w:rsidP="00FD505F">
            <w:pPr>
              <w:jc w:val="center"/>
              <w:rPr>
                <w:b/>
                <w:sz w:val="22"/>
                <w:lang w:val="en-GB"/>
              </w:rPr>
            </w:pPr>
            <w:r w:rsidRPr="001C7C17">
              <w:rPr>
                <w:b/>
                <w:bCs/>
                <w:sz w:val="22"/>
                <w:lang w:val="en-GB"/>
              </w:rPr>
              <w:t>n=198</w:t>
            </w:r>
          </w:p>
        </w:tc>
        <w:tc>
          <w:tcPr>
            <w:tcW w:w="1710" w:type="dxa"/>
            <w:shd w:val="clear" w:color="auto" w:fill="auto"/>
            <w:vAlign w:val="center"/>
          </w:tcPr>
          <w:p w:rsidR="001C7C17" w:rsidRPr="001C7C17" w:rsidRDefault="001C7C17" w:rsidP="00395BD6">
            <w:pPr>
              <w:jc w:val="center"/>
              <w:rPr>
                <w:b/>
                <w:sz w:val="22"/>
                <w:lang w:val="en-GB"/>
              </w:rPr>
            </w:pPr>
            <w:r>
              <w:rPr>
                <w:b/>
                <w:bCs/>
                <w:sz w:val="22"/>
                <w:lang w:val="en-GB"/>
              </w:rPr>
              <w:t>G</w:t>
            </w:r>
            <w:r w:rsidR="00395BD6">
              <w:rPr>
                <w:b/>
                <w:bCs/>
                <w:sz w:val="22"/>
                <w:lang w:val="en-GB"/>
              </w:rPr>
              <w:t>azyva</w:t>
            </w:r>
            <w:r>
              <w:rPr>
                <w:b/>
                <w:bCs/>
                <w:sz w:val="22"/>
                <w:lang w:val="en-GB"/>
              </w:rPr>
              <w:t xml:space="preserve"> + b</w:t>
            </w:r>
            <w:r w:rsidRPr="001C7C17">
              <w:rPr>
                <w:b/>
                <w:bCs/>
                <w:sz w:val="22"/>
                <w:lang w:val="en-GB"/>
              </w:rPr>
              <w:t>endamustine*</w:t>
            </w:r>
            <w:r w:rsidRPr="001C7C17">
              <w:rPr>
                <w:b/>
                <w:bCs/>
                <w:sz w:val="22"/>
                <w:lang w:val="en-GB"/>
              </w:rPr>
              <w:br/>
            </w:r>
            <w:r w:rsidRPr="001C7C17">
              <w:rPr>
                <w:b/>
                <w:sz w:val="22"/>
                <w:lang w:val="en-GB"/>
              </w:rPr>
              <w:t>n=194</w:t>
            </w:r>
          </w:p>
        </w:tc>
      </w:tr>
      <w:tr w:rsidR="001C7C17" w:rsidRPr="001C7C17" w:rsidTr="00FD505F">
        <w:trPr>
          <w:trHeight w:val="20"/>
          <w:jc w:val="right"/>
        </w:trPr>
        <w:tc>
          <w:tcPr>
            <w:tcW w:w="2661" w:type="dxa"/>
            <w:shd w:val="clear" w:color="auto" w:fill="auto"/>
          </w:tcPr>
          <w:p w:rsidR="001C7C17" w:rsidRPr="001C7C17" w:rsidRDefault="001C7C17" w:rsidP="00FD505F">
            <w:pPr>
              <w:jc w:val="left"/>
              <w:rPr>
                <w:b/>
                <w:sz w:val="22"/>
                <w:lang w:val="en-GB"/>
              </w:rPr>
            </w:pPr>
            <w:r w:rsidRPr="001C7C17">
              <w:rPr>
                <w:b/>
                <w:sz w:val="22"/>
                <w:lang w:val="en-GB"/>
              </w:rPr>
              <w:t>Injury, Poisoning and Procedural Complications</w:t>
            </w:r>
          </w:p>
        </w:tc>
        <w:tc>
          <w:tcPr>
            <w:tcW w:w="6627" w:type="dxa"/>
            <w:gridSpan w:val="4"/>
            <w:shd w:val="clear" w:color="auto" w:fill="auto"/>
          </w:tcPr>
          <w:p w:rsidR="001C7C17" w:rsidRPr="001C7C17" w:rsidRDefault="001C7C17" w:rsidP="001C7C17">
            <w:pPr>
              <w:rPr>
                <w:sz w:val="22"/>
                <w:lang w:val="en-GB"/>
              </w:rPr>
            </w:pPr>
          </w:p>
        </w:tc>
      </w:tr>
      <w:tr w:rsidR="001C7C17" w:rsidRPr="001C7C17" w:rsidTr="00FD505F">
        <w:trPr>
          <w:trHeight w:val="20"/>
          <w:jc w:val="right"/>
        </w:trPr>
        <w:tc>
          <w:tcPr>
            <w:tcW w:w="2661" w:type="dxa"/>
            <w:shd w:val="clear" w:color="auto" w:fill="auto"/>
          </w:tcPr>
          <w:p w:rsidR="001C7C17" w:rsidRPr="001C7C17" w:rsidRDefault="001C7C17" w:rsidP="00FD505F">
            <w:pPr>
              <w:jc w:val="left"/>
              <w:rPr>
                <w:sz w:val="22"/>
                <w:lang w:val="en-GB"/>
              </w:rPr>
            </w:pPr>
            <w:r w:rsidRPr="001C7C17">
              <w:rPr>
                <w:sz w:val="22"/>
                <w:lang w:val="en-GB"/>
              </w:rPr>
              <w:t>Infusion related reactions</w:t>
            </w:r>
            <w:r w:rsidRPr="001C7C17">
              <w:rPr>
                <w:sz w:val="22"/>
                <w:vertAlign w:val="superscript"/>
                <w:lang w:val="en-GB"/>
              </w:rPr>
              <w:t>‡</w:t>
            </w:r>
          </w:p>
        </w:tc>
        <w:tc>
          <w:tcPr>
            <w:tcW w:w="1559" w:type="dxa"/>
            <w:shd w:val="clear" w:color="auto" w:fill="auto"/>
          </w:tcPr>
          <w:p w:rsidR="001C7C17" w:rsidRPr="001C7C17" w:rsidRDefault="001C7C17" w:rsidP="00FD505F">
            <w:pPr>
              <w:jc w:val="center"/>
              <w:rPr>
                <w:sz w:val="22"/>
                <w:lang w:val="en-GB"/>
              </w:rPr>
            </w:pPr>
            <w:r w:rsidRPr="001C7C17">
              <w:rPr>
                <w:sz w:val="22"/>
                <w:lang w:val="en-GB"/>
              </w:rPr>
              <w:t>63.1</w:t>
            </w:r>
          </w:p>
        </w:tc>
        <w:tc>
          <w:tcPr>
            <w:tcW w:w="1701" w:type="dxa"/>
            <w:shd w:val="clear" w:color="auto" w:fill="auto"/>
          </w:tcPr>
          <w:p w:rsidR="001C7C17" w:rsidRPr="001C7C17" w:rsidRDefault="001C7C17" w:rsidP="00FD505F">
            <w:pPr>
              <w:jc w:val="center"/>
              <w:rPr>
                <w:sz w:val="22"/>
                <w:lang w:val="en-GB"/>
              </w:rPr>
            </w:pPr>
            <w:r w:rsidRPr="001C7C17">
              <w:rPr>
                <w:sz w:val="22"/>
                <w:lang w:val="en-GB"/>
              </w:rPr>
              <w:t>68.6</w:t>
            </w:r>
          </w:p>
        </w:tc>
        <w:tc>
          <w:tcPr>
            <w:tcW w:w="1657" w:type="dxa"/>
          </w:tcPr>
          <w:p w:rsidR="001C7C17" w:rsidRPr="001C7C17" w:rsidRDefault="001C7C17" w:rsidP="00FD505F">
            <w:pPr>
              <w:jc w:val="center"/>
              <w:rPr>
                <w:sz w:val="22"/>
                <w:lang w:val="en-GB"/>
              </w:rPr>
            </w:pPr>
            <w:r w:rsidRPr="001C7C17">
              <w:rPr>
                <w:sz w:val="22"/>
                <w:lang w:val="en-GB"/>
              </w:rPr>
              <w:t>5.6</w:t>
            </w:r>
          </w:p>
        </w:tc>
        <w:tc>
          <w:tcPr>
            <w:tcW w:w="1710" w:type="dxa"/>
            <w:shd w:val="clear" w:color="auto" w:fill="auto"/>
          </w:tcPr>
          <w:p w:rsidR="001C7C17" w:rsidRPr="001C7C17" w:rsidRDefault="001C7C17" w:rsidP="00FD505F">
            <w:pPr>
              <w:jc w:val="center"/>
              <w:rPr>
                <w:sz w:val="22"/>
                <w:lang w:val="en-GB"/>
              </w:rPr>
            </w:pPr>
            <w:r w:rsidRPr="001C7C17">
              <w:rPr>
                <w:sz w:val="22"/>
                <w:lang w:val="en-GB"/>
              </w:rPr>
              <w:t>10.8</w:t>
            </w:r>
          </w:p>
        </w:tc>
      </w:tr>
      <w:tr w:rsidR="001C7C17" w:rsidRPr="001C7C17" w:rsidTr="00FD505F">
        <w:trPr>
          <w:trHeight w:val="20"/>
          <w:jc w:val="right"/>
        </w:trPr>
        <w:tc>
          <w:tcPr>
            <w:tcW w:w="2661" w:type="dxa"/>
            <w:shd w:val="clear" w:color="auto" w:fill="auto"/>
          </w:tcPr>
          <w:p w:rsidR="001C7C17" w:rsidRPr="001C7C17" w:rsidRDefault="001C7C17" w:rsidP="00FD505F">
            <w:pPr>
              <w:jc w:val="left"/>
              <w:rPr>
                <w:b/>
                <w:sz w:val="22"/>
                <w:lang w:val="en-GB"/>
              </w:rPr>
            </w:pPr>
            <w:r w:rsidRPr="001C7C17">
              <w:rPr>
                <w:b/>
                <w:sz w:val="22"/>
                <w:lang w:val="en-GB"/>
              </w:rPr>
              <w:t>Blood and Lymphatic System Disorders</w:t>
            </w:r>
          </w:p>
        </w:tc>
        <w:tc>
          <w:tcPr>
            <w:tcW w:w="6627" w:type="dxa"/>
            <w:gridSpan w:val="4"/>
            <w:shd w:val="clear" w:color="auto" w:fill="auto"/>
          </w:tcPr>
          <w:p w:rsidR="001C7C17" w:rsidRPr="001C7C17" w:rsidRDefault="001C7C17" w:rsidP="00FD505F">
            <w:pPr>
              <w:jc w:val="center"/>
              <w:rPr>
                <w:sz w:val="22"/>
                <w:lang w:val="en-GB"/>
              </w:rPr>
            </w:pPr>
          </w:p>
        </w:tc>
      </w:tr>
      <w:tr w:rsidR="001C7C17" w:rsidRPr="001C7C17" w:rsidTr="00FD505F">
        <w:trPr>
          <w:trHeight w:val="20"/>
          <w:jc w:val="right"/>
        </w:trPr>
        <w:tc>
          <w:tcPr>
            <w:tcW w:w="2661" w:type="dxa"/>
            <w:shd w:val="clear" w:color="auto" w:fill="auto"/>
          </w:tcPr>
          <w:p w:rsidR="001C7C17" w:rsidRPr="001C7C17" w:rsidRDefault="001C7C17" w:rsidP="00FD505F">
            <w:pPr>
              <w:jc w:val="left"/>
              <w:rPr>
                <w:sz w:val="22"/>
                <w:lang w:val="en-GB"/>
              </w:rPr>
            </w:pPr>
            <w:r w:rsidRPr="001C7C17">
              <w:rPr>
                <w:sz w:val="22"/>
                <w:lang w:val="en-GB"/>
              </w:rPr>
              <w:t>Neutropenia</w:t>
            </w:r>
          </w:p>
        </w:tc>
        <w:tc>
          <w:tcPr>
            <w:tcW w:w="1559" w:type="dxa"/>
            <w:shd w:val="clear" w:color="auto" w:fill="auto"/>
          </w:tcPr>
          <w:p w:rsidR="001C7C17" w:rsidRPr="001C7C17" w:rsidRDefault="001C7C17" w:rsidP="00FD505F">
            <w:pPr>
              <w:jc w:val="center"/>
              <w:rPr>
                <w:sz w:val="22"/>
                <w:lang w:val="en-GB"/>
              </w:rPr>
            </w:pPr>
            <w:r w:rsidRPr="001C7C17">
              <w:rPr>
                <w:sz w:val="22"/>
                <w:lang w:val="en-GB"/>
              </w:rPr>
              <w:t>28.3</w:t>
            </w:r>
          </w:p>
        </w:tc>
        <w:tc>
          <w:tcPr>
            <w:tcW w:w="1701" w:type="dxa"/>
            <w:shd w:val="clear" w:color="auto" w:fill="auto"/>
          </w:tcPr>
          <w:p w:rsidR="001C7C17" w:rsidRPr="001C7C17" w:rsidRDefault="001C7C17" w:rsidP="00FD505F">
            <w:pPr>
              <w:jc w:val="center"/>
              <w:rPr>
                <w:sz w:val="22"/>
                <w:lang w:val="en-GB"/>
              </w:rPr>
            </w:pPr>
            <w:r w:rsidRPr="001C7C17">
              <w:rPr>
                <w:sz w:val="22"/>
                <w:lang w:val="en-GB"/>
              </w:rPr>
              <w:t>35.1</w:t>
            </w:r>
          </w:p>
        </w:tc>
        <w:tc>
          <w:tcPr>
            <w:tcW w:w="1657" w:type="dxa"/>
          </w:tcPr>
          <w:p w:rsidR="001C7C17" w:rsidRPr="001C7C17" w:rsidRDefault="001C7C17" w:rsidP="00FD505F">
            <w:pPr>
              <w:jc w:val="center"/>
              <w:rPr>
                <w:sz w:val="22"/>
                <w:lang w:val="en-GB"/>
              </w:rPr>
            </w:pPr>
            <w:r w:rsidRPr="001C7C17">
              <w:rPr>
                <w:sz w:val="22"/>
                <w:lang w:val="en-GB"/>
              </w:rPr>
              <w:t>26.3</w:t>
            </w:r>
          </w:p>
        </w:tc>
        <w:tc>
          <w:tcPr>
            <w:tcW w:w="1710" w:type="dxa"/>
            <w:shd w:val="clear" w:color="auto" w:fill="auto"/>
          </w:tcPr>
          <w:p w:rsidR="001C7C17" w:rsidRPr="001C7C17" w:rsidRDefault="001C7C17" w:rsidP="00FD505F">
            <w:pPr>
              <w:jc w:val="center"/>
              <w:rPr>
                <w:sz w:val="22"/>
                <w:lang w:val="en-GB"/>
              </w:rPr>
            </w:pPr>
            <w:r w:rsidRPr="001C7C17">
              <w:rPr>
                <w:sz w:val="22"/>
                <w:lang w:val="en-GB"/>
              </w:rPr>
              <w:t>33.0</w:t>
            </w:r>
          </w:p>
        </w:tc>
      </w:tr>
      <w:tr w:rsidR="001C7C17" w:rsidRPr="001C7C17" w:rsidTr="00FD505F">
        <w:trPr>
          <w:trHeight w:val="20"/>
          <w:jc w:val="right"/>
        </w:trPr>
        <w:tc>
          <w:tcPr>
            <w:tcW w:w="2661" w:type="dxa"/>
            <w:shd w:val="clear" w:color="auto" w:fill="auto"/>
          </w:tcPr>
          <w:p w:rsidR="001C7C17" w:rsidRPr="001C7C17" w:rsidRDefault="001C7C17" w:rsidP="00FD505F">
            <w:pPr>
              <w:jc w:val="left"/>
              <w:rPr>
                <w:sz w:val="22"/>
                <w:lang w:val="en-GB"/>
              </w:rPr>
            </w:pPr>
            <w:r w:rsidRPr="001C7C17">
              <w:rPr>
                <w:sz w:val="22"/>
                <w:lang w:val="en-GB"/>
              </w:rPr>
              <w:t>Lymph node pain</w:t>
            </w:r>
          </w:p>
        </w:tc>
        <w:tc>
          <w:tcPr>
            <w:tcW w:w="1559" w:type="dxa"/>
            <w:shd w:val="clear" w:color="auto" w:fill="auto"/>
          </w:tcPr>
          <w:p w:rsidR="001C7C17" w:rsidRPr="001C7C17" w:rsidRDefault="001C7C17" w:rsidP="00FD505F">
            <w:pPr>
              <w:jc w:val="center"/>
              <w:rPr>
                <w:sz w:val="22"/>
                <w:lang w:val="en-GB"/>
              </w:rPr>
            </w:pPr>
            <w:r w:rsidRPr="001C7C17">
              <w:rPr>
                <w:sz w:val="22"/>
                <w:lang w:val="en-GB"/>
              </w:rPr>
              <w:t>0</w:t>
            </w:r>
          </w:p>
        </w:tc>
        <w:tc>
          <w:tcPr>
            <w:tcW w:w="1701" w:type="dxa"/>
            <w:shd w:val="clear" w:color="auto" w:fill="auto"/>
          </w:tcPr>
          <w:p w:rsidR="001C7C17" w:rsidRPr="001C7C17" w:rsidRDefault="001C7C17" w:rsidP="00FD505F">
            <w:pPr>
              <w:jc w:val="center"/>
              <w:rPr>
                <w:sz w:val="22"/>
                <w:lang w:val="en-GB"/>
              </w:rPr>
            </w:pPr>
            <w:r w:rsidRPr="001C7C17">
              <w:rPr>
                <w:sz w:val="22"/>
                <w:lang w:val="en-GB"/>
              </w:rPr>
              <w:t>2.1</w:t>
            </w:r>
          </w:p>
        </w:tc>
        <w:tc>
          <w:tcPr>
            <w:tcW w:w="1657" w:type="dxa"/>
          </w:tcPr>
          <w:p w:rsidR="001C7C17" w:rsidRPr="001C7C17" w:rsidRDefault="001C7C17" w:rsidP="00FD505F">
            <w:pPr>
              <w:jc w:val="center"/>
              <w:rPr>
                <w:sz w:val="22"/>
                <w:lang w:val="en-GB"/>
              </w:rPr>
            </w:pPr>
            <w:r w:rsidRPr="001C7C17">
              <w:rPr>
                <w:sz w:val="22"/>
                <w:lang w:val="en-GB"/>
              </w:rPr>
              <w:t>0</w:t>
            </w:r>
          </w:p>
        </w:tc>
        <w:tc>
          <w:tcPr>
            <w:tcW w:w="1710" w:type="dxa"/>
            <w:shd w:val="clear" w:color="auto" w:fill="auto"/>
          </w:tcPr>
          <w:p w:rsidR="001C7C17" w:rsidRPr="001C7C17" w:rsidRDefault="001C7C17" w:rsidP="00FD505F">
            <w:pPr>
              <w:jc w:val="center"/>
              <w:rPr>
                <w:sz w:val="22"/>
                <w:lang w:val="en-GB"/>
              </w:rPr>
            </w:pPr>
            <w:r w:rsidRPr="001C7C17">
              <w:rPr>
                <w:sz w:val="22"/>
                <w:lang w:val="en-GB"/>
              </w:rPr>
              <w:t>0</w:t>
            </w:r>
          </w:p>
        </w:tc>
      </w:tr>
      <w:tr w:rsidR="001C7C17" w:rsidRPr="001C7C17" w:rsidTr="00FD505F">
        <w:trPr>
          <w:trHeight w:val="20"/>
          <w:jc w:val="right"/>
        </w:trPr>
        <w:tc>
          <w:tcPr>
            <w:tcW w:w="2661" w:type="dxa"/>
            <w:shd w:val="clear" w:color="auto" w:fill="auto"/>
          </w:tcPr>
          <w:p w:rsidR="001C7C17" w:rsidRPr="001C7C17" w:rsidRDefault="001C7C17" w:rsidP="00FD505F">
            <w:pPr>
              <w:jc w:val="left"/>
              <w:rPr>
                <w:b/>
                <w:sz w:val="22"/>
                <w:lang w:val="en-GB"/>
              </w:rPr>
            </w:pPr>
            <w:r w:rsidRPr="001C7C17">
              <w:rPr>
                <w:b/>
                <w:sz w:val="22"/>
                <w:lang w:val="en-GB"/>
              </w:rPr>
              <w:t>Cardiac Disorders</w:t>
            </w:r>
          </w:p>
        </w:tc>
        <w:tc>
          <w:tcPr>
            <w:tcW w:w="6627" w:type="dxa"/>
            <w:gridSpan w:val="4"/>
            <w:shd w:val="clear" w:color="auto" w:fill="auto"/>
          </w:tcPr>
          <w:p w:rsidR="001C7C17" w:rsidRPr="001C7C17" w:rsidRDefault="001C7C17" w:rsidP="00FD505F">
            <w:pPr>
              <w:jc w:val="center"/>
              <w:rPr>
                <w:b/>
                <w:sz w:val="22"/>
                <w:lang w:val="en-GB"/>
              </w:rPr>
            </w:pPr>
          </w:p>
        </w:tc>
      </w:tr>
      <w:tr w:rsidR="001C7C17" w:rsidRPr="001C7C17" w:rsidTr="00FD505F">
        <w:trPr>
          <w:trHeight w:val="20"/>
          <w:jc w:val="right"/>
        </w:trPr>
        <w:tc>
          <w:tcPr>
            <w:tcW w:w="2661" w:type="dxa"/>
            <w:shd w:val="clear" w:color="auto" w:fill="auto"/>
          </w:tcPr>
          <w:p w:rsidR="001C7C17" w:rsidRPr="001C7C17" w:rsidRDefault="001C7C17" w:rsidP="00FD505F">
            <w:pPr>
              <w:jc w:val="left"/>
              <w:rPr>
                <w:sz w:val="22"/>
                <w:lang w:val="en-GB"/>
              </w:rPr>
            </w:pPr>
            <w:r w:rsidRPr="001C7C17">
              <w:rPr>
                <w:sz w:val="22"/>
                <w:lang w:val="en-GB"/>
              </w:rPr>
              <w:t>Cardiac failure</w:t>
            </w:r>
          </w:p>
        </w:tc>
        <w:tc>
          <w:tcPr>
            <w:tcW w:w="1559" w:type="dxa"/>
            <w:shd w:val="clear" w:color="auto" w:fill="auto"/>
          </w:tcPr>
          <w:p w:rsidR="001C7C17" w:rsidRPr="001C7C17" w:rsidRDefault="001C7C17" w:rsidP="00FD505F">
            <w:pPr>
              <w:jc w:val="center"/>
              <w:rPr>
                <w:sz w:val="22"/>
                <w:lang w:val="en-GB"/>
              </w:rPr>
            </w:pPr>
            <w:r w:rsidRPr="001C7C17">
              <w:rPr>
                <w:sz w:val="22"/>
                <w:lang w:val="en-GB"/>
              </w:rPr>
              <w:t>0</w:t>
            </w:r>
          </w:p>
        </w:tc>
        <w:tc>
          <w:tcPr>
            <w:tcW w:w="1701" w:type="dxa"/>
            <w:shd w:val="clear" w:color="auto" w:fill="auto"/>
          </w:tcPr>
          <w:p w:rsidR="001C7C17" w:rsidRPr="001C7C17" w:rsidRDefault="001C7C17" w:rsidP="00FD505F">
            <w:pPr>
              <w:jc w:val="center"/>
              <w:rPr>
                <w:sz w:val="22"/>
                <w:lang w:val="en-GB"/>
              </w:rPr>
            </w:pPr>
            <w:r w:rsidRPr="001C7C17">
              <w:rPr>
                <w:sz w:val="22"/>
                <w:lang w:val="en-GB"/>
              </w:rPr>
              <w:t>2.1</w:t>
            </w:r>
          </w:p>
        </w:tc>
        <w:tc>
          <w:tcPr>
            <w:tcW w:w="1657" w:type="dxa"/>
          </w:tcPr>
          <w:p w:rsidR="001C7C17" w:rsidRPr="001C7C17" w:rsidRDefault="001C7C17" w:rsidP="00FD505F">
            <w:pPr>
              <w:jc w:val="center"/>
              <w:rPr>
                <w:sz w:val="22"/>
                <w:lang w:val="en-GB"/>
              </w:rPr>
            </w:pPr>
            <w:r w:rsidRPr="001C7C17">
              <w:rPr>
                <w:sz w:val="22"/>
                <w:lang w:val="en-GB"/>
              </w:rPr>
              <w:t>0</w:t>
            </w:r>
          </w:p>
        </w:tc>
        <w:tc>
          <w:tcPr>
            <w:tcW w:w="1710" w:type="dxa"/>
            <w:shd w:val="clear" w:color="auto" w:fill="auto"/>
          </w:tcPr>
          <w:p w:rsidR="001C7C17" w:rsidRPr="001C7C17" w:rsidRDefault="001C7C17" w:rsidP="00FD505F">
            <w:pPr>
              <w:jc w:val="center"/>
              <w:rPr>
                <w:sz w:val="22"/>
                <w:lang w:val="en-GB"/>
              </w:rPr>
            </w:pPr>
            <w:r w:rsidRPr="001C7C17">
              <w:rPr>
                <w:sz w:val="22"/>
                <w:lang w:val="en-GB"/>
              </w:rPr>
              <w:t>1.0</w:t>
            </w:r>
          </w:p>
        </w:tc>
      </w:tr>
      <w:tr w:rsidR="001C7C17" w:rsidRPr="001C7C17" w:rsidTr="00FD505F">
        <w:trPr>
          <w:trHeight w:val="20"/>
          <w:jc w:val="right"/>
        </w:trPr>
        <w:tc>
          <w:tcPr>
            <w:tcW w:w="2661" w:type="dxa"/>
            <w:shd w:val="clear" w:color="auto" w:fill="auto"/>
          </w:tcPr>
          <w:p w:rsidR="001C7C17" w:rsidRPr="001C7C17" w:rsidRDefault="001C7C17" w:rsidP="00FD505F">
            <w:pPr>
              <w:jc w:val="left"/>
              <w:rPr>
                <w:b/>
                <w:sz w:val="22"/>
                <w:lang w:val="en-GB"/>
              </w:rPr>
            </w:pPr>
            <w:r w:rsidRPr="001C7C17">
              <w:rPr>
                <w:b/>
                <w:sz w:val="22"/>
                <w:lang w:val="en-GB"/>
              </w:rPr>
              <w:t>Eye Disorders</w:t>
            </w:r>
          </w:p>
        </w:tc>
        <w:tc>
          <w:tcPr>
            <w:tcW w:w="6627" w:type="dxa"/>
            <w:gridSpan w:val="4"/>
            <w:shd w:val="clear" w:color="auto" w:fill="auto"/>
          </w:tcPr>
          <w:p w:rsidR="001C7C17" w:rsidRPr="001C7C17" w:rsidRDefault="001C7C17" w:rsidP="00FD505F">
            <w:pPr>
              <w:jc w:val="center"/>
              <w:rPr>
                <w:b/>
                <w:sz w:val="22"/>
                <w:lang w:val="en-GB"/>
              </w:rPr>
            </w:pPr>
          </w:p>
        </w:tc>
      </w:tr>
      <w:tr w:rsidR="001C7C17" w:rsidRPr="001C7C17" w:rsidTr="00FD505F">
        <w:trPr>
          <w:trHeight w:val="20"/>
          <w:jc w:val="right"/>
        </w:trPr>
        <w:tc>
          <w:tcPr>
            <w:tcW w:w="2661" w:type="dxa"/>
            <w:shd w:val="clear" w:color="auto" w:fill="auto"/>
          </w:tcPr>
          <w:p w:rsidR="001C7C17" w:rsidRPr="001C7C17" w:rsidRDefault="001C7C17" w:rsidP="00FD505F">
            <w:pPr>
              <w:jc w:val="left"/>
              <w:rPr>
                <w:sz w:val="22"/>
                <w:lang w:val="en-GB"/>
              </w:rPr>
            </w:pPr>
            <w:r w:rsidRPr="001C7C17">
              <w:rPr>
                <w:sz w:val="22"/>
                <w:lang w:val="en-GB"/>
              </w:rPr>
              <w:t>Ocular hyperaemia</w:t>
            </w:r>
          </w:p>
        </w:tc>
        <w:tc>
          <w:tcPr>
            <w:tcW w:w="1559" w:type="dxa"/>
            <w:shd w:val="clear" w:color="auto" w:fill="auto"/>
          </w:tcPr>
          <w:p w:rsidR="001C7C17" w:rsidRPr="001C7C17" w:rsidRDefault="001C7C17" w:rsidP="00FD505F">
            <w:pPr>
              <w:jc w:val="center"/>
              <w:rPr>
                <w:sz w:val="22"/>
                <w:lang w:val="en-GB"/>
              </w:rPr>
            </w:pPr>
            <w:r w:rsidRPr="001C7C17">
              <w:rPr>
                <w:sz w:val="22"/>
                <w:lang w:val="en-GB"/>
              </w:rPr>
              <w:t>0</w:t>
            </w:r>
          </w:p>
        </w:tc>
        <w:tc>
          <w:tcPr>
            <w:tcW w:w="1701" w:type="dxa"/>
            <w:shd w:val="clear" w:color="auto" w:fill="auto"/>
          </w:tcPr>
          <w:p w:rsidR="001C7C17" w:rsidRPr="001C7C17" w:rsidRDefault="001C7C17" w:rsidP="00FD505F">
            <w:pPr>
              <w:jc w:val="center"/>
              <w:rPr>
                <w:sz w:val="22"/>
                <w:lang w:val="en-GB"/>
              </w:rPr>
            </w:pPr>
            <w:r w:rsidRPr="001C7C17">
              <w:rPr>
                <w:sz w:val="22"/>
                <w:lang w:val="en-GB"/>
              </w:rPr>
              <w:t>2.1</w:t>
            </w:r>
          </w:p>
        </w:tc>
        <w:tc>
          <w:tcPr>
            <w:tcW w:w="1657" w:type="dxa"/>
          </w:tcPr>
          <w:p w:rsidR="001C7C17" w:rsidRPr="001C7C17" w:rsidRDefault="001C7C17" w:rsidP="00FD505F">
            <w:pPr>
              <w:jc w:val="center"/>
              <w:rPr>
                <w:sz w:val="22"/>
                <w:lang w:val="en-GB"/>
              </w:rPr>
            </w:pPr>
            <w:r w:rsidRPr="001C7C17">
              <w:rPr>
                <w:sz w:val="22"/>
                <w:lang w:val="en-GB"/>
              </w:rPr>
              <w:t>0</w:t>
            </w:r>
          </w:p>
        </w:tc>
        <w:tc>
          <w:tcPr>
            <w:tcW w:w="1710" w:type="dxa"/>
            <w:shd w:val="clear" w:color="auto" w:fill="auto"/>
          </w:tcPr>
          <w:p w:rsidR="001C7C17" w:rsidRPr="001C7C17" w:rsidRDefault="001C7C17" w:rsidP="00FD505F">
            <w:pPr>
              <w:jc w:val="center"/>
              <w:rPr>
                <w:sz w:val="22"/>
                <w:lang w:val="en-GB"/>
              </w:rPr>
            </w:pPr>
            <w:r w:rsidRPr="001C7C17">
              <w:rPr>
                <w:sz w:val="22"/>
                <w:lang w:val="en-GB"/>
              </w:rPr>
              <w:t>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b/>
                <w:sz w:val="22"/>
                <w:lang w:val="en-GB"/>
              </w:rPr>
            </w:pPr>
            <w:r w:rsidRPr="001C7C17">
              <w:rPr>
                <w:b/>
                <w:sz w:val="22"/>
                <w:lang w:val="en-GB"/>
              </w:rPr>
              <w:t>Gastrointestinal Disorders</w:t>
            </w:r>
          </w:p>
        </w:tc>
        <w:tc>
          <w:tcPr>
            <w:tcW w:w="6627" w:type="dxa"/>
            <w:gridSpan w:val="4"/>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Constipation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18.6</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Dyspepsia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5.2</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Colitis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2.1</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Haemorrhoids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2.1</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b/>
                <w:sz w:val="22"/>
                <w:lang w:val="en-GB"/>
              </w:rPr>
            </w:pPr>
            <w:r w:rsidRPr="001C7C17">
              <w:rPr>
                <w:b/>
                <w:sz w:val="22"/>
                <w:lang w:val="en-GB"/>
              </w:rPr>
              <w:t>General Disorders And Administration Site Conditions</w:t>
            </w:r>
          </w:p>
        </w:tc>
        <w:tc>
          <w:tcPr>
            <w:tcW w:w="6627" w:type="dxa"/>
            <w:gridSpan w:val="4"/>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Pyrexia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13.6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18.0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Asthenia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8.1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11.3</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Chest Pain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4.6</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b/>
                <w:sz w:val="22"/>
                <w:lang w:val="en-GB"/>
              </w:rPr>
            </w:pPr>
            <w:r w:rsidRPr="001C7C17">
              <w:rPr>
                <w:b/>
                <w:sz w:val="22"/>
                <w:lang w:val="en-GB"/>
              </w:rPr>
              <w:t>Infections And Infestations</w:t>
            </w:r>
          </w:p>
        </w:tc>
        <w:tc>
          <w:tcPr>
            <w:tcW w:w="6627" w:type="dxa"/>
            <w:gridSpan w:val="4"/>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Upper Respiratory Tract Infection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8.1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12.9</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2.1</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Sinusitis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11.9</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Urinary Tract Infection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9.8</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3.1</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Nasopharyngitis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8.8</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Pharyngitis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4.1</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Lung Infection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3.1</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Influenza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3.1</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b/>
                <w:sz w:val="22"/>
                <w:lang w:val="en-GB"/>
              </w:rPr>
            </w:pPr>
            <w:r w:rsidRPr="001C7C17">
              <w:rPr>
                <w:b/>
                <w:sz w:val="22"/>
                <w:lang w:val="en-GB"/>
              </w:rPr>
              <w:t>Musculoskeletal and Connective Tissue Disorders</w:t>
            </w:r>
          </w:p>
        </w:tc>
        <w:tc>
          <w:tcPr>
            <w:tcW w:w="6627" w:type="dxa"/>
            <w:gridSpan w:val="4"/>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Arthralgia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11.9</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Pain In Extremity</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8.8</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Bone Pain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3.6</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r>
      <w:tr w:rsidR="001C7C17" w:rsidRPr="001C7C17" w:rsidTr="00FD505F">
        <w:trPr>
          <w:trHeight w:val="20"/>
          <w:jc w:val="right"/>
        </w:trPr>
        <w:tc>
          <w:tcPr>
            <w:tcW w:w="2661" w:type="dxa"/>
            <w:shd w:val="clear" w:color="auto" w:fill="auto"/>
          </w:tcPr>
          <w:p w:rsidR="001C7C17" w:rsidRPr="001C7C17" w:rsidRDefault="001C7C17" w:rsidP="00FD505F">
            <w:pPr>
              <w:jc w:val="left"/>
              <w:rPr>
                <w:b/>
                <w:sz w:val="22"/>
                <w:lang w:val="en-GB"/>
              </w:rPr>
            </w:pPr>
            <w:r w:rsidRPr="001C7C17">
              <w:rPr>
                <w:b/>
                <w:sz w:val="22"/>
                <w:lang w:val="en-GB"/>
              </w:rPr>
              <w:t>Psychiatric Disorders</w:t>
            </w:r>
          </w:p>
        </w:tc>
        <w:tc>
          <w:tcPr>
            <w:tcW w:w="6627" w:type="dxa"/>
            <w:gridSpan w:val="4"/>
            <w:shd w:val="clear" w:color="auto" w:fill="auto"/>
          </w:tcPr>
          <w:p w:rsidR="001C7C17" w:rsidRPr="001C7C17" w:rsidRDefault="001C7C17" w:rsidP="00FD505F">
            <w:pPr>
              <w:jc w:val="center"/>
              <w:rPr>
                <w:b/>
                <w:sz w:val="22"/>
                <w:lang w:val="en-GB"/>
              </w:rPr>
            </w:pPr>
          </w:p>
        </w:tc>
      </w:tr>
      <w:tr w:rsidR="001C7C17" w:rsidRPr="001C7C17" w:rsidTr="00FD505F">
        <w:trPr>
          <w:trHeight w:val="20"/>
          <w:jc w:val="right"/>
        </w:trPr>
        <w:tc>
          <w:tcPr>
            <w:tcW w:w="2661" w:type="dxa"/>
            <w:shd w:val="clear" w:color="auto" w:fill="auto"/>
          </w:tcPr>
          <w:p w:rsidR="001C7C17" w:rsidRPr="001C7C17" w:rsidRDefault="001C7C17" w:rsidP="00FD505F">
            <w:pPr>
              <w:jc w:val="left"/>
              <w:rPr>
                <w:sz w:val="22"/>
                <w:lang w:val="en-GB"/>
              </w:rPr>
            </w:pPr>
            <w:r w:rsidRPr="001C7C17">
              <w:rPr>
                <w:sz w:val="22"/>
                <w:lang w:val="en-GB"/>
              </w:rPr>
              <w:t>Depression</w:t>
            </w:r>
          </w:p>
        </w:tc>
        <w:tc>
          <w:tcPr>
            <w:tcW w:w="1559" w:type="dxa"/>
            <w:shd w:val="clear" w:color="auto" w:fill="auto"/>
          </w:tcPr>
          <w:p w:rsidR="001C7C17" w:rsidRPr="001C7C17" w:rsidRDefault="001C7C17" w:rsidP="00FD505F">
            <w:pPr>
              <w:jc w:val="center"/>
              <w:rPr>
                <w:sz w:val="22"/>
                <w:lang w:val="en-GB"/>
              </w:rPr>
            </w:pPr>
            <w:r w:rsidRPr="001C7C17">
              <w:rPr>
                <w:sz w:val="22"/>
                <w:lang w:val="en-GB"/>
              </w:rPr>
              <w:t>1.5</w:t>
            </w:r>
          </w:p>
        </w:tc>
        <w:tc>
          <w:tcPr>
            <w:tcW w:w="1701" w:type="dxa"/>
            <w:shd w:val="clear" w:color="auto" w:fill="auto"/>
          </w:tcPr>
          <w:p w:rsidR="001C7C17" w:rsidRPr="001C7C17" w:rsidRDefault="001C7C17" w:rsidP="00FD505F">
            <w:pPr>
              <w:jc w:val="center"/>
              <w:rPr>
                <w:sz w:val="22"/>
                <w:lang w:val="en-GB"/>
              </w:rPr>
            </w:pPr>
            <w:r w:rsidRPr="001C7C17">
              <w:rPr>
                <w:sz w:val="22"/>
                <w:lang w:val="en-GB"/>
              </w:rPr>
              <w:t>3.6</w:t>
            </w:r>
          </w:p>
        </w:tc>
        <w:tc>
          <w:tcPr>
            <w:tcW w:w="1657" w:type="dxa"/>
          </w:tcPr>
          <w:p w:rsidR="001C7C17" w:rsidRPr="001C7C17" w:rsidRDefault="001C7C17" w:rsidP="00FD505F">
            <w:pPr>
              <w:jc w:val="center"/>
              <w:rPr>
                <w:sz w:val="22"/>
                <w:lang w:val="en-GB"/>
              </w:rPr>
            </w:pPr>
            <w:r w:rsidRPr="001C7C17">
              <w:rPr>
                <w:sz w:val="22"/>
                <w:lang w:val="en-GB"/>
              </w:rPr>
              <w:t>0</w:t>
            </w:r>
          </w:p>
        </w:tc>
        <w:tc>
          <w:tcPr>
            <w:tcW w:w="1710" w:type="dxa"/>
            <w:shd w:val="clear" w:color="auto" w:fill="auto"/>
          </w:tcPr>
          <w:p w:rsidR="001C7C17" w:rsidRPr="001C7C17" w:rsidRDefault="001C7C17" w:rsidP="00FD505F">
            <w:pPr>
              <w:jc w:val="center"/>
              <w:rPr>
                <w:sz w:val="22"/>
                <w:lang w:val="en-GB"/>
              </w:rPr>
            </w:pPr>
            <w:r w:rsidRPr="001C7C17">
              <w:rPr>
                <w:sz w:val="22"/>
                <w:lang w:val="en-GB"/>
              </w:rPr>
              <w:t>0</w:t>
            </w:r>
          </w:p>
        </w:tc>
      </w:tr>
      <w:tr w:rsidR="001C7C17" w:rsidRPr="001C7C17" w:rsidTr="00FD505F">
        <w:trPr>
          <w:trHeight w:val="20"/>
          <w:jc w:val="right"/>
        </w:trPr>
        <w:tc>
          <w:tcPr>
            <w:tcW w:w="2661" w:type="dxa"/>
            <w:shd w:val="clear" w:color="auto" w:fill="auto"/>
          </w:tcPr>
          <w:p w:rsidR="001C7C17" w:rsidRPr="001C7C17" w:rsidRDefault="001C7C17" w:rsidP="00FD505F">
            <w:pPr>
              <w:jc w:val="left"/>
              <w:rPr>
                <w:b/>
                <w:sz w:val="22"/>
                <w:lang w:val="en-GB"/>
              </w:rPr>
            </w:pPr>
            <w:r w:rsidRPr="001C7C17">
              <w:rPr>
                <w:b/>
                <w:sz w:val="22"/>
                <w:lang w:val="en-GB"/>
              </w:rPr>
              <w:t>Renal and Urinary Disorders</w:t>
            </w:r>
          </w:p>
        </w:tc>
        <w:tc>
          <w:tcPr>
            <w:tcW w:w="6627" w:type="dxa"/>
            <w:gridSpan w:val="4"/>
            <w:shd w:val="clear" w:color="auto" w:fill="auto"/>
          </w:tcPr>
          <w:p w:rsidR="001C7C17" w:rsidRPr="001C7C17" w:rsidRDefault="001C7C17" w:rsidP="00FD505F">
            <w:pPr>
              <w:jc w:val="center"/>
              <w:rPr>
                <w:b/>
                <w:sz w:val="22"/>
                <w:lang w:val="en-GB"/>
              </w:rPr>
            </w:pPr>
          </w:p>
        </w:tc>
      </w:tr>
      <w:tr w:rsidR="001C7C17" w:rsidRPr="001C7C17" w:rsidTr="00FD505F">
        <w:trPr>
          <w:trHeight w:val="20"/>
          <w:jc w:val="right"/>
        </w:trPr>
        <w:tc>
          <w:tcPr>
            <w:tcW w:w="2661" w:type="dxa"/>
            <w:shd w:val="clear" w:color="auto" w:fill="auto"/>
          </w:tcPr>
          <w:p w:rsidR="001C7C17" w:rsidRPr="001C7C17" w:rsidRDefault="001C7C17" w:rsidP="00FD505F">
            <w:pPr>
              <w:jc w:val="left"/>
              <w:rPr>
                <w:sz w:val="22"/>
                <w:lang w:val="en-GB"/>
              </w:rPr>
            </w:pPr>
            <w:r w:rsidRPr="001C7C17">
              <w:rPr>
                <w:sz w:val="22"/>
                <w:lang w:val="en-GB"/>
              </w:rPr>
              <w:t>Dysuria</w:t>
            </w:r>
          </w:p>
        </w:tc>
        <w:tc>
          <w:tcPr>
            <w:tcW w:w="1559" w:type="dxa"/>
            <w:shd w:val="clear" w:color="auto" w:fill="auto"/>
          </w:tcPr>
          <w:p w:rsidR="001C7C17" w:rsidRPr="001C7C17" w:rsidRDefault="001C7C17" w:rsidP="00FD505F">
            <w:pPr>
              <w:jc w:val="center"/>
              <w:rPr>
                <w:sz w:val="22"/>
                <w:lang w:val="en-GB"/>
              </w:rPr>
            </w:pPr>
            <w:r w:rsidRPr="001C7C17">
              <w:rPr>
                <w:sz w:val="22"/>
                <w:lang w:val="en-GB"/>
              </w:rPr>
              <w:t>0.5</w:t>
            </w:r>
          </w:p>
        </w:tc>
        <w:tc>
          <w:tcPr>
            <w:tcW w:w="1701" w:type="dxa"/>
            <w:shd w:val="clear" w:color="auto" w:fill="auto"/>
          </w:tcPr>
          <w:p w:rsidR="001C7C17" w:rsidRPr="001C7C17" w:rsidRDefault="001C7C17" w:rsidP="00FD505F">
            <w:pPr>
              <w:jc w:val="center"/>
              <w:rPr>
                <w:sz w:val="22"/>
                <w:lang w:val="en-GB"/>
              </w:rPr>
            </w:pPr>
            <w:r w:rsidRPr="001C7C17">
              <w:rPr>
                <w:sz w:val="22"/>
                <w:lang w:val="en-GB"/>
              </w:rPr>
              <w:t>2.6</w:t>
            </w:r>
          </w:p>
        </w:tc>
        <w:tc>
          <w:tcPr>
            <w:tcW w:w="1657" w:type="dxa"/>
          </w:tcPr>
          <w:p w:rsidR="001C7C17" w:rsidRPr="001C7C17" w:rsidRDefault="001C7C17" w:rsidP="00FD505F">
            <w:pPr>
              <w:jc w:val="center"/>
              <w:rPr>
                <w:sz w:val="22"/>
                <w:lang w:val="en-GB"/>
              </w:rPr>
            </w:pPr>
            <w:r w:rsidRPr="001C7C17">
              <w:rPr>
                <w:sz w:val="22"/>
                <w:lang w:val="en-GB"/>
              </w:rPr>
              <w:t>0</w:t>
            </w:r>
          </w:p>
        </w:tc>
        <w:tc>
          <w:tcPr>
            <w:tcW w:w="1710" w:type="dxa"/>
            <w:shd w:val="clear" w:color="auto" w:fill="auto"/>
          </w:tcPr>
          <w:p w:rsidR="001C7C17" w:rsidRPr="001C7C17" w:rsidRDefault="001C7C17" w:rsidP="00FD505F">
            <w:pPr>
              <w:jc w:val="center"/>
              <w:rPr>
                <w:sz w:val="22"/>
                <w:lang w:val="en-GB"/>
              </w:rPr>
            </w:pPr>
            <w:r w:rsidRPr="001C7C17">
              <w:rPr>
                <w:sz w:val="22"/>
                <w:lang w:val="en-GB"/>
              </w:rPr>
              <w:t>0.5</w:t>
            </w:r>
          </w:p>
        </w:tc>
      </w:tr>
      <w:tr w:rsidR="001C7C17" w:rsidRPr="001C7C17" w:rsidTr="00FD505F">
        <w:trPr>
          <w:trHeight w:val="20"/>
          <w:jc w:val="right"/>
        </w:trPr>
        <w:tc>
          <w:tcPr>
            <w:tcW w:w="2661" w:type="dxa"/>
            <w:shd w:val="clear" w:color="auto" w:fill="auto"/>
          </w:tcPr>
          <w:p w:rsidR="001C7C17" w:rsidRPr="001C7C17" w:rsidRDefault="001C7C17" w:rsidP="00FD505F">
            <w:pPr>
              <w:jc w:val="left"/>
              <w:rPr>
                <w:sz w:val="22"/>
                <w:lang w:val="en-GB"/>
              </w:rPr>
            </w:pPr>
            <w:r w:rsidRPr="001C7C17">
              <w:rPr>
                <w:sz w:val="22"/>
                <w:lang w:val="en-GB"/>
              </w:rPr>
              <w:lastRenderedPageBreak/>
              <w:t>Urinary incontinence</w:t>
            </w:r>
          </w:p>
        </w:tc>
        <w:tc>
          <w:tcPr>
            <w:tcW w:w="1559" w:type="dxa"/>
            <w:shd w:val="clear" w:color="auto" w:fill="auto"/>
          </w:tcPr>
          <w:p w:rsidR="001C7C17" w:rsidRPr="001C7C17" w:rsidRDefault="001C7C17" w:rsidP="00FD505F">
            <w:pPr>
              <w:jc w:val="center"/>
              <w:rPr>
                <w:sz w:val="22"/>
                <w:lang w:val="en-GB"/>
              </w:rPr>
            </w:pPr>
            <w:r w:rsidRPr="001C7C17">
              <w:rPr>
                <w:sz w:val="22"/>
                <w:lang w:val="en-GB"/>
              </w:rPr>
              <w:t>0</w:t>
            </w:r>
          </w:p>
        </w:tc>
        <w:tc>
          <w:tcPr>
            <w:tcW w:w="1701" w:type="dxa"/>
            <w:shd w:val="clear" w:color="auto" w:fill="auto"/>
          </w:tcPr>
          <w:p w:rsidR="001C7C17" w:rsidRPr="001C7C17" w:rsidRDefault="001C7C17" w:rsidP="00FD505F">
            <w:pPr>
              <w:jc w:val="center"/>
              <w:rPr>
                <w:sz w:val="22"/>
                <w:lang w:val="en-GB"/>
              </w:rPr>
            </w:pPr>
            <w:r w:rsidRPr="001C7C17">
              <w:rPr>
                <w:sz w:val="22"/>
                <w:lang w:val="en-GB"/>
              </w:rPr>
              <w:t>2.6</w:t>
            </w:r>
          </w:p>
        </w:tc>
        <w:tc>
          <w:tcPr>
            <w:tcW w:w="1657" w:type="dxa"/>
          </w:tcPr>
          <w:p w:rsidR="001C7C17" w:rsidRPr="001C7C17" w:rsidRDefault="001C7C17" w:rsidP="00FD505F">
            <w:pPr>
              <w:jc w:val="center"/>
              <w:rPr>
                <w:sz w:val="22"/>
                <w:lang w:val="en-GB"/>
              </w:rPr>
            </w:pPr>
            <w:r w:rsidRPr="001C7C17">
              <w:rPr>
                <w:sz w:val="22"/>
                <w:lang w:val="en-GB"/>
              </w:rPr>
              <w:t>0</w:t>
            </w:r>
          </w:p>
        </w:tc>
        <w:tc>
          <w:tcPr>
            <w:tcW w:w="1710" w:type="dxa"/>
            <w:shd w:val="clear" w:color="auto" w:fill="auto"/>
          </w:tcPr>
          <w:p w:rsidR="001C7C17" w:rsidRPr="001C7C17" w:rsidRDefault="001C7C17" w:rsidP="00FD505F">
            <w:pPr>
              <w:jc w:val="center"/>
              <w:rPr>
                <w:sz w:val="22"/>
                <w:lang w:val="en-GB"/>
              </w:rPr>
            </w:pPr>
            <w:r w:rsidRPr="001C7C17">
              <w:rPr>
                <w:sz w:val="22"/>
                <w:lang w:val="en-GB"/>
              </w:rPr>
              <w:t>0.5</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b/>
                <w:sz w:val="22"/>
                <w:lang w:val="en-GB"/>
              </w:rPr>
            </w:pPr>
            <w:r w:rsidRPr="001C7C17">
              <w:rPr>
                <w:b/>
                <w:sz w:val="22"/>
                <w:lang w:val="en-GB"/>
              </w:rPr>
              <w:t>Respiratory, Thoracic and Mediastinal Disorders</w:t>
            </w:r>
          </w:p>
        </w:tc>
        <w:tc>
          <w:tcPr>
            <w:tcW w:w="6627" w:type="dxa"/>
            <w:gridSpan w:val="4"/>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p>
          <w:p w:rsidR="001C7C17" w:rsidRPr="001C7C17" w:rsidRDefault="001C7C17" w:rsidP="00FD505F">
            <w:pPr>
              <w:jc w:val="center"/>
              <w:rPr>
                <w:sz w:val="22"/>
                <w:lang w:val="en-GB"/>
              </w:rPr>
            </w:pP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Cough</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16.7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26.3</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Nasal Congestion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7.2</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Rhinorrhoea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4.1</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r>
      <w:tr w:rsidR="001C7C17" w:rsidRPr="001C7C17" w:rsidTr="00FD505F">
        <w:trPr>
          <w:cantSplit/>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b/>
                <w:sz w:val="22"/>
                <w:lang w:val="en-GB"/>
              </w:rPr>
            </w:pPr>
            <w:r w:rsidRPr="001C7C17">
              <w:rPr>
                <w:b/>
                <w:sz w:val="22"/>
                <w:lang w:val="en-GB"/>
              </w:rPr>
              <w:t>Skin and Subcutaneous Tissue Disorders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Pruritus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8.8</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Night sweats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4.1</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r>
      <w:tr w:rsidR="001C7C17" w:rsidRPr="001C7C17" w:rsidTr="00FD505F">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left"/>
              <w:rPr>
                <w:sz w:val="22"/>
                <w:lang w:val="en-GB"/>
              </w:rPr>
            </w:pPr>
            <w:r w:rsidRPr="001C7C17">
              <w:rPr>
                <w:sz w:val="22"/>
                <w:lang w:val="en-GB"/>
              </w:rPr>
              <w:t>Eczema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2.6</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C7C17" w:rsidRPr="001C7C17" w:rsidRDefault="001C7C17" w:rsidP="00FD505F">
            <w:pPr>
              <w:jc w:val="center"/>
              <w:rPr>
                <w:sz w:val="22"/>
                <w:lang w:val="en-GB"/>
              </w:rPr>
            </w:pPr>
            <w:r w:rsidRPr="001C7C17">
              <w:rPr>
                <w:sz w:val="22"/>
                <w:lang w:val="en-GB"/>
              </w:rPr>
              <w:t>0</w:t>
            </w:r>
          </w:p>
        </w:tc>
      </w:tr>
    </w:tbl>
    <w:p w:rsidR="001C7C17" w:rsidRPr="00826E4D" w:rsidRDefault="001C7C17" w:rsidP="001C7C17">
      <w:pPr>
        <w:rPr>
          <w:sz w:val="20"/>
          <w:szCs w:val="20"/>
          <w:lang w:val="en-GB"/>
        </w:rPr>
      </w:pPr>
      <w:r w:rsidRPr="00826E4D">
        <w:rPr>
          <w:sz w:val="20"/>
          <w:szCs w:val="20"/>
          <w:lang w:val="en-GB"/>
        </w:rPr>
        <w:t>*followed by G</w:t>
      </w:r>
      <w:r w:rsidR="00395BD6">
        <w:rPr>
          <w:sz w:val="20"/>
          <w:szCs w:val="20"/>
          <w:lang w:val="en-GB"/>
        </w:rPr>
        <w:t>azyva</w:t>
      </w:r>
      <w:r w:rsidRPr="00826E4D">
        <w:rPr>
          <w:sz w:val="20"/>
          <w:szCs w:val="20"/>
          <w:lang w:val="en-GB"/>
        </w:rPr>
        <w:t xml:space="preserve"> maintenance</w:t>
      </w:r>
    </w:p>
    <w:p w:rsidR="001C7C17" w:rsidRPr="00826E4D" w:rsidRDefault="001C7C17" w:rsidP="001C7C17">
      <w:pPr>
        <w:rPr>
          <w:sz w:val="20"/>
          <w:szCs w:val="20"/>
          <w:lang w:val="en-GB"/>
        </w:rPr>
      </w:pPr>
      <w:r w:rsidRPr="00826E4D">
        <w:rPr>
          <w:sz w:val="20"/>
          <w:szCs w:val="20"/>
          <w:vertAlign w:val="superscript"/>
          <w:lang w:val="en-GB"/>
        </w:rPr>
        <w:t>a</w:t>
      </w:r>
      <w:r w:rsidRPr="00826E4D">
        <w:rPr>
          <w:sz w:val="20"/>
          <w:szCs w:val="20"/>
          <w:lang w:val="en-US"/>
        </w:rPr>
        <w:t xml:space="preserve">MedDRA coded adverse reactions as reported by investigators (excluding </w:t>
      </w:r>
      <w:r w:rsidR="00FD505F" w:rsidRPr="00826E4D">
        <w:rPr>
          <w:sz w:val="20"/>
          <w:szCs w:val="20"/>
          <w:lang w:val="en-US"/>
        </w:rPr>
        <w:t>IRRs</w:t>
      </w:r>
      <w:r w:rsidRPr="00826E4D">
        <w:rPr>
          <w:sz w:val="20"/>
          <w:szCs w:val="20"/>
          <w:lang w:val="en-US"/>
        </w:rPr>
        <w:t>).</w:t>
      </w:r>
    </w:p>
    <w:p w:rsidR="001C7C17" w:rsidRPr="00826E4D" w:rsidRDefault="001C7C17" w:rsidP="001C7C17">
      <w:pPr>
        <w:rPr>
          <w:sz w:val="20"/>
          <w:szCs w:val="20"/>
          <w:lang w:val="en-GB"/>
        </w:rPr>
      </w:pPr>
      <w:r w:rsidRPr="00826E4D">
        <w:rPr>
          <w:sz w:val="20"/>
          <w:szCs w:val="20"/>
          <w:vertAlign w:val="superscript"/>
          <w:lang w:val="en-GB"/>
        </w:rPr>
        <w:t xml:space="preserve">† </w:t>
      </w:r>
      <w:r w:rsidRPr="00826E4D">
        <w:rPr>
          <w:sz w:val="20"/>
          <w:szCs w:val="20"/>
          <w:lang w:val="en-GB"/>
        </w:rPr>
        <w:t>No Grade 5 adverse reactions have been observed with a difference of ≥ 2% between the treatment arms</w:t>
      </w:r>
    </w:p>
    <w:p w:rsidR="001C7C17" w:rsidRPr="00826E4D" w:rsidRDefault="001C7C17" w:rsidP="001C7C17">
      <w:pPr>
        <w:rPr>
          <w:sz w:val="20"/>
          <w:szCs w:val="20"/>
          <w:lang w:val="en-GB"/>
        </w:rPr>
      </w:pPr>
      <w:r w:rsidRPr="00826E4D">
        <w:rPr>
          <w:sz w:val="20"/>
          <w:szCs w:val="20"/>
          <w:vertAlign w:val="superscript"/>
          <w:lang w:val="en-GB"/>
        </w:rPr>
        <w:t>‡</w:t>
      </w:r>
      <w:r w:rsidRPr="00826E4D">
        <w:rPr>
          <w:sz w:val="20"/>
          <w:szCs w:val="20"/>
          <w:vertAlign w:val="superscript"/>
          <w:lang w:val="en-US"/>
        </w:rPr>
        <w:t xml:space="preserve"> </w:t>
      </w:r>
      <w:r w:rsidRPr="00826E4D">
        <w:rPr>
          <w:sz w:val="20"/>
          <w:szCs w:val="20"/>
          <w:lang w:val="en-GB"/>
        </w:rPr>
        <w:t>defined as any related adverse event that occurred during or within 24 hours of infusion</w:t>
      </w:r>
    </w:p>
    <w:p w:rsidR="002D3994" w:rsidRDefault="002D3994" w:rsidP="00CC7781"/>
    <w:p w:rsidR="001C7C17" w:rsidRDefault="005C6177" w:rsidP="00CC7781">
      <w:r>
        <w:t>In study GAO4753g, p</w:t>
      </w:r>
      <w:r w:rsidR="00FF262E" w:rsidRPr="00FF262E">
        <w:t xml:space="preserve">atients in the B arm received 6 months of induction treatment only, whereas after the induction period, patients in the G+B arm continued on with </w:t>
      </w:r>
      <w:r w:rsidR="00395BD6">
        <w:rPr>
          <w:lang w:val="en-US"/>
        </w:rPr>
        <w:t>Gazyva</w:t>
      </w:r>
      <w:r w:rsidR="00FF262E" w:rsidRPr="00FF262E">
        <w:t xml:space="preserve"> maintenance treatment. During the maintenance period with </w:t>
      </w:r>
      <w:r w:rsidR="00395BD6">
        <w:rPr>
          <w:lang w:val="en-US"/>
        </w:rPr>
        <w:t>Gazyva</w:t>
      </w:r>
      <w:r w:rsidR="00FF262E" w:rsidRPr="00FF262E">
        <w:t xml:space="preserve">, the most common adverse reactions were cough (14.7%), upper respiratory tract infections (11.9%), neutropenia (10.5%), sinusitis (9.8%), diarrhoea (8.4%), </w:t>
      </w:r>
      <w:r w:rsidR="00FF262E">
        <w:t>IRRs</w:t>
      </w:r>
      <w:r w:rsidR="00FF262E" w:rsidRPr="00FF262E">
        <w:t xml:space="preserve"> (8.4%), nausea (7.7%), fatigue (7.7%), bronchitis (7.0%), arthralgia (7.0%), nasopharyngitis (6.3%), urinary tract infections (6.3%) and pyrexia </w:t>
      </w:r>
      <w:r w:rsidR="00FF262E">
        <w:t>(5.6%). The most common grade 3-</w:t>
      </w:r>
      <w:r w:rsidR="00FF262E" w:rsidRPr="00FF262E">
        <w:t>5 adverse reactions were neutropenia (9.8%), and anaemia, febrile neutropenia, thrombocytopenia, sepsis, upper respiratory tract infection, and urinary tract infection (all at 1.4%).</w:t>
      </w:r>
    </w:p>
    <w:p w:rsidR="00A42C1E" w:rsidRDefault="00A42C1E" w:rsidP="00CC7781"/>
    <w:p w:rsidR="00AF08CB" w:rsidRDefault="00AF08CB" w:rsidP="00CC7781">
      <w:r>
        <w:t xml:space="preserve">The adverse drug reactions (ADRs) described in Table 8 (based on a safety population of 1390 patients with </w:t>
      </w:r>
      <w:r w:rsidR="001065BB">
        <w:t>indolent NHL) were identified during induction, maintenance and follow-up from study BO21223, in which patients were treated with either G</w:t>
      </w:r>
      <w:r w:rsidR="00395BD6">
        <w:t>azyva</w:t>
      </w:r>
      <w:r w:rsidR="001065BB">
        <w:t xml:space="preserve"> or rituximab in combination with chemotherapy followed by G</w:t>
      </w:r>
      <w:r w:rsidR="00395BD6">
        <w:t>azyva</w:t>
      </w:r>
      <w:r w:rsidR="001065BB">
        <w:t xml:space="preserve"> or rituximab monotherapy in responding patients, every 2 months until disease progression or for a maximum of 2 years. During combination therapy with chemotherapy, 93% of patients received all treatment cycles of G</w:t>
      </w:r>
      <w:r w:rsidR="00395BD6">
        <w:t>azyva</w:t>
      </w:r>
      <w:r w:rsidR="001065BB">
        <w:t xml:space="preserve"> and 92% of patients received all treatment cycles of rituximab. Of the responding patients who commenced monotherapy with G</w:t>
      </w:r>
      <w:r w:rsidR="00395BD6">
        <w:t>azyva</w:t>
      </w:r>
      <w:r w:rsidR="001065BB">
        <w:t xml:space="preserve"> or rituximab, 77% and 73% completed the full course, respectively.</w:t>
      </w:r>
    </w:p>
    <w:p w:rsidR="00AF08CB" w:rsidRDefault="00AF08CB" w:rsidP="00CC7781"/>
    <w:p w:rsidR="00A42C1E" w:rsidRDefault="00A42C1E" w:rsidP="00A42C1E">
      <w:r w:rsidRPr="00A42C1E">
        <w:t>Table 8 summari</w:t>
      </w:r>
      <w:r>
        <w:t>s</w:t>
      </w:r>
      <w:r w:rsidRPr="00A42C1E">
        <w:t>es the ADRs that occurred at a higher incidence (difference of ≥ 2%) in patients receiving G</w:t>
      </w:r>
      <w:r w:rsidR="00395BD6">
        <w:t>azyva</w:t>
      </w:r>
      <w:r w:rsidRPr="00A42C1E">
        <w:t xml:space="preserve"> plus chemotherapy </w:t>
      </w:r>
      <w:r w:rsidR="001065BB">
        <w:t>during induction followed by G</w:t>
      </w:r>
      <w:r w:rsidR="00395BD6">
        <w:t>azyva</w:t>
      </w:r>
      <w:r w:rsidR="001065BB">
        <w:t xml:space="preserve"> maintenance as compared to </w:t>
      </w:r>
      <w:r>
        <w:t>rituximab</w:t>
      </w:r>
      <w:r w:rsidRPr="00A42C1E">
        <w:t xml:space="preserve"> plus chemotherapy</w:t>
      </w:r>
      <w:r>
        <w:t xml:space="preserve"> </w:t>
      </w:r>
      <w:r w:rsidR="001065BB">
        <w:t xml:space="preserve">during induction followed by rituximab maintenance in study BO21223. </w:t>
      </w:r>
    </w:p>
    <w:p w:rsidR="00747F51" w:rsidRDefault="00747F51" w:rsidP="00A42C1E"/>
    <w:p w:rsidR="00747F51" w:rsidRDefault="00747F51" w:rsidP="00A42C1E"/>
    <w:p w:rsidR="00747F51" w:rsidRDefault="00747F51" w:rsidP="00A42C1E"/>
    <w:p w:rsidR="00747F51" w:rsidRPr="00A42C1E" w:rsidRDefault="00747F51" w:rsidP="00A42C1E"/>
    <w:p w:rsidR="00A42C1E" w:rsidRDefault="00A42C1E" w:rsidP="00CC7781"/>
    <w:p w:rsidR="00A42C1E" w:rsidRPr="00A42C1E" w:rsidRDefault="00A42C1E" w:rsidP="00CC7781">
      <w:pPr>
        <w:rPr>
          <w:b/>
        </w:rPr>
      </w:pPr>
      <w:r w:rsidRPr="00A42C1E">
        <w:rPr>
          <w:b/>
        </w:rPr>
        <w:lastRenderedPageBreak/>
        <w:t>Table 8  Adverse Reactions reported with a higher incidence (difference of ≥ 2%) in patients receiving G</w:t>
      </w:r>
      <w:r w:rsidR="00395BD6">
        <w:rPr>
          <w:b/>
        </w:rPr>
        <w:t>azyva</w:t>
      </w:r>
      <w:r w:rsidRPr="00A42C1E">
        <w:rPr>
          <w:b/>
        </w:rPr>
        <w:t xml:space="preserve"> plus chemotherapy vs rituximab plus chemotherapy</w:t>
      </w:r>
    </w:p>
    <w:tbl>
      <w:tblPr>
        <w:tblW w:w="9288" w:type="dxa"/>
        <w:jc w:val="right"/>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1559"/>
        <w:gridCol w:w="1701"/>
        <w:gridCol w:w="1657"/>
        <w:gridCol w:w="1710"/>
      </w:tblGrid>
      <w:tr w:rsidR="00A42C1E" w:rsidRPr="00A42C1E" w:rsidTr="00A42C1E">
        <w:trPr>
          <w:trHeight w:val="20"/>
          <w:tblHeader/>
          <w:jc w:val="right"/>
        </w:trPr>
        <w:tc>
          <w:tcPr>
            <w:tcW w:w="2661" w:type="dxa"/>
            <w:shd w:val="clear" w:color="auto" w:fill="auto"/>
            <w:vAlign w:val="center"/>
          </w:tcPr>
          <w:p w:rsidR="00A42C1E" w:rsidRPr="00A42C1E" w:rsidRDefault="00A42C1E" w:rsidP="00A42C1E">
            <w:pPr>
              <w:jc w:val="center"/>
              <w:rPr>
                <w:b/>
                <w:sz w:val="22"/>
                <w:lang w:val="en-GB"/>
              </w:rPr>
            </w:pPr>
            <w:r w:rsidRPr="00A42C1E">
              <w:rPr>
                <w:b/>
                <w:sz w:val="22"/>
                <w:lang w:val="en-GB"/>
              </w:rPr>
              <w:t xml:space="preserve">ADR </w:t>
            </w:r>
            <w:r w:rsidRPr="00A42C1E">
              <w:rPr>
                <w:b/>
                <w:bCs/>
                <w:sz w:val="22"/>
                <w:lang w:val="en-GB"/>
              </w:rPr>
              <w:t>(MedDRA</w:t>
            </w:r>
            <w:r w:rsidRPr="00A42C1E">
              <w:rPr>
                <w:b/>
                <w:bCs/>
                <w:sz w:val="22"/>
                <w:vertAlign w:val="superscript"/>
                <w:lang w:val="en-GB"/>
              </w:rPr>
              <w:t>a</w:t>
            </w:r>
            <w:r w:rsidRPr="00A42C1E">
              <w:rPr>
                <w:b/>
                <w:bCs/>
                <w:sz w:val="22"/>
                <w:lang w:val="en-GB"/>
              </w:rPr>
              <w:t>)</w:t>
            </w:r>
          </w:p>
          <w:p w:rsidR="00A42C1E" w:rsidRPr="00A42C1E" w:rsidRDefault="00A42C1E" w:rsidP="00A42C1E">
            <w:pPr>
              <w:jc w:val="center"/>
              <w:rPr>
                <w:b/>
                <w:bCs/>
                <w:sz w:val="22"/>
                <w:lang w:val="en-GB"/>
              </w:rPr>
            </w:pPr>
            <w:r w:rsidRPr="00A42C1E">
              <w:rPr>
                <w:b/>
                <w:bCs/>
                <w:sz w:val="22"/>
                <w:lang w:val="en-GB"/>
              </w:rPr>
              <w:t>System Organ Class</w:t>
            </w:r>
          </w:p>
        </w:tc>
        <w:tc>
          <w:tcPr>
            <w:tcW w:w="3260" w:type="dxa"/>
            <w:gridSpan w:val="2"/>
            <w:shd w:val="clear" w:color="auto" w:fill="auto"/>
            <w:vAlign w:val="center"/>
          </w:tcPr>
          <w:p w:rsidR="00A42C1E" w:rsidRPr="00A42C1E" w:rsidRDefault="00A42C1E" w:rsidP="00A42C1E">
            <w:pPr>
              <w:jc w:val="center"/>
              <w:rPr>
                <w:b/>
                <w:bCs/>
                <w:sz w:val="22"/>
                <w:lang w:val="en-GB"/>
              </w:rPr>
            </w:pPr>
            <w:r w:rsidRPr="00A42C1E">
              <w:rPr>
                <w:b/>
                <w:sz w:val="22"/>
                <w:lang w:val="en-GB"/>
              </w:rPr>
              <w:t>All Grades %</w:t>
            </w:r>
          </w:p>
        </w:tc>
        <w:tc>
          <w:tcPr>
            <w:tcW w:w="3367" w:type="dxa"/>
            <w:gridSpan w:val="2"/>
            <w:vAlign w:val="center"/>
          </w:tcPr>
          <w:p w:rsidR="00A42C1E" w:rsidRPr="00A42C1E" w:rsidRDefault="00A42C1E" w:rsidP="00A42C1E">
            <w:pPr>
              <w:jc w:val="center"/>
              <w:rPr>
                <w:b/>
                <w:sz w:val="22"/>
                <w:lang w:val="en-GB"/>
              </w:rPr>
            </w:pPr>
            <w:r w:rsidRPr="00A42C1E">
              <w:rPr>
                <w:b/>
                <w:sz w:val="22"/>
                <w:lang w:val="en-GB"/>
              </w:rPr>
              <w:t>Grades 3-5</w:t>
            </w:r>
            <w:r w:rsidRPr="00A42C1E">
              <w:rPr>
                <w:b/>
                <w:sz w:val="22"/>
                <w:vertAlign w:val="superscript"/>
                <w:lang w:val="en-GB"/>
              </w:rPr>
              <w:t>†</w:t>
            </w:r>
            <w:r w:rsidRPr="00A42C1E">
              <w:rPr>
                <w:b/>
                <w:sz w:val="22"/>
                <w:lang w:val="en-GB"/>
              </w:rPr>
              <w:t xml:space="preserve"> %</w:t>
            </w:r>
          </w:p>
        </w:tc>
      </w:tr>
      <w:tr w:rsidR="00A42C1E" w:rsidRPr="00A42C1E" w:rsidTr="00A42C1E">
        <w:trPr>
          <w:trHeight w:val="20"/>
          <w:tblHeader/>
          <w:jc w:val="right"/>
        </w:trPr>
        <w:tc>
          <w:tcPr>
            <w:tcW w:w="2661" w:type="dxa"/>
            <w:shd w:val="clear" w:color="auto" w:fill="auto"/>
            <w:vAlign w:val="center"/>
          </w:tcPr>
          <w:p w:rsidR="00A42C1E" w:rsidRPr="00A42C1E" w:rsidRDefault="00A42C1E" w:rsidP="00A42C1E">
            <w:pPr>
              <w:rPr>
                <w:b/>
                <w:sz w:val="22"/>
                <w:lang w:val="en-GB"/>
              </w:rPr>
            </w:pPr>
          </w:p>
        </w:tc>
        <w:tc>
          <w:tcPr>
            <w:tcW w:w="1559" w:type="dxa"/>
            <w:shd w:val="clear" w:color="auto" w:fill="auto"/>
            <w:vAlign w:val="center"/>
          </w:tcPr>
          <w:p w:rsidR="00A42C1E" w:rsidRPr="00A42C1E" w:rsidRDefault="00A42C1E" w:rsidP="00A42C1E">
            <w:pPr>
              <w:jc w:val="center"/>
              <w:rPr>
                <w:b/>
                <w:bCs/>
                <w:sz w:val="22"/>
                <w:lang w:val="en-GB"/>
              </w:rPr>
            </w:pPr>
            <w:r w:rsidRPr="00A42C1E">
              <w:rPr>
                <w:b/>
                <w:bCs/>
                <w:sz w:val="22"/>
                <w:lang w:val="en-GB"/>
              </w:rPr>
              <w:t>rituximab +</w:t>
            </w:r>
            <w:r>
              <w:rPr>
                <w:b/>
                <w:bCs/>
                <w:sz w:val="22"/>
                <w:lang w:val="en-GB"/>
              </w:rPr>
              <w:t xml:space="preserve"> </w:t>
            </w:r>
            <w:r w:rsidRPr="00A42C1E">
              <w:rPr>
                <w:b/>
                <w:bCs/>
                <w:sz w:val="22"/>
                <w:lang w:val="en-GB"/>
              </w:rPr>
              <w:t>chemo</w:t>
            </w:r>
          </w:p>
          <w:p w:rsidR="00A42C1E" w:rsidRPr="00A42C1E" w:rsidRDefault="00A42C1E" w:rsidP="00A42C1E">
            <w:pPr>
              <w:jc w:val="center"/>
              <w:rPr>
                <w:b/>
                <w:sz w:val="22"/>
                <w:lang w:val="en-GB"/>
              </w:rPr>
            </w:pPr>
            <w:r w:rsidRPr="00A42C1E">
              <w:rPr>
                <w:b/>
                <w:bCs/>
                <w:sz w:val="22"/>
                <w:lang w:val="en-GB"/>
              </w:rPr>
              <w:t>n=692</w:t>
            </w:r>
          </w:p>
        </w:tc>
        <w:tc>
          <w:tcPr>
            <w:tcW w:w="1701" w:type="dxa"/>
            <w:shd w:val="clear" w:color="auto" w:fill="auto"/>
            <w:vAlign w:val="center"/>
          </w:tcPr>
          <w:p w:rsidR="00A42C1E" w:rsidRPr="00A42C1E" w:rsidRDefault="00A42C1E" w:rsidP="00395BD6">
            <w:pPr>
              <w:jc w:val="center"/>
              <w:rPr>
                <w:b/>
                <w:bCs/>
                <w:sz w:val="22"/>
                <w:lang w:val="en-GB"/>
              </w:rPr>
            </w:pPr>
            <w:r w:rsidRPr="00A42C1E">
              <w:rPr>
                <w:b/>
                <w:bCs/>
                <w:sz w:val="22"/>
                <w:lang w:val="en-GB"/>
              </w:rPr>
              <w:t>G</w:t>
            </w:r>
            <w:r w:rsidR="00395BD6">
              <w:rPr>
                <w:b/>
                <w:bCs/>
                <w:sz w:val="22"/>
                <w:lang w:val="en-GB"/>
              </w:rPr>
              <w:t>azyva</w:t>
            </w:r>
            <w:r w:rsidRPr="00A42C1E">
              <w:rPr>
                <w:b/>
                <w:bCs/>
                <w:sz w:val="22"/>
                <w:lang w:val="en-GB"/>
              </w:rPr>
              <w:t xml:space="preserve"> + chemo</w:t>
            </w:r>
            <w:r w:rsidRPr="00A42C1E">
              <w:rPr>
                <w:b/>
                <w:bCs/>
                <w:sz w:val="22"/>
                <w:lang w:val="en-GB"/>
              </w:rPr>
              <w:br/>
            </w:r>
            <w:r w:rsidRPr="00A42C1E">
              <w:rPr>
                <w:b/>
                <w:sz w:val="22"/>
                <w:lang w:val="en-GB"/>
              </w:rPr>
              <w:t>n=698</w:t>
            </w:r>
          </w:p>
        </w:tc>
        <w:tc>
          <w:tcPr>
            <w:tcW w:w="1657" w:type="dxa"/>
            <w:vAlign w:val="center"/>
          </w:tcPr>
          <w:p w:rsidR="00A42C1E" w:rsidRPr="00A42C1E" w:rsidRDefault="00A42C1E" w:rsidP="00A42C1E">
            <w:pPr>
              <w:jc w:val="center"/>
              <w:rPr>
                <w:b/>
                <w:bCs/>
                <w:sz w:val="22"/>
                <w:lang w:val="en-GB"/>
              </w:rPr>
            </w:pPr>
            <w:r w:rsidRPr="00A42C1E">
              <w:rPr>
                <w:b/>
                <w:bCs/>
                <w:sz w:val="22"/>
                <w:lang w:val="en-GB"/>
              </w:rPr>
              <w:t>rituximab +</w:t>
            </w:r>
            <w:r>
              <w:rPr>
                <w:b/>
                <w:bCs/>
                <w:sz w:val="22"/>
                <w:lang w:val="en-GB"/>
              </w:rPr>
              <w:t xml:space="preserve"> </w:t>
            </w:r>
            <w:r w:rsidRPr="00A42C1E">
              <w:rPr>
                <w:b/>
                <w:bCs/>
                <w:sz w:val="22"/>
                <w:lang w:val="en-GB"/>
              </w:rPr>
              <w:t>chemo</w:t>
            </w:r>
          </w:p>
          <w:p w:rsidR="00A42C1E" w:rsidRPr="00A42C1E" w:rsidRDefault="00A42C1E" w:rsidP="00A42C1E">
            <w:pPr>
              <w:jc w:val="center"/>
              <w:rPr>
                <w:b/>
                <w:sz w:val="22"/>
                <w:lang w:val="en-GB"/>
              </w:rPr>
            </w:pPr>
            <w:r w:rsidRPr="00A42C1E">
              <w:rPr>
                <w:b/>
                <w:bCs/>
                <w:sz w:val="22"/>
                <w:lang w:val="en-GB"/>
              </w:rPr>
              <w:t>n=692</w:t>
            </w:r>
          </w:p>
        </w:tc>
        <w:tc>
          <w:tcPr>
            <w:tcW w:w="1710" w:type="dxa"/>
            <w:shd w:val="clear" w:color="auto" w:fill="auto"/>
            <w:vAlign w:val="center"/>
          </w:tcPr>
          <w:p w:rsidR="00A42C1E" w:rsidRPr="00A42C1E" w:rsidRDefault="00A42C1E" w:rsidP="00395BD6">
            <w:pPr>
              <w:jc w:val="center"/>
              <w:rPr>
                <w:b/>
                <w:sz w:val="22"/>
                <w:lang w:val="en-GB"/>
              </w:rPr>
            </w:pPr>
            <w:r w:rsidRPr="00A42C1E">
              <w:rPr>
                <w:b/>
                <w:bCs/>
                <w:sz w:val="22"/>
                <w:lang w:val="en-GB"/>
              </w:rPr>
              <w:t>G</w:t>
            </w:r>
            <w:r w:rsidR="00395BD6">
              <w:rPr>
                <w:b/>
                <w:bCs/>
                <w:sz w:val="22"/>
                <w:lang w:val="en-GB"/>
              </w:rPr>
              <w:t>azyva</w:t>
            </w:r>
            <w:r w:rsidRPr="00A42C1E">
              <w:rPr>
                <w:b/>
                <w:bCs/>
                <w:sz w:val="22"/>
                <w:lang w:val="en-GB"/>
              </w:rPr>
              <w:t xml:space="preserve"> + chemo</w:t>
            </w:r>
            <w:r w:rsidRPr="00A42C1E">
              <w:rPr>
                <w:b/>
                <w:bCs/>
                <w:sz w:val="22"/>
                <w:lang w:val="en-GB"/>
              </w:rPr>
              <w:br/>
            </w:r>
            <w:r w:rsidRPr="00A42C1E">
              <w:rPr>
                <w:b/>
                <w:sz w:val="22"/>
                <w:lang w:val="en-GB"/>
              </w:rPr>
              <w:t>n=698</w:t>
            </w:r>
          </w:p>
        </w:tc>
      </w:tr>
      <w:tr w:rsidR="00A42C1E" w:rsidRPr="00A42C1E" w:rsidTr="00A42C1E">
        <w:trPr>
          <w:trHeight w:val="20"/>
          <w:jc w:val="right"/>
        </w:trPr>
        <w:tc>
          <w:tcPr>
            <w:tcW w:w="2661" w:type="dxa"/>
            <w:shd w:val="clear" w:color="auto" w:fill="auto"/>
          </w:tcPr>
          <w:p w:rsidR="00A42C1E" w:rsidRPr="00A42C1E" w:rsidRDefault="00A42C1E" w:rsidP="00A42C1E">
            <w:pPr>
              <w:jc w:val="left"/>
              <w:rPr>
                <w:b/>
                <w:sz w:val="22"/>
                <w:lang w:val="en-GB"/>
              </w:rPr>
            </w:pPr>
            <w:r w:rsidRPr="00A42C1E">
              <w:rPr>
                <w:b/>
                <w:sz w:val="22"/>
                <w:lang w:val="en-GB"/>
              </w:rPr>
              <w:t>Injury, Poisoning and Procedural Complications</w:t>
            </w:r>
          </w:p>
        </w:tc>
        <w:tc>
          <w:tcPr>
            <w:tcW w:w="6627" w:type="dxa"/>
            <w:gridSpan w:val="4"/>
            <w:shd w:val="clear" w:color="auto" w:fill="auto"/>
          </w:tcPr>
          <w:p w:rsidR="00A42C1E" w:rsidRPr="00A42C1E" w:rsidRDefault="00A42C1E" w:rsidP="00A42C1E">
            <w:pPr>
              <w:rPr>
                <w:sz w:val="22"/>
                <w:lang w:val="en-GB"/>
              </w:rPr>
            </w:pPr>
          </w:p>
        </w:tc>
      </w:tr>
      <w:tr w:rsidR="00A42C1E" w:rsidRPr="00A42C1E" w:rsidTr="00A42C1E">
        <w:trPr>
          <w:trHeight w:val="20"/>
          <w:jc w:val="right"/>
        </w:trPr>
        <w:tc>
          <w:tcPr>
            <w:tcW w:w="2661" w:type="dxa"/>
            <w:shd w:val="clear" w:color="auto" w:fill="auto"/>
          </w:tcPr>
          <w:p w:rsidR="00A42C1E" w:rsidRPr="00A42C1E" w:rsidRDefault="00A42C1E" w:rsidP="00A42C1E">
            <w:pPr>
              <w:jc w:val="left"/>
              <w:rPr>
                <w:sz w:val="22"/>
                <w:lang w:val="en-GB"/>
              </w:rPr>
            </w:pPr>
            <w:r w:rsidRPr="00A42C1E">
              <w:rPr>
                <w:sz w:val="22"/>
                <w:lang w:val="en-GB"/>
              </w:rPr>
              <w:t>Infusion related reactions</w:t>
            </w:r>
            <w:r w:rsidRPr="00A42C1E">
              <w:rPr>
                <w:sz w:val="22"/>
                <w:vertAlign w:val="superscript"/>
                <w:lang w:val="en-GB"/>
              </w:rPr>
              <w:t>‡</w:t>
            </w:r>
          </w:p>
        </w:tc>
        <w:tc>
          <w:tcPr>
            <w:tcW w:w="1559" w:type="dxa"/>
            <w:shd w:val="clear" w:color="auto" w:fill="auto"/>
          </w:tcPr>
          <w:p w:rsidR="00A42C1E" w:rsidRPr="00A42C1E" w:rsidRDefault="00A42C1E" w:rsidP="00A42C1E">
            <w:pPr>
              <w:jc w:val="center"/>
              <w:rPr>
                <w:sz w:val="22"/>
                <w:lang w:val="en-GB"/>
              </w:rPr>
            </w:pPr>
            <w:r w:rsidRPr="00A42C1E">
              <w:rPr>
                <w:sz w:val="22"/>
                <w:lang w:val="en-GB"/>
              </w:rPr>
              <w:t>60.1</w:t>
            </w:r>
          </w:p>
        </w:tc>
        <w:tc>
          <w:tcPr>
            <w:tcW w:w="1701" w:type="dxa"/>
            <w:shd w:val="clear" w:color="auto" w:fill="auto"/>
          </w:tcPr>
          <w:p w:rsidR="00A42C1E" w:rsidRPr="00A42C1E" w:rsidRDefault="00A42C1E" w:rsidP="00A42C1E">
            <w:pPr>
              <w:jc w:val="center"/>
              <w:rPr>
                <w:sz w:val="22"/>
                <w:lang w:val="en-GB"/>
              </w:rPr>
            </w:pPr>
            <w:r w:rsidRPr="00A42C1E">
              <w:rPr>
                <w:sz w:val="22"/>
                <w:lang w:val="en-GB"/>
              </w:rPr>
              <w:t>71.6</w:t>
            </w:r>
          </w:p>
        </w:tc>
        <w:tc>
          <w:tcPr>
            <w:tcW w:w="1657" w:type="dxa"/>
          </w:tcPr>
          <w:p w:rsidR="00A42C1E" w:rsidRPr="00A42C1E" w:rsidRDefault="00A42C1E" w:rsidP="00A42C1E">
            <w:pPr>
              <w:jc w:val="center"/>
              <w:rPr>
                <w:sz w:val="22"/>
                <w:lang w:val="en-GB"/>
              </w:rPr>
            </w:pPr>
            <w:r w:rsidRPr="00A42C1E">
              <w:rPr>
                <w:sz w:val="22"/>
                <w:lang w:val="en-GB"/>
              </w:rPr>
              <w:t>8.5</w:t>
            </w:r>
          </w:p>
        </w:tc>
        <w:tc>
          <w:tcPr>
            <w:tcW w:w="1710" w:type="dxa"/>
            <w:shd w:val="clear" w:color="auto" w:fill="auto"/>
          </w:tcPr>
          <w:p w:rsidR="00A42C1E" w:rsidRPr="00A42C1E" w:rsidRDefault="00A42C1E" w:rsidP="00A42C1E">
            <w:pPr>
              <w:jc w:val="center"/>
              <w:rPr>
                <w:sz w:val="22"/>
                <w:lang w:val="en-GB"/>
              </w:rPr>
            </w:pPr>
            <w:r w:rsidRPr="00A42C1E">
              <w:rPr>
                <w:sz w:val="22"/>
                <w:lang w:val="en-GB"/>
              </w:rPr>
              <w:t>12.3</w:t>
            </w:r>
          </w:p>
        </w:tc>
      </w:tr>
      <w:tr w:rsidR="00A42C1E" w:rsidRPr="00A42C1E" w:rsidTr="00A42C1E">
        <w:trPr>
          <w:trHeight w:val="20"/>
          <w:jc w:val="right"/>
        </w:trPr>
        <w:tc>
          <w:tcPr>
            <w:tcW w:w="2661" w:type="dxa"/>
            <w:shd w:val="clear" w:color="auto" w:fill="auto"/>
          </w:tcPr>
          <w:p w:rsidR="00A42C1E" w:rsidRPr="00A42C1E" w:rsidRDefault="00A42C1E" w:rsidP="00A42C1E">
            <w:pPr>
              <w:jc w:val="left"/>
              <w:rPr>
                <w:b/>
                <w:sz w:val="22"/>
                <w:lang w:val="en-GB"/>
              </w:rPr>
            </w:pPr>
            <w:r w:rsidRPr="00A42C1E">
              <w:rPr>
                <w:b/>
                <w:sz w:val="22"/>
                <w:lang w:val="en-GB"/>
              </w:rPr>
              <w:t>Blood and Lymphatic System Disorders</w:t>
            </w:r>
          </w:p>
        </w:tc>
        <w:tc>
          <w:tcPr>
            <w:tcW w:w="6627" w:type="dxa"/>
            <w:gridSpan w:val="4"/>
            <w:shd w:val="clear" w:color="auto" w:fill="auto"/>
          </w:tcPr>
          <w:p w:rsidR="00A42C1E" w:rsidRPr="00A42C1E" w:rsidRDefault="00A42C1E" w:rsidP="00A42C1E">
            <w:pPr>
              <w:jc w:val="center"/>
              <w:rPr>
                <w:sz w:val="22"/>
                <w:lang w:val="en-GB"/>
              </w:rPr>
            </w:pPr>
          </w:p>
        </w:tc>
      </w:tr>
      <w:tr w:rsidR="00A42C1E" w:rsidRPr="00A42C1E" w:rsidTr="00A42C1E">
        <w:trPr>
          <w:trHeight w:val="20"/>
          <w:jc w:val="right"/>
        </w:trPr>
        <w:tc>
          <w:tcPr>
            <w:tcW w:w="2661" w:type="dxa"/>
            <w:shd w:val="clear" w:color="auto" w:fill="auto"/>
          </w:tcPr>
          <w:p w:rsidR="00A42C1E" w:rsidRPr="00A42C1E" w:rsidRDefault="00A42C1E" w:rsidP="00A42C1E">
            <w:pPr>
              <w:jc w:val="left"/>
              <w:rPr>
                <w:sz w:val="22"/>
                <w:lang w:val="en-GB"/>
              </w:rPr>
            </w:pPr>
            <w:r w:rsidRPr="00A42C1E">
              <w:rPr>
                <w:sz w:val="22"/>
                <w:lang w:val="en-GB"/>
              </w:rPr>
              <w:t>Neutropenia</w:t>
            </w:r>
          </w:p>
        </w:tc>
        <w:tc>
          <w:tcPr>
            <w:tcW w:w="1559" w:type="dxa"/>
            <w:shd w:val="clear" w:color="auto" w:fill="auto"/>
          </w:tcPr>
          <w:p w:rsidR="00A42C1E" w:rsidRPr="00A42C1E" w:rsidRDefault="00A42C1E" w:rsidP="00A42C1E">
            <w:pPr>
              <w:jc w:val="center"/>
              <w:rPr>
                <w:sz w:val="22"/>
                <w:lang w:val="en-GB"/>
              </w:rPr>
            </w:pPr>
            <w:r w:rsidRPr="00A42C1E">
              <w:rPr>
                <w:sz w:val="22"/>
                <w:lang w:val="en-GB"/>
              </w:rPr>
              <w:t>44.9</w:t>
            </w:r>
          </w:p>
        </w:tc>
        <w:tc>
          <w:tcPr>
            <w:tcW w:w="1701" w:type="dxa"/>
            <w:shd w:val="clear" w:color="auto" w:fill="auto"/>
          </w:tcPr>
          <w:p w:rsidR="00A42C1E" w:rsidRPr="00A42C1E" w:rsidRDefault="00A42C1E" w:rsidP="00A42C1E">
            <w:pPr>
              <w:jc w:val="center"/>
              <w:rPr>
                <w:sz w:val="22"/>
                <w:lang w:val="en-GB"/>
              </w:rPr>
            </w:pPr>
            <w:r w:rsidRPr="00A42C1E">
              <w:rPr>
                <w:sz w:val="22"/>
                <w:lang w:val="en-GB"/>
              </w:rPr>
              <w:t>50.3</w:t>
            </w:r>
          </w:p>
        </w:tc>
        <w:tc>
          <w:tcPr>
            <w:tcW w:w="1657" w:type="dxa"/>
          </w:tcPr>
          <w:p w:rsidR="00A42C1E" w:rsidRPr="00A42C1E" w:rsidRDefault="00A42C1E" w:rsidP="00A42C1E">
            <w:pPr>
              <w:jc w:val="center"/>
              <w:rPr>
                <w:sz w:val="22"/>
                <w:lang w:val="en-GB"/>
              </w:rPr>
            </w:pPr>
            <w:r w:rsidRPr="00A42C1E">
              <w:rPr>
                <w:sz w:val="22"/>
                <w:lang w:val="en-GB"/>
              </w:rPr>
              <w:t>39.6</w:t>
            </w:r>
          </w:p>
        </w:tc>
        <w:tc>
          <w:tcPr>
            <w:tcW w:w="1710" w:type="dxa"/>
            <w:shd w:val="clear" w:color="auto" w:fill="auto"/>
          </w:tcPr>
          <w:p w:rsidR="00A42C1E" w:rsidRPr="00A42C1E" w:rsidRDefault="00A42C1E" w:rsidP="00A42C1E">
            <w:pPr>
              <w:jc w:val="center"/>
              <w:rPr>
                <w:sz w:val="22"/>
                <w:lang w:val="en-GB"/>
              </w:rPr>
            </w:pPr>
            <w:r w:rsidRPr="00A42C1E">
              <w:rPr>
                <w:sz w:val="22"/>
                <w:lang w:val="en-GB"/>
              </w:rPr>
              <w:t>46.4</w:t>
            </w:r>
          </w:p>
        </w:tc>
      </w:tr>
      <w:tr w:rsidR="00A42C1E" w:rsidRPr="00A42C1E" w:rsidTr="00A42C1E">
        <w:trPr>
          <w:trHeight w:val="20"/>
          <w:jc w:val="right"/>
        </w:trPr>
        <w:tc>
          <w:tcPr>
            <w:tcW w:w="2661" w:type="dxa"/>
            <w:shd w:val="clear" w:color="auto" w:fill="auto"/>
          </w:tcPr>
          <w:p w:rsidR="00A42C1E" w:rsidRPr="00A42C1E" w:rsidRDefault="00A42C1E" w:rsidP="00A42C1E">
            <w:pPr>
              <w:jc w:val="left"/>
              <w:rPr>
                <w:sz w:val="22"/>
                <w:lang w:val="en-GB"/>
              </w:rPr>
            </w:pPr>
            <w:r w:rsidRPr="00A42C1E">
              <w:rPr>
                <w:sz w:val="22"/>
                <w:lang w:val="en-GB"/>
              </w:rPr>
              <w:t>Thrombocytopenia</w:t>
            </w:r>
          </w:p>
        </w:tc>
        <w:tc>
          <w:tcPr>
            <w:tcW w:w="1559" w:type="dxa"/>
            <w:shd w:val="clear" w:color="auto" w:fill="auto"/>
          </w:tcPr>
          <w:p w:rsidR="00A42C1E" w:rsidRPr="00A42C1E" w:rsidRDefault="00A42C1E" w:rsidP="00A42C1E">
            <w:pPr>
              <w:jc w:val="center"/>
              <w:rPr>
                <w:sz w:val="22"/>
                <w:lang w:val="en-GB"/>
              </w:rPr>
            </w:pPr>
            <w:r w:rsidRPr="00A42C1E">
              <w:rPr>
                <w:sz w:val="22"/>
                <w:lang w:val="en-GB"/>
              </w:rPr>
              <w:t>7.5</w:t>
            </w:r>
          </w:p>
        </w:tc>
        <w:tc>
          <w:tcPr>
            <w:tcW w:w="1701" w:type="dxa"/>
            <w:shd w:val="clear" w:color="auto" w:fill="auto"/>
          </w:tcPr>
          <w:p w:rsidR="00A42C1E" w:rsidRPr="00A42C1E" w:rsidRDefault="00A42C1E" w:rsidP="00A42C1E">
            <w:pPr>
              <w:jc w:val="center"/>
              <w:rPr>
                <w:sz w:val="22"/>
                <w:lang w:val="en-GB"/>
              </w:rPr>
            </w:pPr>
            <w:r w:rsidRPr="00A42C1E">
              <w:rPr>
                <w:sz w:val="22"/>
                <w:lang w:val="en-GB"/>
              </w:rPr>
              <w:t>12.3</w:t>
            </w:r>
          </w:p>
        </w:tc>
        <w:tc>
          <w:tcPr>
            <w:tcW w:w="1657" w:type="dxa"/>
          </w:tcPr>
          <w:p w:rsidR="00A42C1E" w:rsidRPr="00A42C1E" w:rsidRDefault="00A42C1E" w:rsidP="00A42C1E">
            <w:pPr>
              <w:jc w:val="center"/>
              <w:rPr>
                <w:sz w:val="22"/>
                <w:lang w:val="en-GB"/>
              </w:rPr>
            </w:pPr>
            <w:r w:rsidRPr="00A42C1E">
              <w:rPr>
                <w:sz w:val="22"/>
                <w:lang w:val="en-GB"/>
              </w:rPr>
              <w:t>2.7</w:t>
            </w:r>
          </w:p>
        </w:tc>
        <w:tc>
          <w:tcPr>
            <w:tcW w:w="1710" w:type="dxa"/>
            <w:shd w:val="clear" w:color="auto" w:fill="auto"/>
          </w:tcPr>
          <w:p w:rsidR="00A42C1E" w:rsidRPr="00A42C1E" w:rsidRDefault="00A42C1E" w:rsidP="00A42C1E">
            <w:pPr>
              <w:jc w:val="center"/>
              <w:rPr>
                <w:sz w:val="22"/>
                <w:lang w:val="en-GB"/>
              </w:rPr>
            </w:pPr>
            <w:r w:rsidRPr="00A42C1E">
              <w:rPr>
                <w:sz w:val="22"/>
                <w:lang w:val="en-GB"/>
              </w:rPr>
              <w:t>6.3</w:t>
            </w: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b/>
                <w:sz w:val="22"/>
                <w:lang w:val="en-GB"/>
              </w:rPr>
            </w:pPr>
            <w:r w:rsidRPr="00A42C1E">
              <w:rPr>
                <w:b/>
                <w:sz w:val="22"/>
                <w:lang w:val="en-GB"/>
              </w:rPr>
              <w:t>Gastrointestinal Disorders</w:t>
            </w:r>
          </w:p>
        </w:tc>
        <w:tc>
          <w:tcPr>
            <w:tcW w:w="6627" w:type="dxa"/>
            <w:gridSpan w:val="4"/>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sz w:val="22"/>
                <w:lang w:val="en-GB"/>
              </w:rPr>
              <w:t>Nausea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37.9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33.8</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0.9</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1.0</w:t>
            </w: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sz w:val="22"/>
                <w:lang w:val="en-GB"/>
              </w:rPr>
              <w:t>Constipation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29.2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32.2</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0.4</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0.3</w:t>
            </w: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sz w:val="22"/>
                <w:lang w:val="en-GB"/>
              </w:rPr>
              <w:t>Diarrhoea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23.4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27.8</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1.4</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1.9</w:t>
            </w: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sz w:val="22"/>
                <w:lang w:val="en-GB"/>
              </w:rPr>
              <w:t>Dyspepsia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F08CB" w:rsidP="00A42C1E">
            <w:pPr>
              <w:jc w:val="center"/>
              <w:rPr>
                <w:sz w:val="22"/>
                <w:lang w:val="en-GB"/>
              </w:rPr>
            </w:pPr>
            <w:r>
              <w:rPr>
                <w:sz w:val="22"/>
                <w:lang w:val="en-GB"/>
              </w:rPr>
              <w:t>5.9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8.5</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w:t>
            </w: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b/>
                <w:sz w:val="22"/>
                <w:lang w:val="en-GB"/>
              </w:rPr>
            </w:pPr>
            <w:r w:rsidRPr="00A42C1E">
              <w:rPr>
                <w:b/>
                <w:sz w:val="22"/>
                <w:lang w:val="en-GB"/>
              </w:rPr>
              <w:t>General Disorders And Administration Site Conditions</w:t>
            </w:r>
          </w:p>
        </w:tc>
        <w:tc>
          <w:tcPr>
            <w:tcW w:w="6627" w:type="dxa"/>
            <w:gridSpan w:val="4"/>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sz w:val="22"/>
                <w:lang w:val="en-GB"/>
              </w:rPr>
              <w:t>Pain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2.9</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0.4</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w:t>
            </w: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b/>
                <w:sz w:val="22"/>
                <w:lang w:val="en-GB"/>
              </w:rPr>
            </w:pPr>
            <w:r w:rsidRPr="00A42C1E">
              <w:rPr>
                <w:b/>
                <w:sz w:val="22"/>
                <w:lang w:val="en-GB"/>
              </w:rPr>
              <w:t>Infections And Infestations</w:t>
            </w:r>
          </w:p>
        </w:tc>
        <w:tc>
          <w:tcPr>
            <w:tcW w:w="6627" w:type="dxa"/>
            <w:gridSpan w:val="4"/>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sz w:val="22"/>
                <w:lang w:val="en-GB"/>
              </w:rPr>
              <w:t>Upper Respiratory Tract Infection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19.1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21.5</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0.7</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0.9</w:t>
            </w: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sz w:val="22"/>
                <w:lang w:val="en-GB"/>
              </w:rPr>
              <w:t>Pneumonia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10.2</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4.2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5.4</w:t>
            </w: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sz w:val="22"/>
                <w:lang w:val="en-GB"/>
              </w:rPr>
              <w:t>Herpes Zoster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6.9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10.6</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0.9</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1.3</w:t>
            </w: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sz w:val="22"/>
                <w:lang w:val="en-GB"/>
              </w:rPr>
              <w:t>Sinusitis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6.6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9.3</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0.4</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0.3</w:t>
            </w: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sz w:val="22"/>
                <w:lang w:val="en-GB"/>
              </w:rPr>
              <w:t>Rhinitis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8.0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0.3</w:t>
            </w: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sz w:val="22"/>
                <w:lang w:val="en-GB"/>
              </w:rPr>
              <w:t>Pharyngitis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4.3</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w:t>
            </w: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b/>
                <w:sz w:val="22"/>
                <w:lang w:val="en-GB"/>
              </w:rPr>
              <w:t>Metabolism And Nutrition Disorders</w:t>
            </w:r>
          </w:p>
        </w:tc>
        <w:tc>
          <w:tcPr>
            <w:tcW w:w="6627" w:type="dxa"/>
            <w:gridSpan w:val="4"/>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sz w:val="22"/>
                <w:lang w:val="en-GB"/>
              </w:rPr>
              <w:t>Hypokalaemia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6.4</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0.9</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0.7</w:t>
            </w: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b/>
                <w:sz w:val="22"/>
                <w:lang w:val="en-GB"/>
              </w:rPr>
            </w:pPr>
            <w:r w:rsidRPr="00A42C1E">
              <w:rPr>
                <w:b/>
                <w:sz w:val="22"/>
                <w:lang w:val="en-GB"/>
              </w:rPr>
              <w:t>Musculoskeletal and Connective Tissue Disorders</w:t>
            </w:r>
          </w:p>
        </w:tc>
        <w:tc>
          <w:tcPr>
            <w:tcW w:w="6627" w:type="dxa"/>
            <w:gridSpan w:val="4"/>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sz w:val="22"/>
                <w:lang w:val="en-GB"/>
              </w:rPr>
              <w:t>Back pain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16.2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13.0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0.6</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0.4</w:t>
            </w:r>
          </w:p>
        </w:tc>
      </w:tr>
      <w:tr w:rsidR="00A42C1E" w:rsidRPr="00A42C1E" w:rsidTr="00A42C1E">
        <w:trPr>
          <w:trHeight w:val="20"/>
          <w:jc w:val="right"/>
        </w:trPr>
        <w:tc>
          <w:tcPr>
            <w:tcW w:w="2661" w:type="dxa"/>
            <w:shd w:val="clear" w:color="auto" w:fill="auto"/>
          </w:tcPr>
          <w:p w:rsidR="00A42C1E" w:rsidRPr="00A42C1E" w:rsidRDefault="00A42C1E" w:rsidP="00A42C1E">
            <w:pPr>
              <w:jc w:val="left"/>
              <w:rPr>
                <w:b/>
                <w:sz w:val="22"/>
                <w:lang w:val="en-GB"/>
              </w:rPr>
            </w:pPr>
            <w:r w:rsidRPr="00A42C1E">
              <w:rPr>
                <w:b/>
                <w:sz w:val="22"/>
                <w:lang w:val="en-GB"/>
              </w:rPr>
              <w:t>Psychiatric Disorders</w:t>
            </w:r>
          </w:p>
        </w:tc>
        <w:tc>
          <w:tcPr>
            <w:tcW w:w="6627" w:type="dxa"/>
            <w:gridSpan w:val="4"/>
            <w:shd w:val="clear" w:color="auto" w:fill="auto"/>
          </w:tcPr>
          <w:p w:rsidR="00A42C1E" w:rsidRPr="00A42C1E" w:rsidRDefault="00A42C1E" w:rsidP="00A42C1E">
            <w:pPr>
              <w:jc w:val="center"/>
              <w:rPr>
                <w:b/>
                <w:sz w:val="22"/>
                <w:lang w:val="en-GB"/>
              </w:rPr>
            </w:pPr>
          </w:p>
        </w:tc>
      </w:tr>
      <w:tr w:rsidR="00A42C1E" w:rsidRPr="00A42C1E" w:rsidTr="00A42C1E">
        <w:trPr>
          <w:trHeight w:val="20"/>
          <w:jc w:val="right"/>
        </w:trPr>
        <w:tc>
          <w:tcPr>
            <w:tcW w:w="2661" w:type="dxa"/>
            <w:shd w:val="clear" w:color="auto" w:fill="auto"/>
          </w:tcPr>
          <w:p w:rsidR="00A42C1E" w:rsidRPr="00A42C1E" w:rsidRDefault="00A42C1E" w:rsidP="00A42C1E">
            <w:pPr>
              <w:jc w:val="left"/>
              <w:rPr>
                <w:sz w:val="22"/>
                <w:lang w:val="en-GB"/>
              </w:rPr>
            </w:pPr>
            <w:r w:rsidRPr="00A42C1E">
              <w:rPr>
                <w:sz w:val="22"/>
                <w:lang w:val="en-GB"/>
              </w:rPr>
              <w:t>Insomnia</w:t>
            </w:r>
          </w:p>
        </w:tc>
        <w:tc>
          <w:tcPr>
            <w:tcW w:w="1559" w:type="dxa"/>
            <w:shd w:val="clear" w:color="auto" w:fill="auto"/>
          </w:tcPr>
          <w:p w:rsidR="00A42C1E" w:rsidRPr="00A42C1E" w:rsidRDefault="00A42C1E" w:rsidP="00A42C1E">
            <w:pPr>
              <w:jc w:val="center"/>
              <w:rPr>
                <w:sz w:val="22"/>
                <w:lang w:val="en-GB"/>
              </w:rPr>
            </w:pPr>
            <w:r w:rsidRPr="00A42C1E">
              <w:rPr>
                <w:sz w:val="22"/>
                <w:lang w:val="en-GB"/>
              </w:rPr>
              <w:t>11.3</w:t>
            </w:r>
          </w:p>
        </w:tc>
        <w:tc>
          <w:tcPr>
            <w:tcW w:w="1701" w:type="dxa"/>
            <w:shd w:val="clear" w:color="auto" w:fill="auto"/>
          </w:tcPr>
          <w:p w:rsidR="00A42C1E" w:rsidRPr="00A42C1E" w:rsidRDefault="00A42C1E" w:rsidP="00A42C1E">
            <w:pPr>
              <w:jc w:val="center"/>
              <w:rPr>
                <w:sz w:val="22"/>
                <w:lang w:val="en-GB"/>
              </w:rPr>
            </w:pPr>
            <w:r w:rsidRPr="00A42C1E">
              <w:rPr>
                <w:sz w:val="22"/>
                <w:lang w:val="en-GB"/>
              </w:rPr>
              <w:t>14.3</w:t>
            </w:r>
          </w:p>
        </w:tc>
        <w:tc>
          <w:tcPr>
            <w:tcW w:w="1657" w:type="dxa"/>
          </w:tcPr>
          <w:p w:rsidR="00A42C1E" w:rsidRPr="00A42C1E" w:rsidRDefault="00A42C1E" w:rsidP="00A42C1E">
            <w:pPr>
              <w:jc w:val="center"/>
              <w:rPr>
                <w:sz w:val="22"/>
                <w:lang w:val="en-GB"/>
              </w:rPr>
            </w:pPr>
            <w:r w:rsidRPr="00A42C1E">
              <w:rPr>
                <w:sz w:val="22"/>
                <w:lang w:val="en-GB"/>
              </w:rPr>
              <w:t>0.3</w:t>
            </w:r>
          </w:p>
        </w:tc>
        <w:tc>
          <w:tcPr>
            <w:tcW w:w="1710" w:type="dxa"/>
            <w:shd w:val="clear" w:color="auto" w:fill="auto"/>
          </w:tcPr>
          <w:p w:rsidR="00A42C1E" w:rsidRPr="00A42C1E" w:rsidRDefault="00A42C1E" w:rsidP="00A42C1E">
            <w:pPr>
              <w:jc w:val="center"/>
              <w:rPr>
                <w:sz w:val="22"/>
                <w:lang w:val="en-GB"/>
              </w:rPr>
            </w:pPr>
            <w:r w:rsidRPr="00A42C1E">
              <w:rPr>
                <w:sz w:val="22"/>
                <w:lang w:val="en-GB"/>
              </w:rPr>
              <w:t>0.1</w:t>
            </w:r>
          </w:p>
        </w:tc>
      </w:tr>
      <w:tr w:rsidR="00A42C1E" w:rsidRPr="00A42C1E" w:rsidTr="00A42C1E">
        <w:trPr>
          <w:trHeight w:val="20"/>
          <w:jc w:val="right"/>
        </w:trPr>
        <w:tc>
          <w:tcPr>
            <w:tcW w:w="2661" w:type="dxa"/>
            <w:shd w:val="clear" w:color="auto" w:fill="auto"/>
          </w:tcPr>
          <w:p w:rsidR="00A42C1E" w:rsidRPr="00A42C1E" w:rsidRDefault="00A42C1E" w:rsidP="00A42C1E">
            <w:pPr>
              <w:jc w:val="left"/>
              <w:rPr>
                <w:sz w:val="22"/>
                <w:lang w:val="en-GB"/>
              </w:rPr>
            </w:pPr>
            <w:r w:rsidRPr="00A42C1E">
              <w:rPr>
                <w:sz w:val="22"/>
                <w:lang w:val="en-GB"/>
              </w:rPr>
              <w:t>Anxiety</w:t>
            </w:r>
          </w:p>
        </w:tc>
        <w:tc>
          <w:tcPr>
            <w:tcW w:w="1559" w:type="dxa"/>
            <w:shd w:val="clear" w:color="auto" w:fill="auto"/>
          </w:tcPr>
          <w:p w:rsidR="00A42C1E" w:rsidRPr="00A42C1E" w:rsidRDefault="00A42C1E" w:rsidP="00A42C1E">
            <w:pPr>
              <w:jc w:val="center"/>
              <w:rPr>
                <w:sz w:val="22"/>
                <w:lang w:val="en-GB"/>
              </w:rPr>
            </w:pPr>
            <w:r w:rsidRPr="00A42C1E">
              <w:rPr>
                <w:sz w:val="22"/>
                <w:lang w:val="en-GB"/>
              </w:rPr>
              <w:t>3.8</w:t>
            </w:r>
          </w:p>
        </w:tc>
        <w:tc>
          <w:tcPr>
            <w:tcW w:w="1701" w:type="dxa"/>
            <w:shd w:val="clear" w:color="auto" w:fill="auto"/>
          </w:tcPr>
          <w:p w:rsidR="00A42C1E" w:rsidRPr="00A42C1E" w:rsidRDefault="00A42C1E" w:rsidP="00A42C1E">
            <w:pPr>
              <w:jc w:val="center"/>
              <w:rPr>
                <w:sz w:val="22"/>
                <w:lang w:val="en-GB"/>
              </w:rPr>
            </w:pPr>
            <w:r w:rsidRPr="00A42C1E">
              <w:rPr>
                <w:sz w:val="22"/>
                <w:lang w:val="en-GB"/>
              </w:rPr>
              <w:t>6.2</w:t>
            </w:r>
          </w:p>
        </w:tc>
        <w:tc>
          <w:tcPr>
            <w:tcW w:w="1657" w:type="dxa"/>
          </w:tcPr>
          <w:p w:rsidR="00A42C1E" w:rsidRPr="00A42C1E" w:rsidRDefault="00A42C1E" w:rsidP="00A42C1E">
            <w:pPr>
              <w:jc w:val="center"/>
              <w:rPr>
                <w:sz w:val="22"/>
                <w:lang w:val="en-GB"/>
              </w:rPr>
            </w:pPr>
            <w:r w:rsidRPr="00A42C1E">
              <w:rPr>
                <w:sz w:val="22"/>
                <w:lang w:val="en-GB"/>
              </w:rPr>
              <w:t>0.1</w:t>
            </w:r>
          </w:p>
        </w:tc>
        <w:tc>
          <w:tcPr>
            <w:tcW w:w="1710" w:type="dxa"/>
            <w:shd w:val="clear" w:color="auto" w:fill="auto"/>
          </w:tcPr>
          <w:p w:rsidR="00A42C1E" w:rsidRPr="00A42C1E" w:rsidRDefault="00A42C1E" w:rsidP="00A42C1E">
            <w:pPr>
              <w:jc w:val="center"/>
              <w:rPr>
                <w:sz w:val="22"/>
                <w:lang w:val="en-GB"/>
              </w:rPr>
            </w:pPr>
            <w:r w:rsidRPr="00A42C1E">
              <w:rPr>
                <w:sz w:val="22"/>
                <w:lang w:val="en-GB"/>
              </w:rPr>
              <w:t>0.1</w:t>
            </w:r>
          </w:p>
        </w:tc>
      </w:tr>
      <w:tr w:rsidR="00A42C1E" w:rsidRPr="00A42C1E" w:rsidTr="00A42C1E">
        <w:trPr>
          <w:trHeight w:val="20"/>
          <w:jc w:val="right"/>
        </w:trPr>
        <w:tc>
          <w:tcPr>
            <w:tcW w:w="2661" w:type="dxa"/>
            <w:shd w:val="clear" w:color="auto" w:fill="auto"/>
          </w:tcPr>
          <w:p w:rsidR="00A42C1E" w:rsidRPr="00A42C1E" w:rsidRDefault="00A42C1E" w:rsidP="00A42C1E">
            <w:pPr>
              <w:jc w:val="left"/>
              <w:rPr>
                <w:b/>
                <w:sz w:val="22"/>
                <w:lang w:val="en-GB"/>
              </w:rPr>
            </w:pPr>
            <w:r w:rsidRPr="00A42C1E">
              <w:rPr>
                <w:b/>
                <w:sz w:val="22"/>
                <w:lang w:val="en-GB"/>
              </w:rPr>
              <w:t>Nervous System Disorders</w:t>
            </w:r>
          </w:p>
        </w:tc>
        <w:tc>
          <w:tcPr>
            <w:tcW w:w="6627" w:type="dxa"/>
            <w:gridSpan w:val="4"/>
            <w:shd w:val="clear" w:color="auto" w:fill="auto"/>
          </w:tcPr>
          <w:p w:rsidR="00A42C1E" w:rsidRPr="00A42C1E" w:rsidRDefault="00A42C1E" w:rsidP="00A42C1E">
            <w:pPr>
              <w:rPr>
                <w:sz w:val="22"/>
                <w:lang w:val="en-GB"/>
              </w:rPr>
            </w:pPr>
          </w:p>
        </w:tc>
      </w:tr>
      <w:tr w:rsidR="00A42C1E" w:rsidRPr="00A42C1E" w:rsidTr="00A42C1E">
        <w:trPr>
          <w:trHeight w:val="20"/>
          <w:jc w:val="right"/>
        </w:trPr>
        <w:tc>
          <w:tcPr>
            <w:tcW w:w="2661" w:type="dxa"/>
            <w:shd w:val="clear" w:color="auto" w:fill="auto"/>
          </w:tcPr>
          <w:p w:rsidR="00A42C1E" w:rsidRPr="00A42C1E" w:rsidRDefault="00A42C1E" w:rsidP="00A42C1E">
            <w:pPr>
              <w:jc w:val="left"/>
              <w:rPr>
                <w:sz w:val="22"/>
                <w:lang w:val="en-GB"/>
              </w:rPr>
            </w:pPr>
            <w:r w:rsidRPr="00A42C1E">
              <w:rPr>
                <w:sz w:val="22"/>
                <w:lang w:val="en-GB"/>
              </w:rPr>
              <w:t>Headache</w:t>
            </w:r>
          </w:p>
        </w:tc>
        <w:tc>
          <w:tcPr>
            <w:tcW w:w="1559" w:type="dxa"/>
            <w:shd w:val="clear" w:color="auto" w:fill="auto"/>
          </w:tcPr>
          <w:p w:rsidR="00A42C1E" w:rsidRPr="00A42C1E" w:rsidRDefault="00A42C1E" w:rsidP="00A42C1E">
            <w:pPr>
              <w:jc w:val="center"/>
              <w:rPr>
                <w:sz w:val="22"/>
                <w:lang w:val="en-GB"/>
              </w:rPr>
            </w:pPr>
            <w:r w:rsidRPr="00A42C1E">
              <w:rPr>
                <w:sz w:val="22"/>
                <w:lang w:val="en-GB"/>
              </w:rPr>
              <w:t>14.5</w:t>
            </w:r>
          </w:p>
        </w:tc>
        <w:tc>
          <w:tcPr>
            <w:tcW w:w="1701" w:type="dxa"/>
            <w:shd w:val="clear" w:color="auto" w:fill="auto"/>
          </w:tcPr>
          <w:p w:rsidR="00A42C1E" w:rsidRPr="00A42C1E" w:rsidRDefault="00A42C1E" w:rsidP="00A42C1E">
            <w:pPr>
              <w:jc w:val="center"/>
              <w:rPr>
                <w:sz w:val="22"/>
                <w:lang w:val="en-GB"/>
              </w:rPr>
            </w:pPr>
            <w:r w:rsidRPr="00A42C1E">
              <w:rPr>
                <w:sz w:val="22"/>
                <w:lang w:val="en-GB"/>
              </w:rPr>
              <w:t>16.8</w:t>
            </w:r>
          </w:p>
        </w:tc>
        <w:tc>
          <w:tcPr>
            <w:tcW w:w="1657" w:type="dxa"/>
          </w:tcPr>
          <w:p w:rsidR="00A42C1E" w:rsidRPr="00A42C1E" w:rsidRDefault="00A42C1E" w:rsidP="00A42C1E">
            <w:pPr>
              <w:jc w:val="center"/>
              <w:rPr>
                <w:sz w:val="22"/>
                <w:lang w:val="en-GB"/>
              </w:rPr>
            </w:pPr>
            <w:r w:rsidRPr="00A42C1E">
              <w:rPr>
                <w:sz w:val="22"/>
                <w:lang w:val="en-GB"/>
              </w:rPr>
              <w:t>0.1</w:t>
            </w:r>
          </w:p>
        </w:tc>
        <w:tc>
          <w:tcPr>
            <w:tcW w:w="1710" w:type="dxa"/>
            <w:shd w:val="clear" w:color="auto" w:fill="auto"/>
          </w:tcPr>
          <w:p w:rsidR="00A42C1E" w:rsidRPr="00A42C1E" w:rsidRDefault="00161D58" w:rsidP="00A42C1E">
            <w:pPr>
              <w:jc w:val="center"/>
              <w:rPr>
                <w:sz w:val="22"/>
                <w:lang w:val="en-GB"/>
              </w:rPr>
            </w:pPr>
            <w:r>
              <w:rPr>
                <w:sz w:val="22"/>
                <w:lang w:val="en-GB"/>
              </w:rPr>
              <w:t>0.1</w:t>
            </w: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b/>
                <w:sz w:val="22"/>
                <w:lang w:val="en-GB"/>
              </w:rPr>
            </w:pPr>
            <w:r w:rsidRPr="00A42C1E">
              <w:rPr>
                <w:b/>
                <w:sz w:val="22"/>
                <w:lang w:val="en-GB"/>
              </w:rPr>
              <w:t>Respiratory, Thoracic and Mediastinal Disorders</w:t>
            </w:r>
          </w:p>
        </w:tc>
        <w:tc>
          <w:tcPr>
            <w:tcW w:w="6627" w:type="dxa"/>
            <w:gridSpan w:val="4"/>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p>
          <w:p w:rsidR="00A42C1E" w:rsidRPr="00A42C1E" w:rsidRDefault="00A42C1E" w:rsidP="00A42C1E">
            <w:pPr>
              <w:jc w:val="center"/>
              <w:rPr>
                <w:sz w:val="22"/>
                <w:lang w:val="en-GB"/>
              </w:rPr>
            </w:pP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sz w:val="22"/>
                <w:lang w:val="en-GB"/>
              </w:rPr>
              <w:t>Cough</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24.9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30.2</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0.1</w:t>
            </w: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sz w:val="22"/>
                <w:lang w:val="en-GB"/>
              </w:rPr>
              <w:t>Oropharyngeal pain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7.4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9.5</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0.1</w:t>
            </w:r>
          </w:p>
        </w:tc>
      </w:tr>
      <w:tr w:rsidR="00A42C1E" w:rsidRPr="00A42C1E" w:rsidTr="00A42C1E">
        <w:trPr>
          <w:cantSplit/>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b/>
                <w:sz w:val="22"/>
                <w:lang w:val="en-GB"/>
              </w:rPr>
            </w:pPr>
            <w:r w:rsidRPr="00A42C1E">
              <w:rPr>
                <w:b/>
                <w:sz w:val="22"/>
                <w:lang w:val="en-GB"/>
              </w:rPr>
              <w:lastRenderedPageBreak/>
              <w:t>Skin and Subcutaneous Tissue Disorders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p>
        </w:tc>
      </w:tr>
      <w:tr w:rsidR="00A42C1E" w:rsidRPr="00A42C1E" w:rsidTr="00A42C1E">
        <w:trPr>
          <w:trHeight w:val="2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sz w:val="22"/>
                <w:lang w:val="en-GB"/>
              </w:rPr>
              <w:t>Alopecia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10.4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12.6</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w:t>
            </w:r>
          </w:p>
        </w:tc>
      </w:tr>
      <w:tr w:rsidR="00A42C1E" w:rsidRPr="00A42C1E" w:rsidTr="00A42C1E">
        <w:trPr>
          <w:trHeight w:val="80"/>
          <w:jc w:val="right"/>
        </w:trPr>
        <w:tc>
          <w:tcPr>
            <w:tcW w:w="266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left"/>
              <w:rPr>
                <w:sz w:val="22"/>
                <w:lang w:val="en-GB"/>
              </w:rPr>
            </w:pPr>
            <w:r w:rsidRPr="00A42C1E">
              <w:rPr>
                <w:sz w:val="22"/>
                <w:lang w:val="en-GB"/>
              </w:rPr>
              <w:t>Pruritus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8.1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10.6</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42C1E" w:rsidRPr="00A42C1E" w:rsidRDefault="00A42C1E" w:rsidP="00A42C1E">
            <w:pPr>
              <w:jc w:val="center"/>
              <w:rPr>
                <w:sz w:val="22"/>
                <w:lang w:val="en-GB"/>
              </w:rPr>
            </w:pPr>
            <w:r w:rsidRPr="00A42C1E">
              <w:rPr>
                <w:sz w:val="22"/>
                <w:lang w:val="en-GB"/>
              </w:rPr>
              <w:t>0.1</w:t>
            </w:r>
          </w:p>
        </w:tc>
      </w:tr>
    </w:tbl>
    <w:p w:rsidR="00A42C1E" w:rsidRPr="00A42C1E" w:rsidRDefault="00A42C1E" w:rsidP="00A42C1E">
      <w:pPr>
        <w:rPr>
          <w:sz w:val="20"/>
          <w:szCs w:val="20"/>
          <w:lang w:val="en-GB"/>
        </w:rPr>
      </w:pPr>
      <w:r w:rsidRPr="00A42C1E">
        <w:rPr>
          <w:sz w:val="20"/>
          <w:szCs w:val="20"/>
          <w:vertAlign w:val="superscript"/>
          <w:lang w:val="en-GB"/>
        </w:rPr>
        <w:t xml:space="preserve">† </w:t>
      </w:r>
      <w:r w:rsidRPr="00A42C1E">
        <w:rPr>
          <w:sz w:val="20"/>
          <w:szCs w:val="20"/>
          <w:lang w:val="en-GB"/>
        </w:rPr>
        <w:t>No Grade 5 adverse reactions have been observed with a difference of ≥ 2% between the treatment arms</w:t>
      </w:r>
    </w:p>
    <w:p w:rsidR="00A42C1E" w:rsidRDefault="00A42C1E" w:rsidP="00CC7781">
      <w:pPr>
        <w:rPr>
          <w:sz w:val="20"/>
          <w:szCs w:val="20"/>
          <w:lang w:val="en-GB"/>
        </w:rPr>
      </w:pPr>
      <w:r w:rsidRPr="00A42C1E">
        <w:rPr>
          <w:sz w:val="20"/>
          <w:szCs w:val="20"/>
          <w:vertAlign w:val="superscript"/>
          <w:lang w:val="en-GB"/>
        </w:rPr>
        <w:t>‡</w:t>
      </w:r>
      <w:r w:rsidRPr="00A42C1E">
        <w:rPr>
          <w:sz w:val="20"/>
          <w:szCs w:val="20"/>
          <w:vertAlign w:val="superscript"/>
          <w:lang w:val="en-US"/>
        </w:rPr>
        <w:t xml:space="preserve"> </w:t>
      </w:r>
      <w:r w:rsidRPr="00A42C1E">
        <w:rPr>
          <w:sz w:val="20"/>
          <w:szCs w:val="20"/>
          <w:lang w:val="en-GB"/>
        </w:rPr>
        <w:t>defined as any related adverse event that occurred during or within 24 hours of infusion</w:t>
      </w:r>
    </w:p>
    <w:p w:rsidR="00161D58" w:rsidRDefault="00161D58" w:rsidP="00CC7781">
      <w:pPr>
        <w:rPr>
          <w:szCs w:val="24"/>
        </w:rPr>
      </w:pPr>
    </w:p>
    <w:p w:rsidR="00161D58" w:rsidRPr="00161D58" w:rsidRDefault="00161D58" w:rsidP="00CC7781">
      <w:pPr>
        <w:rPr>
          <w:szCs w:val="24"/>
        </w:rPr>
      </w:pPr>
      <w:r>
        <w:rPr>
          <w:szCs w:val="24"/>
        </w:rPr>
        <w:t>During the monotherapy period with G</w:t>
      </w:r>
      <w:r w:rsidR="00395BD6">
        <w:rPr>
          <w:szCs w:val="24"/>
        </w:rPr>
        <w:t>azyva</w:t>
      </w:r>
      <w:r>
        <w:rPr>
          <w:szCs w:val="24"/>
        </w:rPr>
        <w:t>, the most common adverse events (incidence ≥ 5%) in patients with previously untreated iNHL were cough (20%), neutropenia (19%), upper respiratory tract infection (</w:t>
      </w:r>
      <w:r w:rsidR="002A09CB">
        <w:rPr>
          <w:szCs w:val="24"/>
        </w:rPr>
        <w:t>14%), viral upper respiratory tract infection (15%), diarrhoea (12%), arthralgia (9%), fatigue (9%), sinusitis (9%), infusion reactions (8%), pneumonia (8%), herpes zoster (8%), lower respiratory tract infection (7%), pyrexia (6%), back pain (6%), headache (6%), urinary tract infection (6%), nausea (6%), bronchitis (5%) and vomiting (5%). The most common Grade 3-4 adverse events (incidence ≥ 1%) during the monotherapy period were neutropenia (17%), pneumonia (3%, with 2 deaths due to pneumonia reported in the G</w:t>
      </w:r>
      <w:r w:rsidR="00395BD6">
        <w:rPr>
          <w:szCs w:val="24"/>
        </w:rPr>
        <w:t>azyva</w:t>
      </w:r>
      <w:r w:rsidR="002A09CB">
        <w:rPr>
          <w:szCs w:val="24"/>
        </w:rPr>
        <w:t xml:space="preserve"> treatment arm) and febrile neutropenia (2%).</w:t>
      </w:r>
    </w:p>
    <w:p w:rsidR="001A1DBF" w:rsidRDefault="001A1DBF" w:rsidP="00CE3639">
      <w:pPr>
        <w:pStyle w:val="Heading2"/>
        <w:numPr>
          <w:ilvl w:val="0"/>
          <w:numId w:val="0"/>
        </w:numPr>
      </w:pPr>
      <w:r>
        <w:t>Further information on selected adverse reactions</w:t>
      </w:r>
    </w:p>
    <w:p w:rsidR="00E719F9" w:rsidRDefault="001A1DBF" w:rsidP="00E719F9">
      <w:pPr>
        <w:rPr>
          <w:b/>
        </w:rPr>
      </w:pPr>
      <w:r w:rsidRPr="001A1DBF">
        <w:rPr>
          <w:b/>
        </w:rPr>
        <w:t>Infusion related reactions</w:t>
      </w:r>
    </w:p>
    <w:p w:rsidR="00FF262E" w:rsidRDefault="00FF262E" w:rsidP="00E719F9">
      <w:r w:rsidRPr="00FF262E">
        <w:t>Most frequently reported (</w:t>
      </w:r>
      <w:r w:rsidR="00374CF0">
        <w:t xml:space="preserve">≥ </w:t>
      </w:r>
      <w:r w:rsidRPr="00FF262E">
        <w:t xml:space="preserve">5%) symptoms associated with an IRR were nausea, </w:t>
      </w:r>
      <w:r w:rsidR="0003296C">
        <w:t xml:space="preserve">vomiting, diarrhoea, headache, dizziness, </w:t>
      </w:r>
      <w:r w:rsidRPr="00FF262E">
        <w:t xml:space="preserve">fatigue, chills, </w:t>
      </w:r>
      <w:r w:rsidR="0003296C">
        <w:t xml:space="preserve">pyrexia, </w:t>
      </w:r>
      <w:r w:rsidRPr="00FF262E">
        <w:t xml:space="preserve">hypotension, </w:t>
      </w:r>
      <w:r w:rsidR="0003296C">
        <w:t xml:space="preserve">flushing, hypertension, tachycardia, </w:t>
      </w:r>
      <w:r w:rsidRPr="00FF262E">
        <w:t>dyspnoea,</w:t>
      </w:r>
      <w:r w:rsidR="0003296C">
        <w:t xml:space="preserve"> and chest discomfort</w:t>
      </w:r>
      <w:r w:rsidRPr="00FF262E">
        <w:t>. Respirato</w:t>
      </w:r>
      <w:r w:rsidR="00731568">
        <w:t>ry symptoms such as</w:t>
      </w:r>
      <w:r w:rsidRPr="00FF262E">
        <w:t xml:space="preserve"> bronchospasm, larynx and throat irritation, wheezing, laryngeal oedema and</w:t>
      </w:r>
      <w:r w:rsidR="0003296C">
        <w:t xml:space="preserve"> cardiac symptoms such as</w:t>
      </w:r>
      <w:r w:rsidRPr="00FF262E">
        <w:t xml:space="preserve"> atrial fibrillation have also been reported (</w:t>
      </w:r>
      <w:r w:rsidR="0003296C">
        <w:t>s</w:t>
      </w:r>
      <w:r w:rsidRPr="00FF262E">
        <w:t xml:space="preserve">ee </w:t>
      </w:r>
      <w:r w:rsidR="00374CF0">
        <w:t>PRECAUTIONS</w:t>
      </w:r>
      <w:r w:rsidRPr="00FF262E">
        <w:t>).</w:t>
      </w:r>
    </w:p>
    <w:p w:rsidR="00FF262E" w:rsidRDefault="00FF262E" w:rsidP="00E719F9"/>
    <w:p w:rsidR="00A35B43" w:rsidRDefault="00A35B43" w:rsidP="00E719F9">
      <w:r>
        <w:t>In study BO21223 t</w:t>
      </w:r>
      <w:r w:rsidRPr="00A35B43">
        <w:t>he most frequent symptoms of IRRs (&gt; 5% occurrence in the G-chemo arm) were as follows (percentages expressed as R-chemo vs. G-chemo): nausea (20.3% vs. 25.7%), chills (7.0% vs. 15.6%), pyrexia (5.5% vs. 14.3%), chest discomfort (3.4% vs.5.0%) vomiting (8.0% vs 11.1%), fatigue (6.9% vs. 7.2%), dyspn</w:t>
      </w:r>
      <w:r w:rsidR="00ED0303">
        <w:t>o</w:t>
      </w:r>
      <w:r w:rsidRPr="00A35B43">
        <w:t>ea (4.7% vs. 7.6%), throat irritation (5.4% vs. 3.5%), headache (4.4% vs. 8.7%), flushing (3.7% vs. 5.4%), hypotension (1.7% vs. 5.0%), pruritus (6.0% vs. 4.0%), rash (5.9% vs.4.2%) and constipation (3.0% vs. 5.4%).</w:t>
      </w:r>
    </w:p>
    <w:p w:rsidR="00A35B43" w:rsidRDefault="00A35B43" w:rsidP="00E719F9"/>
    <w:p w:rsidR="00FF262E" w:rsidRPr="00FF262E" w:rsidRDefault="00FF262E" w:rsidP="00E719F9">
      <w:pPr>
        <w:rPr>
          <w:i/>
        </w:rPr>
      </w:pPr>
      <w:r>
        <w:rPr>
          <w:i/>
        </w:rPr>
        <w:t>Chronic Lymphocytic Leukaemia</w:t>
      </w:r>
    </w:p>
    <w:p w:rsidR="003C722C" w:rsidRDefault="00E719F9" w:rsidP="00E719F9">
      <w:r>
        <w:t>The incidence of IRRs was 6</w:t>
      </w:r>
      <w:r w:rsidR="00196C7C">
        <w:t>5</w:t>
      </w:r>
      <w:r>
        <w:t>% with the</w:t>
      </w:r>
      <w:r w:rsidR="00196C7C">
        <w:t xml:space="preserve"> infusion of the</w:t>
      </w:r>
      <w:r>
        <w:t xml:space="preserve"> first </w:t>
      </w:r>
      <w:r w:rsidR="00196C7C">
        <w:t xml:space="preserve">1000 mg of </w:t>
      </w:r>
      <w:r w:rsidR="00395BD6">
        <w:rPr>
          <w:lang w:val="en-US"/>
        </w:rPr>
        <w:t>Gazyva</w:t>
      </w:r>
      <w:r>
        <w:t xml:space="preserve"> (2</w:t>
      </w:r>
      <w:r w:rsidR="00196C7C">
        <w:t>0</w:t>
      </w:r>
      <w:r>
        <w:t>% of patients experiencing a Grade 3-</w:t>
      </w:r>
      <w:r w:rsidR="0003296C">
        <w:t>4</w:t>
      </w:r>
      <w:r>
        <w:t xml:space="preserve"> IRR</w:t>
      </w:r>
      <w:r w:rsidR="00196C7C">
        <w:t>). Overall, 7</w:t>
      </w:r>
      <w:r>
        <w:t>% of patients experienc</w:t>
      </w:r>
      <w:r w:rsidR="00196C7C">
        <w:t>ed</w:t>
      </w:r>
      <w:r>
        <w:t xml:space="preserve"> an </w:t>
      </w:r>
      <w:r w:rsidR="00196C7C">
        <w:t>IRR</w:t>
      </w:r>
      <w:r>
        <w:t xml:space="preserve"> leading to discontinuation</w:t>
      </w:r>
      <w:r w:rsidR="00196C7C">
        <w:t xml:space="preserve"> of </w:t>
      </w:r>
      <w:r w:rsidR="00395BD6">
        <w:rPr>
          <w:lang w:val="en-US"/>
        </w:rPr>
        <w:t>Gazyva</w:t>
      </w:r>
      <w:r>
        <w:t>.</w:t>
      </w:r>
      <w:r w:rsidR="00196C7C">
        <w:t xml:space="preserve"> The incidence of IRR with subsequent infusions was 3% with the second 1000 mg dose and 1% thereafter. No Grade 3-5 IRR were reported beyond the first 1000 mg infusions of Cycle 1.</w:t>
      </w:r>
      <w:r>
        <w:t xml:space="preserve"> </w:t>
      </w:r>
    </w:p>
    <w:p w:rsidR="003C722C" w:rsidRDefault="003C722C" w:rsidP="00E719F9"/>
    <w:p w:rsidR="00AA0AFF" w:rsidRDefault="00E719F9" w:rsidP="00E719F9">
      <w:r>
        <w:t xml:space="preserve">In patients who received </w:t>
      </w:r>
      <w:r w:rsidR="00AA0AFF">
        <w:t xml:space="preserve">the </w:t>
      </w:r>
      <w:r w:rsidR="0003296C">
        <w:t xml:space="preserve">recommended </w:t>
      </w:r>
      <w:r w:rsidR="00AA0AFF">
        <w:t xml:space="preserve">measures for prevention of IRRs </w:t>
      </w:r>
      <w:r>
        <w:t xml:space="preserve"> as described under DOSAGE AND ADMINISTRATION,</w:t>
      </w:r>
      <w:r w:rsidR="0003296C">
        <w:t xml:space="preserve"> a </w:t>
      </w:r>
      <w:r>
        <w:t xml:space="preserve">decreased incidence of all </w:t>
      </w:r>
      <w:r w:rsidR="00AA0AFF">
        <w:t>G</w:t>
      </w:r>
      <w:r>
        <w:t xml:space="preserve">rades IRRs was observed. </w:t>
      </w:r>
      <w:r w:rsidR="003C722C">
        <w:t xml:space="preserve">The </w:t>
      </w:r>
      <w:r w:rsidR="00DC551D">
        <w:t xml:space="preserve">incidence </w:t>
      </w:r>
      <w:r w:rsidR="003C722C">
        <w:t>of Grade 3-4 IRRs (which are based on a relatively low number of patients) were similar before and after mitigation measures were implemented.</w:t>
      </w:r>
    </w:p>
    <w:p w:rsidR="00747F51" w:rsidRDefault="00747F51" w:rsidP="00E719F9"/>
    <w:p w:rsidR="001A1DBF" w:rsidRDefault="001A1DBF" w:rsidP="001A1DBF"/>
    <w:p w:rsidR="00374CF0" w:rsidRPr="00374CF0" w:rsidRDefault="00374CF0" w:rsidP="00374CF0">
      <w:pPr>
        <w:rPr>
          <w:i/>
        </w:rPr>
      </w:pPr>
      <w:r w:rsidRPr="00374CF0">
        <w:rPr>
          <w:i/>
        </w:rPr>
        <w:lastRenderedPageBreak/>
        <w:t>Non-Hodgkin Lymphoma</w:t>
      </w:r>
    </w:p>
    <w:p w:rsidR="00374CF0" w:rsidRDefault="00374CF0" w:rsidP="00374CF0">
      <w:r>
        <w:t xml:space="preserve">In Cycle 1, the overall incidence of IRRs was higher in patients receiving </w:t>
      </w:r>
      <w:r w:rsidR="00395BD6">
        <w:rPr>
          <w:lang w:val="en-US"/>
        </w:rPr>
        <w:t>Gazyva</w:t>
      </w:r>
      <w:r w:rsidR="0003296C">
        <w:t xml:space="preserve"> plus chemotherapy </w:t>
      </w:r>
      <w:r>
        <w:t xml:space="preserve">compared to patients </w:t>
      </w:r>
      <w:r w:rsidR="0003296C">
        <w:t>in the comparator arm</w:t>
      </w:r>
      <w:r>
        <w:t xml:space="preserve">. In patients receiving </w:t>
      </w:r>
      <w:r w:rsidR="00395BD6">
        <w:rPr>
          <w:lang w:val="en-US"/>
        </w:rPr>
        <w:t>Gazyva</w:t>
      </w:r>
      <w:r w:rsidR="00CC0242">
        <w:t xml:space="preserve"> plus chemotherapy, </w:t>
      </w:r>
      <w:r>
        <w:t xml:space="preserve">the incidence of IRRs was highest on Day 1 and gradually decreased </w:t>
      </w:r>
      <w:r w:rsidR="00CC0242">
        <w:t>with subsequent infusions. This decreasing trend continued during maintenance therapy with G</w:t>
      </w:r>
      <w:r w:rsidR="00395BD6">
        <w:t>azyva</w:t>
      </w:r>
      <w:r>
        <w:t xml:space="preserve">. </w:t>
      </w:r>
    </w:p>
    <w:p w:rsidR="00374CF0" w:rsidRDefault="00374CF0" w:rsidP="00374CF0"/>
    <w:p w:rsidR="00374CF0" w:rsidRDefault="00374CF0" w:rsidP="00374CF0">
      <w:r>
        <w:t xml:space="preserve">Overall, 3% of patients experienced an IRR leading to discontinuation of </w:t>
      </w:r>
      <w:r w:rsidR="00395BD6">
        <w:rPr>
          <w:lang w:val="en-US"/>
        </w:rPr>
        <w:t>Gazyva</w:t>
      </w:r>
      <w:r>
        <w:t>.</w:t>
      </w:r>
    </w:p>
    <w:p w:rsidR="00374CF0" w:rsidRDefault="00374CF0" w:rsidP="001A1DBF"/>
    <w:p w:rsidR="001A1DBF" w:rsidRPr="001A1DBF" w:rsidRDefault="001A1DBF" w:rsidP="001A1DBF">
      <w:pPr>
        <w:rPr>
          <w:b/>
        </w:rPr>
      </w:pPr>
      <w:r w:rsidRPr="001A1DBF">
        <w:rPr>
          <w:b/>
        </w:rPr>
        <w:t>Neutropenia and infections</w:t>
      </w:r>
    </w:p>
    <w:p w:rsidR="00374CF0" w:rsidRDefault="00374CF0" w:rsidP="00D07E39">
      <w:r>
        <w:rPr>
          <w:i/>
        </w:rPr>
        <w:t>Chronic Lymphocytic Leukaemia</w:t>
      </w:r>
    </w:p>
    <w:p w:rsidR="001A1DBF" w:rsidRPr="00D07E39" w:rsidRDefault="00D07E39" w:rsidP="00D07E39">
      <w:r w:rsidRPr="00D07E39">
        <w:t>The incidence of neutropenia was</w:t>
      </w:r>
      <w:r w:rsidR="00FC0B3F">
        <w:t xml:space="preserve"> higher</w:t>
      </w:r>
      <w:r w:rsidRPr="00D07E39">
        <w:t xml:space="preserve"> in the </w:t>
      </w:r>
      <w:r w:rsidR="00395BD6">
        <w:rPr>
          <w:lang w:val="en-US"/>
        </w:rPr>
        <w:t>Gazyva</w:t>
      </w:r>
      <w:r w:rsidRPr="00D07E39">
        <w:t xml:space="preserve"> </w:t>
      </w:r>
      <w:r w:rsidR="00E42FF8">
        <w:t>plus chlorambucil</w:t>
      </w:r>
      <w:r w:rsidRPr="00D07E39">
        <w:t xml:space="preserve"> arm </w:t>
      </w:r>
      <w:r w:rsidR="00FC0B3F">
        <w:t xml:space="preserve">compared to </w:t>
      </w:r>
      <w:r w:rsidRPr="00D07E39">
        <w:t xml:space="preserve">the </w:t>
      </w:r>
      <w:r w:rsidR="00E42FF8">
        <w:t xml:space="preserve">rituximab plus </w:t>
      </w:r>
      <w:r w:rsidRPr="00D07E39">
        <w:t xml:space="preserve">chlorambucil arm with </w:t>
      </w:r>
      <w:r w:rsidR="00E42FF8">
        <w:t xml:space="preserve">the </w:t>
      </w:r>
      <w:r>
        <w:t>neutropenia resolv</w:t>
      </w:r>
      <w:r w:rsidR="00FC0B3F">
        <w:t>ing</w:t>
      </w:r>
      <w:r>
        <w:t xml:space="preserve"> spontaneously or with use of granulocyte colony-stimulating factors. The incidence of infection </w:t>
      </w:r>
      <w:r w:rsidR="00E42FF8">
        <w:t xml:space="preserve">was </w:t>
      </w:r>
      <w:r>
        <w:t>38% in</w:t>
      </w:r>
      <w:r w:rsidR="00E42FF8">
        <w:t xml:space="preserve"> the </w:t>
      </w:r>
      <w:r w:rsidR="00395BD6">
        <w:rPr>
          <w:lang w:val="en-US"/>
        </w:rPr>
        <w:t>Gazyva</w:t>
      </w:r>
      <w:r>
        <w:t xml:space="preserve"> </w:t>
      </w:r>
      <w:r w:rsidR="00E42FF8">
        <w:t xml:space="preserve">plus chlorambucil </w:t>
      </w:r>
      <w:r>
        <w:t xml:space="preserve">arm and </w:t>
      </w:r>
      <w:r w:rsidR="00E42FF8">
        <w:t>37</w:t>
      </w:r>
      <w:r>
        <w:t xml:space="preserve">% in </w:t>
      </w:r>
      <w:r w:rsidR="00E42FF8">
        <w:t xml:space="preserve">the rituximab plus </w:t>
      </w:r>
      <w:r>
        <w:t xml:space="preserve">chlorambucil arm (with </w:t>
      </w:r>
      <w:r w:rsidR="00E42FF8">
        <w:t xml:space="preserve">Grade 3-5 </w:t>
      </w:r>
      <w:r>
        <w:t xml:space="preserve">events reported in </w:t>
      </w:r>
      <w:r w:rsidR="00866063">
        <w:t>12</w:t>
      </w:r>
      <w:r>
        <w:t xml:space="preserve">% and </w:t>
      </w:r>
      <w:r w:rsidRPr="00866063">
        <w:t>14</w:t>
      </w:r>
      <w:r>
        <w:t xml:space="preserve">%, respectively and fatal events reported in </w:t>
      </w:r>
      <w:r w:rsidR="00E42FF8">
        <w:t>&lt; 1% in both treatment arms</w:t>
      </w:r>
      <w:r>
        <w:t xml:space="preserve">). Cases of prolonged neutropenia (2% in </w:t>
      </w:r>
      <w:r w:rsidR="006932A6">
        <w:t xml:space="preserve">the </w:t>
      </w:r>
      <w:r w:rsidR="00395BD6">
        <w:rPr>
          <w:lang w:val="en-US"/>
        </w:rPr>
        <w:t>Gazyva</w:t>
      </w:r>
      <w:r>
        <w:t xml:space="preserve"> </w:t>
      </w:r>
      <w:r w:rsidR="006932A6">
        <w:t xml:space="preserve">plus chlorambucil arm and 4% in the rituximab plus </w:t>
      </w:r>
      <w:r>
        <w:t xml:space="preserve">chlorambucil arm) and late onset neutropenia (16% in </w:t>
      </w:r>
      <w:r w:rsidR="009B0F7D">
        <w:t xml:space="preserve">the </w:t>
      </w:r>
      <w:r w:rsidR="00395BD6">
        <w:rPr>
          <w:lang w:val="en-US"/>
        </w:rPr>
        <w:t>Gazyva</w:t>
      </w:r>
      <w:r>
        <w:t xml:space="preserve"> </w:t>
      </w:r>
      <w:r w:rsidR="009B0F7D">
        <w:t xml:space="preserve">plus chlorambucil </w:t>
      </w:r>
      <w:r>
        <w:t>arm and 12% in</w:t>
      </w:r>
      <w:r w:rsidR="009B0F7D">
        <w:t xml:space="preserve"> the rituximab plus</w:t>
      </w:r>
      <w:r>
        <w:t xml:space="preserve"> chlorambucil arm) were also reported (see PRECAUTIONS).</w:t>
      </w:r>
    </w:p>
    <w:p w:rsidR="001A1DBF" w:rsidRDefault="001A1DBF" w:rsidP="001A1DBF"/>
    <w:p w:rsidR="00374CF0" w:rsidRPr="00374CF0" w:rsidRDefault="00374CF0" w:rsidP="00374CF0">
      <w:pPr>
        <w:rPr>
          <w:i/>
        </w:rPr>
      </w:pPr>
      <w:r w:rsidRPr="00374CF0">
        <w:rPr>
          <w:i/>
        </w:rPr>
        <w:t>Non-Hodgkin Lymphoma</w:t>
      </w:r>
    </w:p>
    <w:p w:rsidR="00374CF0" w:rsidRDefault="00F555DB" w:rsidP="001A1DBF">
      <w:r>
        <w:t xml:space="preserve">In the </w:t>
      </w:r>
      <w:r w:rsidR="00395BD6">
        <w:rPr>
          <w:lang w:val="en-US"/>
        </w:rPr>
        <w:t>Gazyva</w:t>
      </w:r>
      <w:r>
        <w:t xml:space="preserve"> plus chemotherapy arm, the incidence of neutropenia was higher relative to the comparator arm with an increased risk during the induction period. </w:t>
      </w:r>
      <w:r w:rsidR="00374CF0" w:rsidRPr="00374CF0">
        <w:t>The incidence of</w:t>
      </w:r>
      <w:r>
        <w:t xml:space="preserve"> prolonged</w:t>
      </w:r>
      <w:r w:rsidR="00374CF0" w:rsidRPr="00374CF0">
        <w:t xml:space="preserve"> neutropenia</w:t>
      </w:r>
      <w:r>
        <w:t xml:space="preserve"> and late onset neutropenia</w:t>
      </w:r>
      <w:r w:rsidR="00374CF0" w:rsidRPr="00374CF0">
        <w:t xml:space="preserve"> in the </w:t>
      </w:r>
      <w:r w:rsidR="00395BD6">
        <w:rPr>
          <w:lang w:val="en-US"/>
        </w:rPr>
        <w:t>Gazyva</w:t>
      </w:r>
      <w:r>
        <w:t xml:space="preserve"> plus chemotherapy</w:t>
      </w:r>
      <w:r w:rsidR="00374CF0" w:rsidRPr="00374CF0">
        <w:t xml:space="preserve"> arm</w:t>
      </w:r>
      <w:r>
        <w:t xml:space="preserve"> were 3% and 7%, respectively.</w:t>
      </w:r>
      <w:r w:rsidR="00374CF0" w:rsidRPr="00374CF0">
        <w:t xml:space="preserve"> The incidence of infection was </w:t>
      </w:r>
      <w:r w:rsidR="00A35B43">
        <w:t>81</w:t>
      </w:r>
      <w:r w:rsidR="00374CF0" w:rsidRPr="00374CF0">
        <w:t xml:space="preserve">% in the </w:t>
      </w:r>
      <w:r w:rsidR="00395BD6">
        <w:rPr>
          <w:lang w:val="en-US"/>
        </w:rPr>
        <w:t>Gazyva</w:t>
      </w:r>
      <w:r>
        <w:t xml:space="preserve"> plus chemotherapy</w:t>
      </w:r>
      <w:r w:rsidR="00374CF0" w:rsidRPr="00374CF0">
        <w:t xml:space="preserve"> arm (with Grade 3-5 events reported in </w:t>
      </w:r>
      <w:r>
        <w:t>22%</w:t>
      </w:r>
      <w:r w:rsidR="00DB7178">
        <w:t xml:space="preserve"> of patients</w:t>
      </w:r>
      <w:r w:rsidR="00374CF0" w:rsidRPr="00374CF0">
        <w:t xml:space="preserve"> and fatal events reported in </w:t>
      </w:r>
      <w:r w:rsidR="00A35B43">
        <w:t>2</w:t>
      </w:r>
      <w:r w:rsidR="00374CF0" w:rsidRPr="00374CF0">
        <w:t xml:space="preserve">% </w:t>
      </w:r>
      <w:r>
        <w:t>of patients</w:t>
      </w:r>
      <w:r w:rsidR="00374CF0" w:rsidRPr="00374CF0">
        <w:t>).</w:t>
      </w:r>
      <w:r w:rsidR="00A35B43">
        <w:t xml:space="preserve"> The incidence of infection was 72% in the rituximab plus chemotherapy arm (with Grade 3-5 events reported in 17% of patients and fatal events reported in 1% of patients).</w:t>
      </w:r>
      <w:r w:rsidR="00374CF0" w:rsidRPr="00374CF0">
        <w:t xml:space="preserve"> </w:t>
      </w:r>
      <w:r>
        <w:t xml:space="preserve">Patients who received G-CSF prophylaxis had a lower rate of Grade 3-5 infections. </w:t>
      </w:r>
      <w:r w:rsidR="00374CF0" w:rsidRPr="00374CF0">
        <w:t xml:space="preserve">(See </w:t>
      </w:r>
      <w:r w:rsidR="00A5449D">
        <w:t>PRECAUTIONS</w:t>
      </w:r>
      <w:r w:rsidR="00374CF0" w:rsidRPr="00374CF0">
        <w:t>).</w:t>
      </w:r>
    </w:p>
    <w:p w:rsidR="00374CF0" w:rsidRPr="00D07E39" w:rsidRDefault="00374CF0" w:rsidP="001A1DBF"/>
    <w:p w:rsidR="001A1DBF" w:rsidRDefault="001A1DBF" w:rsidP="001A1DBF">
      <w:pPr>
        <w:rPr>
          <w:b/>
        </w:rPr>
      </w:pPr>
      <w:r>
        <w:rPr>
          <w:b/>
        </w:rPr>
        <w:t>Thrombocytopenia</w:t>
      </w:r>
      <w:r w:rsidR="007A3F7C">
        <w:rPr>
          <w:b/>
        </w:rPr>
        <w:t xml:space="preserve"> and haemorrhagic events</w:t>
      </w:r>
    </w:p>
    <w:p w:rsidR="006455FE" w:rsidRDefault="006455FE" w:rsidP="001A1DBF">
      <w:r>
        <w:rPr>
          <w:i/>
        </w:rPr>
        <w:t>Chronic Lymphocytic Leukaemia</w:t>
      </w:r>
    </w:p>
    <w:p w:rsidR="0024043C" w:rsidRDefault="00D07E39" w:rsidP="001A1DBF">
      <w:r w:rsidRPr="00D07E39">
        <w:t>The incidence of thrombocytopenia was</w:t>
      </w:r>
      <w:r w:rsidR="00994159">
        <w:t xml:space="preserve"> higher</w:t>
      </w:r>
      <w:r w:rsidRPr="00D07E39">
        <w:t xml:space="preserve"> in the </w:t>
      </w:r>
      <w:r w:rsidR="00395BD6">
        <w:rPr>
          <w:lang w:val="en-US"/>
        </w:rPr>
        <w:t>Gazyva</w:t>
      </w:r>
      <w:r w:rsidRPr="00D07E39">
        <w:t xml:space="preserve"> </w:t>
      </w:r>
      <w:r w:rsidR="00504DD8">
        <w:t xml:space="preserve">plus chlorambucil </w:t>
      </w:r>
      <w:r w:rsidRPr="00D07E39">
        <w:t>arm</w:t>
      </w:r>
      <w:r w:rsidR="00994159">
        <w:t xml:space="preserve"> compared to</w:t>
      </w:r>
      <w:r w:rsidRPr="00D07E39">
        <w:t xml:space="preserve"> the </w:t>
      </w:r>
      <w:r w:rsidR="00504DD8">
        <w:t xml:space="preserve">rituximab plus </w:t>
      </w:r>
      <w:r w:rsidRPr="00D07E39">
        <w:t xml:space="preserve">chlorambucil arm </w:t>
      </w:r>
      <w:r w:rsidR="00994159">
        <w:t xml:space="preserve">especially during the first cycle. </w:t>
      </w:r>
      <w:r w:rsidR="00504DD8">
        <w:t xml:space="preserve">Four </w:t>
      </w:r>
      <w:r w:rsidRPr="00D07E39">
        <w:t>percent of patients</w:t>
      </w:r>
      <w:r w:rsidR="00504DD8">
        <w:t xml:space="preserve"> treated with</w:t>
      </w:r>
      <w:r w:rsidRPr="00D07E39">
        <w:t xml:space="preserve"> </w:t>
      </w:r>
      <w:r w:rsidR="00395BD6">
        <w:rPr>
          <w:lang w:val="en-US"/>
        </w:rPr>
        <w:t>Gazyva</w:t>
      </w:r>
      <w:r w:rsidRPr="00D07E39">
        <w:t xml:space="preserve"> </w:t>
      </w:r>
      <w:r w:rsidR="00504DD8">
        <w:t xml:space="preserve">plus chlorambucil </w:t>
      </w:r>
      <w:r w:rsidRPr="00D07E39">
        <w:t xml:space="preserve">experienced acute thrombocytopenia (occurring within 24 hours after the </w:t>
      </w:r>
      <w:r w:rsidR="00395BD6">
        <w:rPr>
          <w:lang w:val="en-US"/>
        </w:rPr>
        <w:t>Gazyva</w:t>
      </w:r>
      <w:r w:rsidRPr="00D07E39">
        <w:t xml:space="preserve"> infusion) (</w:t>
      </w:r>
      <w:r>
        <w:t>see PRECAUTIONS</w:t>
      </w:r>
      <w:r w:rsidRPr="00D07E39">
        <w:t>).</w:t>
      </w:r>
      <w:r w:rsidR="00504DD8">
        <w:t xml:space="preserve"> The overall incidence of haemorrhagic events was similar in the </w:t>
      </w:r>
      <w:r w:rsidR="00395BD6">
        <w:rPr>
          <w:lang w:val="en-US"/>
        </w:rPr>
        <w:t>Gazyva</w:t>
      </w:r>
      <w:r w:rsidR="00504DD8">
        <w:t xml:space="preserve"> treated arm and in the rituximab treated arm. </w:t>
      </w:r>
      <w:r w:rsidR="00994159">
        <w:t xml:space="preserve">The number of fatal haemorrhagic events was balanced between the treatment arms; however all of the events in patients treated with </w:t>
      </w:r>
      <w:r w:rsidR="00395BD6">
        <w:rPr>
          <w:lang w:val="en-US"/>
        </w:rPr>
        <w:t>Gazyva</w:t>
      </w:r>
      <w:r w:rsidR="00994159">
        <w:t xml:space="preserve"> were repo</w:t>
      </w:r>
      <w:r w:rsidR="003D33E2">
        <w:t>rted in Cycle 1.</w:t>
      </w:r>
      <w:r w:rsidR="00994159">
        <w:t xml:space="preserve"> A clear relationship between thrombocytopenia and haemorrhagic e</w:t>
      </w:r>
      <w:r w:rsidR="003D33E2">
        <w:t>vents has not been established.</w:t>
      </w:r>
    </w:p>
    <w:p w:rsidR="006455FE" w:rsidRDefault="006455FE" w:rsidP="001A1DBF"/>
    <w:p w:rsidR="006455FE" w:rsidRDefault="006455FE" w:rsidP="001A1DBF">
      <w:r w:rsidRPr="00374CF0">
        <w:rPr>
          <w:i/>
        </w:rPr>
        <w:t>Non-Hodgkin Lymphoma</w:t>
      </w:r>
    </w:p>
    <w:p w:rsidR="009D44F7" w:rsidRDefault="007A3F7C" w:rsidP="001A1DBF">
      <w:r>
        <w:t>T</w:t>
      </w:r>
      <w:r w:rsidR="006455FE" w:rsidRPr="006455FE">
        <w:t>hrombocytopenia</w:t>
      </w:r>
      <w:r>
        <w:t xml:space="preserve"> occurred more frequently during Cycle 1 in the </w:t>
      </w:r>
      <w:r w:rsidR="00395BD6">
        <w:rPr>
          <w:lang w:val="en-US"/>
        </w:rPr>
        <w:t>Gazyva</w:t>
      </w:r>
      <w:r>
        <w:t xml:space="preserve"> plus chemotherapy arm. Thrombocytopenia occurring during or 24 hours from end of infusion (acute thrombocytopenia) was more frequently observed in patients treated with </w:t>
      </w:r>
      <w:r w:rsidR="00395BD6">
        <w:rPr>
          <w:lang w:val="en-US"/>
        </w:rPr>
        <w:t>Gazyva</w:t>
      </w:r>
      <w:r>
        <w:t xml:space="preserve"> plus chemotherapy than in the relevant comparator arm. The incidence of haemorrhagic AEs was similar across all treatment arms. Haemorrhagic events and Grade 3-5 haemorrhagic events </w:t>
      </w:r>
      <w:r>
        <w:lastRenderedPageBreak/>
        <w:t>occurred in 11% and 5% of patients, respectively</w:t>
      </w:r>
      <w:r w:rsidR="00710E72">
        <w:t>. While fatal haemorrhagic events occurred in less than 1% of patients, none of these fatal AEs occurred in Cycle 1.</w:t>
      </w:r>
    </w:p>
    <w:p w:rsidR="00DA2760" w:rsidRPr="006455FE" w:rsidRDefault="00DA2760" w:rsidP="001A1DBF"/>
    <w:p w:rsidR="0024043C" w:rsidRPr="0024043C" w:rsidRDefault="0024043C" w:rsidP="0024043C">
      <w:pPr>
        <w:rPr>
          <w:b/>
        </w:rPr>
      </w:pPr>
      <w:r w:rsidRPr="0024043C">
        <w:rPr>
          <w:b/>
        </w:rPr>
        <w:t>Progressive multifocal leukoencephalopathy (PML)</w:t>
      </w:r>
    </w:p>
    <w:p w:rsidR="0024043C" w:rsidRDefault="0024043C" w:rsidP="0024043C">
      <w:r>
        <w:t>PML has been reported in patient</w:t>
      </w:r>
      <w:r w:rsidR="000747E7">
        <w:t>s</w:t>
      </w:r>
      <w:r>
        <w:t xml:space="preserve"> treated with </w:t>
      </w:r>
      <w:r w:rsidR="00395BD6">
        <w:rPr>
          <w:lang w:val="en-US"/>
        </w:rPr>
        <w:t>Gazyva</w:t>
      </w:r>
      <w:r>
        <w:t xml:space="preserve"> (see </w:t>
      </w:r>
      <w:r w:rsidR="00BE0264">
        <w:t xml:space="preserve">BOXED WARNING, </w:t>
      </w:r>
      <w:r>
        <w:t>PRECAUTIONS).</w:t>
      </w:r>
    </w:p>
    <w:p w:rsidR="006E32D3" w:rsidRDefault="006E32D3" w:rsidP="0024043C"/>
    <w:p w:rsidR="000747E7" w:rsidRDefault="006E32D3" w:rsidP="0024043C">
      <w:r w:rsidRPr="006E32D3">
        <w:rPr>
          <w:b/>
        </w:rPr>
        <w:t>Hepatitis B Reactivation</w:t>
      </w:r>
    </w:p>
    <w:p w:rsidR="006E32D3" w:rsidRDefault="006E32D3" w:rsidP="0024043C">
      <w:r>
        <w:t xml:space="preserve">Cases of hepatitis B reactivation have been reported in patients treated with </w:t>
      </w:r>
      <w:r w:rsidR="00395BD6">
        <w:rPr>
          <w:lang w:val="en-US"/>
        </w:rPr>
        <w:t>Gazyva</w:t>
      </w:r>
      <w:r>
        <w:t xml:space="preserve"> (see PRECAUTIONS).</w:t>
      </w:r>
    </w:p>
    <w:p w:rsidR="00D15341" w:rsidRDefault="00D15341" w:rsidP="0024043C"/>
    <w:p w:rsidR="0024043C" w:rsidRPr="0024043C" w:rsidRDefault="0024043C" w:rsidP="0024043C">
      <w:pPr>
        <w:rPr>
          <w:b/>
        </w:rPr>
      </w:pPr>
      <w:r w:rsidRPr="0024043C">
        <w:rPr>
          <w:b/>
        </w:rPr>
        <w:t xml:space="preserve">Worsening of Pre-existing Cardiac Conditions </w:t>
      </w:r>
    </w:p>
    <w:p w:rsidR="00B14860" w:rsidRDefault="0024043C" w:rsidP="001A1DBF">
      <w:r>
        <w:t xml:space="preserve">Cases of fatal cardiac events have been reported in patients treated with </w:t>
      </w:r>
      <w:r w:rsidR="00395BD6">
        <w:rPr>
          <w:lang w:val="en-US"/>
        </w:rPr>
        <w:t>Gazyva</w:t>
      </w:r>
      <w:r>
        <w:t xml:space="preserve"> (see PRECAUTIONS).</w:t>
      </w:r>
      <w:r w:rsidRPr="00D07E39" w:rsidDel="00D07E39">
        <w:t xml:space="preserve"> </w:t>
      </w:r>
    </w:p>
    <w:p w:rsidR="006455FE" w:rsidRDefault="006455FE" w:rsidP="001A1DBF"/>
    <w:p w:rsidR="006455FE" w:rsidRDefault="006455FE" w:rsidP="006455FE">
      <w:r>
        <w:rPr>
          <w:b/>
        </w:rPr>
        <w:t>Gastro-Intestinal Perforation</w:t>
      </w:r>
    </w:p>
    <w:p w:rsidR="006455FE" w:rsidRDefault="006455FE" w:rsidP="001A1DBF">
      <w:r w:rsidRPr="006455FE">
        <w:t>Cases of gastro-intestinal perforation have been reported in patients receiving</w:t>
      </w:r>
      <w:r>
        <w:t xml:space="preserve"> </w:t>
      </w:r>
      <w:r w:rsidR="00395BD6">
        <w:rPr>
          <w:lang w:val="en-US"/>
        </w:rPr>
        <w:t>Gazyva</w:t>
      </w:r>
      <w:r>
        <w:t>, mainly in NHL</w:t>
      </w:r>
      <w:r w:rsidRPr="006455FE">
        <w:t>.</w:t>
      </w:r>
    </w:p>
    <w:p w:rsidR="00BE0264" w:rsidRDefault="00BE0264" w:rsidP="001A1DBF"/>
    <w:p w:rsidR="008F60E6" w:rsidRDefault="00BE0264" w:rsidP="005E6539">
      <w:pPr>
        <w:rPr>
          <w:b/>
        </w:rPr>
      </w:pPr>
      <w:r w:rsidRPr="00BE0264">
        <w:rPr>
          <w:b/>
        </w:rPr>
        <w:t>Malignancies</w:t>
      </w:r>
    </w:p>
    <w:p w:rsidR="003172E2" w:rsidRPr="00D07E39" w:rsidRDefault="003172E2" w:rsidP="005E6539">
      <w:r w:rsidRPr="003172E2">
        <w:t>There is an increased incidence of second malignancies in patients with CLL.</w:t>
      </w:r>
      <w:r w:rsidR="007E323A" w:rsidRPr="007E323A">
        <w:t xml:space="preserve"> Data from the pivotal study in CLL does not demonstrate an increased risk of second malignancies following </w:t>
      </w:r>
      <w:r w:rsidR="00395BD6">
        <w:rPr>
          <w:lang w:val="en-US"/>
        </w:rPr>
        <w:t>Gazyva</w:t>
      </w:r>
      <w:r w:rsidR="007E323A" w:rsidRPr="007E323A">
        <w:t xml:space="preserve"> therapy.</w:t>
      </w:r>
      <w:r w:rsidRPr="003172E2">
        <w:t xml:space="preserve"> </w:t>
      </w:r>
    </w:p>
    <w:p w:rsidR="001455F0" w:rsidRDefault="001455F0" w:rsidP="00615CBF">
      <w:pPr>
        <w:pStyle w:val="Heading2"/>
        <w:numPr>
          <w:ilvl w:val="0"/>
          <w:numId w:val="0"/>
        </w:numPr>
      </w:pPr>
      <w:r>
        <w:t>Laboratory Abnormalities</w:t>
      </w:r>
    </w:p>
    <w:p w:rsidR="0055092B" w:rsidRDefault="006E32D3" w:rsidP="001455F0">
      <w:pPr>
        <w:spacing w:after="120"/>
      </w:pPr>
      <w:r>
        <w:t xml:space="preserve">Transient elevation in liver enzymes (AST, ALT, ALP) has been observed shortly after the first infusion of </w:t>
      </w:r>
      <w:r w:rsidR="00395BD6">
        <w:rPr>
          <w:lang w:val="en-US"/>
        </w:rPr>
        <w:t>Gazyva</w:t>
      </w:r>
      <w:r>
        <w:t>.</w:t>
      </w:r>
    </w:p>
    <w:p w:rsidR="008E64DB" w:rsidRDefault="0055092B" w:rsidP="001455F0">
      <w:pPr>
        <w:spacing w:after="120"/>
      </w:pPr>
      <w:r>
        <w:t>For additional information s</w:t>
      </w:r>
      <w:r w:rsidR="0034261C" w:rsidRPr="0034261C">
        <w:t xml:space="preserve">ee </w:t>
      </w:r>
      <w:r w:rsidR="0034261C" w:rsidRPr="005C5183">
        <w:rPr>
          <w:i/>
        </w:rPr>
        <w:t>Further information on selected adverse reactions</w:t>
      </w:r>
      <w:r w:rsidR="0034261C" w:rsidRPr="0034261C">
        <w:t>, Neutropenia and infections; Thrombocytopenia.</w:t>
      </w:r>
    </w:p>
    <w:p w:rsidR="00D844B2" w:rsidRDefault="00D844B2" w:rsidP="00615CBF">
      <w:pPr>
        <w:pStyle w:val="Heading1"/>
        <w:numPr>
          <w:ilvl w:val="0"/>
          <w:numId w:val="0"/>
        </w:numPr>
      </w:pPr>
      <w:r>
        <w:t>Dosage and administration</w:t>
      </w:r>
    </w:p>
    <w:p w:rsidR="00C86661" w:rsidRDefault="00C86661" w:rsidP="00C86661">
      <w:r w:rsidRPr="00C86661">
        <w:t>Substitution by any other biological medicinal product requires</w:t>
      </w:r>
      <w:r>
        <w:t xml:space="preserve"> the consent of the prescribing</w:t>
      </w:r>
    </w:p>
    <w:p w:rsidR="00C86661" w:rsidRPr="00C86661" w:rsidRDefault="00C86661" w:rsidP="008E64DB">
      <w:pPr>
        <w:spacing w:after="170" w:line="280" w:lineRule="exact"/>
      </w:pPr>
      <w:r w:rsidRPr="00C86661">
        <w:t>physician.</w:t>
      </w:r>
    </w:p>
    <w:p w:rsidR="000B64CB" w:rsidRPr="001669F8" w:rsidRDefault="000B64CB" w:rsidP="000B64CB">
      <w:pPr>
        <w:pStyle w:val="TextTi12"/>
        <w:spacing w:line="280" w:lineRule="exact"/>
        <w:rPr>
          <w:rFonts w:cs="Arial"/>
          <w:i/>
          <w:color w:val="000000"/>
          <w:lang w:bidi="he-IL"/>
        </w:rPr>
      </w:pPr>
      <w:r w:rsidRPr="001669F8">
        <w:rPr>
          <w:rFonts w:cs="Arial"/>
          <w:b/>
          <w:i/>
          <w:color w:val="000000"/>
          <w:lang w:bidi="he-IL"/>
        </w:rPr>
        <w:t>General</w:t>
      </w:r>
    </w:p>
    <w:p w:rsidR="006E79C7" w:rsidRPr="00885743" w:rsidRDefault="00D7152B" w:rsidP="00C87369">
      <w:pPr>
        <w:spacing w:after="170" w:line="280" w:lineRule="exact"/>
      </w:pPr>
      <w:r>
        <w:rPr>
          <w:lang w:val="en-US"/>
        </w:rPr>
        <w:t>Gazyva</w:t>
      </w:r>
      <w:r w:rsidR="00C86661">
        <w:t xml:space="preserve"> should be administered as an intravenous infusion through a dedicated line in an environment where full resuscitation facilities are immediately available and under the close supervision of an experienced physician. </w:t>
      </w:r>
      <w:r>
        <w:rPr>
          <w:lang w:val="en-US"/>
        </w:rPr>
        <w:t>Gazyva</w:t>
      </w:r>
      <w:r w:rsidR="00C86661">
        <w:t xml:space="preserve"> infusions should not be administered as an intravenous push or bolus. Isotonic 0.9% sodium chloride solution should be used as the infusion vehicle (see </w:t>
      </w:r>
      <w:r w:rsidR="00C86661" w:rsidRPr="008C55C9">
        <w:rPr>
          <w:i/>
        </w:rPr>
        <w:t>Disposal of unused/expired medicines</w:t>
      </w:r>
      <w:r w:rsidR="00C86661">
        <w:t>).</w:t>
      </w:r>
    </w:p>
    <w:p w:rsidR="000B64CB" w:rsidRDefault="000B64CB" w:rsidP="000B64CB">
      <w:pPr>
        <w:pStyle w:val="TextTi12"/>
        <w:spacing w:line="280" w:lineRule="exact"/>
        <w:rPr>
          <w:rFonts w:cs="Arial"/>
          <w:b/>
          <w:i/>
          <w:color w:val="000000"/>
          <w:lang w:eastAsia="ko-KR" w:bidi="he-IL"/>
        </w:rPr>
      </w:pPr>
      <w:r w:rsidRPr="000A0780">
        <w:rPr>
          <w:rFonts w:cs="Arial"/>
          <w:b/>
          <w:i/>
          <w:color w:val="000000"/>
          <w:lang w:eastAsia="ko-KR" w:bidi="he-IL"/>
        </w:rPr>
        <w:t xml:space="preserve">Prophylaxis </w:t>
      </w:r>
      <w:r w:rsidR="008F60E6">
        <w:rPr>
          <w:rFonts w:cs="Arial"/>
          <w:b/>
          <w:i/>
          <w:color w:val="000000"/>
          <w:lang w:eastAsia="ko-KR" w:bidi="he-IL"/>
        </w:rPr>
        <w:t xml:space="preserve">and Premedication </w:t>
      </w:r>
      <w:r w:rsidRPr="000A0780">
        <w:rPr>
          <w:rFonts w:cs="Arial"/>
          <w:b/>
          <w:i/>
          <w:color w:val="000000"/>
          <w:lang w:eastAsia="ko-KR" w:bidi="he-IL"/>
        </w:rPr>
        <w:t>for Tumour Lysis Syndrome (TLS)</w:t>
      </w:r>
    </w:p>
    <w:p w:rsidR="000B64CB" w:rsidRPr="00C87369" w:rsidRDefault="008F60E6" w:rsidP="00C87369">
      <w:pPr>
        <w:pStyle w:val="TextTi12"/>
        <w:spacing w:line="280" w:lineRule="exact"/>
        <w:rPr>
          <w:rFonts w:cs="Arial"/>
          <w:color w:val="000000"/>
          <w:lang w:eastAsia="ko-KR" w:bidi="he-IL"/>
        </w:rPr>
      </w:pPr>
      <w:r>
        <w:rPr>
          <w:rFonts w:cs="Arial"/>
          <w:color w:val="000000"/>
          <w:lang w:eastAsia="ko-KR" w:bidi="he-IL"/>
        </w:rPr>
        <w:t xml:space="preserve">Patients with a high tumour burden and/or a high circulating lymphocyte count (&gt; </w:t>
      </w:r>
      <w:r w:rsidRPr="004F0B56">
        <w:rPr>
          <w:rFonts w:cs="Arial"/>
          <w:color w:val="000000"/>
          <w:lang w:eastAsia="ko-KR" w:bidi="he-IL"/>
        </w:rPr>
        <w:t>25 x 10</w:t>
      </w:r>
      <w:r w:rsidRPr="004F0B56">
        <w:rPr>
          <w:rFonts w:cs="Arial"/>
          <w:color w:val="000000"/>
          <w:vertAlign w:val="superscript"/>
          <w:lang w:eastAsia="ko-KR" w:bidi="he-IL"/>
        </w:rPr>
        <w:t>9</w:t>
      </w:r>
      <w:r w:rsidRPr="004F0B56">
        <w:rPr>
          <w:rFonts w:cs="Arial"/>
          <w:color w:val="000000"/>
          <w:lang w:eastAsia="ko-KR" w:bidi="he-IL"/>
        </w:rPr>
        <w:t>/L</w:t>
      </w:r>
      <w:r>
        <w:rPr>
          <w:rFonts w:cs="Arial"/>
          <w:color w:val="000000"/>
          <w:lang w:eastAsia="ko-KR" w:bidi="he-IL"/>
        </w:rPr>
        <w:t>) and/or renal impairment (</w:t>
      </w:r>
      <w:r w:rsidRPr="008F60E6">
        <w:rPr>
          <w:rFonts w:cs="Arial"/>
          <w:color w:val="000000"/>
          <w:lang w:eastAsia="ko-KR" w:bidi="he-IL"/>
        </w:rPr>
        <w:t>CrCl</w:t>
      </w:r>
      <w:r>
        <w:rPr>
          <w:rFonts w:cs="Arial"/>
          <w:color w:val="000000"/>
          <w:lang w:eastAsia="ko-KR" w:bidi="he-IL"/>
        </w:rPr>
        <w:t xml:space="preserve"> &lt; 70 mL/min) are considered at risk of TLS and should receive prophylaxis.</w:t>
      </w:r>
      <w:r w:rsidR="00CA27B7">
        <w:rPr>
          <w:rFonts w:cs="Arial"/>
          <w:color w:val="000000"/>
          <w:lang w:eastAsia="ko-KR" w:bidi="he-IL"/>
        </w:rPr>
        <w:t xml:space="preserve"> </w:t>
      </w:r>
      <w:r w:rsidR="00885743" w:rsidRPr="004F0B56">
        <w:rPr>
          <w:rFonts w:cs="Arial"/>
          <w:color w:val="000000"/>
          <w:lang w:eastAsia="ko-KR" w:bidi="he-IL"/>
        </w:rPr>
        <w:t xml:space="preserve">Prophylaxis </w:t>
      </w:r>
      <w:r>
        <w:rPr>
          <w:rFonts w:cs="Arial"/>
          <w:color w:val="000000"/>
          <w:lang w:eastAsia="ko-KR" w:bidi="he-IL"/>
        </w:rPr>
        <w:t>should consist of</w:t>
      </w:r>
      <w:r w:rsidRPr="004F0B56">
        <w:rPr>
          <w:rFonts w:cs="Arial"/>
          <w:color w:val="000000"/>
          <w:lang w:eastAsia="ko-KR" w:bidi="he-IL"/>
        </w:rPr>
        <w:t xml:space="preserve"> </w:t>
      </w:r>
      <w:r w:rsidR="00885743" w:rsidRPr="004F0B56">
        <w:rPr>
          <w:rFonts w:cs="Arial"/>
          <w:color w:val="000000"/>
          <w:lang w:eastAsia="ko-KR" w:bidi="he-IL"/>
        </w:rPr>
        <w:t>adequate hydration and</w:t>
      </w:r>
      <w:r w:rsidR="00885743">
        <w:rPr>
          <w:rFonts w:cs="Arial"/>
          <w:color w:val="000000"/>
          <w:lang w:eastAsia="ko-KR" w:bidi="he-IL"/>
        </w:rPr>
        <w:t xml:space="preserve"> administration of uricostatics (e.g. allopurinol)</w:t>
      </w:r>
      <w:r w:rsidR="00D61161">
        <w:rPr>
          <w:rFonts w:cs="Arial"/>
          <w:color w:val="000000"/>
          <w:lang w:eastAsia="ko-KR" w:bidi="he-IL"/>
        </w:rPr>
        <w:t>,</w:t>
      </w:r>
      <w:r>
        <w:rPr>
          <w:rFonts w:cs="Arial"/>
          <w:color w:val="000000"/>
          <w:lang w:eastAsia="ko-KR" w:bidi="he-IL"/>
        </w:rPr>
        <w:t xml:space="preserve"> or a suitable alternative such as a urate oxidase </w:t>
      </w:r>
      <w:r w:rsidR="00CA27B7">
        <w:rPr>
          <w:rFonts w:cs="Arial"/>
          <w:color w:val="000000"/>
          <w:lang w:eastAsia="ko-KR" w:bidi="he-IL"/>
        </w:rPr>
        <w:t>(e.g. rasburicase),</w:t>
      </w:r>
      <w:r w:rsidR="00885743">
        <w:rPr>
          <w:rFonts w:cs="Arial"/>
          <w:color w:val="000000"/>
          <w:lang w:eastAsia="ko-KR" w:bidi="he-IL"/>
        </w:rPr>
        <w:t xml:space="preserve"> </w:t>
      </w:r>
      <w:r w:rsidR="00885743" w:rsidRPr="004F0B56">
        <w:rPr>
          <w:rFonts w:cs="Arial"/>
          <w:color w:val="000000"/>
          <w:lang w:eastAsia="ko-KR" w:bidi="he-IL"/>
        </w:rPr>
        <w:t>prior to star</w:t>
      </w:r>
      <w:r w:rsidR="00885743">
        <w:rPr>
          <w:rFonts w:cs="Arial"/>
          <w:color w:val="000000"/>
          <w:lang w:eastAsia="ko-KR" w:bidi="he-IL"/>
        </w:rPr>
        <w:t>t of</w:t>
      </w:r>
      <w:r>
        <w:rPr>
          <w:rFonts w:cs="Arial"/>
          <w:color w:val="000000"/>
          <w:lang w:eastAsia="ko-KR" w:bidi="he-IL"/>
        </w:rPr>
        <w:t xml:space="preserve"> </w:t>
      </w:r>
      <w:r w:rsidR="00D7152B">
        <w:t>Gazyva</w:t>
      </w:r>
      <w:r>
        <w:rPr>
          <w:rFonts w:cs="Arial"/>
          <w:color w:val="000000"/>
          <w:lang w:eastAsia="ko-KR" w:bidi="he-IL"/>
        </w:rPr>
        <w:t xml:space="preserve"> infusion as per standard practice (see PRECAUTIONS). </w:t>
      </w:r>
      <w:r>
        <w:rPr>
          <w:rFonts w:cs="Arial"/>
          <w:color w:val="000000"/>
          <w:lang w:eastAsia="ko-KR" w:bidi="he-IL"/>
        </w:rPr>
        <w:lastRenderedPageBreak/>
        <w:t>Patients should continue to receive repeated prophylaxis prior to each subsequent infusion, if deemed appropriate.</w:t>
      </w:r>
      <w:r w:rsidR="00885743">
        <w:rPr>
          <w:rFonts w:cs="Arial"/>
          <w:color w:val="000000"/>
          <w:lang w:eastAsia="ko-KR" w:bidi="he-IL"/>
        </w:rPr>
        <w:t xml:space="preserve"> </w:t>
      </w:r>
    </w:p>
    <w:p w:rsidR="007C0B4A" w:rsidRDefault="007C0B4A" w:rsidP="000B64CB">
      <w:pPr>
        <w:pStyle w:val="TextTi12"/>
        <w:spacing w:line="280" w:lineRule="exact"/>
        <w:rPr>
          <w:rFonts w:cs="Arial"/>
          <w:b/>
          <w:i/>
          <w:color w:val="000000"/>
          <w:lang w:eastAsia="ko-KR" w:bidi="he-IL"/>
        </w:rPr>
      </w:pPr>
      <w:r>
        <w:rPr>
          <w:rFonts w:cs="Arial"/>
          <w:b/>
          <w:i/>
          <w:color w:val="000000"/>
          <w:lang w:eastAsia="ko-KR" w:bidi="he-IL"/>
        </w:rPr>
        <w:t xml:space="preserve">Prophylaxis and </w:t>
      </w:r>
      <w:r w:rsidR="000B64CB" w:rsidRPr="000A0780">
        <w:rPr>
          <w:rFonts w:cs="Arial"/>
          <w:b/>
          <w:i/>
          <w:color w:val="000000"/>
          <w:lang w:eastAsia="ko-KR" w:bidi="he-IL"/>
        </w:rPr>
        <w:t>Premedication for Infusion Related Reactions (IRR)</w:t>
      </w:r>
    </w:p>
    <w:p w:rsidR="001E5643" w:rsidRDefault="00E312BE" w:rsidP="000B64CB">
      <w:pPr>
        <w:pStyle w:val="TextTi12"/>
        <w:spacing w:line="280" w:lineRule="exact"/>
        <w:rPr>
          <w:rFonts w:cs="Arial"/>
          <w:color w:val="000000"/>
          <w:lang w:eastAsia="ko-KR" w:bidi="he-IL"/>
        </w:rPr>
      </w:pPr>
      <w:r w:rsidRPr="00E312BE">
        <w:rPr>
          <w:rFonts w:cs="Arial"/>
          <w:color w:val="000000"/>
          <w:lang w:eastAsia="ko-KR" w:bidi="he-IL"/>
        </w:rPr>
        <w:t xml:space="preserve">Premedication to reduce the risk of </w:t>
      </w:r>
      <w:r>
        <w:rPr>
          <w:rFonts w:cs="Arial"/>
          <w:color w:val="000000"/>
          <w:lang w:eastAsia="ko-KR" w:bidi="he-IL"/>
        </w:rPr>
        <w:t>IRR</w:t>
      </w:r>
      <w:r w:rsidRPr="00E312BE">
        <w:rPr>
          <w:rFonts w:cs="Arial"/>
          <w:color w:val="000000"/>
          <w:lang w:eastAsia="ko-KR" w:bidi="he-IL"/>
        </w:rPr>
        <w:t xml:space="preserve">s (see </w:t>
      </w:r>
      <w:r>
        <w:rPr>
          <w:rFonts w:cs="Arial"/>
          <w:color w:val="000000"/>
          <w:lang w:eastAsia="ko-KR" w:bidi="he-IL"/>
        </w:rPr>
        <w:t xml:space="preserve">PRECAUTIONS) is outlined in Table </w:t>
      </w:r>
      <w:r w:rsidR="00416B3F">
        <w:rPr>
          <w:rFonts w:cs="Arial"/>
          <w:color w:val="000000"/>
          <w:lang w:eastAsia="ko-KR" w:bidi="he-IL"/>
        </w:rPr>
        <w:t>9</w:t>
      </w:r>
      <w:r w:rsidRPr="00E312BE">
        <w:rPr>
          <w:rFonts w:cs="Arial"/>
          <w:color w:val="000000"/>
          <w:lang w:eastAsia="ko-KR" w:bidi="he-IL"/>
        </w:rPr>
        <w:t xml:space="preserve">. Corticosteroid premedication is recommended </w:t>
      </w:r>
      <w:r w:rsidRPr="00E8637D">
        <w:rPr>
          <w:rFonts w:cs="Arial"/>
          <w:color w:val="000000"/>
          <w:lang w:eastAsia="ko-KR" w:bidi="he-IL"/>
        </w:rPr>
        <w:t xml:space="preserve">for </w:t>
      </w:r>
      <w:r w:rsidR="00731568" w:rsidRPr="00E8637D">
        <w:rPr>
          <w:rFonts w:cs="Arial"/>
          <w:color w:val="000000"/>
          <w:lang w:eastAsia="ko-KR" w:bidi="he-IL"/>
        </w:rPr>
        <w:t>FL</w:t>
      </w:r>
      <w:r w:rsidR="007D448F" w:rsidRPr="00E8637D">
        <w:rPr>
          <w:rFonts w:cs="Arial"/>
          <w:color w:val="000000"/>
          <w:lang w:eastAsia="ko-KR" w:bidi="he-IL"/>
        </w:rPr>
        <w:t xml:space="preserve"> </w:t>
      </w:r>
      <w:r w:rsidRPr="00E8637D">
        <w:rPr>
          <w:rFonts w:cs="Arial"/>
          <w:color w:val="000000"/>
          <w:lang w:eastAsia="ko-KR" w:bidi="he-IL"/>
        </w:rPr>
        <w:t>patients and mandatory for CLL patients for the first infusion. Premedication for subsequent infusions and other premedication should be administered as described below.</w:t>
      </w:r>
      <w:r w:rsidR="001E5643" w:rsidRPr="00E8637D">
        <w:rPr>
          <w:rFonts w:cs="Arial"/>
          <w:color w:val="000000"/>
          <w:lang w:eastAsia="ko-KR" w:bidi="he-IL"/>
        </w:rPr>
        <w:t xml:space="preserve"> Patients with a high tumour burden and/or (i.e. high peripheral circulating lymphocyte count in CLL (&gt; 25 x 10</w:t>
      </w:r>
      <w:r w:rsidR="001E5643" w:rsidRPr="00E8637D">
        <w:rPr>
          <w:rFonts w:cs="Arial"/>
          <w:color w:val="000000"/>
          <w:vertAlign w:val="superscript"/>
          <w:lang w:eastAsia="ko-KR" w:bidi="he-IL"/>
        </w:rPr>
        <w:t>9</w:t>
      </w:r>
      <w:r w:rsidR="001E5643" w:rsidRPr="00E8637D">
        <w:rPr>
          <w:rFonts w:cs="Arial"/>
          <w:color w:val="000000"/>
          <w:lang w:eastAsia="ko-KR" w:bidi="he-IL"/>
        </w:rPr>
        <w:t>/L)) may be at increased risk of severe IRR.</w:t>
      </w:r>
    </w:p>
    <w:p w:rsidR="000B64CB" w:rsidRDefault="007C0B4A" w:rsidP="000B64CB">
      <w:pPr>
        <w:pStyle w:val="TextTi12"/>
        <w:spacing w:line="280" w:lineRule="exact"/>
        <w:rPr>
          <w:rFonts w:cs="Arial"/>
          <w:b/>
          <w:i/>
          <w:color w:val="000000"/>
          <w:lang w:eastAsia="ko-KR" w:bidi="he-IL"/>
        </w:rPr>
      </w:pPr>
      <w:r>
        <w:rPr>
          <w:rFonts w:cs="Arial"/>
          <w:color w:val="000000"/>
          <w:lang w:eastAsia="ko-KR" w:bidi="he-IL"/>
        </w:rPr>
        <w:t xml:space="preserve">Hypotension </w:t>
      </w:r>
      <w:r w:rsidR="00D957D0">
        <w:rPr>
          <w:rFonts w:cs="Arial"/>
          <w:color w:val="000000"/>
          <w:lang w:eastAsia="ko-KR" w:bidi="he-IL"/>
        </w:rPr>
        <w:t xml:space="preserve">as a symptom of IRR </w:t>
      </w:r>
      <w:r>
        <w:rPr>
          <w:rFonts w:cs="Arial"/>
          <w:color w:val="000000"/>
          <w:lang w:eastAsia="ko-KR" w:bidi="he-IL"/>
        </w:rPr>
        <w:t xml:space="preserve">may occur during </w:t>
      </w:r>
      <w:r w:rsidR="00D7152B">
        <w:t>Gazyva</w:t>
      </w:r>
      <w:r>
        <w:rPr>
          <w:rFonts w:cs="Arial"/>
          <w:color w:val="000000"/>
          <w:lang w:eastAsia="ko-KR" w:bidi="he-IL"/>
        </w:rPr>
        <w:t xml:space="preserve"> intravenous infusions. Consider withholding antihypertensive treatments for 12 hours prior to and throughout each infusion, and for the first hour after administration (see PRECAUTIONS).</w:t>
      </w:r>
      <w:r w:rsidR="000B64CB" w:rsidRPr="000A0780">
        <w:rPr>
          <w:rFonts w:cs="Arial"/>
          <w:b/>
          <w:i/>
          <w:color w:val="000000"/>
          <w:lang w:eastAsia="ko-KR" w:bidi="he-IL"/>
        </w:rPr>
        <w:t xml:space="preserve"> </w:t>
      </w:r>
    </w:p>
    <w:p w:rsidR="00885743" w:rsidRPr="00C92F9F" w:rsidRDefault="00885743" w:rsidP="00885743">
      <w:pPr>
        <w:pStyle w:val="TextTi12"/>
        <w:spacing w:after="0" w:line="240" w:lineRule="auto"/>
        <w:rPr>
          <w:rFonts w:cs="Arial"/>
          <w:b/>
          <w:color w:val="000000"/>
          <w:lang w:eastAsia="ko-KR" w:bidi="he-IL"/>
        </w:rPr>
      </w:pPr>
      <w:r w:rsidRPr="00C92F9F">
        <w:rPr>
          <w:rFonts w:cs="Arial"/>
          <w:b/>
          <w:color w:val="000000"/>
          <w:lang w:eastAsia="ko-KR" w:bidi="he-IL"/>
        </w:rPr>
        <w:t xml:space="preserve">Table </w:t>
      </w:r>
      <w:r w:rsidR="00416B3F">
        <w:rPr>
          <w:rFonts w:cs="Arial"/>
          <w:b/>
          <w:color w:val="000000"/>
          <w:lang w:eastAsia="ko-KR" w:bidi="he-IL"/>
        </w:rPr>
        <w:t>9</w:t>
      </w:r>
      <w:r w:rsidRPr="00C92F9F">
        <w:rPr>
          <w:rFonts w:cs="Arial"/>
          <w:b/>
          <w:color w:val="000000"/>
          <w:lang w:eastAsia="ko-KR" w:bidi="he-IL"/>
        </w:rPr>
        <w:t xml:space="preserve"> Premedication to be administered before </w:t>
      </w:r>
      <w:r w:rsidR="00D7152B">
        <w:rPr>
          <w:rFonts w:cs="Arial"/>
          <w:b/>
          <w:color w:val="000000"/>
          <w:lang w:eastAsia="ko-KR" w:bidi="he-IL"/>
        </w:rPr>
        <w:t>Gazyva</w:t>
      </w:r>
      <w:r w:rsidRPr="00C92F9F">
        <w:rPr>
          <w:rFonts w:cs="Arial"/>
          <w:b/>
          <w:color w:val="000000"/>
          <w:lang w:eastAsia="ko-KR" w:bidi="he-IL"/>
        </w:rPr>
        <w:t xml:space="preserve"> infusion to reduce the risk of infusion-related reactions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gridCol w:w="2693"/>
        <w:gridCol w:w="2233"/>
      </w:tblGrid>
      <w:tr w:rsidR="00885743" w:rsidRPr="007E4791" w:rsidTr="0034261C">
        <w:trPr>
          <w:trHeight w:val="661"/>
        </w:trPr>
        <w:tc>
          <w:tcPr>
            <w:tcW w:w="1951" w:type="dxa"/>
            <w:shd w:val="clear" w:color="auto" w:fill="auto"/>
            <w:vAlign w:val="center"/>
          </w:tcPr>
          <w:p w:rsidR="00885743" w:rsidRPr="007E4791" w:rsidRDefault="00885743" w:rsidP="0034261C">
            <w:pPr>
              <w:pStyle w:val="TextTi12"/>
              <w:spacing w:before="60" w:after="60" w:line="240" w:lineRule="auto"/>
              <w:jc w:val="center"/>
              <w:rPr>
                <w:rFonts w:cs="Arial"/>
                <w:b/>
                <w:color w:val="000000"/>
                <w:sz w:val="22"/>
                <w:szCs w:val="22"/>
                <w:lang w:eastAsia="ko-KR" w:bidi="he-IL"/>
              </w:rPr>
            </w:pPr>
            <w:r w:rsidRPr="007E4791">
              <w:rPr>
                <w:rFonts w:cs="Arial"/>
                <w:b/>
                <w:color w:val="000000"/>
                <w:sz w:val="22"/>
                <w:szCs w:val="22"/>
                <w:lang w:eastAsia="ko-KR" w:bidi="he-IL"/>
              </w:rPr>
              <w:t>Day of Treatment Cycle</w:t>
            </w:r>
          </w:p>
        </w:tc>
        <w:tc>
          <w:tcPr>
            <w:tcW w:w="2410" w:type="dxa"/>
            <w:shd w:val="clear" w:color="auto" w:fill="auto"/>
            <w:vAlign w:val="center"/>
          </w:tcPr>
          <w:p w:rsidR="00885743" w:rsidRPr="007E4791" w:rsidRDefault="00885743" w:rsidP="0034261C">
            <w:pPr>
              <w:pStyle w:val="TextTi12"/>
              <w:spacing w:before="60" w:after="60" w:line="240" w:lineRule="auto"/>
              <w:jc w:val="center"/>
              <w:rPr>
                <w:rFonts w:cs="Arial"/>
                <w:b/>
                <w:color w:val="000000"/>
                <w:sz w:val="22"/>
                <w:szCs w:val="22"/>
                <w:lang w:eastAsia="ko-KR" w:bidi="he-IL"/>
              </w:rPr>
            </w:pPr>
            <w:r w:rsidRPr="007E4791">
              <w:rPr>
                <w:rFonts w:cs="Arial"/>
                <w:b/>
                <w:color w:val="000000"/>
                <w:sz w:val="22"/>
                <w:szCs w:val="22"/>
                <w:lang w:eastAsia="ko-KR" w:bidi="he-IL"/>
              </w:rPr>
              <w:t>Patients requiring premedication</w:t>
            </w:r>
          </w:p>
        </w:tc>
        <w:tc>
          <w:tcPr>
            <w:tcW w:w="2693" w:type="dxa"/>
            <w:shd w:val="clear" w:color="auto" w:fill="auto"/>
            <w:vAlign w:val="center"/>
          </w:tcPr>
          <w:p w:rsidR="00885743" w:rsidRPr="007E4791" w:rsidRDefault="00885743" w:rsidP="0034261C">
            <w:pPr>
              <w:pStyle w:val="TextTi12"/>
              <w:spacing w:before="60" w:after="60" w:line="240" w:lineRule="auto"/>
              <w:jc w:val="center"/>
              <w:rPr>
                <w:rFonts w:cs="Arial"/>
                <w:b/>
                <w:color w:val="000000"/>
                <w:sz w:val="22"/>
                <w:szCs w:val="22"/>
                <w:lang w:eastAsia="ko-KR" w:bidi="he-IL"/>
              </w:rPr>
            </w:pPr>
            <w:r w:rsidRPr="007E4791">
              <w:rPr>
                <w:rFonts w:cs="Arial"/>
                <w:b/>
                <w:color w:val="000000"/>
                <w:sz w:val="22"/>
                <w:szCs w:val="22"/>
                <w:lang w:eastAsia="ko-KR" w:bidi="he-IL"/>
              </w:rPr>
              <w:t>Premedication</w:t>
            </w:r>
          </w:p>
        </w:tc>
        <w:tc>
          <w:tcPr>
            <w:tcW w:w="2233" w:type="dxa"/>
            <w:shd w:val="clear" w:color="auto" w:fill="auto"/>
            <w:vAlign w:val="center"/>
          </w:tcPr>
          <w:p w:rsidR="00885743" w:rsidRPr="007E4791" w:rsidRDefault="00885743" w:rsidP="0034261C">
            <w:pPr>
              <w:pStyle w:val="TextTi12"/>
              <w:spacing w:before="60" w:after="60" w:line="240" w:lineRule="auto"/>
              <w:jc w:val="center"/>
              <w:rPr>
                <w:rFonts w:cs="Arial"/>
                <w:b/>
                <w:color w:val="000000"/>
                <w:sz w:val="22"/>
                <w:szCs w:val="22"/>
                <w:lang w:eastAsia="ko-KR" w:bidi="he-IL"/>
              </w:rPr>
            </w:pPr>
            <w:r w:rsidRPr="007E4791">
              <w:rPr>
                <w:rFonts w:cs="Arial"/>
                <w:b/>
                <w:color w:val="000000"/>
                <w:sz w:val="22"/>
                <w:szCs w:val="22"/>
                <w:lang w:eastAsia="ko-KR" w:bidi="he-IL"/>
              </w:rPr>
              <w:t>Administration</w:t>
            </w:r>
          </w:p>
        </w:tc>
      </w:tr>
      <w:tr w:rsidR="00885743" w:rsidRPr="007E4791" w:rsidTr="0034261C">
        <w:trPr>
          <w:trHeight w:val="912"/>
        </w:trPr>
        <w:tc>
          <w:tcPr>
            <w:tcW w:w="1951" w:type="dxa"/>
            <w:vMerge w:val="restart"/>
            <w:shd w:val="clear" w:color="auto" w:fill="auto"/>
            <w:vAlign w:val="center"/>
          </w:tcPr>
          <w:p w:rsidR="00E312BE" w:rsidRDefault="00885743" w:rsidP="008F1ABA">
            <w:pPr>
              <w:pStyle w:val="TextTi12"/>
              <w:spacing w:before="60" w:after="60" w:line="240" w:lineRule="auto"/>
              <w:jc w:val="left"/>
              <w:rPr>
                <w:rFonts w:cs="Arial"/>
                <w:b/>
                <w:color w:val="000000"/>
                <w:sz w:val="22"/>
                <w:szCs w:val="22"/>
                <w:lang w:eastAsia="ko-KR" w:bidi="he-IL"/>
              </w:rPr>
            </w:pPr>
            <w:r w:rsidRPr="007E4791">
              <w:rPr>
                <w:rFonts w:cs="Arial"/>
                <w:b/>
                <w:color w:val="000000"/>
                <w:sz w:val="22"/>
                <w:szCs w:val="22"/>
                <w:lang w:eastAsia="ko-KR" w:bidi="he-IL"/>
              </w:rPr>
              <w:t>Cycle 1</w:t>
            </w:r>
          </w:p>
          <w:p w:rsidR="00E312BE" w:rsidRDefault="00E312BE" w:rsidP="008F1ABA">
            <w:pPr>
              <w:pStyle w:val="TextTi12"/>
              <w:spacing w:before="60" w:after="60" w:line="240" w:lineRule="auto"/>
              <w:jc w:val="left"/>
              <w:rPr>
                <w:rFonts w:cs="Arial"/>
                <w:b/>
                <w:color w:val="000000"/>
                <w:sz w:val="22"/>
                <w:szCs w:val="22"/>
                <w:lang w:eastAsia="ko-KR" w:bidi="he-IL"/>
              </w:rPr>
            </w:pPr>
          </w:p>
          <w:p w:rsidR="00885743" w:rsidRPr="00B80A17" w:rsidRDefault="00E312BE" w:rsidP="008F1ABA">
            <w:pPr>
              <w:pStyle w:val="TextTi12"/>
              <w:spacing w:before="60" w:after="60" w:line="240" w:lineRule="auto"/>
              <w:jc w:val="left"/>
              <w:rPr>
                <w:rFonts w:cs="Arial"/>
                <w:b/>
                <w:color w:val="000000"/>
                <w:sz w:val="22"/>
                <w:szCs w:val="22"/>
                <w:lang w:eastAsia="ko-KR" w:bidi="he-IL"/>
              </w:rPr>
            </w:pPr>
            <w:r w:rsidRPr="00872A22">
              <w:rPr>
                <w:rFonts w:cs="Arial"/>
                <w:b/>
                <w:color w:val="000000"/>
                <w:sz w:val="22"/>
                <w:szCs w:val="22"/>
                <w:u w:val="single"/>
                <w:lang w:eastAsia="ko-KR" w:bidi="he-IL"/>
              </w:rPr>
              <w:t>CLL</w:t>
            </w:r>
            <w:r w:rsidR="00B80A17">
              <w:rPr>
                <w:rFonts w:cs="Arial"/>
                <w:b/>
                <w:color w:val="000000"/>
                <w:sz w:val="22"/>
                <w:szCs w:val="22"/>
                <w:u w:val="single"/>
                <w:lang w:eastAsia="ko-KR" w:bidi="he-IL"/>
              </w:rPr>
              <w:t>:</w:t>
            </w:r>
            <w:r w:rsidR="00885743" w:rsidRPr="00872A22">
              <w:rPr>
                <w:rFonts w:cs="Arial"/>
                <w:b/>
                <w:color w:val="000000"/>
                <w:sz w:val="22"/>
                <w:szCs w:val="22"/>
                <w:u w:val="single"/>
                <w:lang w:eastAsia="ko-KR" w:bidi="he-IL"/>
              </w:rPr>
              <w:t xml:space="preserve"> </w:t>
            </w:r>
            <w:r w:rsidR="00885743" w:rsidRPr="007E4791">
              <w:rPr>
                <w:rFonts w:cs="Arial"/>
                <w:b/>
                <w:color w:val="000000"/>
                <w:sz w:val="22"/>
                <w:szCs w:val="22"/>
                <w:lang w:eastAsia="ko-KR" w:bidi="he-IL"/>
              </w:rPr>
              <w:t>Day 1</w:t>
            </w:r>
            <w:r w:rsidR="00BF4ADE">
              <w:rPr>
                <w:rFonts w:cs="Arial"/>
                <w:b/>
                <w:color w:val="000000"/>
                <w:sz w:val="22"/>
                <w:szCs w:val="22"/>
                <w:lang w:eastAsia="ko-KR" w:bidi="he-IL"/>
              </w:rPr>
              <w:t>*</w:t>
            </w:r>
            <w:r>
              <w:rPr>
                <w:rFonts w:cs="Arial"/>
                <w:b/>
                <w:color w:val="000000"/>
                <w:sz w:val="22"/>
                <w:szCs w:val="22"/>
                <w:lang w:eastAsia="ko-KR" w:bidi="he-IL"/>
              </w:rPr>
              <w:t>,</w:t>
            </w:r>
          </w:p>
          <w:p w:rsidR="00E312BE" w:rsidRDefault="00E312BE" w:rsidP="008F1ABA">
            <w:pPr>
              <w:pStyle w:val="TextTi12"/>
              <w:spacing w:before="60" w:after="60" w:line="240" w:lineRule="auto"/>
              <w:jc w:val="left"/>
              <w:rPr>
                <w:rFonts w:cs="Arial"/>
                <w:b/>
                <w:color w:val="000000"/>
                <w:sz w:val="22"/>
                <w:szCs w:val="22"/>
                <w:lang w:eastAsia="ko-KR" w:bidi="he-IL"/>
              </w:rPr>
            </w:pPr>
            <w:r>
              <w:rPr>
                <w:rFonts w:cs="Arial"/>
                <w:b/>
                <w:color w:val="000000"/>
                <w:sz w:val="22"/>
                <w:szCs w:val="22"/>
                <w:lang w:eastAsia="ko-KR" w:bidi="he-IL"/>
              </w:rPr>
              <w:t>Day 2</w:t>
            </w:r>
          </w:p>
          <w:p w:rsidR="00E312BE" w:rsidRDefault="00E312BE" w:rsidP="008F1ABA">
            <w:pPr>
              <w:pStyle w:val="TextTi12"/>
              <w:spacing w:before="60" w:after="60" w:line="240" w:lineRule="auto"/>
              <w:jc w:val="left"/>
              <w:rPr>
                <w:rFonts w:cs="Arial"/>
                <w:b/>
                <w:color w:val="000000"/>
                <w:sz w:val="22"/>
                <w:szCs w:val="22"/>
                <w:lang w:eastAsia="ko-KR" w:bidi="he-IL"/>
              </w:rPr>
            </w:pPr>
          </w:p>
          <w:p w:rsidR="00E312BE" w:rsidRPr="00B80A17" w:rsidRDefault="008A0182" w:rsidP="00E8637D">
            <w:pPr>
              <w:pStyle w:val="TextTi12"/>
              <w:spacing w:before="60" w:after="60" w:line="240" w:lineRule="auto"/>
              <w:jc w:val="left"/>
              <w:rPr>
                <w:rFonts w:cs="Arial"/>
                <w:b/>
                <w:color w:val="000000"/>
                <w:sz w:val="22"/>
                <w:szCs w:val="22"/>
                <w:u w:val="single"/>
                <w:lang w:eastAsia="ko-KR" w:bidi="he-IL"/>
              </w:rPr>
            </w:pPr>
            <w:r w:rsidRPr="00E8637D">
              <w:rPr>
                <w:rFonts w:cs="Arial"/>
                <w:b/>
                <w:color w:val="000000"/>
                <w:sz w:val="22"/>
                <w:szCs w:val="22"/>
                <w:u w:val="single"/>
                <w:lang w:eastAsia="ko-KR" w:bidi="he-IL"/>
              </w:rPr>
              <w:t>FL</w:t>
            </w:r>
            <w:r w:rsidR="00B80A17" w:rsidRPr="00E8637D">
              <w:rPr>
                <w:rFonts w:cs="Arial"/>
                <w:b/>
                <w:color w:val="000000"/>
                <w:sz w:val="22"/>
                <w:szCs w:val="22"/>
                <w:u w:val="single"/>
                <w:lang w:eastAsia="ko-KR" w:bidi="he-IL"/>
              </w:rPr>
              <w:t>:</w:t>
            </w:r>
            <w:r w:rsidR="009D44F7">
              <w:rPr>
                <w:rFonts w:cs="Arial"/>
                <w:b/>
                <w:color w:val="000000"/>
                <w:sz w:val="22"/>
                <w:szCs w:val="22"/>
                <w:u w:val="single"/>
                <w:lang w:eastAsia="ko-KR" w:bidi="he-IL"/>
              </w:rPr>
              <w:t xml:space="preserve"> </w:t>
            </w:r>
            <w:r w:rsidR="00E312BE" w:rsidRPr="009D44F7">
              <w:rPr>
                <w:rFonts w:cs="Arial"/>
                <w:b/>
                <w:color w:val="000000"/>
                <w:sz w:val="22"/>
                <w:szCs w:val="22"/>
                <w:lang w:eastAsia="ko-KR" w:bidi="he-IL"/>
              </w:rPr>
              <w:t>Day 1</w:t>
            </w:r>
          </w:p>
        </w:tc>
        <w:tc>
          <w:tcPr>
            <w:tcW w:w="2410" w:type="dxa"/>
            <w:vMerge w:val="restart"/>
            <w:shd w:val="clear" w:color="auto" w:fill="auto"/>
            <w:vAlign w:val="center"/>
          </w:tcPr>
          <w:p w:rsidR="00885743" w:rsidRPr="007E4791" w:rsidRDefault="00885743" w:rsidP="008F1ABA">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All patients</w:t>
            </w:r>
          </w:p>
        </w:tc>
        <w:tc>
          <w:tcPr>
            <w:tcW w:w="2693" w:type="dxa"/>
            <w:shd w:val="clear" w:color="auto" w:fill="auto"/>
            <w:vAlign w:val="center"/>
          </w:tcPr>
          <w:p w:rsidR="00885743" w:rsidRPr="007E4791" w:rsidRDefault="00885743" w:rsidP="008F1ABA">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Intravenous corticosteroid</w:t>
            </w:r>
            <w:r w:rsidRPr="007E4791">
              <w:rPr>
                <w:rFonts w:cs="Arial"/>
                <w:color w:val="000000"/>
                <w:sz w:val="22"/>
                <w:szCs w:val="22"/>
                <w:vertAlign w:val="superscript"/>
                <w:lang w:eastAsia="ko-KR" w:bidi="he-IL"/>
              </w:rPr>
              <w:t>1</w:t>
            </w:r>
            <w:r w:rsidR="00AF6956">
              <w:rPr>
                <w:rFonts w:cs="Arial"/>
                <w:color w:val="000000"/>
                <w:sz w:val="22"/>
                <w:szCs w:val="22"/>
                <w:vertAlign w:val="superscript"/>
                <w:lang w:eastAsia="ko-KR" w:bidi="he-IL"/>
              </w:rPr>
              <w:t>,2</w:t>
            </w:r>
          </w:p>
        </w:tc>
        <w:tc>
          <w:tcPr>
            <w:tcW w:w="2233" w:type="dxa"/>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Completed at least 1 hour prior to</w:t>
            </w:r>
            <w:r w:rsidRPr="00D7152B">
              <w:rPr>
                <w:rFonts w:cs="Arial"/>
                <w:color w:val="000000"/>
                <w:sz w:val="22"/>
                <w:szCs w:val="22"/>
                <w:lang w:eastAsia="ko-KR" w:bidi="he-IL"/>
              </w:rPr>
              <w:t xml:space="preserve"> </w:t>
            </w:r>
            <w:r w:rsidR="00D7152B" w:rsidRPr="00D7152B">
              <w:rPr>
                <w:sz w:val="22"/>
                <w:szCs w:val="22"/>
              </w:rPr>
              <w:t>Gazyva</w:t>
            </w:r>
            <w:r w:rsidRPr="007E4791">
              <w:rPr>
                <w:rFonts w:cs="Arial"/>
                <w:color w:val="000000"/>
                <w:sz w:val="22"/>
                <w:szCs w:val="22"/>
                <w:lang w:eastAsia="ko-KR" w:bidi="he-IL"/>
              </w:rPr>
              <w:t xml:space="preserve"> infusion</w:t>
            </w:r>
          </w:p>
        </w:tc>
      </w:tr>
      <w:tr w:rsidR="00885743" w:rsidRPr="007E4791" w:rsidTr="0034261C">
        <w:tc>
          <w:tcPr>
            <w:tcW w:w="1951" w:type="dxa"/>
            <w:vMerge/>
            <w:shd w:val="clear" w:color="auto" w:fill="auto"/>
            <w:vAlign w:val="center"/>
          </w:tcPr>
          <w:p w:rsidR="00885743" w:rsidRPr="007E4791" w:rsidRDefault="00885743" w:rsidP="008F1ABA">
            <w:pPr>
              <w:pStyle w:val="TextTi12"/>
              <w:spacing w:before="60" w:after="60" w:line="240" w:lineRule="auto"/>
              <w:jc w:val="left"/>
              <w:rPr>
                <w:rFonts w:cs="Arial"/>
                <w:color w:val="000000"/>
                <w:sz w:val="22"/>
                <w:szCs w:val="22"/>
                <w:lang w:eastAsia="ko-KR" w:bidi="he-IL"/>
              </w:rPr>
            </w:pPr>
          </w:p>
        </w:tc>
        <w:tc>
          <w:tcPr>
            <w:tcW w:w="2410" w:type="dxa"/>
            <w:vMerge/>
            <w:shd w:val="clear" w:color="auto" w:fill="auto"/>
            <w:vAlign w:val="center"/>
          </w:tcPr>
          <w:p w:rsidR="00885743" w:rsidRPr="007E4791" w:rsidRDefault="00885743" w:rsidP="008F1ABA">
            <w:pPr>
              <w:pStyle w:val="TextTi12"/>
              <w:spacing w:before="60" w:after="60" w:line="240" w:lineRule="auto"/>
              <w:jc w:val="left"/>
              <w:rPr>
                <w:rFonts w:cs="Arial"/>
                <w:color w:val="000000"/>
                <w:sz w:val="22"/>
                <w:szCs w:val="22"/>
                <w:lang w:eastAsia="ko-KR" w:bidi="he-IL"/>
              </w:rPr>
            </w:pPr>
          </w:p>
        </w:tc>
        <w:tc>
          <w:tcPr>
            <w:tcW w:w="2693" w:type="dxa"/>
            <w:shd w:val="clear" w:color="auto" w:fill="auto"/>
            <w:vAlign w:val="center"/>
          </w:tcPr>
          <w:p w:rsidR="00885743" w:rsidRPr="007E4791" w:rsidRDefault="00885743" w:rsidP="008F1ABA">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Oral analgesic/anti-pyretic</w:t>
            </w:r>
            <w:r w:rsidR="00AF6956">
              <w:rPr>
                <w:rFonts w:cs="Arial"/>
                <w:color w:val="000000"/>
                <w:sz w:val="22"/>
                <w:szCs w:val="22"/>
                <w:vertAlign w:val="superscript"/>
                <w:lang w:eastAsia="ko-KR" w:bidi="he-IL"/>
              </w:rPr>
              <w:t>3</w:t>
            </w:r>
          </w:p>
        </w:tc>
        <w:tc>
          <w:tcPr>
            <w:tcW w:w="2233" w:type="dxa"/>
            <w:vMerge w:val="restart"/>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 xml:space="preserve">At least 30 minutes before </w:t>
            </w:r>
            <w:r w:rsidR="00D7152B" w:rsidRPr="00D7152B">
              <w:rPr>
                <w:sz w:val="22"/>
                <w:szCs w:val="22"/>
              </w:rPr>
              <w:t>Gazyva</w:t>
            </w:r>
            <w:r w:rsidRPr="00D7152B">
              <w:rPr>
                <w:rFonts w:cs="Arial"/>
                <w:color w:val="000000"/>
                <w:sz w:val="22"/>
                <w:szCs w:val="22"/>
                <w:lang w:eastAsia="ko-KR" w:bidi="he-IL"/>
              </w:rPr>
              <w:t xml:space="preserve"> </w:t>
            </w:r>
            <w:r w:rsidRPr="007E4791">
              <w:rPr>
                <w:rFonts w:cs="Arial"/>
                <w:color w:val="000000"/>
                <w:sz w:val="22"/>
                <w:szCs w:val="22"/>
                <w:lang w:eastAsia="ko-KR" w:bidi="he-IL"/>
              </w:rPr>
              <w:t>infusion</w:t>
            </w:r>
          </w:p>
        </w:tc>
      </w:tr>
      <w:tr w:rsidR="00885743" w:rsidRPr="007E4791" w:rsidTr="0034261C">
        <w:trPr>
          <w:trHeight w:val="462"/>
        </w:trPr>
        <w:tc>
          <w:tcPr>
            <w:tcW w:w="1951" w:type="dxa"/>
            <w:vMerge/>
            <w:shd w:val="clear" w:color="auto" w:fill="auto"/>
          </w:tcPr>
          <w:p w:rsidR="00885743" w:rsidRPr="007E4791" w:rsidRDefault="00885743" w:rsidP="008F1ABA">
            <w:pPr>
              <w:pStyle w:val="TextTi12"/>
              <w:spacing w:before="60" w:after="60" w:line="240" w:lineRule="auto"/>
              <w:rPr>
                <w:rFonts w:cs="Arial"/>
                <w:color w:val="000000"/>
                <w:sz w:val="22"/>
                <w:szCs w:val="22"/>
                <w:lang w:eastAsia="ko-KR" w:bidi="he-IL"/>
              </w:rPr>
            </w:pPr>
          </w:p>
        </w:tc>
        <w:tc>
          <w:tcPr>
            <w:tcW w:w="2410" w:type="dxa"/>
            <w:vMerge/>
            <w:shd w:val="clear" w:color="auto" w:fill="auto"/>
          </w:tcPr>
          <w:p w:rsidR="00885743" w:rsidRPr="007E4791" w:rsidRDefault="00885743" w:rsidP="008F1ABA">
            <w:pPr>
              <w:pStyle w:val="TextTi12"/>
              <w:spacing w:before="60" w:after="60" w:line="240" w:lineRule="auto"/>
              <w:rPr>
                <w:rFonts w:cs="Arial"/>
                <w:color w:val="000000"/>
                <w:sz w:val="22"/>
                <w:szCs w:val="22"/>
                <w:lang w:eastAsia="ko-KR" w:bidi="he-IL"/>
              </w:rPr>
            </w:pPr>
          </w:p>
        </w:tc>
        <w:tc>
          <w:tcPr>
            <w:tcW w:w="2693" w:type="dxa"/>
            <w:shd w:val="clear" w:color="auto" w:fill="auto"/>
            <w:vAlign w:val="center"/>
          </w:tcPr>
          <w:p w:rsidR="00885743" w:rsidRPr="007E4791" w:rsidRDefault="00885743" w:rsidP="008F1ABA">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Anti-histaminic drug</w:t>
            </w:r>
            <w:r w:rsidR="00AF6956">
              <w:rPr>
                <w:rFonts w:cs="Arial"/>
                <w:color w:val="000000"/>
                <w:sz w:val="22"/>
                <w:szCs w:val="22"/>
                <w:vertAlign w:val="superscript"/>
                <w:lang w:eastAsia="ko-KR" w:bidi="he-IL"/>
              </w:rPr>
              <w:t>4</w:t>
            </w:r>
          </w:p>
        </w:tc>
        <w:tc>
          <w:tcPr>
            <w:tcW w:w="2233" w:type="dxa"/>
            <w:vMerge/>
            <w:shd w:val="clear" w:color="auto" w:fill="auto"/>
          </w:tcPr>
          <w:p w:rsidR="00885743" w:rsidRPr="007E4791" w:rsidRDefault="00885743" w:rsidP="0034261C">
            <w:pPr>
              <w:pStyle w:val="TextTi12"/>
              <w:spacing w:line="280" w:lineRule="exact"/>
              <w:rPr>
                <w:rFonts w:cs="Arial"/>
                <w:color w:val="000000"/>
                <w:sz w:val="22"/>
                <w:szCs w:val="22"/>
                <w:lang w:eastAsia="ko-KR" w:bidi="he-IL"/>
              </w:rPr>
            </w:pPr>
          </w:p>
        </w:tc>
      </w:tr>
      <w:tr w:rsidR="0055462F" w:rsidRPr="007E4791" w:rsidTr="00FC1CB0">
        <w:trPr>
          <w:trHeight w:val="797"/>
        </w:trPr>
        <w:tc>
          <w:tcPr>
            <w:tcW w:w="1951" w:type="dxa"/>
            <w:vMerge w:val="restart"/>
            <w:shd w:val="clear" w:color="auto" w:fill="auto"/>
            <w:vAlign w:val="center"/>
          </w:tcPr>
          <w:p w:rsidR="0055462F" w:rsidRDefault="0055462F" w:rsidP="0034261C">
            <w:pPr>
              <w:pStyle w:val="TextTi12"/>
              <w:spacing w:before="60" w:after="60" w:line="240" w:lineRule="auto"/>
              <w:jc w:val="left"/>
              <w:rPr>
                <w:rFonts w:cs="Arial"/>
                <w:b/>
                <w:color w:val="000000"/>
                <w:sz w:val="22"/>
                <w:szCs w:val="22"/>
                <w:lang w:eastAsia="ko-KR" w:bidi="he-IL"/>
              </w:rPr>
            </w:pPr>
            <w:r>
              <w:rPr>
                <w:rFonts w:cs="Arial"/>
                <w:b/>
                <w:color w:val="000000"/>
                <w:sz w:val="22"/>
                <w:szCs w:val="22"/>
                <w:lang w:eastAsia="ko-KR" w:bidi="he-IL"/>
              </w:rPr>
              <w:t>All subsequent infusions:</w:t>
            </w:r>
          </w:p>
          <w:p w:rsidR="0055462F" w:rsidRPr="007E4791" w:rsidRDefault="0055462F" w:rsidP="00E8637D">
            <w:pPr>
              <w:pStyle w:val="TextTi12"/>
              <w:spacing w:before="60" w:after="60" w:line="240" w:lineRule="auto"/>
              <w:jc w:val="left"/>
              <w:rPr>
                <w:rFonts w:cs="Arial"/>
                <w:b/>
                <w:color w:val="000000"/>
                <w:sz w:val="22"/>
                <w:szCs w:val="22"/>
                <w:lang w:eastAsia="ko-KR" w:bidi="he-IL"/>
              </w:rPr>
            </w:pPr>
            <w:r>
              <w:rPr>
                <w:rFonts w:cs="Arial"/>
                <w:b/>
                <w:color w:val="000000"/>
                <w:sz w:val="22"/>
                <w:szCs w:val="22"/>
                <w:lang w:eastAsia="ko-KR" w:bidi="he-IL"/>
              </w:rPr>
              <w:t xml:space="preserve">CLL </w:t>
            </w:r>
            <w:r w:rsidRPr="00E8637D">
              <w:rPr>
                <w:rFonts w:cs="Arial"/>
                <w:b/>
                <w:color w:val="000000"/>
                <w:sz w:val="22"/>
                <w:szCs w:val="22"/>
                <w:lang w:eastAsia="ko-KR" w:bidi="he-IL"/>
              </w:rPr>
              <w:t xml:space="preserve">and </w:t>
            </w:r>
            <w:r w:rsidR="00E8637D" w:rsidRPr="00E8637D">
              <w:rPr>
                <w:rFonts w:cs="Arial"/>
                <w:b/>
                <w:color w:val="000000"/>
                <w:sz w:val="22"/>
                <w:szCs w:val="22"/>
                <w:lang w:eastAsia="ko-KR" w:bidi="he-IL"/>
              </w:rPr>
              <w:t>FL</w:t>
            </w:r>
            <w:r w:rsidR="002F0B58" w:rsidRPr="008A0182">
              <w:rPr>
                <w:rFonts w:cs="Arial"/>
                <w:b/>
                <w:strike/>
                <w:color w:val="000000"/>
                <w:sz w:val="22"/>
                <w:szCs w:val="22"/>
                <w:lang w:eastAsia="ko-KR" w:bidi="he-IL"/>
              </w:rPr>
              <w:t xml:space="preserve"> </w:t>
            </w:r>
          </w:p>
        </w:tc>
        <w:tc>
          <w:tcPr>
            <w:tcW w:w="2410" w:type="dxa"/>
            <w:shd w:val="clear" w:color="auto" w:fill="auto"/>
            <w:vAlign w:val="center"/>
          </w:tcPr>
          <w:p w:rsidR="0055462F" w:rsidRPr="007E4791" w:rsidRDefault="0055462F" w:rsidP="0034261C">
            <w:pPr>
              <w:pStyle w:val="TextTi12"/>
              <w:spacing w:before="60" w:after="60" w:line="240" w:lineRule="auto"/>
              <w:jc w:val="left"/>
              <w:rPr>
                <w:rFonts w:cs="Arial"/>
                <w:color w:val="000000"/>
                <w:sz w:val="22"/>
                <w:szCs w:val="22"/>
                <w:lang w:eastAsia="ko-KR" w:bidi="he-IL"/>
              </w:rPr>
            </w:pPr>
            <w:r>
              <w:rPr>
                <w:rFonts w:cs="Arial"/>
                <w:color w:val="000000"/>
                <w:sz w:val="22"/>
                <w:szCs w:val="22"/>
                <w:lang w:eastAsia="ko-KR" w:bidi="he-IL"/>
              </w:rPr>
              <w:t>Patients with no IRR during the previous infusion</w:t>
            </w:r>
          </w:p>
        </w:tc>
        <w:tc>
          <w:tcPr>
            <w:tcW w:w="2693" w:type="dxa"/>
            <w:shd w:val="clear" w:color="auto" w:fill="auto"/>
            <w:vAlign w:val="center"/>
          </w:tcPr>
          <w:p w:rsidR="0055462F" w:rsidRPr="007E4791" w:rsidRDefault="0055462F"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Oral analgesic/anti-pyretic</w:t>
            </w:r>
            <w:r w:rsidR="00AF6956">
              <w:rPr>
                <w:rFonts w:cs="Arial"/>
                <w:color w:val="000000"/>
                <w:sz w:val="22"/>
                <w:szCs w:val="22"/>
                <w:vertAlign w:val="superscript"/>
                <w:lang w:eastAsia="ko-KR" w:bidi="he-IL"/>
              </w:rPr>
              <w:t>3</w:t>
            </w:r>
          </w:p>
        </w:tc>
        <w:tc>
          <w:tcPr>
            <w:tcW w:w="2233" w:type="dxa"/>
            <w:shd w:val="clear" w:color="auto" w:fill="auto"/>
            <w:vAlign w:val="center"/>
          </w:tcPr>
          <w:p w:rsidR="0055462F" w:rsidRPr="007E4791" w:rsidRDefault="0055462F" w:rsidP="0055462F">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At least 30 minutes before</w:t>
            </w:r>
            <w:r w:rsidRPr="00D7152B">
              <w:rPr>
                <w:rFonts w:cs="Arial"/>
                <w:color w:val="000000"/>
                <w:sz w:val="22"/>
                <w:szCs w:val="22"/>
                <w:lang w:eastAsia="ko-KR" w:bidi="he-IL"/>
              </w:rPr>
              <w:t xml:space="preserve"> </w:t>
            </w:r>
            <w:r w:rsidR="00D7152B" w:rsidRPr="00D7152B">
              <w:rPr>
                <w:sz w:val="22"/>
                <w:szCs w:val="22"/>
              </w:rPr>
              <w:t>Gazyva</w:t>
            </w:r>
            <w:r w:rsidRPr="00D7152B">
              <w:rPr>
                <w:rFonts w:cs="Arial"/>
                <w:color w:val="000000"/>
                <w:sz w:val="22"/>
                <w:szCs w:val="22"/>
                <w:lang w:eastAsia="ko-KR" w:bidi="he-IL"/>
              </w:rPr>
              <w:t xml:space="preserve"> </w:t>
            </w:r>
            <w:r w:rsidRPr="007E4791">
              <w:rPr>
                <w:rFonts w:cs="Arial"/>
                <w:color w:val="000000"/>
                <w:sz w:val="22"/>
                <w:szCs w:val="22"/>
                <w:lang w:eastAsia="ko-KR" w:bidi="he-IL"/>
              </w:rPr>
              <w:t>infusion</w:t>
            </w:r>
          </w:p>
        </w:tc>
      </w:tr>
      <w:tr w:rsidR="0055462F" w:rsidRPr="007E4791" w:rsidTr="00FC1CB0">
        <w:trPr>
          <w:trHeight w:val="126"/>
        </w:trPr>
        <w:tc>
          <w:tcPr>
            <w:tcW w:w="1951" w:type="dxa"/>
            <w:vMerge/>
            <w:shd w:val="clear" w:color="auto" w:fill="auto"/>
            <w:vAlign w:val="center"/>
          </w:tcPr>
          <w:p w:rsidR="0055462F" w:rsidRDefault="0055462F" w:rsidP="0034261C">
            <w:pPr>
              <w:pStyle w:val="TextTi12"/>
              <w:spacing w:before="60" w:after="60" w:line="240" w:lineRule="auto"/>
              <w:jc w:val="left"/>
              <w:rPr>
                <w:rFonts w:cs="Arial"/>
                <w:b/>
                <w:color w:val="000000"/>
                <w:sz w:val="22"/>
                <w:szCs w:val="22"/>
                <w:lang w:eastAsia="ko-KR" w:bidi="he-IL"/>
              </w:rPr>
            </w:pPr>
          </w:p>
        </w:tc>
        <w:tc>
          <w:tcPr>
            <w:tcW w:w="2410" w:type="dxa"/>
            <w:vMerge w:val="restart"/>
            <w:shd w:val="clear" w:color="auto" w:fill="auto"/>
            <w:vAlign w:val="center"/>
          </w:tcPr>
          <w:p w:rsidR="0055462F" w:rsidRPr="007E4791" w:rsidRDefault="0055462F" w:rsidP="0034261C">
            <w:pPr>
              <w:pStyle w:val="TextTi12"/>
              <w:spacing w:before="60" w:after="60" w:line="240" w:lineRule="auto"/>
              <w:jc w:val="left"/>
              <w:rPr>
                <w:rFonts w:cs="Arial"/>
                <w:color w:val="000000"/>
                <w:sz w:val="22"/>
                <w:szCs w:val="22"/>
                <w:lang w:eastAsia="ko-KR" w:bidi="he-IL"/>
              </w:rPr>
            </w:pPr>
            <w:r>
              <w:rPr>
                <w:rFonts w:cs="Arial"/>
                <w:color w:val="000000"/>
                <w:sz w:val="22"/>
                <w:szCs w:val="22"/>
                <w:lang w:eastAsia="ko-KR" w:bidi="he-IL"/>
              </w:rPr>
              <w:t>Patients with an IRR (Grade 1 or 2) with the previous infusion</w:t>
            </w:r>
          </w:p>
        </w:tc>
        <w:tc>
          <w:tcPr>
            <w:tcW w:w="2693" w:type="dxa"/>
            <w:shd w:val="clear" w:color="auto" w:fill="auto"/>
            <w:vAlign w:val="center"/>
          </w:tcPr>
          <w:p w:rsidR="0055462F" w:rsidRPr="007E4791" w:rsidRDefault="0055462F"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Oral analgesic/anti-pyretic</w:t>
            </w:r>
            <w:r w:rsidR="00AF6956">
              <w:rPr>
                <w:rFonts w:cs="Arial"/>
                <w:color w:val="000000"/>
                <w:sz w:val="22"/>
                <w:szCs w:val="22"/>
                <w:vertAlign w:val="superscript"/>
                <w:lang w:eastAsia="ko-KR" w:bidi="he-IL"/>
              </w:rPr>
              <w:t>3</w:t>
            </w:r>
          </w:p>
        </w:tc>
        <w:tc>
          <w:tcPr>
            <w:tcW w:w="2233" w:type="dxa"/>
            <w:vMerge w:val="restart"/>
            <w:shd w:val="clear" w:color="auto" w:fill="auto"/>
            <w:vAlign w:val="center"/>
          </w:tcPr>
          <w:p w:rsidR="0055462F" w:rsidRPr="007E4791" w:rsidRDefault="0055462F" w:rsidP="0055462F">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At least 30 minutes befor</w:t>
            </w:r>
            <w:r w:rsidRPr="00D7152B">
              <w:rPr>
                <w:rFonts w:cs="Arial"/>
                <w:color w:val="000000"/>
                <w:sz w:val="22"/>
                <w:szCs w:val="22"/>
                <w:lang w:eastAsia="ko-KR" w:bidi="he-IL"/>
              </w:rPr>
              <w:t xml:space="preserve">e </w:t>
            </w:r>
            <w:r w:rsidR="00D7152B" w:rsidRPr="00D7152B">
              <w:rPr>
                <w:sz w:val="22"/>
                <w:szCs w:val="22"/>
              </w:rPr>
              <w:t>Gazyva</w:t>
            </w:r>
            <w:r w:rsidRPr="007E4791">
              <w:rPr>
                <w:rFonts w:cs="Arial"/>
                <w:color w:val="000000"/>
                <w:sz w:val="22"/>
                <w:szCs w:val="22"/>
                <w:lang w:eastAsia="ko-KR" w:bidi="he-IL"/>
              </w:rPr>
              <w:t xml:space="preserve"> infusion</w:t>
            </w:r>
          </w:p>
        </w:tc>
      </w:tr>
      <w:tr w:rsidR="0055462F" w:rsidRPr="007E4791" w:rsidTr="0055462F">
        <w:trPr>
          <w:trHeight w:val="317"/>
        </w:trPr>
        <w:tc>
          <w:tcPr>
            <w:tcW w:w="1951" w:type="dxa"/>
            <w:vMerge/>
            <w:shd w:val="clear" w:color="auto" w:fill="auto"/>
            <w:vAlign w:val="center"/>
          </w:tcPr>
          <w:p w:rsidR="0055462F" w:rsidRDefault="0055462F" w:rsidP="0034261C">
            <w:pPr>
              <w:pStyle w:val="TextTi12"/>
              <w:spacing w:before="60" w:after="60" w:line="240" w:lineRule="auto"/>
              <w:jc w:val="left"/>
              <w:rPr>
                <w:rFonts w:cs="Arial"/>
                <w:b/>
                <w:color w:val="000000"/>
                <w:sz w:val="22"/>
                <w:szCs w:val="22"/>
                <w:lang w:eastAsia="ko-KR" w:bidi="he-IL"/>
              </w:rPr>
            </w:pPr>
          </w:p>
        </w:tc>
        <w:tc>
          <w:tcPr>
            <w:tcW w:w="2410" w:type="dxa"/>
            <w:vMerge/>
            <w:shd w:val="clear" w:color="auto" w:fill="auto"/>
            <w:vAlign w:val="center"/>
          </w:tcPr>
          <w:p w:rsidR="0055462F" w:rsidRDefault="0055462F" w:rsidP="0034261C">
            <w:pPr>
              <w:pStyle w:val="TextTi12"/>
              <w:spacing w:before="60" w:after="60" w:line="240" w:lineRule="auto"/>
              <w:jc w:val="left"/>
              <w:rPr>
                <w:rFonts w:cs="Arial"/>
                <w:color w:val="000000"/>
                <w:sz w:val="22"/>
                <w:szCs w:val="22"/>
                <w:lang w:eastAsia="ko-KR" w:bidi="he-IL"/>
              </w:rPr>
            </w:pPr>
          </w:p>
        </w:tc>
        <w:tc>
          <w:tcPr>
            <w:tcW w:w="2693" w:type="dxa"/>
            <w:shd w:val="clear" w:color="auto" w:fill="auto"/>
            <w:vAlign w:val="center"/>
          </w:tcPr>
          <w:p w:rsidR="0055462F" w:rsidRPr="007E4791" w:rsidRDefault="0055462F"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Anti-histaminic drug</w:t>
            </w:r>
            <w:r w:rsidR="00AF6956">
              <w:rPr>
                <w:rFonts w:cs="Arial"/>
                <w:color w:val="000000"/>
                <w:sz w:val="22"/>
                <w:szCs w:val="22"/>
                <w:vertAlign w:val="superscript"/>
                <w:lang w:eastAsia="ko-KR" w:bidi="he-IL"/>
              </w:rPr>
              <w:t>4</w:t>
            </w:r>
          </w:p>
        </w:tc>
        <w:tc>
          <w:tcPr>
            <w:tcW w:w="2233" w:type="dxa"/>
            <w:vMerge/>
            <w:shd w:val="clear" w:color="auto" w:fill="auto"/>
            <w:vAlign w:val="center"/>
          </w:tcPr>
          <w:p w:rsidR="0055462F" w:rsidRPr="007E4791" w:rsidRDefault="0055462F" w:rsidP="0055462F">
            <w:pPr>
              <w:pStyle w:val="TextTi12"/>
              <w:spacing w:before="60" w:after="60" w:line="240" w:lineRule="auto"/>
              <w:jc w:val="left"/>
              <w:rPr>
                <w:rFonts w:cs="Arial"/>
                <w:color w:val="000000"/>
                <w:sz w:val="22"/>
                <w:szCs w:val="22"/>
                <w:lang w:eastAsia="ko-KR" w:bidi="he-IL"/>
              </w:rPr>
            </w:pPr>
          </w:p>
        </w:tc>
      </w:tr>
      <w:tr w:rsidR="0055462F" w:rsidRPr="007E4791" w:rsidTr="00FC1CB0">
        <w:trPr>
          <w:trHeight w:val="797"/>
        </w:trPr>
        <w:tc>
          <w:tcPr>
            <w:tcW w:w="1951" w:type="dxa"/>
            <w:vMerge/>
            <w:shd w:val="clear" w:color="auto" w:fill="auto"/>
            <w:vAlign w:val="center"/>
          </w:tcPr>
          <w:p w:rsidR="0055462F" w:rsidRDefault="0055462F" w:rsidP="0034261C">
            <w:pPr>
              <w:pStyle w:val="TextTi12"/>
              <w:spacing w:before="60" w:after="60" w:line="240" w:lineRule="auto"/>
              <w:jc w:val="left"/>
              <w:rPr>
                <w:rFonts w:cs="Arial"/>
                <w:b/>
                <w:color w:val="000000"/>
                <w:sz w:val="22"/>
                <w:szCs w:val="22"/>
                <w:lang w:eastAsia="ko-KR" w:bidi="he-IL"/>
              </w:rPr>
            </w:pPr>
          </w:p>
        </w:tc>
        <w:tc>
          <w:tcPr>
            <w:tcW w:w="2410" w:type="dxa"/>
            <w:vMerge w:val="restart"/>
            <w:shd w:val="clear" w:color="auto" w:fill="auto"/>
            <w:vAlign w:val="center"/>
          </w:tcPr>
          <w:p w:rsidR="00FC1CB0" w:rsidRDefault="0055462F"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 xml:space="preserve">Patients with a Grade 3 IRR with the previous infusion </w:t>
            </w:r>
          </w:p>
          <w:p w:rsidR="00FC1CB0" w:rsidRDefault="0055462F"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 xml:space="preserve">OR </w:t>
            </w:r>
          </w:p>
          <w:p w:rsidR="0055462F" w:rsidRPr="007E4791" w:rsidRDefault="0055462F"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patients with lymphocyte counts &gt; 25 x 10</w:t>
            </w:r>
            <w:r w:rsidRPr="007E4791">
              <w:rPr>
                <w:rFonts w:cs="Arial"/>
                <w:color w:val="000000"/>
                <w:sz w:val="22"/>
                <w:szCs w:val="22"/>
                <w:vertAlign w:val="superscript"/>
                <w:lang w:eastAsia="ko-KR" w:bidi="he-IL"/>
              </w:rPr>
              <w:t>9</w:t>
            </w:r>
            <w:r w:rsidRPr="007E4791">
              <w:rPr>
                <w:rFonts w:cs="Arial"/>
                <w:color w:val="000000"/>
                <w:sz w:val="22"/>
                <w:szCs w:val="22"/>
                <w:lang w:eastAsia="ko-KR" w:bidi="he-IL"/>
              </w:rPr>
              <w:t>/L prior to next treatment</w:t>
            </w:r>
          </w:p>
        </w:tc>
        <w:tc>
          <w:tcPr>
            <w:tcW w:w="2693" w:type="dxa"/>
            <w:shd w:val="clear" w:color="auto" w:fill="auto"/>
            <w:vAlign w:val="center"/>
          </w:tcPr>
          <w:p w:rsidR="0055462F" w:rsidRPr="007E4791" w:rsidRDefault="0055462F"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Intravenous corticosteroid</w:t>
            </w:r>
            <w:r w:rsidRPr="007E4791">
              <w:rPr>
                <w:rFonts w:cs="Arial"/>
                <w:color w:val="000000"/>
                <w:sz w:val="22"/>
                <w:szCs w:val="22"/>
                <w:vertAlign w:val="superscript"/>
                <w:lang w:eastAsia="ko-KR" w:bidi="he-IL"/>
              </w:rPr>
              <w:t>1</w:t>
            </w:r>
            <w:r w:rsidR="00AF6956">
              <w:rPr>
                <w:rFonts w:cs="Arial"/>
                <w:color w:val="000000"/>
                <w:sz w:val="22"/>
                <w:szCs w:val="22"/>
                <w:vertAlign w:val="superscript"/>
                <w:lang w:eastAsia="ko-KR" w:bidi="he-IL"/>
              </w:rPr>
              <w:t>,2</w:t>
            </w:r>
          </w:p>
        </w:tc>
        <w:tc>
          <w:tcPr>
            <w:tcW w:w="2233" w:type="dxa"/>
            <w:shd w:val="clear" w:color="auto" w:fill="auto"/>
            <w:vAlign w:val="center"/>
          </w:tcPr>
          <w:p w:rsidR="0055462F" w:rsidRPr="007E4791" w:rsidRDefault="0055462F" w:rsidP="0055462F">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Completed at least 1 hour prior to</w:t>
            </w:r>
            <w:r w:rsidRPr="00D7152B">
              <w:rPr>
                <w:rFonts w:cs="Arial"/>
                <w:color w:val="000000"/>
                <w:sz w:val="22"/>
                <w:szCs w:val="22"/>
                <w:lang w:eastAsia="ko-KR" w:bidi="he-IL"/>
              </w:rPr>
              <w:t xml:space="preserve"> </w:t>
            </w:r>
            <w:r w:rsidR="00D7152B" w:rsidRPr="00D7152B">
              <w:rPr>
                <w:sz w:val="22"/>
                <w:szCs w:val="22"/>
              </w:rPr>
              <w:t>Gazyva</w:t>
            </w:r>
            <w:r w:rsidRPr="007E4791">
              <w:rPr>
                <w:rFonts w:cs="Arial"/>
                <w:color w:val="000000"/>
                <w:sz w:val="22"/>
                <w:szCs w:val="22"/>
                <w:lang w:eastAsia="ko-KR" w:bidi="he-IL"/>
              </w:rPr>
              <w:t xml:space="preserve"> infusion</w:t>
            </w:r>
          </w:p>
        </w:tc>
      </w:tr>
      <w:tr w:rsidR="0055462F" w:rsidRPr="007E4791" w:rsidTr="00FC1CB0">
        <w:trPr>
          <w:trHeight w:val="328"/>
        </w:trPr>
        <w:tc>
          <w:tcPr>
            <w:tcW w:w="1951" w:type="dxa"/>
            <w:vMerge/>
            <w:shd w:val="clear" w:color="auto" w:fill="auto"/>
            <w:vAlign w:val="center"/>
          </w:tcPr>
          <w:p w:rsidR="0055462F" w:rsidRDefault="0055462F" w:rsidP="0034261C">
            <w:pPr>
              <w:pStyle w:val="TextTi12"/>
              <w:spacing w:before="60" w:after="60" w:line="240" w:lineRule="auto"/>
              <w:jc w:val="left"/>
              <w:rPr>
                <w:rFonts w:cs="Arial"/>
                <w:b/>
                <w:color w:val="000000"/>
                <w:sz w:val="22"/>
                <w:szCs w:val="22"/>
                <w:lang w:eastAsia="ko-KR" w:bidi="he-IL"/>
              </w:rPr>
            </w:pPr>
          </w:p>
        </w:tc>
        <w:tc>
          <w:tcPr>
            <w:tcW w:w="2410" w:type="dxa"/>
            <w:vMerge/>
            <w:shd w:val="clear" w:color="auto" w:fill="auto"/>
            <w:vAlign w:val="center"/>
          </w:tcPr>
          <w:p w:rsidR="0055462F" w:rsidRPr="007E4791" w:rsidRDefault="0055462F" w:rsidP="0034261C">
            <w:pPr>
              <w:pStyle w:val="TextTi12"/>
              <w:spacing w:before="60" w:after="60" w:line="240" w:lineRule="auto"/>
              <w:jc w:val="left"/>
              <w:rPr>
                <w:rFonts w:cs="Arial"/>
                <w:color w:val="000000"/>
                <w:sz w:val="22"/>
                <w:szCs w:val="22"/>
                <w:lang w:eastAsia="ko-KR" w:bidi="he-IL"/>
              </w:rPr>
            </w:pPr>
          </w:p>
        </w:tc>
        <w:tc>
          <w:tcPr>
            <w:tcW w:w="2693" w:type="dxa"/>
            <w:shd w:val="clear" w:color="auto" w:fill="auto"/>
            <w:vAlign w:val="center"/>
          </w:tcPr>
          <w:p w:rsidR="0055462F" w:rsidRPr="007E4791" w:rsidRDefault="0055462F"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Oral analgesic/anti-pyretic</w:t>
            </w:r>
            <w:r w:rsidR="00AF6956">
              <w:rPr>
                <w:rFonts w:cs="Arial"/>
                <w:color w:val="000000"/>
                <w:sz w:val="22"/>
                <w:szCs w:val="22"/>
                <w:vertAlign w:val="superscript"/>
                <w:lang w:eastAsia="ko-KR" w:bidi="he-IL"/>
              </w:rPr>
              <w:t>3</w:t>
            </w:r>
          </w:p>
        </w:tc>
        <w:tc>
          <w:tcPr>
            <w:tcW w:w="2233" w:type="dxa"/>
            <w:vMerge w:val="restart"/>
            <w:shd w:val="clear" w:color="auto" w:fill="auto"/>
            <w:vAlign w:val="center"/>
          </w:tcPr>
          <w:p w:rsidR="0055462F" w:rsidRPr="007E4791" w:rsidRDefault="00FC1CB0" w:rsidP="0055462F">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At least 30 minutes before</w:t>
            </w:r>
            <w:r w:rsidRPr="00D7152B">
              <w:rPr>
                <w:rFonts w:cs="Arial"/>
                <w:color w:val="000000"/>
                <w:sz w:val="22"/>
                <w:szCs w:val="22"/>
                <w:lang w:eastAsia="ko-KR" w:bidi="he-IL"/>
              </w:rPr>
              <w:t xml:space="preserve"> </w:t>
            </w:r>
            <w:r w:rsidR="00D7152B" w:rsidRPr="00D7152B">
              <w:rPr>
                <w:sz w:val="22"/>
                <w:szCs w:val="22"/>
              </w:rPr>
              <w:t>Gazyva</w:t>
            </w:r>
            <w:r w:rsidRPr="00D7152B">
              <w:rPr>
                <w:rFonts w:cs="Arial"/>
                <w:color w:val="000000"/>
                <w:sz w:val="22"/>
                <w:szCs w:val="22"/>
                <w:lang w:eastAsia="ko-KR" w:bidi="he-IL"/>
              </w:rPr>
              <w:t xml:space="preserve"> </w:t>
            </w:r>
            <w:r w:rsidRPr="007E4791">
              <w:rPr>
                <w:rFonts w:cs="Arial"/>
                <w:color w:val="000000"/>
                <w:sz w:val="22"/>
                <w:szCs w:val="22"/>
                <w:lang w:eastAsia="ko-KR" w:bidi="he-IL"/>
              </w:rPr>
              <w:t>infusion</w:t>
            </w:r>
          </w:p>
        </w:tc>
      </w:tr>
      <w:tr w:rsidR="0055462F" w:rsidRPr="007E4791" w:rsidTr="00E8637D">
        <w:trPr>
          <w:trHeight w:val="375"/>
        </w:trPr>
        <w:tc>
          <w:tcPr>
            <w:tcW w:w="1951" w:type="dxa"/>
            <w:vMerge/>
            <w:shd w:val="clear" w:color="auto" w:fill="auto"/>
            <w:vAlign w:val="center"/>
          </w:tcPr>
          <w:p w:rsidR="0055462F" w:rsidRDefault="0055462F" w:rsidP="0034261C">
            <w:pPr>
              <w:pStyle w:val="TextTi12"/>
              <w:spacing w:before="60" w:after="60" w:line="240" w:lineRule="auto"/>
              <w:jc w:val="left"/>
              <w:rPr>
                <w:rFonts w:cs="Arial"/>
                <w:b/>
                <w:color w:val="000000"/>
                <w:sz w:val="22"/>
                <w:szCs w:val="22"/>
                <w:lang w:eastAsia="ko-KR" w:bidi="he-IL"/>
              </w:rPr>
            </w:pPr>
          </w:p>
        </w:tc>
        <w:tc>
          <w:tcPr>
            <w:tcW w:w="2410" w:type="dxa"/>
            <w:vMerge/>
            <w:shd w:val="clear" w:color="auto" w:fill="auto"/>
            <w:vAlign w:val="center"/>
          </w:tcPr>
          <w:p w:rsidR="0055462F" w:rsidRPr="007E4791" w:rsidRDefault="0055462F" w:rsidP="0034261C">
            <w:pPr>
              <w:pStyle w:val="TextTi12"/>
              <w:spacing w:before="60" w:after="60" w:line="240" w:lineRule="auto"/>
              <w:jc w:val="left"/>
              <w:rPr>
                <w:rFonts w:cs="Arial"/>
                <w:color w:val="000000"/>
                <w:sz w:val="22"/>
                <w:szCs w:val="22"/>
                <w:lang w:eastAsia="ko-KR" w:bidi="he-IL"/>
              </w:rPr>
            </w:pPr>
          </w:p>
        </w:tc>
        <w:tc>
          <w:tcPr>
            <w:tcW w:w="2693" w:type="dxa"/>
            <w:shd w:val="clear" w:color="auto" w:fill="auto"/>
            <w:vAlign w:val="center"/>
          </w:tcPr>
          <w:p w:rsidR="0055462F" w:rsidRPr="007E4791" w:rsidRDefault="0055462F"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Anti-histaminic drug</w:t>
            </w:r>
            <w:r w:rsidR="00AF6956">
              <w:rPr>
                <w:rFonts w:cs="Arial"/>
                <w:color w:val="000000"/>
                <w:sz w:val="22"/>
                <w:szCs w:val="22"/>
                <w:vertAlign w:val="superscript"/>
                <w:lang w:eastAsia="ko-KR" w:bidi="he-IL"/>
              </w:rPr>
              <w:t>4</w:t>
            </w:r>
          </w:p>
        </w:tc>
        <w:tc>
          <w:tcPr>
            <w:tcW w:w="2233" w:type="dxa"/>
            <w:vMerge/>
            <w:shd w:val="clear" w:color="auto" w:fill="auto"/>
            <w:vAlign w:val="center"/>
          </w:tcPr>
          <w:p w:rsidR="0055462F" w:rsidRPr="007E4791" w:rsidRDefault="0055462F" w:rsidP="0055462F">
            <w:pPr>
              <w:pStyle w:val="TextTi12"/>
              <w:spacing w:before="60" w:after="60" w:line="240" w:lineRule="auto"/>
              <w:jc w:val="left"/>
              <w:rPr>
                <w:rFonts w:cs="Arial"/>
                <w:color w:val="000000"/>
                <w:sz w:val="22"/>
                <w:szCs w:val="22"/>
                <w:lang w:eastAsia="ko-KR" w:bidi="he-IL"/>
              </w:rPr>
            </w:pPr>
          </w:p>
        </w:tc>
      </w:tr>
    </w:tbl>
    <w:p w:rsidR="00BF4ADE" w:rsidRPr="00C8539B" w:rsidRDefault="00BF4ADE" w:rsidP="00C75250">
      <w:pPr>
        <w:pStyle w:val="TextTi12"/>
        <w:spacing w:after="0" w:line="240" w:lineRule="auto"/>
        <w:rPr>
          <w:rFonts w:cs="Arial"/>
          <w:color w:val="000000"/>
          <w:sz w:val="20"/>
          <w:lang w:eastAsia="ko-KR" w:bidi="he-IL"/>
        </w:rPr>
      </w:pPr>
      <w:r w:rsidRPr="00C8539B">
        <w:rPr>
          <w:rFonts w:cs="Arial"/>
          <w:color w:val="000000"/>
          <w:sz w:val="20"/>
          <w:vertAlign w:val="superscript"/>
          <w:lang w:eastAsia="ko-KR" w:bidi="he-IL"/>
        </w:rPr>
        <w:t>*</w:t>
      </w:r>
      <w:r w:rsidRPr="00C8539B">
        <w:rPr>
          <w:rFonts w:cs="Arial"/>
          <w:color w:val="000000"/>
          <w:sz w:val="20"/>
          <w:lang w:eastAsia="ko-KR" w:bidi="he-IL"/>
        </w:rPr>
        <w:t xml:space="preserve">If the 100 mg dose of </w:t>
      </w:r>
      <w:r w:rsidR="00D7152B">
        <w:rPr>
          <w:rFonts w:cs="Arial"/>
          <w:color w:val="000000"/>
          <w:sz w:val="20"/>
          <w:lang w:eastAsia="ko-KR" w:bidi="he-IL"/>
        </w:rPr>
        <w:t>Gazyva</w:t>
      </w:r>
      <w:r w:rsidRPr="00C8539B">
        <w:rPr>
          <w:rFonts w:cs="Arial"/>
          <w:color w:val="000000"/>
          <w:sz w:val="20"/>
          <w:lang w:eastAsia="ko-KR" w:bidi="he-IL"/>
        </w:rPr>
        <w:t xml:space="preserve"> is administered without interruption or modification of the infusion rate the </w:t>
      </w:r>
      <w:r w:rsidR="0072134C" w:rsidRPr="00C8539B">
        <w:rPr>
          <w:rFonts w:cs="Arial"/>
          <w:color w:val="000000"/>
          <w:sz w:val="20"/>
          <w:lang w:eastAsia="ko-KR" w:bidi="he-IL"/>
        </w:rPr>
        <w:t xml:space="preserve">subsequent </w:t>
      </w:r>
      <w:r w:rsidRPr="00C8539B">
        <w:rPr>
          <w:rFonts w:cs="Arial"/>
          <w:color w:val="000000"/>
          <w:sz w:val="20"/>
          <w:lang w:eastAsia="ko-KR" w:bidi="he-IL"/>
        </w:rPr>
        <w:t>900 mg dose may also be administered on the same day</w:t>
      </w:r>
      <w:r w:rsidR="0072134C" w:rsidRPr="00C8539B">
        <w:rPr>
          <w:rFonts w:cs="Arial"/>
          <w:color w:val="000000"/>
          <w:sz w:val="20"/>
          <w:lang w:eastAsia="ko-KR" w:bidi="he-IL"/>
        </w:rPr>
        <w:t xml:space="preserve"> (see Table </w:t>
      </w:r>
      <w:r w:rsidR="00B113C5">
        <w:rPr>
          <w:rFonts w:cs="Arial"/>
          <w:color w:val="000000"/>
          <w:sz w:val="20"/>
          <w:lang w:eastAsia="ko-KR" w:bidi="he-IL"/>
        </w:rPr>
        <w:t>8</w:t>
      </w:r>
      <w:r w:rsidR="0072134C" w:rsidRPr="00C8539B">
        <w:rPr>
          <w:rFonts w:cs="Arial"/>
          <w:color w:val="000000"/>
          <w:sz w:val="20"/>
          <w:lang w:eastAsia="ko-KR" w:bidi="he-IL"/>
        </w:rPr>
        <w:t>)</w:t>
      </w:r>
      <w:r w:rsidRPr="00C8539B">
        <w:rPr>
          <w:rFonts w:cs="Arial"/>
          <w:color w:val="000000"/>
          <w:sz w:val="20"/>
          <w:lang w:eastAsia="ko-KR" w:bidi="he-IL"/>
        </w:rPr>
        <w:t xml:space="preserve">. </w:t>
      </w:r>
      <w:r w:rsidR="0072134C" w:rsidRPr="00C8539B">
        <w:rPr>
          <w:rFonts w:cs="Arial"/>
          <w:color w:val="000000"/>
          <w:sz w:val="20"/>
          <w:lang w:eastAsia="ko-KR" w:bidi="he-IL"/>
        </w:rPr>
        <w:t xml:space="preserve">In the event the 900 mg dose is given on the same day </w:t>
      </w:r>
      <w:r w:rsidRPr="00C8539B">
        <w:rPr>
          <w:rFonts w:cs="Arial"/>
          <w:color w:val="000000"/>
          <w:sz w:val="20"/>
          <w:lang w:eastAsia="ko-KR" w:bidi="he-IL"/>
        </w:rPr>
        <w:t>no additional premedication is required prior to commencement of the 900 mg dose.</w:t>
      </w:r>
    </w:p>
    <w:p w:rsidR="00885743" w:rsidRDefault="00885743" w:rsidP="00011A06">
      <w:pPr>
        <w:pStyle w:val="TextTi12"/>
        <w:spacing w:after="0" w:line="240" w:lineRule="auto"/>
        <w:rPr>
          <w:rFonts w:cs="Arial"/>
          <w:color w:val="000000"/>
          <w:sz w:val="20"/>
          <w:lang w:eastAsia="ko-KR" w:bidi="he-IL"/>
        </w:rPr>
      </w:pPr>
      <w:r w:rsidRPr="00C8539B">
        <w:rPr>
          <w:rFonts w:cs="Arial"/>
          <w:color w:val="000000"/>
          <w:sz w:val="20"/>
          <w:vertAlign w:val="superscript"/>
          <w:lang w:eastAsia="ko-KR" w:bidi="he-IL"/>
        </w:rPr>
        <w:t>1</w:t>
      </w:r>
      <w:r w:rsidR="00075399" w:rsidRPr="00C8539B">
        <w:rPr>
          <w:rFonts w:cs="Arial"/>
          <w:color w:val="000000"/>
          <w:sz w:val="20"/>
          <w:lang w:eastAsia="ko-KR" w:bidi="he-IL"/>
        </w:rPr>
        <w:t xml:space="preserve"> </w:t>
      </w:r>
      <w:r w:rsidRPr="00C8539B">
        <w:rPr>
          <w:rFonts w:cs="Arial"/>
          <w:color w:val="000000"/>
          <w:sz w:val="20"/>
          <w:lang w:eastAsia="ko-KR" w:bidi="he-IL"/>
        </w:rPr>
        <w:t>20 mg dexamethasone or 80 mg methylprednisolone</w:t>
      </w:r>
      <w:r w:rsidR="007706E4" w:rsidRPr="00C8539B">
        <w:rPr>
          <w:rFonts w:cs="Arial"/>
          <w:color w:val="000000"/>
          <w:sz w:val="20"/>
          <w:lang w:eastAsia="ko-KR" w:bidi="he-IL"/>
        </w:rPr>
        <w:t>. Hydrocortisone is not recommended as it has not been effective in reducing the rate of infusion reactions</w:t>
      </w:r>
    </w:p>
    <w:p w:rsidR="00AF6956" w:rsidRPr="00C8539B" w:rsidRDefault="00AF6956" w:rsidP="00011A06">
      <w:pPr>
        <w:pStyle w:val="TextTi12"/>
        <w:spacing w:after="0" w:line="240" w:lineRule="auto"/>
        <w:rPr>
          <w:rFonts w:cs="Arial"/>
          <w:color w:val="000000"/>
          <w:sz w:val="20"/>
          <w:lang w:eastAsia="ko-KR" w:bidi="he-IL"/>
        </w:rPr>
      </w:pPr>
      <w:r w:rsidRPr="00AF6956">
        <w:rPr>
          <w:rFonts w:cs="Arial"/>
          <w:color w:val="000000"/>
          <w:sz w:val="20"/>
          <w:vertAlign w:val="superscript"/>
          <w:lang w:eastAsia="ko-KR" w:bidi="he-IL"/>
        </w:rPr>
        <w:t>2</w:t>
      </w:r>
      <w:r>
        <w:rPr>
          <w:rFonts w:cs="Arial"/>
          <w:color w:val="000000"/>
          <w:sz w:val="20"/>
          <w:lang w:eastAsia="ko-KR" w:bidi="he-IL"/>
        </w:rPr>
        <w:t xml:space="preserve"> If a corticosteroid-containing chemotherapy regimen is administered on the same day as G</w:t>
      </w:r>
      <w:r w:rsidR="00D7152B">
        <w:rPr>
          <w:rFonts w:cs="Arial"/>
          <w:color w:val="000000"/>
          <w:sz w:val="20"/>
          <w:lang w:eastAsia="ko-KR" w:bidi="he-IL"/>
        </w:rPr>
        <w:t>azyva</w:t>
      </w:r>
      <w:r>
        <w:rPr>
          <w:rFonts w:cs="Arial"/>
          <w:color w:val="000000"/>
          <w:sz w:val="20"/>
          <w:lang w:eastAsia="ko-KR" w:bidi="he-IL"/>
        </w:rPr>
        <w:t xml:space="preserve"> the corticosteroid can be administered as an oral medication if given at least 60 minutes prior to G</w:t>
      </w:r>
      <w:r w:rsidR="00D7152B">
        <w:rPr>
          <w:rFonts w:cs="Arial"/>
          <w:color w:val="000000"/>
          <w:sz w:val="20"/>
          <w:lang w:eastAsia="ko-KR" w:bidi="he-IL"/>
        </w:rPr>
        <w:t>azyva</w:t>
      </w:r>
      <w:r>
        <w:rPr>
          <w:rFonts w:cs="Arial"/>
          <w:color w:val="000000"/>
          <w:sz w:val="20"/>
          <w:lang w:eastAsia="ko-KR" w:bidi="he-IL"/>
        </w:rPr>
        <w:t>, in which case additional IV corticosteroid as premedication is not required.</w:t>
      </w:r>
    </w:p>
    <w:p w:rsidR="00885743" w:rsidRPr="00C8539B" w:rsidRDefault="00AF6956" w:rsidP="00011A06">
      <w:pPr>
        <w:pStyle w:val="TextTi12"/>
        <w:spacing w:after="0" w:line="240" w:lineRule="auto"/>
        <w:rPr>
          <w:rFonts w:cs="Arial"/>
          <w:color w:val="000000"/>
          <w:sz w:val="20"/>
          <w:lang w:eastAsia="ko-KR" w:bidi="he-IL"/>
        </w:rPr>
      </w:pPr>
      <w:r>
        <w:rPr>
          <w:rFonts w:cs="Arial"/>
          <w:color w:val="000000"/>
          <w:sz w:val="20"/>
          <w:vertAlign w:val="superscript"/>
          <w:lang w:eastAsia="ko-KR" w:bidi="he-IL"/>
        </w:rPr>
        <w:t>3</w:t>
      </w:r>
      <w:r w:rsidR="00885743" w:rsidRPr="00C8539B">
        <w:rPr>
          <w:rFonts w:cs="Arial"/>
          <w:color w:val="000000"/>
          <w:sz w:val="20"/>
          <w:lang w:eastAsia="ko-KR" w:bidi="he-IL"/>
        </w:rPr>
        <w:t xml:space="preserve"> e.g. 1000 mg paracetamol</w:t>
      </w:r>
    </w:p>
    <w:p w:rsidR="00B14860" w:rsidRPr="00C8539B" w:rsidRDefault="00AF6956" w:rsidP="000029DA">
      <w:pPr>
        <w:pStyle w:val="TextTi12"/>
        <w:spacing w:after="0" w:line="240" w:lineRule="auto"/>
        <w:rPr>
          <w:rFonts w:cs="Arial"/>
          <w:color w:val="000000"/>
          <w:sz w:val="20"/>
          <w:lang w:eastAsia="ko-KR" w:bidi="he-IL"/>
        </w:rPr>
      </w:pPr>
      <w:r>
        <w:rPr>
          <w:rFonts w:cs="Arial"/>
          <w:color w:val="000000"/>
          <w:sz w:val="20"/>
          <w:vertAlign w:val="superscript"/>
          <w:lang w:eastAsia="ko-KR" w:bidi="he-IL"/>
        </w:rPr>
        <w:t>4</w:t>
      </w:r>
      <w:r w:rsidR="00885743" w:rsidRPr="00C8539B">
        <w:rPr>
          <w:rFonts w:cs="Arial"/>
          <w:color w:val="000000"/>
          <w:sz w:val="20"/>
          <w:lang w:eastAsia="ko-KR" w:bidi="he-IL"/>
        </w:rPr>
        <w:t xml:space="preserve"> </w:t>
      </w:r>
      <w:r w:rsidR="007706E4" w:rsidRPr="00C8539B">
        <w:rPr>
          <w:rFonts w:cs="Arial"/>
          <w:color w:val="000000"/>
          <w:sz w:val="20"/>
          <w:lang w:eastAsia="ko-KR" w:bidi="he-IL"/>
        </w:rPr>
        <w:t xml:space="preserve">H1 histamine receptor blockade </w:t>
      </w:r>
    </w:p>
    <w:p w:rsidR="00C75250" w:rsidRDefault="00C75250" w:rsidP="00C75250">
      <w:pPr>
        <w:pStyle w:val="TextTi12"/>
        <w:spacing w:after="0" w:line="240" w:lineRule="auto"/>
        <w:rPr>
          <w:rFonts w:cs="Arial"/>
          <w:b/>
          <w:color w:val="000000"/>
          <w:lang w:eastAsia="ko-KR" w:bidi="he-IL"/>
        </w:rPr>
      </w:pPr>
    </w:p>
    <w:p w:rsidR="00FC1CB0" w:rsidRPr="00A01C63" w:rsidRDefault="00FC1CB0" w:rsidP="000B64CB">
      <w:pPr>
        <w:pStyle w:val="TextTi12"/>
        <w:spacing w:line="280" w:lineRule="exact"/>
        <w:rPr>
          <w:rFonts w:cs="Arial"/>
          <w:b/>
          <w:color w:val="000000"/>
          <w:sz w:val="28"/>
          <w:szCs w:val="28"/>
          <w:lang w:eastAsia="ko-KR" w:bidi="he-IL"/>
        </w:rPr>
      </w:pPr>
      <w:r w:rsidRPr="00A01C63">
        <w:rPr>
          <w:rFonts w:cs="Arial"/>
          <w:b/>
          <w:color w:val="000000"/>
          <w:sz w:val="28"/>
          <w:szCs w:val="28"/>
          <w:lang w:eastAsia="ko-KR" w:bidi="he-IL"/>
        </w:rPr>
        <w:lastRenderedPageBreak/>
        <w:t>Standard Dosage</w:t>
      </w:r>
    </w:p>
    <w:p w:rsidR="000B64CB" w:rsidRPr="00BE6433" w:rsidRDefault="00206DA4" w:rsidP="000B64CB">
      <w:pPr>
        <w:pStyle w:val="TextTi12"/>
        <w:keepNext/>
        <w:spacing w:before="170" w:line="280" w:lineRule="exact"/>
        <w:rPr>
          <w:rFonts w:cs="Arial"/>
          <w:b/>
          <w:bCs/>
          <w:i/>
          <w:iCs/>
          <w:color w:val="000000"/>
          <w:sz w:val="28"/>
          <w:szCs w:val="28"/>
        </w:rPr>
      </w:pPr>
      <w:r w:rsidRPr="00BE6433">
        <w:rPr>
          <w:rFonts w:cs="Arial"/>
          <w:b/>
          <w:bCs/>
          <w:i/>
          <w:iCs/>
          <w:color w:val="000000"/>
          <w:sz w:val="28"/>
          <w:szCs w:val="28"/>
        </w:rPr>
        <w:t>Chronic Lymphocytic Leukaemia (</w:t>
      </w:r>
      <w:r w:rsidR="000B64CB" w:rsidRPr="00BE6433">
        <w:rPr>
          <w:rFonts w:cs="Arial"/>
          <w:b/>
          <w:bCs/>
          <w:i/>
          <w:iCs/>
          <w:color w:val="000000"/>
          <w:sz w:val="28"/>
          <w:szCs w:val="28"/>
        </w:rPr>
        <w:t>in combination with chlorambucil</w:t>
      </w:r>
      <w:r w:rsidR="000B64CB" w:rsidRPr="00BE6433">
        <w:rPr>
          <w:rFonts w:cs="Arial"/>
          <w:b/>
          <w:bCs/>
          <w:i/>
          <w:iCs/>
          <w:color w:val="000000"/>
          <w:sz w:val="28"/>
          <w:szCs w:val="28"/>
          <w:vertAlign w:val="superscript"/>
        </w:rPr>
        <w:t>*</w:t>
      </w:r>
      <w:r w:rsidRPr="00BE6433">
        <w:rPr>
          <w:rFonts w:cs="Arial"/>
          <w:b/>
          <w:bCs/>
          <w:i/>
          <w:iCs/>
          <w:color w:val="000000"/>
          <w:sz w:val="28"/>
          <w:szCs w:val="28"/>
        </w:rPr>
        <w:t>)</w:t>
      </w:r>
    </w:p>
    <w:p w:rsidR="00206DA4" w:rsidRPr="00206DA4" w:rsidRDefault="00206DA4" w:rsidP="00514921">
      <w:pPr>
        <w:pStyle w:val="TextTi12"/>
        <w:spacing w:after="0" w:line="240" w:lineRule="auto"/>
        <w:rPr>
          <w:rFonts w:cs="Arial"/>
          <w:i/>
          <w:color w:val="000000"/>
          <w:lang w:eastAsia="ko-KR" w:bidi="he-IL"/>
        </w:rPr>
      </w:pPr>
      <w:r w:rsidRPr="00206DA4">
        <w:rPr>
          <w:rFonts w:cs="Arial"/>
          <w:i/>
          <w:color w:val="000000"/>
          <w:lang w:eastAsia="ko-KR" w:bidi="he-IL"/>
        </w:rPr>
        <w:t>Cycle 1</w:t>
      </w:r>
    </w:p>
    <w:p w:rsidR="00321324" w:rsidRDefault="000B64CB" w:rsidP="00514921">
      <w:pPr>
        <w:pStyle w:val="TextTi12"/>
        <w:spacing w:after="0" w:line="240" w:lineRule="auto"/>
        <w:rPr>
          <w:rFonts w:cs="Arial"/>
          <w:color w:val="000000"/>
          <w:lang w:eastAsia="ko-KR" w:bidi="he-IL"/>
        </w:rPr>
      </w:pPr>
      <w:r w:rsidRPr="000A0780">
        <w:rPr>
          <w:rFonts w:cs="Arial"/>
          <w:color w:val="000000"/>
          <w:lang w:eastAsia="ko-KR" w:bidi="he-IL"/>
        </w:rPr>
        <w:t xml:space="preserve">The recommended dosage of </w:t>
      </w:r>
      <w:r w:rsidR="00D7152B">
        <w:t>Gazyva</w:t>
      </w:r>
      <w:r w:rsidRPr="000A0780">
        <w:rPr>
          <w:rFonts w:cs="Arial"/>
          <w:color w:val="000000"/>
          <w:lang w:eastAsia="ko-KR" w:bidi="he-IL"/>
        </w:rPr>
        <w:t xml:space="preserve"> is</w:t>
      </w:r>
      <w:r>
        <w:rPr>
          <w:rFonts w:cs="Arial"/>
          <w:color w:val="000000"/>
          <w:lang w:eastAsia="ko-KR" w:bidi="he-IL"/>
        </w:rPr>
        <w:t xml:space="preserve"> 1000 mg administered </w:t>
      </w:r>
      <w:r w:rsidR="00206DA4">
        <w:rPr>
          <w:rFonts w:cs="Arial"/>
          <w:color w:val="000000"/>
          <w:lang w:eastAsia="ko-KR" w:bidi="he-IL"/>
        </w:rPr>
        <w:t xml:space="preserve">over </w:t>
      </w:r>
      <w:r>
        <w:rPr>
          <w:rFonts w:cs="Arial"/>
          <w:color w:val="000000"/>
          <w:lang w:eastAsia="ko-KR" w:bidi="he-IL"/>
        </w:rPr>
        <w:t>Day 1</w:t>
      </w:r>
      <w:r w:rsidR="00206DA4">
        <w:rPr>
          <w:rFonts w:cs="Arial"/>
          <w:color w:val="000000"/>
          <w:lang w:eastAsia="ko-KR" w:bidi="he-IL"/>
        </w:rPr>
        <w:t xml:space="preserve"> and </w:t>
      </w:r>
      <w:r w:rsidRPr="00E4495E">
        <w:rPr>
          <w:rFonts w:cs="Arial"/>
          <w:color w:val="000000"/>
          <w:lang w:eastAsia="ko-KR" w:bidi="he-IL"/>
        </w:rPr>
        <w:t>2</w:t>
      </w:r>
      <w:r>
        <w:rPr>
          <w:rFonts w:cs="Arial"/>
          <w:color w:val="000000"/>
          <w:lang w:eastAsia="ko-KR" w:bidi="he-IL"/>
        </w:rPr>
        <w:t>,</w:t>
      </w:r>
      <w:r w:rsidR="00206DA4">
        <w:rPr>
          <w:rFonts w:cs="Arial"/>
          <w:color w:val="000000"/>
          <w:lang w:eastAsia="ko-KR" w:bidi="he-IL"/>
        </w:rPr>
        <w:t xml:space="preserve"> and on</w:t>
      </w:r>
      <w:r w:rsidRPr="00E4495E">
        <w:rPr>
          <w:rFonts w:cs="Arial"/>
          <w:color w:val="000000"/>
          <w:lang w:eastAsia="ko-KR" w:bidi="he-IL"/>
        </w:rPr>
        <w:t xml:space="preserve"> </w:t>
      </w:r>
      <w:r>
        <w:rPr>
          <w:rFonts w:cs="Arial"/>
          <w:color w:val="000000"/>
          <w:lang w:eastAsia="ko-KR" w:bidi="he-IL"/>
        </w:rPr>
        <w:t>Day 8 and Da</w:t>
      </w:r>
      <w:r w:rsidRPr="00E4495E">
        <w:rPr>
          <w:rFonts w:cs="Arial"/>
          <w:color w:val="000000"/>
          <w:lang w:eastAsia="ko-KR" w:bidi="he-IL"/>
        </w:rPr>
        <w:t xml:space="preserve">y 15 of the first 28 day treatment cycle </w:t>
      </w:r>
      <w:r>
        <w:rPr>
          <w:rFonts w:cs="Arial"/>
          <w:color w:val="000000"/>
          <w:lang w:eastAsia="ko-KR" w:bidi="he-IL"/>
        </w:rPr>
        <w:t xml:space="preserve">as </w:t>
      </w:r>
      <w:r w:rsidRPr="000A0780">
        <w:rPr>
          <w:rFonts w:cs="Arial"/>
          <w:color w:val="000000"/>
          <w:lang w:eastAsia="ko-KR" w:bidi="he-IL"/>
        </w:rPr>
        <w:t xml:space="preserve">shown in Table </w:t>
      </w:r>
      <w:r w:rsidR="00416B3F">
        <w:rPr>
          <w:rFonts w:cs="Arial"/>
          <w:color w:val="000000"/>
          <w:lang w:eastAsia="ko-KR" w:bidi="he-IL"/>
        </w:rPr>
        <w:t>10</w:t>
      </w:r>
      <w:r>
        <w:rPr>
          <w:rFonts w:cs="Arial"/>
          <w:color w:val="000000"/>
          <w:lang w:eastAsia="ko-KR" w:bidi="he-IL"/>
        </w:rPr>
        <w:t>.</w:t>
      </w:r>
    </w:p>
    <w:p w:rsidR="00514921" w:rsidRDefault="00514921" w:rsidP="00514921">
      <w:pPr>
        <w:pStyle w:val="TextTi12"/>
        <w:spacing w:after="0" w:line="240" w:lineRule="auto"/>
        <w:rPr>
          <w:rFonts w:cs="Arial"/>
          <w:color w:val="000000"/>
          <w:lang w:eastAsia="ko-KR" w:bidi="he-IL"/>
        </w:rPr>
      </w:pPr>
    </w:p>
    <w:p w:rsidR="00610DBC" w:rsidRDefault="00610DBC" w:rsidP="00514921">
      <w:pPr>
        <w:pStyle w:val="TextTi12"/>
        <w:spacing w:after="0" w:line="240" w:lineRule="auto"/>
        <w:rPr>
          <w:rFonts w:cs="Arial"/>
          <w:color w:val="000000"/>
          <w:lang w:eastAsia="ko-KR" w:bidi="he-IL"/>
        </w:rPr>
      </w:pPr>
      <w:r>
        <w:rPr>
          <w:rFonts w:cs="Arial"/>
          <w:color w:val="000000"/>
          <w:lang w:eastAsia="ko-KR" w:bidi="he-IL"/>
        </w:rPr>
        <w:t>Two infusion bags should be prepared</w:t>
      </w:r>
      <w:r w:rsidR="00DC260E">
        <w:rPr>
          <w:rFonts w:cs="Arial"/>
          <w:color w:val="000000"/>
          <w:lang w:eastAsia="ko-KR" w:bidi="he-IL"/>
        </w:rPr>
        <w:t>; o</w:t>
      </w:r>
      <w:r w:rsidR="00206DA4">
        <w:rPr>
          <w:rFonts w:cs="Arial"/>
          <w:color w:val="000000"/>
          <w:lang w:eastAsia="ko-KR" w:bidi="he-IL"/>
        </w:rPr>
        <w:t>ne</w:t>
      </w:r>
      <w:r>
        <w:rPr>
          <w:rFonts w:cs="Arial"/>
          <w:color w:val="000000"/>
          <w:lang w:eastAsia="ko-KR" w:bidi="he-IL"/>
        </w:rPr>
        <w:t xml:space="preserve"> for the</w:t>
      </w:r>
      <w:r w:rsidR="00206DA4">
        <w:rPr>
          <w:rFonts w:cs="Arial"/>
          <w:color w:val="000000"/>
          <w:lang w:eastAsia="ko-KR" w:bidi="he-IL"/>
        </w:rPr>
        <w:t xml:space="preserve"> first infusion of 100 mg and one for the second infusion of 900 mg</w:t>
      </w:r>
      <w:r>
        <w:rPr>
          <w:rFonts w:cs="Arial"/>
          <w:color w:val="000000"/>
          <w:lang w:eastAsia="ko-KR" w:bidi="he-IL"/>
        </w:rPr>
        <w:t xml:space="preserve">. If the </w:t>
      </w:r>
      <w:r w:rsidR="00206DA4">
        <w:rPr>
          <w:rFonts w:cs="Arial"/>
          <w:color w:val="000000"/>
          <w:lang w:eastAsia="ko-KR" w:bidi="he-IL"/>
        </w:rPr>
        <w:t>100 mg dose</w:t>
      </w:r>
      <w:r>
        <w:rPr>
          <w:rFonts w:cs="Arial"/>
          <w:color w:val="000000"/>
          <w:lang w:eastAsia="ko-KR" w:bidi="he-IL"/>
        </w:rPr>
        <w:t xml:space="preserve"> is completed without modifications of the infusion rate or interruptions, the </w:t>
      </w:r>
      <w:r w:rsidR="00206DA4">
        <w:rPr>
          <w:rFonts w:cs="Arial"/>
          <w:color w:val="000000"/>
          <w:lang w:eastAsia="ko-KR" w:bidi="he-IL"/>
        </w:rPr>
        <w:t>900 mg dose</w:t>
      </w:r>
      <w:r>
        <w:rPr>
          <w:rFonts w:cs="Arial"/>
          <w:color w:val="000000"/>
          <w:lang w:eastAsia="ko-KR" w:bidi="he-IL"/>
        </w:rPr>
        <w:t xml:space="preserve"> can be administered on the same day </w:t>
      </w:r>
      <w:r w:rsidR="00674A8E">
        <w:rPr>
          <w:rFonts w:cs="Arial"/>
          <w:color w:val="000000"/>
          <w:lang w:eastAsia="ko-KR" w:bidi="he-IL"/>
        </w:rPr>
        <w:t xml:space="preserve">(no dose delay necessary) </w:t>
      </w:r>
      <w:r>
        <w:rPr>
          <w:rFonts w:cs="Arial"/>
          <w:color w:val="000000"/>
          <w:lang w:eastAsia="ko-KR" w:bidi="he-IL"/>
        </w:rPr>
        <w:t xml:space="preserve">provided that appropriate time, conditions and medical supervision are available throughout the infusion. If there are any modifications of the infusion rate or interruptions during the first 100 mg the </w:t>
      </w:r>
      <w:r w:rsidR="00206DA4">
        <w:rPr>
          <w:rFonts w:cs="Arial"/>
          <w:color w:val="000000"/>
          <w:lang w:eastAsia="ko-KR" w:bidi="he-IL"/>
        </w:rPr>
        <w:t>900 mg infusion</w:t>
      </w:r>
      <w:r>
        <w:rPr>
          <w:rFonts w:cs="Arial"/>
          <w:color w:val="000000"/>
          <w:lang w:eastAsia="ko-KR" w:bidi="he-IL"/>
        </w:rPr>
        <w:t xml:space="preserve"> must be administered the following day (see Table </w:t>
      </w:r>
      <w:r w:rsidR="00416B3F">
        <w:rPr>
          <w:rFonts w:cs="Arial"/>
          <w:color w:val="000000"/>
          <w:lang w:eastAsia="ko-KR" w:bidi="he-IL"/>
        </w:rPr>
        <w:t>10</w:t>
      </w:r>
      <w:r>
        <w:rPr>
          <w:rFonts w:cs="Arial"/>
          <w:color w:val="000000"/>
          <w:lang w:eastAsia="ko-KR" w:bidi="he-IL"/>
        </w:rPr>
        <w:t xml:space="preserve">). </w:t>
      </w:r>
    </w:p>
    <w:p w:rsidR="00610DBC" w:rsidRDefault="00610DBC" w:rsidP="00514921">
      <w:pPr>
        <w:pStyle w:val="TextTi12"/>
        <w:spacing w:after="0" w:line="240" w:lineRule="auto"/>
        <w:rPr>
          <w:rFonts w:cs="Arial"/>
          <w:color w:val="000000"/>
          <w:lang w:eastAsia="ko-KR" w:bidi="he-IL"/>
        </w:rPr>
      </w:pPr>
    </w:p>
    <w:p w:rsidR="00206DA4" w:rsidRDefault="00206DA4" w:rsidP="00514921">
      <w:pPr>
        <w:pStyle w:val="TextTi12"/>
        <w:spacing w:after="0" w:line="240" w:lineRule="auto"/>
        <w:rPr>
          <w:rFonts w:cs="Arial"/>
          <w:color w:val="000000"/>
          <w:lang w:eastAsia="ko-KR" w:bidi="he-IL"/>
        </w:rPr>
      </w:pPr>
      <w:r>
        <w:rPr>
          <w:rFonts w:cs="Arial"/>
          <w:i/>
          <w:color w:val="000000"/>
          <w:lang w:eastAsia="ko-KR" w:bidi="he-IL"/>
        </w:rPr>
        <w:t>Cycles 2-6</w:t>
      </w:r>
    </w:p>
    <w:p w:rsidR="00206DA4" w:rsidRPr="000A0780" w:rsidRDefault="00206DA4" w:rsidP="00B474D9">
      <w:pPr>
        <w:pStyle w:val="TextTi12"/>
        <w:spacing w:line="240" w:lineRule="auto"/>
        <w:rPr>
          <w:rFonts w:cs="Arial"/>
          <w:color w:val="000000"/>
          <w:lang w:eastAsia="ko-KR" w:bidi="he-IL"/>
        </w:rPr>
      </w:pPr>
      <w:r>
        <w:rPr>
          <w:rFonts w:cs="Arial"/>
          <w:color w:val="000000"/>
          <w:lang w:eastAsia="ko-KR" w:bidi="he-IL"/>
        </w:rPr>
        <w:t xml:space="preserve">The recommended dosage of </w:t>
      </w:r>
      <w:r w:rsidR="00D7152B">
        <w:t>Gazyva</w:t>
      </w:r>
      <w:r>
        <w:rPr>
          <w:rFonts w:cs="Arial"/>
          <w:color w:val="000000"/>
          <w:lang w:eastAsia="ko-KR" w:bidi="he-IL"/>
        </w:rPr>
        <w:t xml:space="preserve"> is 1000 mg administered on Day 1 for each 28 day treatment cycle as shown in Table </w:t>
      </w:r>
      <w:r w:rsidR="00416B3F">
        <w:rPr>
          <w:rFonts w:cs="Arial"/>
          <w:color w:val="000000"/>
          <w:lang w:eastAsia="ko-KR" w:bidi="he-IL"/>
        </w:rPr>
        <w:t>10</w:t>
      </w:r>
      <w:r>
        <w:rPr>
          <w:rFonts w:cs="Arial"/>
          <w:color w:val="000000"/>
          <w:lang w:eastAsia="ko-KR" w:bidi="he-IL"/>
        </w:rPr>
        <w:t>.</w:t>
      </w:r>
    </w:p>
    <w:p w:rsidR="00DF49DE" w:rsidRPr="000A0780" w:rsidRDefault="00DF49DE" w:rsidP="00DF49DE">
      <w:pPr>
        <w:keepNext/>
        <w:keepLines/>
        <w:tabs>
          <w:tab w:val="left" w:pos="0"/>
        </w:tabs>
        <w:rPr>
          <w:rFonts w:cs="Arial"/>
          <w:b/>
          <w:color w:val="000000"/>
        </w:rPr>
      </w:pPr>
      <w:r>
        <w:rPr>
          <w:rFonts w:cs="Arial"/>
          <w:b/>
          <w:color w:val="000000"/>
        </w:rPr>
        <w:t xml:space="preserve">Table </w:t>
      </w:r>
      <w:r w:rsidR="00416B3F">
        <w:rPr>
          <w:rFonts w:cs="Arial"/>
          <w:b/>
          <w:color w:val="000000"/>
        </w:rPr>
        <w:t>10</w:t>
      </w:r>
      <w:r>
        <w:rPr>
          <w:rFonts w:cs="Arial"/>
          <w:b/>
          <w:color w:val="000000"/>
        </w:rPr>
        <w:t xml:space="preserve"> Dose </w:t>
      </w:r>
      <w:r w:rsidR="00206DA4">
        <w:rPr>
          <w:rFonts w:cs="Arial"/>
          <w:b/>
          <w:color w:val="000000"/>
        </w:rPr>
        <w:t xml:space="preserve">and infusion rate </w:t>
      </w:r>
      <w:r>
        <w:rPr>
          <w:rFonts w:cs="Arial"/>
          <w:b/>
          <w:color w:val="000000"/>
        </w:rPr>
        <w:t xml:space="preserve">of </w:t>
      </w:r>
      <w:r w:rsidR="00D7152B">
        <w:rPr>
          <w:rFonts w:cs="Arial"/>
          <w:b/>
          <w:color w:val="000000"/>
        </w:rPr>
        <w:t>Gazyva</w:t>
      </w:r>
      <w:r>
        <w:rPr>
          <w:rFonts w:cs="Arial"/>
          <w:b/>
          <w:color w:val="000000"/>
        </w:rPr>
        <w:t xml:space="preserve"> </w:t>
      </w:r>
      <w:r w:rsidR="00206DA4">
        <w:rPr>
          <w:rFonts w:cs="Arial"/>
          <w:b/>
          <w:color w:val="000000"/>
        </w:rPr>
        <w:t>for patients with CLL</w:t>
      </w:r>
    </w:p>
    <w:tbl>
      <w:tblPr>
        <w:tblW w:w="9179" w:type="dxa"/>
        <w:jc w:val="center"/>
        <w:tblInd w:w="-2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49"/>
        <w:gridCol w:w="1588"/>
        <w:gridCol w:w="2227"/>
        <w:gridCol w:w="3615"/>
      </w:tblGrid>
      <w:tr w:rsidR="00DF49DE" w:rsidRPr="000A0780" w:rsidTr="00D7152B">
        <w:trPr>
          <w:jc w:val="center"/>
        </w:trPr>
        <w:tc>
          <w:tcPr>
            <w:tcW w:w="3311" w:type="dxa"/>
            <w:gridSpan w:val="2"/>
            <w:shd w:val="clear" w:color="auto" w:fill="auto"/>
            <w:vAlign w:val="center"/>
          </w:tcPr>
          <w:p w:rsidR="00DF49DE" w:rsidRPr="000A0780" w:rsidRDefault="00DF49DE" w:rsidP="00ED6B5F">
            <w:pPr>
              <w:spacing w:before="60" w:after="60"/>
              <w:ind w:right="357"/>
              <w:jc w:val="center"/>
              <w:rPr>
                <w:rFonts w:cs="Arial"/>
                <w:b/>
                <w:color w:val="000000"/>
                <w:sz w:val="22"/>
              </w:rPr>
            </w:pPr>
            <w:r w:rsidRPr="000A0780">
              <w:rPr>
                <w:rFonts w:cs="Arial"/>
                <w:b/>
                <w:color w:val="000000"/>
                <w:sz w:val="22"/>
              </w:rPr>
              <w:t>Day of Treatment Cycle</w:t>
            </w:r>
          </w:p>
        </w:tc>
        <w:tc>
          <w:tcPr>
            <w:tcW w:w="2236" w:type="dxa"/>
            <w:shd w:val="clear" w:color="auto" w:fill="auto"/>
            <w:vAlign w:val="center"/>
          </w:tcPr>
          <w:p w:rsidR="00DF49DE" w:rsidRPr="000A0780" w:rsidRDefault="00DF49DE" w:rsidP="00D7152B">
            <w:pPr>
              <w:spacing w:before="60" w:after="60"/>
              <w:ind w:right="357"/>
              <w:jc w:val="center"/>
              <w:rPr>
                <w:rFonts w:cs="Arial"/>
                <w:b/>
                <w:color w:val="000000"/>
                <w:sz w:val="22"/>
              </w:rPr>
            </w:pPr>
            <w:r w:rsidRPr="000A0780">
              <w:rPr>
                <w:rFonts w:cs="Arial"/>
                <w:b/>
                <w:color w:val="000000"/>
                <w:sz w:val="22"/>
              </w:rPr>
              <w:t>Dose of</w:t>
            </w:r>
            <w:r w:rsidR="00ED6B5F">
              <w:rPr>
                <w:rFonts w:cs="Arial"/>
                <w:b/>
                <w:color w:val="000000"/>
                <w:sz w:val="22"/>
              </w:rPr>
              <w:t xml:space="preserve"> </w:t>
            </w:r>
            <w:r w:rsidR="00D7152B">
              <w:rPr>
                <w:rFonts w:cs="Arial"/>
                <w:b/>
                <w:color w:val="000000"/>
                <w:sz w:val="22"/>
              </w:rPr>
              <w:t>Gazyva</w:t>
            </w:r>
          </w:p>
        </w:tc>
        <w:tc>
          <w:tcPr>
            <w:tcW w:w="3632" w:type="dxa"/>
            <w:vAlign w:val="center"/>
          </w:tcPr>
          <w:p w:rsidR="000E5941" w:rsidRDefault="00DF49DE" w:rsidP="000E5941">
            <w:pPr>
              <w:spacing w:before="60" w:after="60"/>
              <w:ind w:right="357"/>
              <w:jc w:val="left"/>
              <w:rPr>
                <w:rFonts w:cs="Arial"/>
                <w:b/>
                <w:color w:val="000000"/>
                <w:sz w:val="22"/>
              </w:rPr>
            </w:pPr>
            <w:r w:rsidRPr="000A0780">
              <w:rPr>
                <w:rFonts w:cs="Arial"/>
                <w:b/>
                <w:color w:val="000000"/>
                <w:sz w:val="22"/>
              </w:rPr>
              <w:t>Rate of infu</w:t>
            </w:r>
            <w:r>
              <w:rPr>
                <w:rFonts w:cs="Arial"/>
                <w:b/>
                <w:color w:val="000000"/>
                <w:sz w:val="22"/>
              </w:rPr>
              <w:t>sion</w:t>
            </w:r>
          </w:p>
          <w:p w:rsidR="00DF49DE" w:rsidRPr="000E5941" w:rsidRDefault="00A01C63" w:rsidP="00490681">
            <w:pPr>
              <w:spacing w:before="60" w:after="60"/>
              <w:ind w:right="357"/>
              <w:jc w:val="left"/>
              <w:rPr>
                <w:rFonts w:cs="Arial"/>
                <w:color w:val="000000"/>
                <w:sz w:val="22"/>
                <w:vertAlign w:val="superscript"/>
              </w:rPr>
            </w:pPr>
            <w:r>
              <w:rPr>
                <w:rFonts w:cs="Arial"/>
                <w:color w:val="000000"/>
                <w:sz w:val="22"/>
              </w:rPr>
              <w:t xml:space="preserve">For management of IRRs that occur during infusion, refer to Table </w:t>
            </w:r>
            <w:r w:rsidR="00490681">
              <w:rPr>
                <w:rFonts w:cs="Arial"/>
                <w:color w:val="000000"/>
                <w:sz w:val="22"/>
              </w:rPr>
              <w:t>10</w:t>
            </w:r>
          </w:p>
        </w:tc>
      </w:tr>
      <w:tr w:rsidR="00DF49DE" w:rsidRPr="000A0780" w:rsidTr="00D7152B">
        <w:trPr>
          <w:trHeight w:val="541"/>
          <w:jc w:val="center"/>
        </w:trPr>
        <w:tc>
          <w:tcPr>
            <w:tcW w:w="1755" w:type="dxa"/>
            <w:vMerge w:val="restart"/>
            <w:shd w:val="clear" w:color="auto" w:fill="auto"/>
            <w:vAlign w:val="center"/>
          </w:tcPr>
          <w:p w:rsidR="00DF49DE" w:rsidRPr="000A0780" w:rsidRDefault="00DF49DE" w:rsidP="00ED6B5F">
            <w:pPr>
              <w:ind w:right="357"/>
              <w:jc w:val="left"/>
              <w:rPr>
                <w:rFonts w:cs="Arial"/>
                <w:b/>
                <w:color w:val="000000"/>
                <w:sz w:val="22"/>
              </w:rPr>
            </w:pPr>
            <w:r w:rsidRPr="000A0780">
              <w:rPr>
                <w:rFonts w:cs="Arial"/>
                <w:b/>
                <w:color w:val="000000"/>
                <w:sz w:val="22"/>
              </w:rPr>
              <w:t>Cycle 1</w:t>
            </w:r>
          </w:p>
        </w:tc>
        <w:tc>
          <w:tcPr>
            <w:tcW w:w="1556" w:type="dxa"/>
            <w:shd w:val="clear" w:color="auto" w:fill="auto"/>
            <w:vAlign w:val="center"/>
          </w:tcPr>
          <w:p w:rsidR="00DF49DE" w:rsidRPr="000A0780" w:rsidRDefault="00DF49DE" w:rsidP="00ED6B5F">
            <w:pPr>
              <w:spacing w:before="60" w:after="60"/>
              <w:ind w:right="357"/>
              <w:jc w:val="left"/>
              <w:rPr>
                <w:rFonts w:cs="Arial"/>
                <w:color w:val="000000"/>
                <w:sz w:val="22"/>
              </w:rPr>
            </w:pPr>
            <w:r w:rsidRPr="000A0780">
              <w:rPr>
                <w:rFonts w:cs="Arial"/>
                <w:color w:val="000000"/>
                <w:sz w:val="22"/>
              </w:rPr>
              <w:t>Day 1</w:t>
            </w:r>
          </w:p>
        </w:tc>
        <w:tc>
          <w:tcPr>
            <w:tcW w:w="2236" w:type="dxa"/>
            <w:shd w:val="clear" w:color="auto" w:fill="auto"/>
            <w:vAlign w:val="center"/>
          </w:tcPr>
          <w:p w:rsidR="00DF49DE" w:rsidRPr="000A0780" w:rsidRDefault="00DF49DE" w:rsidP="00ED6B5F">
            <w:pPr>
              <w:spacing w:before="60" w:after="60"/>
              <w:ind w:right="357"/>
              <w:jc w:val="center"/>
              <w:rPr>
                <w:rFonts w:cs="Arial"/>
                <w:color w:val="000000"/>
                <w:sz w:val="22"/>
              </w:rPr>
            </w:pPr>
            <w:r w:rsidRPr="000A0780">
              <w:rPr>
                <w:rFonts w:cs="Arial"/>
                <w:color w:val="000000"/>
                <w:sz w:val="22"/>
              </w:rPr>
              <w:t>100 mg</w:t>
            </w:r>
          </w:p>
        </w:tc>
        <w:tc>
          <w:tcPr>
            <w:tcW w:w="3632" w:type="dxa"/>
            <w:vAlign w:val="center"/>
          </w:tcPr>
          <w:p w:rsidR="00DF49DE" w:rsidRPr="000A0780" w:rsidRDefault="00DF49DE" w:rsidP="0034261C">
            <w:pPr>
              <w:spacing w:before="60" w:after="60"/>
              <w:ind w:right="357"/>
              <w:jc w:val="left"/>
              <w:rPr>
                <w:rFonts w:cs="Arial"/>
                <w:color w:val="000000"/>
                <w:sz w:val="22"/>
              </w:rPr>
            </w:pPr>
            <w:r w:rsidRPr="000A0780">
              <w:rPr>
                <w:rFonts w:cs="Arial"/>
                <w:color w:val="000000"/>
                <w:sz w:val="22"/>
                <w:lang w:eastAsia="ko-KR" w:bidi="he-IL"/>
              </w:rPr>
              <w:t>Administer at 25 mg/hr over 4 hours.  Do not increase the infusion rate.</w:t>
            </w:r>
          </w:p>
        </w:tc>
      </w:tr>
      <w:tr w:rsidR="00DF49DE" w:rsidRPr="000A0780" w:rsidTr="00D7152B">
        <w:trPr>
          <w:trHeight w:val="904"/>
          <w:jc w:val="center"/>
        </w:trPr>
        <w:tc>
          <w:tcPr>
            <w:tcW w:w="1755" w:type="dxa"/>
            <w:vMerge/>
            <w:shd w:val="clear" w:color="auto" w:fill="auto"/>
            <w:vAlign w:val="center"/>
          </w:tcPr>
          <w:p w:rsidR="00DF49DE" w:rsidRPr="000A0780" w:rsidRDefault="00DF49DE" w:rsidP="00ED6B5F">
            <w:pPr>
              <w:ind w:right="357"/>
              <w:jc w:val="left"/>
              <w:rPr>
                <w:rFonts w:cs="Arial"/>
                <w:b/>
                <w:color w:val="000000"/>
                <w:sz w:val="22"/>
              </w:rPr>
            </w:pPr>
          </w:p>
        </w:tc>
        <w:tc>
          <w:tcPr>
            <w:tcW w:w="1556" w:type="dxa"/>
            <w:shd w:val="clear" w:color="auto" w:fill="auto"/>
            <w:vAlign w:val="center"/>
          </w:tcPr>
          <w:p w:rsidR="00DF49DE" w:rsidRDefault="00DF49DE" w:rsidP="00ED6B5F">
            <w:pPr>
              <w:spacing w:before="60" w:after="60"/>
              <w:ind w:right="357"/>
              <w:jc w:val="left"/>
              <w:rPr>
                <w:rFonts w:cs="Arial"/>
                <w:color w:val="000000"/>
                <w:sz w:val="22"/>
              </w:rPr>
            </w:pPr>
            <w:r w:rsidRPr="000A0780">
              <w:rPr>
                <w:rFonts w:cs="Arial"/>
                <w:color w:val="000000"/>
                <w:sz w:val="22"/>
              </w:rPr>
              <w:t>Day 2</w:t>
            </w:r>
          </w:p>
          <w:p w:rsidR="00610DBC" w:rsidRPr="000A0780" w:rsidRDefault="00610DBC" w:rsidP="00ED6B5F">
            <w:pPr>
              <w:spacing w:before="60" w:after="60"/>
              <w:ind w:right="357"/>
              <w:jc w:val="left"/>
              <w:rPr>
                <w:rFonts w:cs="Arial"/>
                <w:color w:val="000000"/>
                <w:sz w:val="22"/>
              </w:rPr>
            </w:pPr>
            <w:r>
              <w:rPr>
                <w:rFonts w:cs="Arial"/>
                <w:color w:val="000000"/>
                <w:sz w:val="22"/>
              </w:rPr>
              <w:t>or Day 1 (continued)</w:t>
            </w:r>
          </w:p>
        </w:tc>
        <w:tc>
          <w:tcPr>
            <w:tcW w:w="2236" w:type="dxa"/>
            <w:shd w:val="clear" w:color="auto" w:fill="auto"/>
            <w:vAlign w:val="center"/>
          </w:tcPr>
          <w:p w:rsidR="00DF49DE" w:rsidRPr="000A0780" w:rsidRDefault="00DF49DE" w:rsidP="00ED6B5F">
            <w:pPr>
              <w:spacing w:before="60" w:after="60"/>
              <w:ind w:right="357"/>
              <w:jc w:val="center"/>
              <w:rPr>
                <w:rFonts w:cs="Arial"/>
                <w:color w:val="000000"/>
                <w:sz w:val="22"/>
              </w:rPr>
            </w:pPr>
            <w:r w:rsidRPr="000A0780">
              <w:rPr>
                <w:rFonts w:cs="Arial"/>
                <w:color w:val="000000"/>
                <w:sz w:val="22"/>
              </w:rPr>
              <w:t>900 mg</w:t>
            </w:r>
          </w:p>
        </w:tc>
        <w:tc>
          <w:tcPr>
            <w:tcW w:w="3632" w:type="dxa"/>
            <w:vAlign w:val="center"/>
          </w:tcPr>
          <w:p w:rsidR="00DF49DE" w:rsidRDefault="000E5941" w:rsidP="0034261C">
            <w:pPr>
              <w:spacing w:before="60" w:after="60"/>
              <w:ind w:right="357"/>
              <w:jc w:val="left"/>
              <w:rPr>
                <w:rFonts w:cs="Arial"/>
                <w:color w:val="000000"/>
                <w:sz w:val="22"/>
              </w:rPr>
            </w:pPr>
            <w:r>
              <w:rPr>
                <w:rFonts w:cs="Arial"/>
                <w:color w:val="000000"/>
                <w:sz w:val="22"/>
              </w:rPr>
              <w:t>If no IRR occurred during the previous infusion, a</w:t>
            </w:r>
            <w:r w:rsidR="00DF49DE" w:rsidRPr="000A0780">
              <w:rPr>
                <w:rFonts w:cs="Arial"/>
                <w:color w:val="000000"/>
                <w:sz w:val="22"/>
              </w:rPr>
              <w:t xml:space="preserve">dminister at 50 mg/hr. </w:t>
            </w:r>
            <w:r w:rsidR="00DF49DE" w:rsidRPr="000A0780">
              <w:rPr>
                <w:rFonts w:cs="Arial"/>
                <w:color w:val="000000"/>
                <w:sz w:val="22"/>
              </w:rPr>
              <w:br/>
              <w:t>The rate of the infusion can be escalated in increments of 50 mg/hr every 30 minutes to a maximum rate of 400 mg/hr.</w:t>
            </w:r>
          </w:p>
          <w:p w:rsidR="00631CFB" w:rsidRPr="000A0780" w:rsidRDefault="00631CFB" w:rsidP="0034261C">
            <w:pPr>
              <w:spacing w:before="60" w:after="60"/>
              <w:ind w:right="357"/>
              <w:jc w:val="left"/>
              <w:rPr>
                <w:rFonts w:cs="Arial"/>
                <w:color w:val="000000"/>
                <w:sz w:val="22"/>
              </w:rPr>
            </w:pPr>
            <w:r>
              <w:rPr>
                <w:rFonts w:cs="Arial"/>
                <w:color w:val="000000"/>
                <w:sz w:val="22"/>
              </w:rPr>
              <w:t>If the patient experienced an IRR during the previous infusion, start administration at 25 mg/hr. The rate of infusion can be escalated in increments of up to 50 mg/hr every 30 minutes to a maximum rate of 400 mg/hr.</w:t>
            </w:r>
          </w:p>
        </w:tc>
      </w:tr>
      <w:tr w:rsidR="00DF49DE" w:rsidRPr="000A0780" w:rsidTr="00D7152B">
        <w:trPr>
          <w:trHeight w:val="339"/>
          <w:jc w:val="center"/>
        </w:trPr>
        <w:tc>
          <w:tcPr>
            <w:tcW w:w="1755" w:type="dxa"/>
            <w:vMerge/>
            <w:shd w:val="clear" w:color="auto" w:fill="auto"/>
            <w:vAlign w:val="center"/>
          </w:tcPr>
          <w:p w:rsidR="00DF49DE" w:rsidRPr="000A0780" w:rsidRDefault="00DF49DE" w:rsidP="00ED6B5F">
            <w:pPr>
              <w:ind w:right="360"/>
              <w:jc w:val="left"/>
              <w:rPr>
                <w:rFonts w:cs="Arial"/>
                <w:b/>
                <w:color w:val="000000"/>
                <w:sz w:val="22"/>
              </w:rPr>
            </w:pPr>
          </w:p>
        </w:tc>
        <w:tc>
          <w:tcPr>
            <w:tcW w:w="1556" w:type="dxa"/>
            <w:shd w:val="clear" w:color="auto" w:fill="auto"/>
            <w:vAlign w:val="center"/>
          </w:tcPr>
          <w:p w:rsidR="00DF49DE" w:rsidRPr="000A0780" w:rsidRDefault="00DF49DE" w:rsidP="00ED6B5F">
            <w:pPr>
              <w:spacing w:before="60" w:after="60"/>
              <w:ind w:right="357"/>
              <w:jc w:val="left"/>
              <w:rPr>
                <w:rFonts w:cs="Arial"/>
                <w:color w:val="000000"/>
                <w:sz w:val="22"/>
              </w:rPr>
            </w:pPr>
            <w:r w:rsidRPr="000A0780">
              <w:rPr>
                <w:rFonts w:cs="Arial"/>
                <w:color w:val="000000"/>
                <w:sz w:val="22"/>
              </w:rPr>
              <w:t>Day 8</w:t>
            </w:r>
          </w:p>
        </w:tc>
        <w:tc>
          <w:tcPr>
            <w:tcW w:w="2236" w:type="dxa"/>
            <w:shd w:val="clear" w:color="auto" w:fill="auto"/>
            <w:vAlign w:val="center"/>
          </w:tcPr>
          <w:p w:rsidR="00DF49DE" w:rsidRPr="000A0780" w:rsidRDefault="00DF49DE" w:rsidP="00ED6B5F">
            <w:pPr>
              <w:spacing w:before="60" w:after="60"/>
              <w:ind w:right="357"/>
              <w:jc w:val="center"/>
              <w:rPr>
                <w:rFonts w:cs="Arial"/>
                <w:color w:val="000000"/>
                <w:sz w:val="22"/>
              </w:rPr>
            </w:pPr>
            <w:r w:rsidRPr="000A0780">
              <w:rPr>
                <w:rFonts w:cs="Arial"/>
                <w:color w:val="000000"/>
                <w:sz w:val="22"/>
              </w:rPr>
              <w:t>1000 mg</w:t>
            </w:r>
          </w:p>
        </w:tc>
        <w:tc>
          <w:tcPr>
            <w:tcW w:w="3632" w:type="dxa"/>
            <w:vMerge w:val="restart"/>
            <w:vAlign w:val="center"/>
          </w:tcPr>
          <w:p w:rsidR="00DF49DE" w:rsidRDefault="00DF49DE" w:rsidP="008C32C3">
            <w:pPr>
              <w:spacing w:before="60" w:after="60"/>
              <w:jc w:val="left"/>
              <w:rPr>
                <w:color w:val="000000"/>
                <w:sz w:val="22"/>
              </w:rPr>
            </w:pPr>
            <w:r w:rsidRPr="000A0780">
              <w:rPr>
                <w:color w:val="000000"/>
                <w:sz w:val="22"/>
              </w:rPr>
              <w:t>I</w:t>
            </w:r>
            <w:r w:rsidR="000E5941">
              <w:rPr>
                <w:color w:val="000000"/>
                <w:sz w:val="22"/>
              </w:rPr>
              <w:t>f no IRR occurred during the previous infusion where the final infusion rate was ≥ 100 mg/hr, i</w:t>
            </w:r>
            <w:r w:rsidRPr="000A0780">
              <w:rPr>
                <w:color w:val="000000"/>
                <w:sz w:val="22"/>
              </w:rPr>
              <w:t>nfusions can be started at a rate of 100 mg/hr and increased by 100 mg/hr increments every 30 minutes to a maximum of 400 mg/hr.</w:t>
            </w:r>
          </w:p>
          <w:p w:rsidR="00631CFB" w:rsidRPr="00622FF2" w:rsidRDefault="00631CFB" w:rsidP="008C32C3">
            <w:pPr>
              <w:spacing w:before="60" w:after="60"/>
              <w:jc w:val="left"/>
              <w:rPr>
                <w:color w:val="000000"/>
                <w:sz w:val="22"/>
              </w:rPr>
            </w:pPr>
            <w:r>
              <w:rPr>
                <w:rFonts w:cs="Arial"/>
                <w:color w:val="000000"/>
                <w:sz w:val="22"/>
              </w:rPr>
              <w:t xml:space="preserve">If the patient experienced an IRR during the previous infusion </w:t>
            </w:r>
            <w:r>
              <w:rPr>
                <w:rFonts w:cs="Arial"/>
                <w:color w:val="000000"/>
                <w:sz w:val="22"/>
              </w:rPr>
              <w:lastRenderedPageBreak/>
              <w:t>administer at 50 mg/hr. The rate of infusion can be escalated in increments of 50 mg/hr every 30 minutes to a maximum rate of 400 mg/hr.</w:t>
            </w:r>
          </w:p>
        </w:tc>
      </w:tr>
      <w:tr w:rsidR="00DF49DE" w:rsidRPr="000A0780" w:rsidTr="00D7152B">
        <w:trPr>
          <w:trHeight w:val="246"/>
          <w:jc w:val="center"/>
        </w:trPr>
        <w:tc>
          <w:tcPr>
            <w:tcW w:w="1755" w:type="dxa"/>
            <w:vMerge/>
            <w:shd w:val="clear" w:color="auto" w:fill="auto"/>
            <w:vAlign w:val="center"/>
          </w:tcPr>
          <w:p w:rsidR="00DF49DE" w:rsidRPr="000A0780" w:rsidRDefault="00DF49DE" w:rsidP="00ED6B5F">
            <w:pPr>
              <w:ind w:right="360"/>
              <w:jc w:val="left"/>
              <w:rPr>
                <w:rFonts w:cs="Arial"/>
                <w:b/>
                <w:color w:val="000000"/>
                <w:sz w:val="22"/>
              </w:rPr>
            </w:pPr>
          </w:p>
        </w:tc>
        <w:tc>
          <w:tcPr>
            <w:tcW w:w="1556" w:type="dxa"/>
            <w:shd w:val="clear" w:color="auto" w:fill="auto"/>
            <w:vAlign w:val="center"/>
          </w:tcPr>
          <w:p w:rsidR="00DF49DE" w:rsidRPr="000A0780" w:rsidRDefault="00DF49DE" w:rsidP="00ED6B5F">
            <w:pPr>
              <w:spacing w:before="60" w:after="60"/>
              <w:ind w:right="357"/>
              <w:jc w:val="left"/>
              <w:rPr>
                <w:rFonts w:cs="Arial"/>
                <w:color w:val="000000"/>
                <w:sz w:val="22"/>
              </w:rPr>
            </w:pPr>
            <w:r w:rsidRPr="000A0780">
              <w:rPr>
                <w:rFonts w:cs="Arial"/>
                <w:color w:val="000000"/>
                <w:sz w:val="22"/>
              </w:rPr>
              <w:t>Day 15</w:t>
            </w:r>
          </w:p>
        </w:tc>
        <w:tc>
          <w:tcPr>
            <w:tcW w:w="2236" w:type="dxa"/>
            <w:shd w:val="clear" w:color="auto" w:fill="auto"/>
            <w:vAlign w:val="center"/>
          </w:tcPr>
          <w:p w:rsidR="00DF49DE" w:rsidRPr="000A0780" w:rsidRDefault="00DF49DE" w:rsidP="00ED6B5F">
            <w:pPr>
              <w:spacing w:before="60" w:after="60"/>
              <w:ind w:right="357"/>
              <w:jc w:val="center"/>
              <w:rPr>
                <w:rFonts w:cs="Arial"/>
                <w:color w:val="000000"/>
                <w:sz w:val="22"/>
              </w:rPr>
            </w:pPr>
            <w:r w:rsidRPr="000A0780">
              <w:rPr>
                <w:rFonts w:cs="Arial"/>
                <w:color w:val="000000"/>
                <w:sz w:val="22"/>
              </w:rPr>
              <w:t>1000 mg</w:t>
            </w:r>
          </w:p>
        </w:tc>
        <w:tc>
          <w:tcPr>
            <w:tcW w:w="3632" w:type="dxa"/>
            <w:vMerge/>
          </w:tcPr>
          <w:p w:rsidR="00DF49DE" w:rsidRPr="000A0780" w:rsidRDefault="00DF49DE" w:rsidP="0034261C">
            <w:pPr>
              <w:ind w:right="360"/>
              <w:jc w:val="center"/>
              <w:rPr>
                <w:rFonts w:cs="Arial"/>
                <w:color w:val="000000"/>
                <w:sz w:val="22"/>
              </w:rPr>
            </w:pPr>
          </w:p>
        </w:tc>
      </w:tr>
      <w:tr w:rsidR="00DF49DE" w:rsidRPr="000A0780" w:rsidTr="00D7152B">
        <w:trPr>
          <w:trHeight w:val="294"/>
          <w:jc w:val="center"/>
        </w:trPr>
        <w:tc>
          <w:tcPr>
            <w:tcW w:w="1755" w:type="dxa"/>
            <w:shd w:val="clear" w:color="auto" w:fill="auto"/>
            <w:vAlign w:val="center"/>
          </w:tcPr>
          <w:p w:rsidR="00DF49DE" w:rsidRPr="000A0780" w:rsidRDefault="00DF49DE" w:rsidP="00ED6B5F">
            <w:pPr>
              <w:spacing w:before="60" w:after="60"/>
              <w:ind w:right="357"/>
              <w:jc w:val="left"/>
              <w:rPr>
                <w:rFonts w:cs="Arial"/>
                <w:b/>
                <w:color w:val="000000"/>
                <w:sz w:val="22"/>
              </w:rPr>
            </w:pPr>
            <w:r w:rsidRPr="000A0780">
              <w:rPr>
                <w:rFonts w:cs="Arial"/>
                <w:b/>
                <w:color w:val="000000"/>
                <w:sz w:val="22"/>
              </w:rPr>
              <w:t>Cycles 2 – 6</w:t>
            </w:r>
          </w:p>
        </w:tc>
        <w:tc>
          <w:tcPr>
            <w:tcW w:w="1556" w:type="dxa"/>
            <w:shd w:val="clear" w:color="auto" w:fill="auto"/>
            <w:vAlign w:val="center"/>
          </w:tcPr>
          <w:p w:rsidR="00DF49DE" w:rsidRPr="000A0780" w:rsidRDefault="00DF49DE" w:rsidP="00ED6B5F">
            <w:pPr>
              <w:spacing w:before="60" w:after="60"/>
              <w:ind w:right="357"/>
              <w:jc w:val="left"/>
              <w:rPr>
                <w:rFonts w:cs="Arial"/>
                <w:color w:val="000000"/>
                <w:sz w:val="22"/>
              </w:rPr>
            </w:pPr>
            <w:r w:rsidRPr="000A0780">
              <w:rPr>
                <w:rFonts w:cs="Arial"/>
                <w:color w:val="000000"/>
                <w:sz w:val="22"/>
              </w:rPr>
              <w:t>Day 1</w:t>
            </w:r>
          </w:p>
        </w:tc>
        <w:tc>
          <w:tcPr>
            <w:tcW w:w="2236" w:type="dxa"/>
            <w:shd w:val="clear" w:color="auto" w:fill="auto"/>
            <w:vAlign w:val="center"/>
          </w:tcPr>
          <w:p w:rsidR="00DF49DE" w:rsidRPr="000A0780" w:rsidRDefault="00DF49DE" w:rsidP="00ED6B5F">
            <w:pPr>
              <w:spacing w:before="60" w:after="60"/>
              <w:ind w:right="357"/>
              <w:jc w:val="center"/>
              <w:rPr>
                <w:rFonts w:cs="Arial"/>
                <w:color w:val="000000"/>
                <w:sz w:val="22"/>
              </w:rPr>
            </w:pPr>
            <w:r w:rsidRPr="000A0780">
              <w:rPr>
                <w:rFonts w:cs="Arial"/>
                <w:color w:val="000000"/>
                <w:sz w:val="22"/>
              </w:rPr>
              <w:t>1000 mg</w:t>
            </w:r>
          </w:p>
        </w:tc>
        <w:tc>
          <w:tcPr>
            <w:tcW w:w="3632" w:type="dxa"/>
            <w:vMerge/>
          </w:tcPr>
          <w:p w:rsidR="00DF49DE" w:rsidRPr="000A0780" w:rsidRDefault="00DF49DE" w:rsidP="0034261C">
            <w:pPr>
              <w:ind w:right="360"/>
              <w:jc w:val="center"/>
              <w:rPr>
                <w:rFonts w:cs="Arial"/>
                <w:color w:val="000000"/>
                <w:sz w:val="22"/>
              </w:rPr>
            </w:pPr>
          </w:p>
        </w:tc>
      </w:tr>
    </w:tbl>
    <w:p w:rsidR="00DF49DE" w:rsidRPr="00C8539B" w:rsidRDefault="00DF49DE" w:rsidP="00DF49DE">
      <w:pPr>
        <w:pStyle w:val="Paragraph"/>
        <w:spacing w:after="0" w:line="240" w:lineRule="auto"/>
        <w:rPr>
          <w:rFonts w:ascii="Times New Roman" w:hAnsi="Times New Roman"/>
          <w:color w:val="000000"/>
          <w:sz w:val="20"/>
          <w:szCs w:val="20"/>
        </w:rPr>
      </w:pPr>
      <w:r w:rsidRPr="00C8539B">
        <w:rPr>
          <w:rFonts w:ascii="Times New Roman" w:hAnsi="Times New Roman"/>
          <w:color w:val="000000"/>
          <w:sz w:val="20"/>
          <w:szCs w:val="20"/>
          <w:vertAlign w:val="superscript"/>
        </w:rPr>
        <w:lastRenderedPageBreak/>
        <w:t xml:space="preserve">* </w:t>
      </w:r>
      <w:r w:rsidRPr="00C8539B">
        <w:rPr>
          <w:rFonts w:ascii="Times New Roman" w:hAnsi="Times New Roman"/>
          <w:color w:val="000000"/>
          <w:sz w:val="20"/>
          <w:szCs w:val="20"/>
        </w:rPr>
        <w:t>see CLINICAL TRIALS for information on chlorambucil dose.</w:t>
      </w:r>
    </w:p>
    <w:p w:rsidR="00DF49DE" w:rsidRPr="007A6027" w:rsidRDefault="00DF49DE" w:rsidP="00DF49DE">
      <w:pPr>
        <w:pStyle w:val="Paragraph"/>
        <w:spacing w:after="0" w:line="240" w:lineRule="auto"/>
        <w:rPr>
          <w:rFonts w:ascii="Times New Roman" w:hAnsi="Times New Roman"/>
          <w:color w:val="000000"/>
        </w:rPr>
      </w:pPr>
    </w:p>
    <w:p w:rsidR="000B64CB" w:rsidRPr="000A0780" w:rsidRDefault="000B64CB" w:rsidP="000B64CB">
      <w:pPr>
        <w:pStyle w:val="TextTi12"/>
        <w:keepNext/>
        <w:spacing w:line="280" w:lineRule="exact"/>
        <w:rPr>
          <w:rFonts w:cs="Arial"/>
          <w:b/>
          <w:i/>
          <w:iCs/>
          <w:color w:val="000000"/>
          <w:lang w:eastAsia="ko-KR" w:bidi="he-IL"/>
        </w:rPr>
      </w:pPr>
      <w:r w:rsidRPr="000A0780">
        <w:rPr>
          <w:rFonts w:cs="Arial"/>
          <w:b/>
          <w:i/>
          <w:iCs/>
          <w:color w:val="000000"/>
          <w:lang w:eastAsia="ko-KR" w:bidi="he-IL"/>
        </w:rPr>
        <w:t>Delayed or missed doses</w:t>
      </w:r>
      <w:r w:rsidR="00631CFB">
        <w:rPr>
          <w:rFonts w:cs="Arial"/>
          <w:b/>
          <w:i/>
          <w:iCs/>
          <w:color w:val="000000"/>
          <w:lang w:eastAsia="ko-KR" w:bidi="he-IL"/>
        </w:rPr>
        <w:t xml:space="preserve"> (CLL)</w:t>
      </w:r>
    </w:p>
    <w:p w:rsidR="009D44F7" w:rsidRDefault="00DF49DE" w:rsidP="009D44F7">
      <w:pPr>
        <w:pStyle w:val="TextTi12"/>
        <w:spacing w:line="280" w:lineRule="exact"/>
        <w:rPr>
          <w:rFonts w:cs="Arial"/>
          <w:iCs/>
          <w:color w:val="000000"/>
          <w:lang w:eastAsia="ko-KR" w:bidi="he-IL"/>
        </w:rPr>
      </w:pPr>
      <w:r w:rsidRPr="00F45A78">
        <w:rPr>
          <w:rFonts w:cs="Arial"/>
          <w:iCs/>
          <w:color w:val="000000"/>
          <w:lang w:eastAsia="ko-KR" w:bidi="he-IL"/>
        </w:rPr>
        <w:t xml:space="preserve">If a planned dose of </w:t>
      </w:r>
      <w:r w:rsidR="00D7152B">
        <w:t>Gazyva</w:t>
      </w:r>
      <w:r w:rsidRPr="00F45A78">
        <w:rPr>
          <w:rFonts w:cs="Arial"/>
          <w:iCs/>
          <w:color w:val="000000"/>
          <w:lang w:eastAsia="ko-KR" w:bidi="he-IL"/>
        </w:rPr>
        <w:t xml:space="preserve"> is missed, it should be administered as soon as</w:t>
      </w:r>
      <w:r>
        <w:rPr>
          <w:rFonts w:cs="Arial"/>
          <w:iCs/>
          <w:color w:val="000000"/>
          <w:lang w:eastAsia="ko-KR" w:bidi="he-IL"/>
        </w:rPr>
        <w:t xml:space="preserve"> possible; do </w:t>
      </w:r>
      <w:r w:rsidRPr="00F45A78">
        <w:rPr>
          <w:rFonts w:cs="Arial"/>
          <w:iCs/>
          <w:color w:val="000000"/>
          <w:lang w:eastAsia="ko-KR" w:bidi="he-IL"/>
        </w:rPr>
        <w:t>not wait until the next planned dose.</w:t>
      </w:r>
      <w:r>
        <w:rPr>
          <w:rFonts w:cs="Arial"/>
          <w:iCs/>
          <w:color w:val="000000"/>
          <w:lang w:eastAsia="ko-KR" w:bidi="he-IL"/>
        </w:rPr>
        <w:t xml:space="preserve"> The planned treatment interval </w:t>
      </w:r>
      <w:r w:rsidRPr="00F45A78">
        <w:rPr>
          <w:rFonts w:cs="Arial"/>
          <w:iCs/>
          <w:color w:val="000000"/>
          <w:lang w:eastAsia="ko-KR" w:bidi="he-IL"/>
        </w:rPr>
        <w:t xml:space="preserve">for </w:t>
      </w:r>
      <w:r w:rsidR="00D7152B">
        <w:t>Gazyva</w:t>
      </w:r>
      <w:r w:rsidRPr="00F45A78">
        <w:rPr>
          <w:rFonts w:cs="Arial"/>
          <w:iCs/>
          <w:color w:val="000000"/>
          <w:lang w:eastAsia="ko-KR" w:bidi="he-IL"/>
        </w:rPr>
        <w:t xml:space="preserve"> should </w:t>
      </w:r>
      <w:r>
        <w:rPr>
          <w:rFonts w:cs="Arial"/>
          <w:iCs/>
          <w:color w:val="000000"/>
          <w:lang w:eastAsia="ko-KR" w:bidi="he-IL"/>
        </w:rPr>
        <w:t>be maintained between doses</w:t>
      </w:r>
      <w:r w:rsidR="00AC4BB8">
        <w:rPr>
          <w:rFonts w:cs="Arial"/>
          <w:iCs/>
          <w:color w:val="000000"/>
          <w:lang w:eastAsia="ko-KR" w:bidi="he-IL"/>
        </w:rPr>
        <w:t xml:space="preserve"> thereafter</w:t>
      </w:r>
      <w:r w:rsidRPr="00F45A78">
        <w:rPr>
          <w:rFonts w:cs="Arial"/>
          <w:iCs/>
          <w:color w:val="000000"/>
          <w:lang w:eastAsia="ko-KR" w:bidi="he-IL"/>
        </w:rPr>
        <w:t>.</w:t>
      </w:r>
    </w:p>
    <w:p w:rsidR="009D44F7" w:rsidRDefault="009D44F7" w:rsidP="009D44F7">
      <w:pPr>
        <w:pStyle w:val="TextTi12"/>
        <w:spacing w:after="0" w:line="240" w:lineRule="auto"/>
        <w:rPr>
          <w:rFonts w:cs="Arial"/>
          <w:iCs/>
          <w:color w:val="000000"/>
          <w:lang w:eastAsia="ko-KR" w:bidi="he-IL"/>
        </w:rPr>
      </w:pPr>
    </w:p>
    <w:p w:rsidR="007D3947" w:rsidRPr="00BE6433" w:rsidRDefault="008A0182" w:rsidP="009D44F7">
      <w:pPr>
        <w:pStyle w:val="TextTi12"/>
        <w:keepNext/>
        <w:spacing w:line="280" w:lineRule="exact"/>
        <w:rPr>
          <w:rFonts w:cs="Arial"/>
          <w:b/>
          <w:bCs/>
          <w:i/>
          <w:iCs/>
          <w:color w:val="000000"/>
          <w:sz w:val="28"/>
          <w:szCs w:val="28"/>
        </w:rPr>
      </w:pPr>
      <w:r w:rsidRPr="00BE6433">
        <w:rPr>
          <w:rFonts w:cs="Arial"/>
          <w:b/>
          <w:bCs/>
          <w:i/>
          <w:iCs/>
          <w:color w:val="000000"/>
          <w:sz w:val="28"/>
          <w:szCs w:val="28"/>
        </w:rPr>
        <w:t>Follicular Lymphoma</w:t>
      </w:r>
    </w:p>
    <w:p w:rsidR="007D3947" w:rsidRDefault="007D3947" w:rsidP="000B64CB">
      <w:pPr>
        <w:pStyle w:val="TextTi12"/>
        <w:spacing w:line="280" w:lineRule="exact"/>
        <w:rPr>
          <w:rFonts w:cs="Arial"/>
          <w:color w:val="000000"/>
          <w:lang w:eastAsia="ko-KR" w:bidi="he-IL"/>
        </w:rPr>
      </w:pPr>
      <w:r w:rsidRPr="007D3947">
        <w:rPr>
          <w:rFonts w:cs="Arial"/>
          <w:color w:val="000000"/>
          <w:lang w:eastAsia="ko-KR" w:bidi="he-IL"/>
        </w:rPr>
        <w:t xml:space="preserve">The recommended dosage of </w:t>
      </w:r>
      <w:r w:rsidR="00D7152B">
        <w:t>Gazyva</w:t>
      </w:r>
      <w:r w:rsidRPr="007D3947">
        <w:rPr>
          <w:rFonts w:cs="Arial"/>
          <w:color w:val="000000"/>
          <w:lang w:eastAsia="ko-KR" w:bidi="he-IL"/>
        </w:rPr>
        <w:t xml:space="preserve"> is 1000 mg administered </w:t>
      </w:r>
      <w:r w:rsidR="00631CFB">
        <w:rPr>
          <w:rFonts w:cs="Arial"/>
          <w:color w:val="000000"/>
          <w:lang w:eastAsia="ko-KR" w:bidi="he-IL"/>
        </w:rPr>
        <w:t xml:space="preserve">intravenously according to </w:t>
      </w:r>
      <w:r>
        <w:rPr>
          <w:rFonts w:cs="Arial"/>
          <w:color w:val="000000"/>
          <w:lang w:eastAsia="ko-KR" w:bidi="he-IL"/>
        </w:rPr>
        <w:t xml:space="preserve">Table </w:t>
      </w:r>
      <w:r w:rsidR="00B113C5">
        <w:rPr>
          <w:rFonts w:cs="Arial"/>
          <w:color w:val="000000"/>
          <w:lang w:eastAsia="ko-KR" w:bidi="he-IL"/>
        </w:rPr>
        <w:t>9</w:t>
      </w:r>
      <w:r w:rsidRPr="007D3947">
        <w:rPr>
          <w:rFonts w:cs="Arial"/>
          <w:color w:val="000000"/>
          <w:lang w:eastAsia="ko-KR" w:bidi="he-IL"/>
        </w:rPr>
        <w:t>.</w:t>
      </w:r>
    </w:p>
    <w:p w:rsidR="00A01C63" w:rsidRPr="00A01C63" w:rsidRDefault="00A01C63" w:rsidP="000B64CB">
      <w:pPr>
        <w:pStyle w:val="TextTi12"/>
        <w:spacing w:line="280" w:lineRule="exact"/>
        <w:rPr>
          <w:rFonts w:cs="Arial"/>
          <w:i/>
          <w:color w:val="000000"/>
          <w:u w:val="single"/>
          <w:lang w:eastAsia="ko-KR" w:bidi="he-IL"/>
        </w:rPr>
      </w:pPr>
      <w:r w:rsidRPr="00A01C63">
        <w:rPr>
          <w:rFonts w:cs="Arial"/>
          <w:i/>
          <w:color w:val="000000"/>
          <w:u w:val="single"/>
          <w:lang w:eastAsia="ko-KR" w:bidi="he-IL"/>
        </w:rPr>
        <w:t>Previously Untreated Follicular Lymphoma</w:t>
      </w:r>
    </w:p>
    <w:p w:rsidR="00631CFB" w:rsidRDefault="00631CFB" w:rsidP="000B64CB">
      <w:pPr>
        <w:pStyle w:val="TextTi12"/>
        <w:spacing w:line="280" w:lineRule="exact"/>
        <w:rPr>
          <w:rFonts w:cs="Arial"/>
          <w:color w:val="000000"/>
          <w:lang w:eastAsia="ko-KR" w:bidi="he-IL"/>
        </w:rPr>
      </w:pPr>
      <w:r>
        <w:rPr>
          <w:rFonts w:cs="Arial"/>
          <w:color w:val="000000"/>
          <w:lang w:eastAsia="ko-KR" w:bidi="he-IL"/>
        </w:rPr>
        <w:t>For patients with previously untreated follicular lymphoma, G</w:t>
      </w:r>
      <w:r w:rsidR="00D7152B">
        <w:rPr>
          <w:rFonts w:cs="Arial"/>
          <w:color w:val="000000"/>
          <w:lang w:eastAsia="ko-KR" w:bidi="he-IL"/>
        </w:rPr>
        <w:t>azyva</w:t>
      </w:r>
      <w:r>
        <w:rPr>
          <w:rFonts w:cs="Arial"/>
          <w:color w:val="000000"/>
          <w:lang w:eastAsia="ko-KR" w:bidi="he-IL"/>
        </w:rPr>
        <w:t xml:space="preserve"> should be </w:t>
      </w:r>
      <w:r w:rsidR="00FB7D20">
        <w:rPr>
          <w:rFonts w:cs="Arial"/>
          <w:color w:val="000000"/>
          <w:lang w:eastAsia="ko-KR" w:bidi="he-IL"/>
        </w:rPr>
        <w:t>administered with chemotherapy as follows:</w:t>
      </w:r>
    </w:p>
    <w:p w:rsidR="00FB7D20" w:rsidRDefault="00FB7D20" w:rsidP="00FB7D20">
      <w:pPr>
        <w:pStyle w:val="TextTi12"/>
        <w:numPr>
          <w:ilvl w:val="0"/>
          <w:numId w:val="34"/>
        </w:numPr>
        <w:spacing w:line="280" w:lineRule="exact"/>
        <w:rPr>
          <w:rFonts w:cs="Arial"/>
          <w:color w:val="000000"/>
          <w:lang w:eastAsia="ko-KR" w:bidi="he-IL"/>
        </w:rPr>
      </w:pPr>
      <w:r>
        <w:rPr>
          <w:rFonts w:cs="Arial"/>
          <w:color w:val="000000"/>
          <w:lang w:eastAsia="ko-KR" w:bidi="he-IL"/>
        </w:rPr>
        <w:t>Six 28 day cycles in combination with bendamustine</w:t>
      </w:r>
      <w:r w:rsidR="008706DE">
        <w:rPr>
          <w:rFonts w:cs="Arial"/>
          <w:color w:val="000000"/>
          <w:vertAlign w:val="superscript"/>
          <w:lang w:eastAsia="ko-KR" w:bidi="he-IL"/>
        </w:rPr>
        <w:t>**</w:t>
      </w:r>
      <w:r>
        <w:rPr>
          <w:rFonts w:cs="Arial"/>
          <w:color w:val="000000"/>
          <w:lang w:eastAsia="ko-KR" w:bidi="he-IL"/>
        </w:rPr>
        <w:t xml:space="preserve"> or</w:t>
      </w:r>
      <w:r w:rsidR="008C32C3">
        <w:rPr>
          <w:rFonts w:cs="Arial"/>
          <w:color w:val="000000"/>
          <w:lang w:eastAsia="ko-KR" w:bidi="he-IL"/>
        </w:rPr>
        <w:t>,</w:t>
      </w:r>
    </w:p>
    <w:p w:rsidR="00FB7D20" w:rsidRDefault="00FB7D20" w:rsidP="00FB7D20">
      <w:pPr>
        <w:pStyle w:val="TextTi12"/>
        <w:numPr>
          <w:ilvl w:val="0"/>
          <w:numId w:val="34"/>
        </w:numPr>
        <w:spacing w:line="280" w:lineRule="exact"/>
        <w:rPr>
          <w:rFonts w:cs="Arial"/>
          <w:color w:val="000000"/>
          <w:lang w:eastAsia="ko-KR" w:bidi="he-IL"/>
        </w:rPr>
      </w:pPr>
      <w:r>
        <w:rPr>
          <w:rFonts w:cs="Arial"/>
          <w:color w:val="000000"/>
          <w:lang w:eastAsia="ko-KR" w:bidi="he-IL"/>
        </w:rPr>
        <w:t>Six 21 day cycles in combination with CHOP, followed by 2 additional cycles of G</w:t>
      </w:r>
      <w:r w:rsidR="00D7152B">
        <w:rPr>
          <w:rFonts w:cs="Arial"/>
          <w:color w:val="000000"/>
          <w:lang w:eastAsia="ko-KR" w:bidi="he-IL"/>
        </w:rPr>
        <w:t>azyva</w:t>
      </w:r>
      <w:r>
        <w:rPr>
          <w:rFonts w:cs="Arial"/>
          <w:color w:val="000000"/>
          <w:lang w:eastAsia="ko-KR" w:bidi="he-IL"/>
        </w:rPr>
        <w:t xml:space="preserve"> alone or</w:t>
      </w:r>
      <w:r w:rsidR="008C32C3">
        <w:rPr>
          <w:rFonts w:cs="Arial"/>
          <w:color w:val="000000"/>
          <w:lang w:eastAsia="ko-KR" w:bidi="he-IL"/>
        </w:rPr>
        <w:t>,</w:t>
      </w:r>
    </w:p>
    <w:p w:rsidR="00FB7D20" w:rsidRDefault="00FB7D20" w:rsidP="00FB7D20">
      <w:pPr>
        <w:pStyle w:val="TextTi12"/>
        <w:numPr>
          <w:ilvl w:val="0"/>
          <w:numId w:val="34"/>
        </w:numPr>
        <w:spacing w:line="280" w:lineRule="exact"/>
        <w:rPr>
          <w:rFonts w:cs="Arial"/>
          <w:color w:val="000000"/>
          <w:lang w:eastAsia="ko-KR" w:bidi="he-IL"/>
        </w:rPr>
      </w:pPr>
      <w:r>
        <w:rPr>
          <w:rFonts w:cs="Arial"/>
          <w:color w:val="000000"/>
          <w:lang w:eastAsia="ko-KR" w:bidi="he-IL"/>
        </w:rPr>
        <w:t>Eight 21 day cycles in combination with CVP</w:t>
      </w:r>
      <w:r w:rsidR="008C32C3">
        <w:rPr>
          <w:rFonts w:cs="Arial"/>
          <w:color w:val="000000"/>
          <w:lang w:eastAsia="ko-KR" w:bidi="he-IL"/>
        </w:rPr>
        <w:t>.</w:t>
      </w:r>
    </w:p>
    <w:p w:rsidR="00FB7D20" w:rsidRDefault="00FB7D20" w:rsidP="00FB7D20">
      <w:pPr>
        <w:pStyle w:val="TextTi12"/>
        <w:spacing w:line="280" w:lineRule="exact"/>
        <w:rPr>
          <w:rFonts w:cs="Arial"/>
          <w:color w:val="000000"/>
          <w:lang w:eastAsia="ko-KR" w:bidi="he-IL"/>
        </w:rPr>
      </w:pPr>
      <w:r>
        <w:rPr>
          <w:rFonts w:cs="Arial"/>
          <w:color w:val="000000"/>
          <w:lang w:eastAsia="ko-KR" w:bidi="he-IL"/>
        </w:rPr>
        <w:t>Previously untreated patients who achieve a complete or partial response to G</w:t>
      </w:r>
      <w:r w:rsidR="00D7152B">
        <w:rPr>
          <w:rFonts w:cs="Arial"/>
          <w:color w:val="000000"/>
          <w:lang w:eastAsia="ko-KR" w:bidi="he-IL"/>
        </w:rPr>
        <w:t>azyva</w:t>
      </w:r>
      <w:r>
        <w:rPr>
          <w:rFonts w:cs="Arial"/>
          <w:color w:val="000000"/>
          <w:lang w:eastAsia="ko-KR" w:bidi="he-IL"/>
        </w:rPr>
        <w:t xml:space="preserve"> plus chemotherapy should continue to receive G</w:t>
      </w:r>
      <w:r w:rsidR="00D7152B">
        <w:rPr>
          <w:rFonts w:cs="Arial"/>
          <w:color w:val="000000"/>
          <w:lang w:eastAsia="ko-KR" w:bidi="he-IL"/>
        </w:rPr>
        <w:t>azyva</w:t>
      </w:r>
      <w:r>
        <w:rPr>
          <w:rFonts w:cs="Arial"/>
          <w:color w:val="000000"/>
          <w:lang w:eastAsia="ko-KR" w:bidi="he-IL"/>
        </w:rPr>
        <w:t xml:space="preserve"> (1000 mg) alone as maintenance therapy once every 2 months </w:t>
      </w:r>
      <w:r w:rsidR="00A01C63">
        <w:rPr>
          <w:rFonts w:cs="Arial"/>
          <w:color w:val="000000"/>
          <w:lang w:eastAsia="ko-KR" w:bidi="he-IL"/>
        </w:rPr>
        <w:t xml:space="preserve">until disease progression or </w:t>
      </w:r>
      <w:r>
        <w:rPr>
          <w:rFonts w:cs="Arial"/>
          <w:color w:val="000000"/>
          <w:lang w:eastAsia="ko-KR" w:bidi="he-IL"/>
        </w:rPr>
        <w:t>for</w:t>
      </w:r>
      <w:r w:rsidR="00A01C63">
        <w:rPr>
          <w:rFonts w:cs="Arial"/>
          <w:color w:val="000000"/>
          <w:lang w:eastAsia="ko-KR" w:bidi="he-IL"/>
        </w:rPr>
        <w:t xml:space="preserve"> up to</w:t>
      </w:r>
      <w:r>
        <w:rPr>
          <w:rFonts w:cs="Arial"/>
          <w:color w:val="000000"/>
          <w:lang w:eastAsia="ko-KR" w:bidi="he-IL"/>
        </w:rPr>
        <w:t xml:space="preserve"> 2 years.</w:t>
      </w:r>
    </w:p>
    <w:p w:rsidR="00A01C63" w:rsidRPr="00A01C63" w:rsidRDefault="00712961" w:rsidP="00FB7D20">
      <w:pPr>
        <w:pStyle w:val="TextTi12"/>
        <w:spacing w:line="280" w:lineRule="exact"/>
        <w:rPr>
          <w:rFonts w:cs="Arial"/>
          <w:i/>
          <w:color w:val="000000"/>
          <w:lang w:eastAsia="ko-KR" w:bidi="he-IL"/>
        </w:rPr>
      </w:pPr>
      <w:r>
        <w:rPr>
          <w:rFonts w:cs="Arial"/>
          <w:i/>
          <w:color w:val="000000"/>
          <w:lang w:eastAsia="ko-KR" w:bidi="he-IL"/>
        </w:rPr>
        <w:t xml:space="preserve">Relapsed/refractory </w:t>
      </w:r>
      <w:r w:rsidR="00A01C63" w:rsidRPr="00A01C63">
        <w:rPr>
          <w:rFonts w:cs="Arial"/>
          <w:i/>
          <w:color w:val="000000"/>
          <w:lang w:eastAsia="ko-KR" w:bidi="he-IL"/>
        </w:rPr>
        <w:t>Follicular Lymphoma</w:t>
      </w:r>
    </w:p>
    <w:p w:rsidR="00DF69F7" w:rsidRDefault="00DF69F7" w:rsidP="00FB7D20">
      <w:pPr>
        <w:pStyle w:val="TextTi12"/>
        <w:spacing w:line="280" w:lineRule="exact"/>
        <w:rPr>
          <w:rFonts w:cs="Arial"/>
          <w:color w:val="000000"/>
          <w:lang w:eastAsia="ko-KR" w:bidi="he-IL"/>
        </w:rPr>
      </w:pPr>
      <w:r>
        <w:rPr>
          <w:rFonts w:cs="Arial"/>
          <w:color w:val="000000"/>
          <w:lang w:eastAsia="ko-KR" w:bidi="he-IL"/>
        </w:rPr>
        <w:t>For patients with follicular lymphoma who have relapsed after or who are refractory to rituximab or a rituximab-containing regimen, G</w:t>
      </w:r>
      <w:r w:rsidR="00D7152B">
        <w:rPr>
          <w:rFonts w:cs="Arial"/>
          <w:color w:val="000000"/>
          <w:lang w:eastAsia="ko-KR" w:bidi="he-IL"/>
        </w:rPr>
        <w:t>azyva</w:t>
      </w:r>
      <w:r>
        <w:rPr>
          <w:rFonts w:cs="Arial"/>
          <w:color w:val="000000"/>
          <w:lang w:eastAsia="ko-KR" w:bidi="he-IL"/>
        </w:rPr>
        <w:t xml:space="preserve"> should be administered in six 28-day cycles in combination with bendamustine</w:t>
      </w:r>
      <w:r w:rsidR="008706DE">
        <w:rPr>
          <w:rFonts w:cs="Arial"/>
          <w:color w:val="000000"/>
          <w:vertAlign w:val="superscript"/>
          <w:lang w:eastAsia="ko-KR" w:bidi="he-IL"/>
        </w:rPr>
        <w:t>**</w:t>
      </w:r>
      <w:r>
        <w:rPr>
          <w:rFonts w:cs="Arial"/>
          <w:color w:val="000000"/>
          <w:lang w:eastAsia="ko-KR" w:bidi="he-IL"/>
        </w:rPr>
        <w:t>.</w:t>
      </w:r>
    </w:p>
    <w:p w:rsidR="008706DE" w:rsidRDefault="00A01C63" w:rsidP="008706DE">
      <w:pPr>
        <w:pStyle w:val="TextTi12"/>
        <w:keepNext/>
        <w:spacing w:after="0" w:line="240" w:lineRule="auto"/>
        <w:rPr>
          <w:color w:val="000000"/>
          <w:szCs w:val="24"/>
        </w:rPr>
      </w:pPr>
      <w:r>
        <w:rPr>
          <w:rFonts w:cs="Arial"/>
          <w:color w:val="000000"/>
          <w:lang w:eastAsia="ko-KR" w:bidi="he-IL"/>
        </w:rPr>
        <w:t>Relapsed/refractory p</w:t>
      </w:r>
      <w:r w:rsidR="007D3947" w:rsidRPr="007D3947">
        <w:rPr>
          <w:rFonts w:cs="Arial"/>
          <w:color w:val="000000"/>
          <w:lang w:eastAsia="ko-KR" w:bidi="he-IL"/>
        </w:rPr>
        <w:t>atients who</w:t>
      </w:r>
      <w:r w:rsidR="00DF69F7">
        <w:rPr>
          <w:rFonts w:cs="Arial"/>
          <w:color w:val="000000"/>
          <w:lang w:eastAsia="ko-KR" w:bidi="he-IL"/>
        </w:rPr>
        <w:t xml:space="preserve"> achieve complete or partial response or have</w:t>
      </w:r>
      <w:r w:rsidR="007D3947" w:rsidRPr="007D3947">
        <w:rPr>
          <w:rFonts w:cs="Arial"/>
          <w:color w:val="000000"/>
          <w:lang w:eastAsia="ko-KR" w:bidi="he-IL"/>
        </w:rPr>
        <w:t xml:space="preserve"> stable disease should continue to receive </w:t>
      </w:r>
      <w:r w:rsidR="00D7152B">
        <w:rPr>
          <w:rFonts w:cs="Arial"/>
          <w:color w:val="000000"/>
          <w:lang w:eastAsia="ko-KR" w:bidi="he-IL"/>
        </w:rPr>
        <w:t>Gazyva</w:t>
      </w:r>
      <w:r w:rsidR="00D7152B" w:rsidRPr="007D3947">
        <w:rPr>
          <w:rFonts w:cs="Arial"/>
          <w:color w:val="000000"/>
          <w:lang w:eastAsia="ko-KR" w:bidi="he-IL"/>
        </w:rPr>
        <w:t xml:space="preserve"> </w:t>
      </w:r>
      <w:r w:rsidR="007D3947" w:rsidRPr="007D3947">
        <w:rPr>
          <w:rFonts w:cs="Arial"/>
          <w:color w:val="000000"/>
          <w:lang w:eastAsia="ko-KR" w:bidi="he-IL"/>
        </w:rPr>
        <w:t xml:space="preserve">1000 mg alone as maintenance therapy once every 2 months until disease progression or for up </w:t>
      </w:r>
      <w:r w:rsidR="007D3947">
        <w:rPr>
          <w:rFonts w:cs="Arial"/>
          <w:color w:val="000000"/>
          <w:lang w:eastAsia="ko-KR" w:bidi="he-IL"/>
        </w:rPr>
        <w:t xml:space="preserve">to </w:t>
      </w:r>
      <w:r w:rsidR="00DF69F7">
        <w:rPr>
          <w:rFonts w:cs="Arial"/>
          <w:color w:val="000000"/>
          <w:lang w:eastAsia="ko-KR" w:bidi="he-IL"/>
        </w:rPr>
        <w:t>2</w:t>
      </w:r>
      <w:r w:rsidR="007D3947">
        <w:rPr>
          <w:rFonts w:cs="Arial"/>
          <w:color w:val="000000"/>
          <w:lang w:eastAsia="ko-KR" w:bidi="he-IL"/>
        </w:rPr>
        <w:t xml:space="preserve"> years</w:t>
      </w:r>
      <w:r w:rsidR="007D3947" w:rsidRPr="007D3947">
        <w:rPr>
          <w:rFonts w:cs="Arial"/>
          <w:color w:val="000000"/>
          <w:lang w:eastAsia="ko-KR" w:bidi="he-IL"/>
        </w:rPr>
        <w:t>.</w:t>
      </w:r>
    </w:p>
    <w:p w:rsidR="00A01C63" w:rsidRPr="008706DE" w:rsidRDefault="00A01C63" w:rsidP="008706DE">
      <w:pPr>
        <w:pStyle w:val="TextTi12"/>
        <w:keepNext/>
        <w:spacing w:after="0" w:line="240" w:lineRule="auto"/>
        <w:rPr>
          <w:rFonts w:cs="Arial"/>
          <w:color w:val="000000"/>
          <w:lang w:eastAsia="ko-KR" w:bidi="he-IL"/>
        </w:rPr>
      </w:pPr>
    </w:p>
    <w:p w:rsidR="00394533" w:rsidRDefault="00394533" w:rsidP="00394533">
      <w:pPr>
        <w:pStyle w:val="TextTi12"/>
        <w:spacing w:after="0" w:line="240" w:lineRule="auto"/>
        <w:rPr>
          <w:rFonts w:cs="Arial"/>
          <w:color w:val="000000"/>
          <w:lang w:eastAsia="ko-KR" w:bidi="he-IL"/>
        </w:rPr>
      </w:pPr>
      <w:r>
        <w:rPr>
          <w:rFonts w:cs="Arial"/>
          <w:b/>
          <w:color w:val="000000"/>
        </w:rPr>
        <w:t xml:space="preserve">Table </w:t>
      </w:r>
      <w:r w:rsidR="00416B3F">
        <w:rPr>
          <w:rFonts w:cs="Arial"/>
          <w:b/>
          <w:color w:val="000000"/>
        </w:rPr>
        <w:t>11</w:t>
      </w:r>
      <w:r>
        <w:rPr>
          <w:rFonts w:cs="Arial"/>
          <w:b/>
          <w:color w:val="000000"/>
        </w:rPr>
        <w:t xml:space="preserve"> Dose and infusion rate of </w:t>
      </w:r>
      <w:r w:rsidR="00D7152B">
        <w:rPr>
          <w:rFonts w:cs="Arial"/>
          <w:b/>
          <w:color w:val="000000"/>
        </w:rPr>
        <w:t xml:space="preserve">Gazyva </w:t>
      </w:r>
      <w:r>
        <w:rPr>
          <w:rFonts w:cs="Arial"/>
          <w:b/>
          <w:color w:val="000000"/>
        </w:rPr>
        <w:t xml:space="preserve">for patients </w:t>
      </w:r>
      <w:r w:rsidRPr="00E8637D">
        <w:rPr>
          <w:rFonts w:cs="Arial"/>
          <w:b/>
          <w:color w:val="000000"/>
        </w:rPr>
        <w:t xml:space="preserve">with </w:t>
      </w:r>
      <w:r w:rsidR="008A0182" w:rsidRPr="00E8637D">
        <w:rPr>
          <w:rFonts w:cs="Arial"/>
          <w:b/>
          <w:color w:val="000000"/>
        </w:rPr>
        <w:t>FL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410"/>
        <w:gridCol w:w="1276"/>
        <w:gridCol w:w="3543"/>
      </w:tblGrid>
      <w:tr w:rsidR="00394533" w:rsidRPr="008D0A24" w:rsidTr="008D0A24">
        <w:trPr>
          <w:trHeight w:val="966"/>
        </w:trPr>
        <w:tc>
          <w:tcPr>
            <w:tcW w:w="3794" w:type="dxa"/>
            <w:gridSpan w:val="2"/>
            <w:shd w:val="clear" w:color="auto" w:fill="auto"/>
            <w:vAlign w:val="center"/>
          </w:tcPr>
          <w:p w:rsidR="00394533" w:rsidRPr="008D0A24" w:rsidRDefault="00394533" w:rsidP="008D0A24">
            <w:pPr>
              <w:pStyle w:val="TextTi12"/>
              <w:spacing w:line="280" w:lineRule="exact"/>
              <w:jc w:val="center"/>
              <w:rPr>
                <w:rFonts w:cs="Arial"/>
                <w:b/>
                <w:iCs/>
                <w:color w:val="000000"/>
                <w:sz w:val="22"/>
                <w:szCs w:val="22"/>
                <w:lang w:eastAsia="ko-KR" w:bidi="he-IL"/>
              </w:rPr>
            </w:pPr>
            <w:r w:rsidRPr="008D0A24">
              <w:rPr>
                <w:rFonts w:cs="Arial"/>
                <w:b/>
                <w:iCs/>
                <w:color w:val="000000"/>
                <w:sz w:val="22"/>
                <w:szCs w:val="22"/>
                <w:lang w:eastAsia="ko-KR" w:bidi="he-IL"/>
              </w:rPr>
              <w:t>Day of Treatment Cycle</w:t>
            </w:r>
          </w:p>
        </w:tc>
        <w:tc>
          <w:tcPr>
            <w:tcW w:w="1276" w:type="dxa"/>
            <w:shd w:val="clear" w:color="auto" w:fill="auto"/>
            <w:vAlign w:val="center"/>
          </w:tcPr>
          <w:p w:rsidR="00394533" w:rsidRPr="008D0A24" w:rsidRDefault="00394533" w:rsidP="00D7152B">
            <w:pPr>
              <w:pStyle w:val="TextTi12"/>
              <w:spacing w:line="280" w:lineRule="exact"/>
              <w:jc w:val="center"/>
              <w:rPr>
                <w:rFonts w:cs="Arial"/>
                <w:iCs/>
                <w:color w:val="000000"/>
                <w:sz w:val="22"/>
                <w:szCs w:val="22"/>
                <w:lang w:eastAsia="ko-KR" w:bidi="he-IL"/>
              </w:rPr>
            </w:pPr>
            <w:r w:rsidRPr="008D0A24">
              <w:rPr>
                <w:rFonts w:cs="Arial"/>
                <w:b/>
                <w:color w:val="000000"/>
                <w:sz w:val="22"/>
              </w:rPr>
              <w:t xml:space="preserve">Dose of </w:t>
            </w:r>
            <w:r w:rsidR="00D7152B">
              <w:rPr>
                <w:rFonts w:cs="Arial"/>
                <w:b/>
                <w:color w:val="000000"/>
                <w:sz w:val="22"/>
              </w:rPr>
              <w:t>Gazyva</w:t>
            </w:r>
          </w:p>
        </w:tc>
        <w:tc>
          <w:tcPr>
            <w:tcW w:w="3543" w:type="dxa"/>
            <w:shd w:val="clear" w:color="auto" w:fill="auto"/>
            <w:vAlign w:val="center"/>
          </w:tcPr>
          <w:p w:rsidR="00394533" w:rsidRPr="008D0A24" w:rsidRDefault="00394533" w:rsidP="008D0A24">
            <w:pPr>
              <w:spacing w:before="60" w:after="60"/>
              <w:ind w:right="357"/>
              <w:jc w:val="left"/>
              <w:rPr>
                <w:rFonts w:cs="Arial"/>
                <w:b/>
                <w:color w:val="000000"/>
                <w:sz w:val="22"/>
              </w:rPr>
            </w:pPr>
            <w:r w:rsidRPr="008D0A24">
              <w:rPr>
                <w:rFonts w:cs="Arial"/>
                <w:b/>
                <w:color w:val="000000"/>
                <w:sz w:val="22"/>
              </w:rPr>
              <w:t>Rate of infusion</w:t>
            </w:r>
          </w:p>
          <w:p w:rsidR="00394533" w:rsidRPr="008D0A24" w:rsidRDefault="00A01C63" w:rsidP="00490681">
            <w:pPr>
              <w:pStyle w:val="TextTi12"/>
              <w:spacing w:before="60" w:after="60" w:line="240" w:lineRule="auto"/>
              <w:jc w:val="left"/>
              <w:rPr>
                <w:rFonts w:cs="Arial"/>
                <w:iCs/>
                <w:color w:val="000000"/>
                <w:sz w:val="22"/>
                <w:szCs w:val="22"/>
                <w:lang w:eastAsia="ko-KR" w:bidi="he-IL"/>
              </w:rPr>
            </w:pPr>
            <w:r>
              <w:rPr>
                <w:rFonts w:cs="Arial"/>
                <w:color w:val="000000"/>
                <w:sz w:val="22"/>
              </w:rPr>
              <w:t xml:space="preserve">For management of IRRs that occur during infusion, refer to Table </w:t>
            </w:r>
            <w:r w:rsidR="00490681">
              <w:rPr>
                <w:rFonts w:cs="Arial"/>
                <w:color w:val="000000"/>
                <w:sz w:val="22"/>
              </w:rPr>
              <w:t>10</w:t>
            </w:r>
          </w:p>
        </w:tc>
      </w:tr>
      <w:tr w:rsidR="008F1ABA" w:rsidRPr="008D0A24" w:rsidTr="008D0A24">
        <w:trPr>
          <w:trHeight w:val="108"/>
        </w:trPr>
        <w:tc>
          <w:tcPr>
            <w:tcW w:w="1384" w:type="dxa"/>
            <w:vMerge w:val="restart"/>
            <w:shd w:val="clear" w:color="auto" w:fill="auto"/>
            <w:vAlign w:val="center"/>
          </w:tcPr>
          <w:p w:rsidR="008F1ABA" w:rsidRPr="008D0A24" w:rsidRDefault="008F1ABA" w:rsidP="008D0A24">
            <w:pPr>
              <w:pStyle w:val="TextTi12"/>
              <w:spacing w:before="60" w:after="60" w:line="240" w:lineRule="auto"/>
              <w:jc w:val="left"/>
              <w:rPr>
                <w:rFonts w:cs="Arial"/>
                <w:iCs/>
                <w:color w:val="000000"/>
                <w:sz w:val="22"/>
                <w:szCs w:val="22"/>
                <w:lang w:eastAsia="ko-KR" w:bidi="he-IL"/>
              </w:rPr>
            </w:pPr>
            <w:r w:rsidRPr="008D0A24">
              <w:rPr>
                <w:rFonts w:cs="Arial"/>
                <w:iCs/>
                <w:color w:val="000000"/>
                <w:sz w:val="22"/>
                <w:szCs w:val="22"/>
                <w:lang w:eastAsia="ko-KR" w:bidi="he-IL"/>
              </w:rPr>
              <w:t>Cycle 1</w:t>
            </w:r>
          </w:p>
        </w:tc>
        <w:tc>
          <w:tcPr>
            <w:tcW w:w="2410" w:type="dxa"/>
            <w:shd w:val="clear" w:color="auto" w:fill="auto"/>
            <w:vAlign w:val="center"/>
          </w:tcPr>
          <w:p w:rsidR="008F1ABA" w:rsidRPr="008D0A24" w:rsidRDefault="008F1ABA" w:rsidP="008D0A24">
            <w:pPr>
              <w:pStyle w:val="TextTi12"/>
              <w:spacing w:before="60" w:after="60" w:line="240" w:lineRule="auto"/>
              <w:jc w:val="left"/>
              <w:rPr>
                <w:rFonts w:cs="Arial"/>
                <w:iCs/>
                <w:color w:val="000000"/>
                <w:sz w:val="22"/>
                <w:szCs w:val="22"/>
                <w:lang w:eastAsia="ko-KR" w:bidi="he-IL"/>
              </w:rPr>
            </w:pPr>
            <w:r w:rsidRPr="008D0A24">
              <w:rPr>
                <w:rFonts w:cs="Arial"/>
                <w:iCs/>
                <w:color w:val="000000"/>
                <w:sz w:val="22"/>
                <w:szCs w:val="22"/>
                <w:lang w:eastAsia="ko-KR" w:bidi="he-IL"/>
              </w:rPr>
              <w:t>Day 1</w:t>
            </w:r>
          </w:p>
        </w:tc>
        <w:tc>
          <w:tcPr>
            <w:tcW w:w="1276" w:type="dxa"/>
            <w:shd w:val="clear" w:color="auto" w:fill="auto"/>
            <w:vAlign w:val="center"/>
          </w:tcPr>
          <w:p w:rsidR="008F1ABA" w:rsidRPr="008D0A24" w:rsidRDefault="008F1ABA" w:rsidP="008D0A24">
            <w:pPr>
              <w:pStyle w:val="TextTi12"/>
              <w:spacing w:before="60" w:after="60" w:line="240" w:lineRule="auto"/>
              <w:jc w:val="left"/>
              <w:rPr>
                <w:rFonts w:cs="Arial"/>
                <w:iCs/>
                <w:color w:val="000000"/>
                <w:sz w:val="22"/>
                <w:szCs w:val="22"/>
                <w:lang w:eastAsia="ko-KR" w:bidi="he-IL"/>
              </w:rPr>
            </w:pPr>
            <w:r w:rsidRPr="008D0A24">
              <w:rPr>
                <w:rFonts w:cs="Arial"/>
                <w:iCs/>
                <w:color w:val="000000"/>
                <w:sz w:val="22"/>
                <w:szCs w:val="22"/>
                <w:lang w:eastAsia="ko-KR" w:bidi="he-IL"/>
              </w:rPr>
              <w:t>1000 mg</w:t>
            </w:r>
          </w:p>
        </w:tc>
        <w:tc>
          <w:tcPr>
            <w:tcW w:w="3543" w:type="dxa"/>
            <w:shd w:val="clear" w:color="auto" w:fill="auto"/>
            <w:vAlign w:val="center"/>
          </w:tcPr>
          <w:p w:rsidR="008F1ABA" w:rsidRPr="008D0A24" w:rsidRDefault="00D35844" w:rsidP="008D0A24">
            <w:pPr>
              <w:pStyle w:val="TextTi12"/>
              <w:spacing w:before="60" w:after="60" w:line="240" w:lineRule="auto"/>
              <w:jc w:val="left"/>
              <w:rPr>
                <w:rFonts w:cs="Arial"/>
                <w:iCs/>
                <w:color w:val="000000"/>
                <w:sz w:val="22"/>
                <w:szCs w:val="22"/>
                <w:lang w:eastAsia="ko-KR" w:bidi="he-IL"/>
              </w:rPr>
            </w:pPr>
            <w:r w:rsidRPr="008D0A24">
              <w:rPr>
                <w:rFonts w:cs="Arial"/>
                <w:iCs/>
                <w:color w:val="000000"/>
                <w:sz w:val="22"/>
                <w:szCs w:val="22"/>
                <w:lang w:eastAsia="ko-KR" w:bidi="he-IL"/>
              </w:rPr>
              <w:t>Administer at 50 mg/hr. The rate of infusion can be escalated in 50 mg/hr increments every 30 minutes to a maximum of 400 mg/hr.</w:t>
            </w:r>
          </w:p>
        </w:tc>
      </w:tr>
      <w:tr w:rsidR="00D35844" w:rsidRPr="008D0A24" w:rsidTr="008D0A24">
        <w:trPr>
          <w:trHeight w:val="107"/>
        </w:trPr>
        <w:tc>
          <w:tcPr>
            <w:tcW w:w="1384" w:type="dxa"/>
            <w:vMerge/>
            <w:shd w:val="clear" w:color="auto" w:fill="auto"/>
            <w:vAlign w:val="center"/>
          </w:tcPr>
          <w:p w:rsidR="00D35844" w:rsidRPr="008D0A24" w:rsidRDefault="00D35844" w:rsidP="008D0A24">
            <w:pPr>
              <w:pStyle w:val="TextTi12"/>
              <w:spacing w:before="60" w:after="60" w:line="240" w:lineRule="auto"/>
              <w:jc w:val="left"/>
              <w:rPr>
                <w:rFonts w:cs="Arial"/>
                <w:iCs/>
                <w:color w:val="000000"/>
                <w:sz w:val="22"/>
                <w:szCs w:val="22"/>
                <w:lang w:eastAsia="ko-KR" w:bidi="he-IL"/>
              </w:rPr>
            </w:pPr>
          </w:p>
        </w:tc>
        <w:tc>
          <w:tcPr>
            <w:tcW w:w="2410" w:type="dxa"/>
            <w:shd w:val="clear" w:color="auto" w:fill="auto"/>
            <w:vAlign w:val="center"/>
          </w:tcPr>
          <w:p w:rsidR="00D35844" w:rsidRPr="008D0A24" w:rsidRDefault="00D35844" w:rsidP="008D0A24">
            <w:pPr>
              <w:pStyle w:val="TextTi12"/>
              <w:spacing w:before="60" w:after="60" w:line="240" w:lineRule="auto"/>
              <w:jc w:val="left"/>
              <w:rPr>
                <w:rFonts w:cs="Arial"/>
                <w:iCs/>
                <w:color w:val="000000"/>
                <w:sz w:val="22"/>
                <w:szCs w:val="22"/>
                <w:lang w:eastAsia="ko-KR" w:bidi="he-IL"/>
              </w:rPr>
            </w:pPr>
            <w:r w:rsidRPr="008D0A24">
              <w:rPr>
                <w:rFonts w:cs="Arial"/>
                <w:iCs/>
                <w:color w:val="000000"/>
                <w:sz w:val="22"/>
                <w:szCs w:val="22"/>
                <w:lang w:eastAsia="ko-KR" w:bidi="he-IL"/>
              </w:rPr>
              <w:t>Day 8</w:t>
            </w:r>
          </w:p>
        </w:tc>
        <w:tc>
          <w:tcPr>
            <w:tcW w:w="1276" w:type="dxa"/>
            <w:shd w:val="clear" w:color="auto" w:fill="auto"/>
            <w:vAlign w:val="center"/>
          </w:tcPr>
          <w:p w:rsidR="00D35844" w:rsidRPr="008D0A24" w:rsidRDefault="00D35844" w:rsidP="008D0A24">
            <w:pPr>
              <w:pStyle w:val="TextTi12"/>
              <w:spacing w:before="60" w:after="60" w:line="240" w:lineRule="auto"/>
              <w:jc w:val="left"/>
              <w:rPr>
                <w:rFonts w:cs="Arial"/>
                <w:iCs/>
                <w:color w:val="000000"/>
                <w:sz w:val="22"/>
                <w:szCs w:val="22"/>
                <w:lang w:eastAsia="ko-KR" w:bidi="he-IL"/>
              </w:rPr>
            </w:pPr>
            <w:r w:rsidRPr="008D0A24">
              <w:rPr>
                <w:rFonts w:cs="Arial"/>
                <w:iCs/>
                <w:color w:val="000000"/>
                <w:sz w:val="22"/>
                <w:szCs w:val="22"/>
                <w:lang w:eastAsia="ko-KR" w:bidi="he-IL"/>
              </w:rPr>
              <w:t>1000 mg</w:t>
            </w:r>
          </w:p>
        </w:tc>
        <w:tc>
          <w:tcPr>
            <w:tcW w:w="3543" w:type="dxa"/>
            <w:vMerge w:val="restart"/>
            <w:shd w:val="clear" w:color="auto" w:fill="auto"/>
            <w:vAlign w:val="center"/>
          </w:tcPr>
          <w:p w:rsidR="00460C08" w:rsidRDefault="00D35844" w:rsidP="008D0A24">
            <w:pPr>
              <w:pStyle w:val="TextTi12"/>
              <w:spacing w:before="60" w:after="60" w:line="240" w:lineRule="auto"/>
              <w:jc w:val="left"/>
              <w:rPr>
                <w:rFonts w:cs="Arial"/>
                <w:iCs/>
                <w:color w:val="000000"/>
                <w:sz w:val="22"/>
                <w:szCs w:val="22"/>
                <w:lang w:eastAsia="ko-KR" w:bidi="he-IL"/>
              </w:rPr>
            </w:pPr>
            <w:r w:rsidRPr="008D0A24">
              <w:rPr>
                <w:rFonts w:cs="Arial"/>
                <w:iCs/>
                <w:color w:val="000000"/>
                <w:sz w:val="22"/>
                <w:szCs w:val="22"/>
                <w:lang w:eastAsia="ko-KR" w:bidi="he-IL"/>
              </w:rPr>
              <w:t xml:space="preserve">If no IRR </w:t>
            </w:r>
            <w:r w:rsidR="00460C08">
              <w:rPr>
                <w:rFonts w:cs="Arial"/>
                <w:iCs/>
                <w:color w:val="000000"/>
                <w:sz w:val="22"/>
                <w:szCs w:val="22"/>
                <w:lang w:eastAsia="ko-KR" w:bidi="he-IL"/>
              </w:rPr>
              <w:t xml:space="preserve">or a Grade 1 IRR </w:t>
            </w:r>
            <w:r w:rsidRPr="008D0A24">
              <w:rPr>
                <w:rFonts w:cs="Arial"/>
                <w:iCs/>
                <w:color w:val="000000"/>
                <w:sz w:val="22"/>
                <w:szCs w:val="22"/>
                <w:lang w:eastAsia="ko-KR" w:bidi="he-IL"/>
              </w:rPr>
              <w:t xml:space="preserve">occurred </w:t>
            </w:r>
            <w:r w:rsidRPr="008D0A24">
              <w:rPr>
                <w:rFonts w:cs="Arial"/>
                <w:iCs/>
                <w:color w:val="000000"/>
                <w:sz w:val="22"/>
                <w:szCs w:val="22"/>
                <w:lang w:eastAsia="ko-KR" w:bidi="he-IL"/>
              </w:rPr>
              <w:lastRenderedPageBreak/>
              <w:t>during the previous infusion</w:t>
            </w:r>
            <w:r w:rsidR="00460C08">
              <w:rPr>
                <w:rFonts w:cs="Arial"/>
                <w:iCs/>
                <w:color w:val="000000"/>
                <w:sz w:val="22"/>
                <w:szCs w:val="22"/>
                <w:lang w:eastAsia="ko-KR" w:bidi="he-IL"/>
              </w:rPr>
              <w:t>,</w:t>
            </w:r>
            <w:r w:rsidRPr="008D0A24">
              <w:rPr>
                <w:rFonts w:cs="Arial"/>
                <w:iCs/>
                <w:color w:val="000000"/>
                <w:sz w:val="22"/>
                <w:szCs w:val="22"/>
                <w:lang w:eastAsia="ko-KR" w:bidi="he-IL"/>
              </w:rPr>
              <w:t xml:space="preserve"> where the final infusion rate was ≥100 mg/hr,  infusions can be started at a rate of 100 mg/hr and increased by 100 mg/hr increments every 30 minutes to a maximum of 400 mg/hr.</w:t>
            </w:r>
          </w:p>
          <w:p w:rsidR="00460C08" w:rsidRPr="008D0A24" w:rsidRDefault="00460C08" w:rsidP="000C53E9">
            <w:pPr>
              <w:pStyle w:val="TextTi12"/>
              <w:spacing w:before="60" w:after="60" w:line="240" w:lineRule="auto"/>
              <w:jc w:val="left"/>
              <w:rPr>
                <w:rFonts w:cs="Arial"/>
                <w:iCs/>
                <w:color w:val="000000"/>
                <w:sz w:val="22"/>
                <w:szCs w:val="22"/>
                <w:lang w:eastAsia="ko-KR" w:bidi="he-IL"/>
              </w:rPr>
            </w:pPr>
            <w:r>
              <w:rPr>
                <w:rFonts w:cs="Arial"/>
                <w:iCs/>
                <w:color w:val="000000"/>
                <w:sz w:val="22"/>
                <w:szCs w:val="22"/>
                <w:lang w:eastAsia="ko-KR" w:bidi="he-IL"/>
              </w:rPr>
              <w:t>If the patient experienced a Grade 2 IRR or higher during the previous infusion</w:t>
            </w:r>
            <w:r w:rsidR="000C53E9">
              <w:rPr>
                <w:rFonts w:cs="Arial"/>
                <w:iCs/>
                <w:color w:val="000000"/>
                <w:sz w:val="22"/>
                <w:szCs w:val="22"/>
                <w:lang w:eastAsia="ko-KR" w:bidi="he-IL"/>
              </w:rPr>
              <w:t xml:space="preserve"> administer at 50 mg/hr. The rate of infusion can be escalated in 50 mg/hr increments every 30 minutes to a maximum of 400 mg/hr.</w:t>
            </w:r>
          </w:p>
        </w:tc>
      </w:tr>
      <w:tr w:rsidR="00D35844" w:rsidRPr="008D0A24" w:rsidTr="008D0A24">
        <w:trPr>
          <w:trHeight w:val="107"/>
        </w:trPr>
        <w:tc>
          <w:tcPr>
            <w:tcW w:w="1384" w:type="dxa"/>
            <w:vMerge/>
            <w:shd w:val="clear" w:color="auto" w:fill="auto"/>
            <w:vAlign w:val="center"/>
          </w:tcPr>
          <w:p w:rsidR="00D35844" w:rsidRPr="008D0A24" w:rsidRDefault="00D35844" w:rsidP="008D0A24">
            <w:pPr>
              <w:pStyle w:val="TextTi12"/>
              <w:spacing w:before="60" w:after="60" w:line="240" w:lineRule="auto"/>
              <w:jc w:val="left"/>
              <w:rPr>
                <w:rFonts w:cs="Arial"/>
                <w:iCs/>
                <w:color w:val="000000"/>
                <w:sz w:val="22"/>
                <w:szCs w:val="22"/>
                <w:lang w:eastAsia="ko-KR" w:bidi="he-IL"/>
              </w:rPr>
            </w:pPr>
          </w:p>
        </w:tc>
        <w:tc>
          <w:tcPr>
            <w:tcW w:w="2410" w:type="dxa"/>
            <w:shd w:val="clear" w:color="auto" w:fill="auto"/>
            <w:vAlign w:val="center"/>
          </w:tcPr>
          <w:p w:rsidR="00D35844" w:rsidRPr="008D0A24" w:rsidRDefault="00D35844" w:rsidP="008D0A24">
            <w:pPr>
              <w:pStyle w:val="TextTi12"/>
              <w:spacing w:before="60" w:after="60" w:line="240" w:lineRule="auto"/>
              <w:jc w:val="left"/>
              <w:rPr>
                <w:rFonts w:cs="Arial"/>
                <w:iCs/>
                <w:color w:val="000000"/>
                <w:sz w:val="22"/>
                <w:szCs w:val="22"/>
                <w:lang w:eastAsia="ko-KR" w:bidi="he-IL"/>
              </w:rPr>
            </w:pPr>
            <w:r w:rsidRPr="008D0A24">
              <w:rPr>
                <w:rFonts w:cs="Arial"/>
                <w:iCs/>
                <w:color w:val="000000"/>
                <w:sz w:val="22"/>
                <w:szCs w:val="22"/>
                <w:lang w:eastAsia="ko-KR" w:bidi="he-IL"/>
              </w:rPr>
              <w:t>Day 15</w:t>
            </w:r>
          </w:p>
        </w:tc>
        <w:tc>
          <w:tcPr>
            <w:tcW w:w="1276" w:type="dxa"/>
            <w:shd w:val="clear" w:color="auto" w:fill="auto"/>
            <w:vAlign w:val="center"/>
          </w:tcPr>
          <w:p w:rsidR="00D35844" w:rsidRPr="008D0A24" w:rsidRDefault="00D35844" w:rsidP="008D0A24">
            <w:pPr>
              <w:pStyle w:val="TextTi12"/>
              <w:spacing w:before="60" w:after="60" w:line="240" w:lineRule="auto"/>
              <w:jc w:val="left"/>
              <w:rPr>
                <w:rFonts w:cs="Arial"/>
                <w:iCs/>
                <w:color w:val="000000"/>
                <w:sz w:val="22"/>
                <w:szCs w:val="22"/>
                <w:lang w:eastAsia="ko-KR" w:bidi="he-IL"/>
              </w:rPr>
            </w:pPr>
            <w:r w:rsidRPr="008D0A24">
              <w:rPr>
                <w:rFonts w:cs="Arial"/>
                <w:iCs/>
                <w:color w:val="000000"/>
                <w:sz w:val="22"/>
                <w:szCs w:val="22"/>
                <w:lang w:eastAsia="ko-KR" w:bidi="he-IL"/>
              </w:rPr>
              <w:t>1000 mg</w:t>
            </w:r>
          </w:p>
        </w:tc>
        <w:tc>
          <w:tcPr>
            <w:tcW w:w="3543" w:type="dxa"/>
            <w:vMerge/>
            <w:shd w:val="clear" w:color="auto" w:fill="auto"/>
            <w:vAlign w:val="center"/>
          </w:tcPr>
          <w:p w:rsidR="00D35844" w:rsidRPr="008D0A24" w:rsidRDefault="00D35844" w:rsidP="008D0A24">
            <w:pPr>
              <w:pStyle w:val="TextTi12"/>
              <w:spacing w:before="60" w:after="60" w:line="240" w:lineRule="auto"/>
              <w:jc w:val="left"/>
              <w:rPr>
                <w:rFonts w:cs="Arial"/>
                <w:iCs/>
                <w:color w:val="000000"/>
                <w:sz w:val="22"/>
                <w:szCs w:val="22"/>
                <w:lang w:eastAsia="ko-KR" w:bidi="he-IL"/>
              </w:rPr>
            </w:pPr>
          </w:p>
        </w:tc>
      </w:tr>
      <w:tr w:rsidR="00D35844" w:rsidRPr="008D0A24" w:rsidTr="008D0A24">
        <w:tc>
          <w:tcPr>
            <w:tcW w:w="1384" w:type="dxa"/>
            <w:shd w:val="clear" w:color="auto" w:fill="auto"/>
            <w:vAlign w:val="center"/>
          </w:tcPr>
          <w:p w:rsidR="00D35844" w:rsidRDefault="00D35844" w:rsidP="008D0A24">
            <w:pPr>
              <w:pStyle w:val="TextTi12"/>
              <w:spacing w:before="60" w:after="60" w:line="240" w:lineRule="auto"/>
              <w:jc w:val="left"/>
              <w:rPr>
                <w:rFonts w:cs="Arial"/>
                <w:iCs/>
                <w:color w:val="000000"/>
                <w:sz w:val="22"/>
                <w:szCs w:val="22"/>
                <w:lang w:eastAsia="ko-KR" w:bidi="he-IL"/>
              </w:rPr>
            </w:pPr>
            <w:r w:rsidRPr="008D0A24">
              <w:rPr>
                <w:rFonts w:cs="Arial"/>
                <w:iCs/>
                <w:color w:val="000000"/>
                <w:sz w:val="22"/>
                <w:szCs w:val="22"/>
                <w:lang w:eastAsia="ko-KR" w:bidi="he-IL"/>
              </w:rPr>
              <w:lastRenderedPageBreak/>
              <w:t>Cycles 2-6</w:t>
            </w:r>
          </w:p>
          <w:p w:rsidR="00460C08" w:rsidRPr="008D0A24" w:rsidRDefault="00460C08" w:rsidP="008D0A24">
            <w:pPr>
              <w:pStyle w:val="TextTi12"/>
              <w:spacing w:before="60" w:after="60" w:line="240" w:lineRule="auto"/>
              <w:jc w:val="left"/>
              <w:rPr>
                <w:rFonts w:cs="Arial"/>
                <w:iCs/>
                <w:color w:val="000000"/>
                <w:sz w:val="22"/>
                <w:szCs w:val="22"/>
                <w:lang w:eastAsia="ko-KR" w:bidi="he-IL"/>
              </w:rPr>
            </w:pPr>
            <w:r>
              <w:rPr>
                <w:rFonts w:cs="Arial"/>
                <w:iCs/>
                <w:color w:val="000000"/>
                <w:sz w:val="22"/>
                <w:szCs w:val="22"/>
                <w:lang w:eastAsia="ko-KR" w:bidi="he-IL"/>
              </w:rPr>
              <w:t>or 2-8</w:t>
            </w:r>
          </w:p>
        </w:tc>
        <w:tc>
          <w:tcPr>
            <w:tcW w:w="2410" w:type="dxa"/>
            <w:shd w:val="clear" w:color="auto" w:fill="auto"/>
            <w:vAlign w:val="center"/>
          </w:tcPr>
          <w:p w:rsidR="00D35844" w:rsidRPr="008D0A24" w:rsidRDefault="00D35844" w:rsidP="008D0A24">
            <w:pPr>
              <w:pStyle w:val="TextTi12"/>
              <w:spacing w:before="60" w:after="60" w:line="240" w:lineRule="auto"/>
              <w:jc w:val="left"/>
              <w:rPr>
                <w:rFonts w:cs="Arial"/>
                <w:iCs/>
                <w:color w:val="000000"/>
                <w:sz w:val="22"/>
                <w:szCs w:val="22"/>
                <w:lang w:eastAsia="ko-KR" w:bidi="he-IL"/>
              </w:rPr>
            </w:pPr>
            <w:r w:rsidRPr="008D0A24">
              <w:rPr>
                <w:rFonts w:cs="Arial"/>
                <w:iCs/>
                <w:color w:val="000000"/>
                <w:sz w:val="22"/>
                <w:szCs w:val="22"/>
                <w:lang w:eastAsia="ko-KR" w:bidi="he-IL"/>
              </w:rPr>
              <w:t>Day 1</w:t>
            </w:r>
          </w:p>
        </w:tc>
        <w:tc>
          <w:tcPr>
            <w:tcW w:w="1276" w:type="dxa"/>
            <w:shd w:val="clear" w:color="auto" w:fill="auto"/>
            <w:vAlign w:val="center"/>
          </w:tcPr>
          <w:p w:rsidR="00D35844" w:rsidRPr="008D0A24" w:rsidRDefault="00D35844" w:rsidP="008D0A24">
            <w:pPr>
              <w:pStyle w:val="TextTi12"/>
              <w:spacing w:before="60" w:after="60" w:line="240" w:lineRule="auto"/>
              <w:jc w:val="left"/>
              <w:rPr>
                <w:rFonts w:cs="Arial"/>
                <w:iCs/>
                <w:color w:val="000000"/>
                <w:sz w:val="22"/>
                <w:szCs w:val="22"/>
                <w:lang w:eastAsia="ko-KR" w:bidi="he-IL"/>
              </w:rPr>
            </w:pPr>
            <w:r w:rsidRPr="008D0A24">
              <w:rPr>
                <w:rFonts w:cs="Arial"/>
                <w:iCs/>
                <w:color w:val="000000"/>
                <w:sz w:val="22"/>
                <w:szCs w:val="22"/>
                <w:lang w:eastAsia="ko-KR" w:bidi="he-IL"/>
              </w:rPr>
              <w:t>1000 mg</w:t>
            </w:r>
          </w:p>
        </w:tc>
        <w:tc>
          <w:tcPr>
            <w:tcW w:w="3543" w:type="dxa"/>
            <w:vMerge/>
            <w:shd w:val="clear" w:color="auto" w:fill="auto"/>
            <w:vAlign w:val="center"/>
          </w:tcPr>
          <w:p w:rsidR="00D35844" w:rsidRPr="008D0A24" w:rsidRDefault="00D35844" w:rsidP="008D0A24">
            <w:pPr>
              <w:pStyle w:val="TextTi12"/>
              <w:spacing w:before="60" w:after="60" w:line="240" w:lineRule="auto"/>
              <w:jc w:val="left"/>
              <w:rPr>
                <w:rFonts w:cs="Arial"/>
                <w:iCs/>
                <w:color w:val="000000"/>
                <w:sz w:val="22"/>
                <w:szCs w:val="22"/>
                <w:lang w:eastAsia="ko-KR" w:bidi="he-IL"/>
              </w:rPr>
            </w:pPr>
          </w:p>
        </w:tc>
      </w:tr>
      <w:tr w:rsidR="00D35844" w:rsidRPr="008D0A24" w:rsidTr="008D0A24">
        <w:tc>
          <w:tcPr>
            <w:tcW w:w="1384" w:type="dxa"/>
            <w:shd w:val="clear" w:color="auto" w:fill="auto"/>
            <w:vAlign w:val="center"/>
          </w:tcPr>
          <w:p w:rsidR="00D35844" w:rsidRPr="008D0A24" w:rsidRDefault="00D35844" w:rsidP="008D0A24">
            <w:pPr>
              <w:pStyle w:val="TextTi12"/>
              <w:spacing w:before="60" w:after="60" w:line="240" w:lineRule="auto"/>
              <w:jc w:val="left"/>
              <w:rPr>
                <w:rFonts w:cs="Arial"/>
                <w:iCs/>
                <w:color w:val="000000"/>
                <w:sz w:val="22"/>
                <w:szCs w:val="22"/>
                <w:lang w:eastAsia="ko-KR" w:bidi="he-IL"/>
              </w:rPr>
            </w:pPr>
            <w:r w:rsidRPr="008D0A24">
              <w:rPr>
                <w:rFonts w:cs="Arial"/>
                <w:iCs/>
                <w:color w:val="000000"/>
                <w:sz w:val="22"/>
                <w:szCs w:val="22"/>
                <w:lang w:eastAsia="ko-KR" w:bidi="he-IL"/>
              </w:rPr>
              <w:t>Maintenance</w:t>
            </w:r>
            <w:r w:rsidR="00460C08">
              <w:rPr>
                <w:rFonts w:cs="Arial"/>
                <w:iCs/>
                <w:color w:val="000000"/>
                <w:sz w:val="22"/>
                <w:szCs w:val="22"/>
                <w:lang w:eastAsia="ko-KR" w:bidi="he-IL"/>
              </w:rPr>
              <w:t xml:space="preserve"> for FL patients</w:t>
            </w:r>
          </w:p>
        </w:tc>
        <w:tc>
          <w:tcPr>
            <w:tcW w:w="2410" w:type="dxa"/>
            <w:shd w:val="clear" w:color="auto" w:fill="auto"/>
            <w:vAlign w:val="center"/>
          </w:tcPr>
          <w:p w:rsidR="00D35844" w:rsidRPr="008D0A24" w:rsidRDefault="00D35844" w:rsidP="000C53E9">
            <w:pPr>
              <w:pStyle w:val="TextTi12"/>
              <w:spacing w:before="60" w:after="60" w:line="240" w:lineRule="auto"/>
              <w:jc w:val="left"/>
              <w:rPr>
                <w:rFonts w:cs="Arial"/>
                <w:iCs/>
                <w:color w:val="000000"/>
                <w:sz w:val="22"/>
                <w:szCs w:val="22"/>
                <w:lang w:eastAsia="ko-KR" w:bidi="he-IL"/>
              </w:rPr>
            </w:pPr>
            <w:r w:rsidRPr="008D0A24">
              <w:rPr>
                <w:rFonts w:cs="Arial"/>
                <w:iCs/>
                <w:color w:val="000000"/>
                <w:sz w:val="22"/>
                <w:szCs w:val="22"/>
                <w:lang w:eastAsia="ko-KR" w:bidi="he-IL"/>
              </w:rPr>
              <w:t xml:space="preserve">Every </w:t>
            </w:r>
            <w:r w:rsidR="00460C08">
              <w:rPr>
                <w:rFonts w:cs="Arial"/>
                <w:iCs/>
                <w:color w:val="000000"/>
                <w:sz w:val="22"/>
                <w:szCs w:val="22"/>
                <w:lang w:eastAsia="ko-KR" w:bidi="he-IL"/>
              </w:rPr>
              <w:t>2</w:t>
            </w:r>
            <w:r w:rsidRPr="008D0A24">
              <w:rPr>
                <w:rFonts w:cs="Arial"/>
                <w:iCs/>
                <w:color w:val="000000"/>
                <w:sz w:val="22"/>
                <w:szCs w:val="22"/>
                <w:lang w:eastAsia="ko-KR" w:bidi="he-IL"/>
              </w:rPr>
              <w:t xml:space="preserve"> months until progression or up to </w:t>
            </w:r>
            <w:r w:rsidR="000C53E9">
              <w:rPr>
                <w:rFonts w:cs="Arial"/>
                <w:iCs/>
                <w:color w:val="000000"/>
                <w:sz w:val="22"/>
                <w:szCs w:val="22"/>
                <w:lang w:eastAsia="ko-KR" w:bidi="he-IL"/>
              </w:rPr>
              <w:t xml:space="preserve"> </w:t>
            </w:r>
            <w:r w:rsidR="00460C08">
              <w:rPr>
                <w:rFonts w:cs="Arial"/>
                <w:iCs/>
                <w:color w:val="000000"/>
                <w:sz w:val="22"/>
                <w:szCs w:val="22"/>
                <w:lang w:eastAsia="ko-KR" w:bidi="he-IL"/>
              </w:rPr>
              <w:t>2</w:t>
            </w:r>
            <w:r w:rsidRPr="008D0A24">
              <w:rPr>
                <w:rFonts w:cs="Arial"/>
                <w:iCs/>
                <w:color w:val="000000"/>
                <w:sz w:val="22"/>
                <w:szCs w:val="22"/>
                <w:lang w:eastAsia="ko-KR" w:bidi="he-IL"/>
              </w:rPr>
              <w:t xml:space="preserve"> years</w:t>
            </w:r>
          </w:p>
        </w:tc>
        <w:tc>
          <w:tcPr>
            <w:tcW w:w="1276" w:type="dxa"/>
            <w:shd w:val="clear" w:color="auto" w:fill="auto"/>
            <w:vAlign w:val="center"/>
          </w:tcPr>
          <w:p w:rsidR="00D35844" w:rsidRPr="008D0A24" w:rsidRDefault="00D35844" w:rsidP="008D0A24">
            <w:pPr>
              <w:pStyle w:val="TextTi12"/>
              <w:spacing w:before="60" w:after="60" w:line="240" w:lineRule="auto"/>
              <w:jc w:val="left"/>
              <w:rPr>
                <w:rFonts w:cs="Arial"/>
                <w:iCs/>
                <w:color w:val="000000"/>
                <w:sz w:val="22"/>
                <w:szCs w:val="22"/>
                <w:lang w:eastAsia="ko-KR" w:bidi="he-IL"/>
              </w:rPr>
            </w:pPr>
            <w:r w:rsidRPr="008D0A24">
              <w:rPr>
                <w:rFonts w:cs="Arial"/>
                <w:iCs/>
                <w:color w:val="000000"/>
                <w:sz w:val="22"/>
                <w:szCs w:val="22"/>
                <w:lang w:eastAsia="ko-KR" w:bidi="he-IL"/>
              </w:rPr>
              <w:t>1000 mg</w:t>
            </w:r>
          </w:p>
        </w:tc>
        <w:tc>
          <w:tcPr>
            <w:tcW w:w="3543" w:type="dxa"/>
            <w:vMerge/>
            <w:shd w:val="clear" w:color="auto" w:fill="auto"/>
            <w:vAlign w:val="center"/>
          </w:tcPr>
          <w:p w:rsidR="00D35844" w:rsidRPr="008D0A24" w:rsidRDefault="00D35844" w:rsidP="008D0A24">
            <w:pPr>
              <w:pStyle w:val="TextTi12"/>
              <w:spacing w:before="60" w:after="60" w:line="240" w:lineRule="auto"/>
              <w:jc w:val="left"/>
              <w:rPr>
                <w:rFonts w:cs="Arial"/>
                <w:iCs/>
                <w:color w:val="000000"/>
                <w:sz w:val="22"/>
                <w:szCs w:val="22"/>
                <w:lang w:eastAsia="ko-KR" w:bidi="he-IL"/>
              </w:rPr>
            </w:pPr>
          </w:p>
        </w:tc>
      </w:tr>
    </w:tbl>
    <w:p w:rsidR="00D35844" w:rsidRDefault="00D35844" w:rsidP="000029DA">
      <w:pPr>
        <w:pStyle w:val="TextTi12"/>
        <w:keepNext/>
        <w:spacing w:after="0" w:line="240" w:lineRule="auto"/>
        <w:rPr>
          <w:color w:val="000000"/>
          <w:sz w:val="20"/>
        </w:rPr>
      </w:pPr>
      <w:r w:rsidRPr="00C75250">
        <w:rPr>
          <w:color w:val="000000"/>
          <w:sz w:val="20"/>
          <w:vertAlign w:val="superscript"/>
        </w:rPr>
        <w:t xml:space="preserve">** </w:t>
      </w:r>
      <w:r w:rsidRPr="00C75250">
        <w:rPr>
          <w:color w:val="000000"/>
          <w:sz w:val="20"/>
        </w:rPr>
        <w:t>see CLINICAL TRIALS for information on bendamustine dose.</w:t>
      </w:r>
    </w:p>
    <w:p w:rsidR="000029DA" w:rsidRPr="00E8637D" w:rsidRDefault="000029DA" w:rsidP="000029DA">
      <w:pPr>
        <w:pStyle w:val="TextTi12"/>
        <w:keepNext/>
        <w:spacing w:after="0" w:line="240" w:lineRule="auto"/>
        <w:rPr>
          <w:sz w:val="20"/>
        </w:rPr>
      </w:pPr>
    </w:p>
    <w:p w:rsidR="00D35844" w:rsidRPr="00E8637D" w:rsidRDefault="00D35844" w:rsidP="00D35844">
      <w:pPr>
        <w:spacing w:after="170" w:line="280" w:lineRule="exact"/>
        <w:rPr>
          <w:rFonts w:eastAsia="SimSun"/>
          <w:b/>
          <w:i/>
          <w:szCs w:val="24"/>
          <w:lang w:val="en-GB" w:eastAsia="zh-CN"/>
        </w:rPr>
      </w:pPr>
      <w:r w:rsidRPr="00E8637D">
        <w:rPr>
          <w:rFonts w:eastAsia="SimSun"/>
          <w:b/>
          <w:i/>
          <w:szCs w:val="24"/>
          <w:lang w:val="en-GB" w:eastAsia="zh-CN"/>
        </w:rPr>
        <w:t>Delayed or missed doses</w:t>
      </w:r>
      <w:r w:rsidR="008706DE">
        <w:rPr>
          <w:rFonts w:eastAsia="SimSun"/>
          <w:b/>
          <w:i/>
          <w:szCs w:val="24"/>
          <w:lang w:val="en-GB" w:eastAsia="zh-CN"/>
        </w:rPr>
        <w:t xml:space="preserve"> (FL)</w:t>
      </w:r>
    </w:p>
    <w:p w:rsidR="00120576" w:rsidRDefault="00D35844" w:rsidP="00D35844">
      <w:pPr>
        <w:spacing w:after="170" w:line="280" w:lineRule="exact"/>
        <w:rPr>
          <w:rFonts w:eastAsia="SimSun"/>
          <w:szCs w:val="24"/>
          <w:lang w:val="en-GB" w:eastAsia="zh-CN"/>
        </w:rPr>
      </w:pPr>
      <w:r w:rsidRPr="00E8637D">
        <w:rPr>
          <w:rFonts w:eastAsia="SimSun"/>
          <w:szCs w:val="24"/>
          <w:lang w:val="en-GB" w:eastAsia="zh-CN"/>
        </w:rPr>
        <w:t xml:space="preserve">If a planned dose of </w:t>
      </w:r>
      <w:r w:rsidR="00D7152B">
        <w:rPr>
          <w:lang w:val="en-US"/>
        </w:rPr>
        <w:t>Gazyva</w:t>
      </w:r>
      <w:r w:rsidRPr="00E8637D">
        <w:rPr>
          <w:rFonts w:eastAsia="SimSun"/>
          <w:szCs w:val="24"/>
          <w:lang w:val="en-GB" w:eastAsia="zh-CN"/>
        </w:rPr>
        <w:t xml:space="preserve"> is missed, it should be administered as soon as possible; do not </w:t>
      </w:r>
      <w:r w:rsidR="008706DE">
        <w:rPr>
          <w:rFonts w:eastAsia="SimSun"/>
          <w:szCs w:val="24"/>
          <w:lang w:val="en-GB" w:eastAsia="zh-CN"/>
        </w:rPr>
        <w:t xml:space="preserve">omit it or </w:t>
      </w:r>
      <w:r w:rsidRPr="00E8637D">
        <w:rPr>
          <w:rFonts w:eastAsia="SimSun"/>
          <w:szCs w:val="24"/>
          <w:lang w:val="en-GB" w:eastAsia="zh-CN"/>
        </w:rPr>
        <w:t>wait until the next planned dose.</w:t>
      </w:r>
    </w:p>
    <w:p w:rsidR="00120576" w:rsidRDefault="008706DE" w:rsidP="00D35844">
      <w:pPr>
        <w:spacing w:after="170" w:line="280" w:lineRule="exact"/>
        <w:rPr>
          <w:rFonts w:eastAsia="SimSun"/>
          <w:szCs w:val="24"/>
          <w:lang w:val="en-GB" w:eastAsia="zh-CN"/>
        </w:rPr>
      </w:pPr>
      <w:r>
        <w:rPr>
          <w:rFonts w:eastAsia="SimSun"/>
          <w:szCs w:val="24"/>
          <w:lang w:val="en-GB" w:eastAsia="zh-CN"/>
        </w:rPr>
        <w:t xml:space="preserve">If toxicity occurs before Cycle 1 Day 8 or Cycle 1 Day 15 requiring delay of treatment, these doses should be given after resolution of toxicity. In such instances, all subsequent visits and the start of Cycle 2 will be shifted to accommodate for the delay in Cycle 1. </w:t>
      </w:r>
    </w:p>
    <w:p w:rsidR="00DE0E3C" w:rsidRPr="00E8637D" w:rsidRDefault="00D35844" w:rsidP="00D35844">
      <w:pPr>
        <w:spacing w:after="170" w:line="280" w:lineRule="exact"/>
        <w:rPr>
          <w:rFonts w:eastAsia="SimSun"/>
          <w:szCs w:val="24"/>
          <w:lang w:val="en-GB" w:eastAsia="zh-CN"/>
        </w:rPr>
      </w:pPr>
      <w:r w:rsidRPr="00E8637D">
        <w:rPr>
          <w:rFonts w:eastAsia="SimSun"/>
          <w:szCs w:val="24"/>
          <w:lang w:val="en-GB" w:eastAsia="zh-CN"/>
        </w:rPr>
        <w:t>During maintenance, maintain the original dosing schedule for subsequent doses.</w:t>
      </w:r>
    </w:p>
    <w:p w:rsidR="000B64CB" w:rsidRPr="00BE6433" w:rsidRDefault="000B64CB" w:rsidP="000B64CB">
      <w:pPr>
        <w:pStyle w:val="TextTi12"/>
        <w:keepNext/>
        <w:spacing w:line="280" w:lineRule="exact"/>
        <w:rPr>
          <w:rFonts w:cs="Arial"/>
          <w:b/>
          <w:i/>
          <w:color w:val="000000"/>
          <w:sz w:val="28"/>
          <w:szCs w:val="28"/>
          <w:u w:val="single"/>
          <w:lang w:eastAsia="ko-KR" w:bidi="he-IL"/>
        </w:rPr>
      </w:pPr>
      <w:r w:rsidRPr="00BE6433">
        <w:rPr>
          <w:rFonts w:cs="Arial"/>
          <w:b/>
          <w:i/>
          <w:color w:val="000000"/>
          <w:sz w:val="28"/>
          <w:szCs w:val="28"/>
          <w:u w:val="single"/>
          <w:lang w:eastAsia="ko-KR" w:bidi="he-IL"/>
        </w:rPr>
        <w:t>Dosage modifications during treatment</w:t>
      </w:r>
      <w:r w:rsidR="00D35844" w:rsidRPr="00BE6433">
        <w:rPr>
          <w:rFonts w:cs="Arial"/>
          <w:b/>
          <w:i/>
          <w:color w:val="000000"/>
          <w:sz w:val="28"/>
          <w:szCs w:val="28"/>
          <w:u w:val="single"/>
          <w:lang w:eastAsia="ko-KR" w:bidi="he-IL"/>
        </w:rPr>
        <w:t xml:space="preserve"> (all indications)</w:t>
      </w:r>
    </w:p>
    <w:p w:rsidR="00DF49DE" w:rsidRDefault="00DF49DE" w:rsidP="00514921">
      <w:pPr>
        <w:pStyle w:val="TextTi12"/>
        <w:spacing w:after="0" w:line="240" w:lineRule="auto"/>
        <w:rPr>
          <w:rFonts w:cs="Arial"/>
          <w:color w:val="000000"/>
          <w:lang w:eastAsia="ko-KR" w:bidi="he-IL"/>
        </w:rPr>
      </w:pPr>
      <w:r>
        <w:rPr>
          <w:rFonts w:cs="Arial"/>
          <w:color w:val="000000"/>
          <w:lang w:eastAsia="ko-KR" w:bidi="he-IL"/>
        </w:rPr>
        <w:t xml:space="preserve">No dose reductions of </w:t>
      </w:r>
      <w:r w:rsidR="00D7152B">
        <w:t>Gazyva</w:t>
      </w:r>
      <w:r>
        <w:rPr>
          <w:rFonts w:cs="Arial"/>
          <w:color w:val="000000"/>
          <w:lang w:eastAsia="ko-KR" w:bidi="he-IL"/>
        </w:rPr>
        <w:t xml:space="preserve"> are recommended.</w:t>
      </w:r>
    </w:p>
    <w:p w:rsidR="00514921" w:rsidRDefault="00514921" w:rsidP="00514921">
      <w:pPr>
        <w:pStyle w:val="TextTi12"/>
        <w:spacing w:after="0" w:line="240" w:lineRule="auto"/>
        <w:rPr>
          <w:rFonts w:cs="Arial"/>
          <w:color w:val="000000"/>
          <w:lang w:eastAsia="ko-KR" w:bidi="he-IL"/>
        </w:rPr>
      </w:pPr>
    </w:p>
    <w:p w:rsidR="004922C3" w:rsidRDefault="00DF49DE" w:rsidP="00DF49DE">
      <w:pPr>
        <w:pStyle w:val="TextTi12"/>
        <w:spacing w:line="280" w:lineRule="exact"/>
        <w:rPr>
          <w:rFonts w:cs="Arial"/>
          <w:color w:val="000000"/>
          <w:lang w:eastAsia="ko-KR" w:bidi="he-IL"/>
        </w:rPr>
      </w:pPr>
      <w:r>
        <w:rPr>
          <w:rFonts w:cs="Arial"/>
          <w:color w:val="000000"/>
          <w:lang w:eastAsia="ko-KR" w:bidi="he-IL"/>
        </w:rPr>
        <w:t xml:space="preserve">For management of symptomatic adverse events (including IRRs), see Table </w:t>
      </w:r>
      <w:r w:rsidR="00490681">
        <w:rPr>
          <w:rFonts w:cs="Arial"/>
          <w:color w:val="000000"/>
          <w:lang w:eastAsia="ko-KR" w:bidi="he-IL"/>
        </w:rPr>
        <w:t>1</w:t>
      </w:r>
      <w:r w:rsidR="00416B3F">
        <w:rPr>
          <w:rFonts w:cs="Arial"/>
          <w:color w:val="000000"/>
          <w:lang w:eastAsia="ko-KR" w:bidi="he-IL"/>
        </w:rPr>
        <w:t>2</w:t>
      </w:r>
      <w:r w:rsidR="00490681">
        <w:rPr>
          <w:rFonts w:cs="Arial"/>
          <w:color w:val="000000"/>
          <w:lang w:eastAsia="ko-KR" w:bidi="he-IL"/>
        </w:rPr>
        <w:t xml:space="preserve"> below</w:t>
      </w:r>
      <w:r w:rsidR="00894D04">
        <w:rPr>
          <w:rFonts w:cs="Arial"/>
          <w:color w:val="000000"/>
          <w:lang w:eastAsia="ko-KR" w:bidi="he-IL"/>
        </w:rPr>
        <w:t xml:space="preserve"> </w:t>
      </w:r>
      <w:r>
        <w:rPr>
          <w:rFonts w:cs="Arial"/>
          <w:color w:val="000000"/>
          <w:lang w:eastAsia="ko-KR" w:bidi="he-IL"/>
        </w:rPr>
        <w:t>and PRECAUTIONS.</w:t>
      </w:r>
    </w:p>
    <w:p w:rsidR="00E37D9B" w:rsidRPr="007A6027" w:rsidRDefault="00E37D9B" w:rsidP="00E37D9B">
      <w:pPr>
        <w:pStyle w:val="Paragraph"/>
        <w:spacing w:after="0" w:line="240" w:lineRule="auto"/>
        <w:jc w:val="both"/>
        <w:rPr>
          <w:rFonts w:ascii="Times New Roman" w:hAnsi="Times New Roman"/>
          <w:color w:val="000000"/>
        </w:rPr>
      </w:pPr>
      <w:r w:rsidRPr="007A6027">
        <w:rPr>
          <w:rFonts w:ascii="Times New Roman" w:hAnsi="Times New Roman"/>
          <w:b/>
          <w:color w:val="000000"/>
        </w:rPr>
        <w:t xml:space="preserve">Table </w:t>
      </w:r>
      <w:r w:rsidR="00490681">
        <w:rPr>
          <w:rFonts w:ascii="Times New Roman" w:hAnsi="Times New Roman"/>
          <w:b/>
          <w:color w:val="000000"/>
        </w:rPr>
        <w:t>1</w:t>
      </w:r>
      <w:r w:rsidR="00416B3F">
        <w:rPr>
          <w:rFonts w:ascii="Times New Roman" w:hAnsi="Times New Roman"/>
          <w:b/>
          <w:color w:val="000000"/>
        </w:rPr>
        <w:t>2</w:t>
      </w:r>
      <w:r w:rsidRPr="007A6027">
        <w:rPr>
          <w:rFonts w:ascii="Times New Roman" w:hAnsi="Times New Roman"/>
          <w:b/>
          <w:color w:val="000000"/>
        </w:rPr>
        <w:t xml:space="preserve"> </w:t>
      </w:r>
      <w:r>
        <w:rPr>
          <w:rFonts w:ascii="Times New Roman" w:hAnsi="Times New Roman"/>
          <w:b/>
          <w:color w:val="000000"/>
        </w:rPr>
        <w:t>Infusion Rate Modification Guidelines for Infusion Related Reactions (see PRECAUTIONS, Infusion Related Reactions)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E37D9B" w:rsidRPr="00FC4B62" w:rsidTr="00DF5802">
        <w:tc>
          <w:tcPr>
            <w:tcW w:w="3369" w:type="dxa"/>
            <w:shd w:val="clear" w:color="auto" w:fill="auto"/>
          </w:tcPr>
          <w:p w:rsidR="00E37D9B" w:rsidRPr="00FC4B62" w:rsidRDefault="00E37D9B" w:rsidP="00DF5802">
            <w:pPr>
              <w:pStyle w:val="Paragraph"/>
              <w:spacing w:before="60" w:after="60" w:line="240" w:lineRule="auto"/>
              <w:rPr>
                <w:rFonts w:ascii="Times New Roman" w:hAnsi="Times New Roman"/>
                <w:b/>
                <w:color w:val="000000"/>
                <w:sz w:val="22"/>
                <w:szCs w:val="22"/>
              </w:rPr>
            </w:pPr>
            <w:r w:rsidRPr="00FC4B62">
              <w:rPr>
                <w:rFonts w:ascii="Times New Roman" w:hAnsi="Times New Roman"/>
                <w:b/>
                <w:color w:val="000000"/>
                <w:sz w:val="22"/>
                <w:szCs w:val="22"/>
              </w:rPr>
              <w:t>Grade 4 (life-threatening)</w:t>
            </w:r>
          </w:p>
        </w:tc>
        <w:tc>
          <w:tcPr>
            <w:tcW w:w="5918" w:type="dxa"/>
            <w:shd w:val="clear" w:color="auto" w:fill="auto"/>
            <w:vAlign w:val="center"/>
          </w:tcPr>
          <w:p w:rsidR="00E37D9B" w:rsidRPr="00FC4B62" w:rsidRDefault="00E37D9B" w:rsidP="00DF5802">
            <w:pPr>
              <w:pStyle w:val="Paragraph"/>
              <w:spacing w:before="60" w:after="60" w:line="240" w:lineRule="auto"/>
              <w:rPr>
                <w:rFonts w:ascii="Times New Roman" w:hAnsi="Times New Roman"/>
                <w:color w:val="000000"/>
                <w:sz w:val="22"/>
                <w:szCs w:val="22"/>
              </w:rPr>
            </w:pPr>
            <w:r w:rsidRPr="00FC4B62">
              <w:rPr>
                <w:rFonts w:ascii="Times New Roman" w:hAnsi="Times New Roman"/>
                <w:color w:val="000000"/>
                <w:sz w:val="22"/>
                <w:szCs w:val="22"/>
              </w:rPr>
              <w:t xml:space="preserve">Stop infusion and </w:t>
            </w:r>
            <w:r>
              <w:rPr>
                <w:rFonts w:ascii="Times New Roman" w:hAnsi="Times New Roman"/>
                <w:color w:val="000000"/>
                <w:sz w:val="22"/>
                <w:szCs w:val="22"/>
              </w:rPr>
              <w:t xml:space="preserve">permanently </w:t>
            </w:r>
            <w:r w:rsidRPr="00FC4B62">
              <w:rPr>
                <w:rFonts w:ascii="Times New Roman" w:hAnsi="Times New Roman"/>
                <w:color w:val="000000"/>
                <w:sz w:val="22"/>
                <w:szCs w:val="22"/>
              </w:rPr>
              <w:t>discontinue therapy</w:t>
            </w:r>
            <w:r>
              <w:rPr>
                <w:rFonts w:ascii="Times New Roman" w:hAnsi="Times New Roman"/>
                <w:color w:val="000000"/>
                <w:sz w:val="22"/>
                <w:szCs w:val="22"/>
              </w:rPr>
              <w:t>.</w:t>
            </w:r>
          </w:p>
        </w:tc>
      </w:tr>
      <w:tr w:rsidR="00E37D9B" w:rsidRPr="00FC4B62" w:rsidTr="00DF5802">
        <w:trPr>
          <w:trHeight w:val="841"/>
        </w:trPr>
        <w:tc>
          <w:tcPr>
            <w:tcW w:w="3369" w:type="dxa"/>
            <w:shd w:val="clear" w:color="auto" w:fill="auto"/>
            <w:vAlign w:val="center"/>
          </w:tcPr>
          <w:p w:rsidR="00E37D9B" w:rsidRPr="00FC4B62" w:rsidRDefault="00E37D9B" w:rsidP="00DF5802">
            <w:pPr>
              <w:pStyle w:val="Paragraph"/>
              <w:spacing w:before="60" w:after="60" w:line="240" w:lineRule="auto"/>
              <w:rPr>
                <w:rFonts w:ascii="Times New Roman" w:hAnsi="Times New Roman"/>
                <w:b/>
                <w:color w:val="000000"/>
                <w:sz w:val="22"/>
                <w:szCs w:val="22"/>
              </w:rPr>
            </w:pPr>
            <w:r w:rsidRPr="00FC4B62">
              <w:rPr>
                <w:rFonts w:ascii="Times New Roman" w:hAnsi="Times New Roman"/>
                <w:b/>
                <w:color w:val="000000"/>
                <w:sz w:val="22"/>
                <w:szCs w:val="22"/>
              </w:rPr>
              <w:t>Grade 3 (severe)</w:t>
            </w:r>
          </w:p>
        </w:tc>
        <w:tc>
          <w:tcPr>
            <w:tcW w:w="5918" w:type="dxa"/>
            <w:shd w:val="clear" w:color="auto" w:fill="auto"/>
            <w:vAlign w:val="center"/>
          </w:tcPr>
          <w:p w:rsidR="00E37D9B" w:rsidRPr="00FC4B62" w:rsidRDefault="00E37D9B" w:rsidP="00DF5802">
            <w:pPr>
              <w:pStyle w:val="Paragraph"/>
              <w:spacing w:before="60" w:after="60" w:line="240" w:lineRule="auto"/>
              <w:rPr>
                <w:rFonts w:ascii="Times New Roman" w:hAnsi="Times New Roman"/>
                <w:color w:val="000000"/>
                <w:sz w:val="22"/>
                <w:szCs w:val="22"/>
              </w:rPr>
            </w:pPr>
            <w:r w:rsidRPr="00FC4B62">
              <w:rPr>
                <w:rFonts w:ascii="Times New Roman" w:hAnsi="Times New Roman"/>
                <w:color w:val="000000"/>
                <w:sz w:val="22"/>
                <w:szCs w:val="22"/>
              </w:rPr>
              <w:t>Temporarily interrupt infusion and treat symptoms.</w:t>
            </w:r>
          </w:p>
          <w:p w:rsidR="00A0097B" w:rsidRDefault="00E37D9B" w:rsidP="00DF5802">
            <w:pPr>
              <w:pStyle w:val="Paragraph"/>
              <w:spacing w:before="60" w:after="60" w:line="240" w:lineRule="auto"/>
              <w:rPr>
                <w:rFonts w:ascii="Times New Roman" w:hAnsi="Times New Roman"/>
                <w:color w:val="000000"/>
                <w:sz w:val="22"/>
                <w:szCs w:val="22"/>
              </w:rPr>
            </w:pPr>
            <w:r w:rsidRPr="00FC4B62">
              <w:rPr>
                <w:rFonts w:ascii="Times New Roman" w:hAnsi="Times New Roman"/>
                <w:color w:val="000000"/>
                <w:sz w:val="22"/>
                <w:szCs w:val="22"/>
              </w:rPr>
              <w:t>Upon resolution of symptoms, restart infusion at no more than half the previous rate (the rate being used at the time that the IRR occurred)</w:t>
            </w:r>
            <w:r w:rsidR="00A0097B">
              <w:rPr>
                <w:rFonts w:ascii="Times New Roman" w:hAnsi="Times New Roman"/>
                <w:color w:val="000000"/>
                <w:sz w:val="22"/>
                <w:szCs w:val="22"/>
              </w:rPr>
              <w:t>.</w:t>
            </w:r>
          </w:p>
          <w:p w:rsidR="00E37D9B" w:rsidRDefault="00A0097B" w:rsidP="00DF5802">
            <w:pPr>
              <w:pStyle w:val="Paragraph"/>
              <w:spacing w:before="60" w:after="60" w:line="240" w:lineRule="auto"/>
              <w:rPr>
                <w:rFonts w:ascii="Times New Roman" w:hAnsi="Times New Roman"/>
                <w:color w:val="000000"/>
                <w:sz w:val="22"/>
                <w:szCs w:val="22"/>
              </w:rPr>
            </w:pPr>
            <w:r>
              <w:rPr>
                <w:rFonts w:ascii="Times New Roman" w:hAnsi="Times New Roman"/>
                <w:color w:val="000000"/>
                <w:sz w:val="22"/>
                <w:szCs w:val="22"/>
              </w:rPr>
              <w:t>I</w:t>
            </w:r>
            <w:r w:rsidR="00E37D9B" w:rsidRPr="00FC4B62">
              <w:rPr>
                <w:rFonts w:ascii="Times New Roman" w:hAnsi="Times New Roman"/>
                <w:color w:val="000000"/>
                <w:sz w:val="22"/>
                <w:szCs w:val="22"/>
              </w:rPr>
              <w:t xml:space="preserve">f </w:t>
            </w:r>
            <w:r>
              <w:rPr>
                <w:rFonts w:ascii="Times New Roman" w:hAnsi="Times New Roman"/>
                <w:color w:val="000000"/>
                <w:sz w:val="22"/>
                <w:szCs w:val="22"/>
              </w:rPr>
              <w:t xml:space="preserve">the </w:t>
            </w:r>
            <w:r w:rsidR="00E37D9B" w:rsidRPr="00FC4B62">
              <w:rPr>
                <w:rFonts w:ascii="Times New Roman" w:hAnsi="Times New Roman"/>
                <w:color w:val="000000"/>
                <w:sz w:val="22"/>
                <w:szCs w:val="22"/>
              </w:rPr>
              <w:t xml:space="preserve">patient does not experience any </w:t>
            </w:r>
            <w:r>
              <w:rPr>
                <w:rFonts w:ascii="Times New Roman" w:hAnsi="Times New Roman"/>
                <w:color w:val="000000"/>
                <w:sz w:val="22"/>
                <w:szCs w:val="22"/>
              </w:rPr>
              <w:t xml:space="preserve">further </w:t>
            </w:r>
            <w:r w:rsidR="00E37D9B" w:rsidRPr="00FC4B62">
              <w:rPr>
                <w:rFonts w:ascii="Times New Roman" w:hAnsi="Times New Roman"/>
                <w:color w:val="000000"/>
                <w:sz w:val="22"/>
                <w:szCs w:val="22"/>
              </w:rPr>
              <w:t>IRR symptoms, infusion rate escalation may resume at the increments and intervals as appropriate for</w:t>
            </w:r>
            <w:r w:rsidR="00E37D9B">
              <w:rPr>
                <w:rFonts w:ascii="Times New Roman" w:hAnsi="Times New Roman"/>
                <w:color w:val="000000"/>
                <w:sz w:val="22"/>
                <w:szCs w:val="22"/>
              </w:rPr>
              <w:t xml:space="preserve"> the treatment dose (see Table</w:t>
            </w:r>
            <w:r>
              <w:rPr>
                <w:rFonts w:ascii="Times New Roman" w:hAnsi="Times New Roman"/>
                <w:color w:val="000000"/>
                <w:sz w:val="22"/>
                <w:szCs w:val="22"/>
              </w:rPr>
              <w:t>s</w:t>
            </w:r>
            <w:r w:rsidR="00E37D9B">
              <w:rPr>
                <w:rFonts w:ascii="Times New Roman" w:hAnsi="Times New Roman"/>
                <w:color w:val="000000"/>
                <w:sz w:val="22"/>
                <w:szCs w:val="22"/>
              </w:rPr>
              <w:t xml:space="preserve"> </w:t>
            </w:r>
            <w:r w:rsidR="00416B3F">
              <w:rPr>
                <w:rFonts w:ascii="Times New Roman" w:hAnsi="Times New Roman"/>
                <w:color w:val="000000"/>
                <w:sz w:val="22"/>
                <w:szCs w:val="22"/>
              </w:rPr>
              <w:t>9</w:t>
            </w:r>
            <w:r>
              <w:rPr>
                <w:rFonts w:ascii="Times New Roman" w:hAnsi="Times New Roman"/>
                <w:color w:val="000000"/>
                <w:sz w:val="22"/>
                <w:szCs w:val="22"/>
              </w:rPr>
              <w:t xml:space="preserve"> and</w:t>
            </w:r>
            <w:r w:rsidR="002D3994">
              <w:rPr>
                <w:rFonts w:ascii="Times New Roman" w:hAnsi="Times New Roman"/>
                <w:color w:val="000000"/>
                <w:sz w:val="22"/>
                <w:szCs w:val="22"/>
              </w:rPr>
              <w:t xml:space="preserve"> </w:t>
            </w:r>
            <w:r w:rsidR="00416B3F">
              <w:rPr>
                <w:rFonts w:ascii="Times New Roman" w:hAnsi="Times New Roman"/>
                <w:color w:val="000000"/>
                <w:sz w:val="22"/>
                <w:szCs w:val="22"/>
              </w:rPr>
              <w:t>10</w:t>
            </w:r>
            <w:r w:rsidR="00E37D9B" w:rsidRPr="00FC4B62">
              <w:rPr>
                <w:rFonts w:ascii="Times New Roman" w:hAnsi="Times New Roman"/>
                <w:color w:val="000000"/>
                <w:sz w:val="22"/>
                <w:szCs w:val="22"/>
              </w:rPr>
              <w:t>).</w:t>
            </w:r>
            <w:r w:rsidR="00E37D9B">
              <w:rPr>
                <w:rFonts w:ascii="Times New Roman" w:hAnsi="Times New Roman"/>
                <w:color w:val="000000"/>
                <w:sz w:val="22"/>
                <w:szCs w:val="22"/>
              </w:rPr>
              <w:t xml:space="preserve"> </w:t>
            </w:r>
          </w:p>
          <w:p w:rsidR="00E37D9B" w:rsidRDefault="00E37D9B" w:rsidP="00A0097B">
            <w:pPr>
              <w:pStyle w:val="Paragraph"/>
              <w:numPr>
                <w:ilvl w:val="0"/>
                <w:numId w:val="32"/>
              </w:numPr>
              <w:spacing w:before="60" w:after="60" w:line="240" w:lineRule="auto"/>
              <w:rPr>
                <w:rFonts w:ascii="Times New Roman" w:hAnsi="Times New Roman"/>
                <w:color w:val="000000"/>
                <w:sz w:val="22"/>
                <w:szCs w:val="22"/>
              </w:rPr>
            </w:pPr>
            <w:r w:rsidRPr="005732F9">
              <w:rPr>
                <w:rFonts w:ascii="Times New Roman" w:hAnsi="Times New Roman"/>
                <w:color w:val="000000"/>
                <w:sz w:val="22"/>
                <w:szCs w:val="22"/>
                <w:u w:val="single"/>
              </w:rPr>
              <w:t xml:space="preserve">For </w:t>
            </w:r>
            <w:r w:rsidR="00A0097B" w:rsidRPr="005732F9">
              <w:rPr>
                <w:rFonts w:ascii="Times New Roman" w:hAnsi="Times New Roman"/>
                <w:color w:val="000000"/>
                <w:sz w:val="22"/>
                <w:szCs w:val="22"/>
                <w:u w:val="single"/>
              </w:rPr>
              <w:t xml:space="preserve">CLL </w:t>
            </w:r>
            <w:r w:rsidRPr="005732F9">
              <w:rPr>
                <w:rFonts w:ascii="Times New Roman" w:hAnsi="Times New Roman"/>
                <w:color w:val="000000"/>
                <w:sz w:val="22"/>
                <w:szCs w:val="22"/>
                <w:u w:val="single"/>
              </w:rPr>
              <w:t>patients</w:t>
            </w:r>
            <w:r>
              <w:rPr>
                <w:rFonts w:ascii="Times New Roman" w:hAnsi="Times New Roman"/>
                <w:color w:val="000000"/>
                <w:sz w:val="22"/>
                <w:szCs w:val="22"/>
              </w:rPr>
              <w:t xml:space="preserve"> receiving the Cycle 1, Day 1 dose split over 2 days, </w:t>
            </w:r>
            <w:r w:rsidRPr="00A0097B">
              <w:rPr>
                <w:rFonts w:ascii="Times New Roman" w:hAnsi="Times New Roman"/>
                <w:color w:val="000000"/>
                <w:sz w:val="22"/>
                <w:szCs w:val="22"/>
              </w:rPr>
              <w:t>t</w:t>
            </w:r>
            <w:r w:rsidR="00A0097B">
              <w:rPr>
                <w:rFonts w:ascii="Times New Roman" w:hAnsi="Times New Roman"/>
                <w:color w:val="000000"/>
                <w:sz w:val="22"/>
                <w:szCs w:val="22"/>
              </w:rPr>
              <w:t>h</w:t>
            </w:r>
            <w:r w:rsidRPr="00A0097B">
              <w:rPr>
                <w:rFonts w:ascii="Times New Roman" w:hAnsi="Times New Roman"/>
                <w:color w:val="000000"/>
                <w:sz w:val="22"/>
                <w:szCs w:val="22"/>
              </w:rPr>
              <w:t>e</w:t>
            </w:r>
            <w:r>
              <w:rPr>
                <w:rFonts w:ascii="Times New Roman" w:hAnsi="Times New Roman"/>
                <w:color w:val="000000"/>
                <w:sz w:val="22"/>
                <w:szCs w:val="22"/>
              </w:rPr>
              <w:t xml:space="preserve"> Day 1 infusion rate may be increased back to 25 mg/hr after 60 minutes, but not increased further. </w:t>
            </w:r>
          </w:p>
          <w:p w:rsidR="00E37D9B" w:rsidRPr="00FC4B62" w:rsidRDefault="00A0097B" w:rsidP="00A0097B">
            <w:pPr>
              <w:pStyle w:val="Paragraph"/>
              <w:spacing w:before="60" w:after="60" w:line="240" w:lineRule="auto"/>
              <w:rPr>
                <w:rFonts w:ascii="Times New Roman" w:hAnsi="Times New Roman"/>
                <w:color w:val="000000"/>
                <w:sz w:val="22"/>
                <w:szCs w:val="22"/>
              </w:rPr>
            </w:pPr>
            <w:r>
              <w:rPr>
                <w:rFonts w:ascii="Times New Roman" w:hAnsi="Times New Roman"/>
                <w:color w:val="000000"/>
                <w:sz w:val="22"/>
                <w:szCs w:val="22"/>
              </w:rPr>
              <w:t>If the patient experiences a second occurrence of a Grade 3 IRR, s</w:t>
            </w:r>
            <w:r w:rsidR="00E37D9B">
              <w:rPr>
                <w:rFonts w:ascii="Times New Roman" w:hAnsi="Times New Roman"/>
                <w:color w:val="000000"/>
                <w:sz w:val="22"/>
                <w:szCs w:val="22"/>
              </w:rPr>
              <w:t>top infusion and permanently discontinue therapy.</w:t>
            </w:r>
          </w:p>
        </w:tc>
      </w:tr>
      <w:tr w:rsidR="00E37D9B" w:rsidRPr="00FC4B62" w:rsidTr="00DF5802">
        <w:tc>
          <w:tcPr>
            <w:tcW w:w="3369" w:type="dxa"/>
            <w:shd w:val="clear" w:color="auto" w:fill="auto"/>
            <w:vAlign w:val="center"/>
          </w:tcPr>
          <w:p w:rsidR="00E37D9B" w:rsidRPr="00FC4B62" w:rsidRDefault="00E37D9B" w:rsidP="00DF5802">
            <w:pPr>
              <w:pStyle w:val="Paragraph"/>
              <w:spacing w:before="60" w:after="60" w:line="240" w:lineRule="auto"/>
              <w:rPr>
                <w:rFonts w:ascii="Times New Roman" w:hAnsi="Times New Roman"/>
                <w:b/>
                <w:color w:val="000000"/>
                <w:sz w:val="22"/>
                <w:szCs w:val="22"/>
              </w:rPr>
            </w:pPr>
            <w:r w:rsidRPr="00FC4B62">
              <w:rPr>
                <w:rFonts w:ascii="Times New Roman" w:hAnsi="Times New Roman"/>
                <w:b/>
                <w:color w:val="000000"/>
                <w:sz w:val="22"/>
                <w:szCs w:val="22"/>
              </w:rPr>
              <w:t>Grade 1-2 (mild and moderate)</w:t>
            </w:r>
          </w:p>
        </w:tc>
        <w:tc>
          <w:tcPr>
            <w:tcW w:w="5918" w:type="dxa"/>
            <w:shd w:val="clear" w:color="auto" w:fill="auto"/>
            <w:vAlign w:val="center"/>
          </w:tcPr>
          <w:p w:rsidR="00E37D9B" w:rsidRPr="00FC4B62" w:rsidRDefault="00E37D9B" w:rsidP="00DF5802">
            <w:pPr>
              <w:pStyle w:val="Paragraph"/>
              <w:spacing w:before="60" w:after="60" w:line="240" w:lineRule="auto"/>
              <w:rPr>
                <w:rFonts w:ascii="Times New Roman" w:hAnsi="Times New Roman"/>
                <w:color w:val="000000"/>
                <w:sz w:val="22"/>
                <w:szCs w:val="22"/>
              </w:rPr>
            </w:pPr>
            <w:r w:rsidRPr="00FC4B62">
              <w:rPr>
                <w:rFonts w:ascii="Times New Roman" w:hAnsi="Times New Roman"/>
                <w:color w:val="000000"/>
                <w:sz w:val="22"/>
                <w:szCs w:val="22"/>
              </w:rPr>
              <w:t>Reduce infusion rate and treat symptoms.</w:t>
            </w:r>
          </w:p>
          <w:p w:rsidR="0091245E" w:rsidRDefault="00E37D9B" w:rsidP="00DF5802">
            <w:pPr>
              <w:pStyle w:val="Paragraph"/>
              <w:spacing w:before="60" w:after="60" w:line="240" w:lineRule="auto"/>
              <w:rPr>
                <w:rFonts w:ascii="Times New Roman" w:hAnsi="Times New Roman"/>
                <w:color w:val="000000"/>
                <w:sz w:val="22"/>
                <w:szCs w:val="22"/>
              </w:rPr>
            </w:pPr>
            <w:r w:rsidRPr="00FC4B62">
              <w:rPr>
                <w:rFonts w:ascii="Times New Roman" w:hAnsi="Times New Roman"/>
                <w:color w:val="000000"/>
                <w:sz w:val="22"/>
                <w:szCs w:val="22"/>
              </w:rPr>
              <w:t>Upon resolution of symptoms, continue infusion</w:t>
            </w:r>
            <w:r w:rsidR="0091245E">
              <w:rPr>
                <w:rFonts w:ascii="Times New Roman" w:hAnsi="Times New Roman"/>
                <w:color w:val="000000"/>
                <w:sz w:val="22"/>
                <w:szCs w:val="22"/>
              </w:rPr>
              <w:t>.</w:t>
            </w:r>
            <w:r w:rsidRPr="00FC4B62">
              <w:rPr>
                <w:rFonts w:ascii="Times New Roman" w:hAnsi="Times New Roman"/>
                <w:color w:val="000000"/>
                <w:sz w:val="22"/>
                <w:szCs w:val="22"/>
              </w:rPr>
              <w:t xml:space="preserve"> </w:t>
            </w:r>
          </w:p>
          <w:p w:rsidR="00E37D9B" w:rsidRDefault="0091245E" w:rsidP="00DF5802">
            <w:pPr>
              <w:pStyle w:val="Paragraph"/>
              <w:spacing w:before="60" w:after="60" w:line="240" w:lineRule="auto"/>
              <w:rPr>
                <w:rFonts w:ascii="Times New Roman" w:hAnsi="Times New Roman"/>
                <w:color w:val="000000"/>
                <w:sz w:val="22"/>
                <w:szCs w:val="22"/>
              </w:rPr>
            </w:pPr>
            <w:r>
              <w:rPr>
                <w:rFonts w:ascii="Times New Roman" w:hAnsi="Times New Roman"/>
                <w:color w:val="000000"/>
                <w:sz w:val="22"/>
                <w:szCs w:val="22"/>
              </w:rPr>
              <w:t>I</w:t>
            </w:r>
            <w:r w:rsidR="00E37D9B" w:rsidRPr="00FC4B62">
              <w:rPr>
                <w:rFonts w:ascii="Times New Roman" w:hAnsi="Times New Roman"/>
                <w:color w:val="000000"/>
                <w:sz w:val="22"/>
                <w:szCs w:val="22"/>
              </w:rPr>
              <w:t xml:space="preserve">f patient does not experience any IRR symptoms, infusion rate </w:t>
            </w:r>
            <w:r w:rsidR="00E37D9B" w:rsidRPr="00FC4B62">
              <w:rPr>
                <w:rFonts w:ascii="Times New Roman" w:hAnsi="Times New Roman"/>
                <w:color w:val="000000"/>
                <w:sz w:val="22"/>
                <w:szCs w:val="22"/>
              </w:rPr>
              <w:lastRenderedPageBreak/>
              <w:t>escalation may resume at the increments and intervals as appropriate for</w:t>
            </w:r>
            <w:r w:rsidR="00E37D9B">
              <w:rPr>
                <w:rFonts w:ascii="Times New Roman" w:hAnsi="Times New Roman"/>
                <w:color w:val="000000"/>
                <w:sz w:val="22"/>
                <w:szCs w:val="22"/>
              </w:rPr>
              <w:t xml:space="preserve"> the treatment dose (see Table</w:t>
            </w:r>
            <w:r>
              <w:rPr>
                <w:rFonts w:ascii="Times New Roman" w:hAnsi="Times New Roman"/>
                <w:color w:val="000000"/>
                <w:sz w:val="22"/>
                <w:szCs w:val="22"/>
              </w:rPr>
              <w:t>s</w:t>
            </w:r>
            <w:r w:rsidR="00E37D9B">
              <w:rPr>
                <w:rFonts w:ascii="Times New Roman" w:hAnsi="Times New Roman"/>
                <w:color w:val="000000"/>
                <w:sz w:val="22"/>
                <w:szCs w:val="22"/>
              </w:rPr>
              <w:t xml:space="preserve"> </w:t>
            </w:r>
            <w:r w:rsidR="00416B3F">
              <w:rPr>
                <w:rFonts w:ascii="Times New Roman" w:hAnsi="Times New Roman"/>
                <w:color w:val="000000"/>
                <w:sz w:val="22"/>
                <w:szCs w:val="22"/>
              </w:rPr>
              <w:t>9</w:t>
            </w:r>
            <w:r>
              <w:rPr>
                <w:rFonts w:ascii="Times New Roman" w:hAnsi="Times New Roman"/>
                <w:color w:val="000000"/>
                <w:sz w:val="22"/>
                <w:szCs w:val="22"/>
              </w:rPr>
              <w:t xml:space="preserve"> and </w:t>
            </w:r>
            <w:r w:rsidR="00416B3F">
              <w:rPr>
                <w:rFonts w:ascii="Times New Roman" w:hAnsi="Times New Roman"/>
                <w:color w:val="000000"/>
                <w:sz w:val="22"/>
                <w:szCs w:val="22"/>
              </w:rPr>
              <w:t>10</w:t>
            </w:r>
            <w:r w:rsidR="00E37D9B" w:rsidRPr="00FC4B62">
              <w:rPr>
                <w:rFonts w:ascii="Times New Roman" w:hAnsi="Times New Roman"/>
                <w:color w:val="000000"/>
                <w:sz w:val="22"/>
                <w:szCs w:val="22"/>
              </w:rPr>
              <w:t>).</w:t>
            </w:r>
            <w:r w:rsidR="00E37D9B">
              <w:rPr>
                <w:rFonts w:ascii="Times New Roman" w:hAnsi="Times New Roman"/>
                <w:color w:val="000000"/>
                <w:sz w:val="22"/>
                <w:szCs w:val="22"/>
              </w:rPr>
              <w:t xml:space="preserve"> </w:t>
            </w:r>
          </w:p>
          <w:p w:rsidR="00E37D9B" w:rsidRPr="00FC4B62" w:rsidRDefault="00E37D9B" w:rsidP="0091245E">
            <w:pPr>
              <w:pStyle w:val="Paragraph"/>
              <w:numPr>
                <w:ilvl w:val="0"/>
                <w:numId w:val="32"/>
              </w:numPr>
              <w:spacing w:before="60" w:after="60" w:line="240" w:lineRule="auto"/>
              <w:rPr>
                <w:rFonts w:ascii="Times New Roman" w:hAnsi="Times New Roman"/>
                <w:color w:val="000000"/>
                <w:sz w:val="22"/>
                <w:szCs w:val="22"/>
              </w:rPr>
            </w:pPr>
            <w:r w:rsidRPr="005732F9">
              <w:rPr>
                <w:rFonts w:ascii="Times New Roman" w:hAnsi="Times New Roman"/>
                <w:color w:val="000000"/>
                <w:sz w:val="22"/>
                <w:szCs w:val="22"/>
                <w:u w:val="single"/>
              </w:rPr>
              <w:t xml:space="preserve">For </w:t>
            </w:r>
            <w:r w:rsidR="0091245E" w:rsidRPr="005732F9">
              <w:rPr>
                <w:rFonts w:ascii="Times New Roman" w:hAnsi="Times New Roman"/>
                <w:color w:val="000000"/>
                <w:sz w:val="22"/>
                <w:szCs w:val="22"/>
                <w:u w:val="single"/>
              </w:rPr>
              <w:t xml:space="preserve">CLL </w:t>
            </w:r>
            <w:r w:rsidRPr="005732F9">
              <w:rPr>
                <w:rFonts w:ascii="Times New Roman" w:hAnsi="Times New Roman"/>
                <w:color w:val="000000"/>
                <w:sz w:val="22"/>
                <w:szCs w:val="22"/>
                <w:u w:val="single"/>
              </w:rPr>
              <w:t>patients</w:t>
            </w:r>
            <w:r>
              <w:rPr>
                <w:rFonts w:ascii="Times New Roman" w:hAnsi="Times New Roman"/>
                <w:color w:val="000000"/>
                <w:sz w:val="22"/>
                <w:szCs w:val="22"/>
              </w:rPr>
              <w:t xml:space="preserve"> receiving the Cycle 1, Day 1 dose split over 2 days, t</w:t>
            </w:r>
            <w:r w:rsidRPr="00D957D0">
              <w:rPr>
                <w:rFonts w:ascii="Times New Roman" w:hAnsi="Times New Roman"/>
                <w:color w:val="000000"/>
                <w:sz w:val="22"/>
                <w:szCs w:val="22"/>
              </w:rPr>
              <w:t>he Day 1 infusion rate may be increased back up to 25 mg/hr after 1 hour, but not increased further.</w:t>
            </w:r>
          </w:p>
        </w:tc>
      </w:tr>
    </w:tbl>
    <w:p w:rsidR="00DE0E3C" w:rsidRDefault="00DE0E3C" w:rsidP="00DF49DE">
      <w:pPr>
        <w:pStyle w:val="TextTi12"/>
        <w:spacing w:line="280" w:lineRule="exact"/>
        <w:rPr>
          <w:rFonts w:cs="Arial"/>
          <w:color w:val="000000"/>
          <w:lang w:eastAsia="ko-KR" w:bidi="he-IL"/>
        </w:rPr>
      </w:pPr>
    </w:p>
    <w:p w:rsidR="004922C3" w:rsidRDefault="004922C3" w:rsidP="00DF49DE">
      <w:pPr>
        <w:pStyle w:val="TextTi12"/>
        <w:spacing w:line="280" w:lineRule="exact"/>
        <w:rPr>
          <w:rFonts w:cs="Arial"/>
          <w:b/>
          <w:i/>
          <w:color w:val="000000"/>
          <w:lang w:eastAsia="ko-KR" w:bidi="he-IL"/>
        </w:rPr>
      </w:pPr>
      <w:r w:rsidRPr="000A0780">
        <w:rPr>
          <w:rFonts w:cs="Arial"/>
          <w:b/>
          <w:i/>
          <w:color w:val="000000"/>
          <w:lang w:eastAsia="ko-KR" w:bidi="he-IL"/>
        </w:rPr>
        <w:t xml:space="preserve">Dosage modifications </w:t>
      </w:r>
      <w:r>
        <w:rPr>
          <w:rFonts w:cs="Arial"/>
          <w:b/>
          <w:i/>
          <w:color w:val="000000"/>
          <w:lang w:eastAsia="ko-KR" w:bidi="he-IL"/>
        </w:rPr>
        <w:t>in Special Populations</w:t>
      </w:r>
    </w:p>
    <w:p w:rsidR="004922C3" w:rsidRDefault="004922C3" w:rsidP="00514921">
      <w:pPr>
        <w:pStyle w:val="TextTi12"/>
        <w:spacing w:after="0" w:line="240" w:lineRule="auto"/>
        <w:rPr>
          <w:rFonts w:cs="Arial"/>
          <w:color w:val="000000"/>
          <w:lang w:eastAsia="ko-KR" w:bidi="he-IL"/>
        </w:rPr>
      </w:pPr>
      <w:r w:rsidRPr="004922C3">
        <w:rPr>
          <w:rFonts w:cs="Arial"/>
          <w:i/>
          <w:color w:val="000000"/>
          <w:lang w:eastAsia="ko-KR" w:bidi="he-IL"/>
        </w:rPr>
        <w:t>Children:</w:t>
      </w:r>
      <w:r>
        <w:rPr>
          <w:rFonts w:cs="Arial"/>
          <w:color w:val="000000"/>
          <w:lang w:eastAsia="ko-KR" w:bidi="he-IL"/>
        </w:rPr>
        <w:t xml:space="preserve"> The safety and efficacy of </w:t>
      </w:r>
      <w:r w:rsidR="00D7152B">
        <w:t>Gazyva</w:t>
      </w:r>
      <w:r>
        <w:rPr>
          <w:rFonts w:cs="Arial"/>
          <w:color w:val="000000"/>
          <w:lang w:eastAsia="ko-KR" w:bidi="he-IL"/>
        </w:rPr>
        <w:t xml:space="preserve"> in children below 18 years of age have not been established.</w:t>
      </w:r>
    </w:p>
    <w:p w:rsidR="00514921" w:rsidRDefault="00514921" w:rsidP="00514921">
      <w:pPr>
        <w:pStyle w:val="TextTi12"/>
        <w:spacing w:after="0" w:line="240" w:lineRule="auto"/>
        <w:rPr>
          <w:rFonts w:cs="Arial"/>
          <w:color w:val="000000"/>
          <w:lang w:eastAsia="ko-KR" w:bidi="he-IL"/>
        </w:rPr>
      </w:pPr>
    </w:p>
    <w:p w:rsidR="004922C3" w:rsidRDefault="004922C3" w:rsidP="00514921">
      <w:pPr>
        <w:pStyle w:val="TextTi12"/>
        <w:spacing w:after="0" w:line="240" w:lineRule="auto"/>
        <w:rPr>
          <w:rFonts w:cs="Arial"/>
          <w:color w:val="000000"/>
          <w:lang w:eastAsia="ko-KR" w:bidi="he-IL"/>
        </w:rPr>
      </w:pPr>
      <w:r w:rsidRPr="004922C3">
        <w:rPr>
          <w:rFonts w:cs="Arial"/>
          <w:i/>
          <w:color w:val="000000"/>
          <w:lang w:eastAsia="ko-KR" w:bidi="he-IL"/>
        </w:rPr>
        <w:t>Elderly:</w:t>
      </w:r>
      <w:r>
        <w:rPr>
          <w:rFonts w:cs="Arial"/>
          <w:color w:val="000000"/>
          <w:lang w:eastAsia="ko-KR" w:bidi="he-IL"/>
        </w:rPr>
        <w:t xml:space="preserve"> No dose adjustment is required in elderly patients (see PRECAUTIONS, Use in the elderly).</w:t>
      </w:r>
    </w:p>
    <w:p w:rsidR="00514921" w:rsidRDefault="00514921" w:rsidP="00514921">
      <w:pPr>
        <w:pStyle w:val="TextTi12"/>
        <w:spacing w:after="0" w:line="240" w:lineRule="auto"/>
        <w:rPr>
          <w:rFonts w:cs="Arial"/>
          <w:color w:val="000000"/>
          <w:lang w:eastAsia="ko-KR" w:bidi="he-IL"/>
        </w:rPr>
      </w:pPr>
    </w:p>
    <w:p w:rsidR="004922C3" w:rsidRDefault="004922C3" w:rsidP="00514921">
      <w:pPr>
        <w:pStyle w:val="TextTi12"/>
        <w:spacing w:after="0" w:line="240" w:lineRule="auto"/>
        <w:rPr>
          <w:rFonts w:cs="Arial"/>
          <w:color w:val="000000"/>
          <w:lang w:eastAsia="ko-KR" w:bidi="he-IL"/>
        </w:rPr>
      </w:pPr>
      <w:r w:rsidRPr="004922C3">
        <w:rPr>
          <w:rFonts w:cs="Arial"/>
          <w:i/>
          <w:color w:val="000000"/>
          <w:lang w:eastAsia="ko-KR" w:bidi="he-IL"/>
        </w:rPr>
        <w:t>Renal Impairment:</w:t>
      </w:r>
      <w:r>
        <w:rPr>
          <w:rFonts w:cs="Arial"/>
          <w:color w:val="000000"/>
          <w:lang w:eastAsia="ko-KR" w:bidi="he-IL"/>
        </w:rPr>
        <w:t xml:space="preserve"> </w:t>
      </w:r>
      <w:r w:rsidRPr="004922C3">
        <w:rPr>
          <w:rFonts w:cs="Arial"/>
          <w:color w:val="000000"/>
          <w:lang w:eastAsia="ko-KR" w:bidi="he-IL"/>
        </w:rPr>
        <w:t xml:space="preserve">No dose adjustment is required in </w:t>
      </w:r>
      <w:r>
        <w:rPr>
          <w:rFonts w:cs="Arial"/>
          <w:color w:val="000000"/>
          <w:lang w:eastAsia="ko-KR" w:bidi="he-IL"/>
        </w:rPr>
        <w:t>patients</w:t>
      </w:r>
      <w:r w:rsidR="00FC47B7">
        <w:rPr>
          <w:rFonts w:cs="Arial"/>
          <w:color w:val="000000"/>
          <w:lang w:eastAsia="ko-KR" w:bidi="he-IL"/>
        </w:rPr>
        <w:t>with mild or moderate renal impairment</w:t>
      </w:r>
      <w:r w:rsidRPr="004922C3">
        <w:rPr>
          <w:rFonts w:cs="Arial"/>
          <w:color w:val="000000"/>
          <w:lang w:eastAsia="ko-KR" w:bidi="he-IL"/>
        </w:rPr>
        <w:t xml:space="preserve">. </w:t>
      </w:r>
      <w:r w:rsidR="00D7152B">
        <w:t>Gazyva</w:t>
      </w:r>
      <w:r w:rsidRPr="004922C3">
        <w:rPr>
          <w:rFonts w:cs="Arial"/>
          <w:color w:val="000000"/>
          <w:lang w:eastAsia="ko-KR" w:bidi="he-IL"/>
        </w:rPr>
        <w:t xml:space="preserve"> has not </w:t>
      </w:r>
      <w:r>
        <w:rPr>
          <w:rFonts w:cs="Arial"/>
          <w:color w:val="000000"/>
          <w:lang w:eastAsia="ko-KR" w:bidi="he-IL"/>
        </w:rPr>
        <w:t xml:space="preserve">been studied in patients with a CrCl </w:t>
      </w:r>
      <w:r w:rsidR="005732F9">
        <w:rPr>
          <w:rFonts w:cs="Arial"/>
          <w:color w:val="000000"/>
          <w:lang w:eastAsia="ko-KR" w:bidi="he-IL"/>
        </w:rPr>
        <w:t>&lt;</w:t>
      </w:r>
      <w:r w:rsidR="00FC47B7">
        <w:rPr>
          <w:rFonts w:cs="Arial"/>
          <w:color w:val="000000"/>
          <w:lang w:eastAsia="ko-KR" w:bidi="he-IL"/>
        </w:rPr>
        <w:t xml:space="preserve"> </w:t>
      </w:r>
      <w:r w:rsidRPr="004922C3">
        <w:rPr>
          <w:rFonts w:cs="Arial"/>
          <w:color w:val="000000"/>
          <w:lang w:eastAsia="ko-KR" w:bidi="he-IL"/>
        </w:rPr>
        <w:t xml:space="preserve">30mL/min (see </w:t>
      </w:r>
      <w:r>
        <w:rPr>
          <w:rFonts w:cs="Arial"/>
          <w:color w:val="000000"/>
          <w:lang w:eastAsia="ko-KR" w:bidi="he-IL"/>
        </w:rPr>
        <w:t>PRECAUTIONS, Use in renal impairment</w:t>
      </w:r>
      <w:r w:rsidR="00FC47B7">
        <w:rPr>
          <w:rFonts w:cs="Arial"/>
          <w:color w:val="000000"/>
          <w:lang w:eastAsia="ko-KR" w:bidi="he-IL"/>
        </w:rPr>
        <w:t xml:space="preserve">; </w:t>
      </w:r>
      <w:r w:rsidR="00FC47B7">
        <w:t xml:space="preserve">PHARMACOLOGY </w:t>
      </w:r>
      <w:r w:rsidR="00FC47B7" w:rsidRPr="008C7E0E">
        <w:rPr>
          <w:i/>
        </w:rPr>
        <w:t>Pharmacokinetics in special populations</w:t>
      </w:r>
      <w:r>
        <w:rPr>
          <w:rFonts w:cs="Arial"/>
          <w:color w:val="000000"/>
          <w:lang w:eastAsia="ko-KR" w:bidi="he-IL"/>
        </w:rPr>
        <w:t>).</w:t>
      </w:r>
    </w:p>
    <w:p w:rsidR="00514921" w:rsidRDefault="00514921" w:rsidP="00514921">
      <w:pPr>
        <w:pStyle w:val="TextTi12"/>
        <w:spacing w:after="0" w:line="240" w:lineRule="auto"/>
        <w:rPr>
          <w:rFonts w:cs="Arial"/>
          <w:color w:val="000000"/>
          <w:lang w:eastAsia="ko-KR" w:bidi="he-IL"/>
        </w:rPr>
      </w:pPr>
    </w:p>
    <w:p w:rsidR="00321324" w:rsidRPr="004922C3" w:rsidRDefault="004922C3" w:rsidP="004922C3">
      <w:pPr>
        <w:pStyle w:val="TextTi12"/>
        <w:spacing w:line="280" w:lineRule="exact"/>
        <w:rPr>
          <w:rFonts w:cs="Arial"/>
          <w:i/>
          <w:color w:val="000000"/>
          <w:lang w:eastAsia="ko-KR" w:bidi="he-IL"/>
        </w:rPr>
      </w:pPr>
      <w:r w:rsidRPr="004922C3">
        <w:rPr>
          <w:rFonts w:cs="Arial"/>
          <w:i/>
          <w:color w:val="000000"/>
          <w:lang w:eastAsia="ko-KR" w:bidi="he-IL"/>
        </w:rPr>
        <w:t>Hepatic Impairment:</w:t>
      </w:r>
      <w:r>
        <w:rPr>
          <w:rFonts w:cs="Arial"/>
          <w:color w:val="000000"/>
          <w:lang w:eastAsia="ko-KR" w:bidi="he-IL"/>
        </w:rPr>
        <w:t xml:space="preserve"> The safety and efficacy of </w:t>
      </w:r>
      <w:r w:rsidR="00D7152B">
        <w:t>Gazyva</w:t>
      </w:r>
      <w:r>
        <w:rPr>
          <w:rFonts w:cs="Arial"/>
          <w:color w:val="000000"/>
          <w:lang w:eastAsia="ko-KR" w:bidi="he-IL"/>
        </w:rPr>
        <w:t xml:space="preserve"> in patients with hepatic impairment have not been established.</w:t>
      </w:r>
    </w:p>
    <w:p w:rsidR="003B3FC5" w:rsidRPr="003B3FC5" w:rsidRDefault="003B3FC5" w:rsidP="000B64CB">
      <w:pPr>
        <w:pStyle w:val="TextTi12"/>
        <w:spacing w:line="280" w:lineRule="exact"/>
        <w:rPr>
          <w:rFonts w:cs="Arial"/>
          <w:b/>
          <w:i/>
          <w:color w:val="000000"/>
          <w:lang w:eastAsia="ko-KR" w:bidi="he-IL"/>
        </w:rPr>
      </w:pPr>
      <w:r w:rsidRPr="003B3FC5">
        <w:rPr>
          <w:rFonts w:cs="Arial"/>
          <w:b/>
          <w:i/>
          <w:color w:val="000000"/>
          <w:lang w:eastAsia="ko-KR" w:bidi="he-IL"/>
        </w:rPr>
        <w:t>Instructions for dilution</w:t>
      </w:r>
    </w:p>
    <w:p w:rsidR="003B3FC5" w:rsidRDefault="00870096" w:rsidP="00514921">
      <w:pPr>
        <w:pStyle w:val="TextTi12"/>
        <w:spacing w:after="0" w:line="240" w:lineRule="auto"/>
        <w:rPr>
          <w:rFonts w:cs="Arial"/>
          <w:color w:val="000000"/>
          <w:lang w:eastAsia="ko-KR" w:bidi="he-IL"/>
        </w:rPr>
      </w:pPr>
      <w:r>
        <w:rPr>
          <w:rFonts w:cs="Arial"/>
          <w:color w:val="000000"/>
          <w:lang w:eastAsia="ko-KR" w:bidi="he-IL"/>
        </w:rPr>
        <w:t xml:space="preserve">Gazyva </w:t>
      </w:r>
      <w:r w:rsidR="009E77C6">
        <w:rPr>
          <w:rFonts w:cs="Arial"/>
          <w:color w:val="000000"/>
          <w:lang w:eastAsia="ko-KR" w:bidi="he-IL"/>
        </w:rPr>
        <w:t>should be prepared by a healthcare professional using aseptic technique.</w:t>
      </w:r>
    </w:p>
    <w:p w:rsidR="00FE7A26" w:rsidRDefault="00FE7A26" w:rsidP="00514921">
      <w:pPr>
        <w:pStyle w:val="TextTi12"/>
        <w:spacing w:after="0" w:line="240" w:lineRule="auto"/>
        <w:rPr>
          <w:rFonts w:cs="Arial"/>
          <w:color w:val="000000"/>
          <w:lang w:eastAsia="ko-KR" w:bidi="he-IL"/>
        </w:rPr>
      </w:pPr>
    </w:p>
    <w:p w:rsidR="00FE7A26" w:rsidRPr="00FE7A26" w:rsidRDefault="00FE7A26" w:rsidP="00514921">
      <w:pPr>
        <w:pStyle w:val="TextTi12"/>
        <w:spacing w:after="0" w:line="240" w:lineRule="auto"/>
        <w:rPr>
          <w:rFonts w:cs="Arial"/>
          <w:i/>
          <w:color w:val="000000"/>
          <w:lang w:eastAsia="ko-KR" w:bidi="he-IL"/>
        </w:rPr>
      </w:pPr>
      <w:r w:rsidRPr="00FE7A26">
        <w:rPr>
          <w:rFonts w:cs="Arial"/>
          <w:i/>
          <w:color w:val="000000"/>
          <w:lang w:eastAsia="ko-KR" w:bidi="he-IL"/>
        </w:rPr>
        <w:t xml:space="preserve">For </w:t>
      </w:r>
      <w:r w:rsidR="008A0182">
        <w:rPr>
          <w:rFonts w:cs="Arial"/>
          <w:i/>
          <w:color w:val="000000"/>
          <w:lang w:eastAsia="ko-KR" w:bidi="he-IL"/>
        </w:rPr>
        <w:t xml:space="preserve">all </w:t>
      </w:r>
      <w:r w:rsidR="00E8637D">
        <w:rPr>
          <w:rFonts w:cs="Arial"/>
          <w:i/>
          <w:color w:val="000000"/>
          <w:lang w:eastAsia="ko-KR" w:bidi="he-IL"/>
        </w:rPr>
        <w:t xml:space="preserve">FL </w:t>
      </w:r>
      <w:r w:rsidRPr="009D44F7">
        <w:rPr>
          <w:rFonts w:cs="Arial"/>
          <w:i/>
          <w:color w:val="000000"/>
          <w:lang w:eastAsia="ko-KR" w:bidi="he-IL"/>
        </w:rPr>
        <w:t>cycles</w:t>
      </w:r>
      <w:r w:rsidRPr="00FE7A26">
        <w:rPr>
          <w:rFonts w:cs="Arial"/>
          <w:i/>
          <w:color w:val="000000"/>
          <w:lang w:eastAsia="ko-KR" w:bidi="he-IL"/>
        </w:rPr>
        <w:t xml:space="preserve"> </w:t>
      </w:r>
      <w:r>
        <w:rPr>
          <w:rFonts w:cs="Arial"/>
          <w:i/>
          <w:color w:val="000000"/>
          <w:lang w:eastAsia="ko-KR" w:bidi="he-IL"/>
        </w:rPr>
        <w:t>and CLL cycles 2-6</w:t>
      </w:r>
    </w:p>
    <w:p w:rsidR="00FE7A26" w:rsidRDefault="00FE7A26" w:rsidP="00514921">
      <w:pPr>
        <w:pStyle w:val="TextTi12"/>
        <w:spacing w:after="0" w:line="240" w:lineRule="auto"/>
        <w:rPr>
          <w:rFonts w:cs="Arial"/>
          <w:color w:val="000000"/>
          <w:lang w:eastAsia="ko-KR" w:bidi="he-IL"/>
        </w:rPr>
      </w:pPr>
      <w:r>
        <w:rPr>
          <w:rFonts w:cs="Arial"/>
          <w:color w:val="000000"/>
          <w:lang w:eastAsia="ko-KR" w:bidi="he-IL"/>
        </w:rPr>
        <w:t xml:space="preserve">Withdraw the required amount of </w:t>
      </w:r>
      <w:r w:rsidR="00D7152B">
        <w:t>Gazyva</w:t>
      </w:r>
      <w:r>
        <w:rPr>
          <w:rFonts w:cs="Arial"/>
          <w:color w:val="000000"/>
          <w:lang w:eastAsia="ko-KR" w:bidi="he-IL"/>
        </w:rPr>
        <w:t xml:space="preserve"> liquid concentrate from the vial and dilute in a PVC or non-PVC polyolefin infusion bag containing the appropriate volume of sterile, non-pyrogenic 0.9% aqueous sodium chloride solution. Do not use dextrose-containing solutions</w:t>
      </w:r>
      <w:r w:rsidRPr="008A08AD">
        <w:rPr>
          <w:rFonts w:cs="Arial"/>
          <w:strike/>
          <w:color w:val="000000"/>
          <w:lang w:eastAsia="ko-KR" w:bidi="he-IL"/>
        </w:rPr>
        <w:t xml:space="preserve"> </w:t>
      </w:r>
      <w:r>
        <w:rPr>
          <w:rFonts w:cs="Arial"/>
          <w:color w:val="000000"/>
          <w:lang w:eastAsia="ko-KR" w:bidi="he-IL"/>
        </w:rPr>
        <w:t>or other diluents</w:t>
      </w:r>
      <w:r w:rsidRPr="00AC5E24">
        <w:rPr>
          <w:rFonts w:cs="Arial"/>
          <w:color w:val="000000"/>
          <w:lang w:eastAsia="ko-KR" w:bidi="he-IL"/>
        </w:rPr>
        <w:t xml:space="preserve"> (see </w:t>
      </w:r>
      <w:r w:rsidRPr="00AC5E24">
        <w:rPr>
          <w:rFonts w:cs="Arial"/>
          <w:i/>
          <w:color w:val="000000"/>
          <w:lang w:eastAsia="ko-KR" w:bidi="he-IL"/>
        </w:rPr>
        <w:t>Incompatibilities</w:t>
      </w:r>
      <w:r w:rsidRPr="00AC5E24">
        <w:rPr>
          <w:rFonts w:cs="Arial"/>
          <w:color w:val="000000"/>
          <w:lang w:eastAsia="ko-KR" w:bidi="he-IL"/>
        </w:rPr>
        <w:t>).</w:t>
      </w:r>
    </w:p>
    <w:p w:rsidR="00514921" w:rsidRDefault="00514921" w:rsidP="00514921">
      <w:pPr>
        <w:pStyle w:val="TextTi12"/>
        <w:spacing w:after="0" w:line="240" w:lineRule="auto"/>
        <w:rPr>
          <w:rFonts w:cs="Arial"/>
          <w:color w:val="000000"/>
          <w:lang w:eastAsia="ko-KR" w:bidi="he-IL"/>
        </w:rPr>
      </w:pPr>
    </w:p>
    <w:p w:rsidR="00FE7A26" w:rsidRPr="00FE7A26" w:rsidRDefault="00FE7A26" w:rsidP="00514921">
      <w:pPr>
        <w:pStyle w:val="TextTi12"/>
        <w:spacing w:after="0" w:line="240" w:lineRule="auto"/>
        <w:rPr>
          <w:rFonts w:cs="Arial"/>
          <w:i/>
          <w:color w:val="000000"/>
          <w:lang w:eastAsia="ko-KR" w:bidi="he-IL"/>
        </w:rPr>
      </w:pPr>
      <w:r>
        <w:rPr>
          <w:rFonts w:cs="Arial"/>
          <w:i/>
          <w:color w:val="000000"/>
          <w:lang w:eastAsia="ko-KR" w:bidi="he-IL"/>
        </w:rPr>
        <w:t>For CLL cycle 1, Day 1 only: P</w:t>
      </w:r>
      <w:r w:rsidRPr="00FE7A26">
        <w:rPr>
          <w:rFonts w:cs="Arial"/>
          <w:i/>
          <w:color w:val="000000"/>
          <w:lang w:eastAsia="ko-KR" w:bidi="he-IL"/>
        </w:rPr>
        <w:t>reparation of infusion bags for</w:t>
      </w:r>
      <w:r>
        <w:rPr>
          <w:rFonts w:cs="Arial"/>
          <w:i/>
          <w:color w:val="000000"/>
          <w:lang w:eastAsia="ko-KR" w:bidi="he-IL"/>
        </w:rPr>
        <w:t xml:space="preserve"> </w:t>
      </w:r>
      <w:r w:rsidRPr="00FE7A26">
        <w:rPr>
          <w:rFonts w:cs="Arial"/>
          <w:i/>
          <w:color w:val="000000"/>
          <w:lang w:eastAsia="ko-KR" w:bidi="he-IL"/>
        </w:rPr>
        <w:t>dose administered over 2 days</w:t>
      </w:r>
    </w:p>
    <w:p w:rsidR="004B50F8" w:rsidRDefault="001A4EA1" w:rsidP="00514921">
      <w:pPr>
        <w:pStyle w:val="TextTi12"/>
        <w:spacing w:after="0" w:line="240" w:lineRule="auto"/>
        <w:rPr>
          <w:rFonts w:cs="Arial"/>
          <w:color w:val="000000"/>
          <w:lang w:eastAsia="ko-KR" w:bidi="he-IL"/>
        </w:rPr>
      </w:pPr>
      <w:r>
        <w:rPr>
          <w:rFonts w:cs="Arial"/>
          <w:color w:val="000000"/>
          <w:lang w:eastAsia="ko-KR" w:bidi="he-IL"/>
        </w:rPr>
        <w:t xml:space="preserve">The table below provides guidance on the volume of </w:t>
      </w:r>
      <w:r w:rsidR="00D7152B">
        <w:t>Gazyva</w:t>
      </w:r>
      <w:r>
        <w:rPr>
          <w:rFonts w:cs="Arial"/>
          <w:color w:val="000000"/>
          <w:lang w:eastAsia="ko-KR" w:bidi="he-IL"/>
        </w:rPr>
        <w:t xml:space="preserve"> liquid concentrate to be diluted and the volume of </w:t>
      </w:r>
      <w:r w:rsidR="008A08AD">
        <w:rPr>
          <w:rFonts w:cs="Arial"/>
          <w:color w:val="000000"/>
          <w:lang w:eastAsia="ko-KR" w:bidi="he-IL"/>
        </w:rPr>
        <w:t xml:space="preserve">sterile </w:t>
      </w:r>
      <w:r>
        <w:rPr>
          <w:rFonts w:cs="Arial"/>
          <w:color w:val="000000"/>
          <w:lang w:eastAsia="ko-KR" w:bidi="he-IL"/>
        </w:rPr>
        <w:t xml:space="preserve">0.9% sodium chloride solution it is to be diluted in. </w:t>
      </w:r>
      <w:r w:rsidR="009E77C6">
        <w:rPr>
          <w:rFonts w:cs="Arial"/>
          <w:color w:val="000000"/>
          <w:lang w:eastAsia="ko-KR" w:bidi="he-IL"/>
        </w:rPr>
        <w:t xml:space="preserve">Withdraw the required amount of </w:t>
      </w:r>
      <w:r w:rsidR="00D7152B">
        <w:t>Gazyva</w:t>
      </w:r>
      <w:r w:rsidR="009E77C6">
        <w:rPr>
          <w:rFonts w:cs="Arial"/>
          <w:color w:val="000000"/>
          <w:lang w:eastAsia="ko-KR" w:bidi="he-IL"/>
        </w:rPr>
        <w:t xml:space="preserve"> liquid concentrate from the vial and dilute in </w:t>
      </w:r>
      <w:r w:rsidR="00D561D4">
        <w:rPr>
          <w:rFonts w:cs="Arial"/>
          <w:color w:val="000000"/>
          <w:lang w:eastAsia="ko-KR" w:bidi="he-IL"/>
        </w:rPr>
        <w:t xml:space="preserve">a </w:t>
      </w:r>
      <w:r w:rsidR="00E406A3">
        <w:rPr>
          <w:rFonts w:cs="Arial"/>
          <w:color w:val="000000"/>
          <w:lang w:eastAsia="ko-KR" w:bidi="he-IL"/>
        </w:rPr>
        <w:t>PVC or non-PVC polyolefin infusion bag containing</w:t>
      </w:r>
      <w:r w:rsidR="00D561D4">
        <w:rPr>
          <w:rFonts w:cs="Arial"/>
          <w:color w:val="000000"/>
          <w:lang w:eastAsia="ko-KR" w:bidi="he-IL"/>
        </w:rPr>
        <w:t xml:space="preserve"> </w:t>
      </w:r>
      <w:r w:rsidR="00075399">
        <w:rPr>
          <w:rFonts w:cs="Arial"/>
          <w:color w:val="000000"/>
          <w:lang w:eastAsia="ko-KR" w:bidi="he-IL"/>
        </w:rPr>
        <w:t>the appropriate volume of</w:t>
      </w:r>
      <w:r w:rsidR="009E77C6">
        <w:rPr>
          <w:rFonts w:cs="Arial"/>
          <w:color w:val="000000"/>
          <w:lang w:eastAsia="ko-KR" w:bidi="he-IL"/>
        </w:rPr>
        <w:t xml:space="preserve"> sterile</w:t>
      </w:r>
      <w:r>
        <w:rPr>
          <w:rFonts w:cs="Arial"/>
          <w:color w:val="000000"/>
          <w:lang w:eastAsia="ko-KR" w:bidi="he-IL"/>
        </w:rPr>
        <w:t>, non-pyrogenic</w:t>
      </w:r>
      <w:r w:rsidR="00ED1156">
        <w:rPr>
          <w:rFonts w:cs="Arial"/>
          <w:color w:val="000000"/>
          <w:lang w:eastAsia="ko-KR" w:bidi="he-IL"/>
        </w:rPr>
        <w:t xml:space="preserve"> 0.9% aqueous </w:t>
      </w:r>
      <w:r w:rsidR="009E77C6">
        <w:rPr>
          <w:rFonts w:cs="Arial"/>
          <w:color w:val="000000"/>
          <w:lang w:eastAsia="ko-KR" w:bidi="he-IL"/>
        </w:rPr>
        <w:t>sodium chloride solution.</w:t>
      </w:r>
      <w:r w:rsidR="00AC5E24">
        <w:rPr>
          <w:rFonts w:cs="Arial"/>
          <w:color w:val="000000"/>
          <w:lang w:eastAsia="ko-KR" w:bidi="he-IL"/>
        </w:rPr>
        <w:t xml:space="preserve"> </w:t>
      </w:r>
      <w:r>
        <w:rPr>
          <w:rFonts w:cs="Arial"/>
          <w:color w:val="000000"/>
          <w:lang w:eastAsia="ko-KR" w:bidi="he-IL"/>
        </w:rPr>
        <w:t xml:space="preserve">Do not use </w:t>
      </w:r>
      <w:r w:rsidR="008A08AD">
        <w:rPr>
          <w:rFonts w:cs="Arial"/>
          <w:color w:val="000000"/>
          <w:lang w:eastAsia="ko-KR" w:bidi="he-IL"/>
        </w:rPr>
        <w:t>dextrose-containing solutions</w:t>
      </w:r>
      <w:r w:rsidR="004B50F8" w:rsidRPr="008A08AD">
        <w:rPr>
          <w:rFonts w:cs="Arial"/>
          <w:strike/>
          <w:color w:val="000000"/>
          <w:lang w:eastAsia="ko-KR" w:bidi="he-IL"/>
        </w:rPr>
        <w:t xml:space="preserve"> </w:t>
      </w:r>
      <w:r>
        <w:rPr>
          <w:rFonts w:cs="Arial"/>
          <w:color w:val="000000"/>
          <w:lang w:eastAsia="ko-KR" w:bidi="he-IL"/>
        </w:rPr>
        <w:t>or other diluents</w:t>
      </w:r>
      <w:r w:rsidR="004B50F8" w:rsidRPr="00AC5E24">
        <w:rPr>
          <w:rFonts w:cs="Arial"/>
          <w:color w:val="000000"/>
          <w:lang w:eastAsia="ko-KR" w:bidi="he-IL"/>
        </w:rPr>
        <w:t xml:space="preserve"> (see </w:t>
      </w:r>
      <w:r w:rsidR="004B50F8" w:rsidRPr="00AC5E24">
        <w:rPr>
          <w:rFonts w:cs="Arial"/>
          <w:i/>
          <w:color w:val="000000"/>
          <w:lang w:eastAsia="ko-KR" w:bidi="he-IL"/>
        </w:rPr>
        <w:t>Incompatibilities</w:t>
      </w:r>
      <w:r w:rsidR="004B50F8" w:rsidRPr="00AC5E24">
        <w:rPr>
          <w:rFonts w:cs="Arial"/>
          <w:color w:val="000000"/>
          <w:lang w:eastAsia="ko-KR" w:bidi="he-IL"/>
        </w:rPr>
        <w:t>).</w:t>
      </w:r>
    </w:p>
    <w:p w:rsidR="001A4EA1" w:rsidRDefault="001A4EA1" w:rsidP="00514921">
      <w:pPr>
        <w:pStyle w:val="TextTi12"/>
        <w:spacing w:after="0" w:line="240" w:lineRule="auto"/>
        <w:rPr>
          <w:rFonts w:cs="Arial"/>
          <w:color w:val="000000"/>
          <w:lang w:eastAsia="ko-KR" w:bidi="he-IL"/>
        </w:rPr>
      </w:pPr>
    </w:p>
    <w:p w:rsidR="001A4EA1" w:rsidRDefault="001A4EA1" w:rsidP="00514921">
      <w:pPr>
        <w:pStyle w:val="TextTi12"/>
        <w:spacing w:after="0" w:line="240" w:lineRule="auto"/>
        <w:rPr>
          <w:rFonts w:cs="Arial"/>
          <w:color w:val="000000"/>
          <w:lang w:eastAsia="ko-KR" w:bidi="he-IL"/>
        </w:rPr>
      </w:pPr>
      <w:r w:rsidRPr="001A4EA1">
        <w:rPr>
          <w:rFonts w:cs="Arial"/>
          <w:color w:val="000000"/>
          <w:lang w:eastAsia="ko-KR" w:bidi="he-IL"/>
        </w:rPr>
        <w:t>To ensure differentiation of the two infusion bags for the initial 1000 mg dose, the recommendation is to utilise bags of different sizes to distinguish between the 100 mg dose for Cycle 1 Day 1 and the 900 mg dose for Cycle</w:t>
      </w:r>
      <w:r>
        <w:rPr>
          <w:rFonts w:cs="Arial"/>
          <w:color w:val="000000"/>
          <w:lang w:eastAsia="ko-KR" w:bidi="he-IL"/>
        </w:rPr>
        <w:t xml:space="preserve"> 1 Day 1 (continued) or Day 2. </w:t>
      </w:r>
      <w:r w:rsidRPr="001A4EA1">
        <w:rPr>
          <w:rFonts w:cs="Arial"/>
          <w:color w:val="000000"/>
          <w:lang w:eastAsia="ko-KR" w:bidi="he-IL"/>
        </w:rPr>
        <w:t xml:space="preserve">To prepare the 2 infusion bags, withdraw 40 mL of </w:t>
      </w:r>
      <w:r w:rsidR="00D7152B">
        <w:t>Gazyva</w:t>
      </w:r>
      <w:r w:rsidRPr="001A4EA1">
        <w:rPr>
          <w:rFonts w:cs="Arial"/>
          <w:color w:val="000000"/>
          <w:lang w:eastAsia="ko-KR" w:bidi="he-IL"/>
        </w:rPr>
        <w:t xml:space="preserve"> liquid concentrate from </w:t>
      </w:r>
      <w:r w:rsidR="00245295">
        <w:rPr>
          <w:rFonts w:cs="Arial"/>
          <w:color w:val="000000"/>
          <w:lang w:eastAsia="ko-KR" w:bidi="he-IL"/>
        </w:rPr>
        <w:t xml:space="preserve">the </w:t>
      </w:r>
      <w:r w:rsidRPr="001A4EA1">
        <w:rPr>
          <w:rFonts w:cs="Arial"/>
          <w:color w:val="000000"/>
          <w:lang w:eastAsia="ko-KR" w:bidi="he-IL"/>
        </w:rPr>
        <w:t>vial and dilute 4</w:t>
      </w:r>
      <w:r>
        <w:rPr>
          <w:rFonts w:cs="Arial"/>
          <w:color w:val="000000"/>
          <w:lang w:eastAsia="ko-KR" w:bidi="he-IL"/>
        </w:rPr>
        <w:t xml:space="preserve"> </w:t>
      </w:r>
      <w:r w:rsidRPr="001A4EA1">
        <w:rPr>
          <w:rFonts w:cs="Arial"/>
          <w:color w:val="000000"/>
          <w:lang w:eastAsia="ko-KR" w:bidi="he-IL"/>
        </w:rPr>
        <w:t>mL into a 100 mL infusion bag and the remaining 36</w:t>
      </w:r>
      <w:r>
        <w:rPr>
          <w:rFonts w:cs="Arial"/>
          <w:color w:val="000000"/>
          <w:lang w:eastAsia="ko-KR" w:bidi="he-IL"/>
        </w:rPr>
        <w:t xml:space="preserve"> </w:t>
      </w:r>
      <w:r w:rsidRPr="001A4EA1">
        <w:rPr>
          <w:rFonts w:cs="Arial"/>
          <w:color w:val="000000"/>
          <w:lang w:eastAsia="ko-KR" w:bidi="he-IL"/>
        </w:rPr>
        <w:t>mL in</w:t>
      </w:r>
      <w:r>
        <w:rPr>
          <w:rFonts w:cs="Arial"/>
          <w:color w:val="000000"/>
          <w:lang w:eastAsia="ko-KR" w:bidi="he-IL"/>
        </w:rPr>
        <w:t>to</w:t>
      </w:r>
      <w:r w:rsidRPr="001A4EA1">
        <w:rPr>
          <w:rFonts w:cs="Arial"/>
          <w:color w:val="000000"/>
          <w:lang w:eastAsia="ko-KR" w:bidi="he-IL"/>
        </w:rPr>
        <w:t xml:space="preserve"> a 250 mL PVC or non-PVC polyolefin infus</w:t>
      </w:r>
      <w:r>
        <w:rPr>
          <w:rFonts w:cs="Arial"/>
          <w:color w:val="000000"/>
          <w:lang w:eastAsia="ko-KR" w:bidi="he-IL"/>
        </w:rPr>
        <w:t>ion bag</w:t>
      </w:r>
      <w:r w:rsidRPr="001A4EA1">
        <w:rPr>
          <w:rFonts w:cs="Arial"/>
          <w:color w:val="000000"/>
          <w:lang w:eastAsia="ko-KR" w:bidi="he-IL"/>
        </w:rPr>
        <w:t xml:space="preserve"> containing sterile, non pyrogenic 0.9% aqueous sodium chloride solution. Clearly label each infusion bag.</w:t>
      </w:r>
    </w:p>
    <w:p w:rsidR="009C1F0F" w:rsidRDefault="009C1F0F" w:rsidP="00514921">
      <w:pPr>
        <w:pStyle w:val="TextTi12"/>
        <w:spacing w:after="0" w:line="240" w:lineRule="auto"/>
        <w:rPr>
          <w:rFonts w:cs="Arial"/>
          <w:color w:val="000000"/>
          <w:lang w:eastAsia="ko-KR" w:bidi="he-IL"/>
        </w:rPr>
      </w:pPr>
    </w:p>
    <w:p w:rsidR="00AC5E24" w:rsidRDefault="00ED1156" w:rsidP="00514921">
      <w:pPr>
        <w:pStyle w:val="TextTi12"/>
        <w:spacing w:after="0" w:line="240" w:lineRule="auto"/>
        <w:rPr>
          <w:rFonts w:cs="Arial"/>
          <w:color w:val="000000"/>
          <w:lang w:eastAsia="ko-KR" w:bidi="he-IL"/>
        </w:rPr>
      </w:pPr>
      <w:r>
        <w:rPr>
          <w:rFonts w:cs="Arial"/>
          <w:color w:val="000000"/>
          <w:lang w:eastAsia="ko-KR" w:bidi="he-IL"/>
        </w:rPr>
        <w:t>Each</w:t>
      </w:r>
      <w:r w:rsidR="004B50F8" w:rsidRPr="004B50F8">
        <w:rPr>
          <w:rFonts w:cs="Arial"/>
          <w:color w:val="000000"/>
          <w:lang w:eastAsia="ko-KR" w:bidi="he-IL"/>
        </w:rPr>
        <w:t xml:space="preserve"> bag should be gently inverted to mix the solu</w:t>
      </w:r>
      <w:r w:rsidR="004B50F8">
        <w:rPr>
          <w:rFonts w:cs="Arial"/>
          <w:color w:val="000000"/>
          <w:lang w:eastAsia="ko-KR" w:bidi="he-IL"/>
        </w:rPr>
        <w:t>tion in order to avoid foaming.</w:t>
      </w:r>
    </w:p>
    <w:p w:rsidR="00514921" w:rsidRDefault="00514921" w:rsidP="00514921">
      <w:pPr>
        <w:pStyle w:val="TextTi12"/>
        <w:spacing w:after="0" w:line="240" w:lineRule="auto"/>
        <w:rPr>
          <w:rFonts w:cs="Arial"/>
          <w:color w:val="000000"/>
          <w:lang w:eastAsia="ko-KR"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3447"/>
        <w:gridCol w:w="2952"/>
      </w:tblGrid>
      <w:tr w:rsidR="001A4EA1" w:rsidRPr="0038770B" w:rsidTr="001A4EA1">
        <w:tc>
          <w:tcPr>
            <w:tcW w:w="2888" w:type="dxa"/>
            <w:shd w:val="clear" w:color="auto" w:fill="auto"/>
            <w:vAlign w:val="center"/>
          </w:tcPr>
          <w:p w:rsidR="001A4EA1" w:rsidRPr="0038770B" w:rsidRDefault="001A4EA1" w:rsidP="00D7152B">
            <w:pPr>
              <w:pStyle w:val="TextTi12"/>
              <w:spacing w:before="40" w:after="40" w:line="240" w:lineRule="auto"/>
              <w:jc w:val="center"/>
              <w:rPr>
                <w:rFonts w:cs="Arial"/>
                <w:b/>
                <w:color w:val="000000"/>
                <w:sz w:val="22"/>
                <w:szCs w:val="22"/>
                <w:lang w:eastAsia="ko-KR" w:bidi="he-IL"/>
              </w:rPr>
            </w:pPr>
            <w:r w:rsidRPr="0038770B">
              <w:rPr>
                <w:rFonts w:cs="Arial"/>
                <w:b/>
                <w:color w:val="000000"/>
                <w:sz w:val="22"/>
                <w:szCs w:val="22"/>
                <w:lang w:eastAsia="ko-KR" w:bidi="he-IL"/>
              </w:rPr>
              <w:lastRenderedPageBreak/>
              <w:t xml:space="preserve">Dose of </w:t>
            </w:r>
            <w:r w:rsidR="00D7152B">
              <w:rPr>
                <w:rFonts w:cs="Arial"/>
                <w:b/>
                <w:color w:val="000000"/>
                <w:sz w:val="22"/>
                <w:szCs w:val="22"/>
                <w:lang w:eastAsia="ko-KR" w:bidi="he-IL"/>
              </w:rPr>
              <w:t>Gazyva</w:t>
            </w:r>
            <w:r w:rsidRPr="0038770B">
              <w:rPr>
                <w:rFonts w:cs="Arial"/>
                <w:b/>
                <w:color w:val="000000"/>
                <w:sz w:val="22"/>
                <w:szCs w:val="22"/>
                <w:lang w:eastAsia="ko-KR" w:bidi="he-IL"/>
              </w:rPr>
              <w:t xml:space="preserve"> to be administered</w:t>
            </w:r>
          </w:p>
        </w:tc>
        <w:tc>
          <w:tcPr>
            <w:tcW w:w="3447" w:type="dxa"/>
            <w:shd w:val="clear" w:color="auto" w:fill="auto"/>
            <w:vAlign w:val="center"/>
          </w:tcPr>
          <w:p w:rsidR="001A4EA1" w:rsidRPr="0038770B" w:rsidRDefault="001A4EA1" w:rsidP="00D7152B">
            <w:pPr>
              <w:pStyle w:val="TextTi12"/>
              <w:spacing w:before="40" w:after="40" w:line="240" w:lineRule="auto"/>
              <w:jc w:val="center"/>
              <w:rPr>
                <w:rFonts w:cs="Arial"/>
                <w:b/>
                <w:color w:val="000000"/>
                <w:sz w:val="22"/>
                <w:szCs w:val="22"/>
                <w:lang w:eastAsia="ko-KR" w:bidi="he-IL"/>
              </w:rPr>
            </w:pPr>
            <w:r w:rsidRPr="0038770B">
              <w:rPr>
                <w:rFonts w:cs="Arial"/>
                <w:b/>
                <w:color w:val="000000"/>
                <w:sz w:val="22"/>
                <w:szCs w:val="22"/>
                <w:lang w:eastAsia="ko-KR" w:bidi="he-IL"/>
              </w:rPr>
              <w:t xml:space="preserve">Required amount of </w:t>
            </w:r>
            <w:r w:rsidR="00D7152B">
              <w:rPr>
                <w:rFonts w:cs="Arial"/>
                <w:b/>
                <w:color w:val="000000"/>
                <w:sz w:val="22"/>
                <w:szCs w:val="22"/>
                <w:lang w:eastAsia="ko-KR" w:bidi="he-IL"/>
              </w:rPr>
              <w:t>Gazyva</w:t>
            </w:r>
            <w:r w:rsidRPr="0038770B">
              <w:rPr>
                <w:rFonts w:cs="Arial"/>
                <w:b/>
                <w:color w:val="000000"/>
                <w:sz w:val="22"/>
                <w:szCs w:val="22"/>
                <w:lang w:eastAsia="ko-KR" w:bidi="he-IL"/>
              </w:rPr>
              <w:t xml:space="preserve"> liquid concentrate</w:t>
            </w:r>
          </w:p>
        </w:tc>
        <w:tc>
          <w:tcPr>
            <w:tcW w:w="2952" w:type="dxa"/>
            <w:vAlign w:val="center"/>
          </w:tcPr>
          <w:p w:rsidR="001A4EA1" w:rsidRPr="0038770B" w:rsidRDefault="001A4EA1" w:rsidP="001A4EA1">
            <w:pPr>
              <w:pStyle w:val="TextTi12"/>
              <w:spacing w:before="40" w:after="40" w:line="240" w:lineRule="auto"/>
              <w:jc w:val="center"/>
              <w:rPr>
                <w:rFonts w:cs="Arial"/>
                <w:b/>
                <w:color w:val="000000"/>
                <w:sz w:val="22"/>
                <w:szCs w:val="22"/>
                <w:lang w:eastAsia="ko-KR" w:bidi="he-IL"/>
              </w:rPr>
            </w:pPr>
            <w:r>
              <w:rPr>
                <w:rFonts w:cs="Arial"/>
                <w:b/>
                <w:color w:val="000000"/>
                <w:sz w:val="22"/>
                <w:szCs w:val="22"/>
                <w:lang w:eastAsia="ko-KR" w:bidi="he-IL"/>
              </w:rPr>
              <w:t>Volume of PVC or non-PVC polyolefin infusion bag</w:t>
            </w:r>
          </w:p>
        </w:tc>
      </w:tr>
      <w:tr w:rsidR="001A4EA1" w:rsidRPr="0038770B" w:rsidTr="001A4EA1">
        <w:tc>
          <w:tcPr>
            <w:tcW w:w="2888" w:type="dxa"/>
            <w:shd w:val="clear" w:color="auto" w:fill="auto"/>
            <w:vAlign w:val="center"/>
          </w:tcPr>
          <w:p w:rsidR="001A4EA1" w:rsidRPr="0038770B" w:rsidRDefault="001A4EA1" w:rsidP="0038770B">
            <w:pPr>
              <w:pStyle w:val="TextTi12"/>
              <w:spacing w:before="40" w:after="40" w:line="240" w:lineRule="auto"/>
              <w:jc w:val="center"/>
              <w:rPr>
                <w:rFonts w:cs="Arial"/>
                <w:color w:val="000000"/>
                <w:sz w:val="22"/>
                <w:szCs w:val="22"/>
                <w:lang w:eastAsia="ko-KR" w:bidi="he-IL"/>
              </w:rPr>
            </w:pPr>
            <w:r w:rsidRPr="0038770B">
              <w:rPr>
                <w:rFonts w:cs="Arial"/>
                <w:color w:val="000000"/>
                <w:sz w:val="22"/>
                <w:szCs w:val="22"/>
                <w:lang w:eastAsia="ko-KR" w:bidi="he-IL"/>
              </w:rPr>
              <w:t>100 mg</w:t>
            </w:r>
          </w:p>
        </w:tc>
        <w:tc>
          <w:tcPr>
            <w:tcW w:w="3447" w:type="dxa"/>
            <w:shd w:val="clear" w:color="auto" w:fill="auto"/>
            <w:vAlign w:val="center"/>
          </w:tcPr>
          <w:p w:rsidR="001A4EA1" w:rsidRPr="0038770B" w:rsidRDefault="001A4EA1" w:rsidP="0038770B">
            <w:pPr>
              <w:pStyle w:val="TextTi12"/>
              <w:spacing w:before="40" w:after="40" w:line="240" w:lineRule="auto"/>
              <w:jc w:val="center"/>
              <w:rPr>
                <w:rFonts w:cs="Arial"/>
                <w:color w:val="000000"/>
                <w:sz w:val="22"/>
                <w:szCs w:val="22"/>
                <w:lang w:eastAsia="ko-KR" w:bidi="he-IL"/>
              </w:rPr>
            </w:pPr>
            <w:r w:rsidRPr="0038770B">
              <w:rPr>
                <w:rFonts w:cs="Arial"/>
                <w:color w:val="000000"/>
                <w:sz w:val="22"/>
                <w:szCs w:val="22"/>
                <w:lang w:eastAsia="ko-KR" w:bidi="he-IL"/>
              </w:rPr>
              <w:t>4 mL</w:t>
            </w:r>
          </w:p>
        </w:tc>
        <w:tc>
          <w:tcPr>
            <w:tcW w:w="2952" w:type="dxa"/>
            <w:vAlign w:val="center"/>
          </w:tcPr>
          <w:p w:rsidR="001A4EA1" w:rsidRPr="0038770B" w:rsidRDefault="001A4EA1" w:rsidP="001A4EA1">
            <w:pPr>
              <w:pStyle w:val="TextTi12"/>
              <w:spacing w:before="40" w:after="40" w:line="240" w:lineRule="auto"/>
              <w:jc w:val="center"/>
              <w:rPr>
                <w:rFonts w:cs="Arial"/>
                <w:color w:val="000000"/>
                <w:sz w:val="22"/>
                <w:szCs w:val="22"/>
                <w:lang w:eastAsia="ko-KR" w:bidi="he-IL"/>
              </w:rPr>
            </w:pPr>
            <w:r>
              <w:rPr>
                <w:rFonts w:cs="Arial"/>
                <w:color w:val="000000"/>
                <w:sz w:val="22"/>
                <w:szCs w:val="22"/>
                <w:lang w:eastAsia="ko-KR" w:bidi="he-IL"/>
              </w:rPr>
              <w:t>100 mL</w:t>
            </w:r>
          </w:p>
        </w:tc>
      </w:tr>
      <w:tr w:rsidR="001A4EA1" w:rsidRPr="0038770B" w:rsidTr="001A4EA1">
        <w:tc>
          <w:tcPr>
            <w:tcW w:w="2888" w:type="dxa"/>
            <w:shd w:val="clear" w:color="auto" w:fill="auto"/>
            <w:vAlign w:val="center"/>
          </w:tcPr>
          <w:p w:rsidR="001A4EA1" w:rsidRPr="0038770B" w:rsidRDefault="001A4EA1" w:rsidP="0038770B">
            <w:pPr>
              <w:pStyle w:val="TextTi12"/>
              <w:spacing w:before="40" w:after="40" w:line="240" w:lineRule="auto"/>
              <w:jc w:val="center"/>
              <w:rPr>
                <w:rFonts w:cs="Arial"/>
                <w:color w:val="000000"/>
                <w:sz w:val="22"/>
                <w:szCs w:val="22"/>
                <w:lang w:eastAsia="ko-KR" w:bidi="he-IL"/>
              </w:rPr>
            </w:pPr>
            <w:r w:rsidRPr="0038770B">
              <w:rPr>
                <w:rFonts w:cs="Arial"/>
                <w:color w:val="000000"/>
                <w:sz w:val="22"/>
                <w:szCs w:val="22"/>
                <w:lang w:eastAsia="ko-KR" w:bidi="he-IL"/>
              </w:rPr>
              <w:t>900 mg</w:t>
            </w:r>
          </w:p>
        </w:tc>
        <w:tc>
          <w:tcPr>
            <w:tcW w:w="3447" w:type="dxa"/>
            <w:shd w:val="clear" w:color="auto" w:fill="auto"/>
            <w:vAlign w:val="center"/>
          </w:tcPr>
          <w:p w:rsidR="001A4EA1" w:rsidRPr="0038770B" w:rsidRDefault="001A4EA1" w:rsidP="0038770B">
            <w:pPr>
              <w:pStyle w:val="TextTi12"/>
              <w:spacing w:before="40" w:after="40" w:line="240" w:lineRule="auto"/>
              <w:jc w:val="center"/>
              <w:rPr>
                <w:rFonts w:cs="Arial"/>
                <w:color w:val="000000"/>
                <w:sz w:val="22"/>
                <w:szCs w:val="22"/>
                <w:lang w:eastAsia="ko-KR" w:bidi="he-IL"/>
              </w:rPr>
            </w:pPr>
            <w:r w:rsidRPr="0038770B">
              <w:rPr>
                <w:rFonts w:cs="Arial"/>
                <w:color w:val="000000"/>
                <w:sz w:val="22"/>
                <w:szCs w:val="22"/>
                <w:lang w:eastAsia="ko-KR" w:bidi="he-IL"/>
              </w:rPr>
              <w:t>36 mL</w:t>
            </w:r>
          </w:p>
        </w:tc>
        <w:tc>
          <w:tcPr>
            <w:tcW w:w="2952" w:type="dxa"/>
            <w:vAlign w:val="center"/>
          </w:tcPr>
          <w:p w:rsidR="001A4EA1" w:rsidRPr="0038770B" w:rsidRDefault="001A4EA1" w:rsidP="001A4EA1">
            <w:pPr>
              <w:pStyle w:val="TextTi12"/>
              <w:spacing w:before="40" w:after="40" w:line="240" w:lineRule="auto"/>
              <w:jc w:val="center"/>
              <w:rPr>
                <w:rFonts w:cs="Arial"/>
                <w:color w:val="000000"/>
                <w:sz w:val="22"/>
                <w:szCs w:val="22"/>
                <w:lang w:eastAsia="ko-KR" w:bidi="he-IL"/>
              </w:rPr>
            </w:pPr>
            <w:r>
              <w:rPr>
                <w:rFonts w:cs="Arial"/>
                <w:color w:val="000000"/>
                <w:sz w:val="22"/>
                <w:szCs w:val="22"/>
                <w:lang w:eastAsia="ko-KR" w:bidi="he-IL"/>
              </w:rPr>
              <w:t>250 mL</w:t>
            </w:r>
          </w:p>
        </w:tc>
      </w:tr>
      <w:tr w:rsidR="001A4EA1" w:rsidRPr="0038770B" w:rsidTr="001A4EA1">
        <w:tc>
          <w:tcPr>
            <w:tcW w:w="2888" w:type="dxa"/>
            <w:shd w:val="clear" w:color="auto" w:fill="auto"/>
            <w:vAlign w:val="center"/>
          </w:tcPr>
          <w:p w:rsidR="001A4EA1" w:rsidRPr="0038770B" w:rsidRDefault="001A4EA1" w:rsidP="0038770B">
            <w:pPr>
              <w:pStyle w:val="TextTi12"/>
              <w:spacing w:before="40" w:after="40" w:line="240" w:lineRule="auto"/>
              <w:jc w:val="center"/>
              <w:rPr>
                <w:rFonts w:cs="Arial"/>
                <w:color w:val="000000"/>
                <w:sz w:val="22"/>
                <w:szCs w:val="22"/>
                <w:lang w:eastAsia="ko-KR" w:bidi="he-IL"/>
              </w:rPr>
            </w:pPr>
            <w:r w:rsidRPr="0038770B">
              <w:rPr>
                <w:rFonts w:cs="Arial"/>
                <w:color w:val="000000"/>
                <w:sz w:val="22"/>
                <w:szCs w:val="22"/>
                <w:lang w:eastAsia="ko-KR" w:bidi="he-IL"/>
              </w:rPr>
              <w:t>1000 mg</w:t>
            </w:r>
          </w:p>
        </w:tc>
        <w:tc>
          <w:tcPr>
            <w:tcW w:w="3447" w:type="dxa"/>
            <w:shd w:val="clear" w:color="auto" w:fill="auto"/>
            <w:vAlign w:val="center"/>
          </w:tcPr>
          <w:p w:rsidR="001A4EA1" w:rsidRPr="0038770B" w:rsidRDefault="001A4EA1" w:rsidP="0038770B">
            <w:pPr>
              <w:pStyle w:val="TextTi12"/>
              <w:spacing w:before="40" w:after="40" w:line="240" w:lineRule="auto"/>
              <w:jc w:val="center"/>
              <w:rPr>
                <w:rFonts w:cs="Arial"/>
                <w:color w:val="000000"/>
                <w:sz w:val="22"/>
                <w:szCs w:val="22"/>
                <w:lang w:eastAsia="ko-KR" w:bidi="he-IL"/>
              </w:rPr>
            </w:pPr>
            <w:r w:rsidRPr="0038770B">
              <w:rPr>
                <w:rFonts w:cs="Arial"/>
                <w:color w:val="000000"/>
                <w:sz w:val="22"/>
                <w:szCs w:val="22"/>
                <w:lang w:eastAsia="ko-KR" w:bidi="he-IL"/>
              </w:rPr>
              <w:t>40 mL</w:t>
            </w:r>
          </w:p>
        </w:tc>
        <w:tc>
          <w:tcPr>
            <w:tcW w:w="2952" w:type="dxa"/>
            <w:vAlign w:val="center"/>
          </w:tcPr>
          <w:p w:rsidR="001A4EA1" w:rsidRPr="0038770B" w:rsidRDefault="001A4EA1" w:rsidP="001A4EA1">
            <w:pPr>
              <w:pStyle w:val="TextTi12"/>
              <w:spacing w:before="40" w:after="40" w:line="240" w:lineRule="auto"/>
              <w:jc w:val="center"/>
              <w:rPr>
                <w:rFonts w:cs="Arial"/>
                <w:color w:val="000000"/>
                <w:sz w:val="22"/>
                <w:szCs w:val="22"/>
                <w:lang w:eastAsia="ko-KR" w:bidi="he-IL"/>
              </w:rPr>
            </w:pPr>
            <w:r>
              <w:rPr>
                <w:rFonts w:cs="Arial"/>
                <w:color w:val="000000"/>
                <w:sz w:val="22"/>
                <w:szCs w:val="22"/>
                <w:lang w:eastAsia="ko-KR" w:bidi="he-IL"/>
              </w:rPr>
              <w:t>250 mL</w:t>
            </w:r>
          </w:p>
        </w:tc>
      </w:tr>
    </w:tbl>
    <w:p w:rsidR="004B50F8" w:rsidRDefault="004B50F8" w:rsidP="004B50F8">
      <w:pPr>
        <w:pStyle w:val="TextTi12"/>
        <w:spacing w:after="0" w:line="240" w:lineRule="auto"/>
        <w:rPr>
          <w:rFonts w:cs="Arial"/>
          <w:color w:val="000000"/>
          <w:lang w:val="en-AU" w:eastAsia="ko-KR" w:bidi="he-IL"/>
        </w:rPr>
      </w:pPr>
    </w:p>
    <w:p w:rsidR="004B50F8" w:rsidRDefault="004B50F8" w:rsidP="00507D16">
      <w:pPr>
        <w:pStyle w:val="TextTi12"/>
        <w:spacing w:after="0" w:line="240" w:lineRule="auto"/>
        <w:rPr>
          <w:rFonts w:cs="Arial"/>
          <w:color w:val="000000"/>
          <w:lang w:eastAsia="ko-KR" w:bidi="he-IL"/>
        </w:rPr>
      </w:pPr>
      <w:r w:rsidRPr="004B50F8">
        <w:rPr>
          <w:rFonts w:cs="Arial"/>
          <w:color w:val="000000"/>
          <w:lang w:eastAsia="ko-KR" w:bidi="he-IL"/>
        </w:rPr>
        <w:t>Parenteral drug products should be inspected visually for particulates and discolouration prior to administration.</w:t>
      </w:r>
    </w:p>
    <w:p w:rsidR="00507D16" w:rsidRPr="004B50F8" w:rsidRDefault="00507D16" w:rsidP="00507D16">
      <w:pPr>
        <w:pStyle w:val="TextTi12"/>
        <w:spacing w:after="0" w:line="240" w:lineRule="auto"/>
        <w:rPr>
          <w:rFonts w:cs="Arial"/>
          <w:color w:val="000000"/>
          <w:lang w:eastAsia="ko-KR" w:bidi="he-IL"/>
        </w:rPr>
      </w:pPr>
    </w:p>
    <w:p w:rsidR="004B50F8" w:rsidRDefault="00D7152B" w:rsidP="004B50F8">
      <w:pPr>
        <w:pStyle w:val="TextTi12"/>
        <w:spacing w:line="280" w:lineRule="exact"/>
        <w:rPr>
          <w:rFonts w:cs="Arial"/>
          <w:color w:val="000000"/>
          <w:lang w:eastAsia="ko-KR" w:bidi="he-IL"/>
        </w:rPr>
      </w:pPr>
      <w:r>
        <w:t>Gazyva</w:t>
      </w:r>
      <w:r w:rsidR="004B50F8" w:rsidRPr="004B50F8">
        <w:rPr>
          <w:rFonts w:cs="Arial"/>
          <w:color w:val="000000"/>
          <w:lang w:eastAsia="ko-KR" w:bidi="he-IL"/>
        </w:rPr>
        <w:t xml:space="preserve"> is for single use in one patient only. Once the infusion is prepared it should be administered immediately (see </w:t>
      </w:r>
      <w:r w:rsidR="00507D16">
        <w:rPr>
          <w:rFonts w:cs="Arial"/>
          <w:color w:val="000000"/>
          <w:lang w:eastAsia="ko-KR" w:bidi="he-IL"/>
        </w:rPr>
        <w:t>PRESENTATION AND STORAGE CONDITIONS</w:t>
      </w:r>
      <w:r w:rsidR="004B50F8" w:rsidRPr="004B50F8">
        <w:rPr>
          <w:rFonts w:cs="Arial"/>
          <w:color w:val="000000"/>
          <w:lang w:eastAsia="ko-KR" w:bidi="he-IL"/>
        </w:rPr>
        <w:t>).</w:t>
      </w:r>
    </w:p>
    <w:p w:rsidR="003B3FC5" w:rsidRDefault="003B3FC5" w:rsidP="000B64CB">
      <w:pPr>
        <w:pStyle w:val="TextTi12"/>
        <w:spacing w:line="280" w:lineRule="exact"/>
        <w:rPr>
          <w:rFonts w:cs="Arial"/>
          <w:b/>
          <w:i/>
          <w:color w:val="000000"/>
          <w:lang w:eastAsia="ko-KR" w:bidi="he-IL"/>
        </w:rPr>
      </w:pPr>
      <w:r w:rsidRPr="003B3FC5">
        <w:rPr>
          <w:rFonts w:cs="Arial"/>
          <w:b/>
          <w:i/>
          <w:color w:val="000000"/>
          <w:lang w:eastAsia="ko-KR" w:bidi="he-IL"/>
        </w:rPr>
        <w:t>Incompatibilities</w:t>
      </w:r>
    </w:p>
    <w:p w:rsidR="00AB1FF1" w:rsidRDefault="00507D16" w:rsidP="00514921">
      <w:pPr>
        <w:pStyle w:val="TextTi12"/>
        <w:spacing w:after="0" w:line="240" w:lineRule="auto"/>
        <w:rPr>
          <w:rFonts w:cs="Arial"/>
          <w:color w:val="000000"/>
          <w:lang w:eastAsia="ko-KR" w:bidi="he-IL"/>
        </w:rPr>
      </w:pPr>
      <w:r w:rsidRPr="00507D16">
        <w:rPr>
          <w:rFonts w:cs="Arial"/>
          <w:color w:val="000000"/>
          <w:lang w:eastAsia="ko-KR" w:bidi="he-IL"/>
        </w:rPr>
        <w:t xml:space="preserve">No incompatibilities between </w:t>
      </w:r>
      <w:r w:rsidR="00D7152B">
        <w:t>Gazyva</w:t>
      </w:r>
      <w:r w:rsidRPr="00507D16">
        <w:rPr>
          <w:rFonts w:cs="Arial"/>
          <w:color w:val="000000"/>
          <w:lang w:eastAsia="ko-KR" w:bidi="he-IL"/>
        </w:rPr>
        <w:t xml:space="preserve"> and pol</w:t>
      </w:r>
      <w:r>
        <w:rPr>
          <w:rFonts w:cs="Arial"/>
          <w:color w:val="000000"/>
          <w:lang w:eastAsia="ko-KR" w:bidi="he-IL"/>
        </w:rPr>
        <w:t xml:space="preserve">yvinyl chloride, polyethylene, </w:t>
      </w:r>
      <w:r w:rsidRPr="00507D16">
        <w:rPr>
          <w:rFonts w:cs="Arial"/>
          <w:color w:val="000000"/>
          <w:lang w:eastAsia="ko-KR" w:bidi="he-IL"/>
        </w:rPr>
        <w:t>polypropylene</w:t>
      </w:r>
      <w:r>
        <w:rPr>
          <w:rFonts w:cs="Arial"/>
          <w:color w:val="000000"/>
          <w:lang w:eastAsia="ko-KR" w:bidi="he-IL"/>
        </w:rPr>
        <w:t xml:space="preserve"> or </w:t>
      </w:r>
      <w:r w:rsidRPr="00507D16">
        <w:rPr>
          <w:rFonts w:cs="Arial"/>
          <w:color w:val="000000"/>
          <w:lang w:eastAsia="ko-KR" w:bidi="he-IL"/>
        </w:rPr>
        <w:t>polyolefine bags</w:t>
      </w:r>
      <w:r>
        <w:rPr>
          <w:rFonts w:cs="Arial"/>
          <w:color w:val="000000"/>
          <w:lang w:eastAsia="ko-KR" w:bidi="he-IL"/>
        </w:rPr>
        <w:t xml:space="preserve">, </w:t>
      </w:r>
      <w:r w:rsidRPr="00507D16">
        <w:rPr>
          <w:rFonts w:cs="Arial"/>
          <w:color w:val="000000"/>
          <w:lang w:eastAsia="ko-KR" w:bidi="he-IL"/>
        </w:rPr>
        <w:t>polyvinyl</w:t>
      </w:r>
      <w:r>
        <w:rPr>
          <w:rFonts w:cs="Arial"/>
          <w:color w:val="000000"/>
          <w:lang w:eastAsia="ko-KR" w:bidi="he-IL"/>
        </w:rPr>
        <w:t xml:space="preserve"> chloride, polyurethane, or polyethylene</w:t>
      </w:r>
      <w:r w:rsidRPr="00507D16">
        <w:rPr>
          <w:rFonts w:cs="Arial"/>
          <w:color w:val="000000"/>
          <w:lang w:eastAsia="ko-KR" w:bidi="he-IL"/>
        </w:rPr>
        <w:t xml:space="preserve"> infusion sets</w:t>
      </w:r>
      <w:r>
        <w:rPr>
          <w:rFonts w:cs="Arial"/>
          <w:color w:val="000000"/>
          <w:lang w:eastAsia="ko-KR" w:bidi="he-IL"/>
        </w:rPr>
        <w:t>,</w:t>
      </w:r>
      <w:r w:rsidRPr="00507D16">
        <w:rPr>
          <w:rFonts w:cs="Arial"/>
          <w:color w:val="000000"/>
          <w:lang w:eastAsia="ko-KR" w:bidi="he-IL"/>
        </w:rPr>
        <w:t xml:space="preserve"> as well </w:t>
      </w:r>
      <w:r>
        <w:rPr>
          <w:rFonts w:cs="Arial"/>
          <w:color w:val="000000"/>
          <w:lang w:eastAsia="ko-KR" w:bidi="he-IL"/>
        </w:rPr>
        <w:t xml:space="preserve">as optional inline filters with </w:t>
      </w:r>
      <w:r w:rsidRPr="00507D16">
        <w:rPr>
          <w:rFonts w:cs="Arial"/>
          <w:color w:val="000000"/>
          <w:lang w:eastAsia="ko-KR" w:bidi="he-IL"/>
        </w:rPr>
        <w:t>product contact</w:t>
      </w:r>
      <w:r>
        <w:rPr>
          <w:rFonts w:cs="Arial"/>
          <w:color w:val="000000"/>
          <w:lang w:eastAsia="ko-KR" w:bidi="he-IL"/>
        </w:rPr>
        <w:t xml:space="preserve"> surfaces of polyethersulfon, a 3-way stopcock infusion aid </w:t>
      </w:r>
      <w:r w:rsidRPr="00507D16">
        <w:rPr>
          <w:rFonts w:cs="Arial"/>
          <w:color w:val="000000"/>
          <w:lang w:eastAsia="ko-KR" w:bidi="he-IL"/>
        </w:rPr>
        <w:t>ma</w:t>
      </w:r>
      <w:r>
        <w:rPr>
          <w:rFonts w:cs="Arial"/>
          <w:color w:val="000000"/>
          <w:lang w:eastAsia="ko-KR" w:bidi="he-IL"/>
        </w:rPr>
        <w:t xml:space="preserve">de from polycarbonate, and </w:t>
      </w:r>
      <w:r w:rsidRPr="00507D16">
        <w:rPr>
          <w:rFonts w:cs="Arial"/>
          <w:color w:val="000000"/>
          <w:lang w:eastAsia="ko-KR" w:bidi="he-IL"/>
        </w:rPr>
        <w:t>cathet</w:t>
      </w:r>
      <w:r>
        <w:rPr>
          <w:rFonts w:cs="Arial"/>
          <w:color w:val="000000"/>
          <w:lang w:eastAsia="ko-KR" w:bidi="he-IL"/>
        </w:rPr>
        <w:t>ers made from polyetherurethane</w:t>
      </w:r>
      <w:r w:rsidRPr="00507D16">
        <w:rPr>
          <w:rFonts w:cs="Arial"/>
          <w:color w:val="000000"/>
          <w:lang w:eastAsia="ko-KR" w:bidi="he-IL"/>
        </w:rPr>
        <w:t xml:space="preserve"> have been o</w:t>
      </w:r>
      <w:r>
        <w:rPr>
          <w:rFonts w:cs="Arial"/>
          <w:color w:val="000000"/>
          <w:lang w:eastAsia="ko-KR" w:bidi="he-IL"/>
        </w:rPr>
        <w:t xml:space="preserve">bserved in concentration ranges from 0.4 mg/mL to </w:t>
      </w:r>
      <w:r w:rsidRPr="00507D16">
        <w:rPr>
          <w:rFonts w:cs="Arial"/>
          <w:color w:val="000000"/>
          <w:lang w:eastAsia="ko-KR" w:bidi="he-IL"/>
        </w:rPr>
        <w:t xml:space="preserve">20.0 mg/mL after dilution of </w:t>
      </w:r>
      <w:r w:rsidR="00D7152B">
        <w:t>Gazyva</w:t>
      </w:r>
      <w:r w:rsidRPr="00507D16">
        <w:rPr>
          <w:rFonts w:cs="Arial"/>
          <w:color w:val="000000"/>
          <w:lang w:eastAsia="ko-KR" w:bidi="he-IL"/>
        </w:rPr>
        <w:t xml:space="preserve"> with 0.9% </w:t>
      </w:r>
      <w:r>
        <w:rPr>
          <w:rFonts w:cs="Arial"/>
          <w:color w:val="000000"/>
          <w:lang w:eastAsia="ko-KR" w:bidi="he-IL"/>
        </w:rPr>
        <w:t xml:space="preserve">sodium chloride. </w:t>
      </w:r>
    </w:p>
    <w:p w:rsidR="00514921" w:rsidRDefault="00514921" w:rsidP="00514921">
      <w:pPr>
        <w:pStyle w:val="TextTi12"/>
        <w:spacing w:after="0" w:line="240" w:lineRule="auto"/>
        <w:rPr>
          <w:rFonts w:cs="Arial"/>
          <w:color w:val="000000"/>
          <w:lang w:eastAsia="ko-KR" w:bidi="he-IL"/>
        </w:rPr>
      </w:pPr>
    </w:p>
    <w:p w:rsidR="003B3FC5" w:rsidRPr="00507D16" w:rsidRDefault="00507D16" w:rsidP="00507D16">
      <w:pPr>
        <w:pStyle w:val="TextTi12"/>
        <w:spacing w:after="0" w:line="240" w:lineRule="auto"/>
        <w:rPr>
          <w:rFonts w:cs="Arial"/>
          <w:color w:val="000000"/>
          <w:lang w:eastAsia="ko-KR" w:bidi="he-IL"/>
        </w:rPr>
      </w:pPr>
      <w:r>
        <w:rPr>
          <w:rFonts w:cs="Arial"/>
          <w:color w:val="000000"/>
          <w:lang w:eastAsia="ko-KR" w:bidi="he-IL"/>
        </w:rPr>
        <w:t xml:space="preserve">Diluted </w:t>
      </w:r>
      <w:r w:rsidRPr="00507D16">
        <w:rPr>
          <w:rFonts w:cs="Arial"/>
          <w:color w:val="000000"/>
          <w:lang w:eastAsia="ko-KR" w:bidi="he-IL"/>
        </w:rPr>
        <w:t xml:space="preserve">product </w:t>
      </w:r>
      <w:r>
        <w:rPr>
          <w:rFonts w:cs="Arial"/>
          <w:color w:val="000000"/>
          <w:lang w:eastAsia="ko-KR" w:bidi="he-IL"/>
        </w:rPr>
        <w:t xml:space="preserve">should not be shaken or frozen. </w:t>
      </w:r>
      <w:r w:rsidR="000906F8">
        <w:rPr>
          <w:rFonts w:cs="Arial"/>
          <w:color w:val="000000"/>
          <w:lang w:eastAsia="ko-KR" w:bidi="he-IL"/>
        </w:rPr>
        <w:t xml:space="preserve">Do not use other </w:t>
      </w:r>
      <w:r w:rsidR="00B9421F">
        <w:rPr>
          <w:rFonts w:cs="Arial"/>
          <w:color w:val="000000"/>
          <w:lang w:eastAsia="ko-KR" w:bidi="he-IL"/>
        </w:rPr>
        <w:t>diluents such as d</w:t>
      </w:r>
      <w:r>
        <w:rPr>
          <w:rFonts w:cs="Arial"/>
          <w:color w:val="000000"/>
          <w:lang w:eastAsia="ko-KR" w:bidi="he-IL"/>
        </w:rPr>
        <w:t xml:space="preserve">extrose (5%) </w:t>
      </w:r>
      <w:r w:rsidRPr="00507D16">
        <w:rPr>
          <w:rFonts w:cs="Arial"/>
          <w:color w:val="000000"/>
          <w:lang w:eastAsia="ko-KR" w:bidi="he-IL"/>
        </w:rPr>
        <w:t>soluti</w:t>
      </w:r>
      <w:r>
        <w:rPr>
          <w:rFonts w:cs="Arial"/>
          <w:color w:val="000000"/>
          <w:lang w:eastAsia="ko-KR" w:bidi="he-IL"/>
        </w:rPr>
        <w:t xml:space="preserve">on to dilute </w:t>
      </w:r>
      <w:r w:rsidR="00D7152B">
        <w:t>Gazyva</w:t>
      </w:r>
      <w:r w:rsidRPr="00507D16">
        <w:rPr>
          <w:rFonts w:cs="Arial"/>
          <w:color w:val="000000"/>
          <w:lang w:eastAsia="ko-KR" w:bidi="he-IL"/>
        </w:rPr>
        <w:t xml:space="preserve"> since </w:t>
      </w:r>
      <w:r w:rsidR="000906F8">
        <w:rPr>
          <w:rFonts w:cs="Arial"/>
          <w:color w:val="000000"/>
          <w:lang w:eastAsia="ko-KR" w:bidi="he-IL"/>
        </w:rPr>
        <w:t xml:space="preserve">their </w:t>
      </w:r>
      <w:r w:rsidRPr="00507D16">
        <w:rPr>
          <w:rFonts w:cs="Arial"/>
          <w:color w:val="000000"/>
          <w:lang w:eastAsia="ko-KR" w:bidi="he-IL"/>
        </w:rPr>
        <w:t>use has not been tested.</w:t>
      </w:r>
    </w:p>
    <w:p w:rsidR="00D844B2" w:rsidRDefault="00D844B2" w:rsidP="00615CBF">
      <w:pPr>
        <w:pStyle w:val="Heading1"/>
        <w:numPr>
          <w:ilvl w:val="0"/>
          <w:numId w:val="0"/>
        </w:numPr>
      </w:pPr>
      <w:r>
        <w:t>Overdosage</w:t>
      </w:r>
    </w:p>
    <w:p w:rsidR="000561FA" w:rsidRDefault="000561FA" w:rsidP="00514921">
      <w:r w:rsidRPr="000561FA">
        <w:t>No experience with overdosage is available from hum</w:t>
      </w:r>
      <w:r>
        <w:t xml:space="preserve">an clinical trials. In clinical trials with </w:t>
      </w:r>
      <w:r w:rsidR="00D7152B">
        <w:rPr>
          <w:lang w:val="en-US"/>
        </w:rPr>
        <w:t>Gazyva</w:t>
      </w:r>
      <w:r w:rsidRPr="000561FA">
        <w:t>, doses ranging from 50</w:t>
      </w:r>
      <w:r>
        <w:t xml:space="preserve"> mg up to and including 2000 mg per infusion have been </w:t>
      </w:r>
      <w:r w:rsidRPr="000561FA">
        <w:t>administered. The incidence and intensity of adve</w:t>
      </w:r>
      <w:r>
        <w:t xml:space="preserve">rse </w:t>
      </w:r>
      <w:r w:rsidRPr="000561FA">
        <w:t>reactions reported in these studies did not appear to be dose dependent.</w:t>
      </w:r>
      <w:r>
        <w:t xml:space="preserve"> Patients who experience overdose should have immediate interruption or reduction of their infusion and should be closely supervised. </w:t>
      </w:r>
      <w:r w:rsidR="00E60D17">
        <w:t xml:space="preserve">Patients should be closely monitored with regular </w:t>
      </w:r>
      <w:r>
        <w:t>blood cell count</w:t>
      </w:r>
      <w:r w:rsidR="00E60D17">
        <w:t>s,</w:t>
      </w:r>
      <w:r>
        <w:t xml:space="preserve"> and for increased risk of infections</w:t>
      </w:r>
      <w:r w:rsidR="00E60D17">
        <w:t>,</w:t>
      </w:r>
      <w:r>
        <w:t xml:space="preserve"> while B cell-depleted.</w:t>
      </w:r>
    </w:p>
    <w:p w:rsidR="00514921" w:rsidRDefault="00514921" w:rsidP="00514921"/>
    <w:p w:rsidR="000561FA" w:rsidRDefault="000561FA" w:rsidP="00514921">
      <w:r>
        <w:t>Treatment of overdose should consist of general supportive measures.</w:t>
      </w:r>
    </w:p>
    <w:p w:rsidR="00514921" w:rsidRDefault="00514921" w:rsidP="00514921"/>
    <w:p w:rsidR="000561FA" w:rsidRPr="000561FA" w:rsidRDefault="000561FA" w:rsidP="00514921">
      <w:r>
        <w:t>Contact the Poison Information Centre for advice on management of overdosage.</w:t>
      </w:r>
    </w:p>
    <w:p w:rsidR="00D844B2" w:rsidRDefault="00D844B2" w:rsidP="00615CBF">
      <w:pPr>
        <w:pStyle w:val="Heading1"/>
        <w:numPr>
          <w:ilvl w:val="0"/>
          <w:numId w:val="0"/>
        </w:numPr>
      </w:pPr>
      <w:r>
        <w:t>Presentation and storage conditions</w:t>
      </w:r>
    </w:p>
    <w:p w:rsidR="00597E09" w:rsidRDefault="00D7152B" w:rsidP="00093012">
      <w:r>
        <w:rPr>
          <w:lang w:val="en-US"/>
        </w:rPr>
        <w:t>Gazyva</w:t>
      </w:r>
      <w:r w:rsidR="008B7596">
        <w:t xml:space="preserve"> is a clear, colourless to slightly brownish liquid supplied as a single 1000</w:t>
      </w:r>
      <w:r w:rsidR="00D95864">
        <w:t xml:space="preserve"> </w:t>
      </w:r>
      <w:r w:rsidR="008B7596">
        <w:t>mg dose in a st</w:t>
      </w:r>
      <w:r w:rsidR="008C778E">
        <w:t>e</w:t>
      </w:r>
      <w:r w:rsidR="008B7596">
        <w:t>rile, preservative free, non-pyrogenic 50 mL glass vial</w:t>
      </w:r>
      <w:r w:rsidR="00AD574C">
        <w:t xml:space="preserve"> containing 40 mL</w:t>
      </w:r>
      <w:r w:rsidR="008A5C8F">
        <w:t xml:space="preserve"> </w:t>
      </w:r>
      <w:r w:rsidR="00AD574C">
        <w:t xml:space="preserve"> concentrate solution for infusion</w:t>
      </w:r>
      <w:r w:rsidR="008A5C8F">
        <w:t xml:space="preserve"> (25mg/mL)</w:t>
      </w:r>
      <w:r w:rsidR="00AD574C">
        <w:t>.</w:t>
      </w:r>
    </w:p>
    <w:p w:rsidR="00AD574C" w:rsidRDefault="00AD574C" w:rsidP="00093012"/>
    <w:p w:rsidR="00AD574C" w:rsidRPr="001669F8" w:rsidRDefault="00AD574C" w:rsidP="00093012">
      <w:pPr>
        <w:rPr>
          <w:b/>
        </w:rPr>
      </w:pPr>
      <w:r w:rsidRPr="001669F8">
        <w:rPr>
          <w:b/>
        </w:rPr>
        <w:t>Storage conditions</w:t>
      </w:r>
    </w:p>
    <w:p w:rsidR="001A1DBF" w:rsidRDefault="000F7903" w:rsidP="00093012">
      <w:r>
        <w:t>Store vial in a refrigerator at 2</w:t>
      </w:r>
      <w:r w:rsidR="00AD574C">
        <w:rPr>
          <w:rFonts w:ascii="Brush Script MT" w:hAnsi="Brush Script MT"/>
        </w:rPr>
        <w:t>°</w:t>
      </w:r>
      <w:r w:rsidR="00AD574C">
        <w:t>C</w:t>
      </w:r>
      <w:r w:rsidR="00E94CDE">
        <w:t xml:space="preserve"> - </w:t>
      </w:r>
      <w:r w:rsidR="00AD574C">
        <w:t>8</w:t>
      </w:r>
      <w:r w:rsidR="00AD574C">
        <w:rPr>
          <w:rFonts w:ascii="Brush Script MT" w:hAnsi="Brush Script MT"/>
        </w:rPr>
        <w:t>°</w:t>
      </w:r>
      <w:r w:rsidR="00AD574C">
        <w:t>C</w:t>
      </w:r>
      <w:r w:rsidR="00D95864">
        <w:t>. Keep vial in the outer carton in order to protect from light. Do not freeze. Do not shake. Do not use after the expiry date (EXP) shown on the pack.</w:t>
      </w:r>
    </w:p>
    <w:p w:rsidR="00747F51" w:rsidRDefault="00747F51" w:rsidP="00093012"/>
    <w:p w:rsidR="00747F51" w:rsidRDefault="00747F51" w:rsidP="00093012"/>
    <w:p w:rsidR="00747F51" w:rsidRDefault="00747F51" w:rsidP="00093012"/>
    <w:p w:rsidR="006E79C7" w:rsidRDefault="006E79C7" w:rsidP="00093012"/>
    <w:p w:rsidR="00AD574C" w:rsidRPr="001669F8" w:rsidRDefault="00AD574C" w:rsidP="00093012">
      <w:pPr>
        <w:rPr>
          <w:b/>
        </w:rPr>
      </w:pPr>
      <w:r w:rsidRPr="001669F8">
        <w:rPr>
          <w:b/>
        </w:rPr>
        <w:lastRenderedPageBreak/>
        <w:t>Shelf-life of reconstituted solution</w:t>
      </w:r>
    </w:p>
    <w:p w:rsidR="00827D1E" w:rsidRDefault="00D7152B" w:rsidP="00514921">
      <w:r>
        <w:rPr>
          <w:lang w:val="en-US"/>
        </w:rPr>
        <w:t>Gazyva</w:t>
      </w:r>
      <w:r w:rsidR="00E94CDE">
        <w:t xml:space="preserve"> does not contain any anti-microbial preservative; therefore, care must be taken to ensure the sterility of the prepared solution. Product is for single use in one patient only. Discard any residue.</w:t>
      </w:r>
    </w:p>
    <w:p w:rsidR="00514921" w:rsidRDefault="00514921" w:rsidP="00514921"/>
    <w:p w:rsidR="00E94CDE" w:rsidRDefault="00E94CDE" w:rsidP="00E94CDE">
      <w:r>
        <w:t xml:space="preserve">Physical and chemical stability of the prepared infusion solution of </w:t>
      </w:r>
      <w:r w:rsidR="00D7152B">
        <w:rPr>
          <w:lang w:val="en-US"/>
        </w:rPr>
        <w:t>Gazyva</w:t>
      </w:r>
      <w:r>
        <w:t xml:space="preserve"> has been demonstrated for 24 hours at 2°C - 8°C followed by 24 hours at ambient temperature (≤ 30°C) followed by an infusion taking no longer than 24 hours. To reduce microbiological hazard, the prepared infusion solution should be used immediately. If storage is necessary, hold at 2°C - 8°C for not more than 24 hours.</w:t>
      </w:r>
    </w:p>
    <w:p w:rsidR="00AD574C" w:rsidRDefault="00AD574C" w:rsidP="00AD574C"/>
    <w:p w:rsidR="00AD574C" w:rsidRPr="001A1DBF" w:rsidRDefault="00AD574C" w:rsidP="00AD574C">
      <w:pPr>
        <w:rPr>
          <w:b/>
          <w:i/>
        </w:rPr>
      </w:pPr>
      <w:r w:rsidRPr="001A1DBF">
        <w:rPr>
          <w:b/>
          <w:i/>
        </w:rPr>
        <w:t>Disposal of unused/expired medicines</w:t>
      </w:r>
    </w:p>
    <w:p w:rsidR="008C3A62" w:rsidRDefault="008C3A62" w:rsidP="008C3A62">
      <w:pPr>
        <w:jc w:val="left"/>
      </w:pPr>
      <w:r w:rsidRPr="008C3A62">
        <w:t>The release of medicines into the environment should be min</w:t>
      </w:r>
      <w:r>
        <w:t>imis</w:t>
      </w:r>
      <w:r w:rsidRPr="008C3A62">
        <w:t>ed. Medicines should not be disposed of via wastewater and disposal through household waste should be avoided. Unused or expired medicine should be returned to a pharmacy for disposal.</w:t>
      </w:r>
    </w:p>
    <w:p w:rsidR="00D10A22" w:rsidRDefault="00D10A22" w:rsidP="00615CBF">
      <w:pPr>
        <w:pStyle w:val="Heading1"/>
        <w:numPr>
          <w:ilvl w:val="0"/>
          <w:numId w:val="0"/>
        </w:numPr>
      </w:pPr>
      <w:r>
        <w:t>NAME AND ADDRESS OF THE SPONSOR</w:t>
      </w:r>
    </w:p>
    <w:p w:rsidR="00D844B2" w:rsidRPr="00074007" w:rsidRDefault="00D844B2" w:rsidP="00D844B2">
      <w:pPr>
        <w:keepNext/>
        <w:rPr>
          <w:color w:val="000000"/>
          <w:lang w:val="en-GB"/>
        </w:rPr>
      </w:pPr>
      <w:r w:rsidRPr="00074007">
        <w:rPr>
          <w:color w:val="000000"/>
          <w:lang w:val="en-GB"/>
        </w:rPr>
        <w:t>Roche Products Pty Limited</w:t>
      </w:r>
    </w:p>
    <w:p w:rsidR="00D844B2" w:rsidRPr="00074007" w:rsidRDefault="00D844B2" w:rsidP="00D844B2">
      <w:pPr>
        <w:keepNext/>
        <w:rPr>
          <w:color w:val="000000"/>
          <w:lang w:val="en-GB"/>
        </w:rPr>
      </w:pPr>
      <w:r w:rsidRPr="00074007">
        <w:rPr>
          <w:color w:val="000000"/>
          <w:lang w:val="en-GB"/>
        </w:rPr>
        <w:t>ABN 70 000 132 865</w:t>
      </w:r>
    </w:p>
    <w:p w:rsidR="00D844B2" w:rsidRPr="00074007" w:rsidRDefault="00D7152B" w:rsidP="00D844B2">
      <w:pPr>
        <w:keepNext/>
        <w:rPr>
          <w:color w:val="000000"/>
          <w:lang w:val="en-GB"/>
        </w:rPr>
      </w:pPr>
      <w:r>
        <w:rPr>
          <w:color w:val="000000"/>
          <w:lang w:val="en-GB"/>
        </w:rPr>
        <w:t>Level 8, 30-34 Hickson Road</w:t>
      </w:r>
    </w:p>
    <w:p w:rsidR="00D844B2" w:rsidRDefault="00D7152B" w:rsidP="00D844B2">
      <w:pPr>
        <w:keepNext/>
        <w:rPr>
          <w:color w:val="000000"/>
          <w:lang w:val="en-GB"/>
        </w:rPr>
      </w:pPr>
      <w:r>
        <w:rPr>
          <w:color w:val="000000"/>
          <w:lang w:val="en-GB"/>
        </w:rPr>
        <w:t>Sydney</w:t>
      </w:r>
      <w:r w:rsidR="00D844B2" w:rsidRPr="00074007">
        <w:rPr>
          <w:color w:val="000000"/>
          <w:lang w:val="en-GB"/>
        </w:rPr>
        <w:t xml:space="preserve">   NSW   20</w:t>
      </w:r>
      <w:r>
        <w:rPr>
          <w:color w:val="000000"/>
          <w:lang w:val="en-GB"/>
        </w:rPr>
        <w:t>00</w:t>
      </w:r>
    </w:p>
    <w:p w:rsidR="00D844B2" w:rsidRDefault="00D844B2" w:rsidP="00D844B2">
      <w:pPr>
        <w:keepNext/>
        <w:rPr>
          <w:color w:val="000000"/>
          <w:lang w:val="en-GB"/>
        </w:rPr>
      </w:pPr>
      <w:r>
        <w:rPr>
          <w:color w:val="000000"/>
          <w:lang w:val="en-GB"/>
        </w:rPr>
        <w:t>AUSTRALIA</w:t>
      </w:r>
    </w:p>
    <w:p w:rsidR="00D844B2" w:rsidRDefault="00D844B2" w:rsidP="00D844B2">
      <w:pPr>
        <w:keepNext/>
        <w:rPr>
          <w:color w:val="000000"/>
          <w:lang w:val="en-GB"/>
        </w:rPr>
      </w:pPr>
    </w:p>
    <w:p w:rsidR="00D844B2" w:rsidRDefault="00D844B2" w:rsidP="00D844B2">
      <w:pPr>
        <w:rPr>
          <w:color w:val="000000"/>
          <w:lang w:val="en-GB"/>
        </w:rPr>
      </w:pPr>
      <w:r>
        <w:rPr>
          <w:color w:val="000000"/>
          <w:lang w:val="en-GB"/>
        </w:rPr>
        <w:t>Customer enquiries: 1800 233 950</w:t>
      </w:r>
    </w:p>
    <w:p w:rsidR="00D844B2" w:rsidRDefault="00D844B2" w:rsidP="00615CBF">
      <w:pPr>
        <w:pStyle w:val="Heading1"/>
        <w:numPr>
          <w:ilvl w:val="0"/>
          <w:numId w:val="0"/>
        </w:numPr>
      </w:pPr>
      <w:r>
        <w:t>Poison Schedule of the medicine</w:t>
      </w:r>
    </w:p>
    <w:p w:rsidR="009B5E75" w:rsidRPr="00EE74B8" w:rsidRDefault="00AD574C" w:rsidP="009B5E75">
      <w:r>
        <w:t>Schedule 4. Prescription</w:t>
      </w:r>
      <w:r w:rsidR="009E77C6">
        <w:t xml:space="preserve"> </w:t>
      </w:r>
      <w:r>
        <w:t>Only Medicine</w:t>
      </w:r>
      <w:r w:rsidR="009E18BE">
        <w:t>.</w:t>
      </w:r>
    </w:p>
    <w:p w:rsidR="00D844B2" w:rsidRDefault="00D844B2" w:rsidP="00615CBF">
      <w:pPr>
        <w:pStyle w:val="Heading1"/>
        <w:numPr>
          <w:ilvl w:val="0"/>
          <w:numId w:val="0"/>
        </w:numPr>
      </w:pPr>
      <w:r>
        <w:t>Date of first inclusion in the Australian Register of Therapeutic Goods (the ARTG)</w:t>
      </w:r>
    </w:p>
    <w:p w:rsidR="00D844B2" w:rsidRDefault="003F6E3B" w:rsidP="00D844B2">
      <w:r>
        <w:t>15 May 2014</w:t>
      </w:r>
    </w:p>
    <w:p w:rsidR="009433FB" w:rsidRDefault="009433FB" w:rsidP="00615CBF">
      <w:pPr>
        <w:pStyle w:val="Heading1"/>
        <w:numPr>
          <w:ilvl w:val="0"/>
          <w:numId w:val="0"/>
        </w:numPr>
      </w:pPr>
      <w:r w:rsidRPr="00D33304">
        <w:t>DATE OF MOST RECENT AMENDMENT</w:t>
      </w:r>
    </w:p>
    <w:p w:rsidR="00B22C75" w:rsidRDefault="00B22C75" w:rsidP="00B22C75">
      <w:r>
        <w:t>7 December 2017</w:t>
      </w:r>
    </w:p>
    <w:p w:rsidR="009433FB" w:rsidRPr="009433FB" w:rsidRDefault="009433FB" w:rsidP="009433FB">
      <w:pPr>
        <w:rPr>
          <w:lang w:val="en-GB"/>
        </w:rPr>
      </w:pPr>
    </w:p>
    <w:sectPr w:rsidR="009433FB" w:rsidRPr="009433FB" w:rsidSect="004A60B2">
      <w:headerReference w:type="default" r:id="rId17"/>
      <w:footerReference w:type="default" r:id="rId18"/>
      <w:pgSz w:w="11907" w:h="16839"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626" w:rsidRDefault="00966626" w:rsidP="000471CA">
      <w:r>
        <w:separator/>
      </w:r>
    </w:p>
  </w:endnote>
  <w:endnote w:type="continuationSeparator" w:id="0">
    <w:p w:rsidR="00966626" w:rsidRDefault="00966626" w:rsidP="0004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
    <w:altName w:val="Times New Roman"/>
    <w:charset w:val="00"/>
    <w:family w:val="roman"/>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Imago">
    <w:altName w:val="Segoe UI"/>
    <w:charset w:val="00"/>
    <w:family w:val="auto"/>
    <w:pitch w:val="variable"/>
    <w:sig w:usb0="00000001" w:usb1="5000205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1E" w:rsidRDefault="00A42C1E" w:rsidP="00DA1628">
    <w:pPr>
      <w:pStyle w:val="Footer"/>
      <w:pBdr>
        <w:top w:val="single" w:sz="4" w:space="1" w:color="auto"/>
      </w:pBdr>
      <w:tabs>
        <w:tab w:val="clear" w:pos="4513"/>
        <w:tab w:val="clear" w:pos="9026"/>
        <w:tab w:val="right" w:pos="9072"/>
      </w:tabs>
      <w:rPr>
        <w:color w:val="000000"/>
        <w:sz w:val="16"/>
        <w:szCs w:val="16"/>
      </w:rPr>
    </w:pPr>
    <w:r>
      <w:rPr>
        <w:color w:val="000000"/>
        <w:sz w:val="16"/>
        <w:szCs w:val="16"/>
      </w:rPr>
      <w:t>G</w:t>
    </w:r>
    <w:r w:rsidR="00870096">
      <w:rPr>
        <w:color w:val="000000"/>
        <w:sz w:val="16"/>
        <w:szCs w:val="16"/>
      </w:rPr>
      <w:t>azyva</w:t>
    </w:r>
    <w:r w:rsidRPr="00DA1628">
      <w:rPr>
        <w:color w:val="000000"/>
        <w:sz w:val="16"/>
        <w:szCs w:val="16"/>
        <w:vertAlign w:val="superscript"/>
      </w:rPr>
      <w:sym w:font="Symbol" w:char="F0D2"/>
    </w:r>
    <w:r w:rsidRPr="00DA1628">
      <w:rPr>
        <w:color w:val="000000"/>
        <w:sz w:val="16"/>
        <w:szCs w:val="16"/>
      </w:rPr>
      <w:t xml:space="preserve"> PI </w:t>
    </w:r>
    <w:r w:rsidR="00771361">
      <w:rPr>
        <w:color w:val="000000"/>
        <w:sz w:val="16"/>
        <w:szCs w:val="16"/>
      </w:rPr>
      <w:t>17</w:t>
    </w:r>
    <w:r w:rsidR="00746A61">
      <w:rPr>
        <w:color w:val="000000"/>
        <w:sz w:val="16"/>
        <w:szCs w:val="16"/>
      </w:rPr>
      <w:t>10</w:t>
    </w:r>
    <w:r w:rsidR="007D25C3">
      <w:rPr>
        <w:color w:val="000000"/>
        <w:sz w:val="16"/>
        <w:szCs w:val="16"/>
      </w:rPr>
      <w:t>30</w:t>
    </w:r>
    <w:r>
      <w:rPr>
        <w:color w:val="000000"/>
        <w:sz w:val="16"/>
        <w:szCs w:val="16"/>
      </w:rPr>
      <w:tab/>
    </w:r>
    <w:r w:rsidRPr="00DA1628">
      <w:rPr>
        <w:color w:val="000000"/>
        <w:sz w:val="16"/>
        <w:szCs w:val="16"/>
      </w:rPr>
      <w:t xml:space="preserve"> </w:t>
    </w:r>
    <w:r w:rsidRPr="00DA1628">
      <w:rPr>
        <w:color w:val="000000"/>
        <w:sz w:val="16"/>
        <w:szCs w:val="16"/>
      </w:rPr>
      <w:fldChar w:fldCharType="begin"/>
    </w:r>
    <w:r w:rsidRPr="00DA1628">
      <w:rPr>
        <w:color w:val="000000"/>
        <w:sz w:val="16"/>
        <w:szCs w:val="16"/>
      </w:rPr>
      <w:instrText xml:space="preserve"> PAGE  \* Arabic  \* MERGEFORMAT </w:instrText>
    </w:r>
    <w:r w:rsidRPr="00DA1628">
      <w:rPr>
        <w:color w:val="000000"/>
        <w:sz w:val="16"/>
        <w:szCs w:val="16"/>
      </w:rPr>
      <w:fldChar w:fldCharType="separate"/>
    </w:r>
    <w:r w:rsidR="00F35F72">
      <w:rPr>
        <w:noProof/>
        <w:color w:val="000000"/>
        <w:sz w:val="16"/>
        <w:szCs w:val="16"/>
      </w:rPr>
      <w:t>29</w:t>
    </w:r>
    <w:r w:rsidRPr="00DA1628">
      <w:rPr>
        <w:color w:val="000000"/>
        <w:sz w:val="16"/>
        <w:szCs w:val="16"/>
      </w:rPr>
      <w:fldChar w:fldCharType="end"/>
    </w:r>
  </w:p>
  <w:p w:rsidR="00A42C1E" w:rsidRPr="00DA1628" w:rsidRDefault="00A42C1E" w:rsidP="00DA1628">
    <w:pPr>
      <w:pStyle w:val="Footer"/>
      <w:pBdr>
        <w:top w:val="single" w:sz="4" w:space="1" w:color="auto"/>
      </w:pBdr>
      <w:tabs>
        <w:tab w:val="clear" w:pos="4513"/>
        <w:tab w:val="clear" w:pos="9026"/>
        <w:tab w:val="right" w:pos="9072"/>
      </w:tabs>
      <w:jc w:val="lef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626" w:rsidRDefault="00966626" w:rsidP="000471CA">
      <w:r>
        <w:separator/>
      </w:r>
    </w:p>
  </w:footnote>
  <w:footnote w:type="continuationSeparator" w:id="0">
    <w:p w:rsidR="00966626" w:rsidRDefault="00966626" w:rsidP="00047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F35F72" w:rsidRPr="00610723" w:rsidTr="00073B1B">
      <w:tc>
        <w:tcPr>
          <w:tcW w:w="8720" w:type="dxa"/>
          <w:shd w:val="clear" w:color="auto" w:fill="E4F2E0"/>
        </w:tcPr>
        <w:p w:rsidR="00F35F72" w:rsidRPr="00610723" w:rsidRDefault="00F35F72" w:rsidP="00073B1B">
          <w:pPr>
            <w:pStyle w:val="Footer"/>
            <w:rPr>
              <w:b/>
              <w:sz w:val="20"/>
              <w:szCs w:val="20"/>
            </w:rPr>
          </w:pPr>
          <w:r w:rsidRPr="00610723">
            <w:rPr>
              <w:b/>
              <w:sz w:val="20"/>
              <w:szCs w:val="20"/>
            </w:rPr>
            <w:t xml:space="preserve">Attachment 1: Product information for AusPAR for </w:t>
          </w:r>
          <w:proofErr w:type="spellStart"/>
          <w:r w:rsidRPr="00610723">
            <w:rPr>
              <w:b/>
              <w:sz w:val="20"/>
              <w:szCs w:val="20"/>
            </w:rPr>
            <w:t>Gazyva</w:t>
          </w:r>
          <w:proofErr w:type="spellEnd"/>
          <w:r w:rsidRPr="00610723">
            <w:rPr>
              <w:b/>
              <w:sz w:val="20"/>
              <w:szCs w:val="20"/>
            </w:rPr>
            <w:t xml:space="preserve"> </w:t>
          </w:r>
          <w:proofErr w:type="spellStart"/>
          <w:r w:rsidRPr="00610723">
            <w:rPr>
              <w:b/>
              <w:sz w:val="20"/>
              <w:szCs w:val="20"/>
              <w:lang w:val="en-GB"/>
            </w:rPr>
            <w:t>obinutuzumab</w:t>
          </w:r>
          <w:proofErr w:type="spellEnd"/>
          <w:r w:rsidRPr="00610723">
            <w:rPr>
              <w:b/>
              <w:sz w:val="20"/>
              <w:szCs w:val="20"/>
              <w:lang w:val="en-GB"/>
            </w:rPr>
            <w:t xml:space="preserve"> Roche Products Pty Ltd</w:t>
          </w:r>
          <w:r w:rsidRPr="00610723">
            <w:rPr>
              <w:b/>
              <w:sz w:val="20"/>
              <w:szCs w:val="20"/>
            </w:rPr>
            <w:t xml:space="preserve"> </w:t>
          </w:r>
          <w:r w:rsidRPr="00610723">
            <w:rPr>
              <w:b/>
              <w:sz w:val="20"/>
              <w:szCs w:val="20"/>
              <w:lang w:val="en-GB"/>
            </w:rPr>
            <w:t xml:space="preserve">PM-2016-03149-1-4 </w:t>
          </w:r>
          <w:r w:rsidRPr="00610723">
            <w:rPr>
              <w:b/>
              <w:sz w:val="20"/>
              <w:szCs w:val="20"/>
            </w:rPr>
            <w:t>Final 2 May 2018 This Product information was approved at the time this AusPAR was published.</w:t>
          </w:r>
        </w:p>
      </w:tc>
    </w:tr>
  </w:tbl>
  <w:p w:rsidR="00A42C1E" w:rsidRPr="001504C9" w:rsidRDefault="00A42C1E" w:rsidP="001504C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33C"/>
    <w:multiLevelType w:val="hybridMultilevel"/>
    <w:tmpl w:val="65B2C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9F0578"/>
    <w:multiLevelType w:val="hybridMultilevel"/>
    <w:tmpl w:val="15944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75312"/>
    <w:multiLevelType w:val="hybridMultilevel"/>
    <w:tmpl w:val="AF92F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4E620A"/>
    <w:multiLevelType w:val="multilevel"/>
    <w:tmpl w:val="5FDA92AE"/>
    <w:lvl w:ilvl="0">
      <w:start w:val="1"/>
      <w:numFmt w:val="decimal"/>
      <w:pStyle w:val="Heading1"/>
      <w:lvlText w:val="%1."/>
      <w:lvlJc w:val="left"/>
      <w:pPr>
        <w:tabs>
          <w:tab w:val="num" w:pos="1411"/>
        </w:tabs>
        <w:ind w:left="1411" w:hanging="1411"/>
      </w:pPr>
    </w:lvl>
    <w:lvl w:ilvl="1">
      <w:start w:val="1"/>
      <w:numFmt w:val="decimal"/>
      <w:pStyle w:val="Heading2"/>
      <w:lvlText w:val="%1.%2"/>
      <w:lvlJc w:val="left"/>
      <w:pPr>
        <w:tabs>
          <w:tab w:val="num" w:pos="1411"/>
        </w:tabs>
        <w:ind w:left="1411" w:hanging="1411"/>
      </w:pPr>
    </w:lvl>
    <w:lvl w:ilvl="2">
      <w:start w:val="1"/>
      <w:numFmt w:val="decimal"/>
      <w:pStyle w:val="Heading3"/>
      <w:lvlText w:val="%1.%2.%3"/>
      <w:lvlJc w:val="left"/>
      <w:pPr>
        <w:tabs>
          <w:tab w:val="num" w:pos="1411"/>
        </w:tabs>
        <w:ind w:left="1411" w:hanging="1411"/>
      </w:pPr>
    </w:lvl>
    <w:lvl w:ilvl="3">
      <w:start w:val="1"/>
      <w:numFmt w:val="decimal"/>
      <w:pStyle w:val="Heading4"/>
      <w:lvlText w:val="%1.%2.%3.%4"/>
      <w:lvlJc w:val="left"/>
      <w:pPr>
        <w:tabs>
          <w:tab w:val="num" w:pos="1411"/>
        </w:tabs>
        <w:ind w:left="1411" w:hanging="1411"/>
      </w:pPr>
    </w:lvl>
    <w:lvl w:ilvl="4">
      <w:start w:val="1"/>
      <w:numFmt w:val="decimal"/>
      <w:pStyle w:val="Heading5"/>
      <w:lvlText w:val="%1.%2.%3.%4.%5"/>
      <w:lvlJc w:val="left"/>
      <w:pPr>
        <w:tabs>
          <w:tab w:val="num" w:pos="1411"/>
        </w:tabs>
        <w:ind w:left="1411" w:hanging="1411"/>
      </w:pPr>
    </w:lvl>
    <w:lvl w:ilvl="5">
      <w:start w:val="1"/>
      <w:numFmt w:val="decimal"/>
      <w:pStyle w:val="Heading6"/>
      <w:lvlText w:val="%1.%2.%3.%4.%5.%6"/>
      <w:lvlJc w:val="left"/>
      <w:pPr>
        <w:tabs>
          <w:tab w:val="num" w:pos="1411"/>
        </w:tabs>
        <w:ind w:left="1411" w:hanging="1411"/>
      </w:pPr>
    </w:lvl>
    <w:lvl w:ilvl="6">
      <w:start w:val="1"/>
      <w:numFmt w:val="decimal"/>
      <w:pStyle w:val="Heading7"/>
      <w:lvlText w:val="%1.%2.%3.%4.%5.%6.%7"/>
      <w:lvlJc w:val="left"/>
      <w:pPr>
        <w:tabs>
          <w:tab w:val="num" w:pos="1411"/>
        </w:tabs>
        <w:ind w:left="1411" w:hanging="1411"/>
      </w:pPr>
    </w:lvl>
    <w:lvl w:ilvl="7">
      <w:start w:val="1"/>
      <w:numFmt w:val="decimal"/>
      <w:pStyle w:val="Heading8"/>
      <w:lvlText w:val="%1.%2.%3.%4.%5.%6.%7.%8"/>
      <w:lvlJc w:val="left"/>
      <w:pPr>
        <w:tabs>
          <w:tab w:val="num" w:pos="1411"/>
        </w:tabs>
        <w:ind w:left="1411" w:hanging="1411"/>
      </w:pPr>
    </w:lvl>
    <w:lvl w:ilvl="8">
      <w:start w:val="1"/>
      <w:numFmt w:val="decimal"/>
      <w:pStyle w:val="Heading9"/>
      <w:lvlText w:val="%1.%2.%3.%4.%5.%6.%7.%8.%9"/>
      <w:lvlJc w:val="left"/>
      <w:pPr>
        <w:tabs>
          <w:tab w:val="num" w:pos="1411"/>
        </w:tabs>
        <w:ind w:left="1411" w:hanging="1411"/>
      </w:pPr>
    </w:lvl>
  </w:abstractNum>
  <w:abstractNum w:abstractNumId="4">
    <w:nsid w:val="10D02695"/>
    <w:multiLevelType w:val="hybridMultilevel"/>
    <w:tmpl w:val="C6D80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18A02F2"/>
    <w:multiLevelType w:val="hybridMultilevel"/>
    <w:tmpl w:val="2870DC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31759D"/>
    <w:multiLevelType w:val="hybridMultilevel"/>
    <w:tmpl w:val="39A28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9C67C3E"/>
    <w:multiLevelType w:val="hybridMultilevel"/>
    <w:tmpl w:val="CF6AB2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F70ADF"/>
    <w:multiLevelType w:val="hybridMultilevel"/>
    <w:tmpl w:val="C9928AB2"/>
    <w:lvl w:ilvl="0" w:tplc="B97A2034">
      <w:numFmt w:val="bullet"/>
      <w:lvlText w:val="-"/>
      <w:lvlJc w:val="left"/>
      <w:pPr>
        <w:ind w:left="720" w:hanging="360"/>
      </w:pPr>
      <w:rPr>
        <w:rFonts w:ascii="Times New Roman" w:eastAsia="PMingLiU"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0F0723"/>
    <w:multiLevelType w:val="hybridMultilevel"/>
    <w:tmpl w:val="0A748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3F617D"/>
    <w:multiLevelType w:val="hybridMultilevel"/>
    <w:tmpl w:val="8E26DF9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3F1092"/>
    <w:multiLevelType w:val="hybridMultilevel"/>
    <w:tmpl w:val="D1B8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634936"/>
    <w:multiLevelType w:val="hybridMultilevel"/>
    <w:tmpl w:val="AF6A0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5DA1D10"/>
    <w:multiLevelType w:val="hybridMultilevel"/>
    <w:tmpl w:val="3A682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A23065D"/>
    <w:multiLevelType w:val="hybridMultilevel"/>
    <w:tmpl w:val="BFE0A1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A17455"/>
    <w:multiLevelType w:val="multilevel"/>
    <w:tmpl w:val="7C9A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F433D1"/>
    <w:multiLevelType w:val="hybridMultilevel"/>
    <w:tmpl w:val="B2446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767E7A"/>
    <w:multiLevelType w:val="hybridMultilevel"/>
    <w:tmpl w:val="C8062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3F7F0B"/>
    <w:multiLevelType w:val="hybridMultilevel"/>
    <w:tmpl w:val="186A0B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88B4B31"/>
    <w:multiLevelType w:val="hybridMultilevel"/>
    <w:tmpl w:val="D6B46B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176C4C"/>
    <w:multiLevelType w:val="hybridMultilevel"/>
    <w:tmpl w:val="19147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98673C"/>
    <w:multiLevelType w:val="hybridMultilevel"/>
    <w:tmpl w:val="98B28E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2850546"/>
    <w:multiLevelType w:val="hybridMultilevel"/>
    <w:tmpl w:val="18747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51124AA"/>
    <w:multiLevelType w:val="hybridMultilevel"/>
    <w:tmpl w:val="BC580576"/>
    <w:lvl w:ilvl="0" w:tplc="D9CABD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C4557C"/>
    <w:multiLevelType w:val="hybridMultilevel"/>
    <w:tmpl w:val="575AA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79536DF"/>
    <w:multiLevelType w:val="hybridMultilevel"/>
    <w:tmpl w:val="407C34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989245C"/>
    <w:multiLevelType w:val="hybridMultilevel"/>
    <w:tmpl w:val="0A8282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99208EB"/>
    <w:multiLevelType w:val="hybridMultilevel"/>
    <w:tmpl w:val="820201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A4419D"/>
    <w:multiLevelType w:val="hybridMultilevel"/>
    <w:tmpl w:val="C1600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E3421C7"/>
    <w:multiLevelType w:val="hybridMultilevel"/>
    <w:tmpl w:val="13946F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BF79F6"/>
    <w:multiLevelType w:val="hybridMultilevel"/>
    <w:tmpl w:val="61D6C2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2C1342F"/>
    <w:multiLevelType w:val="hybridMultilevel"/>
    <w:tmpl w:val="49C0A7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5517558"/>
    <w:multiLevelType w:val="hybridMultilevel"/>
    <w:tmpl w:val="5A82A5A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D115B1A"/>
    <w:multiLevelType w:val="hybridMultilevel"/>
    <w:tmpl w:val="74EE6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D1857B0"/>
    <w:multiLevelType w:val="hybridMultilevel"/>
    <w:tmpl w:val="3CA4AB36"/>
    <w:lvl w:ilvl="0" w:tplc="CA34C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19"/>
  </w:num>
  <w:num w:numId="4">
    <w:abstractNumId w:val="14"/>
  </w:num>
  <w:num w:numId="5">
    <w:abstractNumId w:val="10"/>
  </w:num>
  <w:num w:numId="6">
    <w:abstractNumId w:val="23"/>
  </w:num>
  <w:num w:numId="7">
    <w:abstractNumId w:val="34"/>
  </w:num>
  <w:num w:numId="8">
    <w:abstractNumId w:val="0"/>
  </w:num>
  <w:num w:numId="9">
    <w:abstractNumId w:val="30"/>
  </w:num>
  <w:num w:numId="10">
    <w:abstractNumId w:val="9"/>
  </w:num>
  <w:num w:numId="11">
    <w:abstractNumId w:val="16"/>
  </w:num>
  <w:num w:numId="12">
    <w:abstractNumId w:val="8"/>
  </w:num>
  <w:num w:numId="13">
    <w:abstractNumId w:val="20"/>
  </w:num>
  <w:num w:numId="14">
    <w:abstractNumId w:val="32"/>
  </w:num>
  <w:num w:numId="15">
    <w:abstractNumId w:val="18"/>
  </w:num>
  <w:num w:numId="16">
    <w:abstractNumId w:val="26"/>
  </w:num>
  <w:num w:numId="17">
    <w:abstractNumId w:val="13"/>
  </w:num>
  <w:num w:numId="18">
    <w:abstractNumId w:val="6"/>
  </w:num>
  <w:num w:numId="19">
    <w:abstractNumId w:val="21"/>
  </w:num>
  <w:num w:numId="20">
    <w:abstractNumId w:val="31"/>
  </w:num>
  <w:num w:numId="21">
    <w:abstractNumId w:val="4"/>
  </w:num>
  <w:num w:numId="22">
    <w:abstractNumId w:val="12"/>
  </w:num>
  <w:num w:numId="23">
    <w:abstractNumId w:val="33"/>
  </w:num>
  <w:num w:numId="24">
    <w:abstractNumId w:val="22"/>
  </w:num>
  <w:num w:numId="25">
    <w:abstractNumId w:val="24"/>
  </w:num>
  <w:num w:numId="26">
    <w:abstractNumId w:val="25"/>
  </w:num>
  <w:num w:numId="27">
    <w:abstractNumId w:val="7"/>
  </w:num>
  <w:num w:numId="28">
    <w:abstractNumId w:val="17"/>
  </w:num>
  <w:num w:numId="29">
    <w:abstractNumId w:val="27"/>
  </w:num>
  <w:num w:numId="30">
    <w:abstractNumId w:val="15"/>
  </w:num>
  <w:num w:numId="31">
    <w:abstractNumId w:val="28"/>
  </w:num>
  <w:num w:numId="32">
    <w:abstractNumId w:val="2"/>
  </w:num>
  <w:num w:numId="33">
    <w:abstractNumId w:val="3"/>
  </w:num>
  <w:num w:numId="34">
    <w:abstractNumId w:val="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oNotHyphenateCaps/>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62"/>
    <w:rsid w:val="000029DA"/>
    <w:rsid w:val="0001024E"/>
    <w:rsid w:val="00011A06"/>
    <w:rsid w:val="00012550"/>
    <w:rsid w:val="00016089"/>
    <w:rsid w:val="00017F60"/>
    <w:rsid w:val="00020CFE"/>
    <w:rsid w:val="0002169E"/>
    <w:rsid w:val="00021D18"/>
    <w:rsid w:val="00022B28"/>
    <w:rsid w:val="00023DB6"/>
    <w:rsid w:val="000278A9"/>
    <w:rsid w:val="0003296C"/>
    <w:rsid w:val="0003515E"/>
    <w:rsid w:val="00045DA6"/>
    <w:rsid w:val="000471CA"/>
    <w:rsid w:val="000523CC"/>
    <w:rsid w:val="0005248E"/>
    <w:rsid w:val="00054AE8"/>
    <w:rsid w:val="000561FA"/>
    <w:rsid w:val="00056D4C"/>
    <w:rsid w:val="00060541"/>
    <w:rsid w:val="00065290"/>
    <w:rsid w:val="000745BC"/>
    <w:rsid w:val="000747E7"/>
    <w:rsid w:val="00075399"/>
    <w:rsid w:val="00076BE0"/>
    <w:rsid w:val="000813CE"/>
    <w:rsid w:val="000842F8"/>
    <w:rsid w:val="000906F8"/>
    <w:rsid w:val="00092632"/>
    <w:rsid w:val="00093012"/>
    <w:rsid w:val="000A12F5"/>
    <w:rsid w:val="000A6FEA"/>
    <w:rsid w:val="000B0150"/>
    <w:rsid w:val="000B118C"/>
    <w:rsid w:val="000B3114"/>
    <w:rsid w:val="000B4801"/>
    <w:rsid w:val="000B64CB"/>
    <w:rsid w:val="000B6914"/>
    <w:rsid w:val="000C3154"/>
    <w:rsid w:val="000C4787"/>
    <w:rsid w:val="000C53E9"/>
    <w:rsid w:val="000C70B7"/>
    <w:rsid w:val="000D2958"/>
    <w:rsid w:val="000D4136"/>
    <w:rsid w:val="000E4B9A"/>
    <w:rsid w:val="000E4C61"/>
    <w:rsid w:val="000E5941"/>
    <w:rsid w:val="000E59D6"/>
    <w:rsid w:val="000F7903"/>
    <w:rsid w:val="00101D4F"/>
    <w:rsid w:val="001065BB"/>
    <w:rsid w:val="00106975"/>
    <w:rsid w:val="0011064F"/>
    <w:rsid w:val="00120576"/>
    <w:rsid w:val="00122DD8"/>
    <w:rsid w:val="00133874"/>
    <w:rsid w:val="0013423E"/>
    <w:rsid w:val="00134841"/>
    <w:rsid w:val="001443F2"/>
    <w:rsid w:val="001449EE"/>
    <w:rsid w:val="001455F0"/>
    <w:rsid w:val="00145771"/>
    <w:rsid w:val="001467C3"/>
    <w:rsid w:val="001504C9"/>
    <w:rsid w:val="0015088D"/>
    <w:rsid w:val="00151C21"/>
    <w:rsid w:val="00152759"/>
    <w:rsid w:val="00153F8E"/>
    <w:rsid w:val="001562F5"/>
    <w:rsid w:val="00161D58"/>
    <w:rsid w:val="001637E5"/>
    <w:rsid w:val="00164855"/>
    <w:rsid w:val="001661C7"/>
    <w:rsid w:val="001669F8"/>
    <w:rsid w:val="00167F2B"/>
    <w:rsid w:val="0017215D"/>
    <w:rsid w:val="00173738"/>
    <w:rsid w:val="001748AB"/>
    <w:rsid w:val="00181AF0"/>
    <w:rsid w:val="00186F31"/>
    <w:rsid w:val="00191A2C"/>
    <w:rsid w:val="00195C63"/>
    <w:rsid w:val="0019693F"/>
    <w:rsid w:val="00196C7C"/>
    <w:rsid w:val="001A1DBF"/>
    <w:rsid w:val="001A4EA1"/>
    <w:rsid w:val="001A5A87"/>
    <w:rsid w:val="001A6236"/>
    <w:rsid w:val="001A63B3"/>
    <w:rsid w:val="001B6415"/>
    <w:rsid w:val="001B7B07"/>
    <w:rsid w:val="001B7E9B"/>
    <w:rsid w:val="001C00FE"/>
    <w:rsid w:val="001C077E"/>
    <w:rsid w:val="001C5087"/>
    <w:rsid w:val="001C606E"/>
    <w:rsid w:val="001C6188"/>
    <w:rsid w:val="001C7C17"/>
    <w:rsid w:val="001D2B69"/>
    <w:rsid w:val="001D3584"/>
    <w:rsid w:val="001D6C57"/>
    <w:rsid w:val="001E1A53"/>
    <w:rsid w:val="001E1A85"/>
    <w:rsid w:val="001E4FA6"/>
    <w:rsid w:val="001E5643"/>
    <w:rsid w:val="001E7491"/>
    <w:rsid w:val="001E75A8"/>
    <w:rsid w:val="001F1655"/>
    <w:rsid w:val="001F746C"/>
    <w:rsid w:val="00200719"/>
    <w:rsid w:val="00201F32"/>
    <w:rsid w:val="00202A1D"/>
    <w:rsid w:val="00204D70"/>
    <w:rsid w:val="00206DA4"/>
    <w:rsid w:val="00215A4C"/>
    <w:rsid w:val="00217798"/>
    <w:rsid w:val="00225211"/>
    <w:rsid w:val="0022769E"/>
    <w:rsid w:val="0024043C"/>
    <w:rsid w:val="00241723"/>
    <w:rsid w:val="00241ADA"/>
    <w:rsid w:val="002426B2"/>
    <w:rsid w:val="002435E5"/>
    <w:rsid w:val="00244B6B"/>
    <w:rsid w:val="00245295"/>
    <w:rsid w:val="00245BD5"/>
    <w:rsid w:val="00250CF5"/>
    <w:rsid w:val="00252426"/>
    <w:rsid w:val="00254841"/>
    <w:rsid w:val="0025565A"/>
    <w:rsid w:val="00260842"/>
    <w:rsid w:val="00272233"/>
    <w:rsid w:val="00274C1A"/>
    <w:rsid w:val="00280253"/>
    <w:rsid w:val="002812C0"/>
    <w:rsid w:val="002816AD"/>
    <w:rsid w:val="00282804"/>
    <w:rsid w:val="00284137"/>
    <w:rsid w:val="00286091"/>
    <w:rsid w:val="002862E1"/>
    <w:rsid w:val="00287E5A"/>
    <w:rsid w:val="00287F31"/>
    <w:rsid w:val="00287FCD"/>
    <w:rsid w:val="002929FB"/>
    <w:rsid w:val="0029540B"/>
    <w:rsid w:val="00297D3E"/>
    <w:rsid w:val="002A09CB"/>
    <w:rsid w:val="002A2823"/>
    <w:rsid w:val="002A6A20"/>
    <w:rsid w:val="002B1369"/>
    <w:rsid w:val="002B200A"/>
    <w:rsid w:val="002B55D9"/>
    <w:rsid w:val="002C7EA8"/>
    <w:rsid w:val="002D3994"/>
    <w:rsid w:val="002D3E36"/>
    <w:rsid w:val="002D7A9E"/>
    <w:rsid w:val="002E2608"/>
    <w:rsid w:val="002E38C7"/>
    <w:rsid w:val="002F0B58"/>
    <w:rsid w:val="002F0D00"/>
    <w:rsid w:val="002F19AA"/>
    <w:rsid w:val="002F2D41"/>
    <w:rsid w:val="002F2E23"/>
    <w:rsid w:val="002F42E0"/>
    <w:rsid w:val="00300D74"/>
    <w:rsid w:val="003014D6"/>
    <w:rsid w:val="00302157"/>
    <w:rsid w:val="003027CB"/>
    <w:rsid w:val="003053E9"/>
    <w:rsid w:val="003121E5"/>
    <w:rsid w:val="00312E44"/>
    <w:rsid w:val="00315586"/>
    <w:rsid w:val="003172E2"/>
    <w:rsid w:val="00321324"/>
    <w:rsid w:val="00321A17"/>
    <w:rsid w:val="00325103"/>
    <w:rsid w:val="003306B2"/>
    <w:rsid w:val="00331DB2"/>
    <w:rsid w:val="003355A6"/>
    <w:rsid w:val="003407E1"/>
    <w:rsid w:val="00342585"/>
    <w:rsid w:val="0034261C"/>
    <w:rsid w:val="003445CA"/>
    <w:rsid w:val="00344815"/>
    <w:rsid w:val="00350EFB"/>
    <w:rsid w:val="003515D4"/>
    <w:rsid w:val="00360A8C"/>
    <w:rsid w:val="00365283"/>
    <w:rsid w:val="0037167E"/>
    <w:rsid w:val="00374CF0"/>
    <w:rsid w:val="003756E1"/>
    <w:rsid w:val="00377A7E"/>
    <w:rsid w:val="00377E11"/>
    <w:rsid w:val="00383603"/>
    <w:rsid w:val="00385F31"/>
    <w:rsid w:val="003866EC"/>
    <w:rsid w:val="003868F0"/>
    <w:rsid w:val="0038770B"/>
    <w:rsid w:val="00393206"/>
    <w:rsid w:val="00393950"/>
    <w:rsid w:val="00394533"/>
    <w:rsid w:val="00394961"/>
    <w:rsid w:val="00395BD6"/>
    <w:rsid w:val="00397E16"/>
    <w:rsid w:val="003B356D"/>
    <w:rsid w:val="003B3FC5"/>
    <w:rsid w:val="003B57FD"/>
    <w:rsid w:val="003C036F"/>
    <w:rsid w:val="003C120F"/>
    <w:rsid w:val="003C34A0"/>
    <w:rsid w:val="003C47FC"/>
    <w:rsid w:val="003C5F42"/>
    <w:rsid w:val="003C7179"/>
    <w:rsid w:val="003C722C"/>
    <w:rsid w:val="003D1CB7"/>
    <w:rsid w:val="003D2EE7"/>
    <w:rsid w:val="003D33E2"/>
    <w:rsid w:val="003D6A60"/>
    <w:rsid w:val="003F03C8"/>
    <w:rsid w:val="003F3C82"/>
    <w:rsid w:val="003F6E3B"/>
    <w:rsid w:val="003F7DEC"/>
    <w:rsid w:val="00407032"/>
    <w:rsid w:val="004114E9"/>
    <w:rsid w:val="00414BFC"/>
    <w:rsid w:val="0041528A"/>
    <w:rsid w:val="00416B3F"/>
    <w:rsid w:val="00420636"/>
    <w:rsid w:val="00420EAB"/>
    <w:rsid w:val="00421F12"/>
    <w:rsid w:val="004222C8"/>
    <w:rsid w:val="00422C9A"/>
    <w:rsid w:val="0042408B"/>
    <w:rsid w:val="00426802"/>
    <w:rsid w:val="00431D19"/>
    <w:rsid w:val="004350F2"/>
    <w:rsid w:val="00435E13"/>
    <w:rsid w:val="004362B1"/>
    <w:rsid w:val="0043636E"/>
    <w:rsid w:val="00442259"/>
    <w:rsid w:val="00442730"/>
    <w:rsid w:val="00445D63"/>
    <w:rsid w:val="00446E22"/>
    <w:rsid w:val="0044709B"/>
    <w:rsid w:val="00453BB3"/>
    <w:rsid w:val="00460C08"/>
    <w:rsid w:val="00460D5F"/>
    <w:rsid w:val="00460DA2"/>
    <w:rsid w:val="004625A9"/>
    <w:rsid w:val="00467B41"/>
    <w:rsid w:val="0047057E"/>
    <w:rsid w:val="00475599"/>
    <w:rsid w:val="004804B2"/>
    <w:rsid w:val="004822F0"/>
    <w:rsid w:val="004860D5"/>
    <w:rsid w:val="004877F1"/>
    <w:rsid w:val="0048787A"/>
    <w:rsid w:val="00490681"/>
    <w:rsid w:val="004922C3"/>
    <w:rsid w:val="00494E5B"/>
    <w:rsid w:val="004975BD"/>
    <w:rsid w:val="004A02EB"/>
    <w:rsid w:val="004A2E15"/>
    <w:rsid w:val="004A4A8E"/>
    <w:rsid w:val="004A50DD"/>
    <w:rsid w:val="004A60B2"/>
    <w:rsid w:val="004A734A"/>
    <w:rsid w:val="004B0D91"/>
    <w:rsid w:val="004B1248"/>
    <w:rsid w:val="004B1AE0"/>
    <w:rsid w:val="004B50F8"/>
    <w:rsid w:val="004B7350"/>
    <w:rsid w:val="004C2048"/>
    <w:rsid w:val="004C37F4"/>
    <w:rsid w:val="004C5534"/>
    <w:rsid w:val="004D1244"/>
    <w:rsid w:val="004D7206"/>
    <w:rsid w:val="004D7AFC"/>
    <w:rsid w:val="004E11D7"/>
    <w:rsid w:val="004E399C"/>
    <w:rsid w:val="004E774B"/>
    <w:rsid w:val="004F0793"/>
    <w:rsid w:val="004F0D1D"/>
    <w:rsid w:val="004F2234"/>
    <w:rsid w:val="004F7577"/>
    <w:rsid w:val="0050483A"/>
    <w:rsid w:val="00504DD8"/>
    <w:rsid w:val="005071B6"/>
    <w:rsid w:val="00507D16"/>
    <w:rsid w:val="00511E93"/>
    <w:rsid w:val="005142D4"/>
    <w:rsid w:val="0051432E"/>
    <w:rsid w:val="00514921"/>
    <w:rsid w:val="0051687C"/>
    <w:rsid w:val="005178D1"/>
    <w:rsid w:val="00521490"/>
    <w:rsid w:val="00525982"/>
    <w:rsid w:val="00525B4D"/>
    <w:rsid w:val="00526BDF"/>
    <w:rsid w:val="00527372"/>
    <w:rsid w:val="00527668"/>
    <w:rsid w:val="00533F82"/>
    <w:rsid w:val="005376A1"/>
    <w:rsid w:val="0054020D"/>
    <w:rsid w:val="00542D32"/>
    <w:rsid w:val="005469A1"/>
    <w:rsid w:val="00547297"/>
    <w:rsid w:val="0055092B"/>
    <w:rsid w:val="0055462F"/>
    <w:rsid w:val="0055536F"/>
    <w:rsid w:val="00561047"/>
    <w:rsid w:val="005657AA"/>
    <w:rsid w:val="005658B4"/>
    <w:rsid w:val="0056741A"/>
    <w:rsid w:val="00567D6F"/>
    <w:rsid w:val="0057203C"/>
    <w:rsid w:val="005732F9"/>
    <w:rsid w:val="00575FB0"/>
    <w:rsid w:val="00577FE7"/>
    <w:rsid w:val="00580B71"/>
    <w:rsid w:val="00581C0E"/>
    <w:rsid w:val="00592D4B"/>
    <w:rsid w:val="005942FC"/>
    <w:rsid w:val="0059476A"/>
    <w:rsid w:val="005966D2"/>
    <w:rsid w:val="00597E09"/>
    <w:rsid w:val="005A3916"/>
    <w:rsid w:val="005A3B3C"/>
    <w:rsid w:val="005A4310"/>
    <w:rsid w:val="005A54C0"/>
    <w:rsid w:val="005B12A4"/>
    <w:rsid w:val="005B15B6"/>
    <w:rsid w:val="005B1A87"/>
    <w:rsid w:val="005B6021"/>
    <w:rsid w:val="005B6C2D"/>
    <w:rsid w:val="005B6F85"/>
    <w:rsid w:val="005B769C"/>
    <w:rsid w:val="005C3C1D"/>
    <w:rsid w:val="005C5183"/>
    <w:rsid w:val="005C57FB"/>
    <w:rsid w:val="005C6177"/>
    <w:rsid w:val="005C6394"/>
    <w:rsid w:val="005C6AC8"/>
    <w:rsid w:val="005D2BBA"/>
    <w:rsid w:val="005E047F"/>
    <w:rsid w:val="005E0903"/>
    <w:rsid w:val="005E2595"/>
    <w:rsid w:val="005E2851"/>
    <w:rsid w:val="005E4415"/>
    <w:rsid w:val="005E6539"/>
    <w:rsid w:val="005E6F08"/>
    <w:rsid w:val="005F0867"/>
    <w:rsid w:val="005F1549"/>
    <w:rsid w:val="005F43D1"/>
    <w:rsid w:val="005F7F62"/>
    <w:rsid w:val="006102F1"/>
    <w:rsid w:val="00610DBC"/>
    <w:rsid w:val="00613DB5"/>
    <w:rsid w:val="00614522"/>
    <w:rsid w:val="00615CBF"/>
    <w:rsid w:val="00616127"/>
    <w:rsid w:val="006256B2"/>
    <w:rsid w:val="0063106C"/>
    <w:rsid w:val="00631CFB"/>
    <w:rsid w:val="0063515D"/>
    <w:rsid w:val="00635C6C"/>
    <w:rsid w:val="00637425"/>
    <w:rsid w:val="006374AA"/>
    <w:rsid w:val="00642E1C"/>
    <w:rsid w:val="006435B1"/>
    <w:rsid w:val="006455FE"/>
    <w:rsid w:val="00646B7A"/>
    <w:rsid w:val="00653FCD"/>
    <w:rsid w:val="0066165C"/>
    <w:rsid w:val="00662E99"/>
    <w:rsid w:val="0066645C"/>
    <w:rsid w:val="00674A8E"/>
    <w:rsid w:val="00676ECC"/>
    <w:rsid w:val="006803CA"/>
    <w:rsid w:val="0068136B"/>
    <w:rsid w:val="006836DD"/>
    <w:rsid w:val="00683FFB"/>
    <w:rsid w:val="006845DB"/>
    <w:rsid w:val="006875BA"/>
    <w:rsid w:val="006908E7"/>
    <w:rsid w:val="006928E2"/>
    <w:rsid w:val="006932A6"/>
    <w:rsid w:val="00693394"/>
    <w:rsid w:val="00694722"/>
    <w:rsid w:val="00695099"/>
    <w:rsid w:val="006A1775"/>
    <w:rsid w:val="006A1ED9"/>
    <w:rsid w:val="006B3B70"/>
    <w:rsid w:val="006B5F53"/>
    <w:rsid w:val="006B6C9E"/>
    <w:rsid w:val="006C0E1A"/>
    <w:rsid w:val="006C60BB"/>
    <w:rsid w:val="006D07C2"/>
    <w:rsid w:val="006D1855"/>
    <w:rsid w:val="006D43A0"/>
    <w:rsid w:val="006D5E7A"/>
    <w:rsid w:val="006E108D"/>
    <w:rsid w:val="006E32D3"/>
    <w:rsid w:val="006E3631"/>
    <w:rsid w:val="006E6E01"/>
    <w:rsid w:val="006E79C7"/>
    <w:rsid w:val="006F06DF"/>
    <w:rsid w:val="006F3108"/>
    <w:rsid w:val="006F3DC4"/>
    <w:rsid w:val="006F56D0"/>
    <w:rsid w:val="00702634"/>
    <w:rsid w:val="0070780E"/>
    <w:rsid w:val="00710E72"/>
    <w:rsid w:val="007122C2"/>
    <w:rsid w:val="00712961"/>
    <w:rsid w:val="0071433F"/>
    <w:rsid w:val="00716AF1"/>
    <w:rsid w:val="00716E86"/>
    <w:rsid w:val="007172E2"/>
    <w:rsid w:val="00720925"/>
    <w:rsid w:val="0072134C"/>
    <w:rsid w:val="00730283"/>
    <w:rsid w:val="00731568"/>
    <w:rsid w:val="00733592"/>
    <w:rsid w:val="0073595E"/>
    <w:rsid w:val="00736027"/>
    <w:rsid w:val="00737315"/>
    <w:rsid w:val="00741FEF"/>
    <w:rsid w:val="00746A61"/>
    <w:rsid w:val="00747F51"/>
    <w:rsid w:val="00747FA2"/>
    <w:rsid w:val="007508EE"/>
    <w:rsid w:val="00752BE3"/>
    <w:rsid w:val="007545BF"/>
    <w:rsid w:val="00757057"/>
    <w:rsid w:val="007577C1"/>
    <w:rsid w:val="00760A93"/>
    <w:rsid w:val="007629A5"/>
    <w:rsid w:val="00763F61"/>
    <w:rsid w:val="007706E4"/>
    <w:rsid w:val="00771361"/>
    <w:rsid w:val="007715DF"/>
    <w:rsid w:val="0077457D"/>
    <w:rsid w:val="00780839"/>
    <w:rsid w:val="00780A35"/>
    <w:rsid w:val="00783465"/>
    <w:rsid w:val="007868BE"/>
    <w:rsid w:val="00791891"/>
    <w:rsid w:val="00794123"/>
    <w:rsid w:val="00797140"/>
    <w:rsid w:val="007A1A98"/>
    <w:rsid w:val="007A3F7C"/>
    <w:rsid w:val="007A5CDC"/>
    <w:rsid w:val="007A6128"/>
    <w:rsid w:val="007B1762"/>
    <w:rsid w:val="007B46D6"/>
    <w:rsid w:val="007C0B4A"/>
    <w:rsid w:val="007C29AE"/>
    <w:rsid w:val="007C4366"/>
    <w:rsid w:val="007D1A11"/>
    <w:rsid w:val="007D25C3"/>
    <w:rsid w:val="007D2ABB"/>
    <w:rsid w:val="007D3947"/>
    <w:rsid w:val="007D3987"/>
    <w:rsid w:val="007D448F"/>
    <w:rsid w:val="007D58DB"/>
    <w:rsid w:val="007D5A68"/>
    <w:rsid w:val="007D6537"/>
    <w:rsid w:val="007E0F79"/>
    <w:rsid w:val="007E2889"/>
    <w:rsid w:val="007E28AE"/>
    <w:rsid w:val="007E323A"/>
    <w:rsid w:val="007E4338"/>
    <w:rsid w:val="007F182E"/>
    <w:rsid w:val="007F311F"/>
    <w:rsid w:val="007F4902"/>
    <w:rsid w:val="007F554A"/>
    <w:rsid w:val="007F674F"/>
    <w:rsid w:val="007F6E9D"/>
    <w:rsid w:val="0080069C"/>
    <w:rsid w:val="00803EC6"/>
    <w:rsid w:val="008050BC"/>
    <w:rsid w:val="008126C7"/>
    <w:rsid w:val="00813D05"/>
    <w:rsid w:val="008155A3"/>
    <w:rsid w:val="00815E47"/>
    <w:rsid w:val="0081787B"/>
    <w:rsid w:val="008256D5"/>
    <w:rsid w:val="00826E4D"/>
    <w:rsid w:val="00827D1E"/>
    <w:rsid w:val="008308C6"/>
    <w:rsid w:val="00831183"/>
    <w:rsid w:val="0083340F"/>
    <w:rsid w:val="008340DA"/>
    <w:rsid w:val="00837FAE"/>
    <w:rsid w:val="00843391"/>
    <w:rsid w:val="00844BAC"/>
    <w:rsid w:val="00846667"/>
    <w:rsid w:val="008551BE"/>
    <w:rsid w:val="00861B43"/>
    <w:rsid w:val="008647FA"/>
    <w:rsid w:val="00866063"/>
    <w:rsid w:val="00870096"/>
    <w:rsid w:val="00870497"/>
    <w:rsid w:val="008706DE"/>
    <w:rsid w:val="00871BCD"/>
    <w:rsid w:val="00872A22"/>
    <w:rsid w:val="00872FD7"/>
    <w:rsid w:val="00875463"/>
    <w:rsid w:val="0087765A"/>
    <w:rsid w:val="008776BC"/>
    <w:rsid w:val="00882E30"/>
    <w:rsid w:val="00885743"/>
    <w:rsid w:val="008863CE"/>
    <w:rsid w:val="00886A5D"/>
    <w:rsid w:val="008873F6"/>
    <w:rsid w:val="008906E9"/>
    <w:rsid w:val="00891E1F"/>
    <w:rsid w:val="00891F34"/>
    <w:rsid w:val="008927E7"/>
    <w:rsid w:val="0089330C"/>
    <w:rsid w:val="00894D04"/>
    <w:rsid w:val="008A0182"/>
    <w:rsid w:val="008A08AD"/>
    <w:rsid w:val="008A1E5B"/>
    <w:rsid w:val="008A49E5"/>
    <w:rsid w:val="008A5C8F"/>
    <w:rsid w:val="008A6DAC"/>
    <w:rsid w:val="008B16F9"/>
    <w:rsid w:val="008B724C"/>
    <w:rsid w:val="008B7596"/>
    <w:rsid w:val="008C0E5B"/>
    <w:rsid w:val="008C32C3"/>
    <w:rsid w:val="008C3A62"/>
    <w:rsid w:val="008C4322"/>
    <w:rsid w:val="008C778E"/>
    <w:rsid w:val="008D0A24"/>
    <w:rsid w:val="008D3AD7"/>
    <w:rsid w:val="008D49A1"/>
    <w:rsid w:val="008D49C9"/>
    <w:rsid w:val="008D50F2"/>
    <w:rsid w:val="008D605B"/>
    <w:rsid w:val="008E0144"/>
    <w:rsid w:val="008E249D"/>
    <w:rsid w:val="008E5776"/>
    <w:rsid w:val="008E64DB"/>
    <w:rsid w:val="008E74A1"/>
    <w:rsid w:val="008E7520"/>
    <w:rsid w:val="008E7C7B"/>
    <w:rsid w:val="008F1ABA"/>
    <w:rsid w:val="008F536E"/>
    <w:rsid w:val="008F60E6"/>
    <w:rsid w:val="00903F4A"/>
    <w:rsid w:val="00910232"/>
    <w:rsid w:val="0091245E"/>
    <w:rsid w:val="00916A73"/>
    <w:rsid w:val="009174B2"/>
    <w:rsid w:val="00917ED8"/>
    <w:rsid w:val="00917FFC"/>
    <w:rsid w:val="0092736D"/>
    <w:rsid w:val="00936011"/>
    <w:rsid w:val="00936FC7"/>
    <w:rsid w:val="00941973"/>
    <w:rsid w:val="009427F1"/>
    <w:rsid w:val="009433FB"/>
    <w:rsid w:val="00944A4A"/>
    <w:rsid w:val="00945E31"/>
    <w:rsid w:val="00947570"/>
    <w:rsid w:val="00954701"/>
    <w:rsid w:val="0096309B"/>
    <w:rsid w:val="00963454"/>
    <w:rsid w:val="00966626"/>
    <w:rsid w:val="00966780"/>
    <w:rsid w:val="00966A3A"/>
    <w:rsid w:val="00971B7B"/>
    <w:rsid w:val="0097277C"/>
    <w:rsid w:val="009739C4"/>
    <w:rsid w:val="009741FC"/>
    <w:rsid w:val="009759BC"/>
    <w:rsid w:val="00980D66"/>
    <w:rsid w:val="00980E73"/>
    <w:rsid w:val="00990325"/>
    <w:rsid w:val="0099290D"/>
    <w:rsid w:val="00994159"/>
    <w:rsid w:val="00995653"/>
    <w:rsid w:val="00995C08"/>
    <w:rsid w:val="00995DE4"/>
    <w:rsid w:val="00997ACB"/>
    <w:rsid w:val="00997DC8"/>
    <w:rsid w:val="009A026C"/>
    <w:rsid w:val="009A1820"/>
    <w:rsid w:val="009A1A52"/>
    <w:rsid w:val="009A6BCB"/>
    <w:rsid w:val="009B0465"/>
    <w:rsid w:val="009B05F4"/>
    <w:rsid w:val="009B0F7D"/>
    <w:rsid w:val="009B5D72"/>
    <w:rsid w:val="009B5E75"/>
    <w:rsid w:val="009B77A9"/>
    <w:rsid w:val="009C044A"/>
    <w:rsid w:val="009C052B"/>
    <w:rsid w:val="009C1115"/>
    <w:rsid w:val="009C1F0F"/>
    <w:rsid w:val="009C2282"/>
    <w:rsid w:val="009C2650"/>
    <w:rsid w:val="009C53CD"/>
    <w:rsid w:val="009D44F7"/>
    <w:rsid w:val="009D7D72"/>
    <w:rsid w:val="009E11CF"/>
    <w:rsid w:val="009E18BE"/>
    <w:rsid w:val="009E393C"/>
    <w:rsid w:val="009E77C6"/>
    <w:rsid w:val="009F600F"/>
    <w:rsid w:val="00A0097B"/>
    <w:rsid w:val="00A0116D"/>
    <w:rsid w:val="00A01C63"/>
    <w:rsid w:val="00A07AB3"/>
    <w:rsid w:val="00A16F69"/>
    <w:rsid w:val="00A17683"/>
    <w:rsid w:val="00A27D62"/>
    <w:rsid w:val="00A30C2D"/>
    <w:rsid w:val="00A315B4"/>
    <w:rsid w:val="00A31A69"/>
    <w:rsid w:val="00A35B43"/>
    <w:rsid w:val="00A37482"/>
    <w:rsid w:val="00A4073A"/>
    <w:rsid w:val="00A42C1E"/>
    <w:rsid w:val="00A472F8"/>
    <w:rsid w:val="00A47726"/>
    <w:rsid w:val="00A5039D"/>
    <w:rsid w:val="00A53932"/>
    <w:rsid w:val="00A5449D"/>
    <w:rsid w:val="00A57EE8"/>
    <w:rsid w:val="00A60D85"/>
    <w:rsid w:val="00A60E5C"/>
    <w:rsid w:val="00A6121A"/>
    <w:rsid w:val="00A6146B"/>
    <w:rsid w:val="00A62FB2"/>
    <w:rsid w:val="00A6330F"/>
    <w:rsid w:val="00A67797"/>
    <w:rsid w:val="00A701DC"/>
    <w:rsid w:val="00A72BEF"/>
    <w:rsid w:val="00A72CF2"/>
    <w:rsid w:val="00A74D00"/>
    <w:rsid w:val="00A81D9B"/>
    <w:rsid w:val="00A83840"/>
    <w:rsid w:val="00A85141"/>
    <w:rsid w:val="00A8636E"/>
    <w:rsid w:val="00A87DB9"/>
    <w:rsid w:val="00A9049F"/>
    <w:rsid w:val="00A90FE1"/>
    <w:rsid w:val="00A93831"/>
    <w:rsid w:val="00A94D3F"/>
    <w:rsid w:val="00A97DBD"/>
    <w:rsid w:val="00AA0AFF"/>
    <w:rsid w:val="00AA1A3D"/>
    <w:rsid w:val="00AA2523"/>
    <w:rsid w:val="00AB1FF1"/>
    <w:rsid w:val="00AB581E"/>
    <w:rsid w:val="00AC1876"/>
    <w:rsid w:val="00AC43C9"/>
    <w:rsid w:val="00AC4BB8"/>
    <w:rsid w:val="00AC5E24"/>
    <w:rsid w:val="00AC724C"/>
    <w:rsid w:val="00AD1197"/>
    <w:rsid w:val="00AD1A21"/>
    <w:rsid w:val="00AD2E63"/>
    <w:rsid w:val="00AD3066"/>
    <w:rsid w:val="00AD52E8"/>
    <w:rsid w:val="00AD574C"/>
    <w:rsid w:val="00AD7D41"/>
    <w:rsid w:val="00AE478C"/>
    <w:rsid w:val="00AE5EA6"/>
    <w:rsid w:val="00AE74F3"/>
    <w:rsid w:val="00AF08CB"/>
    <w:rsid w:val="00AF3B7A"/>
    <w:rsid w:val="00AF4B3D"/>
    <w:rsid w:val="00AF5048"/>
    <w:rsid w:val="00AF5555"/>
    <w:rsid w:val="00AF6228"/>
    <w:rsid w:val="00AF6272"/>
    <w:rsid w:val="00AF6956"/>
    <w:rsid w:val="00B02C13"/>
    <w:rsid w:val="00B0730D"/>
    <w:rsid w:val="00B113C5"/>
    <w:rsid w:val="00B13F96"/>
    <w:rsid w:val="00B14860"/>
    <w:rsid w:val="00B14F16"/>
    <w:rsid w:val="00B1630E"/>
    <w:rsid w:val="00B22C75"/>
    <w:rsid w:val="00B24635"/>
    <w:rsid w:val="00B25E74"/>
    <w:rsid w:val="00B2760F"/>
    <w:rsid w:val="00B27878"/>
    <w:rsid w:val="00B31DDB"/>
    <w:rsid w:val="00B32330"/>
    <w:rsid w:val="00B472FB"/>
    <w:rsid w:val="00B474D9"/>
    <w:rsid w:val="00B47C45"/>
    <w:rsid w:val="00B506A4"/>
    <w:rsid w:val="00B6274D"/>
    <w:rsid w:val="00B629A9"/>
    <w:rsid w:val="00B66C0A"/>
    <w:rsid w:val="00B70AFA"/>
    <w:rsid w:val="00B74041"/>
    <w:rsid w:val="00B7664C"/>
    <w:rsid w:val="00B77622"/>
    <w:rsid w:val="00B80007"/>
    <w:rsid w:val="00B80A17"/>
    <w:rsid w:val="00B905D7"/>
    <w:rsid w:val="00B91377"/>
    <w:rsid w:val="00B93901"/>
    <w:rsid w:val="00B9421F"/>
    <w:rsid w:val="00B947C5"/>
    <w:rsid w:val="00B97EDE"/>
    <w:rsid w:val="00BA3183"/>
    <w:rsid w:val="00BA4FAC"/>
    <w:rsid w:val="00BB25EF"/>
    <w:rsid w:val="00BB392E"/>
    <w:rsid w:val="00BB46F5"/>
    <w:rsid w:val="00BB55E2"/>
    <w:rsid w:val="00BB7569"/>
    <w:rsid w:val="00BC08D8"/>
    <w:rsid w:val="00BE0264"/>
    <w:rsid w:val="00BE421F"/>
    <w:rsid w:val="00BE6433"/>
    <w:rsid w:val="00BE6C77"/>
    <w:rsid w:val="00BF13E4"/>
    <w:rsid w:val="00BF4ADE"/>
    <w:rsid w:val="00C03616"/>
    <w:rsid w:val="00C04C2D"/>
    <w:rsid w:val="00C10E0A"/>
    <w:rsid w:val="00C11534"/>
    <w:rsid w:val="00C134A8"/>
    <w:rsid w:val="00C1781D"/>
    <w:rsid w:val="00C20111"/>
    <w:rsid w:val="00C20B22"/>
    <w:rsid w:val="00C2153F"/>
    <w:rsid w:val="00C31F70"/>
    <w:rsid w:val="00C32127"/>
    <w:rsid w:val="00C35F8A"/>
    <w:rsid w:val="00C37050"/>
    <w:rsid w:val="00C4330E"/>
    <w:rsid w:val="00C44F3B"/>
    <w:rsid w:val="00C531B3"/>
    <w:rsid w:val="00C54945"/>
    <w:rsid w:val="00C55D21"/>
    <w:rsid w:val="00C601A7"/>
    <w:rsid w:val="00C61C8F"/>
    <w:rsid w:val="00C671A6"/>
    <w:rsid w:val="00C675D4"/>
    <w:rsid w:val="00C7198D"/>
    <w:rsid w:val="00C726C6"/>
    <w:rsid w:val="00C75250"/>
    <w:rsid w:val="00C8058E"/>
    <w:rsid w:val="00C8528C"/>
    <w:rsid w:val="00C8539B"/>
    <w:rsid w:val="00C85680"/>
    <w:rsid w:val="00C86661"/>
    <w:rsid w:val="00C87369"/>
    <w:rsid w:val="00C87F6D"/>
    <w:rsid w:val="00C90201"/>
    <w:rsid w:val="00C90C7C"/>
    <w:rsid w:val="00C9182B"/>
    <w:rsid w:val="00C956BC"/>
    <w:rsid w:val="00CA27B7"/>
    <w:rsid w:val="00CA658B"/>
    <w:rsid w:val="00CB6C24"/>
    <w:rsid w:val="00CC0242"/>
    <w:rsid w:val="00CC1008"/>
    <w:rsid w:val="00CC7069"/>
    <w:rsid w:val="00CC7781"/>
    <w:rsid w:val="00CD0D20"/>
    <w:rsid w:val="00CD1201"/>
    <w:rsid w:val="00CD302B"/>
    <w:rsid w:val="00CD3BB6"/>
    <w:rsid w:val="00CE1EC7"/>
    <w:rsid w:val="00CE3639"/>
    <w:rsid w:val="00CF3480"/>
    <w:rsid w:val="00CF39FE"/>
    <w:rsid w:val="00D0175E"/>
    <w:rsid w:val="00D01FDB"/>
    <w:rsid w:val="00D0271A"/>
    <w:rsid w:val="00D0326E"/>
    <w:rsid w:val="00D07E39"/>
    <w:rsid w:val="00D10A22"/>
    <w:rsid w:val="00D13781"/>
    <w:rsid w:val="00D13AE1"/>
    <w:rsid w:val="00D15341"/>
    <w:rsid w:val="00D160E0"/>
    <w:rsid w:val="00D177EE"/>
    <w:rsid w:val="00D25044"/>
    <w:rsid w:val="00D26BBB"/>
    <w:rsid w:val="00D27178"/>
    <w:rsid w:val="00D339D8"/>
    <w:rsid w:val="00D35844"/>
    <w:rsid w:val="00D35B44"/>
    <w:rsid w:val="00D441C4"/>
    <w:rsid w:val="00D445D1"/>
    <w:rsid w:val="00D5102A"/>
    <w:rsid w:val="00D51611"/>
    <w:rsid w:val="00D529AA"/>
    <w:rsid w:val="00D54059"/>
    <w:rsid w:val="00D5418A"/>
    <w:rsid w:val="00D561D4"/>
    <w:rsid w:val="00D56B86"/>
    <w:rsid w:val="00D61161"/>
    <w:rsid w:val="00D61302"/>
    <w:rsid w:val="00D65077"/>
    <w:rsid w:val="00D66164"/>
    <w:rsid w:val="00D7152B"/>
    <w:rsid w:val="00D72CA9"/>
    <w:rsid w:val="00D7441F"/>
    <w:rsid w:val="00D74AC0"/>
    <w:rsid w:val="00D77C6F"/>
    <w:rsid w:val="00D81795"/>
    <w:rsid w:val="00D826C8"/>
    <w:rsid w:val="00D8273E"/>
    <w:rsid w:val="00D844B2"/>
    <w:rsid w:val="00D84B6F"/>
    <w:rsid w:val="00D86BD8"/>
    <w:rsid w:val="00D957D0"/>
    <w:rsid w:val="00D95864"/>
    <w:rsid w:val="00D97E6E"/>
    <w:rsid w:val="00DA00B9"/>
    <w:rsid w:val="00DA0342"/>
    <w:rsid w:val="00DA1628"/>
    <w:rsid w:val="00DA2760"/>
    <w:rsid w:val="00DA3EAE"/>
    <w:rsid w:val="00DA4113"/>
    <w:rsid w:val="00DA7BB0"/>
    <w:rsid w:val="00DB6FE4"/>
    <w:rsid w:val="00DB7178"/>
    <w:rsid w:val="00DB7425"/>
    <w:rsid w:val="00DB745F"/>
    <w:rsid w:val="00DC2205"/>
    <w:rsid w:val="00DC260E"/>
    <w:rsid w:val="00DC3890"/>
    <w:rsid w:val="00DC551D"/>
    <w:rsid w:val="00DC5D19"/>
    <w:rsid w:val="00DC61D2"/>
    <w:rsid w:val="00DD684E"/>
    <w:rsid w:val="00DE0E3C"/>
    <w:rsid w:val="00DE5B99"/>
    <w:rsid w:val="00DF189B"/>
    <w:rsid w:val="00DF24DC"/>
    <w:rsid w:val="00DF2BC7"/>
    <w:rsid w:val="00DF3B17"/>
    <w:rsid w:val="00DF49DE"/>
    <w:rsid w:val="00DF5802"/>
    <w:rsid w:val="00DF69F7"/>
    <w:rsid w:val="00DF70C9"/>
    <w:rsid w:val="00E027C8"/>
    <w:rsid w:val="00E02B4D"/>
    <w:rsid w:val="00E036B8"/>
    <w:rsid w:val="00E13CF2"/>
    <w:rsid w:val="00E13D03"/>
    <w:rsid w:val="00E1411C"/>
    <w:rsid w:val="00E144EA"/>
    <w:rsid w:val="00E166A0"/>
    <w:rsid w:val="00E219FC"/>
    <w:rsid w:val="00E21CD1"/>
    <w:rsid w:val="00E24F52"/>
    <w:rsid w:val="00E306EB"/>
    <w:rsid w:val="00E312BE"/>
    <w:rsid w:val="00E32702"/>
    <w:rsid w:val="00E32F68"/>
    <w:rsid w:val="00E3430E"/>
    <w:rsid w:val="00E37D9B"/>
    <w:rsid w:val="00E406A3"/>
    <w:rsid w:val="00E42FF8"/>
    <w:rsid w:val="00E44832"/>
    <w:rsid w:val="00E50427"/>
    <w:rsid w:val="00E558C7"/>
    <w:rsid w:val="00E5671A"/>
    <w:rsid w:val="00E60759"/>
    <w:rsid w:val="00E60D17"/>
    <w:rsid w:val="00E61D79"/>
    <w:rsid w:val="00E6367B"/>
    <w:rsid w:val="00E664D7"/>
    <w:rsid w:val="00E711D8"/>
    <w:rsid w:val="00E719F9"/>
    <w:rsid w:val="00E71CB0"/>
    <w:rsid w:val="00E75AB5"/>
    <w:rsid w:val="00E8384A"/>
    <w:rsid w:val="00E8452A"/>
    <w:rsid w:val="00E860FA"/>
    <w:rsid w:val="00E8637D"/>
    <w:rsid w:val="00E87D50"/>
    <w:rsid w:val="00E90DF3"/>
    <w:rsid w:val="00E94CDE"/>
    <w:rsid w:val="00E959D3"/>
    <w:rsid w:val="00E97B6B"/>
    <w:rsid w:val="00EA34D0"/>
    <w:rsid w:val="00EA3CD9"/>
    <w:rsid w:val="00EA4912"/>
    <w:rsid w:val="00EA647D"/>
    <w:rsid w:val="00EB2613"/>
    <w:rsid w:val="00EB4C25"/>
    <w:rsid w:val="00EB7273"/>
    <w:rsid w:val="00EB75BA"/>
    <w:rsid w:val="00EC0127"/>
    <w:rsid w:val="00EC6A7D"/>
    <w:rsid w:val="00ED0303"/>
    <w:rsid w:val="00ED0BEB"/>
    <w:rsid w:val="00ED1156"/>
    <w:rsid w:val="00ED60E6"/>
    <w:rsid w:val="00ED68A3"/>
    <w:rsid w:val="00ED6A89"/>
    <w:rsid w:val="00ED6B5F"/>
    <w:rsid w:val="00ED75BE"/>
    <w:rsid w:val="00EE12D2"/>
    <w:rsid w:val="00EE607E"/>
    <w:rsid w:val="00EF0FC2"/>
    <w:rsid w:val="00EF44E1"/>
    <w:rsid w:val="00F010B9"/>
    <w:rsid w:val="00F01FAA"/>
    <w:rsid w:val="00F02376"/>
    <w:rsid w:val="00F03BF3"/>
    <w:rsid w:val="00F067A6"/>
    <w:rsid w:val="00F068A0"/>
    <w:rsid w:val="00F10D0D"/>
    <w:rsid w:val="00F13C7E"/>
    <w:rsid w:val="00F252E7"/>
    <w:rsid w:val="00F30D53"/>
    <w:rsid w:val="00F34288"/>
    <w:rsid w:val="00F35F72"/>
    <w:rsid w:val="00F40BA5"/>
    <w:rsid w:val="00F42704"/>
    <w:rsid w:val="00F50DFA"/>
    <w:rsid w:val="00F5180A"/>
    <w:rsid w:val="00F530D3"/>
    <w:rsid w:val="00F555DB"/>
    <w:rsid w:val="00F638AD"/>
    <w:rsid w:val="00F64EEE"/>
    <w:rsid w:val="00F72B00"/>
    <w:rsid w:val="00F7455C"/>
    <w:rsid w:val="00F74A44"/>
    <w:rsid w:val="00F82652"/>
    <w:rsid w:val="00F82C7A"/>
    <w:rsid w:val="00F83429"/>
    <w:rsid w:val="00F83A85"/>
    <w:rsid w:val="00F90FA6"/>
    <w:rsid w:val="00F9138F"/>
    <w:rsid w:val="00F94269"/>
    <w:rsid w:val="00F951E5"/>
    <w:rsid w:val="00F960F8"/>
    <w:rsid w:val="00F971D5"/>
    <w:rsid w:val="00FA743C"/>
    <w:rsid w:val="00FB59A6"/>
    <w:rsid w:val="00FB7D20"/>
    <w:rsid w:val="00FC0B3F"/>
    <w:rsid w:val="00FC1CB0"/>
    <w:rsid w:val="00FC238E"/>
    <w:rsid w:val="00FC2ACC"/>
    <w:rsid w:val="00FC47B7"/>
    <w:rsid w:val="00FD428B"/>
    <w:rsid w:val="00FD4651"/>
    <w:rsid w:val="00FD505F"/>
    <w:rsid w:val="00FD52E2"/>
    <w:rsid w:val="00FD7A5B"/>
    <w:rsid w:val="00FE4128"/>
    <w:rsid w:val="00FE5714"/>
    <w:rsid w:val="00FE7A26"/>
    <w:rsid w:val="00FF262E"/>
    <w:rsid w:val="00FF33F9"/>
    <w:rsid w:val="00FF440B"/>
    <w:rsid w:val="00FF468A"/>
    <w:rsid w:val="00FF525D"/>
    <w:rsid w:val="00FF6AA5"/>
    <w:rsid w:val="00FF79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173738"/>
    <w:pPr>
      <w:jc w:val="both"/>
    </w:pPr>
    <w:rPr>
      <w:rFonts w:ascii="Times New Roman" w:hAnsi="Times New Roman"/>
      <w:sz w:val="24"/>
      <w:szCs w:val="22"/>
      <w:lang w:eastAsia="zh-TW"/>
    </w:rPr>
  </w:style>
  <w:style w:type="paragraph" w:styleId="Heading1">
    <w:name w:val="heading 1"/>
    <w:next w:val="Normal"/>
    <w:link w:val="Heading1Char"/>
    <w:uiPriority w:val="9"/>
    <w:qFormat/>
    <w:rsid w:val="00B22C75"/>
    <w:pPr>
      <w:numPr>
        <w:numId w:val="33"/>
      </w:numPr>
      <w:spacing w:before="360" w:after="60"/>
      <w:outlineLvl w:val="0"/>
    </w:pPr>
    <w:rPr>
      <w:rFonts w:ascii="Times New Roman Bold" w:hAnsi="Times New Roman Bold"/>
      <w:b/>
      <w:bCs/>
      <w:caps/>
      <w:sz w:val="26"/>
      <w:szCs w:val="26"/>
      <w:lang w:val="en-GB" w:eastAsia="zh-TW"/>
    </w:rPr>
  </w:style>
  <w:style w:type="paragraph" w:styleId="Heading2">
    <w:name w:val="heading 2"/>
    <w:next w:val="Normal"/>
    <w:link w:val="Heading2Char"/>
    <w:uiPriority w:val="9"/>
    <w:unhideWhenUsed/>
    <w:qFormat/>
    <w:rsid w:val="00B22C75"/>
    <w:pPr>
      <w:numPr>
        <w:ilvl w:val="1"/>
        <w:numId w:val="33"/>
      </w:numPr>
      <w:spacing w:before="240" w:after="120"/>
      <w:outlineLvl w:val="1"/>
    </w:pPr>
    <w:rPr>
      <w:rFonts w:ascii="Times New Roman Bold" w:hAnsi="Times New Roman Bold"/>
      <w:b/>
      <w:bCs/>
      <w:i/>
      <w:sz w:val="24"/>
      <w:szCs w:val="22"/>
      <w:lang w:eastAsia="zh-TW"/>
    </w:rPr>
  </w:style>
  <w:style w:type="paragraph" w:styleId="Heading3">
    <w:name w:val="heading 3"/>
    <w:basedOn w:val="Normal"/>
    <w:next w:val="Normal"/>
    <w:link w:val="Heading3Char"/>
    <w:uiPriority w:val="9"/>
    <w:unhideWhenUsed/>
    <w:qFormat/>
    <w:rsid w:val="00B22C75"/>
    <w:pPr>
      <w:keepNext/>
      <w:keepLines/>
      <w:numPr>
        <w:ilvl w:val="2"/>
        <w:numId w:val="33"/>
      </w:numPr>
      <w:spacing w:before="240" w:after="60"/>
      <w:jc w:val="left"/>
      <w:outlineLvl w:val="2"/>
    </w:pPr>
    <w:rPr>
      <w:bCs/>
      <w:u w:val="single"/>
    </w:rPr>
  </w:style>
  <w:style w:type="paragraph" w:styleId="Heading4">
    <w:name w:val="heading 4"/>
    <w:basedOn w:val="Normal"/>
    <w:next w:val="Normal"/>
    <w:link w:val="Heading4Char"/>
    <w:uiPriority w:val="9"/>
    <w:unhideWhenUsed/>
    <w:qFormat/>
    <w:rsid w:val="00B22C75"/>
    <w:pPr>
      <w:keepNext/>
      <w:keepLines/>
      <w:numPr>
        <w:ilvl w:val="3"/>
        <w:numId w:val="33"/>
      </w:numPr>
      <w:spacing w:before="120" w:after="60"/>
      <w:jc w:val="left"/>
      <w:outlineLvl w:val="3"/>
    </w:pPr>
    <w:rPr>
      <w:rFonts w:ascii="Times New Roman Bold" w:hAnsi="Times New Roman Bold"/>
      <w:b/>
      <w:bCs/>
      <w:iCs/>
    </w:rPr>
  </w:style>
  <w:style w:type="paragraph" w:styleId="Heading5">
    <w:name w:val="heading 5"/>
    <w:basedOn w:val="Normal"/>
    <w:next w:val="Normal"/>
    <w:link w:val="Heading5Char"/>
    <w:uiPriority w:val="9"/>
    <w:unhideWhenUsed/>
    <w:qFormat/>
    <w:rsid w:val="00B22C75"/>
    <w:pPr>
      <w:keepNext/>
      <w:keepLines/>
      <w:numPr>
        <w:ilvl w:val="4"/>
        <w:numId w:val="33"/>
      </w:numPr>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B22C75"/>
    <w:pPr>
      <w:keepNext/>
      <w:keepLines/>
      <w:numPr>
        <w:ilvl w:val="5"/>
        <w:numId w:val="33"/>
      </w:numPr>
      <w:spacing w:before="200"/>
      <w:outlineLvl w:val="5"/>
    </w:pPr>
    <w:rPr>
      <w:rFonts w:ascii="Cambria" w:hAnsi="Cambria"/>
      <w:i/>
      <w:iCs/>
      <w:color w:val="243F60"/>
    </w:rPr>
  </w:style>
  <w:style w:type="paragraph" w:styleId="Heading7">
    <w:name w:val="heading 7"/>
    <w:aliases w:val="Text from TGA PI form"/>
    <w:basedOn w:val="Normal"/>
    <w:next w:val="Normal"/>
    <w:link w:val="Heading7Char"/>
    <w:uiPriority w:val="9"/>
    <w:unhideWhenUsed/>
    <w:qFormat/>
    <w:rsid w:val="00B22C75"/>
    <w:pPr>
      <w:keepNext/>
      <w:keepLines/>
      <w:numPr>
        <w:ilvl w:val="6"/>
        <w:numId w:val="33"/>
      </w:numPr>
      <w:spacing w:after="120"/>
      <w:outlineLvl w:val="6"/>
    </w:pPr>
    <w:rPr>
      <w:i/>
      <w:iCs/>
      <w:lang w:val="en-US"/>
    </w:rPr>
  </w:style>
  <w:style w:type="paragraph" w:styleId="Heading8">
    <w:name w:val="heading 8"/>
    <w:aliases w:val="CAS Registry Number"/>
    <w:basedOn w:val="Normal"/>
    <w:next w:val="Normal"/>
    <w:link w:val="Heading8Char"/>
    <w:uiPriority w:val="9"/>
    <w:unhideWhenUsed/>
    <w:qFormat/>
    <w:rsid w:val="00B22C75"/>
    <w:pPr>
      <w:keepNext/>
      <w:keepLines/>
      <w:numPr>
        <w:ilvl w:val="7"/>
        <w:numId w:val="33"/>
      </w:numPr>
      <w:spacing w:before="60" w:after="60"/>
      <w:outlineLvl w:val="7"/>
    </w:pPr>
    <w:rPr>
      <w:color w:val="404040"/>
      <w:szCs w:val="20"/>
    </w:rPr>
  </w:style>
  <w:style w:type="paragraph" w:styleId="Heading9">
    <w:name w:val="heading 9"/>
    <w:aliases w:val="Active ingredient"/>
    <w:basedOn w:val="Normal"/>
    <w:next w:val="Normal"/>
    <w:link w:val="Heading9Char"/>
    <w:uiPriority w:val="9"/>
    <w:unhideWhenUsed/>
    <w:qFormat/>
    <w:rsid w:val="00B22C75"/>
    <w:pPr>
      <w:keepNext/>
      <w:keepLines/>
      <w:numPr>
        <w:ilvl w:val="8"/>
        <w:numId w:val="33"/>
      </w:numPr>
      <w:spacing w:before="120" w:after="160"/>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8DB"/>
    <w:rPr>
      <w:rFonts w:ascii="Minion" w:hAnsi="Minion"/>
      <w:sz w:val="22"/>
      <w:szCs w:val="22"/>
      <w:lang w:val="en-US" w:eastAsia="zh-TW"/>
    </w:rPr>
  </w:style>
  <w:style w:type="character" w:customStyle="1" w:styleId="Heading1Char">
    <w:name w:val="Heading 1 Char"/>
    <w:link w:val="Heading1"/>
    <w:uiPriority w:val="9"/>
    <w:rsid w:val="00B22C75"/>
    <w:rPr>
      <w:rFonts w:ascii="Times New Roman Bold" w:hAnsi="Times New Roman Bold"/>
      <w:b/>
      <w:bCs/>
      <w:caps/>
      <w:sz w:val="26"/>
      <w:szCs w:val="26"/>
      <w:lang w:val="en-GB" w:eastAsia="zh-TW"/>
    </w:rPr>
  </w:style>
  <w:style w:type="character" w:customStyle="1" w:styleId="Heading2Char">
    <w:name w:val="Heading 2 Char"/>
    <w:link w:val="Heading2"/>
    <w:uiPriority w:val="9"/>
    <w:rsid w:val="00B22C75"/>
    <w:rPr>
      <w:rFonts w:ascii="Times New Roman Bold" w:hAnsi="Times New Roman Bold"/>
      <w:b/>
      <w:bCs/>
      <w:i/>
      <w:sz w:val="24"/>
      <w:szCs w:val="22"/>
      <w:lang w:eastAsia="zh-TW"/>
    </w:rPr>
  </w:style>
  <w:style w:type="character" w:customStyle="1" w:styleId="Heading3Char">
    <w:name w:val="Heading 3 Char"/>
    <w:link w:val="Heading3"/>
    <w:uiPriority w:val="9"/>
    <w:rsid w:val="00B22C75"/>
    <w:rPr>
      <w:rFonts w:ascii="Times New Roman" w:hAnsi="Times New Roman"/>
      <w:bCs/>
      <w:sz w:val="24"/>
      <w:szCs w:val="22"/>
      <w:u w:val="single"/>
      <w:lang w:eastAsia="zh-TW"/>
    </w:rPr>
  </w:style>
  <w:style w:type="character" w:customStyle="1" w:styleId="Heading4Char">
    <w:name w:val="Heading 4 Char"/>
    <w:link w:val="Heading4"/>
    <w:uiPriority w:val="9"/>
    <w:rsid w:val="00B22C75"/>
    <w:rPr>
      <w:rFonts w:ascii="Times New Roman Bold" w:hAnsi="Times New Roman Bold"/>
      <w:b/>
      <w:bCs/>
      <w:iCs/>
      <w:sz w:val="24"/>
      <w:szCs w:val="22"/>
      <w:lang w:eastAsia="zh-TW"/>
    </w:rPr>
  </w:style>
  <w:style w:type="character" w:customStyle="1" w:styleId="Heading5Char">
    <w:name w:val="Heading 5 Char"/>
    <w:link w:val="Heading5"/>
    <w:uiPriority w:val="9"/>
    <w:rsid w:val="00B22C75"/>
    <w:rPr>
      <w:rFonts w:ascii="Cambria" w:hAnsi="Cambria"/>
      <w:color w:val="243F60"/>
      <w:sz w:val="24"/>
      <w:szCs w:val="22"/>
      <w:lang w:eastAsia="zh-TW"/>
    </w:rPr>
  </w:style>
  <w:style w:type="character" w:customStyle="1" w:styleId="Heading6Char">
    <w:name w:val="Heading 6 Char"/>
    <w:link w:val="Heading6"/>
    <w:uiPriority w:val="9"/>
    <w:rsid w:val="00B22C75"/>
    <w:rPr>
      <w:rFonts w:ascii="Cambria" w:hAnsi="Cambria"/>
      <w:i/>
      <w:iCs/>
      <w:color w:val="243F60"/>
      <w:sz w:val="24"/>
      <w:szCs w:val="22"/>
      <w:lang w:eastAsia="zh-TW"/>
    </w:rPr>
  </w:style>
  <w:style w:type="character" w:customStyle="1" w:styleId="Heading7Char">
    <w:name w:val="Heading 7 Char"/>
    <w:aliases w:val="Text from TGA PI form Char"/>
    <w:link w:val="Heading7"/>
    <w:uiPriority w:val="9"/>
    <w:rsid w:val="00B22C75"/>
    <w:rPr>
      <w:rFonts w:ascii="Times New Roman" w:hAnsi="Times New Roman"/>
      <w:i/>
      <w:iCs/>
      <w:sz w:val="24"/>
      <w:szCs w:val="22"/>
      <w:lang w:val="en-US" w:eastAsia="zh-TW"/>
    </w:rPr>
  </w:style>
  <w:style w:type="character" w:customStyle="1" w:styleId="Heading8Char">
    <w:name w:val="Heading 8 Char"/>
    <w:aliases w:val="CAS Registry Number Char"/>
    <w:link w:val="Heading8"/>
    <w:uiPriority w:val="9"/>
    <w:rsid w:val="00B22C75"/>
    <w:rPr>
      <w:rFonts w:ascii="Times New Roman" w:hAnsi="Times New Roman"/>
      <w:color w:val="404040"/>
      <w:sz w:val="24"/>
      <w:lang w:eastAsia="zh-TW"/>
    </w:rPr>
  </w:style>
  <w:style w:type="character" w:customStyle="1" w:styleId="Heading9Char">
    <w:name w:val="Heading 9 Char"/>
    <w:aliases w:val="Active ingredient Char"/>
    <w:link w:val="Heading9"/>
    <w:uiPriority w:val="9"/>
    <w:rsid w:val="00B22C75"/>
    <w:rPr>
      <w:rFonts w:ascii="Times New Roman" w:hAnsi="Times New Roman"/>
      <w:i/>
      <w:iCs/>
      <w:sz w:val="24"/>
      <w:lang w:eastAsia="zh-TW"/>
    </w:rPr>
  </w:style>
  <w:style w:type="paragraph" w:styleId="Title">
    <w:name w:val="Title"/>
    <w:basedOn w:val="Normal"/>
    <w:next w:val="Normal"/>
    <w:link w:val="TitleChar"/>
    <w:uiPriority w:val="10"/>
    <w:qFormat/>
    <w:rsid w:val="00DD68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DD684E"/>
    <w:rPr>
      <w:rFonts w:ascii="Cambria" w:eastAsia="PMingLiU" w:hAnsi="Cambria" w:cs="Times New Roman"/>
      <w:color w:val="17365D"/>
      <w:spacing w:val="5"/>
      <w:kern w:val="28"/>
      <w:sz w:val="52"/>
      <w:szCs w:val="52"/>
    </w:rPr>
  </w:style>
  <w:style w:type="paragraph" w:styleId="ListParagraph">
    <w:name w:val="List Paragraph"/>
    <w:basedOn w:val="Normal"/>
    <w:uiPriority w:val="34"/>
    <w:qFormat/>
    <w:rsid w:val="00DD684E"/>
    <w:pPr>
      <w:ind w:left="720"/>
      <w:contextualSpacing/>
    </w:pPr>
  </w:style>
  <w:style w:type="character" w:styleId="BookTitle">
    <w:name w:val="Book Title"/>
    <w:uiPriority w:val="33"/>
    <w:qFormat/>
    <w:rsid w:val="00DD684E"/>
    <w:rPr>
      <w:b/>
      <w:bCs/>
      <w:smallCaps/>
      <w:spacing w:val="5"/>
    </w:rPr>
  </w:style>
  <w:style w:type="character" w:styleId="IntenseReference">
    <w:name w:val="Intense Reference"/>
    <w:uiPriority w:val="32"/>
    <w:qFormat/>
    <w:rsid w:val="00DD684E"/>
    <w:rPr>
      <w:b/>
      <w:bCs/>
      <w:smallCaps/>
      <w:color w:val="C0504D"/>
      <w:spacing w:val="5"/>
      <w:u w:val="single"/>
    </w:rPr>
  </w:style>
  <w:style w:type="character" w:styleId="SubtleReference">
    <w:name w:val="Subtle Reference"/>
    <w:uiPriority w:val="31"/>
    <w:qFormat/>
    <w:rsid w:val="00DD684E"/>
    <w:rPr>
      <w:smallCaps/>
      <w:color w:val="C0504D"/>
      <w:u w:val="single"/>
    </w:rPr>
  </w:style>
  <w:style w:type="paragraph" w:styleId="IntenseQuote">
    <w:name w:val="Intense Quote"/>
    <w:basedOn w:val="Normal"/>
    <w:next w:val="Normal"/>
    <w:link w:val="IntenseQuoteChar"/>
    <w:uiPriority w:val="30"/>
    <w:qFormat/>
    <w:rsid w:val="00DD684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684E"/>
    <w:rPr>
      <w:rFonts w:ascii="Minion" w:hAnsi="Minion"/>
      <w:b/>
      <w:bCs/>
      <w:i/>
      <w:iCs/>
      <w:color w:val="4F81BD"/>
    </w:rPr>
  </w:style>
  <w:style w:type="paragraph" w:styleId="Quote">
    <w:name w:val="Quote"/>
    <w:basedOn w:val="Normal"/>
    <w:next w:val="Normal"/>
    <w:link w:val="QuoteChar"/>
    <w:uiPriority w:val="29"/>
    <w:qFormat/>
    <w:rsid w:val="00DD684E"/>
    <w:rPr>
      <w:i/>
      <w:iCs/>
      <w:color w:val="000000"/>
    </w:rPr>
  </w:style>
  <w:style w:type="character" w:customStyle="1" w:styleId="QuoteChar">
    <w:name w:val="Quote Char"/>
    <w:link w:val="Quote"/>
    <w:uiPriority w:val="29"/>
    <w:rsid w:val="00DD684E"/>
    <w:rPr>
      <w:rFonts w:ascii="Minion" w:hAnsi="Minion"/>
      <w:i/>
      <w:iCs/>
      <w:color w:val="000000"/>
    </w:rPr>
  </w:style>
  <w:style w:type="paragraph" w:styleId="Header">
    <w:name w:val="header"/>
    <w:basedOn w:val="Normal"/>
    <w:link w:val="HeaderChar"/>
    <w:uiPriority w:val="99"/>
    <w:unhideWhenUsed/>
    <w:rsid w:val="000471CA"/>
    <w:pPr>
      <w:tabs>
        <w:tab w:val="center" w:pos="4513"/>
        <w:tab w:val="right" w:pos="9026"/>
      </w:tabs>
    </w:pPr>
  </w:style>
  <w:style w:type="character" w:customStyle="1" w:styleId="HeaderChar">
    <w:name w:val="Header Char"/>
    <w:link w:val="Header"/>
    <w:uiPriority w:val="99"/>
    <w:rsid w:val="000471CA"/>
    <w:rPr>
      <w:rFonts w:ascii="Minion" w:hAnsi="Minion"/>
      <w:sz w:val="22"/>
      <w:szCs w:val="22"/>
      <w:lang w:val="en-US"/>
    </w:rPr>
  </w:style>
  <w:style w:type="paragraph" w:styleId="Footer">
    <w:name w:val="footer"/>
    <w:basedOn w:val="Normal"/>
    <w:link w:val="FooterChar"/>
    <w:uiPriority w:val="99"/>
    <w:unhideWhenUsed/>
    <w:rsid w:val="000471CA"/>
    <w:pPr>
      <w:tabs>
        <w:tab w:val="center" w:pos="4513"/>
        <w:tab w:val="right" w:pos="9026"/>
      </w:tabs>
    </w:pPr>
  </w:style>
  <w:style w:type="character" w:customStyle="1" w:styleId="FooterChar">
    <w:name w:val="Footer Char"/>
    <w:link w:val="Footer"/>
    <w:uiPriority w:val="99"/>
    <w:rsid w:val="000471CA"/>
    <w:rPr>
      <w:rFonts w:ascii="Minion" w:hAnsi="Minion"/>
      <w:sz w:val="22"/>
      <w:szCs w:val="22"/>
      <w:lang w:val="en-US"/>
    </w:rPr>
  </w:style>
  <w:style w:type="paragraph" w:styleId="BalloonText">
    <w:name w:val="Balloon Text"/>
    <w:basedOn w:val="Normal"/>
    <w:link w:val="BalloonTextChar"/>
    <w:uiPriority w:val="99"/>
    <w:semiHidden/>
    <w:unhideWhenUsed/>
    <w:rsid w:val="000471CA"/>
    <w:rPr>
      <w:rFonts w:ascii="Tahoma" w:hAnsi="Tahoma" w:cs="Tahoma"/>
      <w:sz w:val="16"/>
      <w:szCs w:val="16"/>
    </w:rPr>
  </w:style>
  <w:style w:type="character" w:customStyle="1" w:styleId="BalloonTextChar">
    <w:name w:val="Balloon Text Char"/>
    <w:link w:val="BalloonText"/>
    <w:uiPriority w:val="99"/>
    <w:semiHidden/>
    <w:rsid w:val="000471CA"/>
    <w:rPr>
      <w:rFonts w:ascii="Tahoma" w:hAnsi="Tahoma" w:cs="Tahoma"/>
      <w:sz w:val="16"/>
      <w:szCs w:val="16"/>
      <w:lang w:val="en-US"/>
    </w:rPr>
  </w:style>
  <w:style w:type="paragraph" w:styleId="BodyText3">
    <w:name w:val="Body Text 3"/>
    <w:basedOn w:val="Normal"/>
    <w:link w:val="BodyText3Char"/>
    <w:rsid w:val="00D844B2"/>
    <w:pPr>
      <w:spacing w:line="280" w:lineRule="atLeast"/>
      <w:jc w:val="left"/>
    </w:pPr>
    <w:rPr>
      <w:rFonts w:eastAsia="Times New Roman"/>
      <w:i/>
      <w:szCs w:val="20"/>
      <w:lang w:val="en-US" w:eastAsia="ja-JP"/>
    </w:rPr>
  </w:style>
  <w:style w:type="character" w:customStyle="1" w:styleId="BodyText3Char">
    <w:name w:val="Body Text 3 Char"/>
    <w:link w:val="BodyText3"/>
    <w:rsid w:val="00D844B2"/>
    <w:rPr>
      <w:rFonts w:ascii="Times New Roman" w:eastAsia="Times New Roman" w:hAnsi="Times New Roman"/>
      <w:i/>
      <w:sz w:val="24"/>
      <w:lang w:val="en-US" w:eastAsia="ja-JP"/>
    </w:rPr>
  </w:style>
  <w:style w:type="paragraph" w:customStyle="1" w:styleId="PIexplanation">
    <w:name w:val="PI explanation"/>
    <w:basedOn w:val="Normal"/>
    <w:link w:val="PIexplanationChar"/>
    <w:rsid w:val="00D844B2"/>
    <w:pPr>
      <w:spacing w:after="120"/>
      <w:jc w:val="left"/>
    </w:pPr>
    <w:rPr>
      <w:rFonts w:eastAsia="Times New Roman"/>
      <w:i/>
      <w:color w:val="FF0000"/>
      <w:sz w:val="22"/>
      <w:szCs w:val="20"/>
      <w:lang w:eastAsia="ja-JP"/>
    </w:rPr>
  </w:style>
  <w:style w:type="paragraph" w:customStyle="1" w:styleId="TextTi12">
    <w:name w:val="Text:Ti12"/>
    <w:basedOn w:val="Normal"/>
    <w:link w:val="TextTi12Char"/>
    <w:rsid w:val="00D844B2"/>
    <w:pPr>
      <w:spacing w:after="170" w:line="280" w:lineRule="atLeast"/>
    </w:pPr>
    <w:rPr>
      <w:rFonts w:eastAsia="Times New Roman"/>
      <w:szCs w:val="20"/>
      <w:lang w:val="en-US" w:eastAsia="ja-JP"/>
    </w:rPr>
  </w:style>
  <w:style w:type="character" w:customStyle="1" w:styleId="TextTi12Char">
    <w:name w:val="Text:Ti12 Char"/>
    <w:link w:val="TextTi12"/>
    <w:rsid w:val="00D844B2"/>
    <w:rPr>
      <w:rFonts w:ascii="Times New Roman" w:eastAsia="Times New Roman" w:hAnsi="Times New Roman"/>
      <w:sz w:val="24"/>
      <w:lang w:val="en-US" w:eastAsia="ja-JP"/>
    </w:rPr>
  </w:style>
  <w:style w:type="paragraph" w:customStyle="1" w:styleId="BodyTextPI">
    <w:name w:val="Body Text PI"/>
    <w:basedOn w:val="PIexplanation"/>
    <w:link w:val="BodyTextPIChar"/>
    <w:rsid w:val="00D844B2"/>
    <w:pPr>
      <w:jc w:val="both"/>
    </w:pPr>
    <w:rPr>
      <w:i w:val="0"/>
      <w:lang w:val="en-GB"/>
    </w:rPr>
  </w:style>
  <w:style w:type="character" w:customStyle="1" w:styleId="PIexplanationChar">
    <w:name w:val="PI explanation Char"/>
    <w:link w:val="PIexplanation"/>
    <w:rsid w:val="00D844B2"/>
    <w:rPr>
      <w:rFonts w:ascii="Times New Roman" w:eastAsia="Times New Roman" w:hAnsi="Times New Roman"/>
      <w:i/>
      <w:color w:val="FF0000"/>
      <w:sz w:val="22"/>
      <w:lang w:eastAsia="ja-JP"/>
    </w:rPr>
  </w:style>
  <w:style w:type="character" w:customStyle="1" w:styleId="BodyTextPIChar">
    <w:name w:val="Body Text PI Char"/>
    <w:link w:val="BodyTextPI"/>
    <w:rsid w:val="00D844B2"/>
    <w:rPr>
      <w:rFonts w:ascii="Times New Roman" w:eastAsia="Times New Roman" w:hAnsi="Times New Roman"/>
      <w:i w:val="0"/>
      <w:color w:val="FF0000"/>
      <w:sz w:val="22"/>
      <w:lang w:val="en-GB" w:eastAsia="ja-JP"/>
    </w:rPr>
  </w:style>
  <w:style w:type="paragraph" w:styleId="BodyText2">
    <w:name w:val="Body Text 2"/>
    <w:basedOn w:val="Normal"/>
    <w:link w:val="BodyText2Char"/>
    <w:uiPriority w:val="99"/>
    <w:semiHidden/>
    <w:unhideWhenUsed/>
    <w:rsid w:val="00093012"/>
    <w:pPr>
      <w:spacing w:after="120" w:line="480" w:lineRule="auto"/>
    </w:pPr>
  </w:style>
  <w:style w:type="character" w:customStyle="1" w:styleId="BodyText2Char">
    <w:name w:val="Body Text 2 Char"/>
    <w:link w:val="BodyText2"/>
    <w:uiPriority w:val="99"/>
    <w:semiHidden/>
    <w:rsid w:val="00093012"/>
    <w:rPr>
      <w:rFonts w:ascii="Times New Roman" w:hAnsi="Times New Roman"/>
      <w:sz w:val="24"/>
      <w:szCs w:val="22"/>
    </w:rPr>
  </w:style>
  <w:style w:type="table" w:styleId="TableGrid">
    <w:name w:val="Table Grid"/>
    <w:basedOn w:val="TableNormal"/>
    <w:uiPriority w:val="59"/>
    <w:rsid w:val="004A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6875BA"/>
    <w:rPr>
      <w:sz w:val="16"/>
      <w:szCs w:val="16"/>
    </w:rPr>
  </w:style>
  <w:style w:type="paragraph" w:styleId="CommentText">
    <w:name w:val="annotation text"/>
    <w:basedOn w:val="Normal"/>
    <w:link w:val="CommentTextChar"/>
    <w:uiPriority w:val="99"/>
    <w:unhideWhenUsed/>
    <w:rsid w:val="006875BA"/>
    <w:rPr>
      <w:sz w:val="20"/>
      <w:szCs w:val="20"/>
    </w:rPr>
  </w:style>
  <w:style w:type="character" w:customStyle="1" w:styleId="CommentTextChar">
    <w:name w:val="Comment Text Char"/>
    <w:link w:val="CommentText"/>
    <w:uiPriority w:val="99"/>
    <w:rsid w:val="006875B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875BA"/>
    <w:rPr>
      <w:b/>
      <w:bCs/>
    </w:rPr>
  </w:style>
  <w:style w:type="character" w:customStyle="1" w:styleId="CommentSubjectChar">
    <w:name w:val="Comment Subject Char"/>
    <w:link w:val="CommentSubject"/>
    <w:uiPriority w:val="99"/>
    <w:semiHidden/>
    <w:rsid w:val="006875BA"/>
    <w:rPr>
      <w:rFonts w:ascii="Times New Roman" w:hAnsi="Times New Roman"/>
      <w:b/>
      <w:bCs/>
    </w:rPr>
  </w:style>
  <w:style w:type="paragraph" w:customStyle="1" w:styleId="NormalArial">
    <w:name w:val="Normal + Arial"/>
    <w:aliases w:val="9 pt"/>
    <w:basedOn w:val="Normal"/>
    <w:link w:val="NormalArialChar"/>
    <w:rsid w:val="006875BA"/>
    <w:pPr>
      <w:jc w:val="left"/>
    </w:pPr>
    <w:rPr>
      <w:rFonts w:ascii="Arial" w:eastAsia="MS Mincho" w:hAnsi="Arial"/>
      <w:sz w:val="20"/>
      <w:szCs w:val="20"/>
      <w:lang w:val="en-GB" w:eastAsia="ja-JP"/>
    </w:rPr>
  </w:style>
  <w:style w:type="character" w:customStyle="1" w:styleId="NormalArialChar">
    <w:name w:val="Normal + Arial Char"/>
    <w:aliases w:val="9 pt Char Char"/>
    <w:link w:val="NormalArial"/>
    <w:rsid w:val="006875BA"/>
    <w:rPr>
      <w:rFonts w:ascii="Arial" w:eastAsia="MS Mincho" w:hAnsi="Arial"/>
      <w:lang w:val="en-GB" w:eastAsia="ja-JP"/>
    </w:rPr>
  </w:style>
  <w:style w:type="paragraph" w:customStyle="1" w:styleId="Paragraph">
    <w:name w:val="Paragraph"/>
    <w:basedOn w:val="Normal"/>
    <w:link w:val="ParagraphChar"/>
    <w:rsid w:val="000B64CB"/>
    <w:pPr>
      <w:spacing w:after="170" w:line="280" w:lineRule="exact"/>
      <w:jc w:val="left"/>
    </w:pPr>
    <w:rPr>
      <w:rFonts w:ascii="Arial" w:eastAsia="SimSun" w:hAnsi="Arial"/>
      <w:szCs w:val="24"/>
      <w:lang w:val="en-GB" w:eastAsia="zh-CN"/>
    </w:rPr>
  </w:style>
  <w:style w:type="paragraph" w:customStyle="1" w:styleId="TableTitle">
    <w:name w:val="Table Title"/>
    <w:basedOn w:val="Normal"/>
    <w:next w:val="Paragraph"/>
    <w:link w:val="TableTitleChar"/>
    <w:rsid w:val="000B64CB"/>
    <w:pPr>
      <w:keepNext/>
      <w:keepLines/>
      <w:tabs>
        <w:tab w:val="left" w:pos="1080"/>
      </w:tabs>
      <w:spacing w:before="40" w:after="160" w:line="280" w:lineRule="exact"/>
      <w:ind w:left="1080" w:hanging="1080"/>
      <w:jc w:val="left"/>
    </w:pPr>
    <w:rPr>
      <w:rFonts w:ascii="Arial" w:eastAsia="SimSun" w:hAnsi="Arial"/>
      <w:b/>
      <w:szCs w:val="24"/>
      <w:lang w:val="en-GB" w:eastAsia="zh-CN"/>
    </w:rPr>
  </w:style>
  <w:style w:type="character" w:customStyle="1" w:styleId="ParagraphChar">
    <w:name w:val="Paragraph Char"/>
    <w:link w:val="Paragraph"/>
    <w:rsid w:val="000B64CB"/>
    <w:rPr>
      <w:rFonts w:ascii="Arial" w:eastAsia="SimSun" w:hAnsi="Arial"/>
      <w:sz w:val="24"/>
      <w:szCs w:val="24"/>
      <w:lang w:val="en-GB" w:eastAsia="zh-CN"/>
    </w:rPr>
  </w:style>
  <w:style w:type="character" w:customStyle="1" w:styleId="TableTitleChar">
    <w:name w:val="Table Title Char"/>
    <w:link w:val="TableTitle"/>
    <w:locked/>
    <w:rsid w:val="000B64CB"/>
    <w:rPr>
      <w:rFonts w:ascii="Arial" w:eastAsia="SimSun" w:hAnsi="Arial"/>
      <w:b/>
      <w:sz w:val="24"/>
      <w:szCs w:val="24"/>
      <w:lang w:val="en-GB" w:eastAsia="zh-CN"/>
    </w:rPr>
  </w:style>
  <w:style w:type="paragraph" w:styleId="TOC3">
    <w:name w:val="toc 3"/>
    <w:basedOn w:val="TOC2"/>
    <w:next w:val="Normal"/>
    <w:rsid w:val="008647FA"/>
    <w:pPr>
      <w:tabs>
        <w:tab w:val="right" w:leader="dot" w:pos="8640"/>
      </w:tabs>
      <w:spacing w:after="113" w:line="280" w:lineRule="exact"/>
      <w:ind w:left="720" w:right="1440"/>
      <w:jc w:val="left"/>
    </w:pPr>
    <w:rPr>
      <w:rFonts w:ascii="Arial" w:eastAsia="SimSun" w:hAnsi="Arial"/>
      <w:szCs w:val="24"/>
      <w:lang w:val="en-GB" w:eastAsia="zh-CN"/>
    </w:rPr>
  </w:style>
  <w:style w:type="paragraph" w:styleId="TOC2">
    <w:name w:val="toc 2"/>
    <w:basedOn w:val="Normal"/>
    <w:next w:val="Normal"/>
    <w:autoRedefine/>
    <w:uiPriority w:val="39"/>
    <w:semiHidden/>
    <w:unhideWhenUsed/>
    <w:rsid w:val="008647FA"/>
    <w:pPr>
      <w:ind w:left="240"/>
    </w:pPr>
  </w:style>
  <w:style w:type="table" w:customStyle="1" w:styleId="TableGrid1">
    <w:name w:val="Table Grid1"/>
    <w:basedOn w:val="TableNormal"/>
    <w:next w:val="TableGrid"/>
    <w:uiPriority w:val="59"/>
    <w:rsid w:val="00E719F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271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1433F"/>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4338"/>
    <w:rPr>
      <w:rFonts w:ascii="Times New Roman" w:hAnsi="Times New Roman"/>
      <w:sz w:val="24"/>
      <w:szCs w:val="22"/>
      <w:lang w:eastAsia="zh-TW"/>
    </w:rPr>
  </w:style>
  <w:style w:type="paragraph" w:customStyle="1" w:styleId="Default">
    <w:name w:val="Default"/>
    <w:rsid w:val="008256D5"/>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173738"/>
    <w:pPr>
      <w:jc w:val="both"/>
    </w:pPr>
    <w:rPr>
      <w:rFonts w:ascii="Times New Roman" w:hAnsi="Times New Roman"/>
      <w:sz w:val="24"/>
      <w:szCs w:val="22"/>
      <w:lang w:eastAsia="zh-TW"/>
    </w:rPr>
  </w:style>
  <w:style w:type="paragraph" w:styleId="Heading1">
    <w:name w:val="heading 1"/>
    <w:next w:val="Normal"/>
    <w:link w:val="Heading1Char"/>
    <w:uiPriority w:val="9"/>
    <w:qFormat/>
    <w:rsid w:val="00B22C75"/>
    <w:pPr>
      <w:numPr>
        <w:numId w:val="33"/>
      </w:numPr>
      <w:spacing w:before="360" w:after="60"/>
      <w:outlineLvl w:val="0"/>
    </w:pPr>
    <w:rPr>
      <w:rFonts w:ascii="Times New Roman Bold" w:hAnsi="Times New Roman Bold"/>
      <w:b/>
      <w:bCs/>
      <w:caps/>
      <w:sz w:val="26"/>
      <w:szCs w:val="26"/>
      <w:lang w:val="en-GB" w:eastAsia="zh-TW"/>
    </w:rPr>
  </w:style>
  <w:style w:type="paragraph" w:styleId="Heading2">
    <w:name w:val="heading 2"/>
    <w:next w:val="Normal"/>
    <w:link w:val="Heading2Char"/>
    <w:uiPriority w:val="9"/>
    <w:unhideWhenUsed/>
    <w:qFormat/>
    <w:rsid w:val="00B22C75"/>
    <w:pPr>
      <w:numPr>
        <w:ilvl w:val="1"/>
        <w:numId w:val="33"/>
      </w:numPr>
      <w:spacing w:before="240" w:after="120"/>
      <w:outlineLvl w:val="1"/>
    </w:pPr>
    <w:rPr>
      <w:rFonts w:ascii="Times New Roman Bold" w:hAnsi="Times New Roman Bold"/>
      <w:b/>
      <w:bCs/>
      <w:i/>
      <w:sz w:val="24"/>
      <w:szCs w:val="22"/>
      <w:lang w:eastAsia="zh-TW"/>
    </w:rPr>
  </w:style>
  <w:style w:type="paragraph" w:styleId="Heading3">
    <w:name w:val="heading 3"/>
    <w:basedOn w:val="Normal"/>
    <w:next w:val="Normal"/>
    <w:link w:val="Heading3Char"/>
    <w:uiPriority w:val="9"/>
    <w:unhideWhenUsed/>
    <w:qFormat/>
    <w:rsid w:val="00B22C75"/>
    <w:pPr>
      <w:keepNext/>
      <w:keepLines/>
      <w:numPr>
        <w:ilvl w:val="2"/>
        <w:numId w:val="33"/>
      </w:numPr>
      <w:spacing w:before="240" w:after="60"/>
      <w:jc w:val="left"/>
      <w:outlineLvl w:val="2"/>
    </w:pPr>
    <w:rPr>
      <w:bCs/>
      <w:u w:val="single"/>
    </w:rPr>
  </w:style>
  <w:style w:type="paragraph" w:styleId="Heading4">
    <w:name w:val="heading 4"/>
    <w:basedOn w:val="Normal"/>
    <w:next w:val="Normal"/>
    <w:link w:val="Heading4Char"/>
    <w:uiPriority w:val="9"/>
    <w:unhideWhenUsed/>
    <w:qFormat/>
    <w:rsid w:val="00B22C75"/>
    <w:pPr>
      <w:keepNext/>
      <w:keepLines/>
      <w:numPr>
        <w:ilvl w:val="3"/>
        <w:numId w:val="33"/>
      </w:numPr>
      <w:spacing w:before="120" w:after="60"/>
      <w:jc w:val="left"/>
      <w:outlineLvl w:val="3"/>
    </w:pPr>
    <w:rPr>
      <w:rFonts w:ascii="Times New Roman Bold" w:hAnsi="Times New Roman Bold"/>
      <w:b/>
      <w:bCs/>
      <w:iCs/>
    </w:rPr>
  </w:style>
  <w:style w:type="paragraph" w:styleId="Heading5">
    <w:name w:val="heading 5"/>
    <w:basedOn w:val="Normal"/>
    <w:next w:val="Normal"/>
    <w:link w:val="Heading5Char"/>
    <w:uiPriority w:val="9"/>
    <w:unhideWhenUsed/>
    <w:qFormat/>
    <w:rsid w:val="00B22C75"/>
    <w:pPr>
      <w:keepNext/>
      <w:keepLines/>
      <w:numPr>
        <w:ilvl w:val="4"/>
        <w:numId w:val="33"/>
      </w:numPr>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B22C75"/>
    <w:pPr>
      <w:keepNext/>
      <w:keepLines/>
      <w:numPr>
        <w:ilvl w:val="5"/>
        <w:numId w:val="33"/>
      </w:numPr>
      <w:spacing w:before="200"/>
      <w:outlineLvl w:val="5"/>
    </w:pPr>
    <w:rPr>
      <w:rFonts w:ascii="Cambria" w:hAnsi="Cambria"/>
      <w:i/>
      <w:iCs/>
      <w:color w:val="243F60"/>
    </w:rPr>
  </w:style>
  <w:style w:type="paragraph" w:styleId="Heading7">
    <w:name w:val="heading 7"/>
    <w:aliases w:val="Text from TGA PI form"/>
    <w:basedOn w:val="Normal"/>
    <w:next w:val="Normal"/>
    <w:link w:val="Heading7Char"/>
    <w:uiPriority w:val="9"/>
    <w:unhideWhenUsed/>
    <w:qFormat/>
    <w:rsid w:val="00B22C75"/>
    <w:pPr>
      <w:keepNext/>
      <w:keepLines/>
      <w:numPr>
        <w:ilvl w:val="6"/>
        <w:numId w:val="33"/>
      </w:numPr>
      <w:spacing w:after="120"/>
      <w:outlineLvl w:val="6"/>
    </w:pPr>
    <w:rPr>
      <w:i/>
      <w:iCs/>
      <w:lang w:val="en-US"/>
    </w:rPr>
  </w:style>
  <w:style w:type="paragraph" w:styleId="Heading8">
    <w:name w:val="heading 8"/>
    <w:aliases w:val="CAS Registry Number"/>
    <w:basedOn w:val="Normal"/>
    <w:next w:val="Normal"/>
    <w:link w:val="Heading8Char"/>
    <w:uiPriority w:val="9"/>
    <w:unhideWhenUsed/>
    <w:qFormat/>
    <w:rsid w:val="00B22C75"/>
    <w:pPr>
      <w:keepNext/>
      <w:keepLines/>
      <w:numPr>
        <w:ilvl w:val="7"/>
        <w:numId w:val="33"/>
      </w:numPr>
      <w:spacing w:before="60" w:after="60"/>
      <w:outlineLvl w:val="7"/>
    </w:pPr>
    <w:rPr>
      <w:color w:val="404040"/>
      <w:szCs w:val="20"/>
    </w:rPr>
  </w:style>
  <w:style w:type="paragraph" w:styleId="Heading9">
    <w:name w:val="heading 9"/>
    <w:aliases w:val="Active ingredient"/>
    <w:basedOn w:val="Normal"/>
    <w:next w:val="Normal"/>
    <w:link w:val="Heading9Char"/>
    <w:uiPriority w:val="9"/>
    <w:unhideWhenUsed/>
    <w:qFormat/>
    <w:rsid w:val="00B22C75"/>
    <w:pPr>
      <w:keepNext/>
      <w:keepLines/>
      <w:numPr>
        <w:ilvl w:val="8"/>
        <w:numId w:val="33"/>
      </w:numPr>
      <w:spacing w:before="120" w:after="160"/>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8DB"/>
    <w:rPr>
      <w:rFonts w:ascii="Minion" w:hAnsi="Minion"/>
      <w:sz w:val="22"/>
      <w:szCs w:val="22"/>
      <w:lang w:val="en-US" w:eastAsia="zh-TW"/>
    </w:rPr>
  </w:style>
  <w:style w:type="character" w:customStyle="1" w:styleId="Heading1Char">
    <w:name w:val="Heading 1 Char"/>
    <w:link w:val="Heading1"/>
    <w:uiPriority w:val="9"/>
    <w:rsid w:val="00B22C75"/>
    <w:rPr>
      <w:rFonts w:ascii="Times New Roman Bold" w:hAnsi="Times New Roman Bold"/>
      <w:b/>
      <w:bCs/>
      <w:caps/>
      <w:sz w:val="26"/>
      <w:szCs w:val="26"/>
      <w:lang w:val="en-GB" w:eastAsia="zh-TW"/>
    </w:rPr>
  </w:style>
  <w:style w:type="character" w:customStyle="1" w:styleId="Heading2Char">
    <w:name w:val="Heading 2 Char"/>
    <w:link w:val="Heading2"/>
    <w:uiPriority w:val="9"/>
    <w:rsid w:val="00B22C75"/>
    <w:rPr>
      <w:rFonts w:ascii="Times New Roman Bold" w:hAnsi="Times New Roman Bold"/>
      <w:b/>
      <w:bCs/>
      <w:i/>
      <w:sz w:val="24"/>
      <w:szCs w:val="22"/>
      <w:lang w:eastAsia="zh-TW"/>
    </w:rPr>
  </w:style>
  <w:style w:type="character" w:customStyle="1" w:styleId="Heading3Char">
    <w:name w:val="Heading 3 Char"/>
    <w:link w:val="Heading3"/>
    <w:uiPriority w:val="9"/>
    <w:rsid w:val="00B22C75"/>
    <w:rPr>
      <w:rFonts w:ascii="Times New Roman" w:hAnsi="Times New Roman"/>
      <w:bCs/>
      <w:sz w:val="24"/>
      <w:szCs w:val="22"/>
      <w:u w:val="single"/>
      <w:lang w:eastAsia="zh-TW"/>
    </w:rPr>
  </w:style>
  <w:style w:type="character" w:customStyle="1" w:styleId="Heading4Char">
    <w:name w:val="Heading 4 Char"/>
    <w:link w:val="Heading4"/>
    <w:uiPriority w:val="9"/>
    <w:rsid w:val="00B22C75"/>
    <w:rPr>
      <w:rFonts w:ascii="Times New Roman Bold" w:hAnsi="Times New Roman Bold"/>
      <w:b/>
      <w:bCs/>
      <w:iCs/>
      <w:sz w:val="24"/>
      <w:szCs w:val="22"/>
      <w:lang w:eastAsia="zh-TW"/>
    </w:rPr>
  </w:style>
  <w:style w:type="character" w:customStyle="1" w:styleId="Heading5Char">
    <w:name w:val="Heading 5 Char"/>
    <w:link w:val="Heading5"/>
    <w:uiPriority w:val="9"/>
    <w:rsid w:val="00B22C75"/>
    <w:rPr>
      <w:rFonts w:ascii="Cambria" w:hAnsi="Cambria"/>
      <w:color w:val="243F60"/>
      <w:sz w:val="24"/>
      <w:szCs w:val="22"/>
      <w:lang w:eastAsia="zh-TW"/>
    </w:rPr>
  </w:style>
  <w:style w:type="character" w:customStyle="1" w:styleId="Heading6Char">
    <w:name w:val="Heading 6 Char"/>
    <w:link w:val="Heading6"/>
    <w:uiPriority w:val="9"/>
    <w:rsid w:val="00B22C75"/>
    <w:rPr>
      <w:rFonts w:ascii="Cambria" w:hAnsi="Cambria"/>
      <w:i/>
      <w:iCs/>
      <w:color w:val="243F60"/>
      <w:sz w:val="24"/>
      <w:szCs w:val="22"/>
      <w:lang w:eastAsia="zh-TW"/>
    </w:rPr>
  </w:style>
  <w:style w:type="character" w:customStyle="1" w:styleId="Heading7Char">
    <w:name w:val="Heading 7 Char"/>
    <w:aliases w:val="Text from TGA PI form Char"/>
    <w:link w:val="Heading7"/>
    <w:uiPriority w:val="9"/>
    <w:rsid w:val="00B22C75"/>
    <w:rPr>
      <w:rFonts w:ascii="Times New Roman" w:hAnsi="Times New Roman"/>
      <w:i/>
      <w:iCs/>
      <w:sz w:val="24"/>
      <w:szCs w:val="22"/>
      <w:lang w:val="en-US" w:eastAsia="zh-TW"/>
    </w:rPr>
  </w:style>
  <w:style w:type="character" w:customStyle="1" w:styleId="Heading8Char">
    <w:name w:val="Heading 8 Char"/>
    <w:aliases w:val="CAS Registry Number Char"/>
    <w:link w:val="Heading8"/>
    <w:uiPriority w:val="9"/>
    <w:rsid w:val="00B22C75"/>
    <w:rPr>
      <w:rFonts w:ascii="Times New Roman" w:hAnsi="Times New Roman"/>
      <w:color w:val="404040"/>
      <w:sz w:val="24"/>
      <w:lang w:eastAsia="zh-TW"/>
    </w:rPr>
  </w:style>
  <w:style w:type="character" w:customStyle="1" w:styleId="Heading9Char">
    <w:name w:val="Heading 9 Char"/>
    <w:aliases w:val="Active ingredient Char"/>
    <w:link w:val="Heading9"/>
    <w:uiPriority w:val="9"/>
    <w:rsid w:val="00B22C75"/>
    <w:rPr>
      <w:rFonts w:ascii="Times New Roman" w:hAnsi="Times New Roman"/>
      <w:i/>
      <w:iCs/>
      <w:sz w:val="24"/>
      <w:lang w:eastAsia="zh-TW"/>
    </w:rPr>
  </w:style>
  <w:style w:type="paragraph" w:styleId="Title">
    <w:name w:val="Title"/>
    <w:basedOn w:val="Normal"/>
    <w:next w:val="Normal"/>
    <w:link w:val="TitleChar"/>
    <w:uiPriority w:val="10"/>
    <w:qFormat/>
    <w:rsid w:val="00DD68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DD684E"/>
    <w:rPr>
      <w:rFonts w:ascii="Cambria" w:eastAsia="PMingLiU" w:hAnsi="Cambria" w:cs="Times New Roman"/>
      <w:color w:val="17365D"/>
      <w:spacing w:val="5"/>
      <w:kern w:val="28"/>
      <w:sz w:val="52"/>
      <w:szCs w:val="52"/>
    </w:rPr>
  </w:style>
  <w:style w:type="paragraph" w:styleId="ListParagraph">
    <w:name w:val="List Paragraph"/>
    <w:basedOn w:val="Normal"/>
    <w:uiPriority w:val="34"/>
    <w:qFormat/>
    <w:rsid w:val="00DD684E"/>
    <w:pPr>
      <w:ind w:left="720"/>
      <w:contextualSpacing/>
    </w:pPr>
  </w:style>
  <w:style w:type="character" w:styleId="BookTitle">
    <w:name w:val="Book Title"/>
    <w:uiPriority w:val="33"/>
    <w:qFormat/>
    <w:rsid w:val="00DD684E"/>
    <w:rPr>
      <w:b/>
      <w:bCs/>
      <w:smallCaps/>
      <w:spacing w:val="5"/>
    </w:rPr>
  </w:style>
  <w:style w:type="character" w:styleId="IntenseReference">
    <w:name w:val="Intense Reference"/>
    <w:uiPriority w:val="32"/>
    <w:qFormat/>
    <w:rsid w:val="00DD684E"/>
    <w:rPr>
      <w:b/>
      <w:bCs/>
      <w:smallCaps/>
      <w:color w:val="C0504D"/>
      <w:spacing w:val="5"/>
      <w:u w:val="single"/>
    </w:rPr>
  </w:style>
  <w:style w:type="character" w:styleId="SubtleReference">
    <w:name w:val="Subtle Reference"/>
    <w:uiPriority w:val="31"/>
    <w:qFormat/>
    <w:rsid w:val="00DD684E"/>
    <w:rPr>
      <w:smallCaps/>
      <w:color w:val="C0504D"/>
      <w:u w:val="single"/>
    </w:rPr>
  </w:style>
  <w:style w:type="paragraph" w:styleId="IntenseQuote">
    <w:name w:val="Intense Quote"/>
    <w:basedOn w:val="Normal"/>
    <w:next w:val="Normal"/>
    <w:link w:val="IntenseQuoteChar"/>
    <w:uiPriority w:val="30"/>
    <w:qFormat/>
    <w:rsid w:val="00DD684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684E"/>
    <w:rPr>
      <w:rFonts w:ascii="Minion" w:hAnsi="Minion"/>
      <w:b/>
      <w:bCs/>
      <w:i/>
      <w:iCs/>
      <w:color w:val="4F81BD"/>
    </w:rPr>
  </w:style>
  <w:style w:type="paragraph" w:styleId="Quote">
    <w:name w:val="Quote"/>
    <w:basedOn w:val="Normal"/>
    <w:next w:val="Normal"/>
    <w:link w:val="QuoteChar"/>
    <w:uiPriority w:val="29"/>
    <w:qFormat/>
    <w:rsid w:val="00DD684E"/>
    <w:rPr>
      <w:i/>
      <w:iCs/>
      <w:color w:val="000000"/>
    </w:rPr>
  </w:style>
  <w:style w:type="character" w:customStyle="1" w:styleId="QuoteChar">
    <w:name w:val="Quote Char"/>
    <w:link w:val="Quote"/>
    <w:uiPriority w:val="29"/>
    <w:rsid w:val="00DD684E"/>
    <w:rPr>
      <w:rFonts w:ascii="Minion" w:hAnsi="Minion"/>
      <w:i/>
      <w:iCs/>
      <w:color w:val="000000"/>
    </w:rPr>
  </w:style>
  <w:style w:type="paragraph" w:styleId="Header">
    <w:name w:val="header"/>
    <w:basedOn w:val="Normal"/>
    <w:link w:val="HeaderChar"/>
    <w:uiPriority w:val="99"/>
    <w:unhideWhenUsed/>
    <w:rsid w:val="000471CA"/>
    <w:pPr>
      <w:tabs>
        <w:tab w:val="center" w:pos="4513"/>
        <w:tab w:val="right" w:pos="9026"/>
      </w:tabs>
    </w:pPr>
  </w:style>
  <w:style w:type="character" w:customStyle="1" w:styleId="HeaderChar">
    <w:name w:val="Header Char"/>
    <w:link w:val="Header"/>
    <w:uiPriority w:val="99"/>
    <w:rsid w:val="000471CA"/>
    <w:rPr>
      <w:rFonts w:ascii="Minion" w:hAnsi="Minion"/>
      <w:sz w:val="22"/>
      <w:szCs w:val="22"/>
      <w:lang w:val="en-US"/>
    </w:rPr>
  </w:style>
  <w:style w:type="paragraph" w:styleId="Footer">
    <w:name w:val="footer"/>
    <w:basedOn w:val="Normal"/>
    <w:link w:val="FooterChar"/>
    <w:uiPriority w:val="99"/>
    <w:unhideWhenUsed/>
    <w:rsid w:val="000471CA"/>
    <w:pPr>
      <w:tabs>
        <w:tab w:val="center" w:pos="4513"/>
        <w:tab w:val="right" w:pos="9026"/>
      </w:tabs>
    </w:pPr>
  </w:style>
  <w:style w:type="character" w:customStyle="1" w:styleId="FooterChar">
    <w:name w:val="Footer Char"/>
    <w:link w:val="Footer"/>
    <w:uiPriority w:val="99"/>
    <w:rsid w:val="000471CA"/>
    <w:rPr>
      <w:rFonts w:ascii="Minion" w:hAnsi="Minion"/>
      <w:sz w:val="22"/>
      <w:szCs w:val="22"/>
      <w:lang w:val="en-US"/>
    </w:rPr>
  </w:style>
  <w:style w:type="paragraph" w:styleId="BalloonText">
    <w:name w:val="Balloon Text"/>
    <w:basedOn w:val="Normal"/>
    <w:link w:val="BalloonTextChar"/>
    <w:uiPriority w:val="99"/>
    <w:semiHidden/>
    <w:unhideWhenUsed/>
    <w:rsid w:val="000471CA"/>
    <w:rPr>
      <w:rFonts w:ascii="Tahoma" w:hAnsi="Tahoma" w:cs="Tahoma"/>
      <w:sz w:val="16"/>
      <w:szCs w:val="16"/>
    </w:rPr>
  </w:style>
  <w:style w:type="character" w:customStyle="1" w:styleId="BalloonTextChar">
    <w:name w:val="Balloon Text Char"/>
    <w:link w:val="BalloonText"/>
    <w:uiPriority w:val="99"/>
    <w:semiHidden/>
    <w:rsid w:val="000471CA"/>
    <w:rPr>
      <w:rFonts w:ascii="Tahoma" w:hAnsi="Tahoma" w:cs="Tahoma"/>
      <w:sz w:val="16"/>
      <w:szCs w:val="16"/>
      <w:lang w:val="en-US"/>
    </w:rPr>
  </w:style>
  <w:style w:type="paragraph" w:styleId="BodyText3">
    <w:name w:val="Body Text 3"/>
    <w:basedOn w:val="Normal"/>
    <w:link w:val="BodyText3Char"/>
    <w:rsid w:val="00D844B2"/>
    <w:pPr>
      <w:spacing w:line="280" w:lineRule="atLeast"/>
      <w:jc w:val="left"/>
    </w:pPr>
    <w:rPr>
      <w:rFonts w:eastAsia="Times New Roman"/>
      <w:i/>
      <w:szCs w:val="20"/>
      <w:lang w:val="en-US" w:eastAsia="ja-JP"/>
    </w:rPr>
  </w:style>
  <w:style w:type="character" w:customStyle="1" w:styleId="BodyText3Char">
    <w:name w:val="Body Text 3 Char"/>
    <w:link w:val="BodyText3"/>
    <w:rsid w:val="00D844B2"/>
    <w:rPr>
      <w:rFonts w:ascii="Times New Roman" w:eastAsia="Times New Roman" w:hAnsi="Times New Roman"/>
      <w:i/>
      <w:sz w:val="24"/>
      <w:lang w:val="en-US" w:eastAsia="ja-JP"/>
    </w:rPr>
  </w:style>
  <w:style w:type="paragraph" w:customStyle="1" w:styleId="PIexplanation">
    <w:name w:val="PI explanation"/>
    <w:basedOn w:val="Normal"/>
    <w:link w:val="PIexplanationChar"/>
    <w:rsid w:val="00D844B2"/>
    <w:pPr>
      <w:spacing w:after="120"/>
      <w:jc w:val="left"/>
    </w:pPr>
    <w:rPr>
      <w:rFonts w:eastAsia="Times New Roman"/>
      <w:i/>
      <w:color w:val="FF0000"/>
      <w:sz w:val="22"/>
      <w:szCs w:val="20"/>
      <w:lang w:eastAsia="ja-JP"/>
    </w:rPr>
  </w:style>
  <w:style w:type="paragraph" w:customStyle="1" w:styleId="TextTi12">
    <w:name w:val="Text:Ti12"/>
    <w:basedOn w:val="Normal"/>
    <w:link w:val="TextTi12Char"/>
    <w:rsid w:val="00D844B2"/>
    <w:pPr>
      <w:spacing w:after="170" w:line="280" w:lineRule="atLeast"/>
    </w:pPr>
    <w:rPr>
      <w:rFonts w:eastAsia="Times New Roman"/>
      <w:szCs w:val="20"/>
      <w:lang w:val="en-US" w:eastAsia="ja-JP"/>
    </w:rPr>
  </w:style>
  <w:style w:type="character" w:customStyle="1" w:styleId="TextTi12Char">
    <w:name w:val="Text:Ti12 Char"/>
    <w:link w:val="TextTi12"/>
    <w:rsid w:val="00D844B2"/>
    <w:rPr>
      <w:rFonts w:ascii="Times New Roman" w:eastAsia="Times New Roman" w:hAnsi="Times New Roman"/>
      <w:sz w:val="24"/>
      <w:lang w:val="en-US" w:eastAsia="ja-JP"/>
    </w:rPr>
  </w:style>
  <w:style w:type="paragraph" w:customStyle="1" w:styleId="BodyTextPI">
    <w:name w:val="Body Text PI"/>
    <w:basedOn w:val="PIexplanation"/>
    <w:link w:val="BodyTextPIChar"/>
    <w:rsid w:val="00D844B2"/>
    <w:pPr>
      <w:jc w:val="both"/>
    </w:pPr>
    <w:rPr>
      <w:i w:val="0"/>
      <w:lang w:val="en-GB"/>
    </w:rPr>
  </w:style>
  <w:style w:type="character" w:customStyle="1" w:styleId="PIexplanationChar">
    <w:name w:val="PI explanation Char"/>
    <w:link w:val="PIexplanation"/>
    <w:rsid w:val="00D844B2"/>
    <w:rPr>
      <w:rFonts w:ascii="Times New Roman" w:eastAsia="Times New Roman" w:hAnsi="Times New Roman"/>
      <w:i/>
      <w:color w:val="FF0000"/>
      <w:sz w:val="22"/>
      <w:lang w:eastAsia="ja-JP"/>
    </w:rPr>
  </w:style>
  <w:style w:type="character" w:customStyle="1" w:styleId="BodyTextPIChar">
    <w:name w:val="Body Text PI Char"/>
    <w:link w:val="BodyTextPI"/>
    <w:rsid w:val="00D844B2"/>
    <w:rPr>
      <w:rFonts w:ascii="Times New Roman" w:eastAsia="Times New Roman" w:hAnsi="Times New Roman"/>
      <w:i w:val="0"/>
      <w:color w:val="FF0000"/>
      <w:sz w:val="22"/>
      <w:lang w:val="en-GB" w:eastAsia="ja-JP"/>
    </w:rPr>
  </w:style>
  <w:style w:type="paragraph" w:styleId="BodyText2">
    <w:name w:val="Body Text 2"/>
    <w:basedOn w:val="Normal"/>
    <w:link w:val="BodyText2Char"/>
    <w:uiPriority w:val="99"/>
    <w:semiHidden/>
    <w:unhideWhenUsed/>
    <w:rsid w:val="00093012"/>
    <w:pPr>
      <w:spacing w:after="120" w:line="480" w:lineRule="auto"/>
    </w:pPr>
  </w:style>
  <w:style w:type="character" w:customStyle="1" w:styleId="BodyText2Char">
    <w:name w:val="Body Text 2 Char"/>
    <w:link w:val="BodyText2"/>
    <w:uiPriority w:val="99"/>
    <w:semiHidden/>
    <w:rsid w:val="00093012"/>
    <w:rPr>
      <w:rFonts w:ascii="Times New Roman" w:hAnsi="Times New Roman"/>
      <w:sz w:val="24"/>
      <w:szCs w:val="22"/>
    </w:rPr>
  </w:style>
  <w:style w:type="table" w:styleId="TableGrid">
    <w:name w:val="Table Grid"/>
    <w:basedOn w:val="TableNormal"/>
    <w:uiPriority w:val="59"/>
    <w:rsid w:val="004A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6875BA"/>
    <w:rPr>
      <w:sz w:val="16"/>
      <w:szCs w:val="16"/>
    </w:rPr>
  </w:style>
  <w:style w:type="paragraph" w:styleId="CommentText">
    <w:name w:val="annotation text"/>
    <w:basedOn w:val="Normal"/>
    <w:link w:val="CommentTextChar"/>
    <w:uiPriority w:val="99"/>
    <w:unhideWhenUsed/>
    <w:rsid w:val="006875BA"/>
    <w:rPr>
      <w:sz w:val="20"/>
      <w:szCs w:val="20"/>
    </w:rPr>
  </w:style>
  <w:style w:type="character" w:customStyle="1" w:styleId="CommentTextChar">
    <w:name w:val="Comment Text Char"/>
    <w:link w:val="CommentText"/>
    <w:uiPriority w:val="99"/>
    <w:rsid w:val="006875B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875BA"/>
    <w:rPr>
      <w:b/>
      <w:bCs/>
    </w:rPr>
  </w:style>
  <w:style w:type="character" w:customStyle="1" w:styleId="CommentSubjectChar">
    <w:name w:val="Comment Subject Char"/>
    <w:link w:val="CommentSubject"/>
    <w:uiPriority w:val="99"/>
    <w:semiHidden/>
    <w:rsid w:val="006875BA"/>
    <w:rPr>
      <w:rFonts w:ascii="Times New Roman" w:hAnsi="Times New Roman"/>
      <w:b/>
      <w:bCs/>
    </w:rPr>
  </w:style>
  <w:style w:type="paragraph" w:customStyle="1" w:styleId="NormalArial">
    <w:name w:val="Normal + Arial"/>
    <w:aliases w:val="9 pt"/>
    <w:basedOn w:val="Normal"/>
    <w:link w:val="NormalArialChar"/>
    <w:rsid w:val="006875BA"/>
    <w:pPr>
      <w:jc w:val="left"/>
    </w:pPr>
    <w:rPr>
      <w:rFonts w:ascii="Arial" w:eastAsia="MS Mincho" w:hAnsi="Arial"/>
      <w:sz w:val="20"/>
      <w:szCs w:val="20"/>
      <w:lang w:val="en-GB" w:eastAsia="ja-JP"/>
    </w:rPr>
  </w:style>
  <w:style w:type="character" w:customStyle="1" w:styleId="NormalArialChar">
    <w:name w:val="Normal + Arial Char"/>
    <w:aliases w:val="9 pt Char Char"/>
    <w:link w:val="NormalArial"/>
    <w:rsid w:val="006875BA"/>
    <w:rPr>
      <w:rFonts w:ascii="Arial" w:eastAsia="MS Mincho" w:hAnsi="Arial"/>
      <w:lang w:val="en-GB" w:eastAsia="ja-JP"/>
    </w:rPr>
  </w:style>
  <w:style w:type="paragraph" w:customStyle="1" w:styleId="Paragraph">
    <w:name w:val="Paragraph"/>
    <w:basedOn w:val="Normal"/>
    <w:link w:val="ParagraphChar"/>
    <w:rsid w:val="000B64CB"/>
    <w:pPr>
      <w:spacing w:after="170" w:line="280" w:lineRule="exact"/>
      <w:jc w:val="left"/>
    </w:pPr>
    <w:rPr>
      <w:rFonts w:ascii="Arial" w:eastAsia="SimSun" w:hAnsi="Arial"/>
      <w:szCs w:val="24"/>
      <w:lang w:val="en-GB" w:eastAsia="zh-CN"/>
    </w:rPr>
  </w:style>
  <w:style w:type="paragraph" w:customStyle="1" w:styleId="TableTitle">
    <w:name w:val="Table Title"/>
    <w:basedOn w:val="Normal"/>
    <w:next w:val="Paragraph"/>
    <w:link w:val="TableTitleChar"/>
    <w:rsid w:val="000B64CB"/>
    <w:pPr>
      <w:keepNext/>
      <w:keepLines/>
      <w:tabs>
        <w:tab w:val="left" w:pos="1080"/>
      </w:tabs>
      <w:spacing w:before="40" w:after="160" w:line="280" w:lineRule="exact"/>
      <w:ind w:left="1080" w:hanging="1080"/>
      <w:jc w:val="left"/>
    </w:pPr>
    <w:rPr>
      <w:rFonts w:ascii="Arial" w:eastAsia="SimSun" w:hAnsi="Arial"/>
      <w:b/>
      <w:szCs w:val="24"/>
      <w:lang w:val="en-GB" w:eastAsia="zh-CN"/>
    </w:rPr>
  </w:style>
  <w:style w:type="character" w:customStyle="1" w:styleId="ParagraphChar">
    <w:name w:val="Paragraph Char"/>
    <w:link w:val="Paragraph"/>
    <w:rsid w:val="000B64CB"/>
    <w:rPr>
      <w:rFonts w:ascii="Arial" w:eastAsia="SimSun" w:hAnsi="Arial"/>
      <w:sz w:val="24"/>
      <w:szCs w:val="24"/>
      <w:lang w:val="en-GB" w:eastAsia="zh-CN"/>
    </w:rPr>
  </w:style>
  <w:style w:type="character" w:customStyle="1" w:styleId="TableTitleChar">
    <w:name w:val="Table Title Char"/>
    <w:link w:val="TableTitle"/>
    <w:locked/>
    <w:rsid w:val="000B64CB"/>
    <w:rPr>
      <w:rFonts w:ascii="Arial" w:eastAsia="SimSun" w:hAnsi="Arial"/>
      <w:b/>
      <w:sz w:val="24"/>
      <w:szCs w:val="24"/>
      <w:lang w:val="en-GB" w:eastAsia="zh-CN"/>
    </w:rPr>
  </w:style>
  <w:style w:type="paragraph" w:styleId="TOC3">
    <w:name w:val="toc 3"/>
    <w:basedOn w:val="TOC2"/>
    <w:next w:val="Normal"/>
    <w:rsid w:val="008647FA"/>
    <w:pPr>
      <w:tabs>
        <w:tab w:val="right" w:leader="dot" w:pos="8640"/>
      </w:tabs>
      <w:spacing w:after="113" w:line="280" w:lineRule="exact"/>
      <w:ind w:left="720" w:right="1440"/>
      <w:jc w:val="left"/>
    </w:pPr>
    <w:rPr>
      <w:rFonts w:ascii="Arial" w:eastAsia="SimSun" w:hAnsi="Arial"/>
      <w:szCs w:val="24"/>
      <w:lang w:val="en-GB" w:eastAsia="zh-CN"/>
    </w:rPr>
  </w:style>
  <w:style w:type="paragraph" w:styleId="TOC2">
    <w:name w:val="toc 2"/>
    <w:basedOn w:val="Normal"/>
    <w:next w:val="Normal"/>
    <w:autoRedefine/>
    <w:uiPriority w:val="39"/>
    <w:semiHidden/>
    <w:unhideWhenUsed/>
    <w:rsid w:val="008647FA"/>
    <w:pPr>
      <w:ind w:left="240"/>
    </w:pPr>
  </w:style>
  <w:style w:type="table" w:customStyle="1" w:styleId="TableGrid1">
    <w:name w:val="Table Grid1"/>
    <w:basedOn w:val="TableNormal"/>
    <w:next w:val="TableGrid"/>
    <w:uiPriority w:val="59"/>
    <w:rsid w:val="00E719F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271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1433F"/>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4338"/>
    <w:rPr>
      <w:rFonts w:ascii="Times New Roman" w:hAnsi="Times New Roman"/>
      <w:sz w:val="24"/>
      <w:szCs w:val="22"/>
      <w:lang w:eastAsia="zh-TW"/>
    </w:rPr>
  </w:style>
  <w:style w:type="paragraph" w:customStyle="1" w:styleId="Default">
    <w:name w:val="Default"/>
    <w:rsid w:val="008256D5"/>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1109">
      <w:bodyDiv w:val="1"/>
      <w:marLeft w:val="0"/>
      <w:marRight w:val="0"/>
      <w:marTop w:val="0"/>
      <w:marBottom w:val="0"/>
      <w:divBdr>
        <w:top w:val="none" w:sz="0" w:space="0" w:color="auto"/>
        <w:left w:val="none" w:sz="0" w:space="0" w:color="auto"/>
        <w:bottom w:val="none" w:sz="0" w:space="0" w:color="auto"/>
        <w:right w:val="none" w:sz="0" w:space="0" w:color="auto"/>
      </w:divBdr>
    </w:div>
    <w:div w:id="1360594362">
      <w:bodyDiv w:val="1"/>
      <w:marLeft w:val="0"/>
      <w:marRight w:val="0"/>
      <w:marTop w:val="0"/>
      <w:marBottom w:val="0"/>
      <w:divBdr>
        <w:top w:val="none" w:sz="0" w:space="0" w:color="auto"/>
        <w:left w:val="none" w:sz="0" w:space="0" w:color="auto"/>
        <w:bottom w:val="none" w:sz="0" w:space="0" w:color="auto"/>
        <w:right w:val="none" w:sz="0" w:space="0" w:color="auto"/>
      </w:divBdr>
      <w:divsChild>
        <w:div w:id="1178693812">
          <w:marLeft w:val="0"/>
          <w:marRight w:val="0"/>
          <w:marTop w:val="0"/>
          <w:marBottom w:val="0"/>
          <w:divBdr>
            <w:top w:val="none" w:sz="0" w:space="0" w:color="auto"/>
            <w:left w:val="none" w:sz="0" w:space="0" w:color="auto"/>
            <w:bottom w:val="none" w:sz="0" w:space="0" w:color="auto"/>
            <w:right w:val="none" w:sz="0" w:space="0" w:color="auto"/>
          </w:divBdr>
          <w:divsChild>
            <w:div w:id="141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ettd\AppData\Roaming\Microsoft\Templates\CTD_Wide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latypus_Reg RocheNow Document" ma:contentTypeID="0x0101009A2339F13CE59642B80B421085E31E2F00286CC69A91675248952635FF83E0210D" ma:contentTypeVersion="19" ma:contentTypeDescription="" ma:contentTypeScope="" ma:versionID="a227388190935103887cd0c84275a2a8">
  <xsd:schema xmlns:xsd="http://www.w3.org/2001/XMLSchema" xmlns:p="http://schemas.microsoft.com/office/2006/metadata/properties" xmlns:ns2="cdc234f4-5b58-4c7d-9dc6-e130e2fe82ae" targetNamespace="http://schemas.microsoft.com/office/2006/metadata/properties" ma:root="true" ma:fieldsID="d7d6c729c31931e00c108065be9ae65c" ns2:_="">
    <xsd:import namespace="cdc234f4-5b58-4c7d-9dc6-e130e2fe82ae"/>
    <xsd:element name="properties">
      <xsd:complexType>
        <xsd:sequence>
          <xsd:element name="documentManagement">
            <xsd:complexType>
              <xsd:all>
                <xsd:element ref="ns2:Platypus_REG_x0020_Category" minOccurs="0"/>
                <xsd:element ref="ns2:Platypus_REG_x0020_Compliance_x0020_Activities" minOccurs="0"/>
                <xsd:element ref="ns2:Platypus_REG_x0020_Registration_x0020_Activities" minOccurs="0"/>
                <xsd:element ref="ns2:Platypus_REG_x0020_NON_CONDOR_x0020_Process_x0020_Type" minOccurs="0"/>
                <xsd:element ref="ns2:Platypus_REG_x0020_Process_x0020_Type" minOccurs="0"/>
                <xsd:element ref="ns2:Platypus_REG_x0020_NON-CONDOR_x0020_Process_x0020_Type" minOccurs="0"/>
                <xsd:element ref="ns2:Platypus_REG_x0020_Primary_x0020_Group" minOccurs="0"/>
                <xsd:element ref="ns2:Platypus_REG_x0020_Country" minOccurs="0"/>
                <xsd:element ref="ns2:REG_Team_Members" minOccurs="0"/>
                <xsd:element ref="ns2:RN.Keywords" minOccurs="0"/>
                <xsd:element ref="ns2:Platypus_REG_x0020_Status" minOccurs="0"/>
                <xsd:element ref="ns2:RN.FilterWord" minOccurs="0"/>
              </xsd:all>
            </xsd:complexType>
          </xsd:element>
        </xsd:sequence>
      </xsd:complexType>
    </xsd:element>
  </xsd:schema>
  <xsd:schema xmlns:xsd="http://www.w3.org/2001/XMLSchema" xmlns:dms="http://schemas.microsoft.com/office/2006/documentManagement/types" targetNamespace="cdc234f4-5b58-4c7d-9dc6-e130e2fe82ae" elementFormDefault="qualified">
    <xsd:import namespace="http://schemas.microsoft.com/office/2006/documentManagement/types"/>
    <xsd:element name="Platypus_REG_x0020_Category" ma:index="2" nillable="true" ma:displayName="Platypus_REG Category" ma:list="2616700a-9f3e-4b9b-a149-e614a53768ea" ma:internalName="Platypus_REG_x0020_Category" ma:showField="Title" ma:web="cdc234f4-5b58-4c7d-9dc6-e130e2fe82ae">
      <xsd:simpleType>
        <xsd:restriction base="dms:Lookup"/>
      </xsd:simpleType>
    </xsd:element>
    <xsd:element name="Platypus_REG_x0020_Compliance_x0020_Activities" ma:index="3" nillable="true" ma:displayName="Platypus_REG Compliance Activities" ma:list="{2616700a-9f3e-4b9b-a149-e614a53768ea}" ma:internalName="Platypus_REG_x0020_Compliance_x0020_Activities" ma:showField="Compliance_x0020_Activities" ma:web="cdc234f4-5b58-4c7d-9dc6-e130e2fe82ae">
      <xsd:simpleType>
        <xsd:restriction base="dms:Lookup"/>
      </xsd:simpleType>
    </xsd:element>
    <xsd:element name="Platypus_REG_x0020_Registration_x0020_Activities" ma:index="4" nillable="true" ma:displayName="Platypus_REG Registration Activities" ma:list="{2616700a-9f3e-4b9b-a149-e614a53768ea}" ma:internalName="Platypus_REG_x0020_Registration_x0020_Activities" ma:showField="Registration_x0020_Activities" ma:web="cdc234f4-5b58-4c7d-9dc6-e130e2fe82ae">
      <xsd:simpleType>
        <xsd:restriction base="dms:Lookup"/>
      </xsd:simpleType>
    </xsd:element>
    <xsd:element name="Platypus_REG_x0020_NON_CONDOR_x0020_Process_x0020_Type" ma:index="5" nillable="true" ma:displayName="Platypus_REG Process Category" ma:list="2616700a-9f3e-4b9b-a149-e614a53768ea" ma:internalName="Platypus_REG_x0020_NON_CONDOR_x0020_Process_x0020_Type" ma:showField="Non_x0020_CONDOR_x0020_Process" ma:web="cdc234f4-5b58-4c7d-9dc6-e130e2fe82ae">
      <xsd:simpleType>
        <xsd:restriction base="dms:Lookup"/>
      </xsd:simpleType>
    </xsd:element>
    <xsd:element name="Platypus_REG_x0020_Process_x0020_Type" ma:index="6" nillable="true" ma:displayName="Platypus_REG CONDOR Process Type" ma:list="2616700a-9f3e-4b9b-a149-e614a53768ea" ma:internalName="Platypus_REG_x0020_Process_x0020_Type" ma:showField="Process_x0020_Type" ma:web="cdc234f4-5b58-4c7d-9dc6-e130e2fe82ae">
      <xsd:simpleType>
        <xsd:restriction base="dms:Lookup"/>
      </xsd:simpleType>
    </xsd:element>
    <xsd:element name="Platypus_REG_x0020_NON-CONDOR_x0020_Process_x0020_Type" ma:index="7" nillable="true" ma:displayName="Platypus_REG NON-CONDOR Process Type" ma:list="2616700a-9f3e-4b9b-a149-e614a53768ea" ma:internalName="Platypus_REG_x0020_NON_x002d_CONDOR_x0020_Process_x0020_Type" ma:showField="Non_x0020_Condor_x0020_Process_x" ma:web="cdc234f4-5b58-4c7d-9dc6-e130e2fe82ae">
      <xsd:simpleType>
        <xsd:restriction base="dms:Lookup"/>
      </xsd:simpleType>
    </xsd:element>
    <xsd:element name="Platypus_REG_x0020_Primary_x0020_Group" ma:index="8" nillable="true" ma:displayName="Platypus_REG Primary Group" ma:list="2616700a-9f3e-4b9b-a149-e614a53768ea" ma:internalName="Platypus_REG_x0020_Primary_x0020_Group" ma:showField="Primary_x0020_Group" ma:web="cdc234f4-5b58-4c7d-9dc6-e130e2fe82ae">
      <xsd:simpleType>
        <xsd:restriction base="dms:Lookup"/>
      </xsd:simpleType>
    </xsd:element>
    <xsd:element name="Platypus_REG_x0020_Country" ma:index="9" nillable="true" ma:displayName="Platypus_REG Country" ma:list="2616700a-9f3e-4b9b-a149-e614a53768ea" ma:internalName="Platypus_REG_x0020_Country" ma:showField="Country" ma:web="cdc234f4-5b58-4c7d-9dc6-e130e2fe82ae">
      <xsd:simpleType>
        <xsd:restriction base="dms:Lookup"/>
      </xsd:simpleType>
    </xsd:element>
    <xsd:element name="REG_Team_Members" ma:index="10" nillable="true" ma:displayName="REG_Team_Members" ma:list="UserInfo" ma:internalName="REG_Team_Members"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Keywords" ma:index="11" nillable="true" ma:displayName="RN.Keywords" ma:default="" ma:internalName="RN_x002e_Keywords">
      <xsd:simpleType>
        <xsd:restriction base="dms:Text">
          <xsd:maxLength value="255"/>
        </xsd:restriction>
      </xsd:simpleType>
    </xsd:element>
    <xsd:element name="Platypus_REG_x0020_Status" ma:index="12" nillable="true" ma:displayName="Platypus_REG Status" ma:list="2616700a-9f3e-4b9b-a149-e614a53768ea" ma:internalName="Platypus_REG_x0020_Status" ma:showField="Status" ma:web="cdc234f4-5b58-4c7d-9dc6-e130e2fe82ae">
      <xsd:simpleType>
        <xsd:restriction base="dms:Lookup"/>
      </xsd:simpleType>
    </xsd:element>
    <xsd:element name="RN.FilterWord" ma:index="20" nillable="true" ma:displayName="RN.FilterWord" ma:internalName="RN_x002e_FilterW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atypus_REG_x0020_Category xmlns="cdc234f4-5b58-4c7d-9dc6-e130e2fe82ae" xsi:nil="true"/>
    <Platypus_REG_x0020_Country xmlns="cdc234f4-5b58-4c7d-9dc6-e130e2fe82ae" xsi:nil="true"/>
    <Platypus_REG_x0020_Primary_x0020_Group xmlns="cdc234f4-5b58-4c7d-9dc6-e130e2fe82ae" xsi:nil="true"/>
    <Platypus_REG_x0020_NON-CONDOR_x0020_Process_x0020_Type xmlns="cdc234f4-5b58-4c7d-9dc6-e130e2fe82ae" xsi:nil="true"/>
    <Platypus_REG_x0020_Registration_x0020_Activities xmlns="cdc234f4-5b58-4c7d-9dc6-e130e2fe82ae" xsi:nil="true"/>
    <Platypus_REG_x0020_NON_CONDOR_x0020_Process_x0020_Type xmlns="cdc234f4-5b58-4c7d-9dc6-e130e2fe82ae" xsi:nil="true"/>
    <Platypus_REG_x0020_Compliance_x0020_Activities xmlns="cdc234f4-5b58-4c7d-9dc6-e130e2fe82ae" xsi:nil="true"/>
    <RN.FilterWord xmlns="cdc234f4-5b58-4c7d-9dc6-e130e2fe82ae" xsi:nil="true"/>
    <Platypus_REG_x0020_Process_x0020_Type xmlns="cdc234f4-5b58-4c7d-9dc6-e130e2fe82ae" xsi:nil="true"/>
    <REG_Team_Members xmlns="cdc234f4-5b58-4c7d-9dc6-e130e2fe82ae">
      <UserInfo>
        <DisplayName/>
        <AccountId xsi:nil="true"/>
        <AccountType/>
      </UserInfo>
    </REG_Team_Members>
    <Platypus_REG_x0020_Status xmlns="cdc234f4-5b58-4c7d-9dc6-e130e2fe82ae" xsi:nil="true"/>
    <RN.Keywords xmlns="cdc234f4-5b58-4c7d-9dc6-e130e2fe82a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FEB43-19B3-4C6A-829F-CE7C3C928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234f4-5b58-4c7d-9dc6-e130e2fe82a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9A6C54-18AA-4022-BFBB-51A561E77262}">
  <ds:schemaRefs>
    <ds:schemaRef ds:uri="http://schemas.microsoft.com/sharepoint/v3/contenttype/forms"/>
  </ds:schemaRefs>
</ds:datastoreItem>
</file>

<file path=customXml/itemProps3.xml><?xml version="1.0" encoding="utf-8"?>
<ds:datastoreItem xmlns:ds="http://schemas.openxmlformats.org/officeDocument/2006/customXml" ds:itemID="{4D0B3678-EACB-428A-90CA-EC3151F1E2F8}">
  <ds:schemaRef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cdc234f4-5b58-4c7d-9dc6-e130e2fe82ae"/>
    <ds:schemaRef ds:uri="http://purl.org/dc/dcmitype/"/>
  </ds:schemaRefs>
</ds:datastoreItem>
</file>

<file path=customXml/itemProps4.xml><?xml version="1.0" encoding="utf-8"?>
<ds:datastoreItem xmlns:ds="http://schemas.openxmlformats.org/officeDocument/2006/customXml" ds:itemID="{1CF6411E-3755-401F-9237-9F3CD7F2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CTD_Wide_10H.dot</Template>
  <TotalTime>7</TotalTime>
  <Pages>37</Pages>
  <Words>12419</Words>
  <Characters>70793</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83046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Obinutuzumab </dc:title>
  <dc:subject>prescription medicines</dc:subject>
  <dc:creator>Roche</dc:creator>
  <cp:keywords>AusPARs</cp:keywords>
  <cp:lastModifiedBy>LACK, Janet</cp:lastModifiedBy>
  <cp:revision>3</cp:revision>
  <cp:lastPrinted>2017-06-14T05:27:00Z</cp:lastPrinted>
  <dcterms:created xsi:type="dcterms:W3CDTF">2018-05-08T03:44:00Z</dcterms:created>
  <dcterms:modified xsi:type="dcterms:W3CDTF">2018-05-08T03:51:00Z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0x0101009A2339F13CE59642B80B421085E31E2F00286CC69A91675248952635FF83E0210D</vt:lpwstr>
  </property>
  <property fmtid="{D5CDD505-2E9C-101B-9397-08002B2CF9AE}" pid="3" name="Template Version">
    <vt:lpwstr>1.4</vt:lpwstr>
  </property>
</Properties>
</file>