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9A2EA1" w14:paraId="65E8432C" w14:textId="77777777" w:rsidTr="00BF1190">
        <w:trPr>
          <w:trHeight w:val="1863"/>
        </w:trPr>
        <w:tc>
          <w:tcPr>
            <w:tcW w:w="3652" w:type="dxa"/>
            <w:tcBorders>
              <w:top w:val="nil"/>
              <w:left w:val="nil"/>
              <w:bottom w:val="nil"/>
              <w:right w:val="nil"/>
            </w:tcBorders>
          </w:tcPr>
          <w:p w14:paraId="5A78C346" w14:textId="68A36AB5" w:rsidR="008E7846" w:rsidRPr="009A2EA1" w:rsidRDefault="007E05A2" w:rsidP="00A46054">
            <w:pPr>
              <w:rPr>
                <w:rFonts w:ascii="Arial" w:hAnsi="Arial" w:cs="Arial"/>
                <w:b/>
                <w:color w:val="002C47"/>
                <w:sz w:val="36"/>
                <w:szCs w:val="36"/>
              </w:rPr>
            </w:pPr>
            <w:r w:rsidRPr="009A2EA1">
              <w:rPr>
                <w:rFonts w:ascii="Arial" w:hAnsi="Arial" w:cs="Arial"/>
                <w:b/>
                <w:color w:val="002C47"/>
                <w:sz w:val="36"/>
                <w:szCs w:val="36"/>
              </w:rPr>
              <w:t>Ma</w:t>
            </w:r>
            <w:r w:rsidR="00A46054">
              <w:rPr>
                <w:rFonts w:ascii="Arial" w:hAnsi="Arial" w:cs="Arial"/>
                <w:b/>
                <w:color w:val="002C47"/>
                <w:sz w:val="36"/>
                <w:szCs w:val="36"/>
              </w:rPr>
              <w:t>y</w:t>
            </w:r>
            <w:r w:rsidRPr="009A2EA1">
              <w:rPr>
                <w:rFonts w:ascii="Arial" w:hAnsi="Arial" w:cs="Arial"/>
                <w:b/>
                <w:color w:val="002C47"/>
                <w:sz w:val="36"/>
                <w:szCs w:val="36"/>
              </w:rPr>
              <w:t xml:space="preserve"> 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9A2EA1" w14:paraId="5082398B" w14:textId="77777777" w:rsidTr="0032583B">
        <w:trPr>
          <w:trHeight w:val="868"/>
        </w:trPr>
        <w:tc>
          <w:tcPr>
            <w:tcW w:w="9079" w:type="dxa"/>
          </w:tcPr>
          <w:p w14:paraId="1A65DAA9" w14:textId="15C588EE" w:rsidR="0032583B" w:rsidRPr="009A2EA1" w:rsidRDefault="0032583B" w:rsidP="00F20ACE">
            <w:pPr>
              <w:pStyle w:val="Title"/>
              <w:rPr>
                <w:color w:val="FFFFFF" w:themeColor="background1"/>
              </w:rPr>
            </w:pPr>
            <w:r w:rsidRPr="009A2EA1">
              <w:rPr>
                <w:color w:val="FFFFFF" w:themeColor="background1"/>
              </w:rPr>
              <w:t>Australian</w:t>
            </w:r>
            <w:r w:rsidR="00A63E4A" w:rsidRPr="009A2EA1">
              <w:rPr>
                <w:color w:val="FFFFFF" w:themeColor="background1"/>
              </w:rPr>
              <w:t xml:space="preserve"> Public Assessment Report for </w:t>
            </w:r>
            <w:proofErr w:type="spellStart"/>
            <w:r w:rsidR="00F20ACE">
              <w:rPr>
                <w:color w:val="FFFFFF" w:themeColor="background1"/>
              </w:rPr>
              <w:t>O</w:t>
            </w:r>
            <w:r w:rsidR="00A63E4A" w:rsidRPr="009A2EA1">
              <w:rPr>
                <w:color w:val="FFFFFF" w:themeColor="background1"/>
              </w:rPr>
              <w:t>bin</w:t>
            </w:r>
            <w:r w:rsidR="00B14B6D">
              <w:rPr>
                <w:color w:val="FFFFFF" w:themeColor="background1"/>
              </w:rPr>
              <w:t>u</w:t>
            </w:r>
            <w:r w:rsidR="00A63E4A" w:rsidRPr="009A2EA1">
              <w:rPr>
                <w:color w:val="FFFFFF" w:themeColor="background1"/>
              </w:rPr>
              <w:t>tuzumab</w:t>
            </w:r>
            <w:proofErr w:type="spellEnd"/>
          </w:p>
        </w:tc>
      </w:tr>
      <w:tr w:rsidR="0032583B" w:rsidRPr="009A2EA1" w14:paraId="59EA8FFA" w14:textId="77777777" w:rsidTr="0032583B">
        <w:tc>
          <w:tcPr>
            <w:tcW w:w="9079" w:type="dxa"/>
          </w:tcPr>
          <w:p w14:paraId="2EE67385" w14:textId="77777777" w:rsidR="0032583B" w:rsidRPr="009A2EA1" w:rsidRDefault="00A63E4A" w:rsidP="00A63E4A">
            <w:pPr>
              <w:pStyle w:val="Subtitle"/>
              <w:ind w:left="0"/>
              <w:rPr>
                <w:color w:val="FFFFFF" w:themeColor="background1"/>
              </w:rPr>
            </w:pPr>
            <w:r w:rsidRPr="009A2EA1">
              <w:rPr>
                <w:color w:val="FFFFFF" w:themeColor="background1"/>
              </w:rPr>
              <w:t xml:space="preserve">Proprietary Product Name: </w:t>
            </w:r>
            <w:r w:rsidR="007E05A2" w:rsidRPr="009A2EA1">
              <w:rPr>
                <w:color w:val="FFFFFF" w:themeColor="background1"/>
              </w:rPr>
              <w:t>Gazyva</w:t>
            </w:r>
          </w:p>
        </w:tc>
      </w:tr>
      <w:tr w:rsidR="0032583B" w:rsidRPr="009A2EA1" w14:paraId="6E8E0813" w14:textId="77777777" w:rsidTr="0032583B">
        <w:trPr>
          <w:trHeight w:val="486"/>
        </w:trPr>
        <w:tc>
          <w:tcPr>
            <w:tcW w:w="9079" w:type="dxa"/>
          </w:tcPr>
          <w:p w14:paraId="16A261C9" w14:textId="77777777" w:rsidR="0032583B" w:rsidRPr="009A2EA1" w:rsidRDefault="007E05A2" w:rsidP="00A63E4A">
            <w:pPr>
              <w:pStyle w:val="Subtitle"/>
              <w:ind w:left="0"/>
              <w:rPr>
                <w:color w:val="FFFFFF" w:themeColor="background1"/>
              </w:rPr>
            </w:pPr>
            <w:r w:rsidRPr="009A2EA1">
              <w:rPr>
                <w:color w:val="FFFFFF" w:themeColor="background1"/>
              </w:rPr>
              <w:t>Sponsor: Roche Products Pty Ltd</w:t>
            </w:r>
          </w:p>
        </w:tc>
      </w:tr>
    </w:tbl>
    <w:p w14:paraId="59D8B99C" w14:textId="77777777" w:rsidR="008E7846" w:rsidRPr="009A2EA1" w:rsidRDefault="008E7846" w:rsidP="0085156D">
      <w:r w:rsidRPr="009A2EA1">
        <w:br w:type="page"/>
      </w:r>
    </w:p>
    <w:p w14:paraId="6A55877C" w14:textId="77777777" w:rsidR="008E7846" w:rsidRPr="009A2EA1" w:rsidRDefault="008E7846" w:rsidP="008E7846">
      <w:pPr>
        <w:pStyle w:val="NonTOCHeading2"/>
      </w:pPr>
      <w:r w:rsidRPr="009A2EA1">
        <w:lastRenderedPageBreak/>
        <w:t>About the Therapeutic Goods Administration (TGA)</w:t>
      </w:r>
    </w:p>
    <w:p w14:paraId="6E3B9CE0" w14:textId="77777777" w:rsidR="008E7846" w:rsidRPr="009A2EA1" w:rsidRDefault="008E7846" w:rsidP="006D2F38">
      <w:pPr>
        <w:pStyle w:val="ListBullet"/>
        <w:numPr>
          <w:ilvl w:val="0"/>
          <w:numId w:val="1"/>
        </w:numPr>
        <w:ind w:left="357" w:hanging="357"/>
      </w:pPr>
      <w:r w:rsidRPr="009A2EA1">
        <w:t xml:space="preserve">The Therapeutic Goods Administration (TGA) is </w:t>
      </w:r>
      <w:r w:rsidR="00E624A5" w:rsidRPr="009A2EA1">
        <w:t xml:space="preserve">part </w:t>
      </w:r>
      <w:r w:rsidRPr="009A2EA1">
        <w:t>of the Australian Government Department of Health and is responsible for regulating medicines and medical devices.</w:t>
      </w:r>
    </w:p>
    <w:p w14:paraId="7FFE2EBD" w14:textId="77777777" w:rsidR="008E7846" w:rsidRPr="009A2EA1" w:rsidRDefault="00C80137" w:rsidP="006D2F38">
      <w:pPr>
        <w:pStyle w:val="ListBullet"/>
        <w:numPr>
          <w:ilvl w:val="0"/>
          <w:numId w:val="1"/>
        </w:numPr>
        <w:ind w:left="357" w:hanging="357"/>
      </w:pPr>
      <w:r w:rsidRPr="009A2EA1">
        <w:t xml:space="preserve">The </w:t>
      </w:r>
      <w:r w:rsidR="008E7846" w:rsidRPr="009A2EA1">
        <w:t xml:space="preserve">TGA administers the </w:t>
      </w:r>
      <w:r w:rsidR="008E7846" w:rsidRPr="009A2EA1">
        <w:rPr>
          <w:i/>
        </w:rPr>
        <w:t>Therapeutic Goods Act 1989</w:t>
      </w:r>
      <w:r w:rsidR="00785717" w:rsidRPr="009A2EA1">
        <w:rPr>
          <w:i/>
        </w:rPr>
        <w:t xml:space="preserve"> </w:t>
      </w:r>
      <w:r w:rsidR="00785717" w:rsidRPr="009A2EA1">
        <w:t>(the Act)</w:t>
      </w:r>
      <w:r w:rsidR="008E7846" w:rsidRPr="009A2EA1">
        <w:t>, applying a risk management approach designed to ensure therapeutic goods supplied in Australia meet acceptable standards of quality, safety and efficacy (performance) when necessary.</w:t>
      </w:r>
    </w:p>
    <w:p w14:paraId="5554021E" w14:textId="77777777" w:rsidR="008E7846" w:rsidRPr="009A2EA1" w:rsidRDefault="008E7846" w:rsidP="006D2F38">
      <w:pPr>
        <w:pStyle w:val="ListBullet"/>
        <w:numPr>
          <w:ilvl w:val="0"/>
          <w:numId w:val="1"/>
        </w:numPr>
        <w:ind w:left="357" w:hanging="357"/>
      </w:pPr>
      <w:r w:rsidRPr="009A2EA1">
        <w:t>The work of the TGA is based on applying scientific and clinical expertise to decision-making, to ensure that the benefits to consumers outweigh any risks associated with the use of medicines and medical devices.</w:t>
      </w:r>
    </w:p>
    <w:p w14:paraId="12E223AD" w14:textId="77777777" w:rsidR="008E7846" w:rsidRPr="009A2EA1" w:rsidRDefault="008E7846" w:rsidP="006D2F38">
      <w:pPr>
        <w:pStyle w:val="ListBullet"/>
        <w:numPr>
          <w:ilvl w:val="0"/>
          <w:numId w:val="1"/>
        </w:numPr>
        <w:ind w:left="357" w:hanging="357"/>
      </w:pPr>
      <w:r w:rsidRPr="009A2EA1">
        <w:t>The TGA relies on the public, healthcare professionals and industry to report problems with medicines or medical devices. TGA investigates reports received by it to determine any necessary regulatory action.</w:t>
      </w:r>
    </w:p>
    <w:p w14:paraId="087F511C" w14:textId="77777777" w:rsidR="00441C3F" w:rsidRPr="009A2EA1" w:rsidRDefault="008E7846" w:rsidP="006D2F38">
      <w:pPr>
        <w:pStyle w:val="ListBullet"/>
        <w:numPr>
          <w:ilvl w:val="0"/>
          <w:numId w:val="1"/>
        </w:numPr>
        <w:ind w:left="357" w:hanging="357"/>
      </w:pPr>
      <w:r w:rsidRPr="009A2EA1">
        <w:t xml:space="preserve">To report a problem with a medicine or medical device, please see the information on </w:t>
      </w:r>
      <w:r w:rsidR="00441C3F" w:rsidRPr="009A2EA1">
        <w:t>the TGA website &lt;</w:t>
      </w:r>
      <w:hyperlink r:id="rId9" w:history="1">
        <w:r w:rsidR="00441C3F" w:rsidRPr="009A2EA1">
          <w:rPr>
            <w:rStyle w:val="Hyperlink"/>
          </w:rPr>
          <w:t>https://www.tga.gov.au</w:t>
        </w:r>
      </w:hyperlink>
      <w:r w:rsidR="00441C3F" w:rsidRPr="009A2EA1">
        <w:t>&gt;.</w:t>
      </w:r>
    </w:p>
    <w:p w14:paraId="17574790" w14:textId="77777777" w:rsidR="008E7846" w:rsidRPr="009A2EA1" w:rsidRDefault="008E7846" w:rsidP="00875A6B">
      <w:pPr>
        <w:pStyle w:val="NonTOCHeading2"/>
      </w:pPr>
      <w:r w:rsidRPr="009A2EA1">
        <w:t>About AusPARs</w:t>
      </w:r>
    </w:p>
    <w:p w14:paraId="0A610F1F" w14:textId="77777777" w:rsidR="008E7846" w:rsidRPr="009A2EA1" w:rsidRDefault="008E7846" w:rsidP="006D2F38">
      <w:pPr>
        <w:pStyle w:val="ListBullet"/>
        <w:numPr>
          <w:ilvl w:val="0"/>
          <w:numId w:val="1"/>
        </w:numPr>
        <w:ind w:left="357" w:hanging="357"/>
      </w:pPr>
      <w:r w:rsidRPr="009A2EA1">
        <w:t>An Australian Public Assessment Re</w:t>
      </w:r>
      <w:r w:rsidR="00133A1B" w:rsidRPr="009A2EA1">
        <w:t>port</w:t>
      </w:r>
      <w:r w:rsidRPr="009A2EA1">
        <w:t xml:space="preserve"> (AusPAR) provides information about the evaluation of a prescription medicine and the considerations that led the TGA to approve or not approve a pr</w:t>
      </w:r>
      <w:r w:rsidR="00441C3F" w:rsidRPr="009A2EA1">
        <w:t>escription medicine submission.</w:t>
      </w:r>
    </w:p>
    <w:p w14:paraId="488DC764" w14:textId="77777777" w:rsidR="008E7846" w:rsidRPr="009A2EA1" w:rsidRDefault="008E7846" w:rsidP="006D2F38">
      <w:pPr>
        <w:pStyle w:val="ListBullet"/>
        <w:numPr>
          <w:ilvl w:val="0"/>
          <w:numId w:val="1"/>
        </w:numPr>
        <w:ind w:left="357" w:hanging="357"/>
      </w:pPr>
      <w:r w:rsidRPr="009A2EA1">
        <w:t>AusPARs are prepared and published by the TGA.</w:t>
      </w:r>
    </w:p>
    <w:p w14:paraId="02272AD6" w14:textId="77777777" w:rsidR="008E7846" w:rsidRPr="009A2EA1" w:rsidRDefault="008E7846" w:rsidP="006D2F38">
      <w:pPr>
        <w:pStyle w:val="ListBullet"/>
        <w:numPr>
          <w:ilvl w:val="0"/>
          <w:numId w:val="1"/>
        </w:numPr>
        <w:ind w:left="357" w:hanging="357"/>
      </w:pPr>
      <w:r w:rsidRPr="009A2EA1">
        <w:t>An AusPAR is prepared for submissions that relate to new chemical entities, generic medicines, major variations and extensions of indications.</w:t>
      </w:r>
    </w:p>
    <w:p w14:paraId="33A30F9C" w14:textId="77777777" w:rsidR="008E7846" w:rsidRPr="009A2EA1" w:rsidRDefault="008E7846" w:rsidP="006D2F38">
      <w:pPr>
        <w:pStyle w:val="ListBullet"/>
        <w:numPr>
          <w:ilvl w:val="0"/>
          <w:numId w:val="1"/>
        </w:numPr>
        <w:ind w:left="357" w:hanging="357"/>
      </w:pPr>
      <w:r w:rsidRPr="009A2EA1">
        <w:t>An AusPAR is a static document</w:t>
      </w:r>
      <w:r w:rsidR="00133A1B" w:rsidRPr="009A2EA1">
        <w:t>;</w:t>
      </w:r>
      <w:r w:rsidRPr="009A2EA1">
        <w:t xml:space="preserve"> it provide</w:t>
      </w:r>
      <w:r w:rsidR="00133A1B" w:rsidRPr="009A2EA1">
        <w:t>s</w:t>
      </w:r>
      <w:r w:rsidRPr="009A2EA1">
        <w:t xml:space="preserve"> information that relates to a submission at a particular point in time.</w:t>
      </w:r>
    </w:p>
    <w:p w14:paraId="119AB289" w14:textId="77777777" w:rsidR="00B452CE" w:rsidRPr="009A2EA1" w:rsidRDefault="008E7846" w:rsidP="006D2F38">
      <w:pPr>
        <w:pStyle w:val="ListBullet"/>
        <w:numPr>
          <w:ilvl w:val="0"/>
          <w:numId w:val="1"/>
        </w:numPr>
        <w:ind w:left="357" w:hanging="357"/>
      </w:pPr>
      <w:r w:rsidRPr="009A2EA1">
        <w:t>A new AusPAR will be developed to reflect changes to indications and/or major variations to a prescription medicine subject to evaluation by the TGA.</w:t>
      </w:r>
    </w:p>
    <w:p w14:paraId="76BFFA99" w14:textId="77777777" w:rsidR="00924482" w:rsidRPr="009A2EA1" w:rsidRDefault="00924482" w:rsidP="00F54B65">
      <w:pPr>
        <w:pStyle w:val="LegalSubheading"/>
        <w:spacing w:before="3120"/>
      </w:pPr>
      <w:r w:rsidRPr="009A2EA1">
        <w:t>Copyright</w:t>
      </w:r>
    </w:p>
    <w:p w14:paraId="3DFDAEB3" w14:textId="120FD755" w:rsidR="00924482" w:rsidRPr="009A2EA1" w:rsidRDefault="00924482" w:rsidP="00924482">
      <w:pPr>
        <w:pStyle w:val="LegalCopy"/>
      </w:pPr>
      <w:r w:rsidRPr="009A2EA1">
        <w:rPr>
          <w:rFonts w:cs="Arial"/>
        </w:rPr>
        <w:t>© Commonwealth of Australia 201</w:t>
      </w:r>
      <w:r w:rsidR="00F20ACE">
        <w:rPr>
          <w:rFonts w:cs="Arial"/>
        </w:rPr>
        <w:t>8</w:t>
      </w:r>
      <w:r w:rsidRPr="009A2EA1">
        <w:rPr>
          <w:rFonts w:cs="Arial"/>
        </w:rPr>
        <w:br/>
      </w:r>
      <w:proofErr w:type="gramStart"/>
      <w:r w:rsidRPr="009A2EA1">
        <w:rPr>
          <w:rFonts w:cs="Arial"/>
        </w:rPr>
        <w:t>This</w:t>
      </w:r>
      <w:proofErr w:type="gramEnd"/>
      <w:r w:rsidRPr="009A2EA1">
        <w:rPr>
          <w:rFonts w:cs="Arial"/>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A2EA1">
        <w:rPr>
          <w:rFonts w:cs="Arial"/>
          <w:i/>
        </w:rPr>
        <w:t>Copyright Act 1968</w:t>
      </w:r>
      <w:r w:rsidRPr="009A2EA1">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9A2EA1">
          <w:rPr>
            <w:rStyle w:val="Hyperlink"/>
            <w:rFonts w:cs="Arial"/>
          </w:rPr>
          <w:t>tga.copyright@tga.gov.au</w:t>
        </w:r>
      </w:hyperlink>
      <w:r w:rsidRPr="009A2EA1">
        <w:rPr>
          <w:rFonts w:cs="Arial"/>
        </w:rPr>
        <w:t>&gt;.</w:t>
      </w:r>
    </w:p>
    <w:p w14:paraId="4823F141" w14:textId="77777777" w:rsidR="00924482" w:rsidRPr="009A2EA1" w:rsidRDefault="00924482" w:rsidP="00924482">
      <w:pPr>
        <w:pStyle w:val="LegalCopy"/>
        <w:sectPr w:rsidR="00924482" w:rsidRPr="009A2EA1"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5EB177E" w14:textId="77777777" w:rsidR="0089635C" w:rsidRPr="009A2EA1" w:rsidRDefault="0089635C" w:rsidP="0010788A">
          <w:pPr>
            <w:pStyle w:val="Contents"/>
          </w:pPr>
          <w:r w:rsidRPr="009A2EA1">
            <w:t>Conte</w:t>
          </w:r>
          <w:bookmarkStart w:id="2" w:name="_GoBack"/>
          <w:bookmarkEnd w:id="2"/>
          <w:r w:rsidRPr="009A2EA1">
            <w:t>nts</w:t>
          </w:r>
        </w:p>
        <w:p w14:paraId="0D981B82" w14:textId="77777777" w:rsidR="008E5E13" w:rsidRDefault="00DB6124">
          <w:pPr>
            <w:pStyle w:val="TOC2"/>
            <w:rPr>
              <w:rFonts w:asciiTheme="minorHAnsi" w:eastAsiaTheme="minorEastAsia" w:hAnsiTheme="minorHAnsi" w:cstheme="minorBidi"/>
              <w:b w:val="0"/>
              <w:noProof/>
              <w:sz w:val="22"/>
              <w:lang w:eastAsia="en-AU"/>
            </w:rPr>
          </w:pPr>
          <w:r w:rsidRPr="009A2EA1">
            <w:fldChar w:fldCharType="begin"/>
          </w:r>
          <w:r w:rsidR="0089635C" w:rsidRPr="009A2EA1">
            <w:instrText xml:space="preserve"> TOC \o "1-3" \h \z \u </w:instrText>
          </w:r>
          <w:r w:rsidRPr="009A2EA1">
            <w:fldChar w:fldCharType="separate"/>
          </w:r>
          <w:hyperlink w:anchor="_Toc513552838" w:history="1">
            <w:r w:rsidR="008E5E13" w:rsidRPr="0000308A">
              <w:rPr>
                <w:rStyle w:val="Hyperlink"/>
                <w:noProof/>
              </w:rPr>
              <w:t>Common abbreviations</w:t>
            </w:r>
            <w:r w:rsidR="008E5E13">
              <w:rPr>
                <w:noProof/>
                <w:webHidden/>
              </w:rPr>
              <w:tab/>
            </w:r>
            <w:r w:rsidR="008E5E13">
              <w:rPr>
                <w:noProof/>
                <w:webHidden/>
              </w:rPr>
              <w:fldChar w:fldCharType="begin"/>
            </w:r>
            <w:r w:rsidR="008E5E13">
              <w:rPr>
                <w:noProof/>
                <w:webHidden/>
              </w:rPr>
              <w:instrText xml:space="preserve"> PAGEREF _Toc513552838 \h </w:instrText>
            </w:r>
            <w:r w:rsidR="008E5E13">
              <w:rPr>
                <w:noProof/>
                <w:webHidden/>
              </w:rPr>
            </w:r>
            <w:r w:rsidR="008E5E13">
              <w:rPr>
                <w:noProof/>
                <w:webHidden/>
              </w:rPr>
              <w:fldChar w:fldCharType="separate"/>
            </w:r>
            <w:r w:rsidR="008E5E13">
              <w:rPr>
                <w:noProof/>
                <w:webHidden/>
              </w:rPr>
              <w:t>4</w:t>
            </w:r>
            <w:r w:rsidR="008E5E13">
              <w:rPr>
                <w:noProof/>
                <w:webHidden/>
              </w:rPr>
              <w:fldChar w:fldCharType="end"/>
            </w:r>
          </w:hyperlink>
        </w:p>
        <w:p w14:paraId="1F6411B6" w14:textId="77777777" w:rsidR="008E5E13" w:rsidRDefault="008E5E13">
          <w:pPr>
            <w:pStyle w:val="TOC2"/>
            <w:rPr>
              <w:rFonts w:asciiTheme="minorHAnsi" w:eastAsiaTheme="minorEastAsia" w:hAnsiTheme="minorHAnsi" w:cstheme="minorBidi"/>
              <w:b w:val="0"/>
              <w:noProof/>
              <w:sz w:val="22"/>
              <w:lang w:eastAsia="en-AU"/>
            </w:rPr>
          </w:pPr>
          <w:hyperlink w:anchor="_Toc513552839" w:history="1">
            <w:r w:rsidRPr="0000308A">
              <w:rPr>
                <w:rStyle w:val="Hyperlink"/>
                <w:noProof/>
              </w:rPr>
              <w:t>I. Introduction to product submission</w:t>
            </w:r>
            <w:r>
              <w:rPr>
                <w:noProof/>
                <w:webHidden/>
              </w:rPr>
              <w:tab/>
            </w:r>
            <w:r>
              <w:rPr>
                <w:noProof/>
                <w:webHidden/>
              </w:rPr>
              <w:fldChar w:fldCharType="begin"/>
            </w:r>
            <w:r>
              <w:rPr>
                <w:noProof/>
                <w:webHidden/>
              </w:rPr>
              <w:instrText xml:space="preserve"> PAGEREF _Toc513552839 \h </w:instrText>
            </w:r>
            <w:r>
              <w:rPr>
                <w:noProof/>
                <w:webHidden/>
              </w:rPr>
            </w:r>
            <w:r>
              <w:rPr>
                <w:noProof/>
                <w:webHidden/>
              </w:rPr>
              <w:fldChar w:fldCharType="separate"/>
            </w:r>
            <w:r>
              <w:rPr>
                <w:noProof/>
                <w:webHidden/>
              </w:rPr>
              <w:t>7</w:t>
            </w:r>
            <w:r>
              <w:rPr>
                <w:noProof/>
                <w:webHidden/>
              </w:rPr>
              <w:fldChar w:fldCharType="end"/>
            </w:r>
          </w:hyperlink>
        </w:p>
        <w:p w14:paraId="5D083188" w14:textId="77777777" w:rsidR="008E5E13" w:rsidRDefault="008E5E13">
          <w:pPr>
            <w:pStyle w:val="TOC3"/>
            <w:rPr>
              <w:rFonts w:asciiTheme="minorHAnsi" w:eastAsiaTheme="minorEastAsia" w:hAnsiTheme="minorHAnsi" w:cstheme="minorBidi"/>
              <w:noProof/>
              <w:lang w:eastAsia="en-AU"/>
            </w:rPr>
          </w:pPr>
          <w:hyperlink w:anchor="_Toc513552840" w:history="1">
            <w:r w:rsidRPr="0000308A">
              <w:rPr>
                <w:rStyle w:val="Hyperlink"/>
                <w:noProof/>
                <w:lang w:eastAsia="en-AU"/>
              </w:rPr>
              <w:t>Submission details</w:t>
            </w:r>
            <w:r>
              <w:rPr>
                <w:noProof/>
                <w:webHidden/>
              </w:rPr>
              <w:tab/>
            </w:r>
            <w:r>
              <w:rPr>
                <w:noProof/>
                <w:webHidden/>
              </w:rPr>
              <w:fldChar w:fldCharType="begin"/>
            </w:r>
            <w:r>
              <w:rPr>
                <w:noProof/>
                <w:webHidden/>
              </w:rPr>
              <w:instrText xml:space="preserve"> PAGEREF _Toc513552840 \h </w:instrText>
            </w:r>
            <w:r>
              <w:rPr>
                <w:noProof/>
                <w:webHidden/>
              </w:rPr>
            </w:r>
            <w:r>
              <w:rPr>
                <w:noProof/>
                <w:webHidden/>
              </w:rPr>
              <w:fldChar w:fldCharType="separate"/>
            </w:r>
            <w:r>
              <w:rPr>
                <w:noProof/>
                <w:webHidden/>
              </w:rPr>
              <w:t>7</w:t>
            </w:r>
            <w:r>
              <w:rPr>
                <w:noProof/>
                <w:webHidden/>
              </w:rPr>
              <w:fldChar w:fldCharType="end"/>
            </w:r>
          </w:hyperlink>
        </w:p>
        <w:p w14:paraId="1E611403" w14:textId="77777777" w:rsidR="008E5E13" w:rsidRDefault="008E5E13">
          <w:pPr>
            <w:pStyle w:val="TOC3"/>
            <w:rPr>
              <w:rFonts w:asciiTheme="minorHAnsi" w:eastAsiaTheme="minorEastAsia" w:hAnsiTheme="minorHAnsi" w:cstheme="minorBidi"/>
              <w:noProof/>
              <w:lang w:eastAsia="en-AU"/>
            </w:rPr>
          </w:pPr>
          <w:hyperlink w:anchor="_Toc513552841" w:history="1">
            <w:r w:rsidRPr="0000308A">
              <w:rPr>
                <w:rStyle w:val="Hyperlink"/>
                <w:noProof/>
              </w:rPr>
              <w:t>Product background</w:t>
            </w:r>
            <w:r>
              <w:rPr>
                <w:noProof/>
                <w:webHidden/>
              </w:rPr>
              <w:tab/>
            </w:r>
            <w:r>
              <w:rPr>
                <w:noProof/>
                <w:webHidden/>
              </w:rPr>
              <w:fldChar w:fldCharType="begin"/>
            </w:r>
            <w:r>
              <w:rPr>
                <w:noProof/>
                <w:webHidden/>
              </w:rPr>
              <w:instrText xml:space="preserve"> PAGEREF _Toc513552841 \h </w:instrText>
            </w:r>
            <w:r>
              <w:rPr>
                <w:noProof/>
                <w:webHidden/>
              </w:rPr>
            </w:r>
            <w:r>
              <w:rPr>
                <w:noProof/>
                <w:webHidden/>
              </w:rPr>
              <w:fldChar w:fldCharType="separate"/>
            </w:r>
            <w:r>
              <w:rPr>
                <w:noProof/>
                <w:webHidden/>
              </w:rPr>
              <w:t>7</w:t>
            </w:r>
            <w:r>
              <w:rPr>
                <w:noProof/>
                <w:webHidden/>
              </w:rPr>
              <w:fldChar w:fldCharType="end"/>
            </w:r>
          </w:hyperlink>
        </w:p>
        <w:p w14:paraId="0D497642" w14:textId="77777777" w:rsidR="008E5E13" w:rsidRDefault="008E5E13">
          <w:pPr>
            <w:pStyle w:val="TOC3"/>
            <w:rPr>
              <w:rFonts w:asciiTheme="minorHAnsi" w:eastAsiaTheme="minorEastAsia" w:hAnsiTheme="minorHAnsi" w:cstheme="minorBidi"/>
              <w:noProof/>
              <w:lang w:eastAsia="en-AU"/>
            </w:rPr>
          </w:pPr>
          <w:hyperlink w:anchor="_Toc513552842" w:history="1">
            <w:r w:rsidRPr="0000308A">
              <w:rPr>
                <w:rStyle w:val="Hyperlink"/>
                <w:noProof/>
              </w:rPr>
              <w:t>Regulatory status</w:t>
            </w:r>
            <w:r>
              <w:rPr>
                <w:noProof/>
                <w:webHidden/>
              </w:rPr>
              <w:tab/>
            </w:r>
            <w:r>
              <w:rPr>
                <w:noProof/>
                <w:webHidden/>
              </w:rPr>
              <w:fldChar w:fldCharType="begin"/>
            </w:r>
            <w:r>
              <w:rPr>
                <w:noProof/>
                <w:webHidden/>
              </w:rPr>
              <w:instrText xml:space="preserve"> PAGEREF _Toc513552842 \h </w:instrText>
            </w:r>
            <w:r>
              <w:rPr>
                <w:noProof/>
                <w:webHidden/>
              </w:rPr>
            </w:r>
            <w:r>
              <w:rPr>
                <w:noProof/>
                <w:webHidden/>
              </w:rPr>
              <w:fldChar w:fldCharType="separate"/>
            </w:r>
            <w:r>
              <w:rPr>
                <w:noProof/>
                <w:webHidden/>
              </w:rPr>
              <w:t>9</w:t>
            </w:r>
            <w:r>
              <w:rPr>
                <w:noProof/>
                <w:webHidden/>
              </w:rPr>
              <w:fldChar w:fldCharType="end"/>
            </w:r>
          </w:hyperlink>
        </w:p>
        <w:p w14:paraId="564A7A2C" w14:textId="77777777" w:rsidR="008E5E13" w:rsidRDefault="008E5E13">
          <w:pPr>
            <w:pStyle w:val="TOC3"/>
            <w:rPr>
              <w:rFonts w:asciiTheme="minorHAnsi" w:eastAsiaTheme="minorEastAsia" w:hAnsiTheme="minorHAnsi" w:cstheme="minorBidi"/>
              <w:noProof/>
              <w:lang w:eastAsia="en-AU"/>
            </w:rPr>
          </w:pPr>
          <w:hyperlink w:anchor="_Toc513552843" w:history="1">
            <w:r w:rsidRPr="0000308A">
              <w:rPr>
                <w:rStyle w:val="Hyperlink"/>
                <w:noProof/>
              </w:rPr>
              <w:t>Product Information</w:t>
            </w:r>
            <w:r>
              <w:rPr>
                <w:noProof/>
                <w:webHidden/>
              </w:rPr>
              <w:tab/>
            </w:r>
            <w:r>
              <w:rPr>
                <w:noProof/>
                <w:webHidden/>
              </w:rPr>
              <w:fldChar w:fldCharType="begin"/>
            </w:r>
            <w:r>
              <w:rPr>
                <w:noProof/>
                <w:webHidden/>
              </w:rPr>
              <w:instrText xml:space="preserve"> PAGEREF _Toc513552843 \h </w:instrText>
            </w:r>
            <w:r>
              <w:rPr>
                <w:noProof/>
                <w:webHidden/>
              </w:rPr>
            </w:r>
            <w:r>
              <w:rPr>
                <w:noProof/>
                <w:webHidden/>
              </w:rPr>
              <w:fldChar w:fldCharType="separate"/>
            </w:r>
            <w:r>
              <w:rPr>
                <w:noProof/>
                <w:webHidden/>
              </w:rPr>
              <w:t>10</w:t>
            </w:r>
            <w:r>
              <w:rPr>
                <w:noProof/>
                <w:webHidden/>
              </w:rPr>
              <w:fldChar w:fldCharType="end"/>
            </w:r>
          </w:hyperlink>
        </w:p>
        <w:p w14:paraId="023DCCAB" w14:textId="77777777" w:rsidR="008E5E13" w:rsidRDefault="008E5E13">
          <w:pPr>
            <w:pStyle w:val="TOC2"/>
            <w:rPr>
              <w:rFonts w:asciiTheme="minorHAnsi" w:eastAsiaTheme="minorEastAsia" w:hAnsiTheme="minorHAnsi" w:cstheme="minorBidi"/>
              <w:b w:val="0"/>
              <w:noProof/>
              <w:sz w:val="22"/>
              <w:lang w:eastAsia="en-AU"/>
            </w:rPr>
          </w:pPr>
          <w:hyperlink w:anchor="_Toc513552844" w:history="1">
            <w:r w:rsidRPr="0000308A">
              <w:rPr>
                <w:rStyle w:val="Hyperlink"/>
                <w:noProof/>
              </w:rPr>
              <w:t>II. Registration timeline</w:t>
            </w:r>
            <w:r>
              <w:rPr>
                <w:noProof/>
                <w:webHidden/>
              </w:rPr>
              <w:tab/>
            </w:r>
            <w:r>
              <w:rPr>
                <w:noProof/>
                <w:webHidden/>
              </w:rPr>
              <w:fldChar w:fldCharType="begin"/>
            </w:r>
            <w:r>
              <w:rPr>
                <w:noProof/>
                <w:webHidden/>
              </w:rPr>
              <w:instrText xml:space="preserve"> PAGEREF _Toc513552844 \h </w:instrText>
            </w:r>
            <w:r>
              <w:rPr>
                <w:noProof/>
                <w:webHidden/>
              </w:rPr>
            </w:r>
            <w:r>
              <w:rPr>
                <w:noProof/>
                <w:webHidden/>
              </w:rPr>
              <w:fldChar w:fldCharType="separate"/>
            </w:r>
            <w:r>
              <w:rPr>
                <w:noProof/>
                <w:webHidden/>
              </w:rPr>
              <w:t>10</w:t>
            </w:r>
            <w:r>
              <w:rPr>
                <w:noProof/>
                <w:webHidden/>
              </w:rPr>
              <w:fldChar w:fldCharType="end"/>
            </w:r>
          </w:hyperlink>
        </w:p>
        <w:p w14:paraId="17E17811" w14:textId="77777777" w:rsidR="008E5E13" w:rsidRDefault="008E5E13">
          <w:pPr>
            <w:pStyle w:val="TOC2"/>
            <w:rPr>
              <w:rFonts w:asciiTheme="minorHAnsi" w:eastAsiaTheme="minorEastAsia" w:hAnsiTheme="minorHAnsi" w:cstheme="minorBidi"/>
              <w:b w:val="0"/>
              <w:noProof/>
              <w:sz w:val="22"/>
              <w:lang w:eastAsia="en-AU"/>
            </w:rPr>
          </w:pPr>
          <w:hyperlink w:anchor="_Toc513552845" w:history="1">
            <w:r w:rsidRPr="0000308A">
              <w:rPr>
                <w:rStyle w:val="Hyperlink"/>
                <w:noProof/>
              </w:rPr>
              <w:t>III. Quality findings</w:t>
            </w:r>
            <w:r>
              <w:rPr>
                <w:noProof/>
                <w:webHidden/>
              </w:rPr>
              <w:tab/>
            </w:r>
            <w:r>
              <w:rPr>
                <w:noProof/>
                <w:webHidden/>
              </w:rPr>
              <w:fldChar w:fldCharType="begin"/>
            </w:r>
            <w:r>
              <w:rPr>
                <w:noProof/>
                <w:webHidden/>
              </w:rPr>
              <w:instrText xml:space="preserve"> PAGEREF _Toc513552845 \h </w:instrText>
            </w:r>
            <w:r>
              <w:rPr>
                <w:noProof/>
                <w:webHidden/>
              </w:rPr>
            </w:r>
            <w:r>
              <w:rPr>
                <w:noProof/>
                <w:webHidden/>
              </w:rPr>
              <w:fldChar w:fldCharType="separate"/>
            </w:r>
            <w:r>
              <w:rPr>
                <w:noProof/>
                <w:webHidden/>
              </w:rPr>
              <w:t>11</w:t>
            </w:r>
            <w:r>
              <w:rPr>
                <w:noProof/>
                <w:webHidden/>
              </w:rPr>
              <w:fldChar w:fldCharType="end"/>
            </w:r>
          </w:hyperlink>
        </w:p>
        <w:p w14:paraId="3FC7E3A5" w14:textId="77777777" w:rsidR="008E5E13" w:rsidRDefault="008E5E13">
          <w:pPr>
            <w:pStyle w:val="TOC2"/>
            <w:rPr>
              <w:rFonts w:asciiTheme="minorHAnsi" w:eastAsiaTheme="minorEastAsia" w:hAnsiTheme="minorHAnsi" w:cstheme="minorBidi"/>
              <w:b w:val="0"/>
              <w:noProof/>
              <w:sz w:val="22"/>
              <w:lang w:eastAsia="en-AU"/>
            </w:rPr>
          </w:pPr>
          <w:hyperlink w:anchor="_Toc513552846" w:history="1">
            <w:r w:rsidRPr="0000308A">
              <w:rPr>
                <w:rStyle w:val="Hyperlink"/>
                <w:noProof/>
              </w:rPr>
              <w:t>IV. Nonclinical findings</w:t>
            </w:r>
            <w:r>
              <w:rPr>
                <w:noProof/>
                <w:webHidden/>
              </w:rPr>
              <w:tab/>
            </w:r>
            <w:r>
              <w:rPr>
                <w:noProof/>
                <w:webHidden/>
              </w:rPr>
              <w:fldChar w:fldCharType="begin"/>
            </w:r>
            <w:r>
              <w:rPr>
                <w:noProof/>
                <w:webHidden/>
              </w:rPr>
              <w:instrText xml:space="preserve"> PAGEREF _Toc513552846 \h </w:instrText>
            </w:r>
            <w:r>
              <w:rPr>
                <w:noProof/>
                <w:webHidden/>
              </w:rPr>
            </w:r>
            <w:r>
              <w:rPr>
                <w:noProof/>
                <w:webHidden/>
              </w:rPr>
              <w:fldChar w:fldCharType="separate"/>
            </w:r>
            <w:r>
              <w:rPr>
                <w:noProof/>
                <w:webHidden/>
              </w:rPr>
              <w:t>11</w:t>
            </w:r>
            <w:r>
              <w:rPr>
                <w:noProof/>
                <w:webHidden/>
              </w:rPr>
              <w:fldChar w:fldCharType="end"/>
            </w:r>
          </w:hyperlink>
        </w:p>
        <w:p w14:paraId="7274F5A6" w14:textId="77777777" w:rsidR="008E5E13" w:rsidRDefault="008E5E13">
          <w:pPr>
            <w:pStyle w:val="TOC2"/>
            <w:rPr>
              <w:rFonts w:asciiTheme="minorHAnsi" w:eastAsiaTheme="minorEastAsia" w:hAnsiTheme="minorHAnsi" w:cstheme="minorBidi"/>
              <w:b w:val="0"/>
              <w:noProof/>
              <w:sz w:val="22"/>
              <w:lang w:eastAsia="en-AU"/>
            </w:rPr>
          </w:pPr>
          <w:hyperlink w:anchor="_Toc513552847" w:history="1">
            <w:r w:rsidRPr="0000308A">
              <w:rPr>
                <w:rStyle w:val="Hyperlink"/>
                <w:noProof/>
              </w:rPr>
              <w:t>V. Clinical findings</w:t>
            </w:r>
            <w:r>
              <w:rPr>
                <w:noProof/>
                <w:webHidden/>
              </w:rPr>
              <w:tab/>
            </w:r>
            <w:r>
              <w:rPr>
                <w:noProof/>
                <w:webHidden/>
              </w:rPr>
              <w:fldChar w:fldCharType="begin"/>
            </w:r>
            <w:r>
              <w:rPr>
                <w:noProof/>
                <w:webHidden/>
              </w:rPr>
              <w:instrText xml:space="preserve"> PAGEREF _Toc513552847 \h </w:instrText>
            </w:r>
            <w:r>
              <w:rPr>
                <w:noProof/>
                <w:webHidden/>
              </w:rPr>
            </w:r>
            <w:r>
              <w:rPr>
                <w:noProof/>
                <w:webHidden/>
              </w:rPr>
              <w:fldChar w:fldCharType="separate"/>
            </w:r>
            <w:r>
              <w:rPr>
                <w:noProof/>
                <w:webHidden/>
              </w:rPr>
              <w:t>11</w:t>
            </w:r>
            <w:r>
              <w:rPr>
                <w:noProof/>
                <w:webHidden/>
              </w:rPr>
              <w:fldChar w:fldCharType="end"/>
            </w:r>
          </w:hyperlink>
        </w:p>
        <w:p w14:paraId="0C00D0CD" w14:textId="77777777" w:rsidR="008E5E13" w:rsidRDefault="008E5E13">
          <w:pPr>
            <w:pStyle w:val="TOC3"/>
            <w:rPr>
              <w:rFonts w:asciiTheme="minorHAnsi" w:eastAsiaTheme="minorEastAsia" w:hAnsiTheme="minorHAnsi" w:cstheme="minorBidi"/>
              <w:noProof/>
              <w:lang w:eastAsia="en-AU"/>
            </w:rPr>
          </w:pPr>
          <w:hyperlink w:anchor="_Toc513552848" w:history="1">
            <w:r w:rsidRPr="0000308A">
              <w:rPr>
                <w:rStyle w:val="Hyperlink"/>
                <w:noProof/>
              </w:rPr>
              <w:t>Introduction</w:t>
            </w:r>
            <w:r>
              <w:rPr>
                <w:noProof/>
                <w:webHidden/>
              </w:rPr>
              <w:tab/>
            </w:r>
            <w:r>
              <w:rPr>
                <w:noProof/>
                <w:webHidden/>
              </w:rPr>
              <w:fldChar w:fldCharType="begin"/>
            </w:r>
            <w:r>
              <w:rPr>
                <w:noProof/>
                <w:webHidden/>
              </w:rPr>
              <w:instrText xml:space="preserve"> PAGEREF _Toc513552848 \h </w:instrText>
            </w:r>
            <w:r>
              <w:rPr>
                <w:noProof/>
                <w:webHidden/>
              </w:rPr>
            </w:r>
            <w:r>
              <w:rPr>
                <w:noProof/>
                <w:webHidden/>
              </w:rPr>
              <w:fldChar w:fldCharType="separate"/>
            </w:r>
            <w:r>
              <w:rPr>
                <w:noProof/>
                <w:webHidden/>
              </w:rPr>
              <w:t>11</w:t>
            </w:r>
            <w:r>
              <w:rPr>
                <w:noProof/>
                <w:webHidden/>
              </w:rPr>
              <w:fldChar w:fldCharType="end"/>
            </w:r>
          </w:hyperlink>
        </w:p>
        <w:p w14:paraId="165706BE" w14:textId="77777777" w:rsidR="008E5E13" w:rsidRDefault="008E5E13">
          <w:pPr>
            <w:pStyle w:val="TOC3"/>
            <w:rPr>
              <w:rFonts w:asciiTheme="minorHAnsi" w:eastAsiaTheme="minorEastAsia" w:hAnsiTheme="minorHAnsi" w:cstheme="minorBidi"/>
              <w:noProof/>
              <w:lang w:eastAsia="en-AU"/>
            </w:rPr>
          </w:pPr>
          <w:hyperlink w:anchor="_Toc513552849" w:history="1">
            <w:r w:rsidRPr="0000308A">
              <w:rPr>
                <w:rStyle w:val="Hyperlink"/>
                <w:noProof/>
              </w:rPr>
              <w:t>Pharmacokinetics</w:t>
            </w:r>
            <w:r>
              <w:rPr>
                <w:noProof/>
                <w:webHidden/>
              </w:rPr>
              <w:tab/>
            </w:r>
            <w:r>
              <w:rPr>
                <w:noProof/>
                <w:webHidden/>
              </w:rPr>
              <w:fldChar w:fldCharType="begin"/>
            </w:r>
            <w:r>
              <w:rPr>
                <w:noProof/>
                <w:webHidden/>
              </w:rPr>
              <w:instrText xml:space="preserve"> PAGEREF _Toc513552849 \h </w:instrText>
            </w:r>
            <w:r>
              <w:rPr>
                <w:noProof/>
                <w:webHidden/>
              </w:rPr>
            </w:r>
            <w:r>
              <w:rPr>
                <w:noProof/>
                <w:webHidden/>
              </w:rPr>
              <w:fldChar w:fldCharType="separate"/>
            </w:r>
            <w:r>
              <w:rPr>
                <w:noProof/>
                <w:webHidden/>
              </w:rPr>
              <w:t>15</w:t>
            </w:r>
            <w:r>
              <w:rPr>
                <w:noProof/>
                <w:webHidden/>
              </w:rPr>
              <w:fldChar w:fldCharType="end"/>
            </w:r>
          </w:hyperlink>
        </w:p>
        <w:p w14:paraId="23AA5854" w14:textId="77777777" w:rsidR="008E5E13" w:rsidRDefault="008E5E13">
          <w:pPr>
            <w:pStyle w:val="TOC3"/>
            <w:rPr>
              <w:rFonts w:asciiTheme="minorHAnsi" w:eastAsiaTheme="minorEastAsia" w:hAnsiTheme="minorHAnsi" w:cstheme="minorBidi"/>
              <w:noProof/>
              <w:lang w:eastAsia="en-AU"/>
            </w:rPr>
          </w:pPr>
          <w:hyperlink w:anchor="_Toc513552850" w:history="1">
            <w:r w:rsidRPr="0000308A">
              <w:rPr>
                <w:rStyle w:val="Hyperlink"/>
                <w:noProof/>
              </w:rPr>
              <w:t>Pharmacodynamics</w:t>
            </w:r>
            <w:r>
              <w:rPr>
                <w:noProof/>
                <w:webHidden/>
              </w:rPr>
              <w:tab/>
            </w:r>
            <w:r>
              <w:rPr>
                <w:noProof/>
                <w:webHidden/>
              </w:rPr>
              <w:fldChar w:fldCharType="begin"/>
            </w:r>
            <w:r>
              <w:rPr>
                <w:noProof/>
                <w:webHidden/>
              </w:rPr>
              <w:instrText xml:space="preserve"> PAGEREF _Toc513552850 \h </w:instrText>
            </w:r>
            <w:r>
              <w:rPr>
                <w:noProof/>
                <w:webHidden/>
              </w:rPr>
            </w:r>
            <w:r>
              <w:rPr>
                <w:noProof/>
                <w:webHidden/>
              </w:rPr>
              <w:fldChar w:fldCharType="separate"/>
            </w:r>
            <w:r>
              <w:rPr>
                <w:noProof/>
                <w:webHidden/>
              </w:rPr>
              <w:t>15</w:t>
            </w:r>
            <w:r>
              <w:rPr>
                <w:noProof/>
                <w:webHidden/>
              </w:rPr>
              <w:fldChar w:fldCharType="end"/>
            </w:r>
          </w:hyperlink>
        </w:p>
        <w:p w14:paraId="590B55EC" w14:textId="77777777" w:rsidR="008E5E13" w:rsidRDefault="008E5E13">
          <w:pPr>
            <w:pStyle w:val="TOC3"/>
            <w:rPr>
              <w:rFonts w:asciiTheme="minorHAnsi" w:eastAsiaTheme="minorEastAsia" w:hAnsiTheme="minorHAnsi" w:cstheme="minorBidi"/>
              <w:noProof/>
              <w:lang w:eastAsia="en-AU"/>
            </w:rPr>
          </w:pPr>
          <w:hyperlink w:anchor="_Toc513552851" w:history="1">
            <w:r w:rsidRPr="0000308A">
              <w:rPr>
                <w:rStyle w:val="Hyperlink"/>
                <w:noProof/>
              </w:rPr>
              <w:t>Dosage selection for the pivotal studies</w:t>
            </w:r>
            <w:r>
              <w:rPr>
                <w:noProof/>
                <w:webHidden/>
              </w:rPr>
              <w:tab/>
            </w:r>
            <w:r>
              <w:rPr>
                <w:noProof/>
                <w:webHidden/>
              </w:rPr>
              <w:fldChar w:fldCharType="begin"/>
            </w:r>
            <w:r>
              <w:rPr>
                <w:noProof/>
                <w:webHidden/>
              </w:rPr>
              <w:instrText xml:space="preserve"> PAGEREF _Toc513552851 \h </w:instrText>
            </w:r>
            <w:r>
              <w:rPr>
                <w:noProof/>
                <w:webHidden/>
              </w:rPr>
            </w:r>
            <w:r>
              <w:rPr>
                <w:noProof/>
                <w:webHidden/>
              </w:rPr>
              <w:fldChar w:fldCharType="separate"/>
            </w:r>
            <w:r>
              <w:rPr>
                <w:noProof/>
                <w:webHidden/>
              </w:rPr>
              <w:t>15</w:t>
            </w:r>
            <w:r>
              <w:rPr>
                <w:noProof/>
                <w:webHidden/>
              </w:rPr>
              <w:fldChar w:fldCharType="end"/>
            </w:r>
          </w:hyperlink>
        </w:p>
        <w:p w14:paraId="22EC1C8C" w14:textId="77777777" w:rsidR="008E5E13" w:rsidRDefault="008E5E13">
          <w:pPr>
            <w:pStyle w:val="TOC3"/>
            <w:rPr>
              <w:rFonts w:asciiTheme="minorHAnsi" w:eastAsiaTheme="minorEastAsia" w:hAnsiTheme="minorHAnsi" w:cstheme="minorBidi"/>
              <w:noProof/>
              <w:lang w:eastAsia="en-AU"/>
            </w:rPr>
          </w:pPr>
          <w:hyperlink w:anchor="_Toc513552852" w:history="1">
            <w:r w:rsidRPr="0000308A">
              <w:rPr>
                <w:rStyle w:val="Hyperlink"/>
                <w:noProof/>
              </w:rPr>
              <w:t>Efficacy</w:t>
            </w:r>
            <w:r>
              <w:rPr>
                <w:noProof/>
                <w:webHidden/>
              </w:rPr>
              <w:tab/>
            </w:r>
            <w:r>
              <w:rPr>
                <w:noProof/>
                <w:webHidden/>
              </w:rPr>
              <w:fldChar w:fldCharType="begin"/>
            </w:r>
            <w:r>
              <w:rPr>
                <w:noProof/>
                <w:webHidden/>
              </w:rPr>
              <w:instrText xml:space="preserve"> PAGEREF _Toc513552852 \h </w:instrText>
            </w:r>
            <w:r>
              <w:rPr>
                <w:noProof/>
                <w:webHidden/>
              </w:rPr>
            </w:r>
            <w:r>
              <w:rPr>
                <w:noProof/>
                <w:webHidden/>
              </w:rPr>
              <w:fldChar w:fldCharType="separate"/>
            </w:r>
            <w:r>
              <w:rPr>
                <w:noProof/>
                <w:webHidden/>
              </w:rPr>
              <w:t>15</w:t>
            </w:r>
            <w:r>
              <w:rPr>
                <w:noProof/>
                <w:webHidden/>
              </w:rPr>
              <w:fldChar w:fldCharType="end"/>
            </w:r>
          </w:hyperlink>
        </w:p>
        <w:p w14:paraId="570FEA38" w14:textId="77777777" w:rsidR="008E5E13" w:rsidRDefault="008E5E13">
          <w:pPr>
            <w:pStyle w:val="TOC3"/>
            <w:rPr>
              <w:rFonts w:asciiTheme="minorHAnsi" w:eastAsiaTheme="minorEastAsia" w:hAnsiTheme="minorHAnsi" w:cstheme="minorBidi"/>
              <w:noProof/>
              <w:lang w:eastAsia="en-AU"/>
            </w:rPr>
          </w:pPr>
          <w:hyperlink w:anchor="_Toc513552853" w:history="1">
            <w:r w:rsidRPr="0000308A">
              <w:rPr>
                <w:rStyle w:val="Hyperlink"/>
                <w:noProof/>
              </w:rPr>
              <w:t>Safety</w:t>
            </w:r>
            <w:r>
              <w:rPr>
                <w:noProof/>
                <w:webHidden/>
              </w:rPr>
              <w:tab/>
            </w:r>
            <w:r>
              <w:rPr>
                <w:noProof/>
                <w:webHidden/>
              </w:rPr>
              <w:fldChar w:fldCharType="begin"/>
            </w:r>
            <w:r>
              <w:rPr>
                <w:noProof/>
                <w:webHidden/>
              </w:rPr>
              <w:instrText xml:space="preserve"> PAGEREF _Toc513552853 \h </w:instrText>
            </w:r>
            <w:r>
              <w:rPr>
                <w:noProof/>
                <w:webHidden/>
              </w:rPr>
            </w:r>
            <w:r>
              <w:rPr>
                <w:noProof/>
                <w:webHidden/>
              </w:rPr>
              <w:fldChar w:fldCharType="separate"/>
            </w:r>
            <w:r>
              <w:rPr>
                <w:noProof/>
                <w:webHidden/>
              </w:rPr>
              <w:t>16</w:t>
            </w:r>
            <w:r>
              <w:rPr>
                <w:noProof/>
                <w:webHidden/>
              </w:rPr>
              <w:fldChar w:fldCharType="end"/>
            </w:r>
          </w:hyperlink>
        </w:p>
        <w:p w14:paraId="18994B80" w14:textId="77777777" w:rsidR="008E5E13" w:rsidRDefault="008E5E13">
          <w:pPr>
            <w:pStyle w:val="TOC3"/>
            <w:rPr>
              <w:rFonts w:asciiTheme="minorHAnsi" w:eastAsiaTheme="minorEastAsia" w:hAnsiTheme="minorHAnsi" w:cstheme="minorBidi"/>
              <w:noProof/>
              <w:lang w:eastAsia="en-AU"/>
            </w:rPr>
          </w:pPr>
          <w:hyperlink w:anchor="_Toc513552854" w:history="1">
            <w:r w:rsidRPr="0000308A">
              <w:rPr>
                <w:rStyle w:val="Hyperlink"/>
                <w:noProof/>
              </w:rPr>
              <w:t>First round benefit-risk assessment</w:t>
            </w:r>
            <w:r>
              <w:rPr>
                <w:noProof/>
                <w:webHidden/>
              </w:rPr>
              <w:tab/>
            </w:r>
            <w:r>
              <w:rPr>
                <w:noProof/>
                <w:webHidden/>
              </w:rPr>
              <w:fldChar w:fldCharType="begin"/>
            </w:r>
            <w:r>
              <w:rPr>
                <w:noProof/>
                <w:webHidden/>
              </w:rPr>
              <w:instrText xml:space="preserve"> PAGEREF _Toc513552854 \h </w:instrText>
            </w:r>
            <w:r>
              <w:rPr>
                <w:noProof/>
                <w:webHidden/>
              </w:rPr>
            </w:r>
            <w:r>
              <w:rPr>
                <w:noProof/>
                <w:webHidden/>
              </w:rPr>
              <w:fldChar w:fldCharType="separate"/>
            </w:r>
            <w:r>
              <w:rPr>
                <w:noProof/>
                <w:webHidden/>
              </w:rPr>
              <w:t>20</w:t>
            </w:r>
            <w:r>
              <w:rPr>
                <w:noProof/>
                <w:webHidden/>
              </w:rPr>
              <w:fldChar w:fldCharType="end"/>
            </w:r>
          </w:hyperlink>
        </w:p>
        <w:p w14:paraId="4BF22938" w14:textId="77777777" w:rsidR="008E5E13" w:rsidRDefault="008E5E13">
          <w:pPr>
            <w:pStyle w:val="TOC3"/>
            <w:rPr>
              <w:rFonts w:asciiTheme="minorHAnsi" w:eastAsiaTheme="minorEastAsia" w:hAnsiTheme="minorHAnsi" w:cstheme="minorBidi"/>
              <w:noProof/>
              <w:lang w:eastAsia="en-AU"/>
            </w:rPr>
          </w:pPr>
          <w:hyperlink w:anchor="_Toc513552855" w:history="1">
            <w:r w:rsidRPr="0000308A">
              <w:rPr>
                <w:rStyle w:val="Hyperlink"/>
                <w:noProof/>
              </w:rPr>
              <w:t>First round recommendation regarding authorisation</w:t>
            </w:r>
            <w:r>
              <w:rPr>
                <w:noProof/>
                <w:webHidden/>
              </w:rPr>
              <w:tab/>
            </w:r>
            <w:r>
              <w:rPr>
                <w:noProof/>
                <w:webHidden/>
              </w:rPr>
              <w:fldChar w:fldCharType="begin"/>
            </w:r>
            <w:r>
              <w:rPr>
                <w:noProof/>
                <w:webHidden/>
              </w:rPr>
              <w:instrText xml:space="preserve"> PAGEREF _Toc513552855 \h </w:instrText>
            </w:r>
            <w:r>
              <w:rPr>
                <w:noProof/>
                <w:webHidden/>
              </w:rPr>
            </w:r>
            <w:r>
              <w:rPr>
                <w:noProof/>
                <w:webHidden/>
              </w:rPr>
              <w:fldChar w:fldCharType="separate"/>
            </w:r>
            <w:r>
              <w:rPr>
                <w:noProof/>
                <w:webHidden/>
              </w:rPr>
              <w:t>22</w:t>
            </w:r>
            <w:r>
              <w:rPr>
                <w:noProof/>
                <w:webHidden/>
              </w:rPr>
              <w:fldChar w:fldCharType="end"/>
            </w:r>
          </w:hyperlink>
        </w:p>
        <w:p w14:paraId="24241A45" w14:textId="77777777" w:rsidR="008E5E13" w:rsidRDefault="008E5E13">
          <w:pPr>
            <w:pStyle w:val="TOC3"/>
            <w:rPr>
              <w:rFonts w:asciiTheme="minorHAnsi" w:eastAsiaTheme="minorEastAsia" w:hAnsiTheme="minorHAnsi" w:cstheme="minorBidi"/>
              <w:noProof/>
              <w:lang w:eastAsia="en-AU"/>
            </w:rPr>
          </w:pPr>
          <w:hyperlink w:anchor="_Toc513552856" w:history="1">
            <w:r w:rsidRPr="0000308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_Toc513552856 \h </w:instrText>
            </w:r>
            <w:r>
              <w:rPr>
                <w:noProof/>
                <w:webHidden/>
              </w:rPr>
            </w:r>
            <w:r>
              <w:rPr>
                <w:noProof/>
                <w:webHidden/>
              </w:rPr>
              <w:fldChar w:fldCharType="separate"/>
            </w:r>
            <w:r>
              <w:rPr>
                <w:noProof/>
                <w:webHidden/>
              </w:rPr>
              <w:t>22</w:t>
            </w:r>
            <w:r>
              <w:rPr>
                <w:noProof/>
                <w:webHidden/>
              </w:rPr>
              <w:fldChar w:fldCharType="end"/>
            </w:r>
          </w:hyperlink>
        </w:p>
        <w:p w14:paraId="18108323" w14:textId="77777777" w:rsidR="008E5E13" w:rsidRDefault="008E5E13">
          <w:pPr>
            <w:pStyle w:val="TOC3"/>
            <w:rPr>
              <w:rFonts w:asciiTheme="minorHAnsi" w:eastAsiaTheme="minorEastAsia" w:hAnsiTheme="minorHAnsi" w:cstheme="minorBidi"/>
              <w:noProof/>
              <w:lang w:eastAsia="en-AU"/>
            </w:rPr>
          </w:pPr>
          <w:hyperlink w:anchor="_Toc513552857" w:history="1">
            <w:r w:rsidRPr="0000308A">
              <w:rPr>
                <w:rStyle w:val="Hyperlink"/>
                <w:noProof/>
              </w:rPr>
              <w:t>Second round benefit-risk assessment</w:t>
            </w:r>
            <w:r>
              <w:rPr>
                <w:noProof/>
                <w:webHidden/>
              </w:rPr>
              <w:tab/>
            </w:r>
            <w:r>
              <w:rPr>
                <w:noProof/>
                <w:webHidden/>
              </w:rPr>
              <w:fldChar w:fldCharType="begin"/>
            </w:r>
            <w:r>
              <w:rPr>
                <w:noProof/>
                <w:webHidden/>
              </w:rPr>
              <w:instrText xml:space="preserve"> PAGEREF _Toc513552857 \h </w:instrText>
            </w:r>
            <w:r>
              <w:rPr>
                <w:noProof/>
                <w:webHidden/>
              </w:rPr>
            </w:r>
            <w:r>
              <w:rPr>
                <w:noProof/>
                <w:webHidden/>
              </w:rPr>
              <w:fldChar w:fldCharType="separate"/>
            </w:r>
            <w:r>
              <w:rPr>
                <w:noProof/>
                <w:webHidden/>
              </w:rPr>
              <w:t>22</w:t>
            </w:r>
            <w:r>
              <w:rPr>
                <w:noProof/>
                <w:webHidden/>
              </w:rPr>
              <w:fldChar w:fldCharType="end"/>
            </w:r>
          </w:hyperlink>
        </w:p>
        <w:p w14:paraId="4C83A6C9" w14:textId="77777777" w:rsidR="008E5E13" w:rsidRDefault="008E5E13">
          <w:pPr>
            <w:pStyle w:val="TOC2"/>
            <w:rPr>
              <w:rFonts w:asciiTheme="minorHAnsi" w:eastAsiaTheme="minorEastAsia" w:hAnsiTheme="minorHAnsi" w:cstheme="minorBidi"/>
              <w:b w:val="0"/>
              <w:noProof/>
              <w:sz w:val="22"/>
              <w:lang w:eastAsia="en-AU"/>
            </w:rPr>
          </w:pPr>
          <w:hyperlink w:anchor="_Toc513552858" w:history="1">
            <w:r w:rsidRPr="0000308A">
              <w:rPr>
                <w:rStyle w:val="Hyperlink"/>
                <w:noProof/>
              </w:rPr>
              <w:t>VI. Pharmacovigilance findings</w:t>
            </w:r>
            <w:r>
              <w:rPr>
                <w:noProof/>
                <w:webHidden/>
              </w:rPr>
              <w:tab/>
            </w:r>
            <w:r>
              <w:rPr>
                <w:noProof/>
                <w:webHidden/>
              </w:rPr>
              <w:fldChar w:fldCharType="begin"/>
            </w:r>
            <w:r>
              <w:rPr>
                <w:noProof/>
                <w:webHidden/>
              </w:rPr>
              <w:instrText xml:space="preserve"> PAGEREF _Toc513552858 \h </w:instrText>
            </w:r>
            <w:r>
              <w:rPr>
                <w:noProof/>
                <w:webHidden/>
              </w:rPr>
            </w:r>
            <w:r>
              <w:rPr>
                <w:noProof/>
                <w:webHidden/>
              </w:rPr>
              <w:fldChar w:fldCharType="separate"/>
            </w:r>
            <w:r>
              <w:rPr>
                <w:noProof/>
                <w:webHidden/>
              </w:rPr>
              <w:t>22</w:t>
            </w:r>
            <w:r>
              <w:rPr>
                <w:noProof/>
                <w:webHidden/>
              </w:rPr>
              <w:fldChar w:fldCharType="end"/>
            </w:r>
          </w:hyperlink>
        </w:p>
        <w:p w14:paraId="71A25B63" w14:textId="77777777" w:rsidR="008E5E13" w:rsidRDefault="008E5E13">
          <w:pPr>
            <w:pStyle w:val="TOC3"/>
            <w:rPr>
              <w:rFonts w:asciiTheme="minorHAnsi" w:eastAsiaTheme="minorEastAsia" w:hAnsiTheme="minorHAnsi" w:cstheme="minorBidi"/>
              <w:noProof/>
              <w:lang w:eastAsia="en-AU"/>
            </w:rPr>
          </w:pPr>
          <w:hyperlink w:anchor="_Toc513552859" w:history="1">
            <w:r w:rsidRPr="0000308A">
              <w:rPr>
                <w:rStyle w:val="Hyperlink"/>
                <w:noProof/>
                <w:lang w:eastAsia="en-AU"/>
              </w:rPr>
              <w:t>Risk management plan</w:t>
            </w:r>
            <w:r>
              <w:rPr>
                <w:noProof/>
                <w:webHidden/>
              </w:rPr>
              <w:tab/>
            </w:r>
            <w:r>
              <w:rPr>
                <w:noProof/>
                <w:webHidden/>
              </w:rPr>
              <w:fldChar w:fldCharType="begin"/>
            </w:r>
            <w:r>
              <w:rPr>
                <w:noProof/>
                <w:webHidden/>
              </w:rPr>
              <w:instrText xml:space="preserve"> PAGEREF _Toc513552859 \h </w:instrText>
            </w:r>
            <w:r>
              <w:rPr>
                <w:noProof/>
                <w:webHidden/>
              </w:rPr>
            </w:r>
            <w:r>
              <w:rPr>
                <w:noProof/>
                <w:webHidden/>
              </w:rPr>
              <w:fldChar w:fldCharType="separate"/>
            </w:r>
            <w:r>
              <w:rPr>
                <w:noProof/>
                <w:webHidden/>
              </w:rPr>
              <w:t>22</w:t>
            </w:r>
            <w:r>
              <w:rPr>
                <w:noProof/>
                <w:webHidden/>
              </w:rPr>
              <w:fldChar w:fldCharType="end"/>
            </w:r>
          </w:hyperlink>
        </w:p>
        <w:p w14:paraId="7C98D428" w14:textId="77777777" w:rsidR="008E5E13" w:rsidRDefault="008E5E13">
          <w:pPr>
            <w:pStyle w:val="TOC2"/>
            <w:rPr>
              <w:rFonts w:asciiTheme="minorHAnsi" w:eastAsiaTheme="minorEastAsia" w:hAnsiTheme="minorHAnsi" w:cstheme="minorBidi"/>
              <w:b w:val="0"/>
              <w:noProof/>
              <w:sz w:val="22"/>
              <w:lang w:eastAsia="en-AU"/>
            </w:rPr>
          </w:pPr>
          <w:hyperlink w:anchor="_Toc513552860" w:history="1">
            <w:r w:rsidRPr="0000308A">
              <w:rPr>
                <w:rStyle w:val="Hyperlink"/>
                <w:noProof/>
              </w:rPr>
              <w:t>VIII. Overall conclusion and risk/benefit assessment</w:t>
            </w:r>
            <w:r>
              <w:rPr>
                <w:noProof/>
                <w:webHidden/>
              </w:rPr>
              <w:tab/>
            </w:r>
            <w:r>
              <w:rPr>
                <w:noProof/>
                <w:webHidden/>
              </w:rPr>
              <w:fldChar w:fldCharType="begin"/>
            </w:r>
            <w:r>
              <w:rPr>
                <w:noProof/>
                <w:webHidden/>
              </w:rPr>
              <w:instrText xml:space="preserve"> PAGEREF _Toc513552860 \h </w:instrText>
            </w:r>
            <w:r>
              <w:rPr>
                <w:noProof/>
                <w:webHidden/>
              </w:rPr>
            </w:r>
            <w:r>
              <w:rPr>
                <w:noProof/>
                <w:webHidden/>
              </w:rPr>
              <w:fldChar w:fldCharType="separate"/>
            </w:r>
            <w:r>
              <w:rPr>
                <w:noProof/>
                <w:webHidden/>
              </w:rPr>
              <w:t>24</w:t>
            </w:r>
            <w:r>
              <w:rPr>
                <w:noProof/>
                <w:webHidden/>
              </w:rPr>
              <w:fldChar w:fldCharType="end"/>
            </w:r>
          </w:hyperlink>
        </w:p>
        <w:p w14:paraId="0E0FF1A7" w14:textId="77777777" w:rsidR="008E5E13" w:rsidRDefault="008E5E13">
          <w:pPr>
            <w:pStyle w:val="TOC3"/>
            <w:rPr>
              <w:rFonts w:asciiTheme="minorHAnsi" w:eastAsiaTheme="minorEastAsia" w:hAnsiTheme="minorHAnsi" w:cstheme="minorBidi"/>
              <w:noProof/>
              <w:lang w:eastAsia="en-AU"/>
            </w:rPr>
          </w:pPr>
          <w:hyperlink w:anchor="_Toc513552861" w:history="1">
            <w:r w:rsidRPr="0000308A">
              <w:rPr>
                <w:rStyle w:val="Hyperlink"/>
                <w:noProof/>
              </w:rPr>
              <w:t>Quality</w:t>
            </w:r>
            <w:r>
              <w:rPr>
                <w:noProof/>
                <w:webHidden/>
              </w:rPr>
              <w:tab/>
            </w:r>
            <w:r>
              <w:rPr>
                <w:noProof/>
                <w:webHidden/>
              </w:rPr>
              <w:fldChar w:fldCharType="begin"/>
            </w:r>
            <w:r>
              <w:rPr>
                <w:noProof/>
                <w:webHidden/>
              </w:rPr>
              <w:instrText xml:space="preserve"> PAGEREF _Toc513552861 \h </w:instrText>
            </w:r>
            <w:r>
              <w:rPr>
                <w:noProof/>
                <w:webHidden/>
              </w:rPr>
            </w:r>
            <w:r>
              <w:rPr>
                <w:noProof/>
                <w:webHidden/>
              </w:rPr>
              <w:fldChar w:fldCharType="separate"/>
            </w:r>
            <w:r>
              <w:rPr>
                <w:noProof/>
                <w:webHidden/>
              </w:rPr>
              <w:t>24</w:t>
            </w:r>
            <w:r>
              <w:rPr>
                <w:noProof/>
                <w:webHidden/>
              </w:rPr>
              <w:fldChar w:fldCharType="end"/>
            </w:r>
          </w:hyperlink>
        </w:p>
        <w:p w14:paraId="14B65588" w14:textId="77777777" w:rsidR="008E5E13" w:rsidRDefault="008E5E13">
          <w:pPr>
            <w:pStyle w:val="TOC3"/>
            <w:rPr>
              <w:rFonts w:asciiTheme="minorHAnsi" w:eastAsiaTheme="minorEastAsia" w:hAnsiTheme="minorHAnsi" w:cstheme="minorBidi"/>
              <w:noProof/>
              <w:lang w:eastAsia="en-AU"/>
            </w:rPr>
          </w:pPr>
          <w:hyperlink w:anchor="_Toc513552862" w:history="1">
            <w:r w:rsidRPr="0000308A">
              <w:rPr>
                <w:rStyle w:val="Hyperlink"/>
                <w:noProof/>
              </w:rPr>
              <w:t>Nonclinical</w:t>
            </w:r>
            <w:r>
              <w:rPr>
                <w:noProof/>
                <w:webHidden/>
              </w:rPr>
              <w:tab/>
            </w:r>
            <w:r>
              <w:rPr>
                <w:noProof/>
                <w:webHidden/>
              </w:rPr>
              <w:fldChar w:fldCharType="begin"/>
            </w:r>
            <w:r>
              <w:rPr>
                <w:noProof/>
                <w:webHidden/>
              </w:rPr>
              <w:instrText xml:space="preserve"> PAGEREF _Toc513552862 \h </w:instrText>
            </w:r>
            <w:r>
              <w:rPr>
                <w:noProof/>
                <w:webHidden/>
              </w:rPr>
            </w:r>
            <w:r>
              <w:rPr>
                <w:noProof/>
                <w:webHidden/>
              </w:rPr>
              <w:fldChar w:fldCharType="separate"/>
            </w:r>
            <w:r>
              <w:rPr>
                <w:noProof/>
                <w:webHidden/>
              </w:rPr>
              <w:t>24</w:t>
            </w:r>
            <w:r>
              <w:rPr>
                <w:noProof/>
                <w:webHidden/>
              </w:rPr>
              <w:fldChar w:fldCharType="end"/>
            </w:r>
          </w:hyperlink>
        </w:p>
        <w:p w14:paraId="31FC0F49" w14:textId="77777777" w:rsidR="008E5E13" w:rsidRDefault="008E5E13">
          <w:pPr>
            <w:pStyle w:val="TOC3"/>
            <w:rPr>
              <w:rFonts w:asciiTheme="minorHAnsi" w:eastAsiaTheme="minorEastAsia" w:hAnsiTheme="minorHAnsi" w:cstheme="minorBidi"/>
              <w:noProof/>
              <w:lang w:eastAsia="en-AU"/>
            </w:rPr>
          </w:pPr>
          <w:hyperlink w:anchor="_Toc513552863" w:history="1">
            <w:r w:rsidRPr="0000308A">
              <w:rPr>
                <w:rStyle w:val="Hyperlink"/>
                <w:noProof/>
              </w:rPr>
              <w:t>Clinical</w:t>
            </w:r>
            <w:r>
              <w:rPr>
                <w:noProof/>
                <w:webHidden/>
              </w:rPr>
              <w:tab/>
            </w:r>
            <w:r>
              <w:rPr>
                <w:noProof/>
                <w:webHidden/>
              </w:rPr>
              <w:fldChar w:fldCharType="begin"/>
            </w:r>
            <w:r>
              <w:rPr>
                <w:noProof/>
                <w:webHidden/>
              </w:rPr>
              <w:instrText xml:space="preserve"> PAGEREF _Toc513552863 \h </w:instrText>
            </w:r>
            <w:r>
              <w:rPr>
                <w:noProof/>
                <w:webHidden/>
              </w:rPr>
            </w:r>
            <w:r>
              <w:rPr>
                <w:noProof/>
                <w:webHidden/>
              </w:rPr>
              <w:fldChar w:fldCharType="separate"/>
            </w:r>
            <w:r>
              <w:rPr>
                <w:noProof/>
                <w:webHidden/>
              </w:rPr>
              <w:t>24</w:t>
            </w:r>
            <w:r>
              <w:rPr>
                <w:noProof/>
                <w:webHidden/>
              </w:rPr>
              <w:fldChar w:fldCharType="end"/>
            </w:r>
          </w:hyperlink>
        </w:p>
        <w:p w14:paraId="2DE324EF" w14:textId="77777777" w:rsidR="008E5E13" w:rsidRDefault="008E5E13">
          <w:pPr>
            <w:pStyle w:val="TOC3"/>
            <w:rPr>
              <w:rFonts w:asciiTheme="minorHAnsi" w:eastAsiaTheme="minorEastAsia" w:hAnsiTheme="minorHAnsi" w:cstheme="minorBidi"/>
              <w:noProof/>
              <w:lang w:eastAsia="en-AU"/>
            </w:rPr>
          </w:pPr>
          <w:hyperlink w:anchor="_Toc513552864" w:history="1">
            <w:r w:rsidRPr="0000308A">
              <w:rPr>
                <w:rStyle w:val="Hyperlink"/>
                <w:noProof/>
                <w:lang w:eastAsia="en-AU"/>
              </w:rPr>
              <w:t>Risk management plan</w:t>
            </w:r>
            <w:r>
              <w:rPr>
                <w:noProof/>
                <w:webHidden/>
              </w:rPr>
              <w:tab/>
            </w:r>
            <w:r>
              <w:rPr>
                <w:noProof/>
                <w:webHidden/>
              </w:rPr>
              <w:fldChar w:fldCharType="begin"/>
            </w:r>
            <w:r>
              <w:rPr>
                <w:noProof/>
                <w:webHidden/>
              </w:rPr>
              <w:instrText xml:space="preserve"> PAGEREF _Toc513552864 \h </w:instrText>
            </w:r>
            <w:r>
              <w:rPr>
                <w:noProof/>
                <w:webHidden/>
              </w:rPr>
            </w:r>
            <w:r>
              <w:rPr>
                <w:noProof/>
                <w:webHidden/>
              </w:rPr>
              <w:fldChar w:fldCharType="separate"/>
            </w:r>
            <w:r>
              <w:rPr>
                <w:noProof/>
                <w:webHidden/>
              </w:rPr>
              <w:t>34</w:t>
            </w:r>
            <w:r>
              <w:rPr>
                <w:noProof/>
                <w:webHidden/>
              </w:rPr>
              <w:fldChar w:fldCharType="end"/>
            </w:r>
          </w:hyperlink>
        </w:p>
        <w:p w14:paraId="7E0CAE40" w14:textId="77777777" w:rsidR="008E5E13" w:rsidRDefault="008E5E13">
          <w:pPr>
            <w:pStyle w:val="TOC3"/>
            <w:rPr>
              <w:rFonts w:asciiTheme="minorHAnsi" w:eastAsiaTheme="minorEastAsia" w:hAnsiTheme="minorHAnsi" w:cstheme="minorBidi"/>
              <w:noProof/>
              <w:lang w:eastAsia="en-AU"/>
            </w:rPr>
          </w:pPr>
          <w:hyperlink w:anchor="_Toc513552865" w:history="1">
            <w:r w:rsidRPr="0000308A">
              <w:rPr>
                <w:rStyle w:val="Hyperlink"/>
                <w:noProof/>
              </w:rPr>
              <w:t>Risk-benefit analysis</w:t>
            </w:r>
            <w:r>
              <w:rPr>
                <w:noProof/>
                <w:webHidden/>
              </w:rPr>
              <w:tab/>
            </w:r>
            <w:r>
              <w:rPr>
                <w:noProof/>
                <w:webHidden/>
              </w:rPr>
              <w:fldChar w:fldCharType="begin"/>
            </w:r>
            <w:r>
              <w:rPr>
                <w:noProof/>
                <w:webHidden/>
              </w:rPr>
              <w:instrText xml:space="preserve"> PAGEREF _Toc513552865 \h </w:instrText>
            </w:r>
            <w:r>
              <w:rPr>
                <w:noProof/>
                <w:webHidden/>
              </w:rPr>
            </w:r>
            <w:r>
              <w:rPr>
                <w:noProof/>
                <w:webHidden/>
              </w:rPr>
              <w:fldChar w:fldCharType="separate"/>
            </w:r>
            <w:r>
              <w:rPr>
                <w:noProof/>
                <w:webHidden/>
              </w:rPr>
              <w:t>35</w:t>
            </w:r>
            <w:r>
              <w:rPr>
                <w:noProof/>
                <w:webHidden/>
              </w:rPr>
              <w:fldChar w:fldCharType="end"/>
            </w:r>
          </w:hyperlink>
        </w:p>
        <w:p w14:paraId="4785CDC0" w14:textId="77777777" w:rsidR="008E5E13" w:rsidRDefault="008E5E13">
          <w:pPr>
            <w:pStyle w:val="TOC3"/>
            <w:rPr>
              <w:rFonts w:asciiTheme="minorHAnsi" w:eastAsiaTheme="minorEastAsia" w:hAnsiTheme="minorHAnsi" w:cstheme="minorBidi"/>
              <w:noProof/>
              <w:lang w:eastAsia="en-AU"/>
            </w:rPr>
          </w:pPr>
          <w:hyperlink w:anchor="_Toc513552866" w:history="1">
            <w:r w:rsidRPr="0000308A">
              <w:rPr>
                <w:rStyle w:val="Hyperlink"/>
                <w:noProof/>
              </w:rPr>
              <w:t>Outcome</w:t>
            </w:r>
            <w:r>
              <w:rPr>
                <w:noProof/>
                <w:webHidden/>
              </w:rPr>
              <w:tab/>
            </w:r>
            <w:r>
              <w:rPr>
                <w:noProof/>
                <w:webHidden/>
              </w:rPr>
              <w:fldChar w:fldCharType="begin"/>
            </w:r>
            <w:r>
              <w:rPr>
                <w:noProof/>
                <w:webHidden/>
              </w:rPr>
              <w:instrText xml:space="preserve"> PAGEREF _Toc513552866 \h </w:instrText>
            </w:r>
            <w:r>
              <w:rPr>
                <w:noProof/>
                <w:webHidden/>
              </w:rPr>
            </w:r>
            <w:r>
              <w:rPr>
                <w:noProof/>
                <w:webHidden/>
              </w:rPr>
              <w:fldChar w:fldCharType="separate"/>
            </w:r>
            <w:r>
              <w:rPr>
                <w:noProof/>
                <w:webHidden/>
              </w:rPr>
              <w:t>42</w:t>
            </w:r>
            <w:r>
              <w:rPr>
                <w:noProof/>
                <w:webHidden/>
              </w:rPr>
              <w:fldChar w:fldCharType="end"/>
            </w:r>
          </w:hyperlink>
        </w:p>
        <w:p w14:paraId="73332C5E" w14:textId="77777777" w:rsidR="008E5E13" w:rsidRDefault="008E5E13">
          <w:pPr>
            <w:pStyle w:val="TOC2"/>
            <w:rPr>
              <w:rFonts w:asciiTheme="minorHAnsi" w:eastAsiaTheme="minorEastAsia" w:hAnsiTheme="minorHAnsi" w:cstheme="minorBidi"/>
              <w:b w:val="0"/>
              <w:noProof/>
              <w:sz w:val="22"/>
              <w:lang w:eastAsia="en-AU"/>
            </w:rPr>
          </w:pPr>
          <w:hyperlink w:anchor="_Toc513552867" w:history="1">
            <w:r w:rsidRPr="0000308A">
              <w:rPr>
                <w:rStyle w:val="Hyperlink"/>
                <w:noProof/>
              </w:rPr>
              <w:t>Attachment 1. Product Information</w:t>
            </w:r>
            <w:r>
              <w:rPr>
                <w:noProof/>
                <w:webHidden/>
              </w:rPr>
              <w:tab/>
            </w:r>
            <w:r>
              <w:rPr>
                <w:noProof/>
                <w:webHidden/>
              </w:rPr>
              <w:fldChar w:fldCharType="begin"/>
            </w:r>
            <w:r>
              <w:rPr>
                <w:noProof/>
                <w:webHidden/>
              </w:rPr>
              <w:instrText xml:space="preserve"> PAGEREF _Toc513552867 \h </w:instrText>
            </w:r>
            <w:r>
              <w:rPr>
                <w:noProof/>
                <w:webHidden/>
              </w:rPr>
            </w:r>
            <w:r>
              <w:rPr>
                <w:noProof/>
                <w:webHidden/>
              </w:rPr>
              <w:fldChar w:fldCharType="separate"/>
            </w:r>
            <w:r>
              <w:rPr>
                <w:noProof/>
                <w:webHidden/>
              </w:rPr>
              <w:t>43</w:t>
            </w:r>
            <w:r>
              <w:rPr>
                <w:noProof/>
                <w:webHidden/>
              </w:rPr>
              <w:fldChar w:fldCharType="end"/>
            </w:r>
          </w:hyperlink>
        </w:p>
        <w:p w14:paraId="0D3A0864" w14:textId="77777777" w:rsidR="008E5E13" w:rsidRDefault="008E5E13">
          <w:pPr>
            <w:pStyle w:val="TOC2"/>
            <w:rPr>
              <w:rFonts w:asciiTheme="minorHAnsi" w:eastAsiaTheme="minorEastAsia" w:hAnsiTheme="minorHAnsi" w:cstheme="minorBidi"/>
              <w:b w:val="0"/>
              <w:noProof/>
              <w:sz w:val="22"/>
              <w:lang w:eastAsia="en-AU"/>
            </w:rPr>
          </w:pPr>
          <w:hyperlink w:anchor="_Toc513552868" w:history="1">
            <w:r w:rsidRPr="0000308A">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_Toc513552868 \h </w:instrText>
            </w:r>
            <w:r>
              <w:rPr>
                <w:noProof/>
                <w:webHidden/>
              </w:rPr>
            </w:r>
            <w:r>
              <w:rPr>
                <w:noProof/>
                <w:webHidden/>
              </w:rPr>
              <w:fldChar w:fldCharType="separate"/>
            </w:r>
            <w:r>
              <w:rPr>
                <w:noProof/>
                <w:webHidden/>
              </w:rPr>
              <w:t>43</w:t>
            </w:r>
            <w:r>
              <w:rPr>
                <w:noProof/>
                <w:webHidden/>
              </w:rPr>
              <w:fldChar w:fldCharType="end"/>
            </w:r>
          </w:hyperlink>
        </w:p>
        <w:p w14:paraId="498776F6" w14:textId="77777777" w:rsidR="003A7F6C" w:rsidRPr="009A2EA1" w:rsidRDefault="00DB6124" w:rsidP="00B811C6">
          <w:pPr>
            <w:pStyle w:val="TOC2"/>
          </w:pPr>
          <w:r w:rsidRPr="009A2EA1">
            <w:fldChar w:fldCharType="end"/>
          </w:r>
        </w:p>
      </w:sdtContent>
    </w:sdt>
    <w:bookmarkStart w:id="3" w:name="_Toc314842482" w:displacedByCustomXml="prev"/>
    <w:p w14:paraId="6CEBAAB5" w14:textId="77777777" w:rsidR="00FD119B" w:rsidRPr="009A2EA1" w:rsidRDefault="00FD119B">
      <w:pPr>
        <w:spacing w:before="0" w:after="200" w:line="0" w:lineRule="auto"/>
      </w:pPr>
      <w:r w:rsidRPr="009A2EA1">
        <w:br w:type="page"/>
      </w:r>
    </w:p>
    <w:p w14:paraId="2800DED0" w14:textId="77777777" w:rsidR="00FD119B" w:rsidRPr="009A2EA1" w:rsidRDefault="00441C3F" w:rsidP="004F0C4A">
      <w:pPr>
        <w:pStyle w:val="Heading2"/>
      </w:pPr>
      <w:bookmarkStart w:id="4" w:name="_Toc351716269"/>
      <w:bookmarkStart w:id="5" w:name="_Toc351718881"/>
      <w:bookmarkStart w:id="6" w:name="_Toc355338616"/>
      <w:bookmarkStart w:id="7" w:name="_Toc356306144"/>
      <w:bookmarkStart w:id="8" w:name="_Toc513552838"/>
      <w:r w:rsidRPr="009A2EA1">
        <w:lastRenderedPageBreak/>
        <w:t>Common</w:t>
      </w:r>
      <w:r w:rsidR="00FD119B" w:rsidRPr="009A2EA1">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506970" w:rsidRPr="009A2EA1" w14:paraId="129F731B"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4DA43316" w14:textId="77777777" w:rsidR="00506970" w:rsidRPr="009A2EA1" w:rsidRDefault="00506970" w:rsidP="00FD119B">
            <w:pPr>
              <w:keepNext w:val="0"/>
              <w:ind w:left="0" w:right="0"/>
              <w:rPr>
                <w:szCs w:val="22"/>
                <w:lang w:eastAsia="en-US"/>
              </w:rPr>
            </w:pPr>
            <w:r w:rsidRPr="009A2EA1">
              <w:rPr>
                <w:szCs w:val="22"/>
                <w:lang w:eastAsia="en-US"/>
              </w:rPr>
              <w:t>Abbreviation</w:t>
            </w:r>
          </w:p>
        </w:tc>
        <w:tc>
          <w:tcPr>
            <w:tcW w:w="6911" w:type="dxa"/>
          </w:tcPr>
          <w:p w14:paraId="2F48B047" w14:textId="77777777" w:rsidR="00506970" w:rsidRPr="009A2EA1" w:rsidRDefault="00506970" w:rsidP="00FD119B">
            <w:pPr>
              <w:keepNext w:val="0"/>
              <w:ind w:left="0" w:right="0"/>
              <w:rPr>
                <w:szCs w:val="22"/>
                <w:lang w:eastAsia="en-US"/>
              </w:rPr>
            </w:pPr>
            <w:r w:rsidRPr="009A2EA1">
              <w:rPr>
                <w:szCs w:val="22"/>
                <w:lang w:eastAsia="en-US"/>
              </w:rPr>
              <w:t>Meaning</w:t>
            </w:r>
          </w:p>
        </w:tc>
      </w:tr>
      <w:tr w:rsidR="00506970" w:rsidRPr="009A2EA1" w14:paraId="2639CE91" w14:textId="77777777" w:rsidTr="00FD119B">
        <w:tc>
          <w:tcPr>
            <w:tcW w:w="1809" w:type="dxa"/>
          </w:tcPr>
          <w:p w14:paraId="0A0F8816" w14:textId="77777777" w:rsidR="00506970" w:rsidRDefault="00506970" w:rsidP="00FD119B">
            <w:r>
              <w:t>ACM</w:t>
            </w:r>
          </w:p>
        </w:tc>
        <w:tc>
          <w:tcPr>
            <w:tcW w:w="6911" w:type="dxa"/>
          </w:tcPr>
          <w:p w14:paraId="10E46D17" w14:textId="77777777" w:rsidR="00506970" w:rsidRDefault="00506970" w:rsidP="00FD119B">
            <w:r>
              <w:t>Advisory Committee on Medicines</w:t>
            </w:r>
          </w:p>
        </w:tc>
      </w:tr>
      <w:tr w:rsidR="00506970" w:rsidRPr="009A2EA1" w14:paraId="2C8D2858" w14:textId="77777777" w:rsidTr="00FD119B">
        <w:tc>
          <w:tcPr>
            <w:tcW w:w="1809" w:type="dxa"/>
          </w:tcPr>
          <w:p w14:paraId="12B667E5" w14:textId="77777777" w:rsidR="00506970" w:rsidRPr="009A2EA1" w:rsidRDefault="00506970" w:rsidP="00FD119B">
            <w:r w:rsidRPr="009A2EA1">
              <w:t>ADCC</w:t>
            </w:r>
          </w:p>
        </w:tc>
        <w:tc>
          <w:tcPr>
            <w:tcW w:w="6911" w:type="dxa"/>
          </w:tcPr>
          <w:p w14:paraId="7ABC8026" w14:textId="77777777" w:rsidR="00506970" w:rsidRPr="009A2EA1" w:rsidRDefault="00506970" w:rsidP="00FD119B">
            <w:r w:rsidRPr="009A2EA1">
              <w:t>Antibody dependent cell mediated cytotoxicity</w:t>
            </w:r>
          </w:p>
        </w:tc>
      </w:tr>
      <w:tr w:rsidR="00506970" w:rsidRPr="009A2EA1" w14:paraId="06BF2F44" w14:textId="77777777" w:rsidTr="00FD119B">
        <w:tc>
          <w:tcPr>
            <w:tcW w:w="1809" w:type="dxa"/>
          </w:tcPr>
          <w:p w14:paraId="3E51793B" w14:textId="77777777" w:rsidR="00506970" w:rsidRPr="009A2EA1" w:rsidRDefault="00506970" w:rsidP="00FD119B">
            <w:r w:rsidRPr="009A2EA1">
              <w:t>ADCP</w:t>
            </w:r>
          </w:p>
        </w:tc>
        <w:tc>
          <w:tcPr>
            <w:tcW w:w="6911" w:type="dxa"/>
          </w:tcPr>
          <w:p w14:paraId="56A4AE4A" w14:textId="77777777" w:rsidR="00506970" w:rsidRPr="009A2EA1" w:rsidRDefault="00506970" w:rsidP="00FD119B">
            <w:r w:rsidRPr="009A2EA1">
              <w:t>Antibody dependent cellular cytotoxicity</w:t>
            </w:r>
          </w:p>
        </w:tc>
      </w:tr>
      <w:tr w:rsidR="00506970" w:rsidRPr="009A2EA1" w14:paraId="5CA03C67" w14:textId="77777777" w:rsidTr="00FD119B">
        <w:tc>
          <w:tcPr>
            <w:tcW w:w="1809" w:type="dxa"/>
          </w:tcPr>
          <w:p w14:paraId="6F850A22" w14:textId="77777777" w:rsidR="00506970" w:rsidRDefault="00506970" w:rsidP="00FD119B">
            <w:r>
              <w:t>ADR</w:t>
            </w:r>
          </w:p>
        </w:tc>
        <w:tc>
          <w:tcPr>
            <w:tcW w:w="6911" w:type="dxa"/>
          </w:tcPr>
          <w:p w14:paraId="5DE2B0A9" w14:textId="77777777" w:rsidR="00506970" w:rsidRDefault="00506970" w:rsidP="00FD119B">
            <w:r>
              <w:t>Adverse drug reaction</w:t>
            </w:r>
          </w:p>
        </w:tc>
      </w:tr>
      <w:tr w:rsidR="00506970" w:rsidRPr="009A2EA1" w14:paraId="009B0221" w14:textId="77777777" w:rsidTr="00FD119B">
        <w:tc>
          <w:tcPr>
            <w:tcW w:w="1809" w:type="dxa"/>
          </w:tcPr>
          <w:p w14:paraId="0A3A22AC" w14:textId="77777777" w:rsidR="00506970" w:rsidRDefault="00506970" w:rsidP="00FD119B">
            <w:r>
              <w:t>AE</w:t>
            </w:r>
          </w:p>
        </w:tc>
        <w:tc>
          <w:tcPr>
            <w:tcW w:w="6911" w:type="dxa"/>
          </w:tcPr>
          <w:p w14:paraId="7350DF7F" w14:textId="77777777" w:rsidR="00506970" w:rsidRDefault="00506970" w:rsidP="00FD119B">
            <w:r>
              <w:t>Adverse event</w:t>
            </w:r>
          </w:p>
        </w:tc>
      </w:tr>
      <w:tr w:rsidR="00506970" w:rsidRPr="009A2EA1" w14:paraId="511AEED3" w14:textId="77777777" w:rsidTr="00FD119B">
        <w:tc>
          <w:tcPr>
            <w:tcW w:w="1809" w:type="dxa"/>
          </w:tcPr>
          <w:p w14:paraId="55AD4A2F" w14:textId="77777777" w:rsidR="00506970" w:rsidRDefault="00506970" w:rsidP="00FD119B">
            <w:r>
              <w:t>AEGT</w:t>
            </w:r>
          </w:p>
        </w:tc>
        <w:tc>
          <w:tcPr>
            <w:tcW w:w="6911" w:type="dxa"/>
          </w:tcPr>
          <w:p w14:paraId="7403CEA1" w14:textId="77777777" w:rsidR="00506970" w:rsidRDefault="00506970" w:rsidP="00FD119B">
            <w:r>
              <w:t>Adverse event group term</w:t>
            </w:r>
          </w:p>
        </w:tc>
      </w:tr>
      <w:tr w:rsidR="00506970" w:rsidRPr="009A2EA1" w14:paraId="1E91438D" w14:textId="77777777" w:rsidTr="00FD119B">
        <w:tc>
          <w:tcPr>
            <w:tcW w:w="1809" w:type="dxa"/>
          </w:tcPr>
          <w:p w14:paraId="1148E3B4" w14:textId="77777777" w:rsidR="00506970" w:rsidRDefault="00506970" w:rsidP="00FD119B">
            <w:r>
              <w:t>ANC</w:t>
            </w:r>
          </w:p>
        </w:tc>
        <w:tc>
          <w:tcPr>
            <w:tcW w:w="6911" w:type="dxa"/>
          </w:tcPr>
          <w:p w14:paraId="34543C12" w14:textId="77777777" w:rsidR="00506970" w:rsidRDefault="00506970" w:rsidP="00FD119B">
            <w:r>
              <w:t>Absolute neutrophil count</w:t>
            </w:r>
          </w:p>
        </w:tc>
      </w:tr>
      <w:tr w:rsidR="00506970" w:rsidRPr="009A2EA1" w14:paraId="4B23A520" w14:textId="77777777" w:rsidTr="00FD119B">
        <w:tc>
          <w:tcPr>
            <w:tcW w:w="1809" w:type="dxa"/>
          </w:tcPr>
          <w:p w14:paraId="45D936DD" w14:textId="77777777" w:rsidR="00506970" w:rsidRPr="009A2EA1" w:rsidRDefault="00506970" w:rsidP="00FD119B">
            <w:r w:rsidRPr="009A2EA1">
              <w:t>ARTG</w:t>
            </w:r>
          </w:p>
        </w:tc>
        <w:tc>
          <w:tcPr>
            <w:tcW w:w="6911" w:type="dxa"/>
          </w:tcPr>
          <w:p w14:paraId="391A906E" w14:textId="77777777" w:rsidR="00506970" w:rsidRPr="009A2EA1" w:rsidRDefault="00506970" w:rsidP="00FD119B">
            <w:r w:rsidRPr="009A2EA1">
              <w:t>Australian Register of Therapeutic Goods</w:t>
            </w:r>
          </w:p>
        </w:tc>
      </w:tr>
      <w:tr w:rsidR="00506970" w:rsidRPr="009A2EA1" w14:paraId="131171EB" w14:textId="77777777" w:rsidTr="00FD119B">
        <w:tc>
          <w:tcPr>
            <w:tcW w:w="1809" w:type="dxa"/>
          </w:tcPr>
          <w:p w14:paraId="6C9C93D0" w14:textId="77777777" w:rsidR="00506970" w:rsidRDefault="00506970" w:rsidP="00FD119B">
            <w:r>
              <w:t>ASA</w:t>
            </w:r>
          </w:p>
        </w:tc>
        <w:tc>
          <w:tcPr>
            <w:tcW w:w="6911" w:type="dxa"/>
          </w:tcPr>
          <w:p w14:paraId="4DDF8581" w14:textId="77777777" w:rsidR="00506970" w:rsidRDefault="00506970" w:rsidP="00FD119B">
            <w:r>
              <w:t>Australian specific annex</w:t>
            </w:r>
          </w:p>
        </w:tc>
      </w:tr>
      <w:tr w:rsidR="00506970" w:rsidRPr="009A2EA1" w14:paraId="33CBB4CF" w14:textId="77777777" w:rsidTr="00FD119B">
        <w:tc>
          <w:tcPr>
            <w:tcW w:w="1809" w:type="dxa"/>
          </w:tcPr>
          <w:p w14:paraId="1F4C05DC" w14:textId="77777777" w:rsidR="00506970" w:rsidRPr="009A2EA1" w:rsidRDefault="00506970" w:rsidP="00FD119B">
            <w:r w:rsidRPr="009A2EA1">
              <w:t>CDC</w:t>
            </w:r>
          </w:p>
        </w:tc>
        <w:tc>
          <w:tcPr>
            <w:tcW w:w="6911" w:type="dxa"/>
          </w:tcPr>
          <w:p w14:paraId="42899952" w14:textId="77777777" w:rsidR="00506970" w:rsidRPr="009A2EA1" w:rsidRDefault="00506970" w:rsidP="00FD119B">
            <w:r w:rsidRPr="009A2EA1">
              <w:t>Complement dependent cytotoxicity</w:t>
            </w:r>
          </w:p>
        </w:tc>
      </w:tr>
      <w:tr w:rsidR="00506970" w:rsidRPr="009A2EA1" w14:paraId="11E4A468" w14:textId="77777777" w:rsidTr="00FD119B">
        <w:tc>
          <w:tcPr>
            <w:tcW w:w="1809" w:type="dxa"/>
          </w:tcPr>
          <w:p w14:paraId="28E430C2" w14:textId="77777777" w:rsidR="00506970" w:rsidRPr="009A2EA1" w:rsidRDefault="00506970" w:rsidP="00FD119B">
            <w:r w:rsidRPr="009A2EA1">
              <w:t>CHMP</w:t>
            </w:r>
          </w:p>
        </w:tc>
        <w:tc>
          <w:tcPr>
            <w:tcW w:w="6911" w:type="dxa"/>
          </w:tcPr>
          <w:p w14:paraId="552F47DC" w14:textId="77777777" w:rsidR="00506970" w:rsidRPr="009A2EA1" w:rsidRDefault="00506970" w:rsidP="00FD119B">
            <w:r w:rsidRPr="009A2EA1">
              <w:t>Committee for Medicinal Products for Human Use</w:t>
            </w:r>
          </w:p>
        </w:tc>
      </w:tr>
      <w:tr w:rsidR="00506970" w:rsidRPr="009A2EA1" w14:paraId="733D9817" w14:textId="77777777" w:rsidTr="00FD119B">
        <w:tc>
          <w:tcPr>
            <w:tcW w:w="1809" w:type="dxa"/>
          </w:tcPr>
          <w:p w14:paraId="0B83E953" w14:textId="77777777" w:rsidR="00506970" w:rsidRPr="009A2EA1" w:rsidRDefault="00506970" w:rsidP="00FD119B">
            <w:r w:rsidRPr="009A2EA1">
              <w:t>CHOP</w:t>
            </w:r>
          </w:p>
        </w:tc>
        <w:tc>
          <w:tcPr>
            <w:tcW w:w="6911" w:type="dxa"/>
          </w:tcPr>
          <w:p w14:paraId="5E9AC9D3" w14:textId="77777777" w:rsidR="00506970" w:rsidRPr="009A2EA1" w:rsidRDefault="00506970" w:rsidP="00FD119B">
            <w:r w:rsidRPr="009A2EA1">
              <w:t>Cyclophosphamide, doxorubicin, vincristine and prednisolone</w:t>
            </w:r>
          </w:p>
        </w:tc>
      </w:tr>
      <w:tr w:rsidR="00506970" w:rsidRPr="009A2EA1" w14:paraId="0A1B36EB" w14:textId="77777777" w:rsidTr="00FD119B">
        <w:tc>
          <w:tcPr>
            <w:tcW w:w="1809" w:type="dxa"/>
          </w:tcPr>
          <w:p w14:paraId="1D008E89" w14:textId="77777777" w:rsidR="00506970" w:rsidRDefault="00506970" w:rsidP="00FD119B">
            <w:r>
              <w:t>CMI</w:t>
            </w:r>
          </w:p>
        </w:tc>
        <w:tc>
          <w:tcPr>
            <w:tcW w:w="6911" w:type="dxa"/>
          </w:tcPr>
          <w:p w14:paraId="3968F211" w14:textId="77777777" w:rsidR="00506970" w:rsidRDefault="00506970" w:rsidP="00FD119B">
            <w:r>
              <w:t>Consumer medicines information</w:t>
            </w:r>
          </w:p>
        </w:tc>
      </w:tr>
      <w:tr w:rsidR="00506970" w:rsidRPr="009A2EA1" w14:paraId="31A7F7C1" w14:textId="77777777" w:rsidTr="00FD119B">
        <w:tc>
          <w:tcPr>
            <w:tcW w:w="1809" w:type="dxa"/>
          </w:tcPr>
          <w:p w14:paraId="51168673" w14:textId="77777777" w:rsidR="00506970" w:rsidRDefault="00506970" w:rsidP="00FD119B">
            <w:r>
              <w:t>CR</w:t>
            </w:r>
          </w:p>
        </w:tc>
        <w:tc>
          <w:tcPr>
            <w:tcW w:w="6911" w:type="dxa"/>
          </w:tcPr>
          <w:p w14:paraId="6830C2A4" w14:textId="77777777" w:rsidR="00506970" w:rsidRDefault="00506970" w:rsidP="00FD119B">
            <w:r>
              <w:t>Complete response</w:t>
            </w:r>
          </w:p>
        </w:tc>
      </w:tr>
      <w:tr w:rsidR="00506970" w:rsidRPr="009A2EA1" w14:paraId="0B6DA4E6" w14:textId="77777777" w:rsidTr="00FD119B">
        <w:tc>
          <w:tcPr>
            <w:tcW w:w="1809" w:type="dxa"/>
          </w:tcPr>
          <w:p w14:paraId="13D8695A" w14:textId="77777777" w:rsidR="00506970" w:rsidRDefault="00506970" w:rsidP="00FD119B">
            <w:r>
              <w:t>CrCL</w:t>
            </w:r>
          </w:p>
        </w:tc>
        <w:tc>
          <w:tcPr>
            <w:tcW w:w="6911" w:type="dxa"/>
          </w:tcPr>
          <w:p w14:paraId="704E6B0C" w14:textId="77777777" w:rsidR="00506970" w:rsidRDefault="00506970" w:rsidP="00FD119B">
            <w:r>
              <w:t>Creatinine clearance</w:t>
            </w:r>
          </w:p>
        </w:tc>
      </w:tr>
      <w:tr w:rsidR="00506970" w:rsidRPr="009A2EA1" w14:paraId="1C0F0726" w14:textId="77777777" w:rsidTr="00FD119B">
        <w:tc>
          <w:tcPr>
            <w:tcW w:w="1809" w:type="dxa"/>
          </w:tcPr>
          <w:p w14:paraId="085BB0A6" w14:textId="77777777" w:rsidR="00506970" w:rsidRPr="009A2EA1" w:rsidRDefault="00506970" w:rsidP="00FD119B">
            <w:r w:rsidRPr="009A2EA1">
              <w:t>CSR</w:t>
            </w:r>
          </w:p>
        </w:tc>
        <w:tc>
          <w:tcPr>
            <w:tcW w:w="6911" w:type="dxa"/>
          </w:tcPr>
          <w:p w14:paraId="40948069" w14:textId="77777777" w:rsidR="00506970" w:rsidRPr="009A2EA1" w:rsidRDefault="00506970" w:rsidP="00FD119B">
            <w:r w:rsidRPr="009A2EA1">
              <w:t>Clinical study report</w:t>
            </w:r>
          </w:p>
        </w:tc>
      </w:tr>
      <w:tr w:rsidR="00506970" w:rsidRPr="009A2EA1" w14:paraId="0D538161" w14:textId="77777777" w:rsidTr="00FD119B">
        <w:tc>
          <w:tcPr>
            <w:tcW w:w="1809" w:type="dxa"/>
          </w:tcPr>
          <w:p w14:paraId="07920FD4" w14:textId="77777777" w:rsidR="00506970" w:rsidRDefault="00506970" w:rsidP="00FD119B">
            <w:r>
              <w:t>CT</w:t>
            </w:r>
          </w:p>
        </w:tc>
        <w:tc>
          <w:tcPr>
            <w:tcW w:w="6911" w:type="dxa"/>
          </w:tcPr>
          <w:p w14:paraId="0975F563" w14:textId="77777777" w:rsidR="00506970" w:rsidRDefault="00506970" w:rsidP="00FD119B">
            <w:r>
              <w:t>Computed tomography (scan)</w:t>
            </w:r>
          </w:p>
        </w:tc>
      </w:tr>
      <w:tr w:rsidR="00506970" w:rsidRPr="009A2EA1" w14:paraId="35084F46" w14:textId="77777777" w:rsidTr="00FD119B">
        <w:tc>
          <w:tcPr>
            <w:tcW w:w="1809" w:type="dxa"/>
          </w:tcPr>
          <w:p w14:paraId="5797125F" w14:textId="77777777" w:rsidR="00506970" w:rsidRPr="009A2EA1" w:rsidRDefault="00506970" w:rsidP="00FD119B">
            <w:r w:rsidRPr="009A2EA1">
              <w:t>CVP</w:t>
            </w:r>
          </w:p>
        </w:tc>
        <w:tc>
          <w:tcPr>
            <w:tcW w:w="6911" w:type="dxa"/>
          </w:tcPr>
          <w:p w14:paraId="59A89FD3" w14:textId="77777777" w:rsidR="00506970" w:rsidRPr="009A2EA1" w:rsidRDefault="00506970" w:rsidP="00FD119B">
            <w:r w:rsidRPr="009A2EA1">
              <w:t>Cyclophosphamide, vincristine and prednisolone</w:t>
            </w:r>
          </w:p>
        </w:tc>
      </w:tr>
      <w:tr w:rsidR="00506970" w:rsidRPr="009A2EA1" w14:paraId="255D8A98" w14:textId="77777777" w:rsidTr="00FD119B">
        <w:tc>
          <w:tcPr>
            <w:tcW w:w="1809" w:type="dxa"/>
          </w:tcPr>
          <w:p w14:paraId="1AD6004E" w14:textId="77777777" w:rsidR="00506970" w:rsidRDefault="00506970" w:rsidP="00FD119B">
            <w:r>
              <w:t>DFS</w:t>
            </w:r>
          </w:p>
        </w:tc>
        <w:tc>
          <w:tcPr>
            <w:tcW w:w="6911" w:type="dxa"/>
          </w:tcPr>
          <w:p w14:paraId="1ED67BF1" w14:textId="77777777" w:rsidR="00506970" w:rsidRDefault="00506970" w:rsidP="00FD119B">
            <w:r>
              <w:t>Disease free survival</w:t>
            </w:r>
          </w:p>
        </w:tc>
      </w:tr>
      <w:tr w:rsidR="00506970" w:rsidRPr="009A2EA1" w14:paraId="47D36054" w14:textId="77777777" w:rsidTr="00FD119B">
        <w:tc>
          <w:tcPr>
            <w:tcW w:w="1809" w:type="dxa"/>
          </w:tcPr>
          <w:p w14:paraId="109AABFC" w14:textId="77777777" w:rsidR="00506970" w:rsidRDefault="00506970" w:rsidP="00FD119B">
            <w:r>
              <w:t>DLBCL</w:t>
            </w:r>
          </w:p>
        </w:tc>
        <w:tc>
          <w:tcPr>
            <w:tcW w:w="6911" w:type="dxa"/>
          </w:tcPr>
          <w:p w14:paraId="18C48FF5" w14:textId="77777777" w:rsidR="00506970" w:rsidRDefault="00506970" w:rsidP="003D5246">
            <w:r>
              <w:t>Diffuse large B cell lymphoma</w:t>
            </w:r>
          </w:p>
        </w:tc>
      </w:tr>
      <w:tr w:rsidR="00506970" w:rsidRPr="009A2EA1" w14:paraId="2C0B0EB6" w14:textId="77777777" w:rsidTr="00FD119B">
        <w:tc>
          <w:tcPr>
            <w:tcW w:w="1809" w:type="dxa"/>
          </w:tcPr>
          <w:p w14:paraId="13234472" w14:textId="77777777" w:rsidR="00506970" w:rsidRDefault="00506970" w:rsidP="00FD119B">
            <w:r>
              <w:t>DLP</w:t>
            </w:r>
          </w:p>
        </w:tc>
        <w:tc>
          <w:tcPr>
            <w:tcW w:w="6911" w:type="dxa"/>
          </w:tcPr>
          <w:p w14:paraId="4B05794B" w14:textId="77777777" w:rsidR="00506970" w:rsidRDefault="00506970" w:rsidP="00FD119B">
            <w:r>
              <w:t>Data lock point</w:t>
            </w:r>
          </w:p>
        </w:tc>
      </w:tr>
      <w:tr w:rsidR="00506970" w:rsidRPr="009A2EA1" w14:paraId="45669F20" w14:textId="77777777" w:rsidTr="00FD119B">
        <w:tc>
          <w:tcPr>
            <w:tcW w:w="1809" w:type="dxa"/>
          </w:tcPr>
          <w:p w14:paraId="3F401523" w14:textId="77777777" w:rsidR="00506970" w:rsidRDefault="00506970" w:rsidP="00FD119B">
            <w:r>
              <w:t>DOR</w:t>
            </w:r>
          </w:p>
        </w:tc>
        <w:tc>
          <w:tcPr>
            <w:tcW w:w="6911" w:type="dxa"/>
          </w:tcPr>
          <w:p w14:paraId="1877C253" w14:textId="77777777" w:rsidR="00506970" w:rsidRDefault="00506970" w:rsidP="00FD119B">
            <w:r>
              <w:t>Duration of response</w:t>
            </w:r>
          </w:p>
        </w:tc>
      </w:tr>
      <w:tr w:rsidR="00506970" w:rsidRPr="009A2EA1" w14:paraId="15FD5BCE" w14:textId="77777777" w:rsidTr="00FD119B">
        <w:tc>
          <w:tcPr>
            <w:tcW w:w="1809" w:type="dxa"/>
          </w:tcPr>
          <w:p w14:paraId="0CF37894" w14:textId="77777777" w:rsidR="00506970" w:rsidRDefault="00506970" w:rsidP="00FD119B">
            <w:r>
              <w:t>ECOG</w:t>
            </w:r>
          </w:p>
        </w:tc>
        <w:tc>
          <w:tcPr>
            <w:tcW w:w="6911" w:type="dxa"/>
          </w:tcPr>
          <w:p w14:paraId="73657318" w14:textId="77777777" w:rsidR="00506970" w:rsidRDefault="00506970" w:rsidP="00FD119B">
            <w:r w:rsidRPr="00AF5B2C">
              <w:t>Eastern Cooperative Oncology Group</w:t>
            </w:r>
          </w:p>
        </w:tc>
      </w:tr>
      <w:tr w:rsidR="00506970" w:rsidRPr="009A2EA1" w14:paraId="212F400F" w14:textId="77777777" w:rsidTr="00FD119B">
        <w:tc>
          <w:tcPr>
            <w:tcW w:w="1809" w:type="dxa"/>
          </w:tcPr>
          <w:p w14:paraId="33B79985" w14:textId="77777777" w:rsidR="00506970" w:rsidRDefault="00506970" w:rsidP="00FD119B">
            <w:r>
              <w:t>EFS</w:t>
            </w:r>
          </w:p>
        </w:tc>
        <w:tc>
          <w:tcPr>
            <w:tcW w:w="6911" w:type="dxa"/>
          </w:tcPr>
          <w:p w14:paraId="25895930" w14:textId="77777777" w:rsidR="00506970" w:rsidRDefault="00506970" w:rsidP="00FD119B">
            <w:r>
              <w:t>Event free survival</w:t>
            </w:r>
          </w:p>
        </w:tc>
      </w:tr>
      <w:tr w:rsidR="00506970" w:rsidRPr="009A2EA1" w14:paraId="23A7DDCD" w14:textId="77777777" w:rsidTr="00FD119B">
        <w:tc>
          <w:tcPr>
            <w:tcW w:w="1809" w:type="dxa"/>
          </w:tcPr>
          <w:p w14:paraId="2CB94D14" w14:textId="77777777" w:rsidR="00506970" w:rsidRPr="009A2EA1" w:rsidRDefault="00506970" w:rsidP="00FD119B">
            <w:r w:rsidRPr="009A2EA1">
              <w:t>EMA</w:t>
            </w:r>
          </w:p>
        </w:tc>
        <w:tc>
          <w:tcPr>
            <w:tcW w:w="6911" w:type="dxa"/>
          </w:tcPr>
          <w:p w14:paraId="5BCEB2A2" w14:textId="77777777" w:rsidR="00506970" w:rsidRPr="009A2EA1" w:rsidRDefault="00506970" w:rsidP="00FD119B">
            <w:r w:rsidRPr="009A2EA1">
              <w:t>European Medicines Agency</w:t>
            </w:r>
          </w:p>
        </w:tc>
      </w:tr>
      <w:tr w:rsidR="00506970" w:rsidRPr="009A2EA1" w14:paraId="43B55CC3" w14:textId="77777777" w:rsidTr="00FD119B">
        <w:tc>
          <w:tcPr>
            <w:tcW w:w="1809" w:type="dxa"/>
          </w:tcPr>
          <w:p w14:paraId="79F4B8FE" w14:textId="77777777" w:rsidR="00506970" w:rsidRDefault="00506970" w:rsidP="00FD119B">
            <w:r>
              <w:lastRenderedPageBreak/>
              <w:t>FC</w:t>
            </w:r>
          </w:p>
        </w:tc>
        <w:tc>
          <w:tcPr>
            <w:tcW w:w="6911" w:type="dxa"/>
          </w:tcPr>
          <w:p w14:paraId="3C69D8F7" w14:textId="77777777" w:rsidR="00506970" w:rsidRDefault="00506970" w:rsidP="00FD119B">
            <w:r>
              <w:rPr>
                <w:lang w:val="en-GB"/>
              </w:rPr>
              <w:t>F</w:t>
            </w:r>
            <w:r w:rsidRPr="002640A1">
              <w:rPr>
                <w:lang w:val="en-GB"/>
              </w:rPr>
              <w:t>ludarabine</w:t>
            </w:r>
            <w:r>
              <w:rPr>
                <w:lang w:val="en-GB"/>
              </w:rPr>
              <w:t xml:space="preserve"> + </w:t>
            </w:r>
            <w:r w:rsidRPr="002640A1">
              <w:rPr>
                <w:lang w:val="en-GB"/>
              </w:rPr>
              <w:t>cyclophosphamide</w:t>
            </w:r>
          </w:p>
        </w:tc>
      </w:tr>
      <w:tr w:rsidR="00506970" w:rsidRPr="009A2EA1" w14:paraId="6F860AEA" w14:textId="77777777" w:rsidTr="00FD119B">
        <w:tc>
          <w:tcPr>
            <w:tcW w:w="1809" w:type="dxa"/>
          </w:tcPr>
          <w:p w14:paraId="1FB4874C" w14:textId="77777777" w:rsidR="00506970" w:rsidRPr="009A2EA1" w:rsidRDefault="00506970" w:rsidP="00FD119B">
            <w:r w:rsidRPr="009A2EA1">
              <w:t>FDA</w:t>
            </w:r>
          </w:p>
        </w:tc>
        <w:tc>
          <w:tcPr>
            <w:tcW w:w="6911" w:type="dxa"/>
          </w:tcPr>
          <w:p w14:paraId="6BB73C02" w14:textId="77777777" w:rsidR="00506970" w:rsidRPr="009A2EA1" w:rsidRDefault="00506970" w:rsidP="00FD119B">
            <w:r w:rsidRPr="009A2EA1">
              <w:t>Food and Drug Administration</w:t>
            </w:r>
          </w:p>
        </w:tc>
      </w:tr>
      <w:tr w:rsidR="00506970" w:rsidRPr="009A2EA1" w14:paraId="12B3F234" w14:textId="77777777" w:rsidTr="00FD119B">
        <w:tc>
          <w:tcPr>
            <w:tcW w:w="1809" w:type="dxa"/>
          </w:tcPr>
          <w:p w14:paraId="045DAC52" w14:textId="77777777" w:rsidR="00506970" w:rsidRPr="009A2EA1" w:rsidRDefault="00506970" w:rsidP="00FD119B">
            <w:r w:rsidRPr="009A2EA1">
              <w:t>FL</w:t>
            </w:r>
          </w:p>
        </w:tc>
        <w:tc>
          <w:tcPr>
            <w:tcW w:w="6911" w:type="dxa"/>
          </w:tcPr>
          <w:p w14:paraId="18A87C44" w14:textId="77777777" w:rsidR="00506970" w:rsidRPr="009A2EA1" w:rsidRDefault="00506970" w:rsidP="00FD119B">
            <w:r w:rsidRPr="009A2EA1">
              <w:t>Follicular lymphoma</w:t>
            </w:r>
          </w:p>
        </w:tc>
      </w:tr>
      <w:tr w:rsidR="00506970" w:rsidRPr="009A2EA1" w14:paraId="3E4B51F9" w14:textId="77777777" w:rsidTr="00FD119B">
        <w:tc>
          <w:tcPr>
            <w:tcW w:w="1809" w:type="dxa"/>
          </w:tcPr>
          <w:p w14:paraId="1C5F82E5" w14:textId="77777777" w:rsidR="00506970" w:rsidRDefault="00506970" w:rsidP="00FD119B">
            <w:r>
              <w:t>G-chemo</w:t>
            </w:r>
          </w:p>
        </w:tc>
        <w:tc>
          <w:tcPr>
            <w:tcW w:w="6911" w:type="dxa"/>
          </w:tcPr>
          <w:p w14:paraId="172D420B" w14:textId="77777777" w:rsidR="00506970" w:rsidRDefault="00506970" w:rsidP="00FD119B">
            <w:r>
              <w:t>O</w:t>
            </w:r>
            <w:r w:rsidRPr="00983C06">
              <w:t>binutuzumab (Gazyva) plus chemotherapy</w:t>
            </w:r>
          </w:p>
        </w:tc>
      </w:tr>
      <w:tr w:rsidR="00506970" w:rsidRPr="009A2EA1" w14:paraId="1DA120E9" w14:textId="77777777" w:rsidTr="00FD119B">
        <w:tc>
          <w:tcPr>
            <w:tcW w:w="1809" w:type="dxa"/>
          </w:tcPr>
          <w:p w14:paraId="6A949D37" w14:textId="77777777" w:rsidR="00506970" w:rsidRPr="009A2EA1" w:rsidRDefault="00506970" w:rsidP="00FD119B">
            <w:r>
              <w:t>GA101</w:t>
            </w:r>
          </w:p>
        </w:tc>
        <w:tc>
          <w:tcPr>
            <w:tcW w:w="6911" w:type="dxa"/>
          </w:tcPr>
          <w:p w14:paraId="62602610" w14:textId="77777777" w:rsidR="00506970" w:rsidRPr="009A2EA1" w:rsidRDefault="00506970" w:rsidP="00FD119B">
            <w:r>
              <w:t>Obinutuzumab (drug development name)</w:t>
            </w:r>
          </w:p>
        </w:tc>
      </w:tr>
      <w:tr w:rsidR="00506970" w:rsidRPr="0026495F" w14:paraId="213E7BFA" w14:textId="77777777" w:rsidTr="00FD119B">
        <w:tc>
          <w:tcPr>
            <w:tcW w:w="1809" w:type="dxa"/>
          </w:tcPr>
          <w:p w14:paraId="4978501A" w14:textId="77777777" w:rsidR="00506970" w:rsidRDefault="00506970" w:rsidP="00FD119B">
            <w:r>
              <w:t>GELF</w:t>
            </w:r>
          </w:p>
        </w:tc>
        <w:tc>
          <w:tcPr>
            <w:tcW w:w="6911" w:type="dxa"/>
          </w:tcPr>
          <w:p w14:paraId="27A5DDE6" w14:textId="77777777" w:rsidR="00506970" w:rsidRPr="00906BC8" w:rsidRDefault="00506970" w:rsidP="00FD119B">
            <w:pPr>
              <w:rPr>
                <w:lang w:val="fr-FR"/>
              </w:rPr>
            </w:pPr>
            <w:r w:rsidRPr="00906BC8">
              <w:rPr>
                <w:lang w:val="fr-FR"/>
              </w:rPr>
              <w:t>Groupe d’Etude des Lymphomes Folliculaires</w:t>
            </w:r>
          </w:p>
        </w:tc>
      </w:tr>
      <w:tr w:rsidR="00506970" w:rsidRPr="009A2EA1" w14:paraId="273CF554" w14:textId="77777777" w:rsidTr="00FD119B">
        <w:tc>
          <w:tcPr>
            <w:tcW w:w="1809" w:type="dxa"/>
          </w:tcPr>
          <w:p w14:paraId="7526DADE" w14:textId="77777777" w:rsidR="00506970" w:rsidRDefault="00506970" w:rsidP="00FD119B">
            <w:r>
              <w:t>HBV</w:t>
            </w:r>
          </w:p>
        </w:tc>
        <w:tc>
          <w:tcPr>
            <w:tcW w:w="6911" w:type="dxa"/>
          </w:tcPr>
          <w:p w14:paraId="6EA76790" w14:textId="77777777" w:rsidR="00506970" w:rsidRDefault="00506970" w:rsidP="00FD119B">
            <w:r>
              <w:t>Hepatitis B virus</w:t>
            </w:r>
          </w:p>
        </w:tc>
      </w:tr>
      <w:tr w:rsidR="00506970" w:rsidRPr="009A2EA1" w14:paraId="3985277E" w14:textId="77777777" w:rsidTr="00FD119B">
        <w:tc>
          <w:tcPr>
            <w:tcW w:w="1809" w:type="dxa"/>
          </w:tcPr>
          <w:p w14:paraId="689C4E49" w14:textId="77777777" w:rsidR="00506970" w:rsidRDefault="00506970" w:rsidP="00FD119B">
            <w:r>
              <w:t>HCP</w:t>
            </w:r>
          </w:p>
        </w:tc>
        <w:tc>
          <w:tcPr>
            <w:tcW w:w="6911" w:type="dxa"/>
          </w:tcPr>
          <w:p w14:paraId="4F743E41" w14:textId="77777777" w:rsidR="00506970" w:rsidRDefault="00506970" w:rsidP="00FD119B">
            <w:r>
              <w:t>Healthcare Professional</w:t>
            </w:r>
          </w:p>
        </w:tc>
      </w:tr>
      <w:tr w:rsidR="00506970" w:rsidRPr="009A2EA1" w14:paraId="65576A09" w14:textId="77777777" w:rsidTr="00FD119B">
        <w:tc>
          <w:tcPr>
            <w:tcW w:w="1809" w:type="dxa"/>
          </w:tcPr>
          <w:p w14:paraId="4448EB7C" w14:textId="77777777" w:rsidR="00506970" w:rsidRDefault="00506970" w:rsidP="00FD119B">
            <w:r w:rsidRPr="0051089C">
              <w:t>HepB core Ab+</w:t>
            </w:r>
          </w:p>
        </w:tc>
        <w:tc>
          <w:tcPr>
            <w:tcW w:w="6911" w:type="dxa"/>
          </w:tcPr>
          <w:p w14:paraId="3C7EBE4D" w14:textId="77777777" w:rsidR="00506970" w:rsidRDefault="00506970" w:rsidP="00FD119B">
            <w:r>
              <w:t>Hepatitis B core antibody positive</w:t>
            </w:r>
          </w:p>
        </w:tc>
      </w:tr>
      <w:tr w:rsidR="00506970" w:rsidRPr="009A2EA1" w14:paraId="1BE1BD46" w14:textId="77777777" w:rsidTr="00FD119B">
        <w:tc>
          <w:tcPr>
            <w:tcW w:w="1809" w:type="dxa"/>
          </w:tcPr>
          <w:p w14:paraId="658BC1D8" w14:textId="77777777" w:rsidR="00506970" w:rsidRDefault="00506970" w:rsidP="00FD119B">
            <w:r>
              <w:t>HR</w:t>
            </w:r>
          </w:p>
        </w:tc>
        <w:tc>
          <w:tcPr>
            <w:tcW w:w="6911" w:type="dxa"/>
          </w:tcPr>
          <w:p w14:paraId="3D986EDC" w14:textId="77777777" w:rsidR="00506970" w:rsidRDefault="00506970" w:rsidP="00FD119B">
            <w:r>
              <w:t>Hazard ratio</w:t>
            </w:r>
          </w:p>
        </w:tc>
      </w:tr>
      <w:tr w:rsidR="00506970" w:rsidRPr="009A2EA1" w14:paraId="41A39E06" w14:textId="77777777" w:rsidTr="00FD119B">
        <w:tc>
          <w:tcPr>
            <w:tcW w:w="1809" w:type="dxa"/>
          </w:tcPr>
          <w:p w14:paraId="3E26E79E" w14:textId="77777777" w:rsidR="00506970" w:rsidRDefault="00506970" w:rsidP="00FD119B">
            <w:r>
              <w:t>IDMC</w:t>
            </w:r>
          </w:p>
        </w:tc>
        <w:tc>
          <w:tcPr>
            <w:tcW w:w="6911" w:type="dxa"/>
          </w:tcPr>
          <w:p w14:paraId="75907349" w14:textId="77777777" w:rsidR="00506970" w:rsidRDefault="00506970" w:rsidP="00FD119B">
            <w:r w:rsidRPr="00ED6DFE">
              <w:t>Independent Data Monitoring Committee</w:t>
            </w:r>
          </w:p>
        </w:tc>
      </w:tr>
      <w:tr w:rsidR="00506970" w:rsidRPr="009A2EA1" w14:paraId="3423E4AA" w14:textId="77777777" w:rsidTr="00FD119B">
        <w:tc>
          <w:tcPr>
            <w:tcW w:w="1809" w:type="dxa"/>
          </w:tcPr>
          <w:p w14:paraId="3CF2123D" w14:textId="77777777" w:rsidR="00506970" w:rsidRPr="009A2EA1" w:rsidRDefault="00506970" w:rsidP="00FD119B">
            <w:r w:rsidRPr="009A2EA1">
              <w:t>IRC</w:t>
            </w:r>
          </w:p>
        </w:tc>
        <w:tc>
          <w:tcPr>
            <w:tcW w:w="6911" w:type="dxa"/>
          </w:tcPr>
          <w:p w14:paraId="2DB281A2" w14:textId="77777777" w:rsidR="00506970" w:rsidRPr="009A2EA1" w:rsidRDefault="00506970" w:rsidP="00FD119B">
            <w:r w:rsidRPr="009A2EA1">
              <w:t>Independent review committee</w:t>
            </w:r>
          </w:p>
        </w:tc>
      </w:tr>
      <w:tr w:rsidR="00506970" w:rsidRPr="009A2EA1" w14:paraId="1065D456" w14:textId="77777777" w:rsidTr="00FD119B">
        <w:tc>
          <w:tcPr>
            <w:tcW w:w="1809" w:type="dxa"/>
          </w:tcPr>
          <w:p w14:paraId="60082C2A" w14:textId="77777777" w:rsidR="00506970" w:rsidRDefault="00506970" w:rsidP="00FD119B">
            <w:r>
              <w:t>IRR</w:t>
            </w:r>
          </w:p>
        </w:tc>
        <w:tc>
          <w:tcPr>
            <w:tcW w:w="6911" w:type="dxa"/>
          </w:tcPr>
          <w:p w14:paraId="3493425E" w14:textId="77777777" w:rsidR="00506970" w:rsidRDefault="00506970" w:rsidP="00FD119B">
            <w:r>
              <w:t>Infusion related reaction</w:t>
            </w:r>
          </w:p>
        </w:tc>
      </w:tr>
      <w:tr w:rsidR="00506970" w:rsidRPr="009A2EA1" w14:paraId="4558EAF1" w14:textId="77777777" w:rsidTr="00FD119B">
        <w:tc>
          <w:tcPr>
            <w:tcW w:w="1809" w:type="dxa"/>
          </w:tcPr>
          <w:p w14:paraId="2D8FA5F5" w14:textId="77777777" w:rsidR="00506970" w:rsidRDefault="00506970" w:rsidP="00FD119B">
            <w:r>
              <w:t>LAA</w:t>
            </w:r>
          </w:p>
        </w:tc>
        <w:tc>
          <w:tcPr>
            <w:tcW w:w="6911" w:type="dxa"/>
          </w:tcPr>
          <w:p w14:paraId="7ADE831D" w14:textId="77777777" w:rsidR="00506970" w:rsidRDefault="00506970" w:rsidP="00FD119B">
            <w:r>
              <w:t>Last antibody administration</w:t>
            </w:r>
          </w:p>
        </w:tc>
      </w:tr>
      <w:tr w:rsidR="00506970" w:rsidRPr="009A2EA1" w14:paraId="3C2EEF5B" w14:textId="77777777" w:rsidTr="00FD119B">
        <w:tc>
          <w:tcPr>
            <w:tcW w:w="1809" w:type="dxa"/>
          </w:tcPr>
          <w:p w14:paraId="7F39FFAE" w14:textId="77777777" w:rsidR="00506970" w:rsidRPr="009A2EA1" w:rsidRDefault="00506970" w:rsidP="00FD119B">
            <w:r w:rsidRPr="009A2EA1">
              <w:t>mAb</w:t>
            </w:r>
          </w:p>
        </w:tc>
        <w:tc>
          <w:tcPr>
            <w:tcW w:w="6911" w:type="dxa"/>
          </w:tcPr>
          <w:p w14:paraId="6F12B822" w14:textId="77777777" w:rsidR="00506970" w:rsidRPr="009A2EA1" w:rsidRDefault="00506970" w:rsidP="00FD119B">
            <w:r w:rsidRPr="009A2EA1">
              <w:t>Monoclonal antibody</w:t>
            </w:r>
          </w:p>
        </w:tc>
      </w:tr>
      <w:tr w:rsidR="00506970" w:rsidRPr="009A2EA1" w14:paraId="5592452B" w14:textId="77777777" w:rsidTr="00FD119B">
        <w:tc>
          <w:tcPr>
            <w:tcW w:w="1809" w:type="dxa"/>
          </w:tcPr>
          <w:p w14:paraId="6FA14B66" w14:textId="77777777" w:rsidR="00506970" w:rsidRDefault="00506970" w:rsidP="00FD119B">
            <w:r>
              <w:t>MCL</w:t>
            </w:r>
          </w:p>
        </w:tc>
        <w:tc>
          <w:tcPr>
            <w:tcW w:w="6911" w:type="dxa"/>
          </w:tcPr>
          <w:p w14:paraId="19D683FD" w14:textId="77777777" w:rsidR="00506970" w:rsidRDefault="00506970" w:rsidP="00FD119B">
            <w:r>
              <w:t>Mantle cell lymphoma</w:t>
            </w:r>
          </w:p>
        </w:tc>
      </w:tr>
      <w:tr w:rsidR="00506970" w:rsidRPr="009A2EA1" w14:paraId="6F54C6F3" w14:textId="77777777" w:rsidTr="00FD119B">
        <w:tc>
          <w:tcPr>
            <w:tcW w:w="1809" w:type="dxa"/>
          </w:tcPr>
          <w:p w14:paraId="67746EAA" w14:textId="77777777" w:rsidR="00506970" w:rsidRDefault="00506970" w:rsidP="00FD119B">
            <w:r>
              <w:t>MRD</w:t>
            </w:r>
          </w:p>
        </w:tc>
        <w:tc>
          <w:tcPr>
            <w:tcW w:w="6911" w:type="dxa"/>
          </w:tcPr>
          <w:p w14:paraId="78C66D1C" w14:textId="77777777" w:rsidR="00506970" w:rsidRDefault="00506970" w:rsidP="00FD119B">
            <w:r>
              <w:t>Minimal residual disease</w:t>
            </w:r>
          </w:p>
        </w:tc>
      </w:tr>
      <w:tr w:rsidR="00506970" w:rsidRPr="009A2EA1" w14:paraId="1F449863" w14:textId="77777777" w:rsidTr="00FD119B">
        <w:tc>
          <w:tcPr>
            <w:tcW w:w="1809" w:type="dxa"/>
          </w:tcPr>
          <w:p w14:paraId="22615B2E" w14:textId="77777777" w:rsidR="00506970" w:rsidRDefault="00506970" w:rsidP="00FD119B">
            <w:r>
              <w:t>MRI</w:t>
            </w:r>
          </w:p>
        </w:tc>
        <w:tc>
          <w:tcPr>
            <w:tcW w:w="6911" w:type="dxa"/>
          </w:tcPr>
          <w:p w14:paraId="0BF3B3C7" w14:textId="77777777" w:rsidR="00506970" w:rsidRDefault="00506970" w:rsidP="00FD119B">
            <w:r>
              <w:t>Magnetic resonance imaging</w:t>
            </w:r>
          </w:p>
        </w:tc>
      </w:tr>
      <w:tr w:rsidR="00622556" w:rsidRPr="009A2EA1" w14:paraId="33299A51" w14:textId="77777777" w:rsidTr="00FD119B">
        <w:tc>
          <w:tcPr>
            <w:tcW w:w="1809" w:type="dxa"/>
          </w:tcPr>
          <w:p w14:paraId="52CA4945" w14:textId="5E11E6DF" w:rsidR="00622556" w:rsidRDefault="00622556" w:rsidP="00FD119B">
            <w:r>
              <w:t>MZL</w:t>
            </w:r>
          </w:p>
        </w:tc>
        <w:tc>
          <w:tcPr>
            <w:tcW w:w="6911" w:type="dxa"/>
          </w:tcPr>
          <w:p w14:paraId="3569B3F5" w14:textId="6FD2E3DB" w:rsidR="00622556" w:rsidRDefault="00622556" w:rsidP="00FD119B">
            <w:r>
              <w:t>Marginal zone lymphoma</w:t>
            </w:r>
          </w:p>
        </w:tc>
      </w:tr>
      <w:tr w:rsidR="00506970" w:rsidRPr="009A2EA1" w14:paraId="421172E0" w14:textId="77777777" w:rsidTr="00FD119B">
        <w:tc>
          <w:tcPr>
            <w:tcW w:w="1809" w:type="dxa"/>
          </w:tcPr>
          <w:p w14:paraId="2596BF32" w14:textId="77777777" w:rsidR="00506970" w:rsidRPr="009A2EA1" w:rsidRDefault="00506970" w:rsidP="00FD119B">
            <w:r w:rsidRPr="009A2EA1">
              <w:t>NCCN</w:t>
            </w:r>
          </w:p>
        </w:tc>
        <w:tc>
          <w:tcPr>
            <w:tcW w:w="6911" w:type="dxa"/>
          </w:tcPr>
          <w:p w14:paraId="2331A19B" w14:textId="77777777" w:rsidR="00506970" w:rsidRPr="009A2EA1" w:rsidRDefault="00506970" w:rsidP="00FD119B">
            <w:r w:rsidRPr="009A2EA1">
              <w:t>National Comprehensive Cancer Network (US)</w:t>
            </w:r>
          </w:p>
        </w:tc>
      </w:tr>
      <w:tr w:rsidR="00506970" w:rsidRPr="009A2EA1" w14:paraId="0FCE2F6E" w14:textId="77777777" w:rsidTr="00FD119B">
        <w:tc>
          <w:tcPr>
            <w:tcW w:w="1809" w:type="dxa"/>
          </w:tcPr>
          <w:p w14:paraId="3270E4BA" w14:textId="77777777" w:rsidR="00506970" w:rsidRPr="009A2EA1" w:rsidRDefault="00506970" w:rsidP="00FD119B">
            <w:r w:rsidRPr="009A2EA1">
              <w:t>NHL</w:t>
            </w:r>
          </w:p>
        </w:tc>
        <w:tc>
          <w:tcPr>
            <w:tcW w:w="6911" w:type="dxa"/>
          </w:tcPr>
          <w:p w14:paraId="300375E2" w14:textId="77777777" w:rsidR="00506970" w:rsidRPr="009A2EA1" w:rsidRDefault="00506970" w:rsidP="00FD119B">
            <w:r w:rsidRPr="009A2EA1">
              <w:t>Non-Hodgkin’s lymphoma</w:t>
            </w:r>
          </w:p>
        </w:tc>
      </w:tr>
      <w:tr w:rsidR="00506970" w:rsidRPr="009A2EA1" w14:paraId="5977D6B4" w14:textId="77777777" w:rsidTr="00FD119B">
        <w:tc>
          <w:tcPr>
            <w:tcW w:w="1809" w:type="dxa"/>
          </w:tcPr>
          <w:p w14:paraId="73FE37A5" w14:textId="77777777" w:rsidR="00506970" w:rsidRPr="009A2EA1" w:rsidRDefault="00506970" w:rsidP="00FD119B">
            <w:r w:rsidRPr="009A2EA1">
              <w:t>NK</w:t>
            </w:r>
          </w:p>
        </w:tc>
        <w:tc>
          <w:tcPr>
            <w:tcW w:w="6911" w:type="dxa"/>
          </w:tcPr>
          <w:p w14:paraId="7AA9A6FB" w14:textId="77777777" w:rsidR="00506970" w:rsidRPr="009A2EA1" w:rsidRDefault="00506970" w:rsidP="00FD119B">
            <w:r w:rsidRPr="009A2EA1">
              <w:t>Natural killer</w:t>
            </w:r>
          </w:p>
        </w:tc>
      </w:tr>
      <w:tr w:rsidR="006C0BFF" w:rsidRPr="009A2EA1" w14:paraId="4364BBF2" w14:textId="77777777" w:rsidTr="00FD119B">
        <w:tc>
          <w:tcPr>
            <w:tcW w:w="1809" w:type="dxa"/>
          </w:tcPr>
          <w:p w14:paraId="1AA5475A" w14:textId="0A8B1227" w:rsidR="006C0BFF" w:rsidRPr="009A2EA1" w:rsidRDefault="006C0BFF" w:rsidP="00FD119B">
            <w:r>
              <w:t>OS</w:t>
            </w:r>
          </w:p>
        </w:tc>
        <w:tc>
          <w:tcPr>
            <w:tcW w:w="6911" w:type="dxa"/>
          </w:tcPr>
          <w:p w14:paraId="51AF0BCE" w14:textId="1444107A" w:rsidR="006C0BFF" w:rsidRPr="009A2EA1" w:rsidRDefault="006C0BFF" w:rsidP="00FD119B">
            <w:r>
              <w:t>Overall survival</w:t>
            </w:r>
          </w:p>
        </w:tc>
      </w:tr>
      <w:tr w:rsidR="00506970" w:rsidRPr="009A2EA1" w14:paraId="4C031E76" w14:textId="77777777" w:rsidTr="00FD119B">
        <w:tc>
          <w:tcPr>
            <w:tcW w:w="1809" w:type="dxa"/>
          </w:tcPr>
          <w:p w14:paraId="6574AA67" w14:textId="77777777" w:rsidR="00506970" w:rsidRDefault="00506970" w:rsidP="00FD119B">
            <w:r>
              <w:t>PBRER</w:t>
            </w:r>
          </w:p>
        </w:tc>
        <w:tc>
          <w:tcPr>
            <w:tcW w:w="6911" w:type="dxa"/>
          </w:tcPr>
          <w:p w14:paraId="47BA2AA7" w14:textId="77777777" w:rsidR="00506970" w:rsidRDefault="00506970" w:rsidP="00FD119B">
            <w:r>
              <w:t>P</w:t>
            </w:r>
            <w:r w:rsidRPr="0000630D">
              <w:t>eriodic benefit-risk evaluation report</w:t>
            </w:r>
          </w:p>
        </w:tc>
      </w:tr>
      <w:tr w:rsidR="00506970" w:rsidRPr="009A2EA1" w14:paraId="1C3F8D31" w14:textId="77777777" w:rsidTr="00FD119B">
        <w:tc>
          <w:tcPr>
            <w:tcW w:w="1809" w:type="dxa"/>
          </w:tcPr>
          <w:p w14:paraId="2EB46DE2" w14:textId="77777777" w:rsidR="00506970" w:rsidRDefault="00506970" w:rsidP="00FD119B">
            <w:r>
              <w:t>PET</w:t>
            </w:r>
          </w:p>
        </w:tc>
        <w:tc>
          <w:tcPr>
            <w:tcW w:w="6911" w:type="dxa"/>
          </w:tcPr>
          <w:p w14:paraId="5AE848D9" w14:textId="77777777" w:rsidR="00506970" w:rsidRDefault="00506970" w:rsidP="00FD119B">
            <w:r>
              <w:t>P</w:t>
            </w:r>
            <w:r w:rsidRPr="009A2EA1">
              <w:t>ositron emission tomography</w:t>
            </w:r>
          </w:p>
        </w:tc>
      </w:tr>
      <w:tr w:rsidR="00506970" w:rsidRPr="009A2EA1" w14:paraId="33547E9A" w14:textId="77777777" w:rsidTr="00FD119B">
        <w:tc>
          <w:tcPr>
            <w:tcW w:w="1809" w:type="dxa"/>
          </w:tcPr>
          <w:p w14:paraId="4D185AE8" w14:textId="77777777" w:rsidR="00506970" w:rsidRPr="009A2EA1" w:rsidRDefault="00506970" w:rsidP="00FD119B">
            <w:r w:rsidRPr="009A2EA1">
              <w:lastRenderedPageBreak/>
              <w:t>PFS</w:t>
            </w:r>
          </w:p>
        </w:tc>
        <w:tc>
          <w:tcPr>
            <w:tcW w:w="6911" w:type="dxa"/>
          </w:tcPr>
          <w:p w14:paraId="3A644269" w14:textId="77777777" w:rsidR="00506970" w:rsidRPr="009A2EA1" w:rsidRDefault="00506970" w:rsidP="00FD119B">
            <w:r w:rsidRPr="009A2EA1">
              <w:t>Progression free survival</w:t>
            </w:r>
          </w:p>
        </w:tc>
      </w:tr>
      <w:tr w:rsidR="00506970" w:rsidRPr="009A2EA1" w14:paraId="66DC3C7A" w14:textId="77777777" w:rsidTr="00FD119B">
        <w:tc>
          <w:tcPr>
            <w:tcW w:w="1809" w:type="dxa"/>
          </w:tcPr>
          <w:p w14:paraId="4B89A639" w14:textId="77777777" w:rsidR="00506970" w:rsidRPr="009A2EA1" w:rsidRDefault="00506970" w:rsidP="00FD119B">
            <w:r w:rsidRPr="009A2EA1">
              <w:t>PI</w:t>
            </w:r>
          </w:p>
        </w:tc>
        <w:tc>
          <w:tcPr>
            <w:tcW w:w="6911" w:type="dxa"/>
          </w:tcPr>
          <w:p w14:paraId="7ABAAF19" w14:textId="77777777" w:rsidR="00506970" w:rsidRPr="009A2EA1" w:rsidRDefault="00506970" w:rsidP="00FD119B">
            <w:r w:rsidRPr="009A2EA1">
              <w:t>Product Information</w:t>
            </w:r>
          </w:p>
        </w:tc>
      </w:tr>
      <w:tr w:rsidR="00506970" w:rsidRPr="009A2EA1" w14:paraId="772FB405" w14:textId="77777777" w:rsidTr="00FD119B">
        <w:tc>
          <w:tcPr>
            <w:tcW w:w="1809" w:type="dxa"/>
          </w:tcPr>
          <w:p w14:paraId="2A0911D4" w14:textId="77777777" w:rsidR="00506970" w:rsidRPr="009A2EA1" w:rsidRDefault="00506970" w:rsidP="00FD119B">
            <w:r w:rsidRPr="009A2EA1">
              <w:t>PIP</w:t>
            </w:r>
          </w:p>
        </w:tc>
        <w:tc>
          <w:tcPr>
            <w:tcW w:w="6911" w:type="dxa"/>
          </w:tcPr>
          <w:p w14:paraId="38FDAF02" w14:textId="77777777" w:rsidR="00506970" w:rsidRPr="009A2EA1" w:rsidRDefault="00506970" w:rsidP="00FD119B">
            <w:r w:rsidRPr="009A2EA1">
              <w:t>Paediatric Investigation Plan</w:t>
            </w:r>
          </w:p>
        </w:tc>
      </w:tr>
      <w:tr w:rsidR="00506970" w:rsidRPr="009A2EA1" w14:paraId="3D88F481" w14:textId="77777777" w:rsidTr="00FD119B">
        <w:tc>
          <w:tcPr>
            <w:tcW w:w="1809" w:type="dxa"/>
          </w:tcPr>
          <w:p w14:paraId="7C1A0AEA" w14:textId="77777777" w:rsidR="00506970" w:rsidRPr="009A2EA1" w:rsidRDefault="00506970" w:rsidP="00FD119B">
            <w:r w:rsidRPr="009A2EA1">
              <w:t>PK</w:t>
            </w:r>
          </w:p>
        </w:tc>
        <w:tc>
          <w:tcPr>
            <w:tcW w:w="6911" w:type="dxa"/>
          </w:tcPr>
          <w:p w14:paraId="0E21B0D1" w14:textId="77777777" w:rsidR="00506970" w:rsidRPr="009A2EA1" w:rsidRDefault="00506970" w:rsidP="00FD119B">
            <w:r w:rsidRPr="009A2EA1">
              <w:t>Pharmacokinetic</w:t>
            </w:r>
          </w:p>
        </w:tc>
      </w:tr>
      <w:tr w:rsidR="00506970" w:rsidRPr="009A2EA1" w14:paraId="79E3BC2D" w14:textId="77777777" w:rsidTr="00FD119B">
        <w:tc>
          <w:tcPr>
            <w:tcW w:w="1809" w:type="dxa"/>
          </w:tcPr>
          <w:p w14:paraId="4A18C3A4" w14:textId="77777777" w:rsidR="00506970" w:rsidRPr="009A2EA1" w:rsidRDefault="00506970" w:rsidP="00FD119B">
            <w:r w:rsidRPr="009A2EA1">
              <w:t>PopPK</w:t>
            </w:r>
          </w:p>
        </w:tc>
        <w:tc>
          <w:tcPr>
            <w:tcW w:w="6911" w:type="dxa"/>
          </w:tcPr>
          <w:p w14:paraId="33164F0F" w14:textId="77777777" w:rsidR="00506970" w:rsidRPr="009A2EA1" w:rsidRDefault="00506970" w:rsidP="00FD119B">
            <w:r w:rsidRPr="009A2EA1">
              <w:t>Population Pharmacokinetics</w:t>
            </w:r>
          </w:p>
        </w:tc>
      </w:tr>
      <w:tr w:rsidR="00506970" w:rsidRPr="009A2EA1" w14:paraId="43238D52" w14:textId="77777777" w:rsidTr="00FD119B">
        <w:tc>
          <w:tcPr>
            <w:tcW w:w="1809" w:type="dxa"/>
          </w:tcPr>
          <w:p w14:paraId="30B7005C" w14:textId="77777777" w:rsidR="00506970" w:rsidRDefault="00506970" w:rsidP="00FD119B">
            <w:r>
              <w:t>PR</w:t>
            </w:r>
          </w:p>
        </w:tc>
        <w:tc>
          <w:tcPr>
            <w:tcW w:w="6911" w:type="dxa"/>
          </w:tcPr>
          <w:p w14:paraId="7795A68E" w14:textId="77777777" w:rsidR="00506970" w:rsidRDefault="00506970" w:rsidP="00FD119B">
            <w:r>
              <w:t>Partial response</w:t>
            </w:r>
          </w:p>
        </w:tc>
      </w:tr>
      <w:tr w:rsidR="00506970" w:rsidRPr="009A2EA1" w14:paraId="4840656A" w14:textId="77777777" w:rsidTr="00FD119B">
        <w:tc>
          <w:tcPr>
            <w:tcW w:w="1809" w:type="dxa"/>
          </w:tcPr>
          <w:p w14:paraId="45F166D1" w14:textId="77777777" w:rsidR="00506970" w:rsidRDefault="00506970" w:rsidP="00FD119B">
            <w:r>
              <w:t>PRO</w:t>
            </w:r>
          </w:p>
        </w:tc>
        <w:tc>
          <w:tcPr>
            <w:tcW w:w="6911" w:type="dxa"/>
          </w:tcPr>
          <w:p w14:paraId="59024C92" w14:textId="77777777" w:rsidR="00506970" w:rsidRDefault="00506970" w:rsidP="00FD119B">
            <w:r>
              <w:t>Patient reported outcomes</w:t>
            </w:r>
          </w:p>
        </w:tc>
      </w:tr>
      <w:tr w:rsidR="00506970" w:rsidRPr="009A2EA1" w14:paraId="2A967D55" w14:textId="77777777" w:rsidTr="00FD119B">
        <w:tc>
          <w:tcPr>
            <w:tcW w:w="1809" w:type="dxa"/>
          </w:tcPr>
          <w:p w14:paraId="697F6E52" w14:textId="77777777" w:rsidR="00506970" w:rsidRDefault="00506970" w:rsidP="00FD119B">
            <w:r>
              <w:t>R-chemo</w:t>
            </w:r>
          </w:p>
        </w:tc>
        <w:tc>
          <w:tcPr>
            <w:tcW w:w="6911" w:type="dxa"/>
          </w:tcPr>
          <w:p w14:paraId="58B81F52" w14:textId="77777777" w:rsidR="00506970" w:rsidRDefault="00506970" w:rsidP="00FD119B">
            <w:r>
              <w:t>R</w:t>
            </w:r>
            <w:r w:rsidRPr="00983C06">
              <w:t>ituximab plus chemotherapy</w:t>
            </w:r>
          </w:p>
        </w:tc>
      </w:tr>
      <w:tr w:rsidR="00506970" w:rsidRPr="009A2EA1" w14:paraId="3550F22F" w14:textId="77777777" w:rsidTr="00FD119B">
        <w:tc>
          <w:tcPr>
            <w:tcW w:w="1809" w:type="dxa"/>
          </w:tcPr>
          <w:p w14:paraId="6A52F8F9" w14:textId="77777777" w:rsidR="00506970" w:rsidRDefault="00506970" w:rsidP="00FD119B">
            <w:r>
              <w:t>RMP</w:t>
            </w:r>
          </w:p>
        </w:tc>
        <w:tc>
          <w:tcPr>
            <w:tcW w:w="6911" w:type="dxa"/>
          </w:tcPr>
          <w:p w14:paraId="0C265329" w14:textId="77777777" w:rsidR="00506970" w:rsidRDefault="00506970" w:rsidP="00FD119B">
            <w:r>
              <w:t>Risk management plan</w:t>
            </w:r>
          </w:p>
        </w:tc>
      </w:tr>
      <w:tr w:rsidR="00506970" w:rsidRPr="009A2EA1" w14:paraId="531A4CD8" w14:textId="77777777" w:rsidTr="00FD119B">
        <w:tc>
          <w:tcPr>
            <w:tcW w:w="1809" w:type="dxa"/>
          </w:tcPr>
          <w:p w14:paraId="7D67C7F1" w14:textId="77777777" w:rsidR="00506970" w:rsidRDefault="00506970" w:rsidP="00FD119B">
            <w:r>
              <w:t>RO5072759</w:t>
            </w:r>
          </w:p>
        </w:tc>
        <w:tc>
          <w:tcPr>
            <w:tcW w:w="6911" w:type="dxa"/>
          </w:tcPr>
          <w:p w14:paraId="116E64B6" w14:textId="77777777" w:rsidR="00506970" w:rsidRDefault="00506970" w:rsidP="00FD119B">
            <w:r>
              <w:t>Obinutuzumab (drug development name)</w:t>
            </w:r>
          </w:p>
        </w:tc>
      </w:tr>
      <w:tr w:rsidR="00506970" w:rsidRPr="009A2EA1" w14:paraId="759C5D8A" w14:textId="77777777" w:rsidTr="00FD119B">
        <w:tc>
          <w:tcPr>
            <w:tcW w:w="1809" w:type="dxa"/>
          </w:tcPr>
          <w:p w14:paraId="3302D32F" w14:textId="77777777" w:rsidR="00506970" w:rsidRDefault="00506970" w:rsidP="00FD119B">
            <w:r>
              <w:t>SAE</w:t>
            </w:r>
          </w:p>
        </w:tc>
        <w:tc>
          <w:tcPr>
            <w:tcW w:w="6911" w:type="dxa"/>
          </w:tcPr>
          <w:p w14:paraId="0E6C8E50" w14:textId="77777777" w:rsidR="00506970" w:rsidRDefault="00506970" w:rsidP="00FD119B">
            <w:r>
              <w:t>Serious adverse event</w:t>
            </w:r>
          </w:p>
        </w:tc>
      </w:tr>
      <w:tr w:rsidR="00506970" w:rsidRPr="009A2EA1" w14:paraId="499B7A6A" w14:textId="77777777" w:rsidTr="00FD119B">
        <w:tc>
          <w:tcPr>
            <w:tcW w:w="1809" w:type="dxa"/>
          </w:tcPr>
          <w:p w14:paraId="0ABD661B" w14:textId="77777777" w:rsidR="00506970" w:rsidRPr="009A2EA1" w:rsidRDefault="00506970" w:rsidP="00FD119B">
            <w:r w:rsidRPr="009A2EA1">
              <w:t>SAP</w:t>
            </w:r>
          </w:p>
        </w:tc>
        <w:tc>
          <w:tcPr>
            <w:tcW w:w="6911" w:type="dxa"/>
          </w:tcPr>
          <w:p w14:paraId="1F02CDBC" w14:textId="77777777" w:rsidR="00506970" w:rsidRPr="009A2EA1" w:rsidRDefault="00506970" w:rsidP="00FD119B">
            <w:r w:rsidRPr="009A2EA1">
              <w:t>Statistical analysis plan</w:t>
            </w:r>
          </w:p>
        </w:tc>
      </w:tr>
      <w:tr w:rsidR="00506970" w:rsidRPr="009A2EA1" w14:paraId="5F9B52A8" w14:textId="77777777" w:rsidTr="00FD119B">
        <w:tc>
          <w:tcPr>
            <w:tcW w:w="1809" w:type="dxa"/>
          </w:tcPr>
          <w:p w14:paraId="6CB41B88" w14:textId="77777777" w:rsidR="00506970" w:rsidRPr="009A2EA1" w:rsidRDefault="00506970" w:rsidP="00FD119B">
            <w:r w:rsidRPr="009A2EA1">
              <w:t>SAWP</w:t>
            </w:r>
          </w:p>
        </w:tc>
        <w:tc>
          <w:tcPr>
            <w:tcW w:w="6911" w:type="dxa"/>
          </w:tcPr>
          <w:p w14:paraId="5491273E" w14:textId="77777777" w:rsidR="00506970" w:rsidRPr="009A2EA1" w:rsidRDefault="00506970" w:rsidP="00FD119B">
            <w:r w:rsidRPr="009A2EA1">
              <w:t>Scientific Advice Working Party</w:t>
            </w:r>
          </w:p>
        </w:tc>
      </w:tr>
      <w:tr w:rsidR="00506970" w:rsidRPr="009A2EA1" w14:paraId="60FB3956" w14:textId="77777777" w:rsidTr="00FD119B">
        <w:tc>
          <w:tcPr>
            <w:tcW w:w="1809" w:type="dxa"/>
          </w:tcPr>
          <w:p w14:paraId="64BEEEC4" w14:textId="77777777" w:rsidR="00506970" w:rsidRDefault="00506970" w:rsidP="00FD119B">
            <w:r w:rsidRPr="009A2EA1">
              <w:t>SMQ</w:t>
            </w:r>
          </w:p>
        </w:tc>
        <w:tc>
          <w:tcPr>
            <w:tcW w:w="6911" w:type="dxa"/>
          </w:tcPr>
          <w:p w14:paraId="0BDAB916" w14:textId="77777777" w:rsidR="00506970" w:rsidRDefault="00506970" w:rsidP="00FD119B">
            <w:r w:rsidRPr="009A2EA1">
              <w:t>Standardised MedDRA Query</w:t>
            </w:r>
          </w:p>
        </w:tc>
      </w:tr>
      <w:tr w:rsidR="00506970" w:rsidRPr="009A2EA1" w14:paraId="315B5F20" w14:textId="77777777" w:rsidTr="00FD119B">
        <w:tc>
          <w:tcPr>
            <w:tcW w:w="1809" w:type="dxa"/>
          </w:tcPr>
          <w:p w14:paraId="20D388DD" w14:textId="77777777" w:rsidR="00506970" w:rsidRDefault="00506970" w:rsidP="00FD119B">
            <w:r>
              <w:t>SOC</w:t>
            </w:r>
          </w:p>
        </w:tc>
        <w:tc>
          <w:tcPr>
            <w:tcW w:w="6911" w:type="dxa"/>
          </w:tcPr>
          <w:p w14:paraId="6E3639FC" w14:textId="77777777" w:rsidR="00506970" w:rsidRDefault="00506970" w:rsidP="00FD119B">
            <w:r>
              <w:t>System Organ Class</w:t>
            </w:r>
          </w:p>
        </w:tc>
      </w:tr>
      <w:tr w:rsidR="00506970" w:rsidRPr="009A2EA1" w14:paraId="4FDFDBE5" w14:textId="77777777" w:rsidTr="00FD119B">
        <w:tc>
          <w:tcPr>
            <w:tcW w:w="1809" w:type="dxa"/>
          </w:tcPr>
          <w:p w14:paraId="195D1BBB" w14:textId="77777777" w:rsidR="00506970" w:rsidRDefault="00506970" w:rsidP="00FD119B">
            <w:r>
              <w:t>TLS</w:t>
            </w:r>
          </w:p>
        </w:tc>
        <w:tc>
          <w:tcPr>
            <w:tcW w:w="6911" w:type="dxa"/>
          </w:tcPr>
          <w:p w14:paraId="23FD84E4" w14:textId="77777777" w:rsidR="00506970" w:rsidRDefault="00506970" w:rsidP="00FD119B">
            <w:r>
              <w:t>Tumour lysis syndrome</w:t>
            </w:r>
          </w:p>
        </w:tc>
      </w:tr>
      <w:tr w:rsidR="00506970" w:rsidRPr="009A2EA1" w14:paraId="664B6113" w14:textId="77777777" w:rsidTr="00FD119B">
        <w:tc>
          <w:tcPr>
            <w:tcW w:w="1809" w:type="dxa"/>
          </w:tcPr>
          <w:p w14:paraId="5A03BB74" w14:textId="77777777" w:rsidR="00506970" w:rsidRDefault="00506970" w:rsidP="00FD119B">
            <w:r w:rsidRPr="009A2EA1">
              <w:t>TTNLT</w:t>
            </w:r>
          </w:p>
        </w:tc>
        <w:tc>
          <w:tcPr>
            <w:tcW w:w="6911" w:type="dxa"/>
          </w:tcPr>
          <w:p w14:paraId="5C3B341F" w14:textId="77777777" w:rsidR="00506970" w:rsidRDefault="00506970" w:rsidP="00FD119B">
            <w:r>
              <w:t>T</w:t>
            </w:r>
            <w:r w:rsidRPr="009A2EA1">
              <w:t>ime to next anti-lymphoma treatment</w:t>
            </w:r>
          </w:p>
        </w:tc>
      </w:tr>
      <w:tr w:rsidR="00506970" w:rsidRPr="009A2EA1" w14:paraId="487405C8" w14:textId="77777777" w:rsidTr="00FD119B">
        <w:tc>
          <w:tcPr>
            <w:tcW w:w="1809" w:type="dxa"/>
          </w:tcPr>
          <w:p w14:paraId="74D8119B" w14:textId="77777777" w:rsidR="00506970" w:rsidRPr="009A2EA1" w:rsidRDefault="00506970" w:rsidP="00FD119B">
            <w:r w:rsidRPr="009A2EA1">
              <w:t>US</w:t>
            </w:r>
          </w:p>
        </w:tc>
        <w:tc>
          <w:tcPr>
            <w:tcW w:w="6911" w:type="dxa"/>
          </w:tcPr>
          <w:p w14:paraId="2028633E" w14:textId="77777777" w:rsidR="00506970" w:rsidRPr="009A2EA1" w:rsidRDefault="00506970" w:rsidP="00FD119B">
            <w:r w:rsidRPr="009A2EA1">
              <w:t>United States</w:t>
            </w:r>
          </w:p>
        </w:tc>
      </w:tr>
    </w:tbl>
    <w:p w14:paraId="5423AA34" w14:textId="77777777" w:rsidR="00FD119B" w:rsidRPr="009A2EA1" w:rsidRDefault="00FD119B" w:rsidP="00FD119B"/>
    <w:p w14:paraId="77456BF9" w14:textId="77777777" w:rsidR="00FD119B" w:rsidRPr="009A2EA1" w:rsidRDefault="00FD119B" w:rsidP="00FD119B">
      <w:pPr>
        <w:spacing w:before="0" w:after="200" w:line="0" w:lineRule="auto"/>
        <w:rPr>
          <w:b/>
          <w:i/>
          <w:sz w:val="24"/>
          <w:szCs w:val="24"/>
        </w:rPr>
      </w:pPr>
      <w:r w:rsidRPr="009A2EA1">
        <w:rPr>
          <w:b/>
          <w:i/>
          <w:sz w:val="24"/>
          <w:szCs w:val="24"/>
        </w:rPr>
        <w:br w:type="page"/>
      </w:r>
    </w:p>
    <w:p w14:paraId="2BF0390C" w14:textId="77777777" w:rsidR="008E7846" w:rsidRPr="009A2EA1" w:rsidRDefault="00F53C07" w:rsidP="008E7846">
      <w:pPr>
        <w:pStyle w:val="Heading2"/>
      </w:pPr>
      <w:bookmarkStart w:id="9" w:name="_Toc513552839"/>
      <w:r w:rsidRPr="009A2EA1">
        <w:lastRenderedPageBreak/>
        <w:t>I.</w:t>
      </w:r>
      <w:r w:rsidR="008E7846" w:rsidRPr="009A2EA1">
        <w:t xml:space="preserve"> Introduction to product submission</w:t>
      </w:r>
      <w:bookmarkEnd w:id="0"/>
      <w:bookmarkEnd w:id="3"/>
      <w:bookmarkEnd w:id="9"/>
    </w:p>
    <w:p w14:paraId="39C94372" w14:textId="77777777" w:rsidR="008E7846" w:rsidRPr="009A2EA1" w:rsidRDefault="008E7846" w:rsidP="008E7846">
      <w:pPr>
        <w:pStyle w:val="Heading3"/>
        <w:rPr>
          <w:lang w:eastAsia="en-AU"/>
        </w:rPr>
      </w:pPr>
      <w:bookmarkStart w:id="10" w:name="_Toc247691502"/>
      <w:bookmarkStart w:id="11" w:name="_Toc314842483"/>
      <w:bookmarkStart w:id="12" w:name="_Toc513552840"/>
      <w:r w:rsidRPr="009A2EA1">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9A2EA1" w14:paraId="3FE58B52" w14:textId="77777777" w:rsidTr="00F20ACE">
        <w:trPr>
          <w:trHeight w:hRule="exact" w:val="454"/>
        </w:trPr>
        <w:tc>
          <w:tcPr>
            <w:tcW w:w="2907" w:type="dxa"/>
          </w:tcPr>
          <w:p w14:paraId="792D4E31" w14:textId="77777777" w:rsidR="008E7846" w:rsidRPr="009A2EA1" w:rsidRDefault="001B5C90" w:rsidP="001B5C90">
            <w:pPr>
              <w:rPr>
                <w:i/>
              </w:rPr>
            </w:pPr>
            <w:r w:rsidRPr="009A2EA1">
              <w:rPr>
                <w:i/>
              </w:rPr>
              <w:t>Type of s</w:t>
            </w:r>
            <w:r w:rsidR="008E7846" w:rsidRPr="009A2EA1">
              <w:rPr>
                <w:i/>
              </w:rPr>
              <w:t>ubmission</w:t>
            </w:r>
            <w:r w:rsidRPr="009A2EA1">
              <w:rPr>
                <w:i/>
              </w:rPr>
              <w:t>:</w:t>
            </w:r>
          </w:p>
        </w:tc>
        <w:tc>
          <w:tcPr>
            <w:tcW w:w="6307" w:type="dxa"/>
          </w:tcPr>
          <w:p w14:paraId="5A1DAF93" w14:textId="77777777" w:rsidR="008E7846" w:rsidRPr="009A2EA1" w:rsidRDefault="007E05A2" w:rsidP="001B5C90">
            <w:r w:rsidRPr="009A2EA1">
              <w:t>Extension of indications</w:t>
            </w:r>
          </w:p>
        </w:tc>
      </w:tr>
      <w:tr w:rsidR="008E7846" w:rsidRPr="009A2EA1" w14:paraId="07636F44" w14:textId="77777777" w:rsidTr="00F20ACE">
        <w:trPr>
          <w:trHeight w:hRule="exact" w:val="454"/>
        </w:trPr>
        <w:tc>
          <w:tcPr>
            <w:tcW w:w="2907" w:type="dxa"/>
          </w:tcPr>
          <w:p w14:paraId="641E985C" w14:textId="77777777" w:rsidR="008E7846" w:rsidRPr="009A2EA1" w:rsidRDefault="008E7846" w:rsidP="003D1E62">
            <w:r w:rsidRPr="009A2EA1">
              <w:rPr>
                <w:i/>
              </w:rPr>
              <w:t>Decision</w:t>
            </w:r>
            <w:r w:rsidRPr="009A2EA1">
              <w:t>:</w:t>
            </w:r>
          </w:p>
        </w:tc>
        <w:tc>
          <w:tcPr>
            <w:tcW w:w="6307" w:type="dxa"/>
          </w:tcPr>
          <w:p w14:paraId="04C7FDE2" w14:textId="77777777" w:rsidR="008E7846" w:rsidRPr="009A2EA1" w:rsidRDefault="007E05A2" w:rsidP="007E05A2">
            <w:r w:rsidRPr="009A2EA1">
              <w:t>Approved</w:t>
            </w:r>
          </w:p>
        </w:tc>
      </w:tr>
      <w:tr w:rsidR="008E7846" w:rsidRPr="009A2EA1" w14:paraId="38DAF1E0" w14:textId="77777777" w:rsidTr="00F20ACE">
        <w:trPr>
          <w:trHeight w:hRule="exact" w:val="454"/>
        </w:trPr>
        <w:tc>
          <w:tcPr>
            <w:tcW w:w="2907" w:type="dxa"/>
          </w:tcPr>
          <w:p w14:paraId="0CB044F8" w14:textId="77777777" w:rsidR="008E7846" w:rsidRPr="009A2EA1" w:rsidRDefault="008E7846" w:rsidP="001B5C90">
            <w:pPr>
              <w:rPr>
                <w:i/>
              </w:rPr>
            </w:pPr>
            <w:r w:rsidRPr="009A2EA1">
              <w:rPr>
                <w:i/>
              </w:rPr>
              <w:t xml:space="preserve">Date of </w:t>
            </w:r>
            <w:r w:rsidR="001B5C90" w:rsidRPr="009A2EA1">
              <w:rPr>
                <w:i/>
              </w:rPr>
              <w:t>d</w:t>
            </w:r>
            <w:r w:rsidRPr="009A2EA1">
              <w:rPr>
                <w:i/>
              </w:rPr>
              <w:t>ecision:</w:t>
            </w:r>
          </w:p>
        </w:tc>
        <w:tc>
          <w:tcPr>
            <w:tcW w:w="6307" w:type="dxa"/>
          </w:tcPr>
          <w:p w14:paraId="61529996" w14:textId="75F70BD7" w:rsidR="008E7846" w:rsidRPr="009A2EA1" w:rsidRDefault="00FE2AEA" w:rsidP="001B5C90">
            <w:r>
              <w:t>16 November 2017</w:t>
            </w:r>
          </w:p>
        </w:tc>
      </w:tr>
      <w:tr w:rsidR="00ED2922" w:rsidRPr="009A2EA1" w14:paraId="3DC8E960" w14:textId="77777777" w:rsidTr="00F20ACE">
        <w:trPr>
          <w:trHeight w:hRule="exact" w:val="454"/>
        </w:trPr>
        <w:tc>
          <w:tcPr>
            <w:tcW w:w="2907" w:type="dxa"/>
          </w:tcPr>
          <w:p w14:paraId="427DE4CF" w14:textId="77777777" w:rsidR="00ED2922" w:rsidRPr="009A2EA1" w:rsidRDefault="00ED2922" w:rsidP="001B5C90">
            <w:pPr>
              <w:rPr>
                <w:i/>
              </w:rPr>
            </w:pPr>
            <w:r w:rsidRPr="009A2EA1">
              <w:rPr>
                <w:i/>
              </w:rPr>
              <w:t>Date of entry onto ARTG</w:t>
            </w:r>
          </w:p>
        </w:tc>
        <w:tc>
          <w:tcPr>
            <w:tcW w:w="6307" w:type="dxa"/>
          </w:tcPr>
          <w:p w14:paraId="72BFA925" w14:textId="63F03148" w:rsidR="00ED2922" w:rsidRPr="009A2EA1" w:rsidRDefault="00FE2AEA" w:rsidP="00EC463D">
            <w:pPr>
              <w:rPr>
                <w:i/>
              </w:rPr>
            </w:pPr>
            <w:r>
              <w:t>5 December 2017</w:t>
            </w:r>
          </w:p>
        </w:tc>
      </w:tr>
      <w:tr w:rsidR="008E7846" w:rsidRPr="009A2EA1" w14:paraId="4CFA2E04" w14:textId="77777777" w:rsidTr="00F20ACE">
        <w:tc>
          <w:tcPr>
            <w:tcW w:w="2907" w:type="dxa"/>
          </w:tcPr>
          <w:p w14:paraId="2DB5EFC6" w14:textId="77777777" w:rsidR="008E7846" w:rsidRPr="009A2EA1" w:rsidRDefault="001B5C90" w:rsidP="00E45619">
            <w:pPr>
              <w:rPr>
                <w:i/>
              </w:rPr>
            </w:pPr>
            <w:r w:rsidRPr="009A2EA1">
              <w:rPr>
                <w:i/>
              </w:rPr>
              <w:t>Active ingredient</w:t>
            </w:r>
            <w:r w:rsidR="00E36693" w:rsidRPr="009A2EA1">
              <w:rPr>
                <w:i/>
              </w:rPr>
              <w:t>:</w:t>
            </w:r>
          </w:p>
        </w:tc>
        <w:tc>
          <w:tcPr>
            <w:tcW w:w="6307" w:type="dxa"/>
          </w:tcPr>
          <w:p w14:paraId="37BC46F0" w14:textId="77777777" w:rsidR="008E7846" w:rsidRPr="009A2EA1" w:rsidRDefault="00E36693" w:rsidP="00E45619">
            <w:r w:rsidRPr="009A2EA1">
              <w:t>Obinutuzumab</w:t>
            </w:r>
          </w:p>
        </w:tc>
      </w:tr>
      <w:tr w:rsidR="008E7846" w:rsidRPr="009A2EA1" w14:paraId="3267D0B6" w14:textId="77777777" w:rsidTr="00F20ACE">
        <w:tc>
          <w:tcPr>
            <w:tcW w:w="2907" w:type="dxa"/>
          </w:tcPr>
          <w:p w14:paraId="34C43E93" w14:textId="77777777" w:rsidR="008E7846" w:rsidRPr="009A2EA1" w:rsidRDefault="008E7846" w:rsidP="001B5C90">
            <w:pPr>
              <w:rPr>
                <w:i/>
              </w:rPr>
            </w:pPr>
            <w:r w:rsidRPr="009A2EA1">
              <w:rPr>
                <w:i/>
              </w:rPr>
              <w:t>Product</w:t>
            </w:r>
            <w:r w:rsidR="001B5C90" w:rsidRPr="009A2EA1">
              <w:rPr>
                <w:i/>
              </w:rPr>
              <w:t xml:space="preserve"> name</w:t>
            </w:r>
            <w:r w:rsidR="00E36693" w:rsidRPr="009A2EA1">
              <w:rPr>
                <w:i/>
              </w:rPr>
              <w:t>:</w:t>
            </w:r>
          </w:p>
        </w:tc>
        <w:tc>
          <w:tcPr>
            <w:tcW w:w="6307" w:type="dxa"/>
          </w:tcPr>
          <w:p w14:paraId="67A14F30" w14:textId="77777777" w:rsidR="008E7846" w:rsidRPr="009A2EA1" w:rsidRDefault="00E36693" w:rsidP="00E45619">
            <w:r w:rsidRPr="009A2EA1">
              <w:t>Gazyva</w:t>
            </w:r>
          </w:p>
        </w:tc>
      </w:tr>
      <w:tr w:rsidR="008E7846" w:rsidRPr="009A2EA1" w14:paraId="32B57CDE" w14:textId="77777777" w:rsidTr="00F20ACE">
        <w:trPr>
          <w:trHeight w:val="1029"/>
        </w:trPr>
        <w:tc>
          <w:tcPr>
            <w:tcW w:w="2907" w:type="dxa"/>
          </w:tcPr>
          <w:p w14:paraId="53BE9BA6" w14:textId="77777777" w:rsidR="008E7846" w:rsidRPr="009A2EA1" w:rsidRDefault="008E7846" w:rsidP="001B5C90">
            <w:pPr>
              <w:rPr>
                <w:i/>
              </w:rPr>
            </w:pPr>
            <w:r w:rsidRPr="009A2EA1">
              <w:rPr>
                <w:i/>
              </w:rPr>
              <w:t xml:space="preserve">Sponsor’s </w:t>
            </w:r>
            <w:r w:rsidR="001B5C90" w:rsidRPr="009A2EA1">
              <w:rPr>
                <w:i/>
              </w:rPr>
              <w:t>n</w:t>
            </w:r>
            <w:r w:rsidRPr="009A2EA1">
              <w:rPr>
                <w:i/>
              </w:rPr>
              <w:t xml:space="preserve">ame and </w:t>
            </w:r>
            <w:r w:rsidR="001B5C90" w:rsidRPr="009A2EA1">
              <w:rPr>
                <w:i/>
              </w:rPr>
              <w:t>a</w:t>
            </w:r>
            <w:r w:rsidRPr="009A2EA1">
              <w:rPr>
                <w:i/>
              </w:rPr>
              <w:t>ddress:</w:t>
            </w:r>
          </w:p>
        </w:tc>
        <w:tc>
          <w:tcPr>
            <w:tcW w:w="6307" w:type="dxa"/>
          </w:tcPr>
          <w:p w14:paraId="52661EB9" w14:textId="77777777" w:rsidR="008E7846" w:rsidRPr="009A2EA1" w:rsidRDefault="00E36693" w:rsidP="00E36693">
            <w:r w:rsidRPr="009A2EA1">
              <w:t>Roche Products Pty Ltd</w:t>
            </w:r>
            <w:r w:rsidRPr="009A2EA1">
              <w:br/>
              <w:t>PO Box 255,</w:t>
            </w:r>
            <w:r w:rsidRPr="009A2EA1">
              <w:br/>
              <w:t>Dee Why, NSW, 2099</w:t>
            </w:r>
          </w:p>
        </w:tc>
      </w:tr>
      <w:tr w:rsidR="008E7846" w:rsidRPr="009A2EA1" w14:paraId="1761F32E" w14:textId="77777777" w:rsidTr="00F20ACE">
        <w:trPr>
          <w:trHeight w:val="561"/>
        </w:trPr>
        <w:tc>
          <w:tcPr>
            <w:tcW w:w="2907" w:type="dxa"/>
          </w:tcPr>
          <w:p w14:paraId="77842C6F" w14:textId="77777777" w:rsidR="008E7846" w:rsidRPr="009A2EA1" w:rsidRDefault="00171A31" w:rsidP="00E45619">
            <w:pPr>
              <w:rPr>
                <w:i/>
              </w:rPr>
            </w:pPr>
            <w:r w:rsidRPr="009A2EA1">
              <w:rPr>
                <w:i/>
              </w:rPr>
              <w:t>Dose form</w:t>
            </w:r>
            <w:r w:rsidR="001B5C90" w:rsidRPr="009A2EA1">
              <w:rPr>
                <w:i/>
              </w:rPr>
              <w:t>:</w:t>
            </w:r>
          </w:p>
        </w:tc>
        <w:tc>
          <w:tcPr>
            <w:tcW w:w="6307" w:type="dxa"/>
          </w:tcPr>
          <w:p w14:paraId="24A98BB9" w14:textId="77777777" w:rsidR="008E7846" w:rsidRPr="009A2EA1" w:rsidRDefault="00E36693" w:rsidP="00E45619">
            <w:r w:rsidRPr="009A2EA1">
              <w:t>Injection, concentrated</w:t>
            </w:r>
          </w:p>
        </w:tc>
      </w:tr>
      <w:tr w:rsidR="008E7846" w:rsidRPr="009A2EA1" w14:paraId="0A43E24C" w14:textId="77777777" w:rsidTr="00F20ACE">
        <w:tc>
          <w:tcPr>
            <w:tcW w:w="2907" w:type="dxa"/>
          </w:tcPr>
          <w:p w14:paraId="23BADD51" w14:textId="77777777" w:rsidR="008E7846" w:rsidRPr="009A2EA1" w:rsidRDefault="00171A31" w:rsidP="00E45619">
            <w:pPr>
              <w:rPr>
                <w:i/>
              </w:rPr>
            </w:pPr>
            <w:r w:rsidRPr="009A2EA1">
              <w:rPr>
                <w:i/>
              </w:rPr>
              <w:t>Strength:</w:t>
            </w:r>
          </w:p>
        </w:tc>
        <w:tc>
          <w:tcPr>
            <w:tcW w:w="6307" w:type="dxa"/>
          </w:tcPr>
          <w:p w14:paraId="52C92957" w14:textId="77777777" w:rsidR="008E7846" w:rsidRPr="009A2EA1" w:rsidRDefault="00E36693" w:rsidP="00E45619">
            <w:r w:rsidRPr="009A2EA1">
              <w:rPr>
                <w:bCs/>
              </w:rPr>
              <w:t>1000 mg obin</w:t>
            </w:r>
            <w:r w:rsidR="00171A31" w:rsidRPr="009A2EA1">
              <w:rPr>
                <w:bCs/>
              </w:rPr>
              <w:t>utuzumab</w:t>
            </w:r>
            <w:r w:rsidRPr="009A2EA1">
              <w:rPr>
                <w:bCs/>
              </w:rPr>
              <w:t>/40 mL concentrate solution</w:t>
            </w:r>
          </w:p>
        </w:tc>
      </w:tr>
      <w:tr w:rsidR="008E7846" w:rsidRPr="009A2EA1" w14:paraId="7DE74BC7" w14:textId="77777777" w:rsidTr="00F20ACE">
        <w:tc>
          <w:tcPr>
            <w:tcW w:w="2907" w:type="dxa"/>
          </w:tcPr>
          <w:p w14:paraId="694D4277" w14:textId="77777777" w:rsidR="008E7846" w:rsidRPr="009A2EA1" w:rsidRDefault="00171A31" w:rsidP="00E45619">
            <w:pPr>
              <w:rPr>
                <w:i/>
              </w:rPr>
            </w:pPr>
            <w:r w:rsidRPr="009A2EA1">
              <w:rPr>
                <w:i/>
              </w:rPr>
              <w:t>Container</w:t>
            </w:r>
            <w:r w:rsidR="008E7846" w:rsidRPr="009A2EA1">
              <w:rPr>
                <w:i/>
              </w:rPr>
              <w:t>:</w:t>
            </w:r>
          </w:p>
        </w:tc>
        <w:tc>
          <w:tcPr>
            <w:tcW w:w="6307" w:type="dxa"/>
          </w:tcPr>
          <w:p w14:paraId="53FBCCA9" w14:textId="77777777" w:rsidR="008E7846" w:rsidRPr="009A2EA1" w:rsidRDefault="00171A31" w:rsidP="00E45619">
            <w:r w:rsidRPr="009A2EA1">
              <w:t>Type I glass vial</w:t>
            </w:r>
          </w:p>
        </w:tc>
      </w:tr>
      <w:tr w:rsidR="008E7846" w:rsidRPr="009A2EA1" w14:paraId="197F30AB" w14:textId="77777777" w:rsidTr="00F20ACE">
        <w:tc>
          <w:tcPr>
            <w:tcW w:w="2907" w:type="dxa"/>
          </w:tcPr>
          <w:p w14:paraId="2D531013" w14:textId="77777777" w:rsidR="008E7846" w:rsidRPr="009A2EA1" w:rsidRDefault="00171A31" w:rsidP="00E45619">
            <w:pPr>
              <w:rPr>
                <w:i/>
              </w:rPr>
            </w:pPr>
            <w:r w:rsidRPr="009A2EA1">
              <w:rPr>
                <w:i/>
              </w:rPr>
              <w:t>Pack size</w:t>
            </w:r>
            <w:r w:rsidR="008E7846" w:rsidRPr="009A2EA1">
              <w:rPr>
                <w:i/>
              </w:rPr>
              <w:t>:</w:t>
            </w:r>
          </w:p>
        </w:tc>
        <w:tc>
          <w:tcPr>
            <w:tcW w:w="6307" w:type="dxa"/>
          </w:tcPr>
          <w:p w14:paraId="669C6944" w14:textId="77777777" w:rsidR="008E7846" w:rsidRPr="009A2EA1" w:rsidRDefault="00171A31" w:rsidP="00E45619">
            <w:r w:rsidRPr="009A2EA1">
              <w:t>1 vial per pack</w:t>
            </w:r>
          </w:p>
        </w:tc>
      </w:tr>
      <w:tr w:rsidR="008E7846" w:rsidRPr="009A2EA1" w14:paraId="17D7745C" w14:textId="77777777" w:rsidTr="00F20ACE">
        <w:tc>
          <w:tcPr>
            <w:tcW w:w="2907" w:type="dxa"/>
          </w:tcPr>
          <w:p w14:paraId="3F7AD73A" w14:textId="77777777" w:rsidR="008E7846" w:rsidRPr="009A2EA1" w:rsidRDefault="008E7846" w:rsidP="001B5C90">
            <w:pPr>
              <w:rPr>
                <w:i/>
              </w:rPr>
            </w:pPr>
            <w:r w:rsidRPr="009A2EA1">
              <w:rPr>
                <w:i/>
              </w:rPr>
              <w:t xml:space="preserve">Approved </w:t>
            </w:r>
            <w:r w:rsidR="001B5C90" w:rsidRPr="009A2EA1">
              <w:rPr>
                <w:i/>
              </w:rPr>
              <w:t>t</w:t>
            </w:r>
            <w:r w:rsidRPr="009A2EA1">
              <w:rPr>
                <w:i/>
              </w:rPr>
              <w:t>herapeutic use:</w:t>
            </w:r>
          </w:p>
        </w:tc>
        <w:tc>
          <w:tcPr>
            <w:tcW w:w="6307" w:type="dxa"/>
          </w:tcPr>
          <w:p w14:paraId="669FB45E" w14:textId="77777777" w:rsidR="008E7846" w:rsidRPr="009A2EA1" w:rsidRDefault="00171A31" w:rsidP="00171A31">
            <w:pPr>
              <w:rPr>
                <w:rFonts w:eastAsia="MS Mincho"/>
                <w:lang w:eastAsia="ja-JP"/>
              </w:rPr>
            </w:pPr>
            <w:r w:rsidRPr="009A2EA1">
              <w:rPr>
                <w:rFonts w:eastAsia="MS Mincho"/>
                <w:i/>
                <w:iCs/>
                <w:lang w:eastAsia="ja-JP"/>
              </w:rPr>
              <w:t>‘Gazyva in combination with chemotherapy followed by Gazyva maintenance is indicated for</w:t>
            </w:r>
            <w:r w:rsidRPr="009A2EA1">
              <w:rPr>
                <w:rFonts w:eastAsia="MS Mincho"/>
                <w:lang w:eastAsia="ja-JP"/>
              </w:rPr>
              <w:t xml:space="preserve"> </w:t>
            </w:r>
            <w:r w:rsidRPr="009A2EA1">
              <w:rPr>
                <w:rFonts w:eastAsia="MS Mincho"/>
                <w:i/>
                <w:iCs/>
                <w:lang w:eastAsia="ja-JP"/>
              </w:rPr>
              <w:t>the treatment of patients with previously untreated advanced follicular lymphoma’.</w:t>
            </w:r>
          </w:p>
        </w:tc>
      </w:tr>
      <w:tr w:rsidR="008E7846" w:rsidRPr="009A2EA1" w14:paraId="2D4DDF23" w14:textId="77777777" w:rsidTr="00F20ACE">
        <w:tc>
          <w:tcPr>
            <w:tcW w:w="2907" w:type="dxa"/>
          </w:tcPr>
          <w:p w14:paraId="3F97AAB7" w14:textId="77777777" w:rsidR="008E7846" w:rsidRPr="009A2EA1" w:rsidRDefault="00171A31" w:rsidP="00E45619">
            <w:pPr>
              <w:rPr>
                <w:i/>
              </w:rPr>
            </w:pPr>
            <w:r w:rsidRPr="009A2EA1">
              <w:rPr>
                <w:i/>
              </w:rPr>
              <w:t>Route</w:t>
            </w:r>
            <w:r w:rsidR="008E7846" w:rsidRPr="009A2EA1">
              <w:rPr>
                <w:i/>
              </w:rPr>
              <w:t xml:space="preserve"> of administration:</w:t>
            </w:r>
          </w:p>
        </w:tc>
        <w:tc>
          <w:tcPr>
            <w:tcW w:w="6307" w:type="dxa"/>
          </w:tcPr>
          <w:p w14:paraId="387CF849" w14:textId="77777777" w:rsidR="008E7846" w:rsidRPr="009A2EA1" w:rsidRDefault="00171A31" w:rsidP="00E45619">
            <w:r w:rsidRPr="009A2EA1">
              <w:t>Intravenous infusion</w:t>
            </w:r>
          </w:p>
        </w:tc>
      </w:tr>
      <w:tr w:rsidR="008E7846" w:rsidRPr="009A2EA1" w14:paraId="658D0EAD" w14:textId="77777777" w:rsidTr="00F20ACE">
        <w:tc>
          <w:tcPr>
            <w:tcW w:w="2907" w:type="dxa"/>
          </w:tcPr>
          <w:p w14:paraId="1F761AA8" w14:textId="77777777" w:rsidR="008E7846" w:rsidRPr="009A2EA1" w:rsidRDefault="008E7846" w:rsidP="00E45619">
            <w:pPr>
              <w:rPr>
                <w:i/>
              </w:rPr>
            </w:pPr>
            <w:r w:rsidRPr="009A2EA1">
              <w:rPr>
                <w:i/>
              </w:rPr>
              <w:t>Dosage:</w:t>
            </w:r>
          </w:p>
        </w:tc>
        <w:tc>
          <w:tcPr>
            <w:tcW w:w="6307" w:type="dxa"/>
          </w:tcPr>
          <w:p w14:paraId="10E969D0" w14:textId="3ABA7EFD" w:rsidR="008E7846" w:rsidRPr="009A2EA1" w:rsidRDefault="00D33C63" w:rsidP="00D33C63">
            <w:r>
              <w:t>Details of dosage and administration are given in the Product Information (Attachment 1).</w:t>
            </w:r>
          </w:p>
        </w:tc>
      </w:tr>
      <w:tr w:rsidR="008E7846" w:rsidRPr="009A2EA1" w14:paraId="1DA89CAA" w14:textId="77777777" w:rsidTr="00F20ACE">
        <w:tc>
          <w:tcPr>
            <w:tcW w:w="2907" w:type="dxa"/>
          </w:tcPr>
          <w:p w14:paraId="6F78F2F0" w14:textId="77777777" w:rsidR="008E7846" w:rsidRPr="009A2EA1" w:rsidRDefault="008E7846" w:rsidP="001B5C90">
            <w:pPr>
              <w:rPr>
                <w:i/>
              </w:rPr>
            </w:pPr>
            <w:r w:rsidRPr="009A2EA1">
              <w:rPr>
                <w:i/>
              </w:rPr>
              <w:t xml:space="preserve">ARTG </w:t>
            </w:r>
            <w:r w:rsidR="001B5C90" w:rsidRPr="009A2EA1">
              <w:rPr>
                <w:i/>
              </w:rPr>
              <w:t>n</w:t>
            </w:r>
            <w:r w:rsidRPr="009A2EA1">
              <w:rPr>
                <w:i/>
              </w:rPr>
              <w:t>umber (s)</w:t>
            </w:r>
            <w:r w:rsidR="001B5C90" w:rsidRPr="009A2EA1">
              <w:rPr>
                <w:i/>
              </w:rPr>
              <w:t>:</w:t>
            </w:r>
          </w:p>
        </w:tc>
        <w:tc>
          <w:tcPr>
            <w:tcW w:w="6307" w:type="dxa"/>
          </w:tcPr>
          <w:p w14:paraId="0E0CD734" w14:textId="77777777" w:rsidR="008E7846" w:rsidRPr="009A2EA1" w:rsidRDefault="00171A31" w:rsidP="00E45619">
            <w:r w:rsidRPr="009A2EA1">
              <w:t>210562</w:t>
            </w:r>
          </w:p>
        </w:tc>
      </w:tr>
    </w:tbl>
    <w:p w14:paraId="688EF721" w14:textId="77777777" w:rsidR="008E7846" w:rsidRPr="009A2EA1" w:rsidRDefault="008E7846" w:rsidP="008E7846">
      <w:pPr>
        <w:pStyle w:val="Heading3"/>
      </w:pPr>
      <w:bookmarkStart w:id="13" w:name="_Toc247691503"/>
      <w:bookmarkStart w:id="14" w:name="_Toc314842484"/>
      <w:bookmarkStart w:id="15" w:name="_Toc513552841"/>
      <w:r w:rsidRPr="009A2EA1">
        <w:t>Product background</w:t>
      </w:r>
      <w:bookmarkEnd w:id="13"/>
      <w:bookmarkEnd w:id="14"/>
      <w:bookmarkEnd w:id="15"/>
    </w:p>
    <w:p w14:paraId="4FAB90DE" w14:textId="56C9739F" w:rsidR="008E7846" w:rsidRPr="009A2EA1" w:rsidRDefault="00940A89" w:rsidP="00940A89">
      <w:r w:rsidRPr="009A2EA1">
        <w:t>This AusPAR describes the applicat</w:t>
      </w:r>
      <w:r w:rsidR="001672EF" w:rsidRPr="009A2EA1">
        <w:t xml:space="preserve">ion by the sponsor to </w:t>
      </w:r>
      <w:r w:rsidR="00FE2AEA">
        <w:t xml:space="preserve">extend the indications </w:t>
      </w:r>
      <w:r w:rsidR="00C9173F">
        <w:t xml:space="preserve">of </w:t>
      </w:r>
      <w:r w:rsidR="00C9173F" w:rsidRPr="009A2EA1">
        <w:t>Gazyva</w:t>
      </w:r>
      <w:r w:rsidR="001672EF" w:rsidRPr="009A2EA1">
        <w:t xml:space="preserve"> obinutuzumab 40 mL concentrated solution single dose vials, each containing 1000 mg of obinutuzumab </w:t>
      </w:r>
      <w:r w:rsidR="00F160AC" w:rsidRPr="009A2EA1">
        <w:t>(</w:t>
      </w:r>
      <w:r w:rsidR="001672EF" w:rsidRPr="009A2EA1">
        <w:t>25 mg/mL</w:t>
      </w:r>
      <w:r w:rsidR="00F160AC" w:rsidRPr="009A2EA1">
        <w:t>)</w:t>
      </w:r>
      <w:r w:rsidR="001672EF" w:rsidRPr="009A2EA1">
        <w:t xml:space="preserve"> for intravenous infusion,</w:t>
      </w:r>
      <w:r w:rsidRPr="009A2EA1">
        <w:t xml:space="preserve"> </w:t>
      </w:r>
      <w:r w:rsidR="00D93D8F">
        <w:t>with</w:t>
      </w:r>
      <w:r w:rsidRPr="009A2EA1">
        <w:t xml:space="preserve"> the following indica</w:t>
      </w:r>
      <w:r w:rsidR="001672EF" w:rsidRPr="009A2EA1">
        <w:t>tion:</w:t>
      </w:r>
    </w:p>
    <w:p w14:paraId="03E1735D" w14:textId="77777777" w:rsidR="001672EF" w:rsidRPr="009A2EA1" w:rsidRDefault="001672EF" w:rsidP="00EA7B0E">
      <w:pPr>
        <w:ind w:left="720"/>
        <w:rPr>
          <w:i/>
          <w:iCs/>
        </w:rPr>
      </w:pPr>
      <w:r w:rsidRPr="009A2EA1">
        <w:rPr>
          <w:i/>
          <w:iCs/>
        </w:rPr>
        <w:t>‘Gazyva in combination with chemotherapy followed by G</w:t>
      </w:r>
      <w:r w:rsidR="00A10C5E" w:rsidRPr="009A2EA1">
        <w:rPr>
          <w:i/>
          <w:iCs/>
        </w:rPr>
        <w:t>azyva</w:t>
      </w:r>
      <w:r w:rsidRPr="009A2EA1">
        <w:rPr>
          <w:i/>
          <w:iCs/>
        </w:rPr>
        <w:t xml:space="preserve"> maintenance is indicated for the treatment of patients with previously untreated follicular lymphoma</w:t>
      </w:r>
      <w:r w:rsidR="00EA7B0E" w:rsidRPr="009A2EA1">
        <w:rPr>
          <w:i/>
          <w:iCs/>
        </w:rPr>
        <w:t>’</w:t>
      </w:r>
      <w:r w:rsidRPr="009A2EA1">
        <w:rPr>
          <w:i/>
          <w:iCs/>
        </w:rPr>
        <w:t>.</w:t>
      </w:r>
    </w:p>
    <w:p w14:paraId="7B135AAC" w14:textId="77777777" w:rsidR="00EA7B0E" w:rsidRPr="009A2EA1" w:rsidRDefault="00EE3BF5" w:rsidP="00EA7B0E">
      <w:r w:rsidRPr="009A2EA1">
        <w:t>At the time this application was considered, Gazyva had been previous approved for the following indications:</w:t>
      </w:r>
    </w:p>
    <w:p w14:paraId="308A78EA" w14:textId="77777777" w:rsidR="00EA7B0E" w:rsidRPr="009A2EA1" w:rsidRDefault="00EE3BF5" w:rsidP="00EE3BF5">
      <w:pPr>
        <w:ind w:left="720"/>
        <w:rPr>
          <w:i/>
        </w:rPr>
      </w:pPr>
      <w:r w:rsidRPr="009A2EA1">
        <w:rPr>
          <w:i/>
        </w:rPr>
        <w:t xml:space="preserve">‘Gazyva </w:t>
      </w:r>
      <w:r w:rsidR="00EA7B0E" w:rsidRPr="009A2EA1">
        <w:rPr>
          <w:i/>
        </w:rPr>
        <w:t>in combination with chlorambucil is indicated for the treatment of patients with previously untreated chronic lymphocytic leukaemia (CLL).</w:t>
      </w:r>
    </w:p>
    <w:p w14:paraId="4B4D695F" w14:textId="77777777" w:rsidR="00EA7B0E" w:rsidRPr="009A2EA1" w:rsidRDefault="00EE3BF5" w:rsidP="00EE3BF5">
      <w:pPr>
        <w:ind w:left="720"/>
        <w:rPr>
          <w:i/>
        </w:rPr>
      </w:pPr>
      <w:r w:rsidRPr="009A2EA1">
        <w:rPr>
          <w:i/>
        </w:rPr>
        <w:lastRenderedPageBreak/>
        <w:t>Gazyva</w:t>
      </w:r>
      <w:r w:rsidR="00EA7B0E" w:rsidRPr="009A2EA1">
        <w:rPr>
          <w:i/>
        </w:rPr>
        <w:t xml:space="preserve"> in combination with bendamustine, followed by G</w:t>
      </w:r>
      <w:r w:rsidRPr="009A2EA1">
        <w:rPr>
          <w:i/>
        </w:rPr>
        <w:t>azyva</w:t>
      </w:r>
      <w:r w:rsidR="00EA7B0E" w:rsidRPr="009A2EA1">
        <w:rPr>
          <w:i/>
        </w:rPr>
        <w:t xml:space="preserve"> maintenance, is indicated for the treatment of patients with follicular lymphoma (FL) who did not respond to, or who progressed during or up to 6 months after treatment with rituximab or a rituximab-containing </w:t>
      </w:r>
      <w:r w:rsidRPr="009A2EA1">
        <w:rPr>
          <w:i/>
        </w:rPr>
        <w:t>regimen’.</w:t>
      </w:r>
    </w:p>
    <w:p w14:paraId="73D03C79" w14:textId="77777777" w:rsidR="001672EF" w:rsidRPr="009A2EA1" w:rsidRDefault="00EE3BF5" w:rsidP="00940A89">
      <w:r w:rsidRPr="009A2EA1">
        <w:t>If approved, the drug is to become first line in follicular lymphoma, with ‘chemotherapy’ as combination treatment rather than the second line indication that remains, with bendamustine as the specific combination drug.</w:t>
      </w:r>
    </w:p>
    <w:p w14:paraId="16ACDB6E" w14:textId="77777777" w:rsidR="00A806EE" w:rsidRPr="009A2EA1" w:rsidRDefault="00A806EE" w:rsidP="00A806EE">
      <w:pPr>
        <w:pStyle w:val="Heading4"/>
      </w:pPr>
      <w:r w:rsidRPr="009A2EA1">
        <w:t>Follicular lymphoma</w:t>
      </w:r>
    </w:p>
    <w:p w14:paraId="7109A411" w14:textId="77777777" w:rsidR="00F20ACE" w:rsidRDefault="00A806EE" w:rsidP="00A806EE">
      <w:r w:rsidRPr="009A2EA1">
        <w:t>Follicular lymphoma (FL) is the second most common category of non-Hodgkin’s lymphoma (NHL) and the most common of the indolent forms of non-Hodgkin’s lymphoma, where patient survival is measured in years. It accounts for approximately 35% of NHL in the United States (US) with an incidence of 3.18 per 100,000 people. This is somewhat lower in Europe. Incidence increases with age and is twice as common in Caucasian people versus Black and Asian populations</w:t>
      </w:r>
      <w:r w:rsidR="00F20ACE">
        <w:t>.</w:t>
      </w:r>
    </w:p>
    <w:p w14:paraId="1C464746" w14:textId="372A68F7" w:rsidR="00A806EE" w:rsidRPr="009A2EA1" w:rsidRDefault="00A806EE" w:rsidP="00A806EE">
      <w:r w:rsidRPr="009A2EA1">
        <w:t>Treatment depends upon the stage of disease at presentation. Those with localised (Stage I) disease are candidates for radiation therapy, which is curative in a proportion of these patients. Others, with Stage III/IV disease, are treated for symptom control. Management for Stage II disease can vary from that offered to Stage I sufferers to that given t</w:t>
      </w:r>
      <w:r w:rsidR="00AC515C" w:rsidRPr="009A2EA1">
        <w:t>hose with more advanced disease.</w:t>
      </w:r>
      <w:r w:rsidRPr="009A2EA1">
        <w:rPr>
          <w:vertAlign w:val="superscript"/>
        </w:rPr>
        <w:footnoteReference w:id="1"/>
      </w:r>
    </w:p>
    <w:p w14:paraId="4F29019A" w14:textId="483CF547" w:rsidR="00A806EE" w:rsidRPr="009A2EA1" w:rsidRDefault="00A806EE" w:rsidP="00A806EE">
      <w:r w:rsidRPr="009A2EA1">
        <w:t>An approach to patient treatmen</w:t>
      </w:r>
      <w:r w:rsidR="00A20977">
        <w:t>t is provided in the following F</w:t>
      </w:r>
      <w:r w:rsidRPr="009A2EA1">
        <w:t>igure</w:t>
      </w:r>
      <w:r w:rsidR="00A20977">
        <w:t xml:space="preserve"> 1.</w:t>
      </w:r>
    </w:p>
    <w:p w14:paraId="732F469F" w14:textId="77777777" w:rsidR="00AC515C" w:rsidRPr="009A2EA1" w:rsidRDefault="00AC515C" w:rsidP="00AC515C">
      <w:pPr>
        <w:pStyle w:val="FigureTitle"/>
      </w:pPr>
      <w:proofErr w:type="gramStart"/>
      <w:r w:rsidRPr="009A2EA1">
        <w:t>Figure 1.</w:t>
      </w:r>
      <w:proofErr w:type="gramEnd"/>
      <w:r w:rsidRPr="009A2EA1">
        <w:t xml:space="preserve"> Typical treatment pathways for Grade 1 to 2 or 3a follicular lymphoma</w:t>
      </w:r>
    </w:p>
    <w:p w14:paraId="77B549D4" w14:textId="77777777" w:rsidR="00A806EE" w:rsidRPr="009A2EA1" w:rsidRDefault="00AC515C" w:rsidP="00F20ACE">
      <w:r w:rsidRPr="009A2EA1">
        <w:rPr>
          <w:noProof/>
          <w:lang w:eastAsia="en-AU"/>
        </w:rPr>
        <w:drawing>
          <wp:inline distT="0" distB="0" distL="0" distR="0" wp14:anchorId="410C8274" wp14:editId="311DF55A">
            <wp:extent cx="4352582" cy="2843212"/>
            <wp:effectExtent l="0" t="0" r="0" b="0"/>
            <wp:docPr id="55" name="Picture 55" descr="Advanced stage, newly diagnosed Grade 1 to 2 or 3a FL can be divided into asymptomatic or symptomatic, and further into low and high tumour burden. For asymptomatic, low tumour burden, watch/wait versus single agent rituximab is recommended, with R-chemo (versus watch/wait) recommended for high tumour burden. For symptomatic FL Grades 1, 2 or 3a, single agent rituximab (versus R-chemo) and R-chemo plus/minus maintainance rituximab is recommended for low and high tumour burden,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56214" cy="2845585"/>
                    </a:xfrm>
                    <a:prstGeom prst="rect">
                      <a:avLst/>
                    </a:prstGeom>
                  </pic:spPr>
                </pic:pic>
              </a:graphicData>
            </a:graphic>
          </wp:inline>
        </w:drawing>
      </w:r>
    </w:p>
    <w:p w14:paraId="00DE44D4" w14:textId="77777777" w:rsidR="00AC515C" w:rsidRPr="009A2EA1" w:rsidRDefault="00AC515C" w:rsidP="00D93D8F">
      <w:pPr>
        <w:pStyle w:val="FigureDescription"/>
      </w:pPr>
      <w:r w:rsidRPr="009A2EA1">
        <w:t xml:space="preserve">Figure adapted from </w:t>
      </w:r>
      <w:r w:rsidRPr="00D93D8F">
        <w:t>Kahl</w:t>
      </w:r>
      <w:r w:rsidRPr="009A2EA1">
        <w:t xml:space="preserve"> and Yang, 2016.</w:t>
      </w:r>
      <w:r w:rsidRPr="009A2EA1">
        <w:rPr>
          <w:vertAlign w:val="superscript"/>
        </w:rPr>
        <w:footnoteReference w:id="2"/>
      </w:r>
    </w:p>
    <w:p w14:paraId="6A032166" w14:textId="4804DBFC" w:rsidR="009B49F6" w:rsidRPr="009A2EA1" w:rsidRDefault="00A20977" w:rsidP="009B49F6">
      <w:r>
        <w:t>In the above figure and throughout this document,</w:t>
      </w:r>
      <w:r w:rsidR="009B49F6" w:rsidRPr="009A2EA1">
        <w:t xml:space="preserve"> R-chemo denotes rituximab plus chemotherapy</w:t>
      </w:r>
      <w:r>
        <w:t xml:space="preserve">, with </w:t>
      </w:r>
      <w:r w:rsidRPr="009A2EA1">
        <w:t>obinutuzumab</w:t>
      </w:r>
      <w:r>
        <w:t xml:space="preserve"> (Gazyva) plus chemotherapy treatment denoted by G-chemo</w:t>
      </w:r>
      <w:r w:rsidR="009B49F6" w:rsidRPr="009A2EA1">
        <w:t xml:space="preserve">. Of relevance to this submission, rituximab’s approved indications in Australia include CD20+ Stage III/IV follicular B cell NHL, as well as relapsed or refractory CD20+ </w:t>
      </w:r>
      <w:r w:rsidR="009B49F6" w:rsidRPr="009A2EA1">
        <w:lastRenderedPageBreak/>
        <w:t>follicular B cell NHL. No combination chemotherapy is specifically cited in the indication, hence all are possible.</w:t>
      </w:r>
      <w:r w:rsidR="009B49F6" w:rsidRPr="009A2EA1">
        <w:rPr>
          <w:rStyle w:val="FootnoteReference"/>
        </w:rPr>
        <w:footnoteReference w:id="3"/>
      </w:r>
      <w:r w:rsidR="009B49F6" w:rsidRPr="009A2EA1">
        <w:t xml:space="preserve"> This submission seeks to include obinutuzumab as a first line treatment option for previously untreated follicular lymphoma (no stage of disease cited) in combination with ‘chemotherapy’. This expands the use from rituximab non-responders currently approved to be treated with obinutuzumab in combination with bendamustine.</w:t>
      </w:r>
    </w:p>
    <w:p w14:paraId="15254297" w14:textId="77777777" w:rsidR="009B49F6" w:rsidRPr="009A2EA1" w:rsidRDefault="009B49F6" w:rsidP="009B49F6">
      <w:r w:rsidRPr="009A2EA1">
        <w:t>There are 3 potential ‘chemotherapy’ regimens that can be used with rituximab in the literature, namely bendamustine, CHOP (cyclophosphamide, doxorubicin, vincristine and prednisolone) and CVP (cyclophosphamide, vincristine and prednisolone). As described by the clinical evaluator, US National Comprehensive Cancer Network (NCCN) guidelines favour R-benda as the best first line therapy fol</w:t>
      </w:r>
      <w:r w:rsidR="00C94DEE" w:rsidRPr="009A2EA1">
        <w:t>lowed by R-CHOP and then R-CVP.</w:t>
      </w:r>
    </w:p>
    <w:p w14:paraId="655A5955" w14:textId="6F3459D0" w:rsidR="00D93D8F" w:rsidRDefault="00D93D8F" w:rsidP="00D33C63">
      <w:pPr>
        <w:pStyle w:val="Heading4"/>
      </w:pPr>
      <w:r w:rsidRPr="009A2EA1">
        <w:t>Obinutuzumab</w:t>
      </w:r>
    </w:p>
    <w:p w14:paraId="51785573" w14:textId="77777777" w:rsidR="009B49F6" w:rsidRPr="009A2EA1" w:rsidRDefault="009B49F6" w:rsidP="009B49F6">
      <w:r w:rsidRPr="009A2EA1">
        <w:t>Obinu</w:t>
      </w:r>
      <w:r w:rsidR="00C94DEE" w:rsidRPr="009A2EA1">
        <w:t>tuzumab is a novel, humanised, t</w:t>
      </w:r>
      <w:r w:rsidRPr="009A2EA1">
        <w:t xml:space="preserve">ype II glycoengineered monoclonal antibody (mAb) directed against the CD20 antigen found on the surface of most </w:t>
      </w:r>
      <w:r w:rsidR="000C4548" w:rsidRPr="009A2EA1">
        <w:t xml:space="preserve">malignant and benign cells of B </w:t>
      </w:r>
      <w:r w:rsidRPr="009A2EA1">
        <w:t>cell or</w:t>
      </w:r>
      <w:r w:rsidR="00C94DEE" w:rsidRPr="009A2EA1">
        <w:t>igin. Glycoengineering of this t</w:t>
      </w:r>
      <w:r w:rsidRPr="009A2EA1">
        <w:t>ype II mAb has generated a mAb with a high affinity for binding immune ef</w:t>
      </w:r>
      <w:r w:rsidR="00C94DEE" w:rsidRPr="009A2EA1">
        <w:t xml:space="preserve">fector cells (as per the </w:t>
      </w:r>
      <w:r w:rsidRPr="009A2EA1">
        <w:t>sponsor</w:t>
      </w:r>
      <w:r w:rsidR="00C94DEE" w:rsidRPr="009A2EA1">
        <w:t>’s</w:t>
      </w:r>
      <w:r w:rsidR="000C4548" w:rsidRPr="009A2EA1">
        <w:t xml:space="preserve"> cover letter dated 24 </w:t>
      </w:r>
      <w:r w:rsidR="00C94DEE" w:rsidRPr="009A2EA1">
        <w:t>October 2016).</w:t>
      </w:r>
    </w:p>
    <w:p w14:paraId="1072F845" w14:textId="77777777" w:rsidR="009B49F6" w:rsidRPr="009A2EA1" w:rsidRDefault="009B49F6" w:rsidP="009B49F6">
      <w:r w:rsidRPr="009A2EA1">
        <w:t>Properties conferred upon obinutuzumab as a result are claimed to be:</w:t>
      </w:r>
    </w:p>
    <w:p w14:paraId="25AB1A3A" w14:textId="77777777" w:rsidR="009B49F6" w:rsidRPr="009A2EA1" w:rsidRDefault="009B49F6" w:rsidP="000C4548">
      <w:pPr>
        <w:pStyle w:val="ListBullet"/>
      </w:pPr>
      <w:r w:rsidRPr="009A2EA1">
        <w:t>Properties due to type II binding mode:</w:t>
      </w:r>
    </w:p>
    <w:p w14:paraId="3019EE86" w14:textId="77777777" w:rsidR="009B49F6" w:rsidRPr="009A2EA1" w:rsidRDefault="009B49F6" w:rsidP="000C4548">
      <w:pPr>
        <w:pStyle w:val="ListBullet2"/>
      </w:pPr>
      <w:r w:rsidRPr="009A2EA1">
        <w:t>Higher induction of direct cell killing (via a non-apoptotic pathway).</w:t>
      </w:r>
    </w:p>
    <w:p w14:paraId="6DE06125" w14:textId="1EB23736" w:rsidR="009B49F6" w:rsidRPr="009A2EA1" w:rsidRDefault="009B49F6" w:rsidP="000C4548">
      <w:pPr>
        <w:pStyle w:val="ListBullet2"/>
      </w:pPr>
      <w:r w:rsidRPr="009A2EA1">
        <w:t>Lower degree of internali</w:t>
      </w:r>
      <w:r w:rsidR="00331CCF">
        <w:t>s</w:t>
      </w:r>
      <w:r w:rsidRPr="009A2EA1">
        <w:t>ation, following binding to CD20 (type II binding mode prevents interaction with FcγRII</w:t>
      </w:r>
      <w:r w:rsidR="000C4548" w:rsidRPr="009A2EA1">
        <w:t>b which promotes CD20 internalis</w:t>
      </w:r>
      <w:r w:rsidRPr="009A2EA1">
        <w:t>ation).</w:t>
      </w:r>
    </w:p>
    <w:p w14:paraId="53FBB9CF" w14:textId="22DCBC42" w:rsidR="009B49F6" w:rsidRPr="009A2EA1" w:rsidRDefault="000C4548" w:rsidP="000C4548">
      <w:pPr>
        <w:pStyle w:val="ListBullet2"/>
      </w:pPr>
      <w:r w:rsidRPr="009A2EA1">
        <w:t xml:space="preserve">Lower complement </w:t>
      </w:r>
      <w:r w:rsidR="009B49F6" w:rsidRPr="009A2EA1">
        <w:t>dependent cytotoxicity (CDC</w:t>
      </w:r>
      <w:r w:rsidR="00255ED6">
        <w:t>)</w:t>
      </w:r>
      <w:r w:rsidR="009B49F6" w:rsidRPr="009A2EA1">
        <w:t xml:space="preserve"> (type II binding mode prevents clustering of bound CD20 to lipid rafts).</w:t>
      </w:r>
    </w:p>
    <w:p w14:paraId="7B140D4B" w14:textId="77777777" w:rsidR="009B49F6" w:rsidRPr="009A2EA1" w:rsidRDefault="009B49F6" w:rsidP="000C4548">
      <w:pPr>
        <w:pStyle w:val="ListBullet"/>
      </w:pPr>
      <w:r w:rsidRPr="009A2EA1">
        <w:t>Properties due to Fc-glycoengineering:</w:t>
      </w:r>
    </w:p>
    <w:p w14:paraId="4B4EE0F2" w14:textId="77777777" w:rsidR="009B49F6" w:rsidRPr="009A2EA1" w:rsidRDefault="009B49F6" w:rsidP="000C4548">
      <w:pPr>
        <w:pStyle w:val="ListBullet2"/>
      </w:pPr>
      <w:r w:rsidRPr="009A2EA1">
        <w:t>Higher affinity binding to high and low affinity human FcγRIIIa expressed on effector cells (</w:t>
      </w:r>
      <w:r w:rsidR="000C4548" w:rsidRPr="009A2EA1">
        <w:t>for example, natural killer</w:t>
      </w:r>
      <w:r w:rsidRPr="009A2EA1">
        <w:t xml:space="preserve"> </w:t>
      </w:r>
      <w:r w:rsidR="000C4548" w:rsidRPr="009A2EA1">
        <w:t>(</w:t>
      </w:r>
      <w:r w:rsidRPr="009A2EA1">
        <w:t>NK</w:t>
      </w:r>
      <w:r w:rsidR="000C4548" w:rsidRPr="009A2EA1">
        <w:t>)</w:t>
      </w:r>
      <w:r w:rsidRPr="009A2EA1">
        <w:t xml:space="preserve"> cells and macrophages).</w:t>
      </w:r>
    </w:p>
    <w:p w14:paraId="2C187091" w14:textId="77777777" w:rsidR="009B49F6" w:rsidRPr="009A2EA1" w:rsidRDefault="000C4548" w:rsidP="000C4548">
      <w:pPr>
        <w:pStyle w:val="ListBullet2"/>
      </w:pPr>
      <w:r w:rsidRPr="009A2EA1">
        <w:t xml:space="preserve">Higher antibody dependent cell </w:t>
      </w:r>
      <w:r w:rsidR="009B49F6" w:rsidRPr="009A2EA1">
        <w:t>mediated c</w:t>
      </w:r>
      <w:r w:rsidRPr="009A2EA1">
        <w:t xml:space="preserve">ytotoxicity (ADCC) and antibody </w:t>
      </w:r>
      <w:r w:rsidR="009B49F6" w:rsidRPr="009A2EA1">
        <w:t>dependent cellular cytotox</w:t>
      </w:r>
      <w:r w:rsidRPr="009A2EA1">
        <w:t xml:space="preserve">icity (ADCP) towards bound CD20 </w:t>
      </w:r>
      <w:r w:rsidR="009B49F6" w:rsidRPr="009A2EA1">
        <w:t>expressing target cells.</w:t>
      </w:r>
    </w:p>
    <w:p w14:paraId="40A33D8C" w14:textId="77777777" w:rsidR="00AC515C" w:rsidRPr="009A2EA1" w:rsidRDefault="000C4548" w:rsidP="009B49F6">
      <w:r w:rsidRPr="009A2EA1">
        <w:t xml:space="preserve">These in </w:t>
      </w:r>
      <w:r w:rsidR="009B49F6" w:rsidRPr="009A2EA1">
        <w:t>vitro properties are claimed to translate into superior anti-lymphoma activity when compared with rituximab.</w:t>
      </w:r>
    </w:p>
    <w:p w14:paraId="517CF9A7" w14:textId="77777777" w:rsidR="008E7846" w:rsidRPr="009A2EA1" w:rsidRDefault="00386150" w:rsidP="008E7846">
      <w:pPr>
        <w:pStyle w:val="Heading3"/>
      </w:pPr>
      <w:bookmarkStart w:id="16" w:name="_Toc314842485"/>
      <w:bookmarkStart w:id="17" w:name="_Toc247691504"/>
      <w:bookmarkStart w:id="18" w:name="_Toc513552842"/>
      <w:r w:rsidRPr="009A2EA1">
        <w:t>Regulatory s</w:t>
      </w:r>
      <w:r w:rsidR="008E7846" w:rsidRPr="009A2EA1">
        <w:t>tatus</w:t>
      </w:r>
      <w:bookmarkEnd w:id="16"/>
      <w:bookmarkEnd w:id="17"/>
      <w:bookmarkEnd w:id="18"/>
    </w:p>
    <w:p w14:paraId="428254AF" w14:textId="35FCCABD" w:rsidR="000C4548" w:rsidRPr="009A2EA1" w:rsidRDefault="00940A89" w:rsidP="000C4548">
      <w:bookmarkStart w:id="19" w:name="_Toc247691505"/>
      <w:bookmarkStart w:id="20" w:name="_Toc314842486"/>
      <w:r w:rsidRPr="009A2EA1">
        <w:t xml:space="preserve">The product received initial registration on the Australian Register of Therapeutic Goods (ARTG) </w:t>
      </w:r>
      <w:r w:rsidR="000C4548" w:rsidRPr="009A2EA1">
        <w:t xml:space="preserve">on 15 May 2014. As noted earlier in this document, the drug is already approved for second line treatment of </w:t>
      </w:r>
      <w:r w:rsidR="00F32823">
        <w:t>FL</w:t>
      </w:r>
      <w:r w:rsidR="000C4548" w:rsidRPr="009A2EA1">
        <w:t>, in combination with bendamustine.</w:t>
      </w:r>
    </w:p>
    <w:p w14:paraId="1CF78F53" w14:textId="77777777" w:rsidR="00940A89" w:rsidRPr="009A2EA1" w:rsidRDefault="0085287E" w:rsidP="00940A89">
      <w:r w:rsidRPr="009A2EA1">
        <w:t>At the time the TGA considered this application similar applications for registration have been approved or were under evaluation as shown in Table 1, below.</w:t>
      </w:r>
    </w:p>
    <w:p w14:paraId="60421D25" w14:textId="77777777" w:rsidR="0085287E" w:rsidRPr="009A2EA1" w:rsidRDefault="0085287E" w:rsidP="0085287E">
      <w:pPr>
        <w:pStyle w:val="TableTitle"/>
      </w:pPr>
      <w:proofErr w:type="gramStart"/>
      <w:r w:rsidRPr="009A2EA1">
        <w:lastRenderedPageBreak/>
        <w:t>Table 1.</w:t>
      </w:r>
      <w:proofErr w:type="gramEnd"/>
      <w:r w:rsidRPr="009A2EA1">
        <w:t xml:space="preserve"> Overseas regulatory and submission status</w:t>
      </w:r>
    </w:p>
    <w:p w14:paraId="636504E8" w14:textId="77777777" w:rsidR="0085287E" w:rsidRPr="009A2EA1" w:rsidRDefault="0085287E" w:rsidP="00940A89">
      <w:r w:rsidRPr="009A2EA1">
        <w:rPr>
          <w:noProof/>
          <w:lang w:eastAsia="en-AU"/>
        </w:rPr>
        <w:drawing>
          <wp:inline distT="0" distB="0" distL="0" distR="0" wp14:anchorId="262694BE" wp14:editId="54608F6F">
            <wp:extent cx="5400040" cy="3599815"/>
            <wp:effectExtent l="0" t="0" r="10160" b="6985"/>
            <wp:docPr id="1" name="Picture 1" descr="Overseas regulatory and submission status. Submitted in the USA on 22 June 2017; under evaluation and granted priority review status. Submitted in the European Union (including the United Kingdom) on 7 October 2016, has recieved a positive opinion, in combination with chemotherapy, followed by use as maintainance therapy in patients achieving a response, and is indicated for the treatment of patients with previously untreated advance follicular lymphoma. Submitted in Canada on 28 July 2017 and is under evaluation." title="Overseas regulatory and submission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599815"/>
                    </a:xfrm>
                    <a:prstGeom prst="rect">
                      <a:avLst/>
                    </a:prstGeom>
                  </pic:spPr>
                </pic:pic>
              </a:graphicData>
            </a:graphic>
          </wp:inline>
        </w:drawing>
      </w:r>
    </w:p>
    <w:p w14:paraId="357A2AC6" w14:textId="77777777" w:rsidR="008E7846" w:rsidRPr="009A2EA1" w:rsidRDefault="008E7846" w:rsidP="00940A89">
      <w:pPr>
        <w:pStyle w:val="Heading3"/>
      </w:pPr>
      <w:bookmarkStart w:id="21" w:name="_Toc513552843"/>
      <w:r w:rsidRPr="009A2EA1">
        <w:t>Product Information</w:t>
      </w:r>
      <w:bookmarkEnd w:id="19"/>
      <w:bookmarkEnd w:id="20"/>
      <w:bookmarkEnd w:id="21"/>
    </w:p>
    <w:p w14:paraId="2AC7B663" w14:textId="77777777" w:rsidR="00940A89" w:rsidRDefault="006136D7" w:rsidP="00940A89">
      <w:bookmarkStart w:id="22" w:name="_Toc247691506"/>
      <w:bookmarkStart w:id="23" w:name="_Toc314842487"/>
      <w:r w:rsidRPr="009A2EA1">
        <w:t xml:space="preserve">The Product Information (PI) approved with the submission which is described in this AusPAR can be found as Attachment 1. For the most recent PI, please refer to the TGA website at </w:t>
      </w:r>
      <w:r w:rsidR="00441C3F" w:rsidRPr="009A2EA1">
        <w:t>&lt;</w:t>
      </w:r>
      <w:hyperlink r:id="rId16" w:history="1">
        <w:r w:rsidR="00441C3F" w:rsidRPr="009A2EA1">
          <w:rPr>
            <w:rStyle w:val="Hyperlink"/>
          </w:rPr>
          <w:t>https://www.tga.gov.au/product-information-pi</w:t>
        </w:r>
      </w:hyperlink>
      <w:r w:rsidR="00441C3F" w:rsidRPr="009A2EA1">
        <w:t>&gt;</w:t>
      </w:r>
      <w:r w:rsidR="00940A89" w:rsidRPr="009A2EA1">
        <w:t>.</w:t>
      </w:r>
    </w:p>
    <w:p w14:paraId="5533A2B5" w14:textId="77777777" w:rsidR="003F10C6" w:rsidRDefault="003F10C6" w:rsidP="003F10C6">
      <w:pPr>
        <w:pStyle w:val="Heading2"/>
      </w:pPr>
      <w:bookmarkStart w:id="24" w:name="_Toc507501096"/>
      <w:bookmarkStart w:id="25" w:name="_Toc513552844"/>
      <w:r>
        <w:t>II. Registration timeline</w:t>
      </w:r>
      <w:bookmarkEnd w:id="24"/>
      <w:bookmarkEnd w:id="25"/>
    </w:p>
    <w:p w14:paraId="38F5D2B2" w14:textId="508172F0" w:rsidR="003F10C6" w:rsidRDefault="003F10C6" w:rsidP="003F10C6">
      <w:pPr>
        <w:pStyle w:val="Tabletitle0"/>
      </w:pPr>
      <w:proofErr w:type="gramStart"/>
      <w:r>
        <w:t>Table 2</w:t>
      </w:r>
      <w:r w:rsidR="006B12FE">
        <w:t>.</w:t>
      </w:r>
      <w:proofErr w:type="gramEnd"/>
      <w:r>
        <w:t xml:space="preserve"> Registration timeline for Submission PM-201</w:t>
      </w:r>
      <w:r w:rsidR="00B663FD">
        <w:t>6</w:t>
      </w:r>
      <w:r>
        <w:t>-0</w:t>
      </w:r>
      <w:r w:rsidR="00B663FD">
        <w:t>3149</w:t>
      </w:r>
      <w:r>
        <w:t>-1-4</w:t>
      </w:r>
    </w:p>
    <w:tbl>
      <w:tblPr>
        <w:tblStyle w:val="TableTGAblue"/>
        <w:tblW w:w="0" w:type="auto"/>
        <w:tblLook w:val="04A0" w:firstRow="1" w:lastRow="0" w:firstColumn="1" w:lastColumn="0" w:noHBand="0" w:noVBand="1"/>
      </w:tblPr>
      <w:tblGrid>
        <w:gridCol w:w="6204"/>
        <w:gridCol w:w="2516"/>
      </w:tblGrid>
      <w:tr w:rsidR="003F10C6" w:rsidRPr="00C633D6" w14:paraId="5EFD5B22" w14:textId="77777777" w:rsidTr="003F10C6">
        <w:trPr>
          <w:cnfStyle w:val="100000000000" w:firstRow="1" w:lastRow="0" w:firstColumn="0" w:lastColumn="0" w:oddVBand="0" w:evenVBand="0" w:oddHBand="0" w:evenHBand="0" w:firstRowFirstColumn="0" w:firstRowLastColumn="0" w:lastRowFirstColumn="0" w:lastRowLastColumn="0"/>
        </w:trPr>
        <w:tc>
          <w:tcPr>
            <w:tcW w:w="6204" w:type="dxa"/>
          </w:tcPr>
          <w:p w14:paraId="49A0C171" w14:textId="77777777" w:rsidR="003F10C6" w:rsidRPr="002A6578" w:rsidRDefault="003F10C6" w:rsidP="00C1003B">
            <w:r w:rsidRPr="002A6578">
              <w:t>Description</w:t>
            </w:r>
          </w:p>
        </w:tc>
        <w:tc>
          <w:tcPr>
            <w:tcW w:w="2516" w:type="dxa"/>
          </w:tcPr>
          <w:p w14:paraId="3729F088" w14:textId="77777777" w:rsidR="003F10C6" w:rsidRPr="002A6578" w:rsidRDefault="003F10C6" w:rsidP="00C1003B">
            <w:r w:rsidRPr="002A6578">
              <w:t>Date</w:t>
            </w:r>
          </w:p>
        </w:tc>
      </w:tr>
      <w:tr w:rsidR="003F10C6" w:rsidRPr="008D5479" w14:paraId="40BF303C" w14:textId="77777777" w:rsidTr="003F10C6">
        <w:tc>
          <w:tcPr>
            <w:tcW w:w="6204" w:type="dxa"/>
          </w:tcPr>
          <w:p w14:paraId="389E1D5D" w14:textId="77777777" w:rsidR="003F10C6" w:rsidRPr="002A6578" w:rsidRDefault="003F10C6" w:rsidP="00C1003B">
            <w:r w:rsidRPr="002A6578">
              <w:t>Submission dossier accepted and 1st round evaluation commenced</w:t>
            </w:r>
          </w:p>
        </w:tc>
        <w:tc>
          <w:tcPr>
            <w:tcW w:w="2516" w:type="dxa"/>
          </w:tcPr>
          <w:p w14:paraId="24D955D9" w14:textId="4C3BA834" w:rsidR="003F10C6" w:rsidRPr="002A6578" w:rsidRDefault="003F10C6" w:rsidP="00C1003B">
            <w:pPr>
              <w:rPr>
                <w:color w:val="auto"/>
              </w:rPr>
            </w:pPr>
            <w:r>
              <w:rPr>
                <w:color w:val="auto"/>
              </w:rPr>
              <w:t>30 November 2016</w:t>
            </w:r>
          </w:p>
        </w:tc>
      </w:tr>
      <w:tr w:rsidR="003F10C6" w:rsidRPr="008D5479" w14:paraId="67035030" w14:textId="77777777" w:rsidTr="003F10C6">
        <w:tc>
          <w:tcPr>
            <w:tcW w:w="6204" w:type="dxa"/>
          </w:tcPr>
          <w:p w14:paraId="01AA55CD" w14:textId="112346A5" w:rsidR="003F10C6" w:rsidRPr="002A6578" w:rsidRDefault="006B12FE" w:rsidP="00C1003B">
            <w:r>
              <w:t>First</w:t>
            </w:r>
            <w:r w:rsidR="003F10C6" w:rsidRPr="002A6578">
              <w:t xml:space="preserve"> round evaluation completed</w:t>
            </w:r>
          </w:p>
        </w:tc>
        <w:tc>
          <w:tcPr>
            <w:tcW w:w="2516" w:type="dxa"/>
          </w:tcPr>
          <w:p w14:paraId="7EAA5171" w14:textId="27B0A504" w:rsidR="003F10C6" w:rsidRPr="002A6578" w:rsidRDefault="003F10C6" w:rsidP="00C1003B">
            <w:pPr>
              <w:rPr>
                <w:color w:val="auto"/>
              </w:rPr>
            </w:pPr>
            <w:r>
              <w:rPr>
                <w:color w:val="auto"/>
              </w:rPr>
              <w:t>16 May 2017</w:t>
            </w:r>
          </w:p>
        </w:tc>
      </w:tr>
      <w:tr w:rsidR="003F10C6" w:rsidRPr="00F0799B" w14:paraId="52411363" w14:textId="77777777" w:rsidTr="003F10C6">
        <w:tc>
          <w:tcPr>
            <w:tcW w:w="6204" w:type="dxa"/>
          </w:tcPr>
          <w:p w14:paraId="05283BA6" w14:textId="1159D92C" w:rsidR="003F10C6" w:rsidRPr="002A6578" w:rsidRDefault="003F10C6" w:rsidP="00C1003B">
            <w:r w:rsidRPr="002A6578">
              <w:t xml:space="preserve">Sponsor provides responses on questions raised in </w:t>
            </w:r>
            <w:r w:rsidR="006B12FE">
              <w:t>First</w:t>
            </w:r>
            <w:r w:rsidRPr="002A6578">
              <w:t xml:space="preserve"> round evaluation</w:t>
            </w:r>
          </w:p>
        </w:tc>
        <w:tc>
          <w:tcPr>
            <w:tcW w:w="2516" w:type="dxa"/>
          </w:tcPr>
          <w:p w14:paraId="73850C98" w14:textId="3EED2D6C" w:rsidR="003F10C6" w:rsidRPr="002A6578" w:rsidRDefault="003F10C6" w:rsidP="00C1003B">
            <w:pPr>
              <w:rPr>
                <w:color w:val="auto"/>
              </w:rPr>
            </w:pPr>
            <w:r>
              <w:rPr>
                <w:color w:val="auto"/>
              </w:rPr>
              <w:t>1</w:t>
            </w:r>
            <w:r w:rsidR="00B14B6D">
              <w:rPr>
                <w:color w:val="auto"/>
              </w:rPr>
              <w:t>6</w:t>
            </w:r>
            <w:r>
              <w:rPr>
                <w:color w:val="auto"/>
              </w:rPr>
              <w:t xml:space="preserve"> June 2017</w:t>
            </w:r>
          </w:p>
        </w:tc>
      </w:tr>
      <w:tr w:rsidR="003F10C6" w:rsidRPr="00F0799B" w14:paraId="439EAB35" w14:textId="77777777" w:rsidTr="003F10C6">
        <w:tc>
          <w:tcPr>
            <w:tcW w:w="6204" w:type="dxa"/>
          </w:tcPr>
          <w:p w14:paraId="259193A9" w14:textId="2BF46A2B" w:rsidR="003F10C6" w:rsidRPr="002A6578" w:rsidRDefault="006B12FE" w:rsidP="00C1003B">
            <w:r>
              <w:t>Second</w:t>
            </w:r>
            <w:r w:rsidR="003F10C6" w:rsidRPr="002A6578">
              <w:t xml:space="preserve"> round evaluation completed</w:t>
            </w:r>
          </w:p>
        </w:tc>
        <w:tc>
          <w:tcPr>
            <w:tcW w:w="2516" w:type="dxa"/>
          </w:tcPr>
          <w:p w14:paraId="5CDA73F0" w14:textId="17429FF6" w:rsidR="003F10C6" w:rsidRPr="002A6578" w:rsidRDefault="003F10C6" w:rsidP="00C1003B">
            <w:pPr>
              <w:rPr>
                <w:color w:val="auto"/>
              </w:rPr>
            </w:pPr>
            <w:r>
              <w:rPr>
                <w:color w:val="auto"/>
              </w:rPr>
              <w:t>7 July 2017</w:t>
            </w:r>
          </w:p>
        </w:tc>
      </w:tr>
      <w:tr w:rsidR="003F10C6" w:rsidRPr="00F0799B" w14:paraId="7D20DFA4" w14:textId="77777777" w:rsidTr="003F10C6">
        <w:tc>
          <w:tcPr>
            <w:tcW w:w="6204" w:type="dxa"/>
          </w:tcPr>
          <w:p w14:paraId="391AF51C" w14:textId="77777777" w:rsidR="003F10C6" w:rsidRPr="002A6578" w:rsidRDefault="003F10C6" w:rsidP="00C1003B">
            <w:r>
              <w:t>R</w:t>
            </w:r>
            <w:r w:rsidRPr="002A6578">
              <w:t>equest for Advisory Committee advice</w:t>
            </w:r>
            <w:r>
              <w:t xml:space="preserve"> and/or Delegate’s Overview</w:t>
            </w:r>
          </w:p>
        </w:tc>
        <w:tc>
          <w:tcPr>
            <w:tcW w:w="2516" w:type="dxa"/>
          </w:tcPr>
          <w:p w14:paraId="5A39F961" w14:textId="5A99B69B" w:rsidR="003F10C6" w:rsidRPr="002A6578" w:rsidRDefault="00B14B6D" w:rsidP="00C1003B">
            <w:pPr>
              <w:rPr>
                <w:color w:val="auto"/>
              </w:rPr>
            </w:pPr>
            <w:r>
              <w:rPr>
                <w:color w:val="auto"/>
              </w:rPr>
              <w:t>6 September</w:t>
            </w:r>
            <w:r w:rsidR="003F10C6">
              <w:rPr>
                <w:color w:val="auto"/>
              </w:rPr>
              <w:t xml:space="preserve"> 2017</w:t>
            </w:r>
          </w:p>
        </w:tc>
      </w:tr>
      <w:tr w:rsidR="003F10C6" w:rsidRPr="00F0799B" w14:paraId="463B986A" w14:textId="77777777" w:rsidTr="003F10C6">
        <w:tc>
          <w:tcPr>
            <w:tcW w:w="6204" w:type="dxa"/>
          </w:tcPr>
          <w:p w14:paraId="71309BDF" w14:textId="77777777" w:rsidR="003F10C6" w:rsidRPr="002A6578" w:rsidRDefault="003F10C6" w:rsidP="00C1003B">
            <w:r w:rsidRPr="002A6578">
              <w:t>Sponsor’s response</w:t>
            </w:r>
            <w:r>
              <w:t xml:space="preserve"> to Delegate’s Overview</w:t>
            </w:r>
          </w:p>
        </w:tc>
        <w:tc>
          <w:tcPr>
            <w:tcW w:w="2516" w:type="dxa"/>
          </w:tcPr>
          <w:p w14:paraId="70D8BF9B" w14:textId="256D8C95" w:rsidR="003F10C6" w:rsidRPr="002A6578" w:rsidRDefault="003F10C6" w:rsidP="00C1003B">
            <w:pPr>
              <w:rPr>
                <w:color w:val="auto"/>
              </w:rPr>
            </w:pPr>
            <w:r>
              <w:rPr>
                <w:color w:val="auto"/>
              </w:rPr>
              <w:t>19 September 2017</w:t>
            </w:r>
          </w:p>
        </w:tc>
      </w:tr>
      <w:tr w:rsidR="003F10C6" w:rsidRPr="00F0799B" w14:paraId="4D5FC343" w14:textId="77777777" w:rsidTr="003F10C6">
        <w:trPr>
          <w:trHeight w:val="618"/>
        </w:trPr>
        <w:tc>
          <w:tcPr>
            <w:tcW w:w="6204" w:type="dxa"/>
          </w:tcPr>
          <w:p w14:paraId="77530521" w14:textId="77777777" w:rsidR="003F10C6" w:rsidRPr="002A6578" w:rsidRDefault="003F10C6" w:rsidP="00C1003B">
            <w:r w:rsidRPr="002A6578">
              <w:lastRenderedPageBreak/>
              <w:t>Advisory Committee meeting</w:t>
            </w:r>
          </w:p>
        </w:tc>
        <w:tc>
          <w:tcPr>
            <w:tcW w:w="2516" w:type="dxa"/>
          </w:tcPr>
          <w:p w14:paraId="46F8AF09" w14:textId="7E768F8A" w:rsidR="003F10C6" w:rsidRPr="002A6578" w:rsidRDefault="003F10C6" w:rsidP="00C1003B">
            <w:pPr>
              <w:rPr>
                <w:color w:val="auto"/>
              </w:rPr>
            </w:pPr>
            <w:r>
              <w:rPr>
                <w:color w:val="auto"/>
              </w:rPr>
              <w:t>6 October 2017</w:t>
            </w:r>
          </w:p>
        </w:tc>
      </w:tr>
      <w:tr w:rsidR="003F10C6" w:rsidRPr="00F0799B" w14:paraId="47921284" w14:textId="77777777" w:rsidTr="003F10C6">
        <w:tc>
          <w:tcPr>
            <w:tcW w:w="6204" w:type="dxa"/>
          </w:tcPr>
          <w:p w14:paraId="6DD2B6C1" w14:textId="77777777" w:rsidR="003F10C6" w:rsidRPr="002A6578" w:rsidRDefault="003F10C6" w:rsidP="00C1003B">
            <w:r w:rsidRPr="002A6578">
              <w:t>Registration decision</w:t>
            </w:r>
          </w:p>
        </w:tc>
        <w:tc>
          <w:tcPr>
            <w:tcW w:w="2516" w:type="dxa"/>
          </w:tcPr>
          <w:p w14:paraId="47BA0D03" w14:textId="0AAE16B9" w:rsidR="003F10C6" w:rsidRPr="002A6578" w:rsidRDefault="003F10C6" w:rsidP="00C1003B">
            <w:pPr>
              <w:rPr>
                <w:color w:val="auto"/>
              </w:rPr>
            </w:pPr>
            <w:r>
              <w:t>16 November 2017</w:t>
            </w:r>
          </w:p>
        </w:tc>
      </w:tr>
      <w:tr w:rsidR="003F10C6" w:rsidRPr="00F0799B" w14:paraId="05E7EB51" w14:textId="77777777" w:rsidTr="003F10C6">
        <w:tc>
          <w:tcPr>
            <w:tcW w:w="6204" w:type="dxa"/>
          </w:tcPr>
          <w:p w14:paraId="49DD3768" w14:textId="77777777" w:rsidR="003F10C6" w:rsidRPr="002A6578" w:rsidRDefault="003F10C6" w:rsidP="00C1003B">
            <w:r w:rsidRPr="002A6578">
              <w:t>Entry onto ARTG</w:t>
            </w:r>
          </w:p>
        </w:tc>
        <w:tc>
          <w:tcPr>
            <w:tcW w:w="2516" w:type="dxa"/>
          </w:tcPr>
          <w:p w14:paraId="46A3685F" w14:textId="53AA6D9B" w:rsidR="003F10C6" w:rsidRPr="002A6578" w:rsidRDefault="003F10C6" w:rsidP="00C1003B">
            <w:pPr>
              <w:rPr>
                <w:color w:val="auto"/>
              </w:rPr>
            </w:pPr>
            <w:r>
              <w:t>5 December 2017</w:t>
            </w:r>
          </w:p>
        </w:tc>
      </w:tr>
      <w:tr w:rsidR="003F10C6" w:rsidRPr="008D5479" w14:paraId="502B1670" w14:textId="77777777" w:rsidTr="003F10C6">
        <w:tc>
          <w:tcPr>
            <w:tcW w:w="6204" w:type="dxa"/>
          </w:tcPr>
          <w:p w14:paraId="2D3B3DFF" w14:textId="3608E110" w:rsidR="003F10C6" w:rsidRPr="002A6578" w:rsidRDefault="003F10C6" w:rsidP="00C1003B">
            <w:r w:rsidRPr="002A6578">
              <w:t xml:space="preserve">Number of TGA working days from </w:t>
            </w:r>
            <w:r>
              <w:t xml:space="preserve">commencement of evaluation </w:t>
            </w:r>
            <w:r w:rsidRPr="002A6578">
              <w:t>to registration decision</w:t>
            </w:r>
            <w:r w:rsidR="006B12FE">
              <w:rPr>
                <w:vertAlign w:val="superscript"/>
              </w:rPr>
              <w:t>1</w:t>
            </w:r>
          </w:p>
        </w:tc>
        <w:tc>
          <w:tcPr>
            <w:tcW w:w="2516" w:type="dxa"/>
          </w:tcPr>
          <w:p w14:paraId="54C6229F" w14:textId="59C4DD68" w:rsidR="003F10C6" w:rsidRPr="002A6578" w:rsidRDefault="003F10C6" w:rsidP="00C1003B">
            <w:pPr>
              <w:rPr>
                <w:color w:val="auto"/>
              </w:rPr>
            </w:pPr>
            <w:r>
              <w:rPr>
                <w:color w:val="auto"/>
              </w:rPr>
              <w:t>219</w:t>
            </w:r>
            <w:r w:rsidR="006B12FE">
              <w:rPr>
                <w:color w:val="auto"/>
              </w:rPr>
              <w:t xml:space="preserve"> days</w:t>
            </w:r>
          </w:p>
        </w:tc>
      </w:tr>
    </w:tbl>
    <w:p w14:paraId="20089703" w14:textId="0DAEEE7E" w:rsidR="003F10C6" w:rsidRPr="008D5479" w:rsidRDefault="006B12FE" w:rsidP="00C1003B">
      <w:pPr>
        <w:pStyle w:val="TableDescription"/>
      </w:pPr>
      <w:r>
        <w:t xml:space="preserve">1) </w:t>
      </w:r>
      <w:r w:rsidR="003F10C6">
        <w:t>Statutory timeframe: 255 working days.</w:t>
      </w:r>
    </w:p>
    <w:p w14:paraId="04961D25" w14:textId="77777777" w:rsidR="003F10C6" w:rsidRPr="003602A9" w:rsidRDefault="003F10C6" w:rsidP="003F10C6">
      <w:pPr>
        <w:pStyle w:val="Heading2"/>
        <w:ind w:left="-11"/>
      </w:pPr>
      <w:bookmarkStart w:id="26" w:name="_Toc507501097"/>
      <w:bookmarkStart w:id="27" w:name="_Toc513552845"/>
      <w:r>
        <w:t>III. Quality findings</w:t>
      </w:r>
      <w:bookmarkEnd w:id="26"/>
      <w:bookmarkEnd w:id="27"/>
    </w:p>
    <w:p w14:paraId="6057E0EA" w14:textId="77777777" w:rsidR="008E7846" w:rsidRPr="009A2EA1" w:rsidRDefault="00940A89" w:rsidP="008E7846">
      <w:bookmarkStart w:id="28" w:name="_Toc247691507"/>
      <w:bookmarkStart w:id="29" w:name="_Toc314842488"/>
      <w:bookmarkEnd w:id="22"/>
      <w:bookmarkEnd w:id="23"/>
      <w:bookmarkEnd w:id="1"/>
      <w:r w:rsidRPr="009A2EA1">
        <w:t>There was no requirement for a quality evaluation in a submission of this type.</w:t>
      </w:r>
      <w:bookmarkEnd w:id="28"/>
      <w:bookmarkEnd w:id="29"/>
    </w:p>
    <w:p w14:paraId="265C5B68" w14:textId="69B95641" w:rsidR="008E7846" w:rsidRPr="009A2EA1" w:rsidRDefault="003F10C6" w:rsidP="008E7846">
      <w:pPr>
        <w:pStyle w:val="Heading2"/>
      </w:pPr>
      <w:bookmarkStart w:id="30" w:name="_Toc196046439"/>
      <w:bookmarkStart w:id="31" w:name="_Toc247691510"/>
      <w:bookmarkStart w:id="32" w:name="_Toc314842494"/>
      <w:bookmarkStart w:id="33" w:name="_Toc513552846"/>
      <w:r>
        <w:t>IV</w:t>
      </w:r>
      <w:r w:rsidR="008E7846" w:rsidRPr="009A2EA1">
        <w:t>. Nonclinical</w:t>
      </w:r>
      <w:bookmarkEnd w:id="30"/>
      <w:r w:rsidR="008E7846" w:rsidRPr="009A2EA1">
        <w:t xml:space="preserve"> findings</w:t>
      </w:r>
      <w:bookmarkEnd w:id="31"/>
      <w:bookmarkEnd w:id="32"/>
      <w:bookmarkEnd w:id="33"/>
    </w:p>
    <w:p w14:paraId="402B7BEC" w14:textId="77777777" w:rsidR="00940A89" w:rsidRPr="009A2EA1" w:rsidRDefault="00940A89" w:rsidP="000E6196">
      <w:bookmarkStart w:id="34" w:name="_Toc247691511"/>
      <w:bookmarkStart w:id="35" w:name="_Toc314842495"/>
      <w:r w:rsidRPr="009A2EA1">
        <w:t>There was no requirement for a nonclinical evaluation in a submission of this type.</w:t>
      </w:r>
    </w:p>
    <w:p w14:paraId="5F3DF016" w14:textId="062EEB1C" w:rsidR="008E7846" w:rsidRPr="009A2EA1" w:rsidRDefault="008E7846" w:rsidP="008E7846">
      <w:pPr>
        <w:pStyle w:val="Heading2"/>
      </w:pPr>
      <w:bookmarkStart w:id="36" w:name="_Toc196046462"/>
      <w:bookmarkStart w:id="37" w:name="_Toc247691516"/>
      <w:bookmarkStart w:id="38" w:name="_Toc314842500"/>
      <w:bookmarkStart w:id="39" w:name="_Toc163441353"/>
      <w:bookmarkStart w:id="40" w:name="_Toc163441348"/>
      <w:bookmarkStart w:id="41" w:name="_Toc513552847"/>
      <w:bookmarkEnd w:id="34"/>
      <w:bookmarkEnd w:id="35"/>
      <w:r w:rsidRPr="009A2EA1">
        <w:t>V. Clinical</w:t>
      </w:r>
      <w:bookmarkEnd w:id="36"/>
      <w:r w:rsidRPr="009A2EA1">
        <w:t xml:space="preserve"> </w:t>
      </w:r>
      <w:r w:rsidR="003A7F6C" w:rsidRPr="009A2EA1">
        <w:t>f</w:t>
      </w:r>
      <w:r w:rsidRPr="009A2EA1">
        <w:t>indings</w:t>
      </w:r>
      <w:bookmarkEnd w:id="37"/>
      <w:bookmarkEnd w:id="38"/>
      <w:bookmarkEnd w:id="41"/>
    </w:p>
    <w:p w14:paraId="663076A6" w14:textId="77777777" w:rsidR="00C80137" w:rsidRPr="009A2EA1" w:rsidRDefault="00C80137" w:rsidP="00D425BB">
      <w:bookmarkStart w:id="42" w:name="_Toc196046463"/>
      <w:r w:rsidRPr="009A2EA1">
        <w:t>A summary of the clinical findings is presented in this section. Further details of these clinical findings can be found in Attachment 2.</w:t>
      </w:r>
    </w:p>
    <w:p w14:paraId="6C44A567" w14:textId="77777777" w:rsidR="008E7846" w:rsidRPr="009A2EA1" w:rsidRDefault="008E7846" w:rsidP="008E7846">
      <w:pPr>
        <w:pStyle w:val="Heading3"/>
      </w:pPr>
      <w:bookmarkStart w:id="43" w:name="_Toc247691517"/>
      <w:bookmarkStart w:id="44" w:name="_Toc314842501"/>
      <w:bookmarkStart w:id="45" w:name="_Toc513552848"/>
      <w:r w:rsidRPr="009A2EA1">
        <w:t>Introduction</w:t>
      </w:r>
      <w:bookmarkEnd w:id="42"/>
      <w:bookmarkEnd w:id="43"/>
      <w:bookmarkEnd w:id="44"/>
      <w:bookmarkEnd w:id="45"/>
    </w:p>
    <w:p w14:paraId="208A5E3A" w14:textId="77777777" w:rsidR="00605AD4" w:rsidRPr="009A2EA1" w:rsidRDefault="00605AD4" w:rsidP="00605AD4">
      <w:pPr>
        <w:pStyle w:val="Heading4"/>
      </w:pPr>
      <w:bookmarkStart w:id="46" w:name="_Toc196046464"/>
      <w:bookmarkStart w:id="47" w:name="_Toc247691518"/>
      <w:bookmarkStart w:id="48" w:name="_Toc314842502"/>
      <w:r w:rsidRPr="009A2EA1">
        <w:t xml:space="preserve">Clinical </w:t>
      </w:r>
      <w:r w:rsidR="00EF59DC" w:rsidRPr="009A2EA1">
        <w:t>r</w:t>
      </w:r>
      <w:r w:rsidRPr="009A2EA1">
        <w:t>ationale</w:t>
      </w:r>
    </w:p>
    <w:p w14:paraId="6CB905F7" w14:textId="2D450386" w:rsidR="00255F96" w:rsidRPr="00331CCF" w:rsidRDefault="00255F96" w:rsidP="00255F96">
      <w:r w:rsidRPr="009A2EA1">
        <w:t xml:space="preserve">As in other mature B cell lymphomas, FL is characterised by the expression of a surface membrane antigen, CD20. CD20 is an attractive target for anti-lymphoma therapies being </w:t>
      </w:r>
      <w:r w:rsidR="00EA30FD" w:rsidRPr="009A2EA1">
        <w:t>B cell</w:t>
      </w:r>
      <w:r w:rsidRPr="009A2EA1">
        <w:t>-specific, highly and stably expressed, exhibiting a low rate of internalisation, and not being present on hematopoietic stem cells. The concept of targeting CD20 as an effective anti-lymphoma strategy has been unequivocally established by clinical data for the anti</w:t>
      </w:r>
      <w:r w:rsidR="00127264">
        <w:noBreakHyphen/>
      </w:r>
      <w:r w:rsidRPr="009A2EA1">
        <w:t>CD20 mAb rituximab, which has revolutioni</w:t>
      </w:r>
      <w:r w:rsidR="00D93D8F">
        <w:t>s</w:t>
      </w:r>
      <w:r w:rsidRPr="009A2EA1">
        <w:t xml:space="preserve">ed the treatment of FL, as well as a range of other B cell malignancies and non-malignant disorders. Accumulating clinical data demonstrate clearly that combining rituximab with chemotherapy improves patients’ outcomes compared to chemotherapy or rituximab alone (see Table </w:t>
      </w:r>
      <w:r w:rsidR="003F5883">
        <w:t>3</w:t>
      </w:r>
      <w:r w:rsidRPr="009A2EA1">
        <w:t xml:space="preserve">, below). The advantage of CD20 over other therapeutic targets, as outlined above, has led to the continued development of improved anti-CD20 mAbs as anti-lymphoma therapies. Obinutuzumab, a glycoengineered type II anti-CD20 mAb, binds the CD20 antigen in a different orientation to type I mAbs such has rituximab. Compared with rituximab, obinutuzumab possesses </w:t>
      </w:r>
      <w:r w:rsidRPr="00331CCF">
        <w:t>the following properties in vitro:</w:t>
      </w:r>
    </w:p>
    <w:p w14:paraId="62E24727" w14:textId="63AED1D0" w:rsidR="00B14B6D" w:rsidRPr="00331CCF" w:rsidRDefault="00B14B6D" w:rsidP="00127264">
      <w:pPr>
        <w:pStyle w:val="ListBullet"/>
      </w:pPr>
      <w:r w:rsidRPr="00331CCF">
        <w:t>Properties due to type II binding mode:</w:t>
      </w:r>
    </w:p>
    <w:p w14:paraId="1DD088B3" w14:textId="44B3FA58" w:rsidR="00B14B6D" w:rsidRPr="00331CCF" w:rsidRDefault="00B14B6D" w:rsidP="00127264">
      <w:pPr>
        <w:pStyle w:val="ListBullet2"/>
      </w:pPr>
      <w:r w:rsidRPr="00331CCF">
        <w:t>Higher induction of direct cell killing (via a non-apoptotic pathway).</w:t>
      </w:r>
    </w:p>
    <w:p w14:paraId="6418F339" w14:textId="0B001CC9" w:rsidR="00B14B6D" w:rsidRPr="00331CCF" w:rsidRDefault="00B14B6D" w:rsidP="00127264">
      <w:pPr>
        <w:pStyle w:val="ListBullet2"/>
      </w:pPr>
      <w:r w:rsidRPr="00331CCF">
        <w:t>Lower degree of internali</w:t>
      </w:r>
      <w:r w:rsidR="00331CCF">
        <w:t>s</w:t>
      </w:r>
      <w:r w:rsidRPr="00331CCF">
        <w:t>ation, following binding to CD20 (type II binding mode prevents interaction with FcγRIIb which promotes CD20 internalisation).</w:t>
      </w:r>
    </w:p>
    <w:p w14:paraId="2C37B464" w14:textId="72486C89" w:rsidR="00B14B6D" w:rsidRPr="00331CCF" w:rsidRDefault="00B14B6D" w:rsidP="00127264">
      <w:pPr>
        <w:pStyle w:val="ListBullet2"/>
      </w:pPr>
      <w:r w:rsidRPr="00331CCF">
        <w:t>Lower CDC (type II binding mode prevents clustering of bound CD20 to lipid rafts).</w:t>
      </w:r>
    </w:p>
    <w:p w14:paraId="70101C45" w14:textId="5B0C3D56" w:rsidR="00B14B6D" w:rsidRPr="008B7A1D" w:rsidRDefault="00B14B6D" w:rsidP="00127264">
      <w:pPr>
        <w:pStyle w:val="ListBullet"/>
      </w:pPr>
      <w:r w:rsidRPr="008B7A1D">
        <w:lastRenderedPageBreak/>
        <w:t>Properties due to Fc-glycoengineering:</w:t>
      </w:r>
    </w:p>
    <w:p w14:paraId="351968E5" w14:textId="36E91A4B" w:rsidR="00B14B6D" w:rsidRPr="008B7A1D" w:rsidRDefault="00B14B6D" w:rsidP="00127264">
      <w:pPr>
        <w:pStyle w:val="ListBullet2"/>
      </w:pPr>
      <w:r w:rsidRPr="008B7A1D">
        <w:t>Higher affinity binding to high and low affinity human FcγRIIIa expressed on effector cells (for example, NK cells and macrophages).</w:t>
      </w:r>
    </w:p>
    <w:p w14:paraId="73E5F465" w14:textId="067ABA2D" w:rsidR="00B14B6D" w:rsidRPr="009A2EA1" w:rsidRDefault="00B14B6D" w:rsidP="00127264">
      <w:pPr>
        <w:pStyle w:val="ListBullet2"/>
      </w:pPr>
      <w:r w:rsidRPr="008B7A1D">
        <w:t>Higher ADCC and ADCP towards bound CD20 expressing target cells.</w:t>
      </w:r>
    </w:p>
    <w:p w14:paraId="3F3B6B37" w14:textId="78AE4202" w:rsidR="000B71DF" w:rsidRPr="009A2EA1" w:rsidRDefault="000B71DF" w:rsidP="000B71DF">
      <w:r w:rsidRPr="009A2EA1">
        <w:t>The in vitro properties of obinutuzumab compared with rituximab, as listed in the product background above, translated into superior anti-lymphoma activity for obinutuzumab when compared directly to rituximab in a number of preclinical NHL xenograft models, including a model of FL involving subcutaneous inoculation of the human RL cell line.</w:t>
      </w:r>
      <w:r w:rsidR="008B7A1D">
        <w:rPr>
          <w:rStyle w:val="FootnoteReference"/>
        </w:rPr>
        <w:footnoteReference w:id="4"/>
      </w:r>
      <w:r w:rsidRPr="009A2EA1">
        <w:t xml:space="preserve"> In addition, the anti</w:t>
      </w:r>
      <w:r w:rsidR="008B7A1D">
        <w:t>-</w:t>
      </w:r>
      <w:r w:rsidRPr="009A2EA1">
        <w:t>tumo</w:t>
      </w:r>
      <w:r w:rsidR="008B7A1D">
        <w:t>u</w:t>
      </w:r>
      <w:r w:rsidRPr="009A2EA1">
        <w:t>r effects of obinutuzumab in combination with chemotherapeutic agents were superior to the anti</w:t>
      </w:r>
      <w:r w:rsidR="008B7A1D">
        <w:t>-</w:t>
      </w:r>
      <w:r w:rsidRPr="009A2EA1">
        <w:t>tumo</w:t>
      </w:r>
      <w:r w:rsidR="008B7A1D">
        <w:t>u</w:t>
      </w:r>
      <w:r w:rsidRPr="009A2EA1">
        <w:t>r effects of rituximab when used in combination with these agents.</w:t>
      </w:r>
    </w:p>
    <w:p w14:paraId="7ED3F7B7" w14:textId="288F6F55" w:rsidR="000B71DF" w:rsidRPr="009A2EA1" w:rsidRDefault="000B71DF" w:rsidP="000B71DF">
      <w:pPr>
        <w:pStyle w:val="TableTitle"/>
        <w:rPr>
          <w:lang w:eastAsia="ja-JP"/>
        </w:rPr>
      </w:pPr>
      <w:bookmarkStart w:id="49" w:name="_Ref474493501"/>
      <w:bookmarkStart w:id="50" w:name="_Toc481769200"/>
      <w:proofErr w:type="gramStart"/>
      <w:r w:rsidRPr="009A2EA1">
        <w:rPr>
          <w:lang w:eastAsia="ja-JP"/>
        </w:rPr>
        <w:lastRenderedPageBreak/>
        <w:t xml:space="preserve">Table </w:t>
      </w:r>
      <w:bookmarkEnd w:id="49"/>
      <w:r w:rsidR="003F5883">
        <w:rPr>
          <w:lang w:eastAsia="ja-JP"/>
        </w:rPr>
        <w:t>3</w:t>
      </w:r>
      <w:r w:rsidRPr="009A2EA1">
        <w:rPr>
          <w:lang w:eastAsia="ja-JP"/>
        </w:rPr>
        <w:t>.</w:t>
      </w:r>
      <w:proofErr w:type="gramEnd"/>
      <w:r w:rsidRPr="009A2EA1">
        <w:rPr>
          <w:lang w:eastAsia="ja-JP"/>
        </w:rPr>
        <w:t xml:space="preserve"> Efficacy in key randomised Phase III studies of rituximab based induction treatment for patients with previously untreated advanced follicular lymphoma</w:t>
      </w:r>
      <w:bookmarkEnd w:id="50"/>
    </w:p>
    <w:p w14:paraId="24D332A0" w14:textId="77777777" w:rsidR="000B71DF" w:rsidRPr="009A2EA1" w:rsidRDefault="000B71DF" w:rsidP="000B71DF">
      <w:pPr>
        <w:rPr>
          <w:lang w:eastAsia="ja-JP"/>
        </w:rPr>
      </w:pPr>
      <w:r w:rsidRPr="009A2EA1">
        <w:rPr>
          <w:noProof/>
          <w:lang w:eastAsia="en-AU"/>
        </w:rPr>
        <w:drawing>
          <wp:inline distT="0" distB="0" distL="0" distR="0" wp14:anchorId="0EA72C30" wp14:editId="17015290">
            <wp:extent cx="4815840" cy="6332220"/>
            <wp:effectExtent l="0" t="0" r="3810" b="0"/>
            <wp:docPr id="56" name="Picture 56" descr="Efficacy in key randomised Phase III studies of rituximab based induction treatment for patients with previously untreated advanced follicular lymp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Effect>
                                <a14:saturation sat="0"/>
                              </a14:imgEffect>
                            </a14:imgLayer>
                          </a14:imgProps>
                        </a:ext>
                      </a:extLst>
                    </a:blip>
                    <a:stretch>
                      <a:fillRect/>
                    </a:stretch>
                  </pic:blipFill>
                  <pic:spPr>
                    <a:xfrm>
                      <a:off x="0" y="0"/>
                      <a:ext cx="4815840" cy="6332220"/>
                    </a:xfrm>
                    <a:prstGeom prst="rect">
                      <a:avLst/>
                    </a:prstGeom>
                  </pic:spPr>
                </pic:pic>
              </a:graphicData>
            </a:graphic>
          </wp:inline>
        </w:drawing>
      </w:r>
    </w:p>
    <w:p w14:paraId="365D9575" w14:textId="6C1CDD02" w:rsidR="000B71DF" w:rsidRPr="009A2EA1" w:rsidRDefault="000B71DF" w:rsidP="000B71DF">
      <w:pPr>
        <w:pStyle w:val="TableDescription"/>
        <w:rPr>
          <w:lang w:eastAsia="ja-JP"/>
        </w:rPr>
      </w:pPr>
      <w:r w:rsidRPr="009A2EA1">
        <w:rPr>
          <w:lang w:eastAsia="ja-JP"/>
        </w:rPr>
        <w:t>CHOP: cyclophosphamide, doxorubicin, vincristine and prednisone; CHVP: cyclophosphamide, doxorubicin, etoposide and prednisone; CR: complete response; CVP: cyclophosphamide, vincristine and prednisone; EFS: event-free survival; I: interferon; MCP: mitoxantrone, chlorambucil and prednisone; NR: not reached; ORR: overall response rate; OS: overall survival; PFS: progression-free survival; R: rituximab; TTF: time to treatment failure; TTNALT: time to new anti-lymphoma treatment; TTP: time to progression. † Response rates only shown in the publication for patients with iNHL and MCL enrolled in study. All other results shown for the StiL and BRIGHT studies, which enrolled patients with FL and other iNHL histologies, are for the subgroup of patients with FL. ‡ without use of rituximab maintenance therapy. § Unconfirmed complete response (CRu) included in CR rate for these studies (NHL-1-2003/STiL study used WHO response criteria</w:t>
      </w:r>
      <w:r w:rsidR="00622556">
        <w:rPr>
          <w:lang w:eastAsia="ja-JP"/>
        </w:rPr>
        <w:t xml:space="preserve">, </w:t>
      </w:r>
      <w:r w:rsidRPr="009A2EA1">
        <w:rPr>
          <w:lang w:eastAsia="ja-JP"/>
        </w:rPr>
        <w:t xml:space="preserve">classification of CRu uncertain). ¶ studies enrolling FL grades 1 and 2 only. * </w:t>
      </w:r>
      <w:r w:rsidR="00C9173F" w:rsidRPr="009A2EA1">
        <w:rPr>
          <w:lang w:eastAsia="ja-JP"/>
        </w:rPr>
        <w:t>Significant</w:t>
      </w:r>
      <w:r w:rsidRPr="009A2EA1">
        <w:rPr>
          <w:lang w:eastAsia="ja-JP"/>
        </w:rPr>
        <w:t xml:space="preserve"> difference versus comparator reported in referenced publication (p &lt; 0.05).</w:t>
      </w:r>
    </w:p>
    <w:p w14:paraId="774D89A5" w14:textId="77777777" w:rsidR="00605AD4" w:rsidRPr="009A2EA1" w:rsidRDefault="00605AD4" w:rsidP="00605AD4">
      <w:pPr>
        <w:pStyle w:val="Heading4"/>
      </w:pPr>
      <w:r w:rsidRPr="009A2EA1">
        <w:lastRenderedPageBreak/>
        <w:t>Guidance</w:t>
      </w:r>
    </w:p>
    <w:p w14:paraId="1C0C1F8F" w14:textId="47120EAD" w:rsidR="00CF3D2D" w:rsidRPr="009A2EA1" w:rsidRDefault="00CF3D2D" w:rsidP="00CF3D2D">
      <w:r w:rsidRPr="009A2EA1">
        <w:t>In the US, the Food and Drug Administration (FDA) agreed overall with the adequacy of the Study BO21223 trial design, the proposed treatment population and dosing regimen in both arms.</w:t>
      </w:r>
    </w:p>
    <w:p w14:paraId="387858B2" w14:textId="159A96E6" w:rsidR="00CF3D2D" w:rsidRPr="009A2EA1" w:rsidRDefault="00CF3D2D" w:rsidP="00CF3D2D">
      <w:pPr>
        <w:rPr>
          <w:i/>
        </w:rPr>
      </w:pPr>
      <w:r w:rsidRPr="009A2EA1">
        <w:t xml:space="preserve">For the </w:t>
      </w:r>
      <w:r w:rsidR="002D3666" w:rsidRPr="009A2EA1">
        <w:t>European Medicines Agency (EMA)</w:t>
      </w:r>
      <w:r w:rsidRPr="009A2EA1">
        <w:t xml:space="preserve"> overall the feedback provided by the Committee for Medicinal Products for Human Use (CHMP)/Scientific Advice Working Party (SAWP) was in agreement with the sponsor’s proposed design of Study BO21223 with respect to target patient population, primary endpoint of investigator assessed </w:t>
      </w:r>
      <w:r w:rsidR="00925D02">
        <w:t>progression free survival (</w:t>
      </w:r>
      <w:r w:rsidRPr="009A2EA1">
        <w:t>PFS</w:t>
      </w:r>
      <w:r w:rsidR="00925D02">
        <w:t>)</w:t>
      </w:r>
      <w:r w:rsidRPr="009A2EA1">
        <w:t xml:space="preserve"> in FL patients</w:t>
      </w:r>
      <w:r w:rsidR="008B7A1D">
        <w:t xml:space="preserve"> </w:t>
      </w:r>
      <w:r w:rsidRPr="009A2EA1">
        <w:t>(with a requirement to demonstrate positive IRC assessed PFS for registration</w:t>
      </w:r>
      <w:r w:rsidR="00A366F1">
        <w:t>)</w:t>
      </w:r>
      <w:r w:rsidRPr="009A2EA1">
        <w:t>, clinical relevance of the targeted treatment effect, proposed dose and regimen of G-chemo and R-chemo (including induction and maintenance phases and choice of chemotherapies), and safety monitoring.</w:t>
      </w:r>
    </w:p>
    <w:p w14:paraId="74A67015" w14:textId="77777777" w:rsidR="00605AD4" w:rsidRPr="009A2EA1" w:rsidRDefault="00605AD4" w:rsidP="00605AD4">
      <w:pPr>
        <w:pStyle w:val="Heading4"/>
      </w:pPr>
      <w:r w:rsidRPr="009A2EA1">
        <w:t>Contents of the clinical dossier</w:t>
      </w:r>
    </w:p>
    <w:p w14:paraId="0471720C" w14:textId="77777777" w:rsidR="002D3666" w:rsidRPr="009A2EA1" w:rsidRDefault="002D3666" w:rsidP="002D3666">
      <w:r w:rsidRPr="009A2EA1">
        <w:t>According to the sponsor:</w:t>
      </w:r>
    </w:p>
    <w:p w14:paraId="0F30F8F9" w14:textId="77777777" w:rsidR="002D3666" w:rsidRPr="009A2EA1" w:rsidRDefault="002D3666" w:rsidP="002D3666">
      <w:r w:rsidRPr="009A2EA1">
        <w:t>The purpose of the current application is to support registration for the use of obinutuzumab in combination with standard of care chemotherapy, followed by obinutuzumab maintenance/monotherapy, for the treatment of patients with previously untreated FL.</w:t>
      </w:r>
    </w:p>
    <w:p w14:paraId="64CC2E4A" w14:textId="16730BB0" w:rsidR="00AD341B" w:rsidRPr="009A2EA1" w:rsidRDefault="00910EAE" w:rsidP="002D3666">
      <w:pPr>
        <w:pStyle w:val="ListBullet"/>
      </w:pPr>
      <w:r w:rsidRPr="009A2EA1">
        <w:t xml:space="preserve">Reports of </w:t>
      </w:r>
      <w:r w:rsidR="002D3666" w:rsidRPr="009A2EA1">
        <w:t xml:space="preserve">bioanalytical and analytical methods for human studies: 2 amended, previously presented reports. </w:t>
      </w:r>
      <w:r w:rsidR="00137CFB">
        <w:t>A</w:t>
      </w:r>
      <w:r w:rsidR="00137CFB" w:rsidRPr="009A2EA1">
        <w:t xml:space="preserve">mendments </w:t>
      </w:r>
      <w:r w:rsidR="002D3666" w:rsidRPr="009A2EA1">
        <w:t>rela</w:t>
      </w:r>
      <w:r w:rsidRPr="009A2EA1">
        <w:t>ted to storage at -80</w:t>
      </w:r>
      <w:r w:rsidRPr="009A2EA1">
        <w:rPr>
          <w:vertAlign w:val="superscript"/>
        </w:rPr>
        <w:t>○</w:t>
      </w:r>
      <w:r w:rsidR="002D3666" w:rsidRPr="009A2EA1">
        <w:t>C.</w:t>
      </w:r>
    </w:p>
    <w:p w14:paraId="0818B1D1" w14:textId="0FBF7F82" w:rsidR="00AD341B" w:rsidRPr="009A2EA1" w:rsidRDefault="00910EAE" w:rsidP="002D3666">
      <w:pPr>
        <w:pStyle w:val="ListBullet"/>
      </w:pPr>
      <w:r w:rsidRPr="009A2EA1">
        <w:t xml:space="preserve">Population </w:t>
      </w:r>
      <w:r w:rsidR="002D3666" w:rsidRPr="009A2EA1">
        <w:t>pharmacokinetic (PopPK)</w:t>
      </w:r>
      <w:r w:rsidR="008C37F5" w:rsidRPr="009A2EA1">
        <w:t xml:space="preserve"> study Re</w:t>
      </w:r>
      <w:r w:rsidRPr="009A2EA1">
        <w:t>port: Report 1072889; Pop</w:t>
      </w:r>
      <w:r w:rsidR="008C37F5" w:rsidRPr="009A2EA1">
        <w:t>PK a</w:t>
      </w:r>
      <w:r w:rsidRPr="009A2EA1">
        <w:t xml:space="preserve">nalysis, </w:t>
      </w:r>
      <w:r w:rsidR="008C37F5" w:rsidRPr="009A2EA1">
        <w:t>g</w:t>
      </w:r>
      <w:r w:rsidRPr="009A2EA1">
        <w:t xml:space="preserve">raphical </w:t>
      </w:r>
      <w:r w:rsidR="008C37F5" w:rsidRPr="009A2EA1">
        <w:t>a</w:t>
      </w:r>
      <w:r w:rsidRPr="009A2EA1">
        <w:t xml:space="preserve">nalysis and </w:t>
      </w:r>
      <w:r w:rsidR="008C37F5" w:rsidRPr="009A2EA1">
        <w:t>e</w:t>
      </w:r>
      <w:r w:rsidRPr="009A2EA1">
        <w:t>xposure-</w:t>
      </w:r>
      <w:r w:rsidR="008C37F5" w:rsidRPr="009A2EA1">
        <w:t>s</w:t>
      </w:r>
      <w:r w:rsidRPr="009A2EA1">
        <w:t xml:space="preserve">afety and </w:t>
      </w:r>
      <w:r w:rsidR="008C37F5" w:rsidRPr="009A2EA1">
        <w:t>e</w:t>
      </w:r>
      <w:r w:rsidRPr="009A2EA1">
        <w:t>xposure-</w:t>
      </w:r>
      <w:r w:rsidR="008C37F5" w:rsidRPr="009A2EA1">
        <w:t>e</w:t>
      </w:r>
      <w:r w:rsidRPr="009A2EA1">
        <w:t xml:space="preserve">fficacy </w:t>
      </w:r>
      <w:r w:rsidR="00A366F1">
        <w:t>r</w:t>
      </w:r>
      <w:r w:rsidRPr="009A2EA1">
        <w:t xml:space="preserve">elationships, and </w:t>
      </w:r>
      <w:r w:rsidR="008C37F5" w:rsidRPr="009A2EA1">
        <w:t>e</w:t>
      </w:r>
      <w:r w:rsidRPr="009A2EA1">
        <w:t xml:space="preserve">xposure </w:t>
      </w:r>
      <w:r w:rsidR="008C37F5" w:rsidRPr="009A2EA1">
        <w:t>a</w:t>
      </w:r>
      <w:r w:rsidRPr="009A2EA1">
        <w:t xml:space="preserve">nalysis of </w:t>
      </w:r>
      <w:r w:rsidR="002D3666" w:rsidRPr="009A2EA1">
        <w:t xml:space="preserve">progression free survival for obinutuzumab in patients with </w:t>
      </w:r>
      <w:r w:rsidR="00A366F1">
        <w:t>FL</w:t>
      </w:r>
      <w:r w:rsidR="002D3666" w:rsidRPr="009A2EA1">
        <w:t xml:space="preserve"> or marginal zone lymphoma</w:t>
      </w:r>
      <w:r w:rsidR="00CC6961">
        <w:t xml:space="preserve"> (MZL)</w:t>
      </w:r>
      <w:r w:rsidR="002D3666" w:rsidRPr="009A2EA1">
        <w:t xml:space="preserve"> </w:t>
      </w:r>
      <w:r w:rsidRPr="009A2EA1">
        <w:t>(Study BO</w:t>
      </w:r>
      <w:r w:rsidR="00C1003B">
        <w:t xml:space="preserve">21223/GALLIUM) (data </w:t>
      </w:r>
      <w:r w:rsidR="00C1003B" w:rsidRPr="009A2EA1">
        <w:t>cut</w:t>
      </w:r>
      <w:r w:rsidR="00C1003B">
        <w:t>-</w:t>
      </w:r>
      <w:r w:rsidR="00C1003B" w:rsidRPr="009A2EA1">
        <w:t>off</w:t>
      </w:r>
      <w:r w:rsidR="00C1003B">
        <w:t xml:space="preserve"> </w:t>
      </w:r>
      <w:r w:rsidRPr="009A2EA1">
        <w:t>date:</w:t>
      </w:r>
      <w:r w:rsidR="00C1003B">
        <w:t xml:space="preserve"> </w:t>
      </w:r>
      <w:r w:rsidR="002D3666" w:rsidRPr="009A2EA1">
        <w:t>31</w:t>
      </w:r>
      <w:r w:rsidR="00C1003B">
        <w:t xml:space="preserve"> </w:t>
      </w:r>
      <w:r w:rsidR="002D3666" w:rsidRPr="009A2EA1">
        <w:t>January</w:t>
      </w:r>
      <w:r w:rsidRPr="009A2EA1">
        <w:t xml:space="preserve"> 2016)</w:t>
      </w:r>
      <w:r w:rsidR="002D3666" w:rsidRPr="009A2EA1">
        <w:t>.</w:t>
      </w:r>
    </w:p>
    <w:p w14:paraId="366A45BD" w14:textId="2AD86B54" w:rsidR="00AD341B" w:rsidRPr="009A2EA1" w:rsidRDefault="00910EAE" w:rsidP="002D3666">
      <w:pPr>
        <w:pStyle w:val="ListBullet"/>
      </w:pPr>
      <w:r w:rsidRPr="009A2EA1">
        <w:t xml:space="preserve">Study </w:t>
      </w:r>
      <w:r w:rsidR="002D3666" w:rsidRPr="009A2EA1">
        <w:t>reports of controlled clinical studies pertinent to the claimed indication</w:t>
      </w:r>
      <w:r w:rsidRPr="009A2EA1">
        <w:t xml:space="preserve">: </w:t>
      </w:r>
      <w:r w:rsidR="002D3666" w:rsidRPr="009A2EA1">
        <w:t>Study</w:t>
      </w:r>
      <w:r w:rsidR="00C1003B">
        <w:t xml:space="preserve"> </w:t>
      </w:r>
      <w:r w:rsidRPr="009A2EA1">
        <w:t xml:space="preserve">BO21223 (GALLIUM) </w:t>
      </w:r>
      <w:r w:rsidR="0009739F">
        <w:t xml:space="preserve">primary </w:t>
      </w:r>
      <w:r w:rsidR="008C37F5" w:rsidRPr="009A2EA1">
        <w:t>c</w:t>
      </w:r>
      <w:r w:rsidRPr="009A2EA1">
        <w:t xml:space="preserve">linical </w:t>
      </w:r>
      <w:r w:rsidR="008C37F5" w:rsidRPr="009A2EA1">
        <w:t>s</w:t>
      </w:r>
      <w:r w:rsidRPr="009A2EA1">
        <w:t xml:space="preserve">tudy </w:t>
      </w:r>
      <w:r w:rsidR="008C37F5" w:rsidRPr="009A2EA1">
        <w:t>r</w:t>
      </w:r>
      <w:r w:rsidRPr="009A2EA1">
        <w:t>eport</w:t>
      </w:r>
      <w:r w:rsidR="008C37F5" w:rsidRPr="009A2EA1">
        <w:t xml:space="preserve"> (CSR)</w:t>
      </w:r>
      <w:r w:rsidRPr="009A2EA1">
        <w:t xml:space="preserve"> (Pivotal study</w:t>
      </w:r>
      <w:r w:rsidR="0009739F">
        <w:t xml:space="preserve"> data</w:t>
      </w:r>
      <w:r w:rsidR="00C1003B">
        <w:t xml:space="preserve"> cut-off</w:t>
      </w:r>
      <w:r w:rsidR="0009739F">
        <w:t xml:space="preserve"> date: 31 January 2016</w:t>
      </w:r>
      <w:r w:rsidRPr="009A2EA1">
        <w:t>)</w:t>
      </w:r>
      <w:r w:rsidR="002D3666" w:rsidRPr="009A2EA1">
        <w:t>.</w:t>
      </w:r>
    </w:p>
    <w:p w14:paraId="260240F3" w14:textId="7728A727" w:rsidR="00AD341B" w:rsidRPr="009A2EA1" w:rsidRDefault="00910EAE" w:rsidP="002D3666">
      <w:pPr>
        <w:pStyle w:val="ListBullet"/>
      </w:pPr>
      <w:r w:rsidRPr="009A2EA1">
        <w:t xml:space="preserve">Study </w:t>
      </w:r>
      <w:r w:rsidR="002D3666" w:rsidRPr="009A2EA1">
        <w:t>reports of uncontrolled clinical studies</w:t>
      </w:r>
      <w:r w:rsidRPr="009A2EA1">
        <w:t>: Study BO</w:t>
      </w:r>
      <w:r w:rsidR="002D3666" w:rsidRPr="009A2EA1">
        <w:t>21000 (GAUDI) f</w:t>
      </w:r>
      <w:r w:rsidRPr="009A2EA1">
        <w:t xml:space="preserve">inal CSR: Supportive efficacy and safety data are provided from Part 2 of the Phase </w:t>
      </w:r>
      <w:proofErr w:type="spellStart"/>
      <w:proofErr w:type="gramStart"/>
      <w:r w:rsidRPr="009A2EA1">
        <w:t>Ib</w:t>
      </w:r>
      <w:proofErr w:type="spellEnd"/>
      <w:proofErr w:type="gramEnd"/>
      <w:r w:rsidRPr="009A2EA1">
        <w:t xml:space="preserve"> Study</w:t>
      </w:r>
      <w:r w:rsidR="00C1003B">
        <w:t xml:space="preserve"> </w:t>
      </w:r>
      <w:r w:rsidRPr="009A2EA1">
        <w:t>BO21000 in which additional cohorts of patients (n</w:t>
      </w:r>
      <w:r w:rsidR="002D3666" w:rsidRPr="009A2EA1">
        <w:t xml:space="preserve"> </w:t>
      </w:r>
      <w:r w:rsidRPr="009A2EA1">
        <w:t>=</w:t>
      </w:r>
      <w:r w:rsidR="002D3666" w:rsidRPr="009A2EA1">
        <w:t xml:space="preserve"> </w:t>
      </w:r>
      <w:r w:rsidRPr="009A2EA1">
        <w:t>81) with previously untreated FL were treated with G-chemo.</w:t>
      </w:r>
    </w:p>
    <w:p w14:paraId="3F826339" w14:textId="2861A7C2" w:rsidR="00AD341B" w:rsidRPr="009A2EA1" w:rsidRDefault="008C37F5" w:rsidP="002D3666">
      <w:pPr>
        <w:pStyle w:val="ListBullet"/>
      </w:pPr>
      <w:r w:rsidRPr="009A2EA1">
        <w:t>Other study r</w:t>
      </w:r>
      <w:r w:rsidR="00910EAE" w:rsidRPr="009A2EA1">
        <w:t>eports:</w:t>
      </w:r>
      <w:r w:rsidR="002D3666" w:rsidRPr="009A2EA1">
        <w:t xml:space="preserve"> Update</w:t>
      </w:r>
      <w:r w:rsidRPr="009A2EA1">
        <w:t>d</w:t>
      </w:r>
      <w:r w:rsidR="002D3666" w:rsidRPr="009A2EA1">
        <w:t xml:space="preserve"> </w:t>
      </w:r>
      <w:r w:rsidRPr="009A2EA1">
        <w:t>CSR</w:t>
      </w:r>
      <w:r w:rsidR="002D3666" w:rsidRPr="009A2EA1">
        <w:t xml:space="preserve"> </w:t>
      </w:r>
      <w:r w:rsidRPr="009A2EA1">
        <w:t xml:space="preserve">for Study </w:t>
      </w:r>
      <w:r w:rsidR="00910EAE" w:rsidRPr="009A2EA1">
        <w:t>GA04753g (GADOLIN)</w:t>
      </w:r>
      <w:r w:rsidR="00622556">
        <w:t>.</w:t>
      </w:r>
    </w:p>
    <w:p w14:paraId="08255D59" w14:textId="456D8B54" w:rsidR="00AD341B" w:rsidRPr="009A2EA1" w:rsidRDefault="00910EAE" w:rsidP="002D3666">
      <w:pPr>
        <w:pStyle w:val="ListBullet"/>
      </w:pPr>
      <w:r w:rsidRPr="009A2EA1">
        <w:t>Literature references</w:t>
      </w:r>
      <w:r w:rsidR="00622556">
        <w:t>.</w:t>
      </w:r>
    </w:p>
    <w:p w14:paraId="0E524017" w14:textId="4706197E" w:rsidR="002D3666" w:rsidRPr="009A2EA1" w:rsidRDefault="002D3666" w:rsidP="002D3666">
      <w:pPr>
        <w:pStyle w:val="ListBullet"/>
      </w:pPr>
      <w:r w:rsidRPr="009A2EA1">
        <w:t xml:space="preserve">A </w:t>
      </w:r>
      <w:r w:rsidR="00F65CE5" w:rsidRPr="009A2EA1">
        <w:t>clinical overview, summary of clinical pharmacology, summary of clinical efficacy, summary of clinical safety, literature references and synopses of the 2 individual studies.</w:t>
      </w:r>
    </w:p>
    <w:p w14:paraId="3026BA42" w14:textId="77777777" w:rsidR="00605AD4" w:rsidRPr="009A2EA1" w:rsidRDefault="00605AD4" w:rsidP="00605AD4">
      <w:pPr>
        <w:pStyle w:val="Heading4"/>
      </w:pPr>
      <w:r w:rsidRPr="009A2EA1">
        <w:t>Paediatric data</w:t>
      </w:r>
    </w:p>
    <w:p w14:paraId="6991FBA6" w14:textId="77777777" w:rsidR="00C12B7A" w:rsidRPr="009A2EA1" w:rsidRDefault="00C12B7A" w:rsidP="00C12B7A">
      <w:r w:rsidRPr="009A2EA1">
        <w:t>No paediatric data was provided.</w:t>
      </w:r>
    </w:p>
    <w:p w14:paraId="7E060981" w14:textId="77777777" w:rsidR="00F20ACE" w:rsidRDefault="00C12B7A" w:rsidP="00C12B7A">
      <w:r w:rsidRPr="009A2EA1">
        <w:t xml:space="preserve">The sponsor </w:t>
      </w:r>
      <w:r w:rsidR="00F65CE5" w:rsidRPr="009A2EA1">
        <w:t>states that there is an agreed paediatric investigation p</w:t>
      </w:r>
      <w:r w:rsidRPr="009A2EA1">
        <w:t>lan (PIP) in Europe</w:t>
      </w:r>
      <w:r w:rsidR="00F20ACE">
        <w:t>.</w:t>
      </w:r>
    </w:p>
    <w:p w14:paraId="2A827367" w14:textId="4BBF1E9B" w:rsidR="00C12B7A" w:rsidRPr="009A2EA1" w:rsidRDefault="00C12B7A" w:rsidP="00C12B7A">
      <w:r w:rsidRPr="009A2EA1">
        <w:t>The FDA has granted a waiver from having to submit a Paediatric Assessment in all subtypes of i</w:t>
      </w:r>
      <w:r w:rsidR="00F65CE5" w:rsidRPr="009A2EA1">
        <w:t xml:space="preserve">ndolent </w:t>
      </w:r>
      <w:r w:rsidRPr="009A2EA1">
        <w:t>NHL.</w:t>
      </w:r>
    </w:p>
    <w:p w14:paraId="58C44DB7" w14:textId="77777777" w:rsidR="00605AD4" w:rsidRPr="009A2EA1" w:rsidRDefault="00605AD4" w:rsidP="00605AD4">
      <w:pPr>
        <w:pStyle w:val="Heading4"/>
      </w:pPr>
      <w:r w:rsidRPr="009A2EA1">
        <w:lastRenderedPageBreak/>
        <w:t>Good clinical practice</w:t>
      </w:r>
    </w:p>
    <w:p w14:paraId="5438B937" w14:textId="775A01C7" w:rsidR="00F65CE5" w:rsidRPr="009A2EA1" w:rsidRDefault="00910EAE" w:rsidP="00F65CE5">
      <w:r w:rsidRPr="009A2EA1">
        <w:t xml:space="preserve">The sponsor states for each individual study report supplied in this dosser that: This study was conducted in accordance with the principles of </w:t>
      </w:r>
      <w:r w:rsidR="00F65CE5" w:rsidRPr="009A2EA1">
        <w:t>Good Clinical Practice.</w:t>
      </w:r>
    </w:p>
    <w:p w14:paraId="7DE65A37" w14:textId="77777777" w:rsidR="008E7846" w:rsidRPr="009A2EA1" w:rsidRDefault="008E7846" w:rsidP="00605AD4">
      <w:pPr>
        <w:pStyle w:val="Heading3"/>
      </w:pPr>
      <w:bookmarkStart w:id="51" w:name="_Toc513552849"/>
      <w:r w:rsidRPr="009A2EA1">
        <w:t>Pharmacokinetics</w:t>
      </w:r>
      <w:bookmarkEnd w:id="39"/>
      <w:bookmarkEnd w:id="46"/>
      <w:bookmarkEnd w:id="47"/>
      <w:bookmarkEnd w:id="48"/>
      <w:bookmarkEnd w:id="51"/>
    </w:p>
    <w:p w14:paraId="29484D15" w14:textId="73E1F4FA" w:rsidR="00605AD4" w:rsidRPr="009A2EA1" w:rsidRDefault="00605AD4" w:rsidP="00605AD4">
      <w:pPr>
        <w:pStyle w:val="Heading4"/>
      </w:pPr>
      <w:r w:rsidRPr="009A2EA1">
        <w:t>Studies</w:t>
      </w:r>
      <w:r w:rsidR="00FF455A" w:rsidRPr="009A2EA1">
        <w:t xml:space="preserve"> providing pharmacokinetic data</w:t>
      </w:r>
    </w:p>
    <w:p w14:paraId="075C1D70" w14:textId="68C0BF1A" w:rsidR="00FF455A" w:rsidRPr="009A2EA1" w:rsidRDefault="00FF455A" w:rsidP="00FF455A">
      <w:r w:rsidRPr="009A2EA1">
        <w:t xml:space="preserve">Study BO21223 (GALLIUM) included </w:t>
      </w:r>
      <w:r w:rsidR="00CB55CA" w:rsidRPr="009A2EA1">
        <w:t>pharmacokinetic (</w:t>
      </w:r>
      <w:r w:rsidRPr="009A2EA1">
        <w:t>PK</w:t>
      </w:r>
      <w:r w:rsidR="00CB55CA" w:rsidRPr="009A2EA1">
        <w:t>)</w:t>
      </w:r>
      <w:r w:rsidRPr="009A2EA1">
        <w:t xml:space="preserve"> sampling (approximately 23</w:t>
      </w:r>
      <w:r w:rsidR="00C1003B">
        <w:t xml:space="preserve"> </w:t>
      </w:r>
      <w:r w:rsidRPr="009A2EA1">
        <w:t xml:space="preserve">samples per </w:t>
      </w:r>
      <w:proofErr w:type="spellStart"/>
      <w:r w:rsidRPr="009A2EA1">
        <w:t>obinutuzumab</w:t>
      </w:r>
      <w:proofErr w:type="spellEnd"/>
      <w:r w:rsidRPr="009A2EA1">
        <w:t xml:space="preserve"> treated patient) from a planned sample of 460 patients with FL or MZL who received obinutuzumab.</w:t>
      </w:r>
    </w:p>
    <w:p w14:paraId="3F09EEF1" w14:textId="5C30A75B" w:rsidR="00CB55CA" w:rsidRPr="009A2EA1" w:rsidRDefault="00CB55CA" w:rsidP="00FF455A">
      <w:r w:rsidRPr="009A2EA1">
        <w:t>The obinutuzumab PK data from Study BO21223 were added to the popPK dataset and the popPK model was updated.</w:t>
      </w:r>
    </w:p>
    <w:p w14:paraId="55C1E0DD" w14:textId="77777777" w:rsidR="00605AD4" w:rsidRPr="009A2EA1" w:rsidRDefault="00605AD4" w:rsidP="00605AD4">
      <w:pPr>
        <w:pStyle w:val="Heading4"/>
      </w:pPr>
      <w:r w:rsidRPr="009A2EA1">
        <w:t>Evaluator’s conclusions on pharmacokinetics</w:t>
      </w:r>
    </w:p>
    <w:p w14:paraId="5FB93EAF" w14:textId="27B79FA6" w:rsidR="008644EC" w:rsidRPr="009A2EA1" w:rsidRDefault="008644EC" w:rsidP="008644EC">
      <w:r w:rsidRPr="009A2EA1">
        <w:t>The current PopPK model (with the data from Phase III Study BO21223) is consistent with the previously evaluated model and subsequently there is no change to the</w:t>
      </w:r>
      <w:r w:rsidR="009845BB" w:rsidRPr="009A2EA1">
        <w:t xml:space="preserve"> PI</w:t>
      </w:r>
      <w:r w:rsidRPr="009A2EA1">
        <w:t>.</w:t>
      </w:r>
    </w:p>
    <w:p w14:paraId="09DC6E02" w14:textId="77777777" w:rsidR="008E7846" w:rsidRPr="009A2EA1" w:rsidRDefault="008E7846" w:rsidP="008E7846">
      <w:pPr>
        <w:pStyle w:val="Heading3"/>
      </w:pPr>
      <w:bookmarkStart w:id="52" w:name="_Toc196046481"/>
      <w:bookmarkStart w:id="53" w:name="_Toc247691520"/>
      <w:bookmarkStart w:id="54" w:name="_Toc314842503"/>
      <w:bookmarkStart w:id="55" w:name="_Toc513552850"/>
      <w:r w:rsidRPr="009A2EA1">
        <w:t>Pharmacodynamics</w:t>
      </w:r>
      <w:bookmarkEnd w:id="40"/>
      <w:bookmarkEnd w:id="52"/>
      <w:bookmarkEnd w:id="53"/>
      <w:bookmarkEnd w:id="54"/>
      <w:bookmarkEnd w:id="55"/>
    </w:p>
    <w:p w14:paraId="6874EF88" w14:textId="77777777" w:rsidR="00605AD4" w:rsidRPr="009A2EA1" w:rsidRDefault="00605AD4" w:rsidP="00605AD4">
      <w:pPr>
        <w:pStyle w:val="Heading4"/>
      </w:pPr>
      <w:r w:rsidRPr="009A2EA1">
        <w:t>Studies providing pharmacodynamic data</w:t>
      </w:r>
    </w:p>
    <w:p w14:paraId="5C7C5B76" w14:textId="4FD465D4" w:rsidR="008644EC" w:rsidRPr="009A2EA1" w:rsidRDefault="008644EC" w:rsidP="008644EC">
      <w:r w:rsidRPr="009A2EA1">
        <w:t>Study BO21223 provided pharmacodynamic data.</w:t>
      </w:r>
    </w:p>
    <w:p w14:paraId="69162612" w14:textId="77777777" w:rsidR="00605AD4" w:rsidRPr="009A2EA1" w:rsidRDefault="00605AD4" w:rsidP="00605AD4">
      <w:pPr>
        <w:pStyle w:val="Heading4"/>
      </w:pPr>
      <w:r w:rsidRPr="009A2EA1">
        <w:t>Evaluator’s conclusions on pharmacodynamics</w:t>
      </w:r>
    </w:p>
    <w:p w14:paraId="2253636A" w14:textId="61CAC11D" w:rsidR="008644EC" w:rsidRPr="009A2EA1" w:rsidRDefault="008644EC" w:rsidP="008644EC">
      <w:r w:rsidRPr="009A2EA1">
        <w:t xml:space="preserve">The numbers are small but B </w:t>
      </w:r>
      <w:r w:rsidR="00910EAE" w:rsidRPr="009A2EA1">
        <w:t>cell recovery was clearly slower in the G-chemo arm.</w:t>
      </w:r>
    </w:p>
    <w:p w14:paraId="11BF6F70" w14:textId="77777777" w:rsidR="008E7846" w:rsidRPr="009A2EA1" w:rsidRDefault="00605AD4" w:rsidP="00605AD4">
      <w:pPr>
        <w:pStyle w:val="Heading3"/>
      </w:pPr>
      <w:bookmarkStart w:id="56" w:name="_Toc513552851"/>
      <w:r w:rsidRPr="009A2EA1">
        <w:t>Dosage selection for the pivotal studies</w:t>
      </w:r>
      <w:bookmarkEnd w:id="56"/>
    </w:p>
    <w:p w14:paraId="7F769433" w14:textId="7DA2AB6C" w:rsidR="008644EC" w:rsidRPr="009A2EA1" w:rsidRDefault="008644EC" w:rsidP="008644EC">
      <w:r w:rsidRPr="009A2EA1">
        <w:t>The obinutuzumab dosage for previously untreated follicular lymphoma is identical to the approved dosage in relapsed/refractory FL (induction and maintenance).</w:t>
      </w:r>
    </w:p>
    <w:p w14:paraId="7822C891" w14:textId="77777777" w:rsidR="008E7846" w:rsidRPr="009A2EA1" w:rsidRDefault="008E7846" w:rsidP="008E7846">
      <w:pPr>
        <w:pStyle w:val="Heading3"/>
      </w:pPr>
      <w:bookmarkStart w:id="57" w:name="_Toc163441372"/>
      <w:bookmarkStart w:id="58" w:name="_Toc196046485"/>
      <w:bookmarkStart w:id="59" w:name="_Toc247691521"/>
      <w:bookmarkStart w:id="60" w:name="_Toc314842504"/>
      <w:bookmarkStart w:id="61" w:name="_Toc513552852"/>
      <w:r w:rsidRPr="009A2EA1">
        <w:t>Efficacy</w:t>
      </w:r>
      <w:bookmarkEnd w:id="57"/>
      <w:bookmarkEnd w:id="58"/>
      <w:bookmarkEnd w:id="59"/>
      <w:bookmarkEnd w:id="60"/>
      <w:bookmarkEnd w:id="61"/>
    </w:p>
    <w:p w14:paraId="69755B4F" w14:textId="77777777" w:rsidR="00605AD4" w:rsidRPr="009A2EA1" w:rsidRDefault="00605AD4" w:rsidP="00605AD4">
      <w:pPr>
        <w:pStyle w:val="Heading4"/>
      </w:pPr>
      <w:bookmarkStart w:id="62" w:name="_Toc184439992"/>
      <w:bookmarkStart w:id="63" w:name="_Toc184440279"/>
      <w:bookmarkStart w:id="64" w:name="_Toc184444657"/>
      <w:bookmarkStart w:id="65" w:name="_Toc196046487"/>
      <w:r w:rsidRPr="009A2EA1">
        <w:t>Studies providing efficacy data</w:t>
      </w:r>
    </w:p>
    <w:p w14:paraId="277431AD" w14:textId="77777777" w:rsidR="008644EC" w:rsidRPr="009A2EA1" w:rsidRDefault="008644EC" w:rsidP="00D33C63">
      <w:pPr>
        <w:pStyle w:val="Heading5"/>
      </w:pPr>
      <w:r w:rsidRPr="009A2EA1">
        <w:t>Study BO21223 (GALLIUM)</w:t>
      </w:r>
    </w:p>
    <w:p w14:paraId="2FA288C0" w14:textId="41F9DB56" w:rsidR="008644EC" w:rsidRPr="009A2EA1" w:rsidRDefault="008644EC" w:rsidP="008644EC">
      <w:r w:rsidRPr="009A2EA1">
        <w:t xml:space="preserve">This was a multicentre, Phase III, open label, randomised study in previously untreated patients with advanced indolent non-Hodgkin’s lymphoma evaluating the benefit of </w:t>
      </w:r>
      <w:r w:rsidR="0009739F">
        <w:t>obinutuzumab</w:t>
      </w:r>
      <w:r w:rsidRPr="009A2EA1">
        <w:t xml:space="preserve"> plus chemotherapy </w:t>
      </w:r>
      <w:r w:rsidR="0009739F">
        <w:t xml:space="preserve">(G-chemo) </w:t>
      </w:r>
      <w:r w:rsidRPr="009A2EA1">
        <w:t xml:space="preserve">compared with rituximab plus chemotherapy </w:t>
      </w:r>
      <w:r w:rsidR="0009739F">
        <w:t xml:space="preserve">(R-chemo) </w:t>
      </w:r>
      <w:r w:rsidRPr="009A2EA1">
        <w:t xml:space="preserve">followed by </w:t>
      </w:r>
      <w:r w:rsidR="0009739F">
        <w:t xml:space="preserve">obinutuzumab </w:t>
      </w:r>
      <w:r w:rsidRPr="009A2EA1">
        <w:t>or rituximab maintenance therapy in responders.</w:t>
      </w:r>
    </w:p>
    <w:p w14:paraId="0964EB7F" w14:textId="77777777" w:rsidR="008644EC" w:rsidRPr="009A2EA1" w:rsidRDefault="008644EC" w:rsidP="008644EC">
      <w:r w:rsidRPr="009A2EA1">
        <w:t>This is the pivotal study to support the proposed new indication for obinutuzumab (in previously untreated FL).</w:t>
      </w:r>
    </w:p>
    <w:p w14:paraId="7FAB0E05" w14:textId="77777777" w:rsidR="008644EC" w:rsidRPr="009A2EA1" w:rsidRDefault="008644EC" w:rsidP="008644EC">
      <w:pPr>
        <w:tabs>
          <w:tab w:val="num" w:pos="1134"/>
        </w:tabs>
        <w:rPr>
          <w:b/>
          <w:bCs/>
        </w:rPr>
      </w:pPr>
      <w:r w:rsidRPr="009A2EA1">
        <w:rPr>
          <w:b/>
          <w:bCs/>
        </w:rPr>
        <w:t>Study BO21000 (GAUDI)</w:t>
      </w:r>
    </w:p>
    <w:p w14:paraId="6045E06F" w14:textId="296057FF" w:rsidR="008644EC" w:rsidRPr="002640A1" w:rsidRDefault="008644EC" w:rsidP="002640A1">
      <w:pPr>
        <w:rPr>
          <w:lang w:val="en-GB"/>
        </w:rPr>
      </w:pPr>
      <w:r w:rsidRPr="009A2EA1">
        <w:t xml:space="preserve">This was an open label, multicentre, randomised, Phase Ib study to investigate the safety and efficacy of </w:t>
      </w:r>
      <w:r w:rsidR="0009739F">
        <w:t>obinutuzumab</w:t>
      </w:r>
      <w:r w:rsidRPr="009A2EA1">
        <w:t xml:space="preserve"> given in combination with CHOP, </w:t>
      </w:r>
      <w:r w:rsidR="002640A1" w:rsidRPr="002640A1">
        <w:rPr>
          <w:lang w:val="en-GB"/>
        </w:rPr>
        <w:t>fludarabine</w:t>
      </w:r>
      <w:r w:rsidR="002640A1">
        <w:rPr>
          <w:lang w:val="en-GB"/>
        </w:rPr>
        <w:t xml:space="preserve"> + </w:t>
      </w:r>
      <w:r w:rsidR="002640A1" w:rsidRPr="002640A1">
        <w:rPr>
          <w:lang w:val="en-GB"/>
        </w:rPr>
        <w:lastRenderedPageBreak/>
        <w:t>cyclophosphamide</w:t>
      </w:r>
      <w:r w:rsidR="002640A1">
        <w:rPr>
          <w:lang w:val="en-GB"/>
        </w:rPr>
        <w:t xml:space="preserve"> (FC), </w:t>
      </w:r>
      <w:r w:rsidRPr="009A2EA1">
        <w:t xml:space="preserve">or bendamustine chemotherapy in patients with CD20+ </w:t>
      </w:r>
      <w:r w:rsidR="00EA30FD" w:rsidRPr="009A2EA1">
        <w:t>B cell</w:t>
      </w:r>
      <w:r w:rsidRPr="009A2EA1">
        <w:t xml:space="preserve"> follicular non-Hodgkin’s lymphoma.</w:t>
      </w:r>
    </w:p>
    <w:p w14:paraId="72970A54" w14:textId="701C9EBC" w:rsidR="008644EC" w:rsidRPr="009A2EA1" w:rsidRDefault="008644EC" w:rsidP="008644EC">
      <w:r w:rsidRPr="009A2EA1">
        <w:t xml:space="preserve">Part 2, which is the one included in the </w:t>
      </w:r>
      <w:r w:rsidR="00137CFB">
        <w:t>sponsor’s submission</w:t>
      </w:r>
      <w:r w:rsidRPr="009A2EA1">
        <w:t>, is part of this Phase Ib study in which a cohort of patients (n = 81) with previously untreated FL were treated with G</w:t>
      </w:r>
      <w:r w:rsidR="00925D02">
        <w:noBreakHyphen/>
      </w:r>
      <w:r w:rsidRPr="009A2EA1">
        <w:t>chemo. The primary objective was the safety of obinutuzumab in combination with CHOP or bendamustine.</w:t>
      </w:r>
    </w:p>
    <w:p w14:paraId="563CD09F" w14:textId="77777777" w:rsidR="008E7846" w:rsidRPr="009A2EA1" w:rsidRDefault="00605AD4" w:rsidP="00605AD4">
      <w:pPr>
        <w:pStyle w:val="Heading4"/>
      </w:pPr>
      <w:r w:rsidRPr="009A2EA1">
        <w:t>Evaluator’s conclusions on efficacy</w:t>
      </w:r>
    </w:p>
    <w:p w14:paraId="47A57C0F" w14:textId="65DE2E67" w:rsidR="008644EC" w:rsidRPr="009A2EA1" w:rsidRDefault="008644EC" w:rsidP="008644EC">
      <w:r w:rsidRPr="009A2EA1">
        <w:t>The pivotal Study BO21223 (GALLIUM) is a Phase III, open label, multicentre, randomised study to investigate the efficacy and safety of G-chemo followed by G-maintenance therapy for responders (</w:t>
      </w:r>
      <w:r w:rsidR="002640A1">
        <w:t>complete response (</w:t>
      </w:r>
      <w:r w:rsidRPr="009A2EA1">
        <w:t>CR</w:t>
      </w:r>
      <w:r w:rsidR="002640A1">
        <w:t>)</w:t>
      </w:r>
      <w:r w:rsidRPr="009A2EA1">
        <w:t xml:space="preserve"> or</w:t>
      </w:r>
      <w:r w:rsidR="002640A1">
        <w:t xml:space="preserve"> partial response (</w:t>
      </w:r>
      <w:r w:rsidRPr="009A2EA1">
        <w:t>PR</w:t>
      </w:r>
      <w:r w:rsidR="002640A1">
        <w:t>)</w:t>
      </w:r>
      <w:r w:rsidRPr="009A2EA1">
        <w:t>), compared to R-chemo followed by R-maintenance therapy for responde</w:t>
      </w:r>
      <w:r w:rsidR="0000630D">
        <w:t xml:space="preserve">rs, in patients with previously </w:t>
      </w:r>
      <w:r w:rsidRPr="009A2EA1">
        <w:t>untreated advanced i</w:t>
      </w:r>
      <w:r w:rsidR="002640A1">
        <w:t xml:space="preserve">ndolent </w:t>
      </w:r>
      <w:r w:rsidR="0000630D">
        <w:t>NHL</w:t>
      </w:r>
      <w:r w:rsidRPr="009A2EA1">
        <w:t>. The overall population consisted primar</w:t>
      </w:r>
      <w:r w:rsidR="002640A1">
        <w:t xml:space="preserve">ily of patients with previously </w:t>
      </w:r>
      <w:r w:rsidRPr="009A2EA1">
        <w:t xml:space="preserve">untreated FL (1202/1401, 85.8%), of </w:t>
      </w:r>
      <w:r w:rsidR="00AF5B2C">
        <w:t>which 601 patients were randomis</w:t>
      </w:r>
      <w:r w:rsidRPr="009A2EA1">
        <w:t>ed to the R-chemo arm, and 601 pa</w:t>
      </w:r>
      <w:r w:rsidR="00AF5B2C">
        <w:t>tients were randomis</w:t>
      </w:r>
      <w:r w:rsidRPr="009A2EA1">
        <w:t>ed to the G-chemo arm.</w:t>
      </w:r>
    </w:p>
    <w:p w14:paraId="3295278A" w14:textId="15028EFB" w:rsidR="008644EC" w:rsidRPr="009A2EA1" w:rsidRDefault="008644EC" w:rsidP="008644EC">
      <w:r w:rsidRPr="009A2EA1">
        <w:t xml:space="preserve">The primary endpoint of investigator assessed PFS in the FL population was statistically significantly superior for the G-chemo arm compared </w:t>
      </w:r>
      <w:r w:rsidR="00BD3A8D">
        <w:t>to the R-chemo arm</w:t>
      </w:r>
      <w:r w:rsidRPr="009A2EA1">
        <w:t xml:space="preserve">. Approximately 60% had completed the full treatment (induction and maintenance). </w:t>
      </w:r>
      <w:r w:rsidR="00DE1A4C">
        <w:t>The secondary endpoint of investigator assessed PFS in the overall population was also statistically significantly superior. The other secondary endpoints did not meet the predefined statistical requirements.</w:t>
      </w:r>
    </w:p>
    <w:p w14:paraId="1F1A95AD" w14:textId="4994A283" w:rsidR="008644EC" w:rsidRPr="009A2EA1" w:rsidRDefault="008644EC" w:rsidP="008644EC">
      <w:r w:rsidRPr="009A2EA1">
        <w:t>In the end, long</w:t>
      </w:r>
      <w:r w:rsidR="00FA7142">
        <w:t xml:space="preserve"> term</w:t>
      </w:r>
      <w:r w:rsidRPr="009A2EA1">
        <w:t xml:space="preserve"> overall </w:t>
      </w:r>
      <w:r w:rsidR="00FA7142" w:rsidRPr="009A2EA1">
        <w:t>survival</w:t>
      </w:r>
      <w:r w:rsidR="00FA7142">
        <w:t xml:space="preserve"> (OS) </w:t>
      </w:r>
      <w:r w:rsidRPr="009A2EA1">
        <w:t xml:space="preserve">is the current goal of treatment of </w:t>
      </w:r>
      <w:r w:rsidR="00925D02">
        <w:t>FL</w:t>
      </w:r>
      <w:r w:rsidRPr="009A2EA1">
        <w:t xml:space="preserve"> (as opposed to cure). The data are immature and regular updates on this trial are cruc</w:t>
      </w:r>
      <w:r w:rsidR="00AF5B2C">
        <w:t xml:space="preserve">ial to evaluate if obinutuzumab </w:t>
      </w:r>
      <w:r w:rsidRPr="009A2EA1">
        <w:t>chemo in the lo</w:t>
      </w:r>
      <w:r w:rsidR="00AF5B2C">
        <w:t xml:space="preserve">ng run is superior to rituximab </w:t>
      </w:r>
      <w:r w:rsidRPr="009A2EA1">
        <w:t>chemo.</w:t>
      </w:r>
    </w:p>
    <w:p w14:paraId="59ECDEB2" w14:textId="28D7DEDB" w:rsidR="008644EC" w:rsidRPr="009A2EA1" w:rsidRDefault="008644EC" w:rsidP="008644EC">
      <w:r w:rsidRPr="009A2EA1">
        <w:t xml:space="preserve">The </w:t>
      </w:r>
      <w:r w:rsidR="00925D02">
        <w:t>FL</w:t>
      </w:r>
      <w:r w:rsidRPr="009A2EA1">
        <w:t xml:space="preserve"> study population is not totally representative of the ‘average’ FL patient: The median age in the study was 59.0 years a</w:t>
      </w:r>
      <w:r w:rsidR="00AF5B2C">
        <w:t xml:space="preserve">nd the </w:t>
      </w:r>
      <w:r w:rsidR="00AF5B2C" w:rsidRPr="00AF5B2C">
        <w:t xml:space="preserve">Eastern Cooperative Oncology Group </w:t>
      </w:r>
      <w:r w:rsidR="00AF5B2C">
        <w:t xml:space="preserve">(ECOG) performance score was 0 to 1 (for approximately </w:t>
      </w:r>
      <w:r w:rsidRPr="009A2EA1">
        <w:t xml:space="preserve">97%). No patients with a </w:t>
      </w:r>
      <w:r w:rsidR="005E1E9B">
        <w:t>creatinine clearance (</w:t>
      </w:r>
      <w:r w:rsidRPr="009A2EA1">
        <w:t>CrCL</w:t>
      </w:r>
      <w:r w:rsidR="005E1E9B">
        <w:t>)</w:t>
      </w:r>
      <w:r w:rsidRPr="009A2EA1">
        <w:t> &lt; 40 mL/min were included</w:t>
      </w:r>
      <w:r w:rsidR="00DB0BFC">
        <w:t xml:space="preserve"> (</w:t>
      </w:r>
      <w:r w:rsidR="00DB0BFC" w:rsidRPr="009A2EA1">
        <w:t>CrCL &lt; 40 mL/min</w:t>
      </w:r>
      <w:r w:rsidR="00DB0BFC">
        <w:t xml:space="preserve"> was a study exclusion criterion)</w:t>
      </w:r>
      <w:r w:rsidRPr="009A2EA1">
        <w:t>. The median age at diagnosis ‘in real life’ is approximately 65 years, and as this is mainly a disease of the elderly the ECOG performance score will often exceed 1 and patients will have comorbidities including compromised renal function. This may all affect the efficacy and certainly the safety (see </w:t>
      </w:r>
      <w:r w:rsidR="00AF5B2C">
        <w:t>the following section</w:t>
      </w:r>
      <w:r w:rsidRPr="009A2EA1">
        <w:t xml:space="preserve"> of this report), and thus ultimately the benefit/risk ratio.</w:t>
      </w:r>
    </w:p>
    <w:p w14:paraId="451B695A" w14:textId="387297A5" w:rsidR="008644EC" w:rsidRPr="009A2EA1" w:rsidRDefault="008644EC" w:rsidP="008644EC">
      <w:r w:rsidRPr="009A2EA1">
        <w:t>The study is in compliance with the TGA adopted EMA ‘Guideline on the evaluation of anticancer medicinal products in man (EMA/CHMP/205/95/Rev.4)’.</w:t>
      </w:r>
    </w:p>
    <w:p w14:paraId="761C4551" w14:textId="77777777" w:rsidR="008E7846" w:rsidRPr="009A2EA1" w:rsidRDefault="008E7846" w:rsidP="008E7846">
      <w:pPr>
        <w:pStyle w:val="Heading3"/>
      </w:pPr>
      <w:bookmarkStart w:id="66" w:name="_Toc163441378"/>
      <w:bookmarkStart w:id="67" w:name="_Toc196046495"/>
      <w:bookmarkStart w:id="68" w:name="_Toc247691522"/>
      <w:bookmarkStart w:id="69" w:name="_Toc314842505"/>
      <w:bookmarkStart w:id="70" w:name="_Toc513552853"/>
      <w:bookmarkEnd w:id="62"/>
      <w:bookmarkEnd w:id="63"/>
      <w:bookmarkEnd w:id="64"/>
      <w:bookmarkEnd w:id="65"/>
      <w:r w:rsidRPr="009A2EA1">
        <w:t>Safety</w:t>
      </w:r>
      <w:bookmarkEnd w:id="66"/>
      <w:bookmarkEnd w:id="67"/>
      <w:bookmarkEnd w:id="68"/>
      <w:bookmarkEnd w:id="69"/>
      <w:bookmarkEnd w:id="70"/>
    </w:p>
    <w:p w14:paraId="359C214C" w14:textId="77777777" w:rsidR="00605AD4" w:rsidRPr="009A2EA1" w:rsidRDefault="00605AD4" w:rsidP="00605AD4">
      <w:pPr>
        <w:pStyle w:val="Heading4"/>
      </w:pPr>
      <w:bookmarkStart w:id="71" w:name="_Toc247691524"/>
      <w:bookmarkStart w:id="72" w:name="_Toc314842508"/>
      <w:bookmarkStart w:id="73" w:name="_Toc196046504"/>
      <w:bookmarkStart w:id="74" w:name="_Toc163441390"/>
      <w:r w:rsidRPr="009A2EA1">
        <w:t>Studies providing safety data</w:t>
      </w:r>
    </w:p>
    <w:p w14:paraId="2DAF60FF" w14:textId="7C8D4CE6" w:rsidR="00045AE9" w:rsidRPr="009A2EA1" w:rsidRDefault="008644EC" w:rsidP="00045AE9">
      <w:r w:rsidRPr="009A2EA1">
        <w:t xml:space="preserve">The pivotal </w:t>
      </w:r>
      <w:r w:rsidR="00045AE9" w:rsidRPr="009A2EA1">
        <w:t xml:space="preserve">Phase III </w:t>
      </w:r>
      <w:r w:rsidRPr="009A2EA1">
        <w:t xml:space="preserve">Study BO21223 </w:t>
      </w:r>
      <w:r w:rsidR="00045AE9" w:rsidRPr="009A2EA1">
        <w:t>(</w:t>
      </w:r>
      <w:r w:rsidR="00925D02">
        <w:t>GALLIUM</w:t>
      </w:r>
      <w:r w:rsidR="00045AE9" w:rsidRPr="009A2EA1">
        <w:t>) provided safety data.</w:t>
      </w:r>
    </w:p>
    <w:p w14:paraId="1F305CA6" w14:textId="53CC0F7C" w:rsidR="008644EC" w:rsidRPr="009A2EA1" w:rsidRDefault="00045AE9" w:rsidP="008644EC">
      <w:r w:rsidRPr="009A2EA1">
        <w:t xml:space="preserve">The Phase </w:t>
      </w:r>
      <w:proofErr w:type="gramStart"/>
      <w:r w:rsidRPr="009A2EA1">
        <w:t>Ib</w:t>
      </w:r>
      <w:proofErr w:type="gramEnd"/>
      <w:r w:rsidRPr="009A2EA1">
        <w:t xml:space="preserve"> Study BO21000 (</w:t>
      </w:r>
      <w:r w:rsidR="00925D02" w:rsidRPr="009A2EA1">
        <w:t>G</w:t>
      </w:r>
      <w:r w:rsidR="00925D02">
        <w:t>AUDI</w:t>
      </w:r>
      <w:r w:rsidRPr="009A2EA1">
        <w:t xml:space="preserve">) included 81 first line FL patients; the primary objective was the safety of obinutuzumab (G) in combination with CHOP or bendamustine in this group of patients. This study has not been evaluated in detail as it was a small Phase I study compared to the large Phase III Study BO21223, comprising 1390 patients of which 698 received obinutuzumab and chemotherapy. There was no comparator in Study BO21000 whereas Study BO21223 has another CD20 antibody (rituximab) as comparator. The results from this study are not included in the </w:t>
      </w:r>
      <w:r w:rsidR="00AF5B2C">
        <w:t>PI</w:t>
      </w:r>
      <w:r w:rsidRPr="009A2EA1">
        <w:t>.</w:t>
      </w:r>
    </w:p>
    <w:p w14:paraId="41B6379A" w14:textId="77777777" w:rsidR="00605AD4" w:rsidRPr="009A2EA1" w:rsidRDefault="00605AD4" w:rsidP="00605AD4">
      <w:pPr>
        <w:pStyle w:val="Heading4"/>
      </w:pPr>
      <w:r w:rsidRPr="009A2EA1">
        <w:lastRenderedPageBreak/>
        <w:t>Patient exposure</w:t>
      </w:r>
    </w:p>
    <w:p w14:paraId="2154C14E" w14:textId="4B888DEC" w:rsidR="002F51C8" w:rsidRPr="009A2EA1" w:rsidRDefault="002F51C8" w:rsidP="002F51C8">
      <w:pPr>
        <w:pStyle w:val="Heading5"/>
      </w:pPr>
      <w:r w:rsidRPr="009A2EA1">
        <w:t>Induction phase</w:t>
      </w:r>
    </w:p>
    <w:p w14:paraId="25718F2C" w14:textId="45B6B66D" w:rsidR="00AD341B" w:rsidRPr="009A2EA1" w:rsidRDefault="00AD341B" w:rsidP="00AD341B">
      <w:r w:rsidRPr="009A2EA1">
        <w:t>The overall safety population (indolent NHL population) comprised of 1390 subjects; those treated with R-chemo: 692 (FL: 597, MZL: 93; other: 2) versus G-chemo: 698 (FL: 595; MZL: 101; other: 2).</w:t>
      </w:r>
    </w:p>
    <w:p w14:paraId="7D32EB15" w14:textId="0D8152D6" w:rsidR="00AD341B" w:rsidRPr="009A2EA1" w:rsidRDefault="00AD341B" w:rsidP="00AD341B">
      <w:pPr>
        <w:rPr>
          <w:lang w:eastAsia="ja-JP"/>
        </w:rPr>
      </w:pPr>
      <w:r w:rsidRPr="009A2EA1">
        <w:t>The FL safety population comprised was of</w:t>
      </w:r>
      <w:r w:rsidRPr="009A2EA1">
        <w:rPr>
          <w:lang w:eastAsia="ja-JP"/>
        </w:rPr>
        <w:t xml:space="preserve"> 1192 subjec</w:t>
      </w:r>
      <w:r w:rsidR="00AF5B2C">
        <w:rPr>
          <w:lang w:eastAsia="ja-JP"/>
        </w:rPr>
        <w:t>ts; those treated with R</w:t>
      </w:r>
      <w:r w:rsidR="00246CF0">
        <w:rPr>
          <w:lang w:eastAsia="ja-JP"/>
        </w:rPr>
        <w:noBreakHyphen/>
      </w:r>
      <w:r w:rsidR="00AF5B2C">
        <w:rPr>
          <w:lang w:eastAsia="ja-JP"/>
        </w:rPr>
        <w:t>chemo: </w:t>
      </w:r>
      <w:r w:rsidRPr="009A2EA1">
        <w:rPr>
          <w:lang w:eastAsia="ja-JP"/>
        </w:rPr>
        <w:t>597 versus G-chemo: 595.</w:t>
      </w:r>
    </w:p>
    <w:p w14:paraId="7654558B" w14:textId="386AB98A" w:rsidR="00AD341B" w:rsidRPr="009A2EA1" w:rsidRDefault="0000630D" w:rsidP="00AD341B">
      <w:pPr>
        <w:rPr>
          <w:lang w:eastAsia="ja-JP"/>
        </w:rPr>
      </w:pPr>
      <w:r>
        <w:rPr>
          <w:lang w:eastAsia="ja-JP"/>
        </w:rPr>
        <w:t>Table</w:t>
      </w:r>
      <w:r w:rsidR="00AD341B" w:rsidRPr="009A2EA1">
        <w:rPr>
          <w:lang w:eastAsia="ja-JP"/>
        </w:rPr>
        <w:t xml:space="preserve"> </w:t>
      </w:r>
      <w:r w:rsidR="003F5883">
        <w:rPr>
          <w:lang w:eastAsia="ja-JP"/>
        </w:rPr>
        <w:t>4</w:t>
      </w:r>
      <w:r w:rsidR="002F51C8" w:rsidRPr="009A2EA1">
        <w:rPr>
          <w:lang w:eastAsia="ja-JP"/>
        </w:rPr>
        <w:t>,</w:t>
      </w:r>
      <w:r w:rsidR="00AD341B" w:rsidRPr="009A2EA1">
        <w:rPr>
          <w:lang w:eastAsia="ja-JP"/>
        </w:rPr>
        <w:t xml:space="preserve"> shown below</w:t>
      </w:r>
      <w:r w:rsidR="002F51C8" w:rsidRPr="009A2EA1">
        <w:rPr>
          <w:lang w:eastAsia="ja-JP"/>
        </w:rPr>
        <w:t>,</w:t>
      </w:r>
      <w:r w:rsidR="00AD341B" w:rsidRPr="009A2EA1">
        <w:rPr>
          <w:lang w:eastAsia="ja-JP"/>
        </w:rPr>
        <w:t xml:space="preserve"> summarises the extent of e</w:t>
      </w:r>
      <w:r w:rsidR="002F51C8" w:rsidRPr="009A2EA1">
        <w:rPr>
          <w:lang w:eastAsia="ja-JP"/>
        </w:rPr>
        <w:t xml:space="preserve">xposure in the induction phase along with exposure to chemotherapy in the overall safety population. Table </w:t>
      </w:r>
      <w:r w:rsidR="003F5883">
        <w:rPr>
          <w:lang w:eastAsia="ja-JP"/>
        </w:rPr>
        <w:t>5</w:t>
      </w:r>
      <w:r w:rsidR="002F51C8" w:rsidRPr="009A2EA1">
        <w:rPr>
          <w:lang w:eastAsia="ja-JP"/>
        </w:rPr>
        <w:t xml:space="preserve"> gives a similar summary limited to the FL safety population.</w:t>
      </w:r>
    </w:p>
    <w:p w14:paraId="2F2646F2" w14:textId="0E3D68F6" w:rsidR="00AD341B" w:rsidRPr="009A2EA1" w:rsidRDefault="00AD341B" w:rsidP="00AD341B">
      <w:pPr>
        <w:pStyle w:val="Tabletitle0"/>
        <w:rPr>
          <w:lang w:eastAsia="ja-JP"/>
        </w:rPr>
      </w:pPr>
      <w:bookmarkStart w:id="75" w:name="_Ref478732077"/>
      <w:bookmarkStart w:id="76" w:name="_Toc481769208"/>
      <w:proofErr w:type="gramStart"/>
      <w:r w:rsidRPr="009A2EA1">
        <w:rPr>
          <w:lang w:eastAsia="ja-JP"/>
        </w:rPr>
        <w:t xml:space="preserve">Table </w:t>
      </w:r>
      <w:bookmarkEnd w:id="75"/>
      <w:r w:rsidR="003F5883">
        <w:rPr>
          <w:lang w:eastAsia="ja-JP"/>
        </w:rPr>
        <w:t>4</w:t>
      </w:r>
      <w:r w:rsidRPr="009A2EA1">
        <w:rPr>
          <w:lang w:eastAsia="ja-JP"/>
        </w:rPr>
        <w:t>.</w:t>
      </w:r>
      <w:proofErr w:type="gramEnd"/>
      <w:r w:rsidRPr="009A2EA1">
        <w:rPr>
          <w:lang w:eastAsia="ja-JP"/>
        </w:rPr>
        <w:t xml:space="preserve"> Study BO21223 summary of extent of exposure to chemotherapy during induction in patients with i</w:t>
      </w:r>
      <w:r w:rsidR="0000630D">
        <w:rPr>
          <w:lang w:eastAsia="ja-JP"/>
        </w:rPr>
        <w:t xml:space="preserve">ndolent </w:t>
      </w:r>
      <w:r w:rsidRPr="009A2EA1">
        <w:rPr>
          <w:lang w:eastAsia="ja-JP"/>
        </w:rPr>
        <w:t>NHL (Overall safety population</w:t>
      </w:r>
      <w:bookmarkEnd w:id="76"/>
      <w:r w:rsidRPr="009A2EA1">
        <w:rPr>
          <w:lang w:eastAsia="ja-JP"/>
        </w:rPr>
        <w:t>)</w:t>
      </w:r>
    </w:p>
    <w:tbl>
      <w:tblPr>
        <w:tblStyle w:val="TableTGAblue"/>
        <w:tblW w:w="0" w:type="auto"/>
        <w:tblLook w:val="04A0" w:firstRow="1" w:lastRow="0" w:firstColumn="1" w:lastColumn="0" w:noHBand="0" w:noVBand="1"/>
      </w:tblPr>
      <w:tblGrid>
        <w:gridCol w:w="2344"/>
        <w:gridCol w:w="1606"/>
        <w:gridCol w:w="1581"/>
        <w:gridCol w:w="1607"/>
        <w:gridCol w:w="1582"/>
      </w:tblGrid>
      <w:tr w:rsidR="00AD341B" w:rsidRPr="009A2EA1" w14:paraId="31E77A51" w14:textId="77777777" w:rsidTr="00D33C63">
        <w:trPr>
          <w:cnfStyle w:val="100000000000" w:firstRow="1" w:lastRow="0" w:firstColumn="0" w:lastColumn="0" w:oddVBand="0" w:evenVBand="0" w:oddHBand="0" w:evenHBand="0" w:firstRowFirstColumn="0" w:firstRowLastColumn="0" w:lastRowFirstColumn="0" w:lastRowLastColumn="0"/>
          <w:cantSplit/>
        </w:trPr>
        <w:tc>
          <w:tcPr>
            <w:tcW w:w="1848" w:type="dxa"/>
          </w:tcPr>
          <w:p w14:paraId="6A7C8A41" w14:textId="77777777" w:rsidR="00AD341B" w:rsidRPr="009A2EA1" w:rsidRDefault="00AD341B" w:rsidP="00C1003B">
            <w:pPr>
              <w:rPr>
                <w:lang w:eastAsia="ja-JP"/>
              </w:rPr>
            </w:pPr>
          </w:p>
        </w:tc>
        <w:tc>
          <w:tcPr>
            <w:tcW w:w="3696" w:type="dxa"/>
            <w:gridSpan w:val="2"/>
          </w:tcPr>
          <w:p w14:paraId="46D0BF5F" w14:textId="77777777" w:rsidR="00AD341B" w:rsidRPr="009A2EA1" w:rsidRDefault="00AD341B" w:rsidP="00C1003B">
            <w:pPr>
              <w:rPr>
                <w:lang w:eastAsia="ja-JP"/>
              </w:rPr>
            </w:pPr>
            <w:r w:rsidRPr="009A2EA1">
              <w:rPr>
                <w:lang w:eastAsia="ja-JP"/>
              </w:rPr>
              <w:t>R-chemo (n = 692)</w:t>
            </w:r>
          </w:p>
        </w:tc>
        <w:tc>
          <w:tcPr>
            <w:tcW w:w="3698" w:type="dxa"/>
            <w:gridSpan w:val="2"/>
          </w:tcPr>
          <w:p w14:paraId="514A7E98" w14:textId="77777777" w:rsidR="00AD341B" w:rsidRPr="009A2EA1" w:rsidRDefault="00AD341B" w:rsidP="00C1003B">
            <w:pPr>
              <w:rPr>
                <w:lang w:eastAsia="ja-JP"/>
              </w:rPr>
            </w:pPr>
            <w:r w:rsidRPr="009A2EA1">
              <w:rPr>
                <w:lang w:eastAsia="ja-JP"/>
              </w:rPr>
              <w:t>G-chemo (n = 698)</w:t>
            </w:r>
          </w:p>
        </w:tc>
      </w:tr>
      <w:tr w:rsidR="00AD341B" w:rsidRPr="009A2EA1" w14:paraId="4674FEF0" w14:textId="77777777" w:rsidTr="00D33C63">
        <w:trPr>
          <w:cantSplit/>
        </w:trPr>
        <w:tc>
          <w:tcPr>
            <w:tcW w:w="1848" w:type="dxa"/>
          </w:tcPr>
          <w:p w14:paraId="184C3AE3" w14:textId="77777777" w:rsidR="00AD341B" w:rsidRPr="009A2EA1" w:rsidRDefault="00AD341B" w:rsidP="00C1003B">
            <w:pPr>
              <w:rPr>
                <w:lang w:eastAsia="ja-JP"/>
              </w:rPr>
            </w:pPr>
            <w:r w:rsidRPr="009A2EA1">
              <w:rPr>
                <w:lang w:eastAsia="ja-JP"/>
              </w:rPr>
              <w:t>Chemotherapy</w:t>
            </w:r>
          </w:p>
        </w:tc>
        <w:tc>
          <w:tcPr>
            <w:tcW w:w="1848" w:type="dxa"/>
          </w:tcPr>
          <w:p w14:paraId="0D2F7B02" w14:textId="7F499DDA" w:rsidR="00AD341B" w:rsidRPr="009A2EA1" w:rsidRDefault="00AD341B" w:rsidP="00C1003B">
            <w:pPr>
              <w:rPr>
                <w:lang w:eastAsia="ja-JP"/>
              </w:rPr>
            </w:pPr>
            <w:r w:rsidRPr="009A2EA1">
              <w:rPr>
                <w:lang w:eastAsia="ja-JP"/>
              </w:rPr>
              <w:t>Median treatment duration, weeks</w:t>
            </w:r>
            <w:r w:rsidR="00C1003B">
              <w:rPr>
                <w:lang w:eastAsia="ja-JP"/>
              </w:rPr>
              <w:t xml:space="preserve"> </w:t>
            </w:r>
            <w:r w:rsidRPr="009A2EA1">
              <w:rPr>
                <w:lang w:eastAsia="ja-JP"/>
              </w:rPr>
              <w:t>(range)</w:t>
            </w:r>
          </w:p>
        </w:tc>
        <w:tc>
          <w:tcPr>
            <w:tcW w:w="1848" w:type="dxa"/>
          </w:tcPr>
          <w:p w14:paraId="718EB0C6" w14:textId="77777777" w:rsidR="00AD341B" w:rsidRPr="009A2EA1" w:rsidRDefault="00AD341B" w:rsidP="00C1003B">
            <w:pPr>
              <w:rPr>
                <w:vertAlign w:val="superscript"/>
                <w:lang w:eastAsia="ja-JP"/>
              </w:rPr>
            </w:pPr>
            <w:r w:rsidRPr="009A2EA1">
              <w:rPr>
                <w:lang w:eastAsia="ja-JP"/>
              </w:rPr>
              <w:t>Dose intensity</w:t>
            </w:r>
            <w:r w:rsidRPr="009A2EA1">
              <w:rPr>
                <w:vertAlign w:val="superscript"/>
                <w:lang w:eastAsia="ja-JP"/>
              </w:rPr>
              <w:t>1</w:t>
            </w:r>
          </w:p>
          <w:p w14:paraId="0A208CDA" w14:textId="77777777" w:rsidR="00AD341B" w:rsidRPr="009A2EA1" w:rsidRDefault="00AD341B" w:rsidP="00C1003B">
            <w:pPr>
              <w:rPr>
                <w:lang w:eastAsia="ja-JP"/>
              </w:rPr>
            </w:pPr>
            <w:r w:rsidRPr="009A2EA1">
              <w:rPr>
                <w:lang w:eastAsia="ja-JP"/>
              </w:rPr>
              <w:t>≥ 90%</w:t>
            </w:r>
          </w:p>
        </w:tc>
        <w:tc>
          <w:tcPr>
            <w:tcW w:w="1849" w:type="dxa"/>
          </w:tcPr>
          <w:p w14:paraId="23F8BBBF" w14:textId="3000F0D6" w:rsidR="00AD341B" w:rsidRPr="009A2EA1" w:rsidRDefault="00AD341B" w:rsidP="00C1003B">
            <w:pPr>
              <w:rPr>
                <w:lang w:eastAsia="ja-JP"/>
              </w:rPr>
            </w:pPr>
            <w:r w:rsidRPr="009A2EA1">
              <w:rPr>
                <w:lang w:eastAsia="ja-JP"/>
              </w:rPr>
              <w:t>Median treatment duration, weeks</w:t>
            </w:r>
            <w:r w:rsidR="00C1003B">
              <w:rPr>
                <w:lang w:eastAsia="ja-JP"/>
              </w:rPr>
              <w:t xml:space="preserve"> </w:t>
            </w:r>
            <w:r w:rsidRPr="009A2EA1">
              <w:rPr>
                <w:lang w:eastAsia="ja-JP"/>
              </w:rPr>
              <w:t>(range)</w:t>
            </w:r>
          </w:p>
        </w:tc>
        <w:tc>
          <w:tcPr>
            <w:tcW w:w="1849" w:type="dxa"/>
          </w:tcPr>
          <w:p w14:paraId="04262563" w14:textId="14C7B162" w:rsidR="00AD341B" w:rsidRPr="009A2EA1" w:rsidRDefault="0000630D" w:rsidP="00C1003B">
            <w:pPr>
              <w:rPr>
                <w:lang w:eastAsia="ja-JP"/>
              </w:rPr>
            </w:pPr>
            <w:r>
              <w:rPr>
                <w:lang w:eastAsia="ja-JP"/>
              </w:rPr>
              <w:t>Dose intensity</w:t>
            </w:r>
            <w:r>
              <w:rPr>
                <w:vertAlign w:val="superscript"/>
                <w:lang w:eastAsia="ja-JP"/>
              </w:rPr>
              <w:t>1</w:t>
            </w:r>
            <w:r w:rsidR="00C1003B">
              <w:rPr>
                <w:vertAlign w:val="superscript"/>
                <w:lang w:eastAsia="ja-JP"/>
              </w:rPr>
              <w:t xml:space="preserve"> </w:t>
            </w:r>
            <w:r w:rsidR="00AD341B" w:rsidRPr="009A2EA1">
              <w:rPr>
                <w:lang w:eastAsia="ja-JP"/>
              </w:rPr>
              <w:t>≥ 90%</w:t>
            </w:r>
          </w:p>
        </w:tc>
      </w:tr>
      <w:tr w:rsidR="00AD341B" w:rsidRPr="009A2EA1" w14:paraId="66FA795C" w14:textId="77777777" w:rsidTr="00AD341B">
        <w:tc>
          <w:tcPr>
            <w:tcW w:w="1848" w:type="dxa"/>
          </w:tcPr>
          <w:p w14:paraId="11650AF7" w14:textId="77777777" w:rsidR="00AD341B" w:rsidRPr="009A2EA1" w:rsidRDefault="00AD341B" w:rsidP="00C1003B">
            <w:pPr>
              <w:rPr>
                <w:lang w:eastAsia="ja-JP"/>
              </w:rPr>
            </w:pPr>
            <w:r w:rsidRPr="009A2EA1">
              <w:rPr>
                <w:lang w:eastAsia="ja-JP"/>
              </w:rPr>
              <w:t>Bendamustine</w:t>
            </w:r>
          </w:p>
        </w:tc>
        <w:tc>
          <w:tcPr>
            <w:tcW w:w="1848" w:type="dxa"/>
          </w:tcPr>
          <w:p w14:paraId="6C626E09" w14:textId="376123A0" w:rsidR="00AD341B" w:rsidRPr="009A2EA1" w:rsidRDefault="00AD341B" w:rsidP="00C1003B">
            <w:pPr>
              <w:rPr>
                <w:lang w:eastAsia="ja-JP"/>
              </w:rPr>
            </w:pPr>
            <w:r w:rsidRPr="009A2EA1">
              <w:rPr>
                <w:lang w:eastAsia="ja-JP"/>
              </w:rPr>
              <w:t>24.29</w:t>
            </w:r>
          </w:p>
          <w:p w14:paraId="172433FA" w14:textId="77777777" w:rsidR="00AD341B" w:rsidRPr="009A2EA1" w:rsidRDefault="00AD341B" w:rsidP="00C1003B">
            <w:pPr>
              <w:rPr>
                <w:lang w:eastAsia="ja-JP"/>
              </w:rPr>
            </w:pPr>
            <w:r w:rsidRPr="009A2EA1">
              <w:rPr>
                <w:lang w:eastAsia="ja-JP"/>
              </w:rPr>
              <w:t>(3.9, 30.0)</w:t>
            </w:r>
          </w:p>
        </w:tc>
        <w:tc>
          <w:tcPr>
            <w:tcW w:w="1848" w:type="dxa"/>
          </w:tcPr>
          <w:p w14:paraId="62EAB617" w14:textId="77777777" w:rsidR="00AD341B" w:rsidRPr="009A2EA1" w:rsidRDefault="00AD341B" w:rsidP="00C1003B">
            <w:pPr>
              <w:rPr>
                <w:lang w:eastAsia="ja-JP"/>
              </w:rPr>
            </w:pPr>
            <w:r w:rsidRPr="009A2EA1">
              <w:rPr>
                <w:lang w:eastAsia="ja-JP"/>
              </w:rPr>
              <w:t>89.6</w:t>
            </w:r>
          </w:p>
        </w:tc>
        <w:tc>
          <w:tcPr>
            <w:tcW w:w="1849" w:type="dxa"/>
          </w:tcPr>
          <w:p w14:paraId="61587A01" w14:textId="77777777" w:rsidR="00AD341B" w:rsidRPr="009A2EA1" w:rsidRDefault="00AD341B" w:rsidP="00C1003B">
            <w:pPr>
              <w:rPr>
                <w:lang w:eastAsia="ja-JP"/>
              </w:rPr>
            </w:pPr>
            <w:r w:rsidRPr="009A2EA1">
              <w:rPr>
                <w:lang w:eastAsia="ja-JP"/>
              </w:rPr>
              <w:t>24.29</w:t>
            </w:r>
          </w:p>
          <w:p w14:paraId="1A4D568D" w14:textId="77777777" w:rsidR="00AD341B" w:rsidRPr="009A2EA1" w:rsidRDefault="00AD341B" w:rsidP="00C1003B">
            <w:pPr>
              <w:rPr>
                <w:lang w:eastAsia="ja-JP"/>
              </w:rPr>
            </w:pPr>
            <w:r w:rsidRPr="009A2EA1">
              <w:rPr>
                <w:lang w:eastAsia="ja-JP"/>
              </w:rPr>
              <w:t>(3.9, 31.9)</w:t>
            </w:r>
          </w:p>
        </w:tc>
        <w:tc>
          <w:tcPr>
            <w:tcW w:w="1849" w:type="dxa"/>
          </w:tcPr>
          <w:p w14:paraId="23FE1F10" w14:textId="77777777" w:rsidR="00AD341B" w:rsidRPr="009A2EA1" w:rsidRDefault="00AD341B" w:rsidP="00C1003B">
            <w:pPr>
              <w:rPr>
                <w:lang w:eastAsia="ja-JP"/>
              </w:rPr>
            </w:pPr>
            <w:r w:rsidRPr="009A2EA1">
              <w:rPr>
                <w:lang w:eastAsia="ja-JP"/>
              </w:rPr>
              <w:t>87.7</w:t>
            </w:r>
          </w:p>
        </w:tc>
      </w:tr>
      <w:tr w:rsidR="00AD341B" w:rsidRPr="009A2EA1" w14:paraId="6B2FD8B9" w14:textId="77777777" w:rsidTr="00AD341B">
        <w:tc>
          <w:tcPr>
            <w:tcW w:w="1848" w:type="dxa"/>
          </w:tcPr>
          <w:p w14:paraId="320EA261" w14:textId="77777777" w:rsidR="00AD341B" w:rsidRPr="009A2EA1" w:rsidRDefault="00AD341B" w:rsidP="00C1003B">
            <w:pPr>
              <w:rPr>
                <w:lang w:eastAsia="ja-JP"/>
              </w:rPr>
            </w:pPr>
            <w:r w:rsidRPr="009A2EA1">
              <w:rPr>
                <w:lang w:eastAsia="ja-JP"/>
              </w:rPr>
              <w:t>Cyclophosphamide</w:t>
            </w:r>
          </w:p>
        </w:tc>
        <w:tc>
          <w:tcPr>
            <w:tcW w:w="1848" w:type="dxa"/>
          </w:tcPr>
          <w:p w14:paraId="7678228D" w14:textId="77777777" w:rsidR="00AD341B" w:rsidRPr="009A2EA1" w:rsidRDefault="00AD341B" w:rsidP="00C1003B">
            <w:pPr>
              <w:rPr>
                <w:lang w:eastAsia="ja-JP"/>
              </w:rPr>
            </w:pPr>
            <w:r w:rsidRPr="009A2EA1">
              <w:rPr>
                <w:lang w:eastAsia="ja-JP"/>
              </w:rPr>
              <w:t>19.29</w:t>
            </w:r>
          </w:p>
          <w:p w14:paraId="79D267B7" w14:textId="77777777" w:rsidR="00AD341B" w:rsidRPr="009A2EA1" w:rsidRDefault="00AD341B" w:rsidP="00C1003B">
            <w:pPr>
              <w:rPr>
                <w:lang w:eastAsia="ja-JP"/>
              </w:rPr>
            </w:pPr>
            <w:r w:rsidRPr="009A2EA1">
              <w:rPr>
                <w:lang w:eastAsia="ja-JP"/>
              </w:rPr>
              <w:t>(2.6, 28.3)</w:t>
            </w:r>
          </w:p>
        </w:tc>
        <w:tc>
          <w:tcPr>
            <w:tcW w:w="1848" w:type="dxa"/>
          </w:tcPr>
          <w:p w14:paraId="17E1D849" w14:textId="77777777" w:rsidR="00AD341B" w:rsidRPr="009A2EA1" w:rsidRDefault="00AD341B" w:rsidP="00C1003B">
            <w:pPr>
              <w:rPr>
                <w:lang w:eastAsia="ja-JP"/>
              </w:rPr>
            </w:pPr>
            <w:r w:rsidRPr="009A2EA1">
              <w:rPr>
                <w:lang w:eastAsia="ja-JP"/>
              </w:rPr>
              <w:t>95.8</w:t>
            </w:r>
          </w:p>
        </w:tc>
        <w:tc>
          <w:tcPr>
            <w:tcW w:w="1849" w:type="dxa"/>
          </w:tcPr>
          <w:p w14:paraId="4E332549" w14:textId="77777777" w:rsidR="00AD341B" w:rsidRPr="009A2EA1" w:rsidRDefault="00AD341B" w:rsidP="00C1003B">
            <w:pPr>
              <w:rPr>
                <w:lang w:eastAsia="ja-JP"/>
              </w:rPr>
            </w:pPr>
            <w:r w:rsidRPr="009A2EA1">
              <w:rPr>
                <w:lang w:eastAsia="ja-JP"/>
              </w:rPr>
              <w:t>20.14</w:t>
            </w:r>
          </w:p>
          <w:p w14:paraId="1B2A4746" w14:textId="77777777" w:rsidR="00AD341B" w:rsidRPr="009A2EA1" w:rsidRDefault="00AD341B" w:rsidP="00C1003B">
            <w:pPr>
              <w:rPr>
                <w:lang w:eastAsia="ja-JP"/>
              </w:rPr>
            </w:pPr>
            <w:r w:rsidRPr="009A2EA1">
              <w:rPr>
                <w:lang w:eastAsia="ja-JP"/>
              </w:rPr>
              <w:t>(3.1, 32.3)</w:t>
            </w:r>
          </w:p>
        </w:tc>
        <w:tc>
          <w:tcPr>
            <w:tcW w:w="1849" w:type="dxa"/>
          </w:tcPr>
          <w:p w14:paraId="3FFD1588" w14:textId="77777777" w:rsidR="00AD341B" w:rsidRPr="009A2EA1" w:rsidRDefault="00AD341B" w:rsidP="00C1003B">
            <w:pPr>
              <w:rPr>
                <w:lang w:eastAsia="ja-JP"/>
              </w:rPr>
            </w:pPr>
            <w:r w:rsidRPr="009A2EA1">
              <w:rPr>
                <w:lang w:eastAsia="ja-JP"/>
              </w:rPr>
              <w:t>89.7</w:t>
            </w:r>
          </w:p>
        </w:tc>
      </w:tr>
      <w:tr w:rsidR="00AD341B" w:rsidRPr="009A2EA1" w14:paraId="6DE6FFB3" w14:textId="77777777" w:rsidTr="00AD341B">
        <w:tc>
          <w:tcPr>
            <w:tcW w:w="1848" w:type="dxa"/>
          </w:tcPr>
          <w:p w14:paraId="259A14A4" w14:textId="77777777" w:rsidR="00AD341B" w:rsidRPr="009A2EA1" w:rsidRDefault="00AD341B" w:rsidP="00C1003B">
            <w:pPr>
              <w:rPr>
                <w:lang w:eastAsia="ja-JP"/>
              </w:rPr>
            </w:pPr>
            <w:r w:rsidRPr="009A2EA1">
              <w:rPr>
                <w:lang w:eastAsia="ja-JP"/>
              </w:rPr>
              <w:t>Doxorubicin</w:t>
            </w:r>
          </w:p>
        </w:tc>
        <w:tc>
          <w:tcPr>
            <w:tcW w:w="1848" w:type="dxa"/>
          </w:tcPr>
          <w:p w14:paraId="23168C8E" w14:textId="77777777" w:rsidR="00AD341B" w:rsidRPr="009A2EA1" w:rsidRDefault="00AD341B" w:rsidP="00C1003B">
            <w:pPr>
              <w:rPr>
                <w:lang w:eastAsia="ja-JP"/>
              </w:rPr>
            </w:pPr>
            <w:r w:rsidRPr="009A2EA1">
              <w:rPr>
                <w:lang w:eastAsia="ja-JP"/>
              </w:rPr>
              <w:t>19.14</w:t>
            </w:r>
          </w:p>
          <w:p w14:paraId="331AE72C" w14:textId="77777777" w:rsidR="00AD341B" w:rsidRPr="009A2EA1" w:rsidRDefault="00AD341B" w:rsidP="00C1003B">
            <w:pPr>
              <w:rPr>
                <w:lang w:eastAsia="ja-JP"/>
              </w:rPr>
            </w:pPr>
            <w:r w:rsidRPr="009A2EA1">
              <w:rPr>
                <w:lang w:eastAsia="ja-JP"/>
              </w:rPr>
              <w:t>(4.1, 27.1)</w:t>
            </w:r>
          </w:p>
        </w:tc>
        <w:tc>
          <w:tcPr>
            <w:tcW w:w="1848" w:type="dxa"/>
          </w:tcPr>
          <w:p w14:paraId="2A2356AE" w14:textId="77777777" w:rsidR="00AD341B" w:rsidRPr="009A2EA1" w:rsidRDefault="00AD341B" w:rsidP="00C1003B">
            <w:pPr>
              <w:rPr>
                <w:lang w:eastAsia="ja-JP"/>
              </w:rPr>
            </w:pPr>
            <w:r w:rsidRPr="009A2EA1">
              <w:rPr>
                <w:lang w:eastAsia="ja-JP"/>
              </w:rPr>
              <w:t>95.5</w:t>
            </w:r>
          </w:p>
        </w:tc>
        <w:tc>
          <w:tcPr>
            <w:tcW w:w="1849" w:type="dxa"/>
          </w:tcPr>
          <w:p w14:paraId="28C126EE" w14:textId="77777777" w:rsidR="00AD341B" w:rsidRPr="009A2EA1" w:rsidRDefault="00AD341B" w:rsidP="00C1003B">
            <w:pPr>
              <w:rPr>
                <w:lang w:eastAsia="ja-JP"/>
              </w:rPr>
            </w:pPr>
            <w:r w:rsidRPr="009A2EA1">
              <w:rPr>
                <w:lang w:eastAsia="ja-JP"/>
              </w:rPr>
              <w:t>19.86</w:t>
            </w:r>
          </w:p>
          <w:p w14:paraId="14FF4A83" w14:textId="77777777" w:rsidR="00AD341B" w:rsidRPr="009A2EA1" w:rsidRDefault="00AD341B" w:rsidP="00C1003B">
            <w:pPr>
              <w:rPr>
                <w:lang w:eastAsia="ja-JP"/>
              </w:rPr>
            </w:pPr>
            <w:r w:rsidRPr="009A2EA1">
              <w:rPr>
                <w:lang w:eastAsia="ja-JP"/>
              </w:rPr>
              <w:t>(3.1, 27.1)</w:t>
            </w:r>
          </w:p>
        </w:tc>
        <w:tc>
          <w:tcPr>
            <w:tcW w:w="1849" w:type="dxa"/>
          </w:tcPr>
          <w:p w14:paraId="20DA3319" w14:textId="77777777" w:rsidR="00AD341B" w:rsidRPr="009A2EA1" w:rsidRDefault="00AD341B" w:rsidP="00C1003B">
            <w:pPr>
              <w:rPr>
                <w:lang w:eastAsia="ja-JP"/>
              </w:rPr>
            </w:pPr>
            <w:r w:rsidRPr="009A2EA1">
              <w:rPr>
                <w:lang w:eastAsia="ja-JP"/>
              </w:rPr>
              <w:t>89.4</w:t>
            </w:r>
          </w:p>
        </w:tc>
      </w:tr>
      <w:tr w:rsidR="00AD341B" w:rsidRPr="009A2EA1" w14:paraId="5D98A984" w14:textId="77777777" w:rsidTr="00AD341B">
        <w:tc>
          <w:tcPr>
            <w:tcW w:w="1848" w:type="dxa"/>
          </w:tcPr>
          <w:p w14:paraId="51EC6A04" w14:textId="77777777" w:rsidR="00AD341B" w:rsidRPr="009A2EA1" w:rsidRDefault="00AD341B" w:rsidP="00C1003B">
            <w:pPr>
              <w:rPr>
                <w:lang w:eastAsia="ja-JP"/>
              </w:rPr>
            </w:pPr>
            <w:r w:rsidRPr="009A2EA1">
              <w:rPr>
                <w:lang w:eastAsia="ja-JP"/>
              </w:rPr>
              <w:t>Prednisone</w:t>
            </w:r>
          </w:p>
        </w:tc>
        <w:tc>
          <w:tcPr>
            <w:tcW w:w="1848" w:type="dxa"/>
          </w:tcPr>
          <w:p w14:paraId="75ABFC2F" w14:textId="77777777" w:rsidR="00AD341B" w:rsidRPr="009A2EA1" w:rsidRDefault="00AD341B" w:rsidP="00C1003B">
            <w:pPr>
              <w:rPr>
                <w:lang w:eastAsia="ja-JP"/>
              </w:rPr>
            </w:pPr>
            <w:r w:rsidRPr="009A2EA1">
              <w:rPr>
                <w:lang w:eastAsia="ja-JP"/>
              </w:rPr>
              <w:t>19.86</w:t>
            </w:r>
          </w:p>
          <w:p w14:paraId="61F68405" w14:textId="77777777" w:rsidR="00AD341B" w:rsidRPr="009A2EA1" w:rsidRDefault="00AD341B" w:rsidP="00C1003B">
            <w:pPr>
              <w:rPr>
                <w:lang w:eastAsia="ja-JP"/>
              </w:rPr>
            </w:pPr>
            <w:r w:rsidRPr="009A2EA1">
              <w:rPr>
                <w:lang w:eastAsia="ja-JP"/>
              </w:rPr>
              <w:t>(1.3, 28.9)</w:t>
            </w:r>
          </w:p>
        </w:tc>
        <w:tc>
          <w:tcPr>
            <w:tcW w:w="1848" w:type="dxa"/>
          </w:tcPr>
          <w:p w14:paraId="493391DA" w14:textId="77777777" w:rsidR="00AD341B" w:rsidRPr="009A2EA1" w:rsidRDefault="00AD341B" w:rsidP="00C1003B">
            <w:pPr>
              <w:rPr>
                <w:lang w:eastAsia="ja-JP"/>
              </w:rPr>
            </w:pPr>
            <w:r w:rsidRPr="009A2EA1">
              <w:rPr>
                <w:lang w:eastAsia="ja-JP"/>
              </w:rPr>
              <w:t>93.8</w:t>
            </w:r>
          </w:p>
        </w:tc>
        <w:tc>
          <w:tcPr>
            <w:tcW w:w="1849" w:type="dxa"/>
          </w:tcPr>
          <w:p w14:paraId="5A6F3076" w14:textId="77777777" w:rsidR="00AD341B" w:rsidRPr="009A2EA1" w:rsidRDefault="00AD341B" w:rsidP="00C1003B">
            <w:pPr>
              <w:rPr>
                <w:lang w:eastAsia="ja-JP"/>
              </w:rPr>
            </w:pPr>
            <w:r w:rsidRPr="009A2EA1">
              <w:rPr>
                <w:lang w:eastAsia="ja-JP"/>
              </w:rPr>
              <w:t>20.86</w:t>
            </w:r>
          </w:p>
          <w:p w14:paraId="76A2F7A7" w14:textId="77777777" w:rsidR="00AD341B" w:rsidRPr="009A2EA1" w:rsidRDefault="00AD341B" w:rsidP="00C1003B">
            <w:pPr>
              <w:rPr>
                <w:lang w:eastAsia="ja-JP"/>
              </w:rPr>
            </w:pPr>
            <w:r w:rsidRPr="009A2EA1">
              <w:rPr>
                <w:lang w:eastAsia="ja-JP"/>
              </w:rPr>
              <w:t>(3.1, 32.9)</w:t>
            </w:r>
          </w:p>
        </w:tc>
        <w:tc>
          <w:tcPr>
            <w:tcW w:w="1849" w:type="dxa"/>
          </w:tcPr>
          <w:p w14:paraId="6503CB3C" w14:textId="77777777" w:rsidR="00AD341B" w:rsidRPr="009A2EA1" w:rsidRDefault="00AD341B" w:rsidP="00C1003B">
            <w:pPr>
              <w:rPr>
                <w:lang w:eastAsia="ja-JP"/>
              </w:rPr>
            </w:pPr>
            <w:r w:rsidRPr="009A2EA1">
              <w:rPr>
                <w:lang w:eastAsia="ja-JP"/>
              </w:rPr>
              <w:t>94.7</w:t>
            </w:r>
          </w:p>
        </w:tc>
      </w:tr>
      <w:tr w:rsidR="00AD341B" w:rsidRPr="009A2EA1" w14:paraId="24848E32" w14:textId="77777777" w:rsidTr="00AD341B">
        <w:tc>
          <w:tcPr>
            <w:tcW w:w="1848" w:type="dxa"/>
          </w:tcPr>
          <w:p w14:paraId="44AC1C4C" w14:textId="77777777" w:rsidR="00AD341B" w:rsidRPr="009A2EA1" w:rsidRDefault="00AD341B" w:rsidP="00C1003B">
            <w:pPr>
              <w:rPr>
                <w:lang w:eastAsia="ja-JP"/>
              </w:rPr>
            </w:pPr>
            <w:r w:rsidRPr="009A2EA1">
              <w:rPr>
                <w:lang w:eastAsia="ja-JP"/>
              </w:rPr>
              <w:t>Vincristine</w:t>
            </w:r>
          </w:p>
        </w:tc>
        <w:tc>
          <w:tcPr>
            <w:tcW w:w="1848" w:type="dxa"/>
          </w:tcPr>
          <w:p w14:paraId="19C6664E" w14:textId="77777777" w:rsidR="00AD341B" w:rsidRPr="009A2EA1" w:rsidRDefault="00AD341B" w:rsidP="00C1003B">
            <w:pPr>
              <w:rPr>
                <w:lang w:eastAsia="ja-JP"/>
              </w:rPr>
            </w:pPr>
            <w:r w:rsidRPr="009A2EA1">
              <w:rPr>
                <w:lang w:eastAsia="ja-JP"/>
              </w:rPr>
              <w:t>19.29</w:t>
            </w:r>
          </w:p>
          <w:p w14:paraId="6B4F77E1" w14:textId="77777777" w:rsidR="00AD341B" w:rsidRPr="009A2EA1" w:rsidRDefault="00AD341B" w:rsidP="00C1003B">
            <w:pPr>
              <w:rPr>
                <w:lang w:eastAsia="ja-JP"/>
              </w:rPr>
            </w:pPr>
            <w:r w:rsidRPr="009A2EA1">
              <w:rPr>
                <w:lang w:eastAsia="ja-JP"/>
              </w:rPr>
              <w:t>(2.6, 28.1)</w:t>
            </w:r>
          </w:p>
        </w:tc>
        <w:tc>
          <w:tcPr>
            <w:tcW w:w="1848" w:type="dxa"/>
          </w:tcPr>
          <w:p w14:paraId="62B6DFC2" w14:textId="77777777" w:rsidR="00AD341B" w:rsidRPr="009A2EA1" w:rsidRDefault="00AD341B" w:rsidP="00C1003B">
            <w:pPr>
              <w:rPr>
                <w:lang w:eastAsia="ja-JP"/>
              </w:rPr>
            </w:pPr>
            <w:r w:rsidRPr="009A2EA1">
              <w:rPr>
                <w:lang w:eastAsia="ja-JP"/>
              </w:rPr>
              <w:t>83.0</w:t>
            </w:r>
          </w:p>
        </w:tc>
        <w:tc>
          <w:tcPr>
            <w:tcW w:w="1849" w:type="dxa"/>
          </w:tcPr>
          <w:p w14:paraId="1CB2FA68" w14:textId="77777777" w:rsidR="00AD341B" w:rsidRPr="009A2EA1" w:rsidRDefault="00AD341B" w:rsidP="00C1003B">
            <w:pPr>
              <w:rPr>
                <w:lang w:eastAsia="ja-JP"/>
              </w:rPr>
            </w:pPr>
            <w:r w:rsidRPr="009A2EA1">
              <w:rPr>
                <w:lang w:eastAsia="ja-JP"/>
              </w:rPr>
              <w:t>20.14</w:t>
            </w:r>
          </w:p>
          <w:p w14:paraId="193D34F6" w14:textId="77777777" w:rsidR="00AD341B" w:rsidRPr="009A2EA1" w:rsidRDefault="00AD341B" w:rsidP="00C1003B">
            <w:pPr>
              <w:rPr>
                <w:lang w:eastAsia="ja-JP"/>
              </w:rPr>
            </w:pPr>
            <w:r w:rsidRPr="009A2EA1">
              <w:rPr>
                <w:lang w:eastAsia="ja-JP"/>
              </w:rPr>
              <w:t>(3.1, 32.3)</w:t>
            </w:r>
          </w:p>
        </w:tc>
        <w:tc>
          <w:tcPr>
            <w:tcW w:w="1849" w:type="dxa"/>
          </w:tcPr>
          <w:p w14:paraId="5C25784A" w14:textId="77777777" w:rsidR="00AD341B" w:rsidRPr="009A2EA1" w:rsidRDefault="00AD341B" w:rsidP="00C1003B">
            <w:pPr>
              <w:rPr>
                <w:lang w:eastAsia="ja-JP"/>
              </w:rPr>
            </w:pPr>
            <w:r w:rsidRPr="009A2EA1">
              <w:rPr>
                <w:lang w:eastAsia="ja-JP"/>
              </w:rPr>
              <w:t>79.7</w:t>
            </w:r>
          </w:p>
        </w:tc>
      </w:tr>
    </w:tbl>
    <w:p w14:paraId="0C4FC971" w14:textId="77777777" w:rsidR="00AD341B" w:rsidRPr="009A2EA1" w:rsidRDefault="00AD341B" w:rsidP="0000630D">
      <w:pPr>
        <w:pStyle w:val="TableDescription"/>
        <w:rPr>
          <w:lang w:eastAsia="ja-JP"/>
        </w:rPr>
      </w:pPr>
      <w:r w:rsidRPr="009A2EA1">
        <w:rPr>
          <w:lang w:eastAsia="ja-JP"/>
        </w:rPr>
        <w:t>1) Defined as total cumulative dose actually received/total planned dose x 100%.</w:t>
      </w:r>
    </w:p>
    <w:p w14:paraId="6BEFAD25" w14:textId="79D46BBD" w:rsidR="00AD341B" w:rsidRPr="009A2EA1" w:rsidRDefault="00AD341B" w:rsidP="00AD341B">
      <w:pPr>
        <w:pStyle w:val="Tabletitle0"/>
        <w:rPr>
          <w:lang w:eastAsia="ja-JP"/>
        </w:rPr>
      </w:pPr>
      <w:bookmarkStart w:id="77" w:name="_Ref478731994"/>
      <w:bookmarkStart w:id="78" w:name="_Toc481769209"/>
      <w:proofErr w:type="gramStart"/>
      <w:r w:rsidRPr="009A2EA1">
        <w:rPr>
          <w:lang w:eastAsia="ja-JP"/>
        </w:rPr>
        <w:lastRenderedPageBreak/>
        <w:t>Table</w:t>
      </w:r>
      <w:bookmarkEnd w:id="77"/>
      <w:r w:rsidR="003F5883">
        <w:rPr>
          <w:lang w:eastAsia="ja-JP"/>
        </w:rPr>
        <w:t xml:space="preserve"> 5</w:t>
      </w:r>
      <w:r w:rsidRPr="009A2EA1">
        <w:rPr>
          <w:lang w:eastAsia="ja-JP"/>
        </w:rPr>
        <w:t>.</w:t>
      </w:r>
      <w:proofErr w:type="gramEnd"/>
      <w:r w:rsidRPr="009A2EA1">
        <w:rPr>
          <w:lang w:eastAsia="ja-JP"/>
        </w:rPr>
        <w:t xml:space="preserve"> Study BO21223 summary of extent of exposure to chemotherapy during induction in patients with follicular lymphoma (FL safety population)</w:t>
      </w:r>
      <w:bookmarkEnd w:id="78"/>
    </w:p>
    <w:p w14:paraId="64D24E03" w14:textId="77777777" w:rsidR="00AD341B" w:rsidRPr="009A2EA1" w:rsidRDefault="00AD341B" w:rsidP="00AD341B">
      <w:pPr>
        <w:rPr>
          <w:lang w:eastAsia="ja-JP"/>
        </w:rPr>
      </w:pPr>
      <w:r w:rsidRPr="009A2EA1">
        <w:rPr>
          <w:noProof/>
          <w:lang w:eastAsia="en-AU"/>
        </w:rPr>
        <w:drawing>
          <wp:inline distT="0" distB="0" distL="0" distR="0" wp14:anchorId="7307C6BE" wp14:editId="3A8A9F3C">
            <wp:extent cx="5731510" cy="2706546"/>
            <wp:effectExtent l="0" t="0" r="2540" b="0"/>
            <wp:docPr id="127" name="Picture 127" descr="Study BO21223 summary of extent of exposure to chemotherapy during induction in patients with follicular lymphoma (F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2706546"/>
                    </a:xfrm>
                    <a:prstGeom prst="rect">
                      <a:avLst/>
                    </a:prstGeom>
                  </pic:spPr>
                </pic:pic>
              </a:graphicData>
            </a:graphic>
          </wp:inline>
        </w:drawing>
      </w:r>
    </w:p>
    <w:p w14:paraId="1A7E4015" w14:textId="408C6229" w:rsidR="00AD341B" w:rsidRPr="009A2EA1" w:rsidRDefault="002F51C8" w:rsidP="002F51C8">
      <w:pPr>
        <w:pStyle w:val="Heading5"/>
      </w:pPr>
      <w:r w:rsidRPr="009A2EA1">
        <w:t>Maintenance phase</w:t>
      </w:r>
    </w:p>
    <w:p w14:paraId="63FDCFFA" w14:textId="2564A34E" w:rsidR="00856F63" w:rsidRPr="009A2EA1" w:rsidRDefault="002F51C8" w:rsidP="00856F63">
      <w:pPr>
        <w:rPr>
          <w:lang w:eastAsia="ja-JP"/>
        </w:rPr>
      </w:pPr>
      <w:r w:rsidRPr="009A2EA1">
        <w:t>For the</w:t>
      </w:r>
      <w:r w:rsidR="00856F63" w:rsidRPr="009A2EA1">
        <w:t xml:space="preserve"> overall population,</w:t>
      </w:r>
      <w:r w:rsidRPr="009A2EA1">
        <w:t xml:space="preserve"> </w:t>
      </w:r>
      <w:r w:rsidR="00856F63" w:rsidRPr="009A2EA1">
        <w:rPr>
          <w:lang w:eastAsia="ja-JP"/>
        </w:rPr>
        <w:t>60</w:t>
      </w:r>
      <w:r w:rsidR="004A5C53">
        <w:rPr>
          <w:lang w:eastAsia="ja-JP"/>
        </w:rPr>
        <w:t>9</w:t>
      </w:r>
      <w:r w:rsidR="00856F63" w:rsidRPr="009A2EA1">
        <w:rPr>
          <w:lang w:eastAsia="ja-JP"/>
        </w:rPr>
        <w:t xml:space="preserve"> patients in the R-chemo arm and 62</w:t>
      </w:r>
      <w:r w:rsidR="0013007F">
        <w:rPr>
          <w:lang w:eastAsia="ja-JP"/>
        </w:rPr>
        <w:t>4</w:t>
      </w:r>
      <w:r w:rsidR="00856F63" w:rsidRPr="009A2EA1">
        <w:rPr>
          <w:lang w:eastAsia="ja-JP"/>
        </w:rPr>
        <w:t xml:space="preserve"> patients in the G</w:t>
      </w:r>
      <w:r w:rsidR="005E1E9B">
        <w:rPr>
          <w:lang w:eastAsia="ja-JP"/>
        </w:rPr>
        <w:noBreakHyphen/>
      </w:r>
      <w:r w:rsidR="00856F63" w:rsidRPr="009A2EA1">
        <w:rPr>
          <w:lang w:eastAsia="ja-JP"/>
        </w:rPr>
        <w:t>chemo arm received maintenance treatment. In the R-chemo arm 99.0% received ≥</w:t>
      </w:r>
      <w:r w:rsidR="005E1E9B">
        <w:rPr>
          <w:lang w:eastAsia="ja-JP"/>
        </w:rPr>
        <w:t> </w:t>
      </w:r>
      <w:r w:rsidR="00856F63" w:rsidRPr="009A2EA1">
        <w:rPr>
          <w:lang w:eastAsia="ja-JP"/>
        </w:rPr>
        <w:t>90% of the cumulative maintenance dose compared to 99.8% of patients in the G-chemo arm.</w:t>
      </w:r>
    </w:p>
    <w:p w14:paraId="3256617B" w14:textId="79DD2697" w:rsidR="002F51C8" w:rsidRPr="009A2EA1" w:rsidRDefault="00856F63" w:rsidP="002F51C8">
      <w:pPr>
        <w:rPr>
          <w:lang w:eastAsia="ja-JP"/>
        </w:rPr>
      </w:pPr>
      <w:r w:rsidRPr="009A2EA1">
        <w:t xml:space="preserve">For the FL safety population, </w:t>
      </w:r>
      <w:r w:rsidRPr="009A2EA1">
        <w:rPr>
          <w:lang w:eastAsia="ja-JP"/>
        </w:rPr>
        <w:t>526 patients in the R-chemo arm and 540 patients in the G</w:t>
      </w:r>
      <w:r w:rsidR="005E1E9B">
        <w:rPr>
          <w:lang w:eastAsia="ja-JP"/>
        </w:rPr>
        <w:noBreakHyphen/>
      </w:r>
      <w:r w:rsidRPr="009A2EA1">
        <w:rPr>
          <w:lang w:eastAsia="ja-JP"/>
        </w:rPr>
        <w:t xml:space="preserve">chemo arm received maintenance treatment. At the time of the clinical </w:t>
      </w:r>
      <w:proofErr w:type="spellStart"/>
      <w:r w:rsidRPr="009A2EA1">
        <w:rPr>
          <w:lang w:eastAsia="ja-JP"/>
        </w:rPr>
        <w:t>cut</w:t>
      </w:r>
      <w:r w:rsidR="005E1E9B">
        <w:rPr>
          <w:lang w:eastAsia="ja-JP"/>
        </w:rPr>
        <w:t xml:space="preserve"> </w:t>
      </w:r>
      <w:r w:rsidRPr="009A2EA1">
        <w:rPr>
          <w:lang w:eastAsia="ja-JP"/>
        </w:rPr>
        <w:t>off</w:t>
      </w:r>
      <w:proofErr w:type="spellEnd"/>
      <w:r w:rsidRPr="009A2EA1">
        <w:rPr>
          <w:lang w:eastAsia="ja-JP"/>
        </w:rPr>
        <w:t xml:space="preserve"> date, 114</w:t>
      </w:r>
      <w:r w:rsidR="005E1E9B">
        <w:rPr>
          <w:lang w:eastAsia="ja-JP"/>
        </w:rPr>
        <w:t> </w:t>
      </w:r>
      <w:r w:rsidRPr="009A2EA1">
        <w:rPr>
          <w:lang w:eastAsia="ja-JP"/>
        </w:rPr>
        <w:t>patients with FL were still ongoing with maintenance treatment. In the R-chemo arm 99.2% received ≥ 90% of the cumulative maintenance dose compared to 99.8% of patients in the G-chemo arm.</w:t>
      </w:r>
    </w:p>
    <w:p w14:paraId="067FE45E" w14:textId="77777777" w:rsidR="00605AD4" w:rsidRPr="009A2EA1" w:rsidRDefault="00605AD4" w:rsidP="00605AD4">
      <w:pPr>
        <w:pStyle w:val="Heading4"/>
      </w:pPr>
      <w:r w:rsidRPr="009A2EA1">
        <w:t>Safety issues with the potential for major regulatory impact</w:t>
      </w:r>
    </w:p>
    <w:p w14:paraId="4D969246" w14:textId="24766CE2" w:rsidR="00632B98" w:rsidRPr="009A2EA1" w:rsidRDefault="00632B98" w:rsidP="00632B98">
      <w:pPr>
        <w:pStyle w:val="Heading5"/>
      </w:pPr>
      <w:r w:rsidRPr="009A2EA1">
        <w:t>Renal function and toxicity</w:t>
      </w:r>
    </w:p>
    <w:p w14:paraId="47FD9D62" w14:textId="341E6638" w:rsidR="00632B98" w:rsidRPr="009A2EA1" w:rsidRDefault="00632B98" w:rsidP="00632B98">
      <w:pPr>
        <w:rPr>
          <w:lang w:eastAsia="ja-JP"/>
        </w:rPr>
      </w:pPr>
      <w:r w:rsidRPr="009A2EA1">
        <w:rPr>
          <w:lang w:eastAsia="ja-JP"/>
        </w:rPr>
        <w:t xml:space="preserve">The 2 arms were comparable with relation to change in kidney parameters. There were more patients in the G-chemo arm with high potassium and an </w:t>
      </w:r>
      <w:r w:rsidR="0000630D">
        <w:rPr>
          <w:lang w:eastAsia="ja-JP"/>
        </w:rPr>
        <w:t>adverse event (</w:t>
      </w:r>
      <w:r w:rsidRPr="009A2EA1">
        <w:rPr>
          <w:lang w:eastAsia="ja-JP"/>
        </w:rPr>
        <w:t>AE</w:t>
      </w:r>
      <w:r w:rsidR="0000630D">
        <w:rPr>
          <w:lang w:eastAsia="ja-JP"/>
        </w:rPr>
        <w:t>)</w:t>
      </w:r>
      <w:r w:rsidRPr="009A2EA1">
        <w:rPr>
          <w:lang w:eastAsia="ja-JP"/>
        </w:rPr>
        <w:t xml:space="preserve"> for hypokalaemia in the overall safety population; for the FL population the numbers </w:t>
      </w:r>
      <w:r w:rsidR="004A5C53">
        <w:rPr>
          <w:lang w:eastAsia="ja-JP"/>
        </w:rPr>
        <w:t xml:space="preserve">for hypokalaemia </w:t>
      </w:r>
      <w:r w:rsidRPr="009A2EA1">
        <w:rPr>
          <w:lang w:eastAsia="ja-JP"/>
        </w:rPr>
        <w:t>were almost identical; 6.4% versus 3.7% for R-chemo. There were also more patients with high uric acid in this arm; 29.2% versus 23.0% for R-chemo.</w:t>
      </w:r>
    </w:p>
    <w:p w14:paraId="1E20C91F" w14:textId="0D443376" w:rsidR="00632B98" w:rsidRPr="009A2EA1" w:rsidRDefault="00632B98" w:rsidP="00632B98">
      <w:pPr>
        <w:rPr>
          <w:lang w:eastAsia="ja-JP"/>
        </w:rPr>
      </w:pPr>
      <w:r w:rsidRPr="009A2EA1">
        <w:rPr>
          <w:lang w:eastAsia="ja-JP"/>
        </w:rPr>
        <w:t xml:space="preserve">In both treatment groups, the incidence of deaths, deaths due to AEs, Grade 3 to 5 AEs, </w:t>
      </w:r>
      <w:r w:rsidR="0000630D">
        <w:rPr>
          <w:lang w:eastAsia="ja-JP"/>
        </w:rPr>
        <w:t>serious adverse events (SAE)</w:t>
      </w:r>
      <w:r w:rsidRPr="009A2EA1">
        <w:rPr>
          <w:lang w:eastAsia="ja-JP"/>
        </w:rPr>
        <w:t>, and AE</w:t>
      </w:r>
      <w:r w:rsidR="0000630D">
        <w:rPr>
          <w:lang w:eastAsia="ja-JP"/>
        </w:rPr>
        <w:t>s</w:t>
      </w:r>
      <w:r w:rsidRPr="009A2EA1">
        <w:rPr>
          <w:lang w:eastAsia="ja-JP"/>
        </w:rPr>
        <w:t xml:space="preserve"> leading to withdrawal from treatment was higher in patients with a </w:t>
      </w:r>
      <w:r w:rsidR="005E1E9B">
        <w:rPr>
          <w:lang w:eastAsia="ja-JP"/>
        </w:rPr>
        <w:t>CrCL</w:t>
      </w:r>
      <w:r w:rsidRPr="009A2EA1">
        <w:rPr>
          <w:lang w:eastAsia="ja-JP"/>
        </w:rPr>
        <w:t xml:space="preserve"> &lt; 50 mL/min compared with patients</w:t>
      </w:r>
      <w:r w:rsidR="0000630D">
        <w:rPr>
          <w:lang w:eastAsia="ja-JP"/>
        </w:rPr>
        <w:t xml:space="preserve"> with CrCL ≥ 50 </w:t>
      </w:r>
      <w:r w:rsidRPr="009A2EA1">
        <w:rPr>
          <w:lang w:eastAsia="ja-JP"/>
        </w:rPr>
        <w:t>m</w:t>
      </w:r>
      <w:r w:rsidR="0000630D">
        <w:rPr>
          <w:lang w:eastAsia="ja-JP"/>
        </w:rPr>
        <w:t>L/min.</w:t>
      </w:r>
    </w:p>
    <w:p w14:paraId="1975A60E" w14:textId="47FF90DB" w:rsidR="00632B98" w:rsidRPr="009A2EA1" w:rsidRDefault="00632B98" w:rsidP="00394F02">
      <w:pPr>
        <w:rPr>
          <w:lang w:eastAsia="ja-JP"/>
        </w:rPr>
      </w:pPr>
      <w:r w:rsidRPr="009A2EA1">
        <w:rPr>
          <w:lang w:eastAsia="ja-JP"/>
        </w:rPr>
        <w:t>Deaths, deaths due to AEs, Grade 3 to 5 AEs, SAEs, and AE</w:t>
      </w:r>
      <w:r w:rsidR="0000630D">
        <w:rPr>
          <w:lang w:eastAsia="ja-JP"/>
        </w:rPr>
        <w:t>s</w:t>
      </w:r>
      <w:r w:rsidRPr="009A2EA1">
        <w:rPr>
          <w:lang w:eastAsia="ja-JP"/>
        </w:rPr>
        <w:t xml:space="preserve"> leading to withdrawal from treatment were more frequent in patients in the G-chemo arm in patients with a </w:t>
      </w:r>
      <w:r w:rsidR="005E1E9B">
        <w:rPr>
          <w:lang w:eastAsia="ja-JP"/>
        </w:rPr>
        <w:t>CrCL </w:t>
      </w:r>
      <w:r w:rsidRPr="009A2EA1">
        <w:rPr>
          <w:lang w:eastAsia="ja-JP"/>
        </w:rPr>
        <w:t>&lt; 50 </w:t>
      </w:r>
      <w:r w:rsidR="00394F02" w:rsidRPr="009A2EA1">
        <w:rPr>
          <w:lang w:eastAsia="ja-JP"/>
        </w:rPr>
        <w:t>mL/min</w:t>
      </w:r>
      <w:r w:rsidRPr="009A2EA1">
        <w:rPr>
          <w:lang w:eastAsia="ja-JP"/>
        </w:rPr>
        <w:t xml:space="preserve">. 4 patients with CrCL &lt; 50 mL/min died due to an AE; 2 in the R-chemo arm and </w:t>
      </w:r>
      <w:r w:rsidR="008158DA" w:rsidRPr="009A2EA1">
        <w:rPr>
          <w:lang w:eastAsia="ja-JP"/>
        </w:rPr>
        <w:t>2</w:t>
      </w:r>
      <w:r w:rsidRPr="009A2EA1">
        <w:rPr>
          <w:lang w:eastAsia="ja-JP"/>
        </w:rPr>
        <w:t xml:space="preserve"> in the G-chemo arm.</w:t>
      </w:r>
    </w:p>
    <w:p w14:paraId="51702713" w14:textId="30A8C164" w:rsidR="00632B98" w:rsidRPr="009A2EA1" w:rsidRDefault="00632B98" w:rsidP="008158DA">
      <w:r w:rsidRPr="009A2EA1">
        <w:t>There were more SAEs in the G-chemo arm in patients with a CrCL &lt; 50 mL/min compared to the corresponding R-chemo arm. The average age at diagn</w:t>
      </w:r>
      <w:r w:rsidR="0000630D">
        <w:t xml:space="preserve">osis for </w:t>
      </w:r>
      <w:r w:rsidR="004A5C53">
        <w:t xml:space="preserve">Australian </w:t>
      </w:r>
      <w:r w:rsidR="0000630D">
        <w:t xml:space="preserve">patients with FL is </w:t>
      </w:r>
      <w:r w:rsidR="004A5C53">
        <w:t>60</w:t>
      </w:r>
      <w:r w:rsidR="005E1E9B">
        <w:t xml:space="preserve"> to </w:t>
      </w:r>
      <w:r w:rsidR="0000630D">
        <w:t>65 </w:t>
      </w:r>
      <w:r w:rsidRPr="009A2EA1">
        <w:t>years of age (5</w:t>
      </w:r>
      <w:r w:rsidR="004A5C53">
        <w:t>7.</w:t>
      </w:r>
      <w:r w:rsidRPr="009A2EA1">
        <w:t>9 years at commencement of therapy in this study). With increasing age CrCL declines. It is therefore very important to stress the higher AEs with declining kidney function especially neutrop</w:t>
      </w:r>
      <w:r w:rsidR="0078384F">
        <w:t>a</w:t>
      </w:r>
      <w:r w:rsidRPr="009A2EA1">
        <w:t>enia and infections (as noted in the PI under ‘Precautions’).</w:t>
      </w:r>
    </w:p>
    <w:p w14:paraId="20EB714B" w14:textId="0527AF4A" w:rsidR="0006723F" w:rsidRPr="009A2EA1" w:rsidRDefault="0006723F" w:rsidP="0006723F">
      <w:pPr>
        <w:pStyle w:val="Heading5"/>
      </w:pPr>
      <w:r w:rsidRPr="009A2EA1">
        <w:lastRenderedPageBreak/>
        <w:t>Safety in older patients</w:t>
      </w:r>
    </w:p>
    <w:p w14:paraId="53276890" w14:textId="550FF5DD" w:rsidR="0006723F" w:rsidRPr="009A2EA1" w:rsidRDefault="0006723F" w:rsidP="0006723F">
      <w:r w:rsidRPr="009A2EA1">
        <w:t xml:space="preserve">The incidence of AEs was similar in the 2 age groups (&lt; 65 years, and ≥ 65 years) in both treatment arms, including related AEs (using a </w:t>
      </w:r>
      <w:r w:rsidR="00C9173F" w:rsidRPr="009A2EA1">
        <w:t>cut</w:t>
      </w:r>
      <w:r w:rsidR="0078384F">
        <w:t xml:space="preserve"> </w:t>
      </w:r>
      <w:r w:rsidR="00C9173F" w:rsidRPr="009A2EA1">
        <w:t>off</w:t>
      </w:r>
      <w:r w:rsidRPr="009A2EA1">
        <w:t xml:space="preserve"> of 5% to indicate a difference). However, in both treatment arms, the incidence of SAEs was higher in patients ≥ 65 years old than in younger patients, as was the incidence of AEs leading to death and the incidence of AEs leading to withdrawal from any treatment.</w:t>
      </w:r>
    </w:p>
    <w:p w14:paraId="653F9441" w14:textId="2BDD1CB3" w:rsidR="0006723F" w:rsidRPr="009A2EA1" w:rsidRDefault="0006723F" w:rsidP="008158DA">
      <w:r w:rsidRPr="009A2EA1">
        <w:t xml:space="preserve">The incidence of AEs, deaths, fatal AEs, Grade 3 to 5 AEs, and </w:t>
      </w:r>
      <w:r w:rsidR="0078384F">
        <w:t>S</w:t>
      </w:r>
      <w:r w:rsidRPr="009A2EA1">
        <w:t xml:space="preserve">AEs was similar (using a </w:t>
      </w:r>
      <w:r w:rsidR="00C9173F" w:rsidRPr="009A2EA1">
        <w:t>cut</w:t>
      </w:r>
      <w:r w:rsidR="0078384F">
        <w:t> </w:t>
      </w:r>
      <w:r w:rsidR="00C9173F" w:rsidRPr="009A2EA1">
        <w:t>off</w:t>
      </w:r>
      <w:r w:rsidRPr="009A2EA1">
        <w:t xml:space="preserve"> of 5% to indicate a difference between arms) for both males and for females.</w:t>
      </w:r>
    </w:p>
    <w:p w14:paraId="678B9523" w14:textId="6EAE6B16" w:rsidR="00632B98" w:rsidRPr="009A2EA1" w:rsidRDefault="00394F02" w:rsidP="00632B98">
      <w:pPr>
        <w:rPr>
          <w:lang w:eastAsia="ja-JP"/>
        </w:rPr>
      </w:pPr>
      <w:r w:rsidRPr="009A2EA1">
        <w:rPr>
          <w:lang w:eastAsia="ja-JP"/>
        </w:rPr>
        <w:t xml:space="preserve">The incidence of SAEs in patients </w:t>
      </w:r>
      <w:r w:rsidR="00EE44DB">
        <w:rPr>
          <w:lang w:eastAsia="ja-JP"/>
        </w:rPr>
        <w:t xml:space="preserve">who were </w:t>
      </w:r>
      <w:r w:rsidRPr="009A2EA1">
        <w:rPr>
          <w:lang w:eastAsia="ja-JP"/>
        </w:rPr>
        <w:t>≥ 65 years of age was demonstrably higher in the G-chemo arm compared to the R-chemo arm especially in the overall safety population. This has to be taken into account</w:t>
      </w:r>
      <w:r w:rsidR="00114FA3" w:rsidRPr="009A2EA1">
        <w:rPr>
          <w:lang w:eastAsia="ja-JP"/>
        </w:rPr>
        <w:t xml:space="preserve"> when choosing a CD20 antibody </w:t>
      </w:r>
      <w:r w:rsidRPr="009A2EA1">
        <w:rPr>
          <w:lang w:eastAsia="ja-JP"/>
        </w:rPr>
        <w:t>chemo regimen for a person ≥ 65 years of age. This has to be made clear in the PI with relevant differences specified.</w:t>
      </w:r>
    </w:p>
    <w:p w14:paraId="7368A052" w14:textId="77777777" w:rsidR="00605AD4" w:rsidRPr="009A2EA1" w:rsidRDefault="00605AD4" w:rsidP="00605AD4">
      <w:pPr>
        <w:pStyle w:val="Heading4"/>
      </w:pPr>
      <w:r w:rsidRPr="009A2EA1">
        <w:t>Postmarketing data</w:t>
      </w:r>
    </w:p>
    <w:p w14:paraId="0B8F3E00" w14:textId="3184982D" w:rsidR="0006723F" w:rsidRPr="009A2EA1" w:rsidRDefault="0006723F" w:rsidP="0006723F">
      <w:r w:rsidRPr="009A2EA1">
        <w:t>According to the sponsor, 13</w:t>
      </w:r>
      <w:r w:rsidR="0078384F">
        <w:t>,</w:t>
      </w:r>
      <w:r w:rsidRPr="009A2EA1">
        <w:t xml:space="preserve">841 mainly </w:t>
      </w:r>
      <w:r w:rsidR="002A5DE8" w:rsidRPr="009A2EA1">
        <w:t>chronic lymphocytic leukaemia</w:t>
      </w:r>
      <w:r w:rsidRPr="009A2EA1">
        <w:t xml:space="preserve"> and i</w:t>
      </w:r>
      <w:r w:rsidR="002A5DE8" w:rsidRPr="009A2EA1">
        <w:t xml:space="preserve">ndolent </w:t>
      </w:r>
      <w:r w:rsidRPr="009A2EA1">
        <w:t>NHL patients have received obinutuzumab worldwide. Overall no new safety signal was identified in Study BO21223 compared with the data presented in the latest periodic benefit-risk evaluation report</w:t>
      </w:r>
      <w:r w:rsidR="0000630D">
        <w:t xml:space="preserve"> (PBRER)</w:t>
      </w:r>
      <w:r w:rsidRPr="009A2EA1">
        <w:t>.</w:t>
      </w:r>
    </w:p>
    <w:p w14:paraId="0FDB5025" w14:textId="77777777" w:rsidR="00605AD4" w:rsidRPr="009A2EA1" w:rsidRDefault="00605AD4" w:rsidP="00605AD4">
      <w:pPr>
        <w:pStyle w:val="Heading4"/>
      </w:pPr>
      <w:r w:rsidRPr="009A2EA1">
        <w:t>Evaluator’s conclusions on safety</w:t>
      </w:r>
    </w:p>
    <w:p w14:paraId="1B6EFBEC" w14:textId="344F1072" w:rsidR="002A5DE8" w:rsidRPr="009A2EA1" w:rsidRDefault="002A5DE8" w:rsidP="00C1003B">
      <w:pPr>
        <w:ind w:right="-285"/>
      </w:pPr>
      <w:r w:rsidRPr="009A2EA1">
        <w:t>Study BO21000 (GAUDI) included 81 first line FL patients and explored the safety of obinutuzumab (G) in combination with CHOP or bendamustine. This study has not been evaluated in detail as it was a small Phase I study compared to the large Phase III Study BO21223 (GALLIUM) comprising 1390 patients of which 698 received obinutuzumab and chemotherapy (bendamustine, CHOP, or CVP). There was no comparator in Study</w:t>
      </w:r>
      <w:r w:rsidR="0078384F">
        <w:t> </w:t>
      </w:r>
      <w:r w:rsidRPr="009A2EA1">
        <w:t>BO21000</w:t>
      </w:r>
      <w:r w:rsidR="0078384F">
        <w:t>,</w:t>
      </w:r>
      <w:r w:rsidRPr="009A2EA1">
        <w:t xml:space="preserve"> whereas Study BO21223 has another CD20 antibody (rituximab) as comparator. The results from Study BO21000 are not included in the product information, and in the following the results from Study BO21223 are summarised. For an overview of the study design see Figure 3, above.</w:t>
      </w:r>
    </w:p>
    <w:p w14:paraId="0BC34D1A" w14:textId="46FDB62A" w:rsidR="002A5DE8" w:rsidRPr="009A2EA1" w:rsidRDefault="002A5DE8" w:rsidP="002A5DE8">
      <w:r w:rsidRPr="009A2EA1">
        <w:t xml:space="preserve">The demographics for the FL population have been described in the efficacy section; about 80% were </w:t>
      </w:r>
      <w:r w:rsidR="00EE44DB">
        <w:t>W</w:t>
      </w:r>
      <w:r w:rsidRPr="009A2EA1">
        <w:t xml:space="preserve">hite and 47% male. The FL population comprise about 86% of the overall safety population. The demographics for the remaining 14% </w:t>
      </w:r>
      <w:r w:rsidR="00F73E38" w:rsidRPr="009A2EA1">
        <w:t xml:space="preserve">were </w:t>
      </w:r>
      <w:r w:rsidRPr="009A2EA1">
        <w:t>mainly MZL patients</w:t>
      </w:r>
      <w:r w:rsidR="00F73E38" w:rsidRPr="009A2EA1">
        <w:t>. About 93% were W</w:t>
      </w:r>
      <w:r w:rsidRPr="009A2EA1">
        <w:t>hite and 50% male. The main differences between the FL and MZL patients are the mean age of 5</w:t>
      </w:r>
      <w:r w:rsidR="008006F4">
        <w:t>7.</w:t>
      </w:r>
      <w:r w:rsidRPr="009A2EA1">
        <w:t>9 versus 6</w:t>
      </w:r>
      <w:r w:rsidR="008006F4">
        <w:t>1.9</w:t>
      </w:r>
      <w:r w:rsidRPr="009A2EA1">
        <w:t xml:space="preserve"> and the number of patients ≥ 65 years of age (31.3% versus 44.6%), which are likely to have an impact on the safety results even though the proportion of MZL patients is small.</w:t>
      </w:r>
    </w:p>
    <w:p w14:paraId="5E71930B" w14:textId="77777777" w:rsidR="002A5DE8" w:rsidRPr="009A2EA1" w:rsidRDefault="002A5DE8" w:rsidP="00C07332">
      <w:pPr>
        <w:pStyle w:val="Heading5"/>
      </w:pPr>
      <w:r w:rsidRPr="009A2EA1">
        <w:t>Exposure (overall safety population)</w:t>
      </w:r>
    </w:p>
    <w:p w14:paraId="4622FA77" w14:textId="758161C6" w:rsidR="002A5DE8" w:rsidRPr="009A2EA1" w:rsidRDefault="002A5DE8" w:rsidP="002A5DE8">
      <w:r w:rsidRPr="009A2EA1">
        <w:rPr>
          <w:i/>
        </w:rPr>
        <w:t>Induction phase</w:t>
      </w:r>
      <w:r w:rsidRPr="009A2EA1">
        <w:t>: At least 90% of the planned cumulative dose of antibody was administered in 99.4% of the R-chemo arm and in 99.0</w:t>
      </w:r>
      <w:r w:rsidR="00F73E38" w:rsidRPr="009A2EA1">
        <w:t>% in the G-chemo arm</w:t>
      </w:r>
      <w:r w:rsidR="0000630D">
        <w:t>.</w:t>
      </w:r>
    </w:p>
    <w:p w14:paraId="46EF8F88" w14:textId="0E424B31" w:rsidR="002A5DE8" w:rsidRPr="009A2EA1" w:rsidRDefault="002A5DE8" w:rsidP="002A5DE8">
      <w:r w:rsidRPr="009A2EA1">
        <w:rPr>
          <w:i/>
        </w:rPr>
        <w:t>Maintenance phase:</w:t>
      </w:r>
      <w:r w:rsidRPr="009A2EA1">
        <w:t xml:space="preserve"> (for patients in CR or PR after induction): 603 patients in the R-chemo arm and 623 patients in the G-chemo arm received maintenance treatment. In the R</w:t>
      </w:r>
      <w:r w:rsidR="00244EE8">
        <w:noBreakHyphen/>
      </w:r>
      <w:r w:rsidRPr="009A2EA1">
        <w:t>chemo arm 99.0% received ≥ 90% of the cumulative maintenance dose compared to 99.8% of patients in the G-chemo arm.</w:t>
      </w:r>
    </w:p>
    <w:p w14:paraId="6F622840" w14:textId="77777777" w:rsidR="002A5DE8" w:rsidRPr="009A2EA1" w:rsidRDefault="002A5DE8" w:rsidP="00C07332">
      <w:pPr>
        <w:pStyle w:val="Heading5"/>
      </w:pPr>
      <w:r w:rsidRPr="009A2EA1">
        <w:t>Adverse events</w:t>
      </w:r>
    </w:p>
    <w:p w14:paraId="23AF02E8" w14:textId="216D8760" w:rsidR="002A5DE8" w:rsidRPr="009A2EA1" w:rsidRDefault="002A5DE8" w:rsidP="002A5DE8">
      <w:r w:rsidRPr="009A2EA1">
        <w:t>There were more adverse events in the G-chemo arm compared to the R-chemo arm in both the FL and overall safety population in particular Grade 3 to 5 AEs, SAE</w:t>
      </w:r>
      <w:r w:rsidR="00244EE8">
        <w:t>s</w:t>
      </w:r>
      <w:r w:rsidRPr="009A2EA1">
        <w:t xml:space="preserve">, </w:t>
      </w:r>
      <w:r w:rsidR="00244EE8">
        <w:t xml:space="preserve">treatment </w:t>
      </w:r>
      <w:r w:rsidRPr="009A2EA1">
        <w:lastRenderedPageBreak/>
        <w:t xml:space="preserve">related SAEs and </w:t>
      </w:r>
      <w:r w:rsidR="00244EE8">
        <w:t xml:space="preserve">treatment </w:t>
      </w:r>
      <w:r w:rsidRPr="009A2EA1">
        <w:t xml:space="preserve">related AEs leading to any </w:t>
      </w:r>
      <w:r w:rsidR="00F73E38" w:rsidRPr="009A2EA1">
        <w:t>dose interruption</w:t>
      </w:r>
      <w:r w:rsidRPr="009A2EA1">
        <w:t>. There were more AEs with a fatal outcome in the G-chemo arm but more deaths in</w:t>
      </w:r>
      <w:r w:rsidR="00F73E38" w:rsidRPr="009A2EA1">
        <w:t xml:space="preserve"> the R-chemo arm.</w:t>
      </w:r>
    </w:p>
    <w:p w14:paraId="0C0F483D" w14:textId="204B59CA" w:rsidR="002A5DE8" w:rsidRPr="009A2EA1" w:rsidRDefault="009D2C60" w:rsidP="002A5DE8">
      <w:r>
        <w:t>AEs</w:t>
      </w:r>
      <w:r w:rsidR="002A5DE8" w:rsidRPr="009A2EA1">
        <w:t xml:space="preserve"> (all grades) reported with a difference of at least 2% between the treatment arms, but excluding </w:t>
      </w:r>
      <w:r w:rsidR="00AA07D9">
        <w:t>infusion related reactions (</w:t>
      </w:r>
      <w:r w:rsidR="002A5DE8" w:rsidRPr="009A2EA1">
        <w:t>IRR</w:t>
      </w:r>
      <w:r w:rsidR="00AA07D9">
        <w:t>)</w:t>
      </w:r>
      <w:r w:rsidR="002A5DE8" w:rsidRPr="009A2EA1">
        <w:t xml:space="preserve"> reflects the most frequently related AEs which are all in favour of R-chemo.</w:t>
      </w:r>
    </w:p>
    <w:p w14:paraId="41530A5A" w14:textId="30E41E5C" w:rsidR="002A5DE8" w:rsidRPr="009A2EA1" w:rsidRDefault="002A5DE8" w:rsidP="002A5DE8">
      <w:r w:rsidRPr="009A2EA1">
        <w:t>There are more SAEs in the G-chemo arm compared to the R-chemo arm in both the overall and FL safety population</w:t>
      </w:r>
      <w:r w:rsidR="00F73E38" w:rsidRPr="009A2EA1">
        <w:t xml:space="preserve">. </w:t>
      </w:r>
      <w:r w:rsidRPr="009A2EA1">
        <w:t xml:space="preserve">There are generally more SAEs in the overall safety population (the population in the PI) than in the FL population, which is not unexpected, as the median age of the FL population is 59.0 years and 63.0 years for the MZL population. The percentage of patients </w:t>
      </w:r>
      <w:r w:rsidR="00EE44DB">
        <w:t xml:space="preserve">who was </w:t>
      </w:r>
      <w:r w:rsidRPr="009A2EA1">
        <w:t>≥ 65 years of age is 31.3% in the FL population and 44.6% in the MZL population, and although the MZL population only constitute 14% of the overall safety population this apparently has an impact on the overall safety data together with other factors. As the average age at diagnosis for FL patients is 65 years, the lower average age (and good performance status) in this study does not reflect the FL population as a whole, and these data demonstrate that this has to be taken into account when choosing which anti-CD20 antibody to use in addition to considering efficacy.</w:t>
      </w:r>
    </w:p>
    <w:p w14:paraId="29C0EF65" w14:textId="070B9FC3" w:rsidR="002A5DE8" w:rsidRPr="009A2EA1" w:rsidRDefault="002A5DE8" w:rsidP="002A5DE8">
      <w:r w:rsidRPr="009A2EA1">
        <w:t>AEs leading to withdrawal were slightly higher in the G-chemo arm in both the FL and overall s</w:t>
      </w:r>
      <w:r w:rsidR="00F73E38" w:rsidRPr="009A2EA1">
        <w:t>afety population</w:t>
      </w:r>
    </w:p>
    <w:p w14:paraId="69ACC138" w14:textId="72CCC657" w:rsidR="002A5DE8" w:rsidRPr="009A2EA1" w:rsidRDefault="002A5DE8" w:rsidP="00F73E38">
      <w:pPr>
        <w:pStyle w:val="Heading6"/>
      </w:pPr>
      <w:r w:rsidRPr="009A2EA1">
        <w:t xml:space="preserve">Adverse events of </w:t>
      </w:r>
      <w:r w:rsidR="00F73E38" w:rsidRPr="009A2EA1">
        <w:t>particular or special interest</w:t>
      </w:r>
    </w:p>
    <w:p w14:paraId="237D5EC8" w14:textId="00E700F7" w:rsidR="002A5DE8" w:rsidRPr="009A2EA1" w:rsidRDefault="002A5DE8" w:rsidP="002A5DE8">
      <w:r w:rsidRPr="009A2EA1">
        <w:t>There were more</w:t>
      </w:r>
      <w:r w:rsidR="00BB3DFB">
        <w:t xml:space="preserve"> </w:t>
      </w:r>
      <w:r w:rsidR="00AA07D9">
        <w:t>IRRs</w:t>
      </w:r>
      <w:r w:rsidRPr="009A2EA1">
        <w:t xml:space="preserve"> in the overall population compared to the follicular population. Elderly patients have more </w:t>
      </w:r>
      <w:proofErr w:type="gramStart"/>
      <w:r w:rsidRPr="009A2EA1">
        <w:t>co</w:t>
      </w:r>
      <w:r w:rsidR="00EE44DB">
        <w:t>-</w:t>
      </w:r>
      <w:r w:rsidRPr="009A2EA1">
        <w:t>morbidities</w:t>
      </w:r>
      <w:proofErr w:type="gramEnd"/>
      <w:r w:rsidRPr="009A2EA1">
        <w:t>, for instance cardiovascular problems, which could be an issue in relation to IRRs and subsequently the choice of anti-CD20 antibody.</w:t>
      </w:r>
    </w:p>
    <w:p w14:paraId="1BA9E58A" w14:textId="46422E82" w:rsidR="002A5DE8" w:rsidRPr="009A2EA1" w:rsidRDefault="002A5DE8" w:rsidP="002A5DE8">
      <w:r w:rsidRPr="009A2EA1">
        <w:t>Higher age</w:t>
      </w:r>
      <w:r w:rsidR="00F73E38" w:rsidRPr="009A2EA1">
        <w:t xml:space="preserve"> and renal impairment </w:t>
      </w:r>
      <w:r w:rsidRPr="009A2EA1">
        <w:t>were risk factors for SAEs.</w:t>
      </w:r>
    </w:p>
    <w:p w14:paraId="6B9E53B6" w14:textId="4EBC9280" w:rsidR="00605AD4" w:rsidRPr="009A2EA1" w:rsidRDefault="002A5DE8" w:rsidP="00605AD4">
      <w:r w:rsidRPr="009A2EA1">
        <w:t>There were more AEs and SAEs in the MZL population in the G-chemo arm</w:t>
      </w:r>
      <w:r w:rsidR="00F73E38" w:rsidRPr="009A2EA1">
        <w:t xml:space="preserve">. </w:t>
      </w:r>
      <w:r w:rsidRPr="009A2EA1">
        <w:t>Off label use in MZL and other indolent NHL may, especially in the elderly, affect the benefit/risk ratio negatively.</w:t>
      </w:r>
    </w:p>
    <w:p w14:paraId="6100E0F6" w14:textId="600864E1" w:rsidR="00C07332" w:rsidRPr="009A2EA1" w:rsidRDefault="00C07332" w:rsidP="00605AD4">
      <w:r w:rsidRPr="009A2EA1">
        <w:t xml:space="preserve">For a further comparison of statements from the sponsor’s clinical overview regarding safety compared to data from Study BO21223, </w:t>
      </w:r>
      <w:r w:rsidR="00A50041" w:rsidRPr="009A2EA1">
        <w:t xml:space="preserve">and tables and figures supporting the evaluators conclusions, please </w:t>
      </w:r>
      <w:r w:rsidRPr="009A2EA1">
        <w:t>see Attachment 2.</w:t>
      </w:r>
    </w:p>
    <w:p w14:paraId="33FE56C4" w14:textId="21C51ACC" w:rsidR="00605AD4" w:rsidRPr="009A2EA1" w:rsidRDefault="00605AD4" w:rsidP="00605AD4">
      <w:pPr>
        <w:pStyle w:val="Heading3"/>
        <w:rPr>
          <w:rFonts w:eastAsia="Cambria"/>
        </w:rPr>
      </w:pPr>
      <w:bookmarkStart w:id="79" w:name="_Toc513552854"/>
      <w:r w:rsidRPr="009A2EA1">
        <w:rPr>
          <w:rFonts w:eastAsia="Cambria"/>
        </w:rPr>
        <w:t xml:space="preserve">First </w:t>
      </w:r>
      <w:r w:rsidR="00C1003B" w:rsidRPr="009A2EA1">
        <w:rPr>
          <w:rFonts w:eastAsia="Cambria"/>
        </w:rPr>
        <w:t>round benefit-risk assessment</w:t>
      </w:r>
      <w:bookmarkEnd w:id="79"/>
    </w:p>
    <w:p w14:paraId="3F537B8A" w14:textId="77777777" w:rsidR="00605AD4" w:rsidRPr="009A2EA1" w:rsidRDefault="00605AD4" w:rsidP="00605AD4">
      <w:pPr>
        <w:pStyle w:val="Heading4"/>
      </w:pPr>
      <w:r w:rsidRPr="009A2EA1">
        <w:t>First round assessment of benefits</w:t>
      </w:r>
    </w:p>
    <w:p w14:paraId="72198C8E" w14:textId="6C09B2AF" w:rsidR="00A50041" w:rsidRPr="009A2EA1" w:rsidRDefault="00A50041" w:rsidP="00A50041">
      <w:r w:rsidRPr="009A2EA1">
        <w:t xml:space="preserve">Table </w:t>
      </w:r>
      <w:r w:rsidR="003F5883">
        <w:t>6</w:t>
      </w:r>
      <w:r w:rsidRPr="009A2EA1">
        <w:t>, shown below, summarises the clinical evaluator’s assessment of benefits at the first round.</w:t>
      </w:r>
    </w:p>
    <w:p w14:paraId="2CD9CE2B" w14:textId="12775708" w:rsidR="00C07332" w:rsidRPr="009A2EA1" w:rsidRDefault="00C07332" w:rsidP="00A50041">
      <w:pPr>
        <w:pStyle w:val="Tabletitle0"/>
      </w:pPr>
      <w:proofErr w:type="gramStart"/>
      <w:r w:rsidRPr="009A2EA1">
        <w:t xml:space="preserve">Table </w:t>
      </w:r>
      <w:r w:rsidR="003F5883">
        <w:t>6</w:t>
      </w:r>
      <w:r w:rsidRPr="009A2EA1">
        <w:t>.</w:t>
      </w:r>
      <w:proofErr w:type="gramEnd"/>
      <w:r w:rsidRPr="009A2EA1">
        <w:t xml:space="preserve"> First round assessment of benefits</w:t>
      </w:r>
    </w:p>
    <w:tbl>
      <w:tblPr>
        <w:tblStyle w:val="TableTGAblue"/>
        <w:tblW w:w="0" w:type="auto"/>
        <w:tblLook w:val="04A0" w:firstRow="1" w:lastRow="0" w:firstColumn="1" w:lastColumn="0" w:noHBand="0" w:noVBand="1"/>
      </w:tblPr>
      <w:tblGrid>
        <w:gridCol w:w="4479"/>
        <w:gridCol w:w="4241"/>
      </w:tblGrid>
      <w:tr w:rsidR="00C07332" w:rsidRPr="009A2EA1" w14:paraId="628977D1" w14:textId="77777777" w:rsidTr="0015280F">
        <w:trPr>
          <w:cnfStyle w:val="100000000000" w:firstRow="1" w:lastRow="0" w:firstColumn="0" w:lastColumn="0" w:oddVBand="0" w:evenVBand="0" w:oddHBand="0" w:evenHBand="0" w:firstRowFirstColumn="0" w:firstRowLastColumn="0" w:lastRowFirstColumn="0" w:lastRowLastColumn="0"/>
        </w:trPr>
        <w:tc>
          <w:tcPr>
            <w:tcW w:w="8789" w:type="dxa"/>
            <w:gridSpan w:val="2"/>
          </w:tcPr>
          <w:p w14:paraId="7BC8D467" w14:textId="77777777" w:rsidR="00C07332" w:rsidRPr="009A2EA1" w:rsidRDefault="00C07332" w:rsidP="00C1003B">
            <w:r w:rsidRPr="009A2EA1">
              <w:t>Indication</w:t>
            </w:r>
          </w:p>
        </w:tc>
      </w:tr>
      <w:tr w:rsidR="00C07332" w:rsidRPr="009A2EA1" w14:paraId="0C35AAF4" w14:textId="77777777" w:rsidTr="0015280F">
        <w:tc>
          <w:tcPr>
            <w:tcW w:w="4511" w:type="dxa"/>
          </w:tcPr>
          <w:p w14:paraId="4EC66544" w14:textId="77777777" w:rsidR="00C07332" w:rsidRPr="009A2EA1" w:rsidRDefault="00C07332" w:rsidP="00C1003B">
            <w:pPr>
              <w:rPr>
                <w:szCs w:val="22"/>
                <w:lang w:eastAsia="ja-JP"/>
              </w:rPr>
            </w:pPr>
            <w:r w:rsidRPr="009A2EA1">
              <w:rPr>
                <w:szCs w:val="22"/>
                <w:lang w:eastAsia="ja-JP"/>
              </w:rPr>
              <w:t>Benefits</w:t>
            </w:r>
          </w:p>
        </w:tc>
        <w:tc>
          <w:tcPr>
            <w:tcW w:w="4278" w:type="dxa"/>
          </w:tcPr>
          <w:p w14:paraId="2C27C177" w14:textId="77777777" w:rsidR="00C07332" w:rsidRPr="009A2EA1" w:rsidRDefault="00C07332" w:rsidP="00C1003B">
            <w:pPr>
              <w:rPr>
                <w:szCs w:val="22"/>
                <w:lang w:eastAsia="ja-JP"/>
              </w:rPr>
            </w:pPr>
            <w:r w:rsidRPr="009A2EA1">
              <w:rPr>
                <w:szCs w:val="22"/>
                <w:lang w:eastAsia="ja-JP"/>
              </w:rPr>
              <w:t>Strengths and Uncertainties</w:t>
            </w:r>
          </w:p>
        </w:tc>
      </w:tr>
      <w:tr w:rsidR="00C07332" w:rsidRPr="009A2EA1" w14:paraId="76260D51" w14:textId="77777777" w:rsidTr="0015280F">
        <w:trPr>
          <w:trHeight w:val="3589"/>
        </w:trPr>
        <w:tc>
          <w:tcPr>
            <w:tcW w:w="4511" w:type="dxa"/>
          </w:tcPr>
          <w:p w14:paraId="01EC1961" w14:textId="391CA90C" w:rsidR="00C07332" w:rsidRPr="009A2EA1" w:rsidRDefault="00C07332" w:rsidP="00C1003B">
            <w:r w:rsidRPr="009A2EA1">
              <w:lastRenderedPageBreak/>
              <w:t>Study BO21223 demonstrated that treatment with G-chemo resulted in a clinically meaningful and statistically significant redu</w:t>
            </w:r>
            <w:r w:rsidR="00BB3DFB">
              <w:t>ction by 34% in the risk of an i</w:t>
            </w:r>
            <w:r w:rsidRPr="009A2EA1">
              <w:t>nvestigator assessed PFS event (disease progression/relapse or death) compared with R-chemo (stratified </w:t>
            </w:r>
            <w:r w:rsidR="00BB3DFB">
              <w:t>hazard ratio (</w:t>
            </w:r>
            <w:r w:rsidRPr="009A2EA1">
              <w:t>HR</w:t>
            </w:r>
            <w:r w:rsidR="000C6E75">
              <w:t>)</w:t>
            </w:r>
            <w:r w:rsidR="00BB3DFB">
              <w:t xml:space="preserve"> 0.66 (95% </w:t>
            </w:r>
            <w:r w:rsidRPr="009A2EA1">
              <w:t>CI: 0.51, 0.85); p-value = 0.0012, stratified log-</w:t>
            </w:r>
            <w:r w:rsidR="00BB3DFB">
              <w:t xml:space="preserve">rank test). The p-value of the investigator </w:t>
            </w:r>
            <w:r w:rsidRPr="009A2EA1">
              <w:t>assess</w:t>
            </w:r>
            <w:r w:rsidR="00BB3DFB">
              <w:t>ed PFS was smaller than the pre</w:t>
            </w:r>
            <w:r w:rsidRPr="009A2EA1">
              <w:t>specified interim bounda</w:t>
            </w:r>
            <w:r w:rsidR="00BB3DFB">
              <w:t>ry significance level of 0.012 [</w:t>
            </w:r>
            <w:r w:rsidRPr="009A2EA1">
              <w:t xml:space="preserve">see </w:t>
            </w:r>
            <w:r w:rsidR="00BB3DFB">
              <w:t>Attachment 2 for supporting tables].</w:t>
            </w:r>
          </w:p>
        </w:tc>
        <w:tc>
          <w:tcPr>
            <w:tcW w:w="4278" w:type="dxa"/>
          </w:tcPr>
          <w:p w14:paraId="59963D55" w14:textId="77777777" w:rsidR="00C07332" w:rsidRPr="009A2EA1" w:rsidRDefault="00C07332" w:rsidP="00C1003B">
            <w:r w:rsidRPr="009A2EA1">
              <w:t>Large Phase III trial with a relevant comparator.</w:t>
            </w:r>
          </w:p>
          <w:p w14:paraId="73BBCE54" w14:textId="77777777" w:rsidR="00C07332" w:rsidRPr="009A2EA1" w:rsidRDefault="00C07332" w:rsidP="00C1003B">
            <w:r w:rsidRPr="009A2EA1">
              <w:t>It is too early to evaluate overall survival. This is the most important objective long term, and it is uncertain whether improved PFS translates into improved OS.</w:t>
            </w:r>
          </w:p>
          <w:p w14:paraId="06E7654E" w14:textId="71EDCD86" w:rsidR="00C07332" w:rsidRPr="009A2EA1" w:rsidRDefault="008006F4" w:rsidP="00C1003B">
            <w:r>
              <w:t>Not all t</w:t>
            </w:r>
            <w:r w:rsidRPr="009A2EA1">
              <w:t xml:space="preserve">he </w:t>
            </w:r>
            <w:r w:rsidR="00C07332" w:rsidRPr="009A2EA1">
              <w:t>secondary endpoints me</w:t>
            </w:r>
            <w:r>
              <w:t>t</w:t>
            </w:r>
            <w:r w:rsidR="00C07332" w:rsidRPr="009A2EA1">
              <w:t xml:space="preserve"> the predefined</w:t>
            </w:r>
            <w:r>
              <w:t xml:space="preserve"> hierarchical</w:t>
            </w:r>
            <w:r w:rsidR="00C07332" w:rsidRPr="009A2EA1">
              <w:t xml:space="preserve"> statistical requirements.</w:t>
            </w:r>
          </w:p>
        </w:tc>
      </w:tr>
    </w:tbl>
    <w:p w14:paraId="00B72AEA" w14:textId="77777777" w:rsidR="00605AD4" w:rsidRPr="009A2EA1" w:rsidRDefault="00605AD4" w:rsidP="00605AD4">
      <w:pPr>
        <w:pStyle w:val="Heading4"/>
      </w:pPr>
      <w:r w:rsidRPr="009A2EA1">
        <w:t>First round assessment of risks</w:t>
      </w:r>
    </w:p>
    <w:p w14:paraId="2BA9FA81" w14:textId="04F22A7E" w:rsidR="00A50041" w:rsidRPr="009A2EA1" w:rsidRDefault="00A50041" w:rsidP="00A50041">
      <w:r w:rsidRPr="009A2EA1">
        <w:t xml:space="preserve">Table </w:t>
      </w:r>
      <w:r w:rsidR="003F5883">
        <w:t>7</w:t>
      </w:r>
      <w:r w:rsidRPr="009A2EA1">
        <w:t>, shown below, summarises the clinical evaluator’s assessment of risks at the first round.</w:t>
      </w:r>
    </w:p>
    <w:p w14:paraId="70793FBA" w14:textId="2440418A" w:rsidR="009511CC" w:rsidRPr="009A2EA1" w:rsidRDefault="009511CC" w:rsidP="00A50041">
      <w:pPr>
        <w:pStyle w:val="Tabletitle0"/>
      </w:pPr>
      <w:r w:rsidRPr="009A2EA1">
        <w:t>Table</w:t>
      </w:r>
      <w:r w:rsidR="003F5883">
        <w:t>7</w:t>
      </w:r>
      <w:r w:rsidRPr="009A2EA1">
        <w:t>. First round assessment of risks</w:t>
      </w:r>
    </w:p>
    <w:tbl>
      <w:tblPr>
        <w:tblStyle w:val="TableTGAblue"/>
        <w:tblW w:w="0" w:type="auto"/>
        <w:tblLook w:val="04A0" w:firstRow="1" w:lastRow="0" w:firstColumn="1" w:lastColumn="0" w:noHBand="0" w:noVBand="1"/>
      </w:tblPr>
      <w:tblGrid>
        <w:gridCol w:w="4360"/>
        <w:gridCol w:w="4360"/>
      </w:tblGrid>
      <w:tr w:rsidR="00C07332" w:rsidRPr="009A2EA1" w14:paraId="1157B804" w14:textId="77777777" w:rsidTr="0015280F">
        <w:trPr>
          <w:cnfStyle w:val="100000000000" w:firstRow="1" w:lastRow="0" w:firstColumn="0" w:lastColumn="0" w:oddVBand="0" w:evenVBand="0" w:oddHBand="0" w:evenHBand="0" w:firstRowFirstColumn="0" w:firstRowLastColumn="0" w:lastRowFirstColumn="0" w:lastRowLastColumn="0"/>
        </w:trPr>
        <w:tc>
          <w:tcPr>
            <w:tcW w:w="4395" w:type="dxa"/>
          </w:tcPr>
          <w:p w14:paraId="3726689B" w14:textId="77777777" w:rsidR="00C07332" w:rsidRPr="009A2EA1" w:rsidRDefault="00C07332" w:rsidP="00C1003B">
            <w:pPr>
              <w:rPr>
                <w:lang w:eastAsia="ja-JP"/>
              </w:rPr>
            </w:pPr>
            <w:r w:rsidRPr="009A2EA1">
              <w:rPr>
                <w:lang w:eastAsia="ja-JP"/>
              </w:rPr>
              <w:t>Risks</w:t>
            </w:r>
          </w:p>
        </w:tc>
        <w:tc>
          <w:tcPr>
            <w:tcW w:w="4394" w:type="dxa"/>
          </w:tcPr>
          <w:p w14:paraId="5787D734" w14:textId="77777777" w:rsidR="00C07332" w:rsidRPr="009A2EA1" w:rsidRDefault="00C07332" w:rsidP="00C1003B">
            <w:pPr>
              <w:rPr>
                <w:lang w:eastAsia="ja-JP"/>
              </w:rPr>
            </w:pPr>
            <w:r w:rsidRPr="009A2EA1">
              <w:rPr>
                <w:lang w:eastAsia="ja-JP"/>
              </w:rPr>
              <w:t>Strengths and uncertainties</w:t>
            </w:r>
          </w:p>
        </w:tc>
      </w:tr>
      <w:tr w:rsidR="00C07332" w:rsidRPr="009A2EA1" w14:paraId="74D13653" w14:textId="77777777" w:rsidTr="0015280F">
        <w:tc>
          <w:tcPr>
            <w:tcW w:w="4395" w:type="dxa"/>
          </w:tcPr>
          <w:p w14:paraId="6D3B27EC" w14:textId="77777777" w:rsidR="00C07332" w:rsidRPr="009A2EA1" w:rsidRDefault="00C07332" w:rsidP="00C1003B">
            <w:r w:rsidRPr="009A2EA1">
              <w:t>Compared to R-chemo G-chemo poses a higher risk of:</w:t>
            </w:r>
          </w:p>
          <w:p w14:paraId="11778AF7" w14:textId="77777777" w:rsidR="00C07332" w:rsidRPr="009A2EA1" w:rsidRDefault="00C07332" w:rsidP="00C1003B">
            <w:r w:rsidRPr="009A2EA1">
              <w:t>IRRs</w:t>
            </w:r>
          </w:p>
          <w:p w14:paraId="321ACD85" w14:textId="77777777" w:rsidR="00C07332" w:rsidRPr="009A2EA1" w:rsidRDefault="00C07332" w:rsidP="00C1003B">
            <w:r w:rsidRPr="009A2EA1">
              <w:t>SAEs</w:t>
            </w:r>
          </w:p>
          <w:p w14:paraId="494B2C1A" w14:textId="6D5CEC5B" w:rsidR="00C07332" w:rsidRPr="009A2EA1" w:rsidRDefault="00C07332" w:rsidP="00C1003B">
            <w:r w:rsidRPr="009A2EA1">
              <w:t>Neutro</w:t>
            </w:r>
            <w:r w:rsidR="00EA30FD" w:rsidRPr="009A2EA1">
              <w:t>paenia</w:t>
            </w:r>
          </w:p>
          <w:p w14:paraId="63E7B18B" w14:textId="77777777" w:rsidR="00C07332" w:rsidRPr="009A2EA1" w:rsidRDefault="00C07332" w:rsidP="00C1003B">
            <w:r w:rsidRPr="009A2EA1">
              <w:t>Infections</w:t>
            </w:r>
          </w:p>
          <w:p w14:paraId="4A930201" w14:textId="77777777" w:rsidR="00C07332" w:rsidRPr="009A2EA1" w:rsidRDefault="00C07332" w:rsidP="00C1003B">
            <w:r w:rsidRPr="009A2EA1">
              <w:t>Death due to AEs</w:t>
            </w:r>
          </w:p>
          <w:p w14:paraId="04C0B868" w14:textId="539F06DA" w:rsidR="00C07332" w:rsidRPr="009A2EA1" w:rsidRDefault="00C07332" w:rsidP="00C1003B">
            <w:proofErr w:type="gramStart"/>
            <w:r w:rsidRPr="009A2EA1">
              <w:t>which</w:t>
            </w:r>
            <w:proofErr w:type="gramEnd"/>
            <w:r w:rsidRPr="009A2EA1">
              <w:t xml:space="preserve"> is even higher in patients ≥ 65 years of age.</w:t>
            </w:r>
            <w:r w:rsidR="00AC1EE2">
              <w:rPr>
                <w:rStyle w:val="FootnoteReference"/>
              </w:rPr>
              <w:footnoteReference w:id="5"/>
            </w:r>
          </w:p>
        </w:tc>
        <w:tc>
          <w:tcPr>
            <w:tcW w:w="4394" w:type="dxa"/>
          </w:tcPr>
          <w:p w14:paraId="706F31AA" w14:textId="6F6FD4DA" w:rsidR="00C07332" w:rsidRPr="009A2EA1" w:rsidRDefault="00C07332" w:rsidP="00C1003B">
            <w:r w:rsidRPr="009A2EA1">
              <w:t>The average ag</w:t>
            </w:r>
            <w:r w:rsidR="00C1003B">
              <w:t xml:space="preserve">e of the FL population in Study </w:t>
            </w:r>
            <w:r w:rsidRPr="009A2EA1">
              <w:t xml:space="preserve">BO21223 is </w:t>
            </w:r>
            <w:r w:rsidR="008006F4">
              <w:t>57.9</w:t>
            </w:r>
            <w:r w:rsidRPr="009A2EA1">
              <w:t xml:space="preserve"> years and </w:t>
            </w:r>
            <w:r w:rsidR="008006F4">
              <w:t>61.9</w:t>
            </w:r>
            <w:r w:rsidR="00FA7142">
              <w:t> </w:t>
            </w:r>
            <w:r w:rsidRPr="009A2EA1">
              <w:t>years in the MZL population and the ECOG performance score was 0 or 1. Patients with a CrCL ≤ 40 mL/min were excluded. This is not representative of the average FL population and makes it necessary to be cautious in the elderly, in patients with many co</w:t>
            </w:r>
            <w:r w:rsidR="00EE44DB">
              <w:t>-</w:t>
            </w:r>
            <w:r w:rsidRPr="009A2EA1">
              <w:t>morbidities and/or high ECOG performance score, and in patients with reduced CrCL.</w:t>
            </w:r>
          </w:p>
        </w:tc>
      </w:tr>
    </w:tbl>
    <w:p w14:paraId="0DF5F4F4" w14:textId="77777777" w:rsidR="00605AD4" w:rsidRPr="009A2EA1" w:rsidRDefault="00605AD4" w:rsidP="00605AD4">
      <w:pPr>
        <w:pStyle w:val="Heading4"/>
      </w:pPr>
      <w:r w:rsidRPr="009A2EA1">
        <w:t>First round assessment of benefit-risk balance</w:t>
      </w:r>
    </w:p>
    <w:p w14:paraId="541553BD" w14:textId="3444C7AB" w:rsidR="009511CC" w:rsidRPr="009A2EA1" w:rsidRDefault="009511CC" w:rsidP="006D2F38">
      <w:pPr>
        <w:pStyle w:val="Numberbullet0"/>
        <w:numPr>
          <w:ilvl w:val="0"/>
          <w:numId w:val="5"/>
        </w:numPr>
        <w:rPr>
          <w:lang w:eastAsia="ja-JP"/>
        </w:rPr>
      </w:pPr>
      <w:r w:rsidRPr="009A2EA1">
        <w:rPr>
          <w:lang w:eastAsia="ja-JP"/>
        </w:rPr>
        <w:t>In the investigated FL p</w:t>
      </w:r>
      <w:r w:rsidR="00BB3DFB">
        <w:rPr>
          <w:lang w:eastAsia="ja-JP"/>
        </w:rPr>
        <w:t>opulation the benefit outweighs</w:t>
      </w:r>
      <w:r w:rsidRPr="009A2EA1">
        <w:rPr>
          <w:lang w:eastAsia="ja-JP"/>
        </w:rPr>
        <w:t xml:space="preserve"> the risk when evaluating PFS. It is unknown, but likely, that this will lead to longer </w:t>
      </w:r>
      <w:r w:rsidR="00BB3DFB">
        <w:rPr>
          <w:lang w:eastAsia="ja-JP"/>
        </w:rPr>
        <w:t>OS</w:t>
      </w:r>
      <w:r w:rsidRPr="009A2EA1">
        <w:rPr>
          <w:lang w:eastAsia="ja-JP"/>
        </w:rPr>
        <w:t xml:space="preserve"> in this population.</w:t>
      </w:r>
    </w:p>
    <w:p w14:paraId="513A6DF3" w14:textId="78466073" w:rsidR="009511CC" w:rsidRPr="009A2EA1" w:rsidRDefault="009511CC" w:rsidP="006D2F38">
      <w:pPr>
        <w:pStyle w:val="Numberbullet0"/>
        <w:numPr>
          <w:ilvl w:val="0"/>
          <w:numId w:val="5"/>
        </w:numPr>
        <w:rPr>
          <w:lang w:eastAsia="ja-JP"/>
        </w:rPr>
      </w:pPr>
      <w:r w:rsidRPr="009A2EA1">
        <w:rPr>
          <w:lang w:eastAsia="ja-JP"/>
        </w:rPr>
        <w:t xml:space="preserve">The benefit may not outweigh the risk in elderly patients, in patients with reduced renal function, and in patients with an ECOG performance score ≥ 2. This group of patients comprises a substantial part of the follicular lymphoma patient population. To approve the indication there has to be clear warnings in the </w:t>
      </w:r>
      <w:r w:rsidR="00BB3DFB">
        <w:rPr>
          <w:lang w:eastAsia="ja-JP"/>
        </w:rPr>
        <w:t>PI</w:t>
      </w:r>
      <w:r w:rsidRPr="009A2EA1">
        <w:rPr>
          <w:lang w:eastAsia="ja-JP"/>
        </w:rPr>
        <w:t xml:space="preserve"> regarding the adverse events in this group of patients and regular updates on PFS and OS submitted to the TGA.</w:t>
      </w:r>
    </w:p>
    <w:p w14:paraId="2FC2F2FC" w14:textId="75258888" w:rsidR="00605AD4" w:rsidRPr="009A2EA1" w:rsidRDefault="009511CC" w:rsidP="006D2F38">
      <w:pPr>
        <w:pStyle w:val="Numberbullet0"/>
        <w:numPr>
          <w:ilvl w:val="0"/>
          <w:numId w:val="5"/>
        </w:numPr>
        <w:rPr>
          <w:lang w:eastAsia="ja-JP"/>
        </w:rPr>
      </w:pPr>
      <w:r w:rsidRPr="009A2EA1">
        <w:rPr>
          <w:lang w:eastAsia="ja-JP"/>
        </w:rPr>
        <w:lastRenderedPageBreak/>
        <w:t>MZL patients had more adverse events and there is a risk that obinutuzumab may be used outside the approved label and thus skew the benefit/risk negatively in these patients, which stresses the importance</w:t>
      </w:r>
      <w:r w:rsidR="00BB3DFB">
        <w:rPr>
          <w:lang w:eastAsia="ja-JP"/>
        </w:rPr>
        <w:t xml:space="preserve"> of the warnings</w:t>
      </w:r>
      <w:r w:rsidRPr="009A2EA1">
        <w:rPr>
          <w:lang w:eastAsia="ja-JP"/>
        </w:rPr>
        <w:t>.</w:t>
      </w:r>
    </w:p>
    <w:p w14:paraId="64F07151" w14:textId="4E17740E" w:rsidR="00605AD4" w:rsidRPr="009A2EA1" w:rsidRDefault="00605AD4" w:rsidP="00605AD4">
      <w:pPr>
        <w:pStyle w:val="Heading3"/>
        <w:rPr>
          <w:rFonts w:eastAsia="Cambria"/>
        </w:rPr>
      </w:pPr>
      <w:bookmarkStart w:id="80" w:name="_Toc513552855"/>
      <w:r w:rsidRPr="009A2EA1">
        <w:rPr>
          <w:rFonts w:eastAsia="Cambria"/>
        </w:rPr>
        <w:t xml:space="preserve">First </w:t>
      </w:r>
      <w:r w:rsidR="00C1003B" w:rsidRPr="009A2EA1">
        <w:rPr>
          <w:rFonts w:eastAsia="Cambria"/>
        </w:rPr>
        <w:t>round recommendation regarding authorisation</w:t>
      </w:r>
      <w:bookmarkEnd w:id="80"/>
    </w:p>
    <w:p w14:paraId="333865E9" w14:textId="0E64A689" w:rsidR="009511CC" w:rsidRPr="009A2EA1" w:rsidRDefault="009511CC" w:rsidP="009511CC">
      <w:r w:rsidRPr="009A2EA1">
        <w:rPr>
          <w:lang w:eastAsia="ja-JP"/>
        </w:rPr>
        <w:t>Approval of ‘</w:t>
      </w:r>
      <w:r w:rsidRPr="009A2EA1">
        <w:rPr>
          <w:i/>
          <w:lang w:eastAsia="ja-JP"/>
        </w:rPr>
        <w:t xml:space="preserve">Gazyva in combination with chemotherapy followed by Gazyva maintenance is indicated for the treatment of patients with previously untreated follicular lymphoma’ </w:t>
      </w:r>
      <w:r w:rsidRPr="009A2EA1">
        <w:rPr>
          <w:lang w:eastAsia="ja-JP"/>
        </w:rPr>
        <w:t>is recommended</w:t>
      </w:r>
      <w:r w:rsidRPr="009A2EA1">
        <w:rPr>
          <w:i/>
          <w:lang w:eastAsia="ja-JP"/>
        </w:rPr>
        <w:t xml:space="preserve"> </w:t>
      </w:r>
      <w:r w:rsidRPr="009A2EA1">
        <w:rPr>
          <w:lang w:eastAsia="ja-JP"/>
        </w:rPr>
        <w:t xml:space="preserve">provided that the </w:t>
      </w:r>
      <w:r w:rsidR="004D0921">
        <w:t>PI and consumer medicines information (</w:t>
      </w:r>
      <w:r w:rsidRPr="009A2EA1">
        <w:t>CMI</w:t>
      </w:r>
      <w:r w:rsidR="004D0921">
        <w:t>)</w:t>
      </w:r>
      <w:r w:rsidRPr="009A2EA1">
        <w:t xml:space="preserve"> clearly display the various adverse events seen to a higher extent in the G-chemo arm compared to the R-chemo arm and also clearly state the higher incidence of all adverse events in patients &gt; 65 years of age and patients with reduced renal function. The fact that the patients in the pivotal study had an ECOG performance score of 0 or 1 also has to be clearly visible.</w:t>
      </w:r>
    </w:p>
    <w:p w14:paraId="773828B8" w14:textId="4612CAC5" w:rsidR="00605AD4" w:rsidRPr="009A2EA1" w:rsidRDefault="009511CC" w:rsidP="00605AD4">
      <w:pPr>
        <w:rPr>
          <w:lang w:eastAsia="ja-JP"/>
        </w:rPr>
      </w:pPr>
      <w:r w:rsidRPr="009A2EA1">
        <w:rPr>
          <w:lang w:eastAsia="ja-JP"/>
        </w:rPr>
        <w:t xml:space="preserve">The sponsor should present a </w:t>
      </w:r>
      <w:r w:rsidR="00475F87">
        <w:rPr>
          <w:lang w:eastAsia="ja-JP"/>
        </w:rPr>
        <w:t>PI</w:t>
      </w:r>
      <w:r w:rsidRPr="009A2EA1">
        <w:rPr>
          <w:lang w:eastAsia="ja-JP"/>
        </w:rPr>
        <w:t xml:space="preserve"> document complying with these conditions for evaluation</w:t>
      </w:r>
      <w:r w:rsidR="00AD65C7">
        <w:rPr>
          <w:lang w:eastAsia="ja-JP"/>
        </w:rPr>
        <w:t>.</w:t>
      </w:r>
    </w:p>
    <w:p w14:paraId="5DE67426" w14:textId="52D50813" w:rsidR="00605AD4" w:rsidRPr="009A2EA1" w:rsidRDefault="00605AD4" w:rsidP="00605AD4">
      <w:pPr>
        <w:pStyle w:val="Heading3"/>
        <w:rPr>
          <w:rFonts w:eastAsia="Cambria"/>
        </w:rPr>
      </w:pPr>
      <w:bookmarkStart w:id="81" w:name="_Toc513552856"/>
      <w:r w:rsidRPr="009A2EA1">
        <w:rPr>
          <w:rFonts w:eastAsia="Cambria"/>
        </w:rPr>
        <w:t xml:space="preserve">Second </w:t>
      </w:r>
      <w:r w:rsidR="00C1003B" w:rsidRPr="009A2EA1">
        <w:rPr>
          <w:rFonts w:eastAsia="Cambria"/>
        </w:rPr>
        <w:t xml:space="preserve">round evaluation </w:t>
      </w:r>
      <w:r w:rsidRPr="009A2EA1">
        <w:rPr>
          <w:rFonts w:eastAsia="Cambria"/>
        </w:rPr>
        <w:t>of clinical data submitted in response to questions</w:t>
      </w:r>
      <w:bookmarkEnd w:id="81"/>
    </w:p>
    <w:p w14:paraId="6D02B363" w14:textId="3F09E12D" w:rsidR="006136D7" w:rsidRPr="009A2EA1" w:rsidRDefault="006136D7" w:rsidP="006136D7">
      <w:r w:rsidRPr="009A2EA1">
        <w:t xml:space="preserve">For details of the </w:t>
      </w:r>
      <w:r w:rsidR="00C456E5">
        <w:t>eval</w:t>
      </w:r>
      <w:r w:rsidR="00EE44DB">
        <w:t>u</w:t>
      </w:r>
      <w:r w:rsidR="00C456E5">
        <w:t>a</w:t>
      </w:r>
      <w:r w:rsidR="00EE44DB">
        <w:t xml:space="preserve">tor’s questions, the </w:t>
      </w:r>
      <w:r w:rsidRPr="009A2EA1">
        <w:t>sponsor’s responses and the evaluation of these responses please see Attachment 2.</w:t>
      </w:r>
    </w:p>
    <w:p w14:paraId="1BA8D826" w14:textId="3669D483" w:rsidR="00605AD4" w:rsidRPr="009A2EA1" w:rsidRDefault="00605AD4" w:rsidP="00546154">
      <w:pPr>
        <w:pStyle w:val="Heading3"/>
        <w:rPr>
          <w:rFonts w:eastAsia="Cambria"/>
        </w:rPr>
      </w:pPr>
      <w:bookmarkStart w:id="82" w:name="_Toc513552857"/>
      <w:r w:rsidRPr="009A2EA1">
        <w:rPr>
          <w:rFonts w:eastAsia="Cambria"/>
        </w:rPr>
        <w:t xml:space="preserve">Second </w:t>
      </w:r>
      <w:r w:rsidR="00C1003B" w:rsidRPr="009A2EA1">
        <w:rPr>
          <w:rFonts w:eastAsia="Cambria"/>
        </w:rPr>
        <w:t>round benefit-risk assessment</w:t>
      </w:r>
      <w:bookmarkEnd w:id="82"/>
    </w:p>
    <w:p w14:paraId="3778F4F5" w14:textId="57059EBB" w:rsidR="00605AD4" w:rsidRPr="009A2EA1" w:rsidRDefault="000F5F42" w:rsidP="00546154">
      <w:r w:rsidRPr="009A2EA1">
        <w:t xml:space="preserve">The substance of the questions asked in the first round and their answers has not changed the overall positive risk/benefit of the product. The first round evaluator was concerned that the higher rates of certain </w:t>
      </w:r>
      <w:r w:rsidR="00475F87">
        <w:t>adverse drug reactions (ADR)</w:t>
      </w:r>
      <w:r w:rsidRPr="009A2EA1">
        <w:t xml:space="preserve"> noted with the G-chemo arm was made explicit in the PI and this has been done by compliance with the requests made to amend the PI document. In addition, the adverse event rate differences in general terms (SAEs, AEs leading to death or withdrawal) in the elderly versus the rest of the study population has been made clear. On this basis, the concerns of the first round evaluator have been met.</w:t>
      </w:r>
    </w:p>
    <w:p w14:paraId="365A3BF6" w14:textId="50FE4F70" w:rsidR="008E7846" w:rsidRPr="009A2EA1" w:rsidRDefault="008E7846" w:rsidP="00546154">
      <w:pPr>
        <w:pStyle w:val="Heading2"/>
      </w:pPr>
      <w:bookmarkStart w:id="83" w:name="_Toc513552858"/>
      <w:r w:rsidRPr="009A2EA1">
        <w:t>V</w:t>
      </w:r>
      <w:r w:rsidR="003F10C6">
        <w:t>I</w:t>
      </w:r>
      <w:r w:rsidRPr="009A2EA1">
        <w:t>. Pharmacovigilance findings</w:t>
      </w:r>
      <w:bookmarkEnd w:id="71"/>
      <w:bookmarkEnd w:id="72"/>
      <w:bookmarkEnd w:id="83"/>
    </w:p>
    <w:p w14:paraId="07EC471A" w14:textId="77777777" w:rsidR="008E7846" w:rsidRPr="009A2EA1" w:rsidRDefault="00386150" w:rsidP="008E7846">
      <w:pPr>
        <w:pStyle w:val="Heading3"/>
        <w:rPr>
          <w:lang w:eastAsia="en-AU"/>
        </w:rPr>
      </w:pPr>
      <w:bookmarkStart w:id="84" w:name="_Toc247691526"/>
      <w:bookmarkStart w:id="85" w:name="_Toc314842509"/>
      <w:bookmarkStart w:id="86" w:name="_Toc513552859"/>
      <w:r w:rsidRPr="009A2EA1">
        <w:rPr>
          <w:lang w:eastAsia="en-AU"/>
        </w:rPr>
        <w:t>Risk m</w:t>
      </w:r>
      <w:r w:rsidR="008E7846" w:rsidRPr="009A2EA1">
        <w:rPr>
          <w:lang w:eastAsia="en-AU"/>
        </w:rPr>
        <w:t xml:space="preserve">anagement </w:t>
      </w:r>
      <w:r w:rsidRPr="009A2EA1">
        <w:rPr>
          <w:lang w:eastAsia="en-AU"/>
        </w:rPr>
        <w:t>p</w:t>
      </w:r>
      <w:r w:rsidR="008E7846" w:rsidRPr="009A2EA1">
        <w:rPr>
          <w:lang w:eastAsia="en-AU"/>
        </w:rPr>
        <w:t>lan</w:t>
      </w:r>
      <w:bookmarkEnd w:id="84"/>
      <w:bookmarkEnd w:id="85"/>
      <w:bookmarkEnd w:id="86"/>
    </w:p>
    <w:p w14:paraId="3CB25ADC" w14:textId="5DBEA26A" w:rsidR="00B430B7" w:rsidRPr="00902706" w:rsidRDefault="00B430B7" w:rsidP="00C456E5">
      <w:pPr>
        <w:pStyle w:val="ListBullet"/>
      </w:pPr>
      <w:bookmarkStart w:id="87" w:name="_Toc247691527"/>
      <w:bookmarkStart w:id="88" w:name="_Toc314842510"/>
      <w:r w:rsidRPr="007D7842">
        <w:t>In support of the extended indications</w:t>
      </w:r>
      <w:r>
        <w:t xml:space="preserve"> for this application (</w:t>
      </w:r>
      <w:r w:rsidR="004A79CF">
        <w:t xml:space="preserve">extension of indications to include the </w:t>
      </w:r>
      <w:r>
        <w:t>first</w:t>
      </w:r>
      <w:r w:rsidR="004A79CF">
        <w:t xml:space="preserve"> </w:t>
      </w:r>
      <w:r>
        <w:t xml:space="preserve">line treatment </w:t>
      </w:r>
      <w:r w:rsidR="004A79CF">
        <w:t xml:space="preserve">of </w:t>
      </w:r>
      <w:r>
        <w:t>FL)</w:t>
      </w:r>
      <w:r w:rsidRPr="007D7842">
        <w:t xml:space="preserve">, the </w:t>
      </w:r>
      <w:r>
        <w:t>s</w:t>
      </w:r>
      <w:r w:rsidRPr="007D7842">
        <w:t>ponsor has submitted EU-RMP version</w:t>
      </w:r>
      <w:r>
        <w:t xml:space="preserve"> </w:t>
      </w:r>
      <w:r w:rsidRPr="007D7842">
        <w:t>3.0 (dated 13</w:t>
      </w:r>
      <w:r w:rsidR="004A79CF">
        <w:t> </w:t>
      </w:r>
      <w:r w:rsidRPr="007D7842">
        <w:t xml:space="preserve">September 2016; </w:t>
      </w:r>
      <w:r w:rsidR="004A79CF">
        <w:t>data lock point (</w:t>
      </w:r>
      <w:r w:rsidRPr="007D7842">
        <w:t>DLP</w:t>
      </w:r>
      <w:r w:rsidR="004A79CF">
        <w:t>)</w:t>
      </w:r>
      <w:r w:rsidRPr="007D7842">
        <w:t xml:space="preserve"> 5 September 2016) and </w:t>
      </w:r>
      <w:r>
        <w:t>Australian Specific Annex (</w:t>
      </w:r>
      <w:r w:rsidRPr="00635BC5">
        <w:t>ASA</w:t>
      </w:r>
      <w:r>
        <w:t>)</w:t>
      </w:r>
      <w:r w:rsidRPr="00635BC5">
        <w:t xml:space="preserve"> version 4.0 (dated October 2016</w:t>
      </w:r>
      <w:r w:rsidRPr="00902706">
        <w:t xml:space="preserve">). In its </w:t>
      </w:r>
      <w:r w:rsidR="004A79CF">
        <w:t xml:space="preserve">post-first round evaluation </w:t>
      </w:r>
      <w:r w:rsidRPr="00902706">
        <w:t xml:space="preserve">response, the </w:t>
      </w:r>
      <w:r w:rsidR="004A79CF">
        <w:t>s</w:t>
      </w:r>
      <w:r w:rsidRPr="00902706">
        <w:t>ponsor submitted ASA version 4.1, dated June 2017 to support the extension of indications.</w:t>
      </w:r>
    </w:p>
    <w:p w14:paraId="21548928" w14:textId="7ABF4FA9" w:rsidR="00B430B7" w:rsidRPr="006E1A4F" w:rsidRDefault="00B430B7" w:rsidP="00C456E5">
      <w:pPr>
        <w:pStyle w:val="ListBullet"/>
      </w:pPr>
      <w:r w:rsidRPr="007D7842">
        <w:t>The most recently evaluated EU-RMP was version 2.0 (dated 20 May 2016; DLP</w:t>
      </w:r>
      <w:r w:rsidR="004A79CF">
        <w:t> </w:t>
      </w:r>
      <w:r w:rsidRPr="007D7842">
        <w:t>4</w:t>
      </w:r>
      <w:r w:rsidR="004A79CF">
        <w:t> </w:t>
      </w:r>
      <w:r w:rsidRPr="007D7842">
        <w:t>August 2015) and ASA version 3.1 (date</w:t>
      </w:r>
      <w:r>
        <w:t xml:space="preserve">d </w:t>
      </w:r>
      <w:r w:rsidRPr="007D7842">
        <w:t>August 2016)</w:t>
      </w:r>
      <w:r w:rsidRPr="0086370C">
        <w:t>), which were submitted wi</w:t>
      </w:r>
      <w:r>
        <w:t>th application PM-2015-03578-1-4 (</w:t>
      </w:r>
      <w:r w:rsidR="004A79CF">
        <w:t xml:space="preserve">extension of indications to include </w:t>
      </w:r>
      <w:r>
        <w:t>indolent NHL (</w:t>
      </w:r>
      <w:r w:rsidR="004A79CF">
        <w:t>FL</w:t>
      </w:r>
      <w:r>
        <w:t>, second</w:t>
      </w:r>
      <w:r w:rsidR="004A79CF">
        <w:t> </w:t>
      </w:r>
      <w:r>
        <w:t>line</w:t>
      </w:r>
      <w:r w:rsidR="004A79CF">
        <w:t xml:space="preserve"> treatment</w:t>
      </w:r>
      <w:r>
        <w:t>))</w:t>
      </w:r>
      <w:r w:rsidRPr="007D7842">
        <w:t>.</w:t>
      </w:r>
    </w:p>
    <w:p w14:paraId="431E9833" w14:textId="537BB16A" w:rsidR="00B430B7" w:rsidRDefault="00B430B7" w:rsidP="00C456E5">
      <w:pPr>
        <w:pStyle w:val="ListBullet"/>
      </w:pPr>
      <w:r w:rsidRPr="006E1A4F">
        <w:lastRenderedPageBreak/>
        <w:t>The proposed Summary of Safety Concerns and their associated risk monitoring and mitigation strategies are summarised below</w:t>
      </w:r>
      <w:r w:rsidR="00230AD1">
        <w:t xml:space="preserve"> (Table </w:t>
      </w:r>
      <w:r w:rsidR="003F5883">
        <w:t>8</w:t>
      </w:r>
      <w:r w:rsidR="00230AD1">
        <w:t>).</w:t>
      </w:r>
    </w:p>
    <w:p w14:paraId="1A8211A6" w14:textId="185FF9C9" w:rsidR="00230AD1" w:rsidRDefault="00230AD1" w:rsidP="00C456E5">
      <w:pPr>
        <w:pStyle w:val="Tabletitle0"/>
      </w:pPr>
      <w:proofErr w:type="gramStart"/>
      <w:r>
        <w:t xml:space="preserve">Table </w:t>
      </w:r>
      <w:r w:rsidR="003F5883">
        <w:t>8.</w:t>
      </w:r>
      <w:proofErr w:type="gramEnd"/>
      <w:r>
        <w:t xml:space="preserve"> Summary of ongoing safety concerns</w:t>
      </w:r>
    </w:p>
    <w:p w14:paraId="6CC47145" w14:textId="473A500A" w:rsidR="00230AD1" w:rsidRPr="00230AD1" w:rsidRDefault="00230AD1" w:rsidP="00C456E5">
      <w:pPr>
        <w:pStyle w:val="TableDescription"/>
      </w:pPr>
      <w:r>
        <w:t>R=routine and A=additional</w:t>
      </w:r>
    </w:p>
    <w:tbl>
      <w:tblPr>
        <w:tblStyle w:val="TableTGAblue"/>
        <w:tblW w:w="8897" w:type="dxa"/>
        <w:tblLayout w:type="fixed"/>
        <w:tblLook w:val="04A0" w:firstRow="1" w:lastRow="0" w:firstColumn="1" w:lastColumn="0" w:noHBand="0" w:noVBand="1"/>
      </w:tblPr>
      <w:tblGrid>
        <w:gridCol w:w="1668"/>
        <w:gridCol w:w="3260"/>
        <w:gridCol w:w="1276"/>
        <w:gridCol w:w="992"/>
        <w:gridCol w:w="850"/>
        <w:gridCol w:w="851"/>
      </w:tblGrid>
      <w:tr w:rsidR="00230AD1" w:rsidRPr="004F1C07" w14:paraId="37A9F5CC" w14:textId="77777777" w:rsidTr="000D7406">
        <w:trPr>
          <w:cnfStyle w:val="100000000000" w:firstRow="1" w:lastRow="0" w:firstColumn="0" w:lastColumn="0" w:oddVBand="0" w:evenVBand="0" w:oddHBand="0" w:evenHBand="0" w:firstRowFirstColumn="0" w:firstRowLastColumn="0" w:lastRowFirstColumn="0" w:lastRowLastColumn="0"/>
          <w:trHeight w:val="754"/>
        </w:trPr>
        <w:tc>
          <w:tcPr>
            <w:tcW w:w="4928" w:type="dxa"/>
            <w:gridSpan w:val="2"/>
            <w:vMerge w:val="restart"/>
            <w:tcBorders>
              <w:right w:val="single" w:sz="4" w:space="0" w:color="auto"/>
            </w:tcBorders>
          </w:tcPr>
          <w:p w14:paraId="07C1C01C" w14:textId="77777777" w:rsidR="00B430B7" w:rsidRPr="004F1C07" w:rsidRDefault="00B430B7" w:rsidP="00D33C63">
            <w:pPr>
              <w:pStyle w:val="Tabletext"/>
              <w:rPr>
                <w:b w:val="0"/>
              </w:rPr>
            </w:pPr>
            <w:r w:rsidRPr="004F1C07">
              <w:t>Summary of safety concerns</w:t>
            </w:r>
          </w:p>
        </w:tc>
        <w:tc>
          <w:tcPr>
            <w:tcW w:w="2268" w:type="dxa"/>
            <w:gridSpan w:val="2"/>
            <w:tcBorders>
              <w:left w:val="single" w:sz="4" w:space="0" w:color="auto"/>
              <w:right w:val="single" w:sz="4" w:space="0" w:color="auto"/>
            </w:tcBorders>
          </w:tcPr>
          <w:p w14:paraId="2EF3B502" w14:textId="77777777" w:rsidR="00B430B7" w:rsidRPr="0011726C" w:rsidRDefault="00B430B7" w:rsidP="00D33C63">
            <w:pPr>
              <w:pStyle w:val="Tabletext"/>
              <w:rPr>
                <w:b w:val="0"/>
                <w:sz w:val="18"/>
              </w:rPr>
            </w:pPr>
            <w:r w:rsidRPr="0011726C">
              <w:rPr>
                <w:sz w:val="18"/>
              </w:rPr>
              <w:t>Pharmacovigilance</w:t>
            </w:r>
          </w:p>
        </w:tc>
        <w:tc>
          <w:tcPr>
            <w:tcW w:w="1701" w:type="dxa"/>
            <w:gridSpan w:val="2"/>
            <w:tcBorders>
              <w:left w:val="single" w:sz="4" w:space="0" w:color="auto"/>
            </w:tcBorders>
          </w:tcPr>
          <w:p w14:paraId="5673E877" w14:textId="77777777" w:rsidR="00B430B7" w:rsidRPr="0011726C" w:rsidRDefault="00B430B7" w:rsidP="00D33C63">
            <w:pPr>
              <w:pStyle w:val="Tabletext"/>
              <w:rPr>
                <w:b w:val="0"/>
                <w:sz w:val="18"/>
              </w:rPr>
            </w:pPr>
            <w:r w:rsidRPr="0011726C">
              <w:rPr>
                <w:sz w:val="18"/>
              </w:rPr>
              <w:t>Risk Minimisation</w:t>
            </w:r>
          </w:p>
        </w:tc>
      </w:tr>
      <w:tr w:rsidR="00230AD1" w:rsidRPr="004F1C07" w14:paraId="3C240661" w14:textId="77777777" w:rsidTr="000D7406">
        <w:trPr>
          <w:trHeight w:val="484"/>
        </w:trPr>
        <w:tc>
          <w:tcPr>
            <w:tcW w:w="4928" w:type="dxa"/>
            <w:gridSpan w:val="2"/>
            <w:vMerge/>
            <w:tcBorders>
              <w:right w:val="single" w:sz="4" w:space="0" w:color="auto"/>
            </w:tcBorders>
          </w:tcPr>
          <w:p w14:paraId="0E47616A" w14:textId="77777777" w:rsidR="00B430B7" w:rsidRPr="004F1C07" w:rsidRDefault="00B430B7" w:rsidP="00D33C63">
            <w:pPr>
              <w:pStyle w:val="Tabletext"/>
              <w:rPr>
                <w:b/>
              </w:rPr>
            </w:pPr>
          </w:p>
        </w:tc>
        <w:tc>
          <w:tcPr>
            <w:tcW w:w="1276" w:type="dxa"/>
            <w:tcBorders>
              <w:left w:val="single" w:sz="4" w:space="0" w:color="auto"/>
            </w:tcBorders>
          </w:tcPr>
          <w:p w14:paraId="6370CBDD" w14:textId="231D5FBC" w:rsidR="00B430B7" w:rsidRPr="0011726C" w:rsidRDefault="00B430B7" w:rsidP="00230AD1">
            <w:pPr>
              <w:pStyle w:val="Tabletext"/>
              <w:rPr>
                <w:sz w:val="18"/>
              </w:rPr>
            </w:pPr>
            <w:r w:rsidRPr="0011726C">
              <w:rPr>
                <w:sz w:val="18"/>
              </w:rPr>
              <w:t>R</w:t>
            </w:r>
          </w:p>
        </w:tc>
        <w:tc>
          <w:tcPr>
            <w:tcW w:w="992" w:type="dxa"/>
          </w:tcPr>
          <w:p w14:paraId="7949CB80" w14:textId="38EE6971" w:rsidR="00B430B7" w:rsidRPr="0011726C" w:rsidRDefault="00B430B7" w:rsidP="00230AD1">
            <w:pPr>
              <w:pStyle w:val="Tabletext"/>
              <w:rPr>
                <w:sz w:val="18"/>
              </w:rPr>
            </w:pPr>
            <w:r w:rsidRPr="0011726C">
              <w:rPr>
                <w:sz w:val="18"/>
              </w:rPr>
              <w:t>A</w:t>
            </w:r>
          </w:p>
        </w:tc>
        <w:tc>
          <w:tcPr>
            <w:tcW w:w="850" w:type="dxa"/>
          </w:tcPr>
          <w:p w14:paraId="1F10F51F" w14:textId="2D4FEC18" w:rsidR="00B430B7" w:rsidRPr="0011726C" w:rsidRDefault="00B430B7" w:rsidP="00230AD1">
            <w:pPr>
              <w:pStyle w:val="Tabletext"/>
              <w:rPr>
                <w:sz w:val="18"/>
              </w:rPr>
            </w:pPr>
            <w:r w:rsidRPr="0011726C">
              <w:rPr>
                <w:sz w:val="18"/>
              </w:rPr>
              <w:t>R</w:t>
            </w:r>
          </w:p>
        </w:tc>
        <w:tc>
          <w:tcPr>
            <w:tcW w:w="851" w:type="dxa"/>
          </w:tcPr>
          <w:p w14:paraId="68987742" w14:textId="6E21189A" w:rsidR="00B430B7" w:rsidRPr="0011726C" w:rsidRDefault="00B430B7" w:rsidP="00230AD1">
            <w:pPr>
              <w:pStyle w:val="Tabletext"/>
              <w:rPr>
                <w:sz w:val="18"/>
              </w:rPr>
            </w:pPr>
            <w:r w:rsidRPr="0011726C">
              <w:rPr>
                <w:sz w:val="18"/>
              </w:rPr>
              <w:t>A</w:t>
            </w:r>
          </w:p>
        </w:tc>
      </w:tr>
      <w:tr w:rsidR="00230AD1" w:rsidRPr="004F1C07" w14:paraId="56443880" w14:textId="77777777" w:rsidTr="00C456E5">
        <w:trPr>
          <w:trHeight w:val="137"/>
        </w:trPr>
        <w:tc>
          <w:tcPr>
            <w:tcW w:w="1668" w:type="dxa"/>
            <w:vMerge w:val="restart"/>
          </w:tcPr>
          <w:p w14:paraId="4D158430" w14:textId="77777777" w:rsidR="00B430B7" w:rsidRPr="00680101" w:rsidRDefault="00B430B7" w:rsidP="00D33C63">
            <w:pPr>
              <w:pStyle w:val="Tabletext"/>
              <w:rPr>
                <w:b/>
              </w:rPr>
            </w:pPr>
            <w:r w:rsidRPr="00680101">
              <w:rPr>
                <w:b/>
              </w:rPr>
              <w:t>Important identified risks</w:t>
            </w:r>
          </w:p>
        </w:tc>
        <w:tc>
          <w:tcPr>
            <w:tcW w:w="3260" w:type="dxa"/>
          </w:tcPr>
          <w:p w14:paraId="4D7D142E" w14:textId="77777777" w:rsidR="00B430B7" w:rsidRPr="00854A02" w:rsidRDefault="00B430B7" w:rsidP="00D33C63">
            <w:pPr>
              <w:pStyle w:val="Summaryofsafetyconcerns"/>
              <w:rPr>
                <w:b w:val="0"/>
              </w:rPr>
            </w:pPr>
            <w:r w:rsidRPr="00854A02">
              <w:rPr>
                <w:b w:val="0"/>
              </w:rPr>
              <w:t>Infusion related reactions</w:t>
            </w:r>
          </w:p>
        </w:tc>
        <w:tc>
          <w:tcPr>
            <w:tcW w:w="1276" w:type="dxa"/>
          </w:tcPr>
          <w:p w14:paraId="527C1462" w14:textId="77777777" w:rsidR="00B430B7" w:rsidRPr="005A25DB" w:rsidRDefault="00B430B7" w:rsidP="00D33C63">
            <w:pPr>
              <w:pStyle w:val="Tabletext"/>
              <w:jc w:val="center"/>
            </w:pPr>
            <w:r w:rsidRPr="005A25DB">
              <w:sym w:font="Wingdings" w:char="F0FC"/>
            </w:r>
          </w:p>
        </w:tc>
        <w:tc>
          <w:tcPr>
            <w:tcW w:w="992" w:type="dxa"/>
          </w:tcPr>
          <w:p w14:paraId="7D26CE1D" w14:textId="77777777" w:rsidR="00B430B7" w:rsidRPr="005A25DB" w:rsidRDefault="00B430B7" w:rsidP="00D33C63">
            <w:pPr>
              <w:pStyle w:val="Tabletext"/>
              <w:jc w:val="center"/>
            </w:pPr>
            <w:r w:rsidRPr="005A25DB">
              <w:sym w:font="Wingdings" w:char="F0FC"/>
            </w:r>
          </w:p>
        </w:tc>
        <w:tc>
          <w:tcPr>
            <w:tcW w:w="850" w:type="dxa"/>
          </w:tcPr>
          <w:p w14:paraId="54BE188F" w14:textId="77777777" w:rsidR="00B430B7" w:rsidRPr="005A25DB" w:rsidRDefault="00B430B7" w:rsidP="00D33C63">
            <w:pPr>
              <w:pStyle w:val="Tabletext"/>
              <w:jc w:val="center"/>
            </w:pPr>
            <w:r w:rsidRPr="005A25DB">
              <w:sym w:font="Wingdings" w:char="F0FC"/>
            </w:r>
          </w:p>
        </w:tc>
        <w:tc>
          <w:tcPr>
            <w:tcW w:w="851" w:type="dxa"/>
          </w:tcPr>
          <w:p w14:paraId="1BC100B1" w14:textId="77777777" w:rsidR="00B430B7" w:rsidRPr="005A25DB" w:rsidRDefault="00B430B7" w:rsidP="00D33C63">
            <w:pPr>
              <w:pStyle w:val="Tabletext"/>
              <w:jc w:val="center"/>
            </w:pPr>
            <w:r w:rsidRPr="005A25DB">
              <w:t>–</w:t>
            </w:r>
          </w:p>
        </w:tc>
      </w:tr>
      <w:tr w:rsidR="00230AD1" w:rsidRPr="004F1C07" w14:paraId="41D2D80A" w14:textId="77777777" w:rsidTr="00C456E5">
        <w:trPr>
          <w:trHeight w:val="180"/>
        </w:trPr>
        <w:tc>
          <w:tcPr>
            <w:tcW w:w="1668" w:type="dxa"/>
            <w:vMerge/>
          </w:tcPr>
          <w:p w14:paraId="12387B2B" w14:textId="77777777" w:rsidR="00B430B7" w:rsidRPr="00680101" w:rsidRDefault="00B430B7" w:rsidP="00D33C63">
            <w:pPr>
              <w:pStyle w:val="Tabletext"/>
              <w:rPr>
                <w:b/>
              </w:rPr>
            </w:pPr>
          </w:p>
        </w:tc>
        <w:tc>
          <w:tcPr>
            <w:tcW w:w="3260" w:type="dxa"/>
          </w:tcPr>
          <w:p w14:paraId="1BD9CCFB" w14:textId="56AF3632" w:rsidR="00B430B7" w:rsidRPr="00854A02" w:rsidRDefault="00B430B7" w:rsidP="00D33C63">
            <w:pPr>
              <w:pStyle w:val="Summaryofsafetyconcerns"/>
              <w:rPr>
                <w:b w:val="0"/>
              </w:rPr>
            </w:pPr>
            <w:r w:rsidRPr="00854A02">
              <w:rPr>
                <w:b w:val="0"/>
              </w:rPr>
              <w:t>Tumo</w:t>
            </w:r>
            <w:r w:rsidR="00273E54">
              <w:rPr>
                <w:b w:val="0"/>
              </w:rPr>
              <w:t>u</w:t>
            </w:r>
            <w:r w:rsidRPr="00854A02">
              <w:rPr>
                <w:b w:val="0"/>
              </w:rPr>
              <w:t>r lysis syndrome</w:t>
            </w:r>
          </w:p>
        </w:tc>
        <w:tc>
          <w:tcPr>
            <w:tcW w:w="1276" w:type="dxa"/>
          </w:tcPr>
          <w:p w14:paraId="0D99810B" w14:textId="77777777" w:rsidR="00B430B7" w:rsidRPr="005A25DB" w:rsidRDefault="00B430B7" w:rsidP="00D33C63">
            <w:pPr>
              <w:pStyle w:val="Tabletext"/>
              <w:jc w:val="center"/>
            </w:pPr>
            <w:r w:rsidRPr="005A25DB">
              <w:sym w:font="Wingdings" w:char="F0FC"/>
            </w:r>
          </w:p>
        </w:tc>
        <w:tc>
          <w:tcPr>
            <w:tcW w:w="992" w:type="dxa"/>
          </w:tcPr>
          <w:p w14:paraId="54F83DE4" w14:textId="77777777" w:rsidR="00B430B7" w:rsidRPr="005A25DB" w:rsidRDefault="00B430B7" w:rsidP="00D33C63">
            <w:pPr>
              <w:pStyle w:val="Tabletext"/>
              <w:jc w:val="center"/>
            </w:pPr>
          </w:p>
        </w:tc>
        <w:tc>
          <w:tcPr>
            <w:tcW w:w="850" w:type="dxa"/>
          </w:tcPr>
          <w:p w14:paraId="526B24D3" w14:textId="77777777" w:rsidR="00B430B7" w:rsidRPr="005A25DB" w:rsidRDefault="00B430B7" w:rsidP="00D33C63">
            <w:pPr>
              <w:pStyle w:val="Tabletext"/>
              <w:jc w:val="center"/>
            </w:pPr>
            <w:r w:rsidRPr="005A25DB">
              <w:sym w:font="Wingdings" w:char="F0FC"/>
            </w:r>
          </w:p>
        </w:tc>
        <w:tc>
          <w:tcPr>
            <w:tcW w:w="851" w:type="dxa"/>
          </w:tcPr>
          <w:p w14:paraId="73709A0D" w14:textId="77777777" w:rsidR="00B430B7" w:rsidRPr="005A25DB" w:rsidRDefault="00B430B7" w:rsidP="00D33C63">
            <w:pPr>
              <w:pStyle w:val="Tabletext"/>
              <w:jc w:val="center"/>
            </w:pPr>
            <w:r w:rsidRPr="005A25DB">
              <w:t>–</w:t>
            </w:r>
          </w:p>
        </w:tc>
      </w:tr>
      <w:tr w:rsidR="00230AD1" w:rsidRPr="004F1C07" w14:paraId="4CEEA93A" w14:textId="77777777" w:rsidTr="00C456E5">
        <w:trPr>
          <w:trHeight w:val="200"/>
        </w:trPr>
        <w:tc>
          <w:tcPr>
            <w:tcW w:w="1668" w:type="dxa"/>
            <w:vMerge/>
          </w:tcPr>
          <w:p w14:paraId="50B6C016" w14:textId="77777777" w:rsidR="00B430B7" w:rsidRPr="00680101" w:rsidRDefault="00B430B7" w:rsidP="00D33C63">
            <w:pPr>
              <w:pStyle w:val="Tabletext"/>
              <w:rPr>
                <w:b/>
              </w:rPr>
            </w:pPr>
          </w:p>
        </w:tc>
        <w:tc>
          <w:tcPr>
            <w:tcW w:w="3260" w:type="dxa"/>
          </w:tcPr>
          <w:p w14:paraId="0DF3FEA3" w14:textId="0393C312" w:rsidR="00B430B7" w:rsidRPr="00854A02" w:rsidRDefault="00B430B7" w:rsidP="00D33C63">
            <w:pPr>
              <w:pStyle w:val="Summaryofsafetyconcerns"/>
              <w:rPr>
                <w:b w:val="0"/>
              </w:rPr>
            </w:pPr>
            <w:r w:rsidRPr="00854A02">
              <w:rPr>
                <w:b w:val="0"/>
              </w:rPr>
              <w:t>Thrombocytop</w:t>
            </w:r>
            <w:r w:rsidR="00273E54">
              <w:rPr>
                <w:b w:val="0"/>
              </w:rPr>
              <w:t>a</w:t>
            </w:r>
            <w:r w:rsidRPr="00854A02">
              <w:rPr>
                <w:b w:val="0"/>
              </w:rPr>
              <w:t>enia</w:t>
            </w:r>
          </w:p>
        </w:tc>
        <w:tc>
          <w:tcPr>
            <w:tcW w:w="1276" w:type="dxa"/>
          </w:tcPr>
          <w:p w14:paraId="647C633E" w14:textId="77777777" w:rsidR="00B430B7" w:rsidRPr="005A25DB" w:rsidRDefault="00B430B7" w:rsidP="00D33C63">
            <w:pPr>
              <w:pStyle w:val="Tabletext"/>
              <w:jc w:val="center"/>
            </w:pPr>
            <w:r w:rsidRPr="005A25DB">
              <w:sym w:font="Wingdings" w:char="F0FC"/>
            </w:r>
          </w:p>
        </w:tc>
        <w:tc>
          <w:tcPr>
            <w:tcW w:w="992" w:type="dxa"/>
          </w:tcPr>
          <w:p w14:paraId="12F82BED" w14:textId="77777777" w:rsidR="00B430B7" w:rsidRPr="005A25DB" w:rsidRDefault="00B430B7" w:rsidP="00D33C63">
            <w:pPr>
              <w:pStyle w:val="Tabletext"/>
              <w:jc w:val="center"/>
            </w:pPr>
            <w:r w:rsidRPr="005A25DB">
              <w:sym w:font="Wingdings" w:char="F0FC"/>
            </w:r>
          </w:p>
        </w:tc>
        <w:tc>
          <w:tcPr>
            <w:tcW w:w="850" w:type="dxa"/>
          </w:tcPr>
          <w:p w14:paraId="55B9D3E0" w14:textId="77777777" w:rsidR="00B430B7" w:rsidRPr="005A25DB" w:rsidRDefault="00B430B7" w:rsidP="00D33C63">
            <w:pPr>
              <w:pStyle w:val="Tabletext"/>
              <w:jc w:val="center"/>
            </w:pPr>
            <w:r w:rsidRPr="005A25DB">
              <w:sym w:font="Wingdings" w:char="F0FC"/>
            </w:r>
          </w:p>
        </w:tc>
        <w:tc>
          <w:tcPr>
            <w:tcW w:w="851" w:type="dxa"/>
          </w:tcPr>
          <w:p w14:paraId="55021BBB" w14:textId="77777777" w:rsidR="00B430B7" w:rsidRPr="005A25DB" w:rsidRDefault="00B430B7" w:rsidP="00D33C63">
            <w:pPr>
              <w:pStyle w:val="Tabletext"/>
              <w:jc w:val="center"/>
            </w:pPr>
            <w:r w:rsidRPr="005A25DB">
              <w:t>–</w:t>
            </w:r>
          </w:p>
        </w:tc>
      </w:tr>
      <w:tr w:rsidR="00230AD1" w:rsidRPr="004F1C07" w14:paraId="3E8C78B5" w14:textId="77777777" w:rsidTr="00C456E5">
        <w:trPr>
          <w:trHeight w:val="80"/>
        </w:trPr>
        <w:tc>
          <w:tcPr>
            <w:tcW w:w="1668" w:type="dxa"/>
            <w:vMerge/>
          </w:tcPr>
          <w:p w14:paraId="7ADEFD2B" w14:textId="77777777" w:rsidR="00B430B7" w:rsidRPr="00680101" w:rsidRDefault="00B430B7" w:rsidP="00D33C63">
            <w:pPr>
              <w:pStyle w:val="Tabletext"/>
              <w:rPr>
                <w:b/>
              </w:rPr>
            </w:pPr>
          </w:p>
        </w:tc>
        <w:tc>
          <w:tcPr>
            <w:tcW w:w="3260" w:type="dxa"/>
          </w:tcPr>
          <w:p w14:paraId="57A3586D" w14:textId="43613750" w:rsidR="00B430B7" w:rsidRPr="00854A02" w:rsidRDefault="00B430B7" w:rsidP="00D33C63">
            <w:pPr>
              <w:pStyle w:val="Summaryofsafetyconcerns"/>
              <w:rPr>
                <w:b w:val="0"/>
              </w:rPr>
            </w:pPr>
            <w:r w:rsidRPr="00854A02">
              <w:rPr>
                <w:b w:val="0"/>
              </w:rPr>
              <w:t>Neutrop</w:t>
            </w:r>
            <w:r w:rsidR="00273E54">
              <w:rPr>
                <w:b w:val="0"/>
              </w:rPr>
              <w:t>a</w:t>
            </w:r>
            <w:r w:rsidRPr="00854A02">
              <w:rPr>
                <w:b w:val="0"/>
              </w:rPr>
              <w:t>enia</w:t>
            </w:r>
          </w:p>
        </w:tc>
        <w:tc>
          <w:tcPr>
            <w:tcW w:w="1276" w:type="dxa"/>
          </w:tcPr>
          <w:p w14:paraId="3084268A" w14:textId="77777777" w:rsidR="00B430B7" w:rsidRPr="005A25DB" w:rsidRDefault="00B430B7" w:rsidP="00D33C63">
            <w:pPr>
              <w:pStyle w:val="Tabletext"/>
              <w:jc w:val="center"/>
            </w:pPr>
            <w:r w:rsidRPr="005A25DB">
              <w:sym w:font="Wingdings" w:char="F0FC"/>
            </w:r>
          </w:p>
        </w:tc>
        <w:tc>
          <w:tcPr>
            <w:tcW w:w="992" w:type="dxa"/>
          </w:tcPr>
          <w:p w14:paraId="58C746E9" w14:textId="77777777" w:rsidR="00B430B7" w:rsidRPr="005A25DB" w:rsidRDefault="00B430B7" w:rsidP="00D33C63">
            <w:pPr>
              <w:pStyle w:val="Tabletext"/>
              <w:jc w:val="center"/>
            </w:pPr>
            <w:r w:rsidRPr="005A25DB">
              <w:t>–</w:t>
            </w:r>
          </w:p>
        </w:tc>
        <w:tc>
          <w:tcPr>
            <w:tcW w:w="850" w:type="dxa"/>
          </w:tcPr>
          <w:p w14:paraId="6FF83D1F" w14:textId="77777777" w:rsidR="00B430B7" w:rsidRPr="005A25DB" w:rsidRDefault="00B430B7" w:rsidP="00D33C63">
            <w:pPr>
              <w:pStyle w:val="Tabletext"/>
              <w:jc w:val="center"/>
            </w:pPr>
            <w:r w:rsidRPr="005A25DB">
              <w:sym w:font="Wingdings" w:char="F0FC"/>
            </w:r>
          </w:p>
        </w:tc>
        <w:tc>
          <w:tcPr>
            <w:tcW w:w="851" w:type="dxa"/>
          </w:tcPr>
          <w:p w14:paraId="214DBE5B" w14:textId="77777777" w:rsidR="00B430B7" w:rsidRPr="005A25DB" w:rsidRDefault="00B430B7" w:rsidP="00D33C63">
            <w:pPr>
              <w:pStyle w:val="Tabletext"/>
              <w:jc w:val="center"/>
            </w:pPr>
            <w:r w:rsidRPr="005A25DB">
              <w:t>–</w:t>
            </w:r>
          </w:p>
        </w:tc>
      </w:tr>
      <w:tr w:rsidR="00230AD1" w:rsidRPr="004F1C07" w14:paraId="408806BB" w14:textId="77777777" w:rsidTr="00C456E5">
        <w:trPr>
          <w:trHeight w:val="100"/>
        </w:trPr>
        <w:tc>
          <w:tcPr>
            <w:tcW w:w="1668" w:type="dxa"/>
            <w:vMerge/>
          </w:tcPr>
          <w:p w14:paraId="2DFF94D1" w14:textId="77777777" w:rsidR="00B430B7" w:rsidRPr="00680101" w:rsidRDefault="00B430B7" w:rsidP="00D33C63">
            <w:pPr>
              <w:pStyle w:val="Tabletext"/>
              <w:rPr>
                <w:b/>
              </w:rPr>
            </w:pPr>
          </w:p>
        </w:tc>
        <w:tc>
          <w:tcPr>
            <w:tcW w:w="3260" w:type="dxa"/>
          </w:tcPr>
          <w:p w14:paraId="40FCE054" w14:textId="730935C8" w:rsidR="00B430B7" w:rsidRPr="00854A02" w:rsidRDefault="00B430B7" w:rsidP="00D33C63">
            <w:pPr>
              <w:pStyle w:val="Summaryofsafetyconcerns"/>
              <w:rPr>
                <w:b w:val="0"/>
              </w:rPr>
            </w:pPr>
            <w:r w:rsidRPr="00854A02">
              <w:rPr>
                <w:b w:val="0"/>
              </w:rPr>
              <w:t>Late onset and prolonged neutrop</w:t>
            </w:r>
            <w:r w:rsidR="00273E54">
              <w:rPr>
                <w:b w:val="0"/>
              </w:rPr>
              <w:t>a</w:t>
            </w:r>
            <w:r w:rsidRPr="00854A02">
              <w:rPr>
                <w:b w:val="0"/>
              </w:rPr>
              <w:t>enia</w:t>
            </w:r>
          </w:p>
        </w:tc>
        <w:tc>
          <w:tcPr>
            <w:tcW w:w="1276" w:type="dxa"/>
          </w:tcPr>
          <w:p w14:paraId="4036DE84" w14:textId="77777777" w:rsidR="00B430B7" w:rsidRPr="005A25DB" w:rsidRDefault="00B430B7" w:rsidP="00D33C63">
            <w:pPr>
              <w:pStyle w:val="Tabletext"/>
              <w:jc w:val="center"/>
            </w:pPr>
            <w:r w:rsidRPr="005A25DB">
              <w:sym w:font="Wingdings" w:char="F0FC"/>
            </w:r>
          </w:p>
        </w:tc>
        <w:tc>
          <w:tcPr>
            <w:tcW w:w="992" w:type="dxa"/>
          </w:tcPr>
          <w:p w14:paraId="14034C4A" w14:textId="77777777" w:rsidR="00B430B7" w:rsidRPr="005A25DB" w:rsidRDefault="00B430B7" w:rsidP="00D33C63">
            <w:pPr>
              <w:pStyle w:val="Tabletext"/>
              <w:jc w:val="center"/>
            </w:pPr>
            <w:r w:rsidRPr="005A25DB">
              <w:sym w:font="Wingdings" w:char="F0FC"/>
            </w:r>
          </w:p>
        </w:tc>
        <w:tc>
          <w:tcPr>
            <w:tcW w:w="850" w:type="dxa"/>
          </w:tcPr>
          <w:p w14:paraId="5D9280A8" w14:textId="77777777" w:rsidR="00B430B7" w:rsidRPr="005A25DB" w:rsidRDefault="00B430B7" w:rsidP="00D33C63">
            <w:pPr>
              <w:pStyle w:val="Tabletext"/>
              <w:jc w:val="center"/>
            </w:pPr>
            <w:r w:rsidRPr="005A25DB">
              <w:sym w:font="Wingdings" w:char="F0FC"/>
            </w:r>
          </w:p>
        </w:tc>
        <w:tc>
          <w:tcPr>
            <w:tcW w:w="851" w:type="dxa"/>
          </w:tcPr>
          <w:p w14:paraId="585E9BB3" w14:textId="77777777" w:rsidR="00B430B7" w:rsidRPr="005A25DB" w:rsidRDefault="00B430B7" w:rsidP="00D33C63">
            <w:pPr>
              <w:pStyle w:val="Tabletext"/>
              <w:jc w:val="center"/>
            </w:pPr>
            <w:r w:rsidRPr="005A25DB">
              <w:t>–</w:t>
            </w:r>
          </w:p>
        </w:tc>
      </w:tr>
      <w:tr w:rsidR="00230AD1" w:rsidRPr="004F1C07" w14:paraId="1CB255F9" w14:textId="77777777" w:rsidTr="00C456E5">
        <w:trPr>
          <w:trHeight w:val="190"/>
        </w:trPr>
        <w:tc>
          <w:tcPr>
            <w:tcW w:w="1668" w:type="dxa"/>
            <w:vMerge/>
          </w:tcPr>
          <w:p w14:paraId="3D771292" w14:textId="77777777" w:rsidR="00B430B7" w:rsidRPr="00680101" w:rsidRDefault="00B430B7" w:rsidP="00D33C63">
            <w:pPr>
              <w:pStyle w:val="Tabletext"/>
              <w:rPr>
                <w:b/>
              </w:rPr>
            </w:pPr>
          </w:p>
        </w:tc>
        <w:tc>
          <w:tcPr>
            <w:tcW w:w="3260" w:type="dxa"/>
          </w:tcPr>
          <w:p w14:paraId="1C102E54" w14:textId="34FE635F" w:rsidR="00B430B7" w:rsidRPr="00854A02" w:rsidRDefault="00B430B7" w:rsidP="00D33C63">
            <w:pPr>
              <w:pStyle w:val="Summaryofsafetyconcerns"/>
              <w:rPr>
                <w:b w:val="0"/>
              </w:rPr>
            </w:pPr>
            <w:r w:rsidRPr="00854A02">
              <w:rPr>
                <w:b w:val="0"/>
              </w:rPr>
              <w:t>Prolonged B</w:t>
            </w:r>
            <w:r w:rsidR="00273E54">
              <w:rPr>
                <w:b w:val="0"/>
              </w:rPr>
              <w:t xml:space="preserve"> </w:t>
            </w:r>
            <w:r w:rsidRPr="00854A02">
              <w:rPr>
                <w:b w:val="0"/>
              </w:rPr>
              <w:t>cell depletion</w:t>
            </w:r>
          </w:p>
        </w:tc>
        <w:tc>
          <w:tcPr>
            <w:tcW w:w="1276" w:type="dxa"/>
          </w:tcPr>
          <w:p w14:paraId="33CE0457" w14:textId="77777777" w:rsidR="00B430B7" w:rsidRPr="005A25DB" w:rsidRDefault="00B430B7" w:rsidP="00D33C63">
            <w:pPr>
              <w:pStyle w:val="Tabletext"/>
              <w:jc w:val="center"/>
            </w:pPr>
            <w:r w:rsidRPr="005A25DB">
              <w:sym w:font="Wingdings" w:char="F0FC"/>
            </w:r>
          </w:p>
        </w:tc>
        <w:tc>
          <w:tcPr>
            <w:tcW w:w="992" w:type="dxa"/>
          </w:tcPr>
          <w:p w14:paraId="01893D73" w14:textId="77777777" w:rsidR="00B430B7" w:rsidRPr="005A25DB" w:rsidRDefault="00B430B7" w:rsidP="00D33C63">
            <w:pPr>
              <w:pStyle w:val="Tabletext"/>
              <w:jc w:val="center"/>
            </w:pPr>
            <w:r w:rsidRPr="005A25DB">
              <w:sym w:font="Wingdings" w:char="F0FC"/>
            </w:r>
          </w:p>
        </w:tc>
        <w:tc>
          <w:tcPr>
            <w:tcW w:w="850" w:type="dxa"/>
          </w:tcPr>
          <w:p w14:paraId="09070EF7" w14:textId="77777777" w:rsidR="00B430B7" w:rsidRPr="005A25DB" w:rsidRDefault="00B430B7" w:rsidP="00D33C63">
            <w:pPr>
              <w:pStyle w:val="Tabletext"/>
              <w:jc w:val="center"/>
            </w:pPr>
            <w:r w:rsidRPr="005A25DB">
              <w:sym w:font="Wingdings" w:char="F0FC"/>
            </w:r>
          </w:p>
        </w:tc>
        <w:tc>
          <w:tcPr>
            <w:tcW w:w="851" w:type="dxa"/>
          </w:tcPr>
          <w:p w14:paraId="6ED5D752" w14:textId="77777777" w:rsidR="00B430B7" w:rsidRPr="005A25DB" w:rsidRDefault="00B430B7" w:rsidP="00D33C63">
            <w:pPr>
              <w:pStyle w:val="Tabletext"/>
              <w:jc w:val="center"/>
            </w:pPr>
            <w:r w:rsidRPr="005A25DB">
              <w:t>–</w:t>
            </w:r>
          </w:p>
        </w:tc>
      </w:tr>
      <w:tr w:rsidR="00230AD1" w:rsidRPr="004F1C07" w14:paraId="18D0D528" w14:textId="77777777" w:rsidTr="00C456E5">
        <w:trPr>
          <w:trHeight w:val="150"/>
        </w:trPr>
        <w:tc>
          <w:tcPr>
            <w:tcW w:w="1668" w:type="dxa"/>
            <w:vMerge/>
          </w:tcPr>
          <w:p w14:paraId="0098DFD8" w14:textId="77777777" w:rsidR="00B430B7" w:rsidRPr="00680101" w:rsidRDefault="00B430B7" w:rsidP="00D33C63">
            <w:pPr>
              <w:pStyle w:val="Tabletext"/>
              <w:rPr>
                <w:b/>
              </w:rPr>
            </w:pPr>
          </w:p>
        </w:tc>
        <w:tc>
          <w:tcPr>
            <w:tcW w:w="3260" w:type="dxa"/>
          </w:tcPr>
          <w:p w14:paraId="03CFFF4B" w14:textId="77777777" w:rsidR="00B430B7" w:rsidRPr="00854A02" w:rsidRDefault="00B430B7" w:rsidP="00D33C63">
            <w:pPr>
              <w:pStyle w:val="Summaryofsafetyconcerns"/>
              <w:rPr>
                <w:b w:val="0"/>
              </w:rPr>
            </w:pPr>
            <w:r w:rsidRPr="00854A02">
              <w:rPr>
                <w:b w:val="0"/>
              </w:rPr>
              <w:t>Infections</w:t>
            </w:r>
          </w:p>
        </w:tc>
        <w:tc>
          <w:tcPr>
            <w:tcW w:w="1276" w:type="dxa"/>
          </w:tcPr>
          <w:p w14:paraId="5D819EF6" w14:textId="77777777" w:rsidR="00B430B7" w:rsidRPr="005A25DB" w:rsidRDefault="00B430B7" w:rsidP="00D33C63">
            <w:pPr>
              <w:pStyle w:val="Tabletext"/>
              <w:jc w:val="center"/>
            </w:pPr>
            <w:r w:rsidRPr="005A25DB">
              <w:sym w:font="Wingdings" w:char="F0FC"/>
            </w:r>
          </w:p>
        </w:tc>
        <w:tc>
          <w:tcPr>
            <w:tcW w:w="992" w:type="dxa"/>
          </w:tcPr>
          <w:p w14:paraId="50BC29FB" w14:textId="77777777" w:rsidR="00B430B7" w:rsidRPr="005A25DB" w:rsidRDefault="00B430B7" w:rsidP="00D33C63">
            <w:pPr>
              <w:pStyle w:val="Tabletext"/>
              <w:jc w:val="center"/>
            </w:pPr>
            <w:r w:rsidRPr="005A25DB">
              <w:t>–</w:t>
            </w:r>
          </w:p>
        </w:tc>
        <w:tc>
          <w:tcPr>
            <w:tcW w:w="850" w:type="dxa"/>
          </w:tcPr>
          <w:p w14:paraId="5DA365E9" w14:textId="77777777" w:rsidR="00B430B7" w:rsidRPr="005A25DB" w:rsidRDefault="00B430B7" w:rsidP="00D33C63">
            <w:pPr>
              <w:pStyle w:val="Tabletext"/>
              <w:jc w:val="center"/>
            </w:pPr>
            <w:r w:rsidRPr="005A25DB">
              <w:sym w:font="Wingdings" w:char="F0FC"/>
            </w:r>
          </w:p>
        </w:tc>
        <w:tc>
          <w:tcPr>
            <w:tcW w:w="851" w:type="dxa"/>
          </w:tcPr>
          <w:p w14:paraId="608992C7" w14:textId="77777777" w:rsidR="00B430B7" w:rsidRPr="005A25DB" w:rsidRDefault="00B430B7" w:rsidP="00D33C63">
            <w:pPr>
              <w:pStyle w:val="Tabletext"/>
              <w:jc w:val="center"/>
            </w:pPr>
            <w:r w:rsidRPr="005A25DB">
              <w:t>–</w:t>
            </w:r>
          </w:p>
        </w:tc>
      </w:tr>
      <w:tr w:rsidR="00230AD1" w:rsidRPr="004F1C07" w14:paraId="1FE3AC41" w14:textId="77777777" w:rsidTr="00C456E5">
        <w:trPr>
          <w:trHeight w:val="140"/>
        </w:trPr>
        <w:tc>
          <w:tcPr>
            <w:tcW w:w="1668" w:type="dxa"/>
            <w:vMerge/>
          </w:tcPr>
          <w:p w14:paraId="1E8E127C" w14:textId="77777777" w:rsidR="00B430B7" w:rsidRPr="00680101" w:rsidRDefault="00B430B7" w:rsidP="00D33C63">
            <w:pPr>
              <w:pStyle w:val="Tabletext"/>
              <w:rPr>
                <w:b/>
              </w:rPr>
            </w:pPr>
          </w:p>
        </w:tc>
        <w:tc>
          <w:tcPr>
            <w:tcW w:w="3260" w:type="dxa"/>
          </w:tcPr>
          <w:p w14:paraId="4B67E64E" w14:textId="77777777" w:rsidR="00B430B7" w:rsidRPr="00854A02" w:rsidRDefault="00B430B7" w:rsidP="00D33C63">
            <w:pPr>
              <w:pStyle w:val="Summaryofsafetyconcerns"/>
              <w:rPr>
                <w:b w:val="0"/>
              </w:rPr>
            </w:pPr>
            <w:r w:rsidRPr="00854A02">
              <w:rPr>
                <w:b w:val="0"/>
              </w:rPr>
              <w:t>Hepatitis B reactivation</w:t>
            </w:r>
          </w:p>
        </w:tc>
        <w:tc>
          <w:tcPr>
            <w:tcW w:w="1276" w:type="dxa"/>
          </w:tcPr>
          <w:p w14:paraId="6BFB0E35" w14:textId="77777777" w:rsidR="00B430B7" w:rsidRPr="005A25DB" w:rsidRDefault="00B430B7" w:rsidP="00D33C63">
            <w:pPr>
              <w:pStyle w:val="Tabletext"/>
              <w:jc w:val="center"/>
            </w:pPr>
            <w:r w:rsidRPr="005A25DB">
              <w:sym w:font="Wingdings" w:char="F0FC"/>
            </w:r>
          </w:p>
        </w:tc>
        <w:tc>
          <w:tcPr>
            <w:tcW w:w="992" w:type="dxa"/>
          </w:tcPr>
          <w:p w14:paraId="195CF939" w14:textId="77777777" w:rsidR="00B430B7" w:rsidRPr="005A25DB" w:rsidRDefault="00B430B7" w:rsidP="00D33C63">
            <w:pPr>
              <w:pStyle w:val="Tabletext"/>
              <w:jc w:val="center"/>
            </w:pPr>
            <w:r w:rsidRPr="005A25DB">
              <w:t>–</w:t>
            </w:r>
          </w:p>
        </w:tc>
        <w:tc>
          <w:tcPr>
            <w:tcW w:w="850" w:type="dxa"/>
          </w:tcPr>
          <w:p w14:paraId="1ED1BDD3" w14:textId="77777777" w:rsidR="00B430B7" w:rsidRPr="005A25DB" w:rsidRDefault="00B430B7" w:rsidP="00D33C63">
            <w:pPr>
              <w:pStyle w:val="Tabletext"/>
              <w:jc w:val="center"/>
            </w:pPr>
            <w:r w:rsidRPr="005A25DB">
              <w:sym w:font="Wingdings" w:char="F0FC"/>
            </w:r>
          </w:p>
        </w:tc>
        <w:tc>
          <w:tcPr>
            <w:tcW w:w="851" w:type="dxa"/>
          </w:tcPr>
          <w:p w14:paraId="6F6C1161" w14:textId="77777777" w:rsidR="00B430B7" w:rsidRPr="005A25DB" w:rsidRDefault="00B430B7" w:rsidP="00D33C63">
            <w:pPr>
              <w:pStyle w:val="Tabletext"/>
              <w:jc w:val="center"/>
            </w:pPr>
            <w:r w:rsidRPr="005A25DB">
              <w:t>–</w:t>
            </w:r>
          </w:p>
        </w:tc>
      </w:tr>
      <w:tr w:rsidR="00230AD1" w:rsidRPr="004F1C07" w14:paraId="292BE64A" w14:textId="77777777" w:rsidTr="00C456E5">
        <w:trPr>
          <w:trHeight w:val="100"/>
        </w:trPr>
        <w:tc>
          <w:tcPr>
            <w:tcW w:w="1668" w:type="dxa"/>
            <w:vMerge/>
          </w:tcPr>
          <w:p w14:paraId="7C53F062" w14:textId="77777777" w:rsidR="00B430B7" w:rsidRPr="00680101" w:rsidRDefault="00B430B7" w:rsidP="00D33C63">
            <w:pPr>
              <w:pStyle w:val="Tabletext"/>
              <w:rPr>
                <w:b/>
              </w:rPr>
            </w:pPr>
          </w:p>
        </w:tc>
        <w:tc>
          <w:tcPr>
            <w:tcW w:w="3260" w:type="dxa"/>
          </w:tcPr>
          <w:p w14:paraId="3B39D756" w14:textId="77777777" w:rsidR="00B430B7" w:rsidRPr="00854A02" w:rsidRDefault="00B430B7" w:rsidP="00D33C63">
            <w:pPr>
              <w:pStyle w:val="Summaryofsafetyconcerns"/>
              <w:rPr>
                <w:b w:val="0"/>
              </w:rPr>
            </w:pPr>
            <w:r w:rsidRPr="00854A02">
              <w:rPr>
                <w:b w:val="0"/>
              </w:rPr>
              <w:t>Progressive multifocal leukoencephalopathy</w:t>
            </w:r>
          </w:p>
        </w:tc>
        <w:tc>
          <w:tcPr>
            <w:tcW w:w="1276" w:type="dxa"/>
          </w:tcPr>
          <w:p w14:paraId="3506E21F" w14:textId="77777777" w:rsidR="00B430B7" w:rsidRPr="005A25DB" w:rsidRDefault="00B430B7" w:rsidP="00D33C63">
            <w:pPr>
              <w:pStyle w:val="Tabletext"/>
              <w:jc w:val="center"/>
            </w:pPr>
            <w:r w:rsidRPr="005A25DB">
              <w:sym w:font="Wingdings" w:char="F0FC"/>
            </w:r>
          </w:p>
        </w:tc>
        <w:tc>
          <w:tcPr>
            <w:tcW w:w="992" w:type="dxa"/>
          </w:tcPr>
          <w:p w14:paraId="641D9DF8" w14:textId="77777777" w:rsidR="00B430B7" w:rsidRPr="005A25DB" w:rsidRDefault="00B430B7" w:rsidP="00D33C63">
            <w:pPr>
              <w:pStyle w:val="Tabletext"/>
              <w:jc w:val="center"/>
            </w:pPr>
          </w:p>
        </w:tc>
        <w:tc>
          <w:tcPr>
            <w:tcW w:w="850" w:type="dxa"/>
          </w:tcPr>
          <w:p w14:paraId="5F4223B6" w14:textId="77777777" w:rsidR="00B430B7" w:rsidRPr="005A25DB" w:rsidRDefault="00B430B7" w:rsidP="00D33C63">
            <w:pPr>
              <w:pStyle w:val="Tabletext"/>
              <w:jc w:val="center"/>
            </w:pPr>
            <w:r w:rsidRPr="005A25DB">
              <w:sym w:font="Wingdings" w:char="F0FC"/>
            </w:r>
          </w:p>
        </w:tc>
        <w:tc>
          <w:tcPr>
            <w:tcW w:w="851" w:type="dxa"/>
          </w:tcPr>
          <w:p w14:paraId="0760D72F" w14:textId="77777777" w:rsidR="00B430B7" w:rsidRPr="005A25DB" w:rsidRDefault="00B430B7" w:rsidP="00D33C63">
            <w:pPr>
              <w:pStyle w:val="Tabletext"/>
              <w:jc w:val="center"/>
            </w:pPr>
            <w:r w:rsidRPr="005A25DB">
              <w:t>–</w:t>
            </w:r>
          </w:p>
        </w:tc>
      </w:tr>
      <w:tr w:rsidR="00230AD1" w:rsidRPr="004F1C07" w14:paraId="7A03F666" w14:textId="77777777" w:rsidTr="00C456E5">
        <w:trPr>
          <w:trHeight w:val="100"/>
        </w:trPr>
        <w:tc>
          <w:tcPr>
            <w:tcW w:w="1668" w:type="dxa"/>
            <w:vMerge/>
          </w:tcPr>
          <w:p w14:paraId="142E71E9" w14:textId="77777777" w:rsidR="00B430B7" w:rsidRPr="00680101" w:rsidRDefault="00B430B7" w:rsidP="00D33C63">
            <w:pPr>
              <w:pStyle w:val="Tabletext"/>
              <w:rPr>
                <w:b/>
              </w:rPr>
            </w:pPr>
          </w:p>
        </w:tc>
        <w:tc>
          <w:tcPr>
            <w:tcW w:w="3260" w:type="dxa"/>
          </w:tcPr>
          <w:p w14:paraId="54D4C6FE" w14:textId="77777777" w:rsidR="00B430B7" w:rsidRPr="00854A02" w:rsidRDefault="00B430B7" w:rsidP="00D33C63">
            <w:pPr>
              <w:pStyle w:val="Summaryofsafetyconcerns"/>
              <w:rPr>
                <w:b w:val="0"/>
              </w:rPr>
            </w:pPr>
            <w:r w:rsidRPr="00854A02">
              <w:rPr>
                <w:b w:val="0"/>
              </w:rPr>
              <w:t>Worsening of pre-existing cardiac conditions</w:t>
            </w:r>
          </w:p>
        </w:tc>
        <w:tc>
          <w:tcPr>
            <w:tcW w:w="1276" w:type="dxa"/>
          </w:tcPr>
          <w:p w14:paraId="01E2E5D4" w14:textId="77777777" w:rsidR="00B430B7" w:rsidRPr="005A25DB" w:rsidRDefault="00B430B7" w:rsidP="00D33C63">
            <w:pPr>
              <w:pStyle w:val="Tabletext"/>
              <w:jc w:val="center"/>
            </w:pPr>
            <w:r w:rsidRPr="005A25DB">
              <w:sym w:font="Wingdings" w:char="F0FC"/>
            </w:r>
          </w:p>
        </w:tc>
        <w:tc>
          <w:tcPr>
            <w:tcW w:w="992" w:type="dxa"/>
          </w:tcPr>
          <w:p w14:paraId="7897AA8A" w14:textId="77777777" w:rsidR="00B430B7" w:rsidRPr="005A25DB" w:rsidRDefault="00B430B7" w:rsidP="00D33C63">
            <w:pPr>
              <w:pStyle w:val="Tabletext"/>
              <w:jc w:val="center"/>
            </w:pPr>
            <w:r w:rsidRPr="005A25DB">
              <w:t>–</w:t>
            </w:r>
          </w:p>
        </w:tc>
        <w:tc>
          <w:tcPr>
            <w:tcW w:w="850" w:type="dxa"/>
          </w:tcPr>
          <w:p w14:paraId="6D7656A2" w14:textId="77777777" w:rsidR="00B430B7" w:rsidRPr="005A25DB" w:rsidRDefault="00B430B7" w:rsidP="00D33C63">
            <w:pPr>
              <w:pStyle w:val="Tabletext"/>
              <w:jc w:val="center"/>
            </w:pPr>
            <w:r w:rsidRPr="005A25DB">
              <w:sym w:font="Wingdings" w:char="F0FC"/>
            </w:r>
          </w:p>
        </w:tc>
        <w:tc>
          <w:tcPr>
            <w:tcW w:w="851" w:type="dxa"/>
          </w:tcPr>
          <w:p w14:paraId="6FE68833" w14:textId="77777777" w:rsidR="00B430B7" w:rsidRPr="005A25DB" w:rsidRDefault="00B430B7" w:rsidP="00D33C63">
            <w:pPr>
              <w:pStyle w:val="Tabletext"/>
              <w:jc w:val="center"/>
            </w:pPr>
            <w:r w:rsidRPr="005A25DB">
              <w:t>–</w:t>
            </w:r>
          </w:p>
        </w:tc>
      </w:tr>
      <w:tr w:rsidR="00230AD1" w:rsidRPr="004F1C07" w14:paraId="4FEEA5B9" w14:textId="77777777" w:rsidTr="00C456E5">
        <w:trPr>
          <w:trHeight w:val="187"/>
        </w:trPr>
        <w:tc>
          <w:tcPr>
            <w:tcW w:w="1668" w:type="dxa"/>
            <w:vMerge/>
          </w:tcPr>
          <w:p w14:paraId="05109A39" w14:textId="77777777" w:rsidR="00B430B7" w:rsidRPr="00680101" w:rsidRDefault="00B430B7" w:rsidP="00D33C63">
            <w:pPr>
              <w:pStyle w:val="Tabletext"/>
              <w:rPr>
                <w:b/>
              </w:rPr>
            </w:pPr>
          </w:p>
        </w:tc>
        <w:tc>
          <w:tcPr>
            <w:tcW w:w="3260" w:type="dxa"/>
          </w:tcPr>
          <w:p w14:paraId="68F93739" w14:textId="77777777" w:rsidR="00B430B7" w:rsidRPr="00854A02" w:rsidRDefault="00B430B7" w:rsidP="00D33C63">
            <w:pPr>
              <w:pStyle w:val="Summaryofsafetyconcerns"/>
              <w:rPr>
                <w:b w:val="0"/>
              </w:rPr>
            </w:pPr>
            <w:r w:rsidRPr="00854A02">
              <w:rPr>
                <w:b w:val="0"/>
              </w:rPr>
              <w:t>GI perforation</w:t>
            </w:r>
          </w:p>
        </w:tc>
        <w:tc>
          <w:tcPr>
            <w:tcW w:w="1276" w:type="dxa"/>
          </w:tcPr>
          <w:p w14:paraId="3BC88097" w14:textId="77777777" w:rsidR="00B430B7" w:rsidRPr="005A25DB" w:rsidRDefault="00B430B7" w:rsidP="00D33C63">
            <w:pPr>
              <w:pStyle w:val="Tabletext"/>
              <w:jc w:val="center"/>
            </w:pPr>
            <w:r w:rsidRPr="005A25DB">
              <w:sym w:font="Wingdings" w:char="F0FC"/>
            </w:r>
          </w:p>
        </w:tc>
        <w:tc>
          <w:tcPr>
            <w:tcW w:w="992" w:type="dxa"/>
          </w:tcPr>
          <w:p w14:paraId="15F9F680" w14:textId="77777777" w:rsidR="00B430B7" w:rsidRPr="005A25DB" w:rsidRDefault="00B430B7" w:rsidP="00D33C63">
            <w:pPr>
              <w:pStyle w:val="Tabletext"/>
              <w:jc w:val="center"/>
            </w:pPr>
            <w:r w:rsidRPr="005A25DB">
              <w:t>–</w:t>
            </w:r>
          </w:p>
        </w:tc>
        <w:tc>
          <w:tcPr>
            <w:tcW w:w="850" w:type="dxa"/>
          </w:tcPr>
          <w:p w14:paraId="31725794" w14:textId="77777777" w:rsidR="00B430B7" w:rsidRPr="005A25DB" w:rsidRDefault="00B430B7" w:rsidP="00D33C63">
            <w:pPr>
              <w:pStyle w:val="Tabletext"/>
              <w:jc w:val="center"/>
            </w:pPr>
            <w:r w:rsidRPr="005A25DB">
              <w:sym w:font="Wingdings" w:char="F0FC"/>
            </w:r>
          </w:p>
        </w:tc>
        <w:tc>
          <w:tcPr>
            <w:tcW w:w="851" w:type="dxa"/>
          </w:tcPr>
          <w:p w14:paraId="0A96A2C2" w14:textId="77777777" w:rsidR="00B430B7" w:rsidRPr="005A25DB" w:rsidRDefault="00B430B7" w:rsidP="00D33C63">
            <w:pPr>
              <w:pStyle w:val="Tabletext"/>
              <w:jc w:val="center"/>
            </w:pPr>
            <w:r w:rsidRPr="005A25DB">
              <w:t>–</w:t>
            </w:r>
          </w:p>
        </w:tc>
      </w:tr>
      <w:tr w:rsidR="00230AD1" w:rsidRPr="004F1C07" w14:paraId="2D969B80" w14:textId="77777777" w:rsidTr="00C456E5">
        <w:trPr>
          <w:trHeight w:val="159"/>
        </w:trPr>
        <w:tc>
          <w:tcPr>
            <w:tcW w:w="1668" w:type="dxa"/>
            <w:vMerge w:val="restart"/>
          </w:tcPr>
          <w:p w14:paraId="11587B5C" w14:textId="77777777" w:rsidR="00B430B7" w:rsidRPr="00680101" w:rsidRDefault="00B430B7" w:rsidP="00D33C63">
            <w:pPr>
              <w:pStyle w:val="Tabletext"/>
              <w:rPr>
                <w:b/>
              </w:rPr>
            </w:pPr>
            <w:r w:rsidRPr="00680101">
              <w:rPr>
                <w:b/>
              </w:rPr>
              <w:t>Important potential risks</w:t>
            </w:r>
          </w:p>
        </w:tc>
        <w:tc>
          <w:tcPr>
            <w:tcW w:w="3260" w:type="dxa"/>
          </w:tcPr>
          <w:p w14:paraId="0A812109" w14:textId="1E36F4B4" w:rsidR="00B430B7" w:rsidRPr="00854A02" w:rsidRDefault="00B430B7" w:rsidP="00D33C63">
            <w:pPr>
              <w:pStyle w:val="Summaryofsafetyconcerns"/>
              <w:rPr>
                <w:b w:val="0"/>
              </w:rPr>
            </w:pPr>
            <w:r w:rsidRPr="00854A02">
              <w:rPr>
                <w:b w:val="0"/>
              </w:rPr>
              <w:t>Impaired immuni</w:t>
            </w:r>
            <w:r w:rsidR="00273E54">
              <w:rPr>
                <w:b w:val="0"/>
              </w:rPr>
              <w:t>s</w:t>
            </w:r>
            <w:r w:rsidRPr="00854A02">
              <w:rPr>
                <w:b w:val="0"/>
              </w:rPr>
              <w:t>ation response</w:t>
            </w:r>
          </w:p>
        </w:tc>
        <w:tc>
          <w:tcPr>
            <w:tcW w:w="1276" w:type="dxa"/>
          </w:tcPr>
          <w:p w14:paraId="16DD1AFB" w14:textId="77777777" w:rsidR="00B430B7" w:rsidRPr="005A25DB" w:rsidRDefault="00B430B7" w:rsidP="00D33C63">
            <w:pPr>
              <w:pStyle w:val="Tabletext"/>
              <w:jc w:val="center"/>
            </w:pPr>
            <w:r w:rsidRPr="005A25DB">
              <w:sym w:font="Wingdings" w:char="F0FC"/>
            </w:r>
          </w:p>
        </w:tc>
        <w:tc>
          <w:tcPr>
            <w:tcW w:w="992" w:type="dxa"/>
          </w:tcPr>
          <w:p w14:paraId="3B60D850" w14:textId="77777777" w:rsidR="00B430B7" w:rsidRPr="005A25DB" w:rsidRDefault="00B430B7" w:rsidP="00D33C63">
            <w:pPr>
              <w:pStyle w:val="Tabletext"/>
              <w:jc w:val="center"/>
            </w:pPr>
            <w:r w:rsidRPr="005A25DB">
              <w:t>–</w:t>
            </w:r>
          </w:p>
        </w:tc>
        <w:tc>
          <w:tcPr>
            <w:tcW w:w="850" w:type="dxa"/>
          </w:tcPr>
          <w:p w14:paraId="0D5759B2" w14:textId="77777777" w:rsidR="00B430B7" w:rsidRPr="005A25DB" w:rsidRDefault="00B430B7" w:rsidP="00D33C63">
            <w:pPr>
              <w:pStyle w:val="Tabletext"/>
              <w:jc w:val="center"/>
            </w:pPr>
            <w:r w:rsidRPr="005A25DB">
              <w:sym w:font="Wingdings" w:char="F0FC"/>
            </w:r>
          </w:p>
        </w:tc>
        <w:tc>
          <w:tcPr>
            <w:tcW w:w="851" w:type="dxa"/>
          </w:tcPr>
          <w:p w14:paraId="6B18B2F7" w14:textId="77777777" w:rsidR="00B430B7" w:rsidRPr="005A25DB" w:rsidRDefault="00B430B7" w:rsidP="00D33C63">
            <w:pPr>
              <w:pStyle w:val="Tabletext"/>
              <w:jc w:val="center"/>
            </w:pPr>
            <w:r w:rsidRPr="005A25DB">
              <w:t>–</w:t>
            </w:r>
          </w:p>
        </w:tc>
      </w:tr>
      <w:tr w:rsidR="00230AD1" w:rsidRPr="004F1C07" w14:paraId="2F7DC815" w14:textId="77777777" w:rsidTr="00C456E5">
        <w:trPr>
          <w:trHeight w:val="150"/>
        </w:trPr>
        <w:tc>
          <w:tcPr>
            <w:tcW w:w="1668" w:type="dxa"/>
            <w:vMerge/>
          </w:tcPr>
          <w:p w14:paraId="05D85B64" w14:textId="77777777" w:rsidR="00B430B7" w:rsidRPr="00680101" w:rsidRDefault="00B430B7" w:rsidP="00D33C63">
            <w:pPr>
              <w:pStyle w:val="Tabletext"/>
              <w:rPr>
                <w:b/>
              </w:rPr>
            </w:pPr>
          </w:p>
        </w:tc>
        <w:tc>
          <w:tcPr>
            <w:tcW w:w="3260" w:type="dxa"/>
          </w:tcPr>
          <w:p w14:paraId="5836AF4B" w14:textId="77777777" w:rsidR="00B430B7" w:rsidRPr="00854A02" w:rsidRDefault="00B430B7" w:rsidP="00D33C63">
            <w:pPr>
              <w:pStyle w:val="Summaryofsafetyconcerns"/>
              <w:rPr>
                <w:b w:val="0"/>
              </w:rPr>
            </w:pPr>
            <w:r w:rsidRPr="00854A02">
              <w:rPr>
                <w:b w:val="0"/>
              </w:rPr>
              <w:t>Immunogenicity</w:t>
            </w:r>
          </w:p>
        </w:tc>
        <w:tc>
          <w:tcPr>
            <w:tcW w:w="1276" w:type="dxa"/>
          </w:tcPr>
          <w:p w14:paraId="44EFB147" w14:textId="77777777" w:rsidR="00B430B7" w:rsidRPr="005A25DB" w:rsidRDefault="00B430B7" w:rsidP="00D33C63">
            <w:pPr>
              <w:pStyle w:val="Tabletext"/>
              <w:jc w:val="center"/>
            </w:pPr>
            <w:r w:rsidRPr="005A25DB">
              <w:sym w:font="Wingdings" w:char="F0FC"/>
            </w:r>
          </w:p>
        </w:tc>
        <w:tc>
          <w:tcPr>
            <w:tcW w:w="992" w:type="dxa"/>
          </w:tcPr>
          <w:p w14:paraId="3A70D340" w14:textId="77777777" w:rsidR="00B430B7" w:rsidRPr="005A25DB" w:rsidRDefault="00B430B7" w:rsidP="00D33C63">
            <w:pPr>
              <w:pStyle w:val="Tabletext"/>
              <w:jc w:val="center"/>
            </w:pPr>
            <w:r w:rsidRPr="005A25DB">
              <w:sym w:font="Wingdings" w:char="F0FC"/>
            </w:r>
          </w:p>
        </w:tc>
        <w:tc>
          <w:tcPr>
            <w:tcW w:w="850" w:type="dxa"/>
          </w:tcPr>
          <w:p w14:paraId="15650BA7" w14:textId="77777777" w:rsidR="00B430B7" w:rsidRPr="005A25DB" w:rsidRDefault="00B430B7" w:rsidP="00D33C63">
            <w:pPr>
              <w:pStyle w:val="Tabletext"/>
              <w:jc w:val="center"/>
            </w:pPr>
            <w:r w:rsidRPr="005A25DB">
              <w:sym w:font="Wingdings" w:char="F0FC"/>
            </w:r>
          </w:p>
        </w:tc>
        <w:tc>
          <w:tcPr>
            <w:tcW w:w="851" w:type="dxa"/>
          </w:tcPr>
          <w:p w14:paraId="607CD17E" w14:textId="77777777" w:rsidR="00B430B7" w:rsidRPr="005A25DB" w:rsidRDefault="00B430B7" w:rsidP="00D33C63">
            <w:pPr>
              <w:pStyle w:val="Tabletext"/>
              <w:jc w:val="center"/>
            </w:pPr>
            <w:r w:rsidRPr="005A25DB">
              <w:t>–</w:t>
            </w:r>
          </w:p>
        </w:tc>
      </w:tr>
      <w:tr w:rsidR="00230AD1" w:rsidRPr="004F1C07" w14:paraId="1F7F28FE" w14:textId="77777777" w:rsidTr="00C456E5">
        <w:trPr>
          <w:trHeight w:val="126"/>
        </w:trPr>
        <w:tc>
          <w:tcPr>
            <w:tcW w:w="1668" w:type="dxa"/>
            <w:vMerge/>
          </w:tcPr>
          <w:p w14:paraId="0771AA65" w14:textId="77777777" w:rsidR="00B430B7" w:rsidRPr="00680101" w:rsidRDefault="00B430B7" w:rsidP="00D33C63">
            <w:pPr>
              <w:pStyle w:val="Tabletext"/>
              <w:rPr>
                <w:b/>
              </w:rPr>
            </w:pPr>
          </w:p>
        </w:tc>
        <w:tc>
          <w:tcPr>
            <w:tcW w:w="3260" w:type="dxa"/>
          </w:tcPr>
          <w:p w14:paraId="2EA29339" w14:textId="77777777" w:rsidR="00B430B7" w:rsidRPr="00854A02" w:rsidRDefault="00B430B7" w:rsidP="00D33C63">
            <w:pPr>
              <w:pStyle w:val="Summaryofsafetyconcerns"/>
              <w:rPr>
                <w:b w:val="0"/>
              </w:rPr>
            </w:pPr>
            <w:r w:rsidRPr="00854A02">
              <w:rPr>
                <w:b w:val="0"/>
              </w:rPr>
              <w:t>Second malignancies</w:t>
            </w:r>
          </w:p>
        </w:tc>
        <w:tc>
          <w:tcPr>
            <w:tcW w:w="1276" w:type="dxa"/>
          </w:tcPr>
          <w:p w14:paraId="2DF6C3D4" w14:textId="77777777" w:rsidR="00B430B7" w:rsidRPr="005A25DB" w:rsidRDefault="00B430B7" w:rsidP="00D33C63">
            <w:pPr>
              <w:pStyle w:val="Tabletext"/>
              <w:jc w:val="center"/>
            </w:pPr>
            <w:r w:rsidRPr="005A25DB">
              <w:sym w:font="Wingdings" w:char="F0FC"/>
            </w:r>
          </w:p>
        </w:tc>
        <w:tc>
          <w:tcPr>
            <w:tcW w:w="992" w:type="dxa"/>
          </w:tcPr>
          <w:p w14:paraId="6EC378D9" w14:textId="77777777" w:rsidR="00B430B7" w:rsidRPr="005A25DB" w:rsidRDefault="00B430B7" w:rsidP="00D33C63">
            <w:pPr>
              <w:pStyle w:val="Tabletext"/>
              <w:jc w:val="center"/>
            </w:pPr>
            <w:r w:rsidRPr="005A25DB">
              <w:t>–</w:t>
            </w:r>
          </w:p>
        </w:tc>
        <w:tc>
          <w:tcPr>
            <w:tcW w:w="850" w:type="dxa"/>
          </w:tcPr>
          <w:p w14:paraId="5C001F0E" w14:textId="77777777" w:rsidR="00B430B7" w:rsidRPr="005A25DB" w:rsidRDefault="00B430B7" w:rsidP="00D33C63">
            <w:pPr>
              <w:pStyle w:val="Tabletext"/>
              <w:jc w:val="center"/>
            </w:pPr>
            <w:r w:rsidRPr="005A25DB">
              <w:sym w:font="Wingdings" w:char="F0FC"/>
            </w:r>
          </w:p>
        </w:tc>
        <w:tc>
          <w:tcPr>
            <w:tcW w:w="851" w:type="dxa"/>
          </w:tcPr>
          <w:p w14:paraId="0BB45074" w14:textId="77777777" w:rsidR="00B430B7" w:rsidRPr="005A25DB" w:rsidRDefault="00B430B7" w:rsidP="00D33C63">
            <w:pPr>
              <w:pStyle w:val="Tabletext"/>
              <w:jc w:val="center"/>
            </w:pPr>
            <w:r w:rsidRPr="005A25DB">
              <w:t>–</w:t>
            </w:r>
          </w:p>
        </w:tc>
      </w:tr>
      <w:tr w:rsidR="00230AD1" w:rsidRPr="004F1C07" w14:paraId="7E07BB1B" w14:textId="77777777" w:rsidTr="00C456E5">
        <w:trPr>
          <w:trHeight w:val="112"/>
        </w:trPr>
        <w:tc>
          <w:tcPr>
            <w:tcW w:w="1668" w:type="dxa"/>
            <w:vMerge/>
          </w:tcPr>
          <w:p w14:paraId="6C544A40" w14:textId="77777777" w:rsidR="00B430B7" w:rsidRPr="00680101" w:rsidRDefault="00B430B7" w:rsidP="00D33C63">
            <w:pPr>
              <w:pStyle w:val="Tabletext"/>
              <w:rPr>
                <w:b/>
              </w:rPr>
            </w:pPr>
          </w:p>
        </w:tc>
        <w:tc>
          <w:tcPr>
            <w:tcW w:w="3260" w:type="dxa"/>
          </w:tcPr>
          <w:p w14:paraId="78B15901" w14:textId="3D5651EA" w:rsidR="00B430B7" w:rsidRPr="00854A02" w:rsidRDefault="00B430B7" w:rsidP="00D33C63">
            <w:pPr>
              <w:pStyle w:val="Summaryofsafetyconcerns"/>
              <w:rPr>
                <w:b w:val="0"/>
              </w:rPr>
            </w:pPr>
            <w:r w:rsidRPr="00854A02">
              <w:rPr>
                <w:b w:val="0"/>
              </w:rPr>
              <w:t>Immune</w:t>
            </w:r>
            <w:r w:rsidR="00273E54">
              <w:rPr>
                <w:b w:val="0"/>
              </w:rPr>
              <w:t xml:space="preserve"> </w:t>
            </w:r>
            <w:r w:rsidRPr="00854A02">
              <w:rPr>
                <w:b w:val="0"/>
              </w:rPr>
              <w:t>mediated glomerulonephritis</w:t>
            </w:r>
          </w:p>
        </w:tc>
        <w:tc>
          <w:tcPr>
            <w:tcW w:w="1276" w:type="dxa"/>
          </w:tcPr>
          <w:p w14:paraId="46B080CF" w14:textId="77777777" w:rsidR="00B430B7" w:rsidRPr="005A25DB" w:rsidRDefault="00B430B7" w:rsidP="00D33C63">
            <w:pPr>
              <w:pStyle w:val="Tabletext"/>
              <w:jc w:val="center"/>
            </w:pPr>
            <w:r w:rsidRPr="005A25DB">
              <w:sym w:font="Wingdings" w:char="F0FC"/>
            </w:r>
          </w:p>
        </w:tc>
        <w:tc>
          <w:tcPr>
            <w:tcW w:w="992" w:type="dxa"/>
          </w:tcPr>
          <w:p w14:paraId="7C4A725E" w14:textId="77777777" w:rsidR="00B430B7" w:rsidRPr="005A25DB" w:rsidRDefault="00B430B7" w:rsidP="00D33C63">
            <w:pPr>
              <w:pStyle w:val="Tabletext"/>
              <w:jc w:val="center"/>
            </w:pPr>
            <w:r w:rsidRPr="005A25DB">
              <w:sym w:font="Wingdings" w:char="F0FC"/>
            </w:r>
          </w:p>
        </w:tc>
        <w:tc>
          <w:tcPr>
            <w:tcW w:w="850" w:type="dxa"/>
          </w:tcPr>
          <w:p w14:paraId="4F1272F0" w14:textId="77777777" w:rsidR="00B430B7" w:rsidRPr="005A25DB" w:rsidRDefault="00B430B7" w:rsidP="00D33C63">
            <w:pPr>
              <w:pStyle w:val="Tabletext"/>
              <w:jc w:val="center"/>
            </w:pPr>
            <w:r w:rsidRPr="005A25DB">
              <w:t>–</w:t>
            </w:r>
          </w:p>
        </w:tc>
        <w:tc>
          <w:tcPr>
            <w:tcW w:w="851" w:type="dxa"/>
          </w:tcPr>
          <w:p w14:paraId="11D04585" w14:textId="77777777" w:rsidR="00B430B7" w:rsidRPr="005A25DB" w:rsidRDefault="00B430B7" w:rsidP="00D33C63">
            <w:pPr>
              <w:pStyle w:val="Tabletext"/>
              <w:jc w:val="center"/>
            </w:pPr>
            <w:r w:rsidRPr="005A25DB">
              <w:t>–</w:t>
            </w:r>
          </w:p>
        </w:tc>
      </w:tr>
      <w:tr w:rsidR="00230AD1" w:rsidRPr="004F1C07" w14:paraId="4D70BA6E" w14:textId="77777777" w:rsidTr="00C456E5">
        <w:trPr>
          <w:trHeight w:val="178"/>
        </w:trPr>
        <w:tc>
          <w:tcPr>
            <w:tcW w:w="1668" w:type="dxa"/>
            <w:vMerge w:val="restart"/>
          </w:tcPr>
          <w:p w14:paraId="09A1F911" w14:textId="77777777" w:rsidR="00B430B7" w:rsidRPr="00680101" w:rsidRDefault="00B430B7" w:rsidP="00D33C63">
            <w:pPr>
              <w:pStyle w:val="Tabletext"/>
              <w:rPr>
                <w:b/>
              </w:rPr>
            </w:pPr>
            <w:r w:rsidRPr="00680101">
              <w:rPr>
                <w:b/>
              </w:rPr>
              <w:t>Missing information</w:t>
            </w:r>
          </w:p>
        </w:tc>
        <w:tc>
          <w:tcPr>
            <w:tcW w:w="3260" w:type="dxa"/>
          </w:tcPr>
          <w:p w14:paraId="25DCB733" w14:textId="77777777" w:rsidR="00B430B7" w:rsidRPr="00283264" w:rsidRDefault="00B430B7" w:rsidP="00D33C63">
            <w:pPr>
              <w:pStyle w:val="Summaryofsafetyconcerns"/>
              <w:rPr>
                <w:b w:val="0"/>
              </w:rPr>
            </w:pPr>
            <w:r w:rsidRPr="00283264">
              <w:rPr>
                <w:b w:val="0"/>
              </w:rPr>
              <w:t>Use in children</w:t>
            </w:r>
          </w:p>
        </w:tc>
        <w:tc>
          <w:tcPr>
            <w:tcW w:w="1276" w:type="dxa"/>
          </w:tcPr>
          <w:p w14:paraId="1F6CF7F2" w14:textId="77777777" w:rsidR="00B430B7" w:rsidRPr="005A25DB" w:rsidRDefault="00B430B7" w:rsidP="00D33C63">
            <w:pPr>
              <w:pStyle w:val="Tabletext"/>
              <w:jc w:val="center"/>
            </w:pPr>
            <w:r w:rsidRPr="005A25DB">
              <w:sym w:font="Wingdings" w:char="F0FC"/>
            </w:r>
          </w:p>
        </w:tc>
        <w:tc>
          <w:tcPr>
            <w:tcW w:w="992" w:type="dxa"/>
          </w:tcPr>
          <w:p w14:paraId="3270BF47" w14:textId="77777777" w:rsidR="00B430B7" w:rsidRPr="005A25DB" w:rsidRDefault="00B430B7" w:rsidP="00D33C63">
            <w:pPr>
              <w:pStyle w:val="Tabletext"/>
              <w:jc w:val="center"/>
            </w:pPr>
            <w:r w:rsidRPr="005A25DB">
              <w:t>–</w:t>
            </w:r>
          </w:p>
        </w:tc>
        <w:tc>
          <w:tcPr>
            <w:tcW w:w="850" w:type="dxa"/>
          </w:tcPr>
          <w:p w14:paraId="2A66E1C2" w14:textId="77777777" w:rsidR="00B430B7" w:rsidRPr="005A25DB" w:rsidRDefault="00B430B7" w:rsidP="00D33C63">
            <w:pPr>
              <w:pStyle w:val="Tabletext"/>
              <w:jc w:val="center"/>
            </w:pPr>
            <w:r w:rsidRPr="005A25DB">
              <w:sym w:font="Wingdings" w:char="F0FC"/>
            </w:r>
          </w:p>
        </w:tc>
        <w:tc>
          <w:tcPr>
            <w:tcW w:w="851" w:type="dxa"/>
          </w:tcPr>
          <w:p w14:paraId="47EF9695" w14:textId="77777777" w:rsidR="00B430B7" w:rsidRPr="005A25DB" w:rsidRDefault="00B430B7" w:rsidP="00D33C63">
            <w:pPr>
              <w:pStyle w:val="Tabletext"/>
              <w:jc w:val="center"/>
            </w:pPr>
            <w:r w:rsidRPr="005A25DB">
              <w:t>–</w:t>
            </w:r>
          </w:p>
        </w:tc>
      </w:tr>
      <w:tr w:rsidR="00230AD1" w:rsidRPr="004F1C07" w14:paraId="44112EE9" w14:textId="77777777" w:rsidTr="00C456E5">
        <w:trPr>
          <w:trHeight w:val="140"/>
        </w:trPr>
        <w:tc>
          <w:tcPr>
            <w:tcW w:w="1668" w:type="dxa"/>
            <w:vMerge/>
          </w:tcPr>
          <w:p w14:paraId="78ACE1CD" w14:textId="77777777" w:rsidR="00B430B7" w:rsidRPr="004F1C07" w:rsidRDefault="00B430B7" w:rsidP="00D33C63">
            <w:pPr>
              <w:pStyle w:val="Tabletext"/>
            </w:pPr>
          </w:p>
        </w:tc>
        <w:tc>
          <w:tcPr>
            <w:tcW w:w="3260" w:type="dxa"/>
          </w:tcPr>
          <w:p w14:paraId="1B5F7F7E" w14:textId="77777777" w:rsidR="00B430B7" w:rsidRPr="00283264" w:rsidRDefault="00B430B7" w:rsidP="00D33C63">
            <w:pPr>
              <w:pStyle w:val="Summaryofsafetyconcerns"/>
              <w:rPr>
                <w:b w:val="0"/>
              </w:rPr>
            </w:pPr>
            <w:r w:rsidRPr="00283264">
              <w:rPr>
                <w:b w:val="0"/>
              </w:rPr>
              <w:t>Use in pregnancy and lactation</w:t>
            </w:r>
          </w:p>
        </w:tc>
        <w:tc>
          <w:tcPr>
            <w:tcW w:w="1276" w:type="dxa"/>
          </w:tcPr>
          <w:p w14:paraId="39AACE94" w14:textId="77777777" w:rsidR="00B430B7" w:rsidRPr="005A25DB" w:rsidRDefault="00B430B7" w:rsidP="00D33C63">
            <w:pPr>
              <w:pStyle w:val="Tabletext"/>
              <w:jc w:val="center"/>
            </w:pPr>
            <w:r w:rsidRPr="005A25DB">
              <w:sym w:font="Wingdings" w:char="F0FC"/>
            </w:r>
          </w:p>
        </w:tc>
        <w:tc>
          <w:tcPr>
            <w:tcW w:w="992" w:type="dxa"/>
          </w:tcPr>
          <w:p w14:paraId="68C3DA61" w14:textId="77777777" w:rsidR="00B430B7" w:rsidRPr="005A25DB" w:rsidRDefault="00B430B7" w:rsidP="00D33C63">
            <w:pPr>
              <w:pStyle w:val="Tabletext"/>
              <w:jc w:val="center"/>
            </w:pPr>
            <w:r w:rsidRPr="005A25DB">
              <w:t>–</w:t>
            </w:r>
          </w:p>
        </w:tc>
        <w:tc>
          <w:tcPr>
            <w:tcW w:w="850" w:type="dxa"/>
          </w:tcPr>
          <w:p w14:paraId="3C9DBA8B" w14:textId="77777777" w:rsidR="00B430B7" w:rsidRPr="005A25DB" w:rsidRDefault="00B430B7" w:rsidP="00D33C63">
            <w:pPr>
              <w:pStyle w:val="Tabletext"/>
              <w:jc w:val="center"/>
            </w:pPr>
            <w:r w:rsidRPr="005A25DB">
              <w:sym w:font="Wingdings" w:char="F0FC"/>
            </w:r>
          </w:p>
        </w:tc>
        <w:tc>
          <w:tcPr>
            <w:tcW w:w="851" w:type="dxa"/>
          </w:tcPr>
          <w:p w14:paraId="0A0A3147" w14:textId="77777777" w:rsidR="00B430B7" w:rsidRPr="005A25DB" w:rsidRDefault="00B430B7" w:rsidP="00D33C63">
            <w:pPr>
              <w:pStyle w:val="Tabletext"/>
              <w:jc w:val="center"/>
            </w:pPr>
            <w:r w:rsidRPr="005A25DB">
              <w:t>–</w:t>
            </w:r>
          </w:p>
        </w:tc>
      </w:tr>
    </w:tbl>
    <w:p w14:paraId="6910B388" w14:textId="59FA7BA6" w:rsidR="004A79CF" w:rsidRDefault="004A79CF" w:rsidP="000D7406">
      <w:pPr>
        <w:pStyle w:val="TableDescription"/>
      </w:pPr>
      <w:r>
        <w:t xml:space="preserve">Note: For pharmacovigilance and </w:t>
      </w:r>
      <w:r w:rsidR="00273E54">
        <w:t>risk minimisation activities,</w:t>
      </w:r>
      <w:r>
        <w:t xml:space="preserve"> R = routine; A = additional.</w:t>
      </w:r>
    </w:p>
    <w:p w14:paraId="62416A5F" w14:textId="77777777" w:rsidR="00B430B7" w:rsidRPr="00D25E9D" w:rsidRDefault="00B430B7" w:rsidP="00C1003B">
      <w:pPr>
        <w:pStyle w:val="ListBullet"/>
        <w:pageBreakBefore/>
        <w:ind w:left="357" w:hanging="357"/>
      </w:pPr>
      <w:r w:rsidRPr="00D25E9D">
        <w:lastRenderedPageBreak/>
        <w:t xml:space="preserve">Additional pharmacovigilance activities </w:t>
      </w:r>
      <w:r>
        <w:t xml:space="preserve">(ongoing clinical trials) </w:t>
      </w:r>
      <w:r w:rsidRPr="00D25E9D">
        <w:t>have been proposed for the following safety concerns:</w:t>
      </w:r>
    </w:p>
    <w:p w14:paraId="029AB487" w14:textId="3530A2C7" w:rsidR="00B430B7" w:rsidRPr="00D25E9D" w:rsidRDefault="00B430B7" w:rsidP="00C456E5">
      <w:pPr>
        <w:pStyle w:val="ListBullet2"/>
      </w:pPr>
      <w:r w:rsidRPr="00D25E9D">
        <w:t>Infusion-related reactions;</w:t>
      </w:r>
    </w:p>
    <w:p w14:paraId="040C55BF" w14:textId="77777777" w:rsidR="00B430B7" w:rsidRPr="00D25E9D" w:rsidRDefault="00B430B7" w:rsidP="00C456E5">
      <w:pPr>
        <w:pStyle w:val="ListBullet2"/>
      </w:pPr>
      <w:r w:rsidRPr="00D25E9D">
        <w:t>Thrombocytopaenia;</w:t>
      </w:r>
    </w:p>
    <w:p w14:paraId="6842246D" w14:textId="77777777" w:rsidR="00B430B7" w:rsidRPr="00D25E9D" w:rsidRDefault="00B430B7" w:rsidP="00C456E5">
      <w:pPr>
        <w:pStyle w:val="ListBullet2"/>
      </w:pPr>
      <w:r w:rsidRPr="00D25E9D">
        <w:t>Late onset and prolonged neutropenia;</w:t>
      </w:r>
    </w:p>
    <w:p w14:paraId="4C7C6899" w14:textId="54238338" w:rsidR="00B430B7" w:rsidRPr="00D25E9D" w:rsidRDefault="00B430B7" w:rsidP="00C456E5">
      <w:pPr>
        <w:pStyle w:val="ListBullet2"/>
      </w:pPr>
      <w:r w:rsidRPr="00D25E9D">
        <w:t>Prolonged B</w:t>
      </w:r>
      <w:r w:rsidR="00E837F8">
        <w:t xml:space="preserve"> </w:t>
      </w:r>
      <w:r w:rsidRPr="00D25E9D">
        <w:t>cell depletion,</w:t>
      </w:r>
    </w:p>
    <w:p w14:paraId="5BC58335" w14:textId="77777777" w:rsidR="00B430B7" w:rsidRPr="00D25E9D" w:rsidRDefault="00B430B7" w:rsidP="00C456E5">
      <w:pPr>
        <w:pStyle w:val="ListBullet2"/>
      </w:pPr>
      <w:r w:rsidRPr="00D25E9D">
        <w:t>Immunogenicity;</w:t>
      </w:r>
    </w:p>
    <w:p w14:paraId="434768FD" w14:textId="77777777" w:rsidR="00B430B7" w:rsidRPr="00D25E9D" w:rsidRDefault="00B430B7" w:rsidP="00C456E5">
      <w:pPr>
        <w:pStyle w:val="ListBullet2"/>
      </w:pPr>
      <w:r w:rsidRPr="00D25E9D">
        <w:t>Immune-mediated glomerulonephritis</w:t>
      </w:r>
    </w:p>
    <w:p w14:paraId="2593787F" w14:textId="77777777" w:rsidR="00B430B7" w:rsidRPr="00D25E9D" w:rsidRDefault="00B430B7" w:rsidP="00B430B7">
      <w:pPr>
        <w:pStyle w:val="Bulletlist"/>
      </w:pPr>
      <w:r w:rsidRPr="00D25E9D">
        <w:t>There are no additional risk minimisation activities.</w:t>
      </w:r>
    </w:p>
    <w:p w14:paraId="258257A9" w14:textId="716DD016" w:rsidR="00B430B7" w:rsidRDefault="00B430B7" w:rsidP="00C456E5">
      <w:pPr>
        <w:pStyle w:val="Heading4"/>
      </w:pPr>
      <w:bookmarkStart w:id="89" w:name="_Toc486946387"/>
      <w:r>
        <w:t xml:space="preserve">New and outstanding recommendations </w:t>
      </w:r>
      <w:r w:rsidR="00E837F8">
        <w:t>in the Second round RMP evaluation</w:t>
      </w:r>
      <w:bookmarkEnd w:id="89"/>
    </w:p>
    <w:p w14:paraId="36E0723D" w14:textId="24374C46" w:rsidR="00B430B7" w:rsidRPr="0014250C" w:rsidRDefault="00B430B7" w:rsidP="00C456E5">
      <w:r>
        <w:t xml:space="preserve">There are no outstanding recommendations </w:t>
      </w:r>
      <w:r w:rsidR="00230AD1">
        <w:t>from the</w:t>
      </w:r>
      <w:r>
        <w:t xml:space="preserve"> </w:t>
      </w:r>
      <w:r w:rsidR="00230AD1">
        <w:t>second round evaluation</w:t>
      </w:r>
      <w:r>
        <w:t>.</w:t>
      </w:r>
    </w:p>
    <w:p w14:paraId="5B8B709D" w14:textId="77777777" w:rsidR="00B430B7" w:rsidRPr="00BB4B51" w:rsidRDefault="00B430B7" w:rsidP="00C456E5">
      <w:pPr>
        <w:pStyle w:val="Heading4"/>
      </w:pPr>
      <w:bookmarkStart w:id="90" w:name="_Toc486946388"/>
      <w:r>
        <w:t>Wording for conditions of registration</w:t>
      </w:r>
      <w:bookmarkEnd w:id="90"/>
    </w:p>
    <w:p w14:paraId="0F6C2ACD" w14:textId="1CD4C68B" w:rsidR="00B430B7" w:rsidRPr="009D7ED7" w:rsidRDefault="00B430B7" w:rsidP="00C456E5">
      <w:r w:rsidRPr="009D7ED7">
        <w:t>Any changes to which the sponsor</w:t>
      </w:r>
      <w:r>
        <w:t xml:space="preserve"> has</w:t>
      </w:r>
      <w:r w:rsidRPr="009D7ED7">
        <w:t xml:space="preserve"> agreed </w:t>
      </w:r>
      <w:r>
        <w:t>should be included in a revised RMP and ASA. However, irrespective of whether or not</w:t>
      </w:r>
      <w:r w:rsidRPr="009D7ED7">
        <w:t xml:space="preserve"> they are included in the currently available version of the RMP document</w:t>
      </w:r>
      <w:r>
        <w:t xml:space="preserve">, the agreed changes </w:t>
      </w:r>
      <w:r w:rsidRPr="009D7ED7">
        <w:t>become part of the risk management system</w:t>
      </w:r>
      <w:r>
        <w:t>.</w:t>
      </w:r>
    </w:p>
    <w:p w14:paraId="0D47CE4A" w14:textId="77777777" w:rsidR="00F20ACE" w:rsidRDefault="00B430B7" w:rsidP="00C456E5">
      <w:r w:rsidRPr="009D7ED7">
        <w:t xml:space="preserve">The suggested wording </w:t>
      </w:r>
      <w:r w:rsidRPr="00216DD1">
        <w:t>is:</w:t>
      </w:r>
    </w:p>
    <w:p w14:paraId="43B2C64D" w14:textId="7206E338" w:rsidR="00B430B7" w:rsidRDefault="00B430B7" w:rsidP="00C456E5">
      <w:pPr>
        <w:ind w:left="720"/>
        <w:rPr>
          <w:color w:val="00B050"/>
        </w:rPr>
      </w:pPr>
      <w:r w:rsidRPr="00216DD1">
        <w:t>Implement EU-RMP (version 3.0, dated 13 September 2016, data lock point 5</w:t>
      </w:r>
      <w:r w:rsidR="00E837F8">
        <w:t> </w:t>
      </w:r>
      <w:r w:rsidRPr="00216DD1">
        <w:t>September 2016) with Australian Specific Annex (version 4.1, dated June 2017) and any future updates as a condition of registration.</w:t>
      </w:r>
    </w:p>
    <w:p w14:paraId="4548F94B" w14:textId="473A535A" w:rsidR="008E7846" w:rsidRPr="009A2EA1" w:rsidRDefault="00B430B7" w:rsidP="008E7846">
      <w:pPr>
        <w:pStyle w:val="Heading2"/>
      </w:pPr>
      <w:bookmarkStart w:id="91" w:name="_Toc513552860"/>
      <w:r>
        <w:t>VII</w:t>
      </w:r>
      <w:r w:rsidR="003F10C6">
        <w:t>I</w:t>
      </w:r>
      <w:r w:rsidR="00C456E5">
        <w:t>.</w:t>
      </w:r>
      <w:r>
        <w:t xml:space="preserve"> </w:t>
      </w:r>
      <w:r w:rsidR="008E7846" w:rsidRPr="009A2EA1">
        <w:t>Overall conclusion and risk/benefit assessment</w:t>
      </w:r>
      <w:bookmarkEnd w:id="73"/>
      <w:bookmarkEnd w:id="87"/>
      <w:bookmarkEnd w:id="88"/>
      <w:bookmarkEnd w:id="91"/>
    </w:p>
    <w:p w14:paraId="1B909B13" w14:textId="77777777" w:rsidR="008E7846" w:rsidRPr="009A2EA1" w:rsidRDefault="008E7846" w:rsidP="008E7846">
      <w:bookmarkStart w:id="92" w:name="_Toc247691528"/>
      <w:r w:rsidRPr="009A2EA1">
        <w:t>The submission was summarised in the following Delegate’s overview and recommendations:</w:t>
      </w:r>
    </w:p>
    <w:p w14:paraId="1599DFCD" w14:textId="77777777" w:rsidR="008E7846" w:rsidRPr="009A2EA1" w:rsidRDefault="008E7846" w:rsidP="008E7846">
      <w:pPr>
        <w:pStyle w:val="Heading3"/>
      </w:pPr>
      <w:bookmarkStart w:id="93" w:name="_Toc314842511"/>
      <w:bookmarkStart w:id="94" w:name="_Toc513552861"/>
      <w:r w:rsidRPr="009A2EA1">
        <w:t>Quality</w:t>
      </w:r>
      <w:bookmarkEnd w:id="92"/>
      <w:bookmarkEnd w:id="93"/>
      <w:bookmarkEnd w:id="94"/>
    </w:p>
    <w:p w14:paraId="151BC876" w14:textId="77777777" w:rsidR="00E45619" w:rsidRPr="009A2EA1" w:rsidRDefault="008E7846" w:rsidP="003A7F6C">
      <w:r w:rsidRPr="009A2EA1">
        <w:t>There was no requirement for a quality evaluation in a submission of this type.</w:t>
      </w:r>
    </w:p>
    <w:p w14:paraId="65E612A8" w14:textId="77777777" w:rsidR="008E7846" w:rsidRPr="009A2EA1" w:rsidRDefault="008E7846" w:rsidP="008E7846">
      <w:pPr>
        <w:pStyle w:val="Heading3"/>
      </w:pPr>
      <w:bookmarkStart w:id="95" w:name="_Toc314842512"/>
      <w:bookmarkStart w:id="96" w:name="_Toc513552862"/>
      <w:r w:rsidRPr="009A2EA1">
        <w:t>Nonclinical</w:t>
      </w:r>
      <w:bookmarkEnd w:id="95"/>
      <w:bookmarkEnd w:id="96"/>
    </w:p>
    <w:p w14:paraId="6D458DD4" w14:textId="77777777" w:rsidR="008E7846" w:rsidRPr="009A2EA1" w:rsidRDefault="008E7846" w:rsidP="008E7846">
      <w:r w:rsidRPr="009A2EA1">
        <w:t>There was no requirement for a nonclinical evaluation in a submission of this type.</w:t>
      </w:r>
    </w:p>
    <w:p w14:paraId="205EF5D4" w14:textId="77777777" w:rsidR="008E7846" w:rsidRPr="009A2EA1" w:rsidRDefault="008E7846" w:rsidP="008E7846">
      <w:pPr>
        <w:pStyle w:val="Heading3"/>
      </w:pPr>
      <w:bookmarkStart w:id="97" w:name="_Toc247691530"/>
      <w:bookmarkStart w:id="98" w:name="_Toc314842513"/>
      <w:bookmarkStart w:id="99" w:name="_Toc513552863"/>
      <w:r w:rsidRPr="009A2EA1">
        <w:t>Clinical</w:t>
      </w:r>
      <w:bookmarkEnd w:id="97"/>
      <w:bookmarkEnd w:id="98"/>
      <w:bookmarkEnd w:id="99"/>
    </w:p>
    <w:p w14:paraId="76098A92" w14:textId="77DDC4E5" w:rsidR="007B6132" w:rsidRPr="009A2EA1" w:rsidRDefault="00261682" w:rsidP="00261682">
      <w:bookmarkStart w:id="100" w:name="_Toc314842514"/>
      <w:r w:rsidRPr="009A2EA1">
        <w:t>The data relate almost exclusively to Study BO21223.</w:t>
      </w:r>
    </w:p>
    <w:p w14:paraId="3E4035A4" w14:textId="42A019EB" w:rsidR="0015280F" w:rsidRPr="009A2EA1" w:rsidRDefault="0015280F" w:rsidP="00116A74">
      <w:pPr>
        <w:pStyle w:val="Heading4"/>
      </w:pPr>
      <w:r w:rsidRPr="009A2EA1">
        <w:t>Pharmacology</w:t>
      </w:r>
    </w:p>
    <w:p w14:paraId="582ED363" w14:textId="130F34C0" w:rsidR="0015280F" w:rsidRPr="009A2EA1" w:rsidRDefault="0015280F" w:rsidP="00116A74">
      <w:pPr>
        <w:pStyle w:val="Heading5"/>
      </w:pPr>
      <w:r w:rsidRPr="009A2EA1">
        <w:t>Pharmacokinetics</w:t>
      </w:r>
    </w:p>
    <w:p w14:paraId="4DC4573B" w14:textId="56BEA8C9" w:rsidR="0015280F" w:rsidRPr="009A2EA1" w:rsidRDefault="0015280F" w:rsidP="0015280F">
      <w:r w:rsidRPr="009A2EA1">
        <w:t xml:space="preserve">Study BO21223 provided approximately 23 PK samples per patient (7550 in total), from a planned sample of 460 patients who received obinutuzumab. These data were added to a </w:t>
      </w:r>
      <w:r w:rsidRPr="009A2EA1">
        <w:lastRenderedPageBreak/>
        <w:t xml:space="preserve">popPK dataset and thus the dataset updated. The previous dataset was based upon </w:t>
      </w:r>
      <w:r w:rsidR="00116A74" w:rsidRPr="009A2EA1">
        <w:t>6 </w:t>
      </w:r>
      <w:r w:rsidRPr="009A2EA1">
        <w:t>studies where 16,301 data points were gathered from 961 patients. Of the new combined total (n</w:t>
      </w:r>
      <w:r w:rsidR="00116A74" w:rsidRPr="009A2EA1">
        <w:t xml:space="preserve"> </w:t>
      </w:r>
      <w:r w:rsidRPr="009A2EA1">
        <w:t>=</w:t>
      </w:r>
      <w:r w:rsidR="00116A74" w:rsidRPr="009A2EA1">
        <w:t xml:space="preserve"> </w:t>
      </w:r>
      <w:r w:rsidRPr="009A2EA1">
        <w:t xml:space="preserve">1454 patients), 814 had </w:t>
      </w:r>
      <w:r w:rsidR="002061ED">
        <w:t>FL</w:t>
      </w:r>
      <w:r w:rsidRPr="009A2EA1">
        <w:t>. The resulting dataset did not deviate from conclusions previously reached, specifically:</w:t>
      </w:r>
    </w:p>
    <w:p w14:paraId="00533EF1" w14:textId="6048B255" w:rsidR="0015280F" w:rsidRPr="009A2EA1" w:rsidRDefault="0015280F" w:rsidP="00116A74">
      <w:pPr>
        <w:pStyle w:val="ListBullet"/>
      </w:pPr>
      <w:r w:rsidRPr="009A2EA1">
        <w:t>The model confirmed the influence of previously identified covariates (body weight, sex, tu</w:t>
      </w:r>
      <w:r w:rsidR="002061ED">
        <w:t>mour size and serum albumin at B</w:t>
      </w:r>
      <w:r w:rsidRPr="009A2EA1">
        <w:t xml:space="preserve">aseline, disease types </w:t>
      </w:r>
      <w:r w:rsidR="00EA30FD" w:rsidRPr="009A2EA1">
        <w:t>(</w:t>
      </w:r>
      <w:r w:rsidRPr="009A2EA1">
        <w:t>CLL, FL/</w:t>
      </w:r>
      <w:r w:rsidR="002061ED">
        <w:t>diffuse large B cell lymphoma (</w:t>
      </w:r>
      <w:r w:rsidRPr="009A2EA1">
        <w:t>DLBCL</w:t>
      </w:r>
      <w:r w:rsidR="002061ED">
        <w:t>)</w:t>
      </w:r>
      <w:r w:rsidRPr="009A2EA1">
        <w:t xml:space="preserve">, </w:t>
      </w:r>
      <w:r w:rsidR="002061ED">
        <w:t>mantle cell lymphoma (</w:t>
      </w:r>
      <w:r w:rsidRPr="009A2EA1">
        <w:t>MCL</w:t>
      </w:r>
      <w:r w:rsidR="002061ED">
        <w:t>)</w:t>
      </w:r>
      <w:r w:rsidR="00EA30FD" w:rsidRPr="009A2EA1">
        <w:t>)</w:t>
      </w:r>
      <w:r w:rsidRPr="009A2EA1">
        <w:t>, i</w:t>
      </w:r>
      <w:r w:rsidR="002061ED">
        <w:t xml:space="preserve">ndolent </w:t>
      </w:r>
      <w:r w:rsidRPr="009A2EA1">
        <w:t xml:space="preserve">NHL subtypes </w:t>
      </w:r>
      <w:r w:rsidR="00EA30FD" w:rsidRPr="009A2EA1">
        <w:t>(</w:t>
      </w:r>
      <w:r w:rsidRPr="009A2EA1">
        <w:t>SLL</w:t>
      </w:r>
      <w:r w:rsidR="00EA30FD" w:rsidRPr="009A2EA1">
        <w:t>)</w:t>
      </w:r>
      <w:r w:rsidRPr="009A2EA1">
        <w:t xml:space="preserve">, and concomitant chemotherapies </w:t>
      </w:r>
      <w:r w:rsidR="00EA30FD" w:rsidRPr="009A2EA1">
        <w:t>(</w:t>
      </w:r>
      <w:r w:rsidR="002061ED">
        <w:t>CHOP/</w:t>
      </w:r>
      <w:r w:rsidRPr="009A2EA1">
        <w:t>CVP, bendamustine, FC</w:t>
      </w:r>
      <w:r w:rsidR="00EA30FD" w:rsidRPr="009A2EA1">
        <w:t>)</w:t>
      </w:r>
      <w:r w:rsidRPr="009A2EA1">
        <w:t>).</w:t>
      </w:r>
    </w:p>
    <w:p w14:paraId="14A24220" w14:textId="0B255D1A" w:rsidR="0015280F" w:rsidRPr="009A2EA1" w:rsidRDefault="0015280F" w:rsidP="00116A74">
      <w:pPr>
        <w:pStyle w:val="ListBullet"/>
      </w:pPr>
      <w:r w:rsidRPr="009A2EA1">
        <w:t xml:space="preserve">The analysis of obinutuzumab exposure-safety relationships in FL and MZL patients from </w:t>
      </w:r>
      <w:r w:rsidR="00EA30FD" w:rsidRPr="009A2EA1">
        <w:t>Study B</w:t>
      </w:r>
      <w:r w:rsidRPr="009A2EA1">
        <w:t>O21223 demonstrated absence of relationships between exposure and safety parameters.</w:t>
      </w:r>
    </w:p>
    <w:p w14:paraId="2FCF7D4D" w14:textId="6556CFBA" w:rsidR="0015280F" w:rsidRPr="009A2EA1" w:rsidRDefault="0015280F" w:rsidP="00116A74">
      <w:pPr>
        <w:pStyle w:val="ListBullet"/>
      </w:pPr>
      <w:r w:rsidRPr="009A2EA1">
        <w:t xml:space="preserve">There was no apparent relationship between obinutuzumab exposure and efficacy parameters for patients with FL receiving bendamustine in </w:t>
      </w:r>
      <w:r w:rsidR="00EA30FD" w:rsidRPr="009A2EA1">
        <w:t>Study B</w:t>
      </w:r>
      <w:r w:rsidRPr="009A2EA1">
        <w:t>O21223.</w:t>
      </w:r>
    </w:p>
    <w:p w14:paraId="4606B33E" w14:textId="51DC8886" w:rsidR="0015280F" w:rsidRPr="009A2EA1" w:rsidRDefault="0015280F" w:rsidP="00116A74">
      <w:pPr>
        <w:pStyle w:val="ListBullet"/>
      </w:pPr>
      <w:r w:rsidRPr="009A2EA1">
        <w:t xml:space="preserve">The analysis of obinutuzumab exposure-efficacy relationships for patients with FL receiving CHOP or CVP in </w:t>
      </w:r>
      <w:r w:rsidR="00EA30FD" w:rsidRPr="009A2EA1">
        <w:t>Study B</w:t>
      </w:r>
      <w:r w:rsidRPr="009A2EA1">
        <w:t>O21223 suggested that an increase in exposure might lead to an improvement in efficacy parameters mainly in patients with high body weight and pat</w:t>
      </w:r>
      <w:r w:rsidR="002061ED">
        <w:t>ients with high tumour size at B</w:t>
      </w:r>
      <w:r w:rsidRPr="009A2EA1">
        <w:t>aseline. However, these exploratory subgroup analyses should be interpreted with caution regarding causality.</w:t>
      </w:r>
    </w:p>
    <w:p w14:paraId="29D96CF1" w14:textId="146E62BC" w:rsidR="0015280F" w:rsidRPr="009A2EA1" w:rsidRDefault="0015280F" w:rsidP="0015280F">
      <w:pPr>
        <w:pStyle w:val="ListBullet"/>
      </w:pPr>
      <w:r w:rsidRPr="009A2EA1">
        <w:t xml:space="preserve">There was no apparent relationship between obinutuzumab exposure and efficacy parameters for patients with MZL in </w:t>
      </w:r>
      <w:r w:rsidR="00EA30FD" w:rsidRPr="009A2EA1">
        <w:t>Study B</w:t>
      </w:r>
      <w:r w:rsidRPr="009A2EA1">
        <w:t>O21223.</w:t>
      </w:r>
    </w:p>
    <w:p w14:paraId="34C7D796" w14:textId="1BF0FE14" w:rsidR="0015280F" w:rsidRPr="009A2EA1" w:rsidRDefault="0015280F" w:rsidP="00116A74">
      <w:pPr>
        <w:pStyle w:val="Heading5"/>
      </w:pPr>
      <w:r w:rsidRPr="009A2EA1">
        <w:t>P</w:t>
      </w:r>
      <w:r w:rsidR="00116A74" w:rsidRPr="009A2EA1">
        <w:t>harmacodynamics</w:t>
      </w:r>
    </w:p>
    <w:p w14:paraId="71A67493" w14:textId="02BFD0D8" w:rsidR="0015280F" w:rsidRPr="009A2EA1" w:rsidRDefault="00116A74" w:rsidP="00116A74">
      <w:pPr>
        <w:pStyle w:val="Heading6"/>
      </w:pPr>
      <w:r w:rsidRPr="009A2EA1">
        <w:t xml:space="preserve">Study BO21223 B cell depletion and B </w:t>
      </w:r>
      <w:r w:rsidR="0015280F" w:rsidRPr="009A2EA1">
        <w:t>cell r</w:t>
      </w:r>
      <w:r w:rsidRPr="009A2EA1">
        <w:t>ecovery</w:t>
      </w:r>
    </w:p>
    <w:p w14:paraId="19D31880" w14:textId="602C7033" w:rsidR="0015280F" w:rsidRPr="009A2EA1" w:rsidRDefault="00116A74" w:rsidP="0015280F">
      <w:r w:rsidRPr="009A2EA1">
        <w:t xml:space="preserve">B </w:t>
      </w:r>
      <w:r w:rsidR="0015280F" w:rsidRPr="009A2EA1">
        <w:t>cell depletion was defined as a CD19</w:t>
      </w:r>
      <w:r w:rsidR="0015280F" w:rsidRPr="009A2EA1">
        <w:rPr>
          <w:vertAlign w:val="superscript"/>
        </w:rPr>
        <w:t>+</w:t>
      </w:r>
      <w:r w:rsidR="0015280F" w:rsidRPr="009A2EA1">
        <w:t xml:space="preserve"> cell count of &lt;</w:t>
      </w:r>
      <w:r w:rsidRPr="009A2EA1">
        <w:t xml:space="preserve"> </w:t>
      </w:r>
      <w:r w:rsidR="0015280F" w:rsidRPr="009A2EA1">
        <w:t>0.07 x 10</w:t>
      </w:r>
      <w:r w:rsidR="0015280F" w:rsidRPr="009A2EA1">
        <w:rPr>
          <w:vertAlign w:val="superscript"/>
        </w:rPr>
        <w:t>9</w:t>
      </w:r>
      <w:r w:rsidR="0015280F" w:rsidRPr="009A2EA1">
        <w:t>/L occurring after at least one dose of study drug has been administered. Time to depletion was defined as the number of days between the first intake of study drug and the date of the first depletion.</w:t>
      </w:r>
    </w:p>
    <w:p w14:paraId="525FABF5" w14:textId="0B3D2638" w:rsidR="0015280F" w:rsidRPr="009A2EA1" w:rsidRDefault="00EA30FD" w:rsidP="0015280F">
      <w:r w:rsidRPr="009A2EA1">
        <w:t>B cell</w:t>
      </w:r>
      <w:r w:rsidR="0015280F" w:rsidRPr="009A2EA1">
        <w:t xml:space="preserve"> recovery was defined as a CD19</w:t>
      </w:r>
      <w:r w:rsidR="0015280F" w:rsidRPr="009A2EA1">
        <w:rPr>
          <w:vertAlign w:val="superscript"/>
        </w:rPr>
        <w:t>+</w:t>
      </w:r>
      <w:r w:rsidR="0015280F" w:rsidRPr="009A2EA1">
        <w:t xml:space="preserve"> cell count of ≥</w:t>
      </w:r>
      <w:r w:rsidR="00BF7F3E">
        <w:t xml:space="preserve"> </w:t>
      </w:r>
      <w:r w:rsidR="0015280F" w:rsidRPr="009A2EA1">
        <w:t>0.07 x 10</w:t>
      </w:r>
      <w:r w:rsidR="0015280F" w:rsidRPr="009A2EA1">
        <w:rPr>
          <w:vertAlign w:val="superscript"/>
        </w:rPr>
        <w:t>9</w:t>
      </w:r>
      <w:r w:rsidR="0015280F" w:rsidRPr="009A2EA1">
        <w:t>/L, for a patient with a previous CD19</w:t>
      </w:r>
      <w:r w:rsidR="0015280F" w:rsidRPr="009A2EA1">
        <w:rPr>
          <w:vertAlign w:val="superscript"/>
        </w:rPr>
        <w:t>+</w:t>
      </w:r>
      <w:r w:rsidR="0015280F" w:rsidRPr="009A2EA1">
        <w:t xml:space="preserve"> cell count indicating </w:t>
      </w:r>
      <w:r w:rsidRPr="009A2EA1">
        <w:t>B cell</w:t>
      </w:r>
      <w:r w:rsidR="0015280F" w:rsidRPr="009A2EA1">
        <w:t xml:space="preserve"> depletion (CD19</w:t>
      </w:r>
      <w:r w:rsidR="0015280F" w:rsidRPr="009A2EA1">
        <w:rPr>
          <w:vertAlign w:val="superscript"/>
        </w:rPr>
        <w:t>+</w:t>
      </w:r>
      <w:r w:rsidR="0015280F" w:rsidRPr="009A2EA1">
        <w:t xml:space="preserve"> measurement &lt;</w:t>
      </w:r>
      <w:r w:rsidR="00BF7F3E">
        <w:t xml:space="preserve"> </w:t>
      </w:r>
      <w:r w:rsidR="0015280F" w:rsidRPr="009A2EA1">
        <w:t>0.07 x 10</w:t>
      </w:r>
      <w:r w:rsidR="0015280F" w:rsidRPr="009A2EA1">
        <w:rPr>
          <w:vertAlign w:val="superscript"/>
        </w:rPr>
        <w:t>9</w:t>
      </w:r>
      <w:r w:rsidR="0015280F" w:rsidRPr="009A2EA1">
        <w:t xml:space="preserve">/L). </w:t>
      </w:r>
      <w:r w:rsidRPr="009A2EA1">
        <w:t>B cell</w:t>
      </w:r>
      <w:r w:rsidR="0015280F" w:rsidRPr="009A2EA1">
        <w:t xml:space="preserve"> recovery was considered possible only after the patient had completed study treatment. The time to </w:t>
      </w:r>
      <w:r w:rsidRPr="009A2EA1">
        <w:t>B cell</w:t>
      </w:r>
      <w:r w:rsidR="0015280F" w:rsidRPr="009A2EA1">
        <w:t xml:space="preserve"> recovery was defined as the time from </w:t>
      </w:r>
      <w:r w:rsidRPr="009A2EA1">
        <w:t>B cell</w:t>
      </w:r>
      <w:r w:rsidR="0015280F" w:rsidRPr="009A2EA1">
        <w:t xml:space="preserve"> depletion until </w:t>
      </w:r>
      <w:r w:rsidR="002061ED">
        <w:t>B </w:t>
      </w:r>
      <w:r w:rsidRPr="009A2EA1">
        <w:t>cell</w:t>
      </w:r>
      <w:r w:rsidR="0015280F" w:rsidRPr="009A2EA1">
        <w:t xml:space="preserve"> recovery.</w:t>
      </w:r>
    </w:p>
    <w:p w14:paraId="3B54BE74" w14:textId="1605AD8D" w:rsidR="0015280F" w:rsidRPr="009A2EA1" w:rsidRDefault="0015280F" w:rsidP="00116A74">
      <w:pPr>
        <w:pStyle w:val="ListBullet"/>
      </w:pPr>
      <w:r w:rsidRPr="009A2EA1">
        <w:t xml:space="preserve">Almost all patients who had a </w:t>
      </w:r>
      <w:r w:rsidR="00EA30FD" w:rsidRPr="009A2EA1">
        <w:t>B cell</w:t>
      </w:r>
      <w:r w:rsidRPr="009A2EA1">
        <w:t xml:space="preserve"> result reported showed </w:t>
      </w:r>
      <w:r w:rsidR="00EA30FD" w:rsidRPr="009A2EA1">
        <w:t>B cell</w:t>
      </w:r>
      <w:r w:rsidRPr="009A2EA1">
        <w:t xml:space="preserve"> depletion at the last antibody administration (LAA).</w:t>
      </w:r>
    </w:p>
    <w:p w14:paraId="3D1B49EC" w14:textId="1E345840" w:rsidR="0015280F" w:rsidRPr="009A2EA1" w:rsidRDefault="0015280F" w:rsidP="00116A74">
      <w:pPr>
        <w:pStyle w:val="ListBullet"/>
      </w:pPr>
      <w:r w:rsidRPr="009A2EA1">
        <w:t xml:space="preserve">Overall, 445 patients (74.5% of the safety population; 452 patients had a </w:t>
      </w:r>
      <w:r w:rsidR="00EA30FD" w:rsidRPr="009A2EA1">
        <w:t>B cell</w:t>
      </w:r>
      <w:r w:rsidRPr="009A2EA1">
        <w:t xml:space="preserve"> result reported) in the R-chemo arm had </w:t>
      </w:r>
      <w:r w:rsidR="00EA30FD" w:rsidRPr="009A2EA1">
        <w:t>B cell</w:t>
      </w:r>
      <w:r w:rsidRPr="009A2EA1">
        <w:t xml:space="preserve"> depletion at the LAA. 454 patients (76.3% of the safety population; 457 patients had a </w:t>
      </w:r>
      <w:r w:rsidR="00EA30FD" w:rsidRPr="009A2EA1">
        <w:t>B cell</w:t>
      </w:r>
      <w:r w:rsidRPr="009A2EA1">
        <w:t xml:space="preserve"> result reported) in the G-chemo arm had </w:t>
      </w:r>
      <w:r w:rsidR="00EA30FD" w:rsidRPr="009A2EA1">
        <w:t>B cell</w:t>
      </w:r>
      <w:r w:rsidRPr="009A2EA1">
        <w:t xml:space="preserve"> depletion at the LAA.</w:t>
      </w:r>
    </w:p>
    <w:p w14:paraId="5AEFBE25" w14:textId="5B856533" w:rsidR="0015280F" w:rsidRPr="009A2EA1" w:rsidRDefault="0015280F" w:rsidP="00116A74">
      <w:pPr>
        <w:pStyle w:val="ListBullet"/>
      </w:pPr>
      <w:r w:rsidRPr="009A2EA1">
        <w:t>A robust analysis of recovery cannot be performed due to the low number of patients who had been followed for a sufficient duration as of the time of data cut</w:t>
      </w:r>
      <w:r w:rsidR="002061ED">
        <w:t xml:space="preserve"> </w:t>
      </w:r>
      <w:r w:rsidRPr="009A2EA1">
        <w:t>off. However at the time of the clinical data cut</w:t>
      </w:r>
      <w:r w:rsidR="00986DF2">
        <w:t xml:space="preserve"> </w:t>
      </w:r>
      <w:r w:rsidRPr="009A2EA1">
        <w:t>off, ≤</w:t>
      </w:r>
      <w:r w:rsidR="00986DF2">
        <w:t xml:space="preserve"> </w:t>
      </w:r>
      <w:r w:rsidRPr="009A2EA1">
        <w:t xml:space="preserve">10% of the patients reporting </w:t>
      </w:r>
      <w:r w:rsidR="00EA30FD" w:rsidRPr="009A2EA1">
        <w:t>B cell</w:t>
      </w:r>
      <w:r w:rsidRPr="009A2EA1">
        <w:t xml:space="preserve"> depletion during treatment in each treatment arm had recovered.</w:t>
      </w:r>
    </w:p>
    <w:p w14:paraId="3A5E825C" w14:textId="4E6C0DFA" w:rsidR="0015280F" w:rsidRPr="009A2EA1" w:rsidRDefault="00986DF2" w:rsidP="00116A74">
      <w:pPr>
        <w:pStyle w:val="ListBullet"/>
      </w:pPr>
      <w:r>
        <w:t xml:space="preserve">Within 6 to 12 months of follow </w:t>
      </w:r>
      <w:r w:rsidR="0015280F" w:rsidRPr="009A2EA1">
        <w:t xml:space="preserve">up after LAA, of 190 patients in the R-chemo arm with </w:t>
      </w:r>
      <w:r w:rsidR="00EA30FD" w:rsidRPr="009A2EA1">
        <w:t>B cell</w:t>
      </w:r>
      <w:r w:rsidR="0015280F" w:rsidRPr="009A2EA1">
        <w:t xml:space="preserve"> assessment done 24 patients had recove</w:t>
      </w:r>
      <w:r>
        <w:t>red (one patient with pharmacodynamics and 23 patients without</w:t>
      </w:r>
      <w:r w:rsidR="0015280F" w:rsidRPr="009A2EA1">
        <w:t xml:space="preserve">), and of 190 patients in the G-chemo arm with </w:t>
      </w:r>
      <w:r w:rsidR="00EA30FD" w:rsidRPr="009A2EA1">
        <w:t>B cell</w:t>
      </w:r>
      <w:r w:rsidR="0015280F" w:rsidRPr="009A2EA1">
        <w:t xml:space="preserve"> assessment done</w:t>
      </w:r>
      <w:r w:rsidR="00BF7F3E">
        <w:t>,</w:t>
      </w:r>
      <w:r w:rsidR="0015280F" w:rsidRPr="009A2EA1">
        <w:t xml:space="preserve"> </w:t>
      </w:r>
      <w:r w:rsidR="00BF7F3E">
        <w:t>3</w:t>
      </w:r>
      <w:r w:rsidR="0015280F" w:rsidRPr="009A2EA1">
        <w:t xml:space="preserve"> patients had recovered (all without </w:t>
      </w:r>
      <w:r>
        <w:t>pharmacodynamics</w:t>
      </w:r>
      <w:r w:rsidR="0015280F" w:rsidRPr="009A2EA1">
        <w:t>).</w:t>
      </w:r>
    </w:p>
    <w:p w14:paraId="01FE1276" w14:textId="23D94526" w:rsidR="0015280F" w:rsidRPr="009A2EA1" w:rsidRDefault="00116A74" w:rsidP="00116A74">
      <w:pPr>
        <w:pStyle w:val="Heading4"/>
      </w:pPr>
      <w:r w:rsidRPr="009A2EA1">
        <w:lastRenderedPageBreak/>
        <w:t>Efficacy</w:t>
      </w:r>
    </w:p>
    <w:p w14:paraId="59D6A799" w14:textId="1AE86BE8" w:rsidR="00645764" w:rsidRPr="009A2EA1" w:rsidRDefault="00645764" w:rsidP="00645764">
      <w:pPr>
        <w:pStyle w:val="Heading5"/>
      </w:pPr>
      <w:r w:rsidRPr="009A2EA1">
        <w:t>Study BO21223</w:t>
      </w:r>
    </w:p>
    <w:p w14:paraId="0B86A5DA" w14:textId="22610FE1" w:rsidR="0015280F" w:rsidRPr="009A2EA1" w:rsidRDefault="0015280F" w:rsidP="0015280F">
      <w:r w:rsidRPr="009A2EA1">
        <w:t xml:space="preserve">Study BO21223 consisted primarily of patients with previously untreated </w:t>
      </w:r>
      <w:r w:rsidR="00986DF2">
        <w:t>FL</w:t>
      </w:r>
      <w:r w:rsidRPr="009A2EA1">
        <w:t xml:space="preserve">, the patient subset of interest to this submission. </w:t>
      </w:r>
      <w:r w:rsidR="00116A74" w:rsidRPr="009A2EA1">
        <w:t xml:space="preserve">85% </w:t>
      </w:r>
      <w:r w:rsidRPr="009A2EA1">
        <w:t xml:space="preserve">of patients (1202/1401) had </w:t>
      </w:r>
      <w:r w:rsidR="00986DF2">
        <w:t>FL</w:t>
      </w:r>
      <w:r w:rsidRPr="009A2EA1">
        <w:t xml:space="preserve"> and were randomised equally to the R-chemo arm or ‘G-chemo’ arm (obinutuzumab) to give </w:t>
      </w:r>
      <w:r w:rsidR="00BF7F3E">
        <w:t>2 </w:t>
      </w:r>
      <w:r w:rsidRPr="009A2EA1">
        <w:t>cohorts of n</w:t>
      </w:r>
      <w:r w:rsidR="00116A74" w:rsidRPr="009A2EA1">
        <w:t xml:space="preserve"> </w:t>
      </w:r>
      <w:r w:rsidRPr="009A2EA1">
        <w:t>=</w:t>
      </w:r>
      <w:r w:rsidR="00116A74" w:rsidRPr="009A2EA1">
        <w:t xml:space="preserve"> </w:t>
      </w:r>
      <w:r w:rsidRPr="009A2EA1">
        <w:t>601. The overall study des</w:t>
      </w:r>
      <w:r w:rsidR="00116A74" w:rsidRPr="009A2EA1">
        <w:t>ign is given as follows in Figure 4.</w:t>
      </w:r>
    </w:p>
    <w:p w14:paraId="42AEB746" w14:textId="4B9C090A" w:rsidR="00116A74" w:rsidRPr="009A2EA1" w:rsidRDefault="00116A74" w:rsidP="00116A74">
      <w:pPr>
        <w:pStyle w:val="FigureTitle"/>
      </w:pPr>
      <w:proofErr w:type="gramStart"/>
      <w:r w:rsidRPr="009A2EA1">
        <w:t>Figure 4.</w:t>
      </w:r>
      <w:proofErr w:type="gramEnd"/>
      <w:r w:rsidRPr="009A2EA1">
        <w:t xml:space="preserve"> Overall design of Study BO21223</w:t>
      </w:r>
    </w:p>
    <w:p w14:paraId="5265A5A5" w14:textId="70D73980" w:rsidR="0015280F" w:rsidRPr="009A2EA1" w:rsidRDefault="0015280F" w:rsidP="0015280F">
      <w:r w:rsidRPr="009A2EA1">
        <w:rPr>
          <w:noProof/>
          <w:lang w:eastAsia="en-AU"/>
        </w:rPr>
        <w:drawing>
          <wp:inline distT="0" distB="0" distL="0" distR="0" wp14:anchorId="1753A6D7" wp14:editId="45347190">
            <wp:extent cx="4889982" cy="4118507"/>
            <wp:effectExtent l="0" t="0" r="0" b="0"/>
            <wp:docPr id="72" name="Picture 72" descr="Study BO21223 (GALLIUM) is a Phase III, open label, multicentre, randomised study to investigate the efficacy and safety of G-chemo followed by G-maintenance therapy for responders (CR or PR), compared to R-chemo followed by R-maintenance therapy for responders, in patients with previously-untreated advanced i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906499" cy="4132418"/>
                    </a:xfrm>
                    <a:prstGeom prst="rect">
                      <a:avLst/>
                    </a:prstGeom>
                  </pic:spPr>
                </pic:pic>
              </a:graphicData>
            </a:graphic>
          </wp:inline>
        </w:drawing>
      </w:r>
    </w:p>
    <w:p w14:paraId="6190B1DB" w14:textId="02CCD20D" w:rsidR="0015280F" w:rsidRPr="009A2EA1" w:rsidRDefault="0015280F" w:rsidP="0015280F">
      <w:r w:rsidRPr="009A2EA1">
        <w:t>The primary ou</w:t>
      </w:r>
      <w:r w:rsidR="00986DF2">
        <w:t xml:space="preserve">tcome variable was investigator </w:t>
      </w:r>
      <w:r w:rsidRPr="009A2EA1">
        <w:t>assessed PFS. The FDA required IRC</w:t>
      </w:r>
      <w:r w:rsidR="00116A74" w:rsidRPr="009A2EA1">
        <w:t xml:space="preserve"> </w:t>
      </w:r>
      <w:r w:rsidRPr="009A2EA1">
        <w:t>assessed PFS. Secondary objectives included:</w:t>
      </w:r>
    </w:p>
    <w:p w14:paraId="0704006B" w14:textId="77777777" w:rsidR="0015280F" w:rsidRPr="009A2EA1" w:rsidRDefault="0015280F" w:rsidP="00116A74">
      <w:pPr>
        <w:pStyle w:val="ListBullet"/>
      </w:pPr>
      <w:r w:rsidRPr="009A2EA1">
        <w:t>IRC investigated PFS.</w:t>
      </w:r>
    </w:p>
    <w:p w14:paraId="3F90C4E4" w14:textId="77777777" w:rsidR="0015280F" w:rsidRPr="009A2EA1" w:rsidRDefault="0015280F" w:rsidP="00116A74">
      <w:pPr>
        <w:pStyle w:val="ListBullet"/>
      </w:pPr>
      <w:r w:rsidRPr="009A2EA1">
        <w:t>OR and CR rates at end of induction treatment, as assessed by investigator and IRC.</w:t>
      </w:r>
    </w:p>
    <w:p w14:paraId="2FDE2543" w14:textId="0470FFD7" w:rsidR="0015280F" w:rsidRPr="009A2EA1" w:rsidRDefault="0015280F" w:rsidP="00116A74">
      <w:pPr>
        <w:pStyle w:val="ListBullet"/>
      </w:pPr>
      <w:r w:rsidRPr="009A2EA1">
        <w:t xml:space="preserve">OS, </w:t>
      </w:r>
      <w:r w:rsidR="00517676">
        <w:t>event free survival (</w:t>
      </w:r>
      <w:r w:rsidRPr="009A2EA1">
        <w:t>EFS</w:t>
      </w:r>
      <w:r w:rsidR="00517676">
        <w:t>)</w:t>
      </w:r>
      <w:r w:rsidRPr="009A2EA1">
        <w:t xml:space="preserve">, </w:t>
      </w:r>
      <w:r w:rsidR="00517676">
        <w:t>disease free survival (</w:t>
      </w:r>
      <w:r w:rsidRPr="009A2EA1">
        <w:t>DFS</w:t>
      </w:r>
      <w:r w:rsidR="00517676">
        <w:t>)</w:t>
      </w:r>
      <w:r w:rsidRPr="009A2EA1">
        <w:t xml:space="preserve"> and duration of response (DOR) between cohorts as well as time to next anti-lymphoma treatment (TTNLT).</w:t>
      </w:r>
    </w:p>
    <w:p w14:paraId="087D2875" w14:textId="1A648DF9" w:rsidR="0015280F" w:rsidRPr="009A2EA1" w:rsidRDefault="0015280F" w:rsidP="0015280F">
      <w:pPr>
        <w:pStyle w:val="ListBullet"/>
      </w:pPr>
      <w:r w:rsidRPr="009A2EA1">
        <w:t>Patient reported outcomes (PROs): FACT-lym and EQ-5D.</w:t>
      </w:r>
    </w:p>
    <w:p w14:paraId="4485CA93" w14:textId="13762330" w:rsidR="0015280F" w:rsidRPr="009A2EA1" w:rsidRDefault="00116A74" w:rsidP="00645764">
      <w:pPr>
        <w:pStyle w:val="Heading6"/>
      </w:pPr>
      <w:r w:rsidRPr="009A2EA1">
        <w:t>K</w:t>
      </w:r>
      <w:r w:rsidR="00645764" w:rsidRPr="009A2EA1">
        <w:t>ey inclusion criteria</w:t>
      </w:r>
    </w:p>
    <w:p w14:paraId="5BB93A79" w14:textId="50E10D31" w:rsidR="0015280F" w:rsidRPr="009A2EA1" w:rsidRDefault="0015280F" w:rsidP="00116A74">
      <w:pPr>
        <w:pStyle w:val="ListBullet"/>
      </w:pPr>
      <w:r w:rsidRPr="009A2EA1">
        <w:t>Histologically documented, CD20</w:t>
      </w:r>
      <w:r w:rsidR="00517676">
        <w:t>+</w:t>
      </w:r>
      <w:r w:rsidRPr="009A2EA1">
        <w:t xml:space="preserve">, indolent </w:t>
      </w:r>
      <w:r w:rsidR="00EA30FD" w:rsidRPr="009A2EA1">
        <w:t>B cell</w:t>
      </w:r>
      <w:r w:rsidRPr="009A2EA1">
        <w:t xml:space="preserve"> NHL consisting of one of the following</w:t>
      </w:r>
      <w:r w:rsidR="00517676">
        <w:t xml:space="preserve">: follicular lymphoma (Grades 1 to </w:t>
      </w:r>
      <w:r w:rsidRPr="009A2EA1">
        <w:t>3a), splenic MZL, nodal MZL, or extranodal MZL</w:t>
      </w:r>
      <w:r w:rsidR="00082D19">
        <w:t>.</w:t>
      </w:r>
    </w:p>
    <w:p w14:paraId="6C052253" w14:textId="75DDAACF" w:rsidR="0015280F" w:rsidRPr="009A2EA1" w:rsidRDefault="0015280F" w:rsidP="00116A74">
      <w:pPr>
        <w:pStyle w:val="ListBullet"/>
      </w:pPr>
      <w:r w:rsidRPr="009A2EA1">
        <w:t>Stage III or IV disease or Stage II bulky disease (bulky diseas</w:t>
      </w:r>
      <w:r w:rsidR="00517676">
        <w:t>e is defined as a tumour diameter</w:t>
      </w:r>
      <w:r w:rsidRPr="009A2EA1">
        <w:t xml:space="preserve"> of ≥ 7 cm)</w:t>
      </w:r>
      <w:r w:rsidR="00517676">
        <w:t>.</w:t>
      </w:r>
    </w:p>
    <w:p w14:paraId="2F8D5417" w14:textId="6D8FD0AC" w:rsidR="0015280F" w:rsidRPr="009A2EA1" w:rsidRDefault="0015280F" w:rsidP="0015280F">
      <w:pPr>
        <w:pStyle w:val="ListBullet"/>
      </w:pPr>
      <w:r w:rsidRPr="009A2EA1">
        <w:t xml:space="preserve">At least one bi-dimensionally measurable lesion (&gt; 2 cm in its largest dimension by </w:t>
      </w:r>
      <w:r w:rsidR="00517676">
        <w:t>computed tomography (</w:t>
      </w:r>
      <w:r w:rsidRPr="009A2EA1">
        <w:t>CT</w:t>
      </w:r>
      <w:r w:rsidR="00517676">
        <w:t>)</w:t>
      </w:r>
      <w:r w:rsidRPr="009A2EA1">
        <w:t xml:space="preserve"> scan or </w:t>
      </w:r>
      <w:r w:rsidR="00517676">
        <w:t>magnetic resonance imaging (</w:t>
      </w:r>
      <w:r w:rsidRPr="009A2EA1">
        <w:t>MRI</w:t>
      </w:r>
      <w:r w:rsidR="00517676">
        <w:t>)</w:t>
      </w:r>
      <w:r w:rsidRPr="009A2EA1">
        <w:t>)</w:t>
      </w:r>
      <w:r w:rsidR="00517676">
        <w:t>.</w:t>
      </w:r>
    </w:p>
    <w:p w14:paraId="5BDFB824" w14:textId="00F9FBC5" w:rsidR="0015280F" w:rsidRPr="009A2EA1" w:rsidRDefault="0015280F" w:rsidP="00645764">
      <w:pPr>
        <w:pStyle w:val="Heading6"/>
      </w:pPr>
      <w:r w:rsidRPr="009A2EA1">
        <w:lastRenderedPageBreak/>
        <w:t xml:space="preserve">Key </w:t>
      </w:r>
      <w:r w:rsidR="00645764" w:rsidRPr="009A2EA1">
        <w:t>exclusion criteria</w:t>
      </w:r>
    </w:p>
    <w:p w14:paraId="30A8295A" w14:textId="38D4EBE6" w:rsidR="0015280F" w:rsidRPr="009A2EA1" w:rsidRDefault="0015280F" w:rsidP="00116A74">
      <w:pPr>
        <w:pStyle w:val="ListBullet"/>
      </w:pPr>
      <w:r w:rsidRPr="009A2EA1">
        <w:t>For patients with FL: prior treatment for NHL by chemotherapy, immunotherapy, or radiotherapy</w:t>
      </w:r>
      <w:r w:rsidR="00517676">
        <w:t>.</w:t>
      </w:r>
    </w:p>
    <w:p w14:paraId="3E47273B" w14:textId="5B6AAD8C" w:rsidR="0015280F" w:rsidRPr="009A2EA1" w:rsidRDefault="0015280F" w:rsidP="00116A74">
      <w:pPr>
        <w:pStyle w:val="ListBullet"/>
      </w:pPr>
      <w:r w:rsidRPr="009A2EA1">
        <w:t>Regular treatment with corticosteroids during the 4 weeks prior to the start of Cycle 1, unless administered for indications other tha</w:t>
      </w:r>
      <w:r w:rsidR="00517676">
        <w:t>n NHL at a dose equivalent to ≤ 30 </w:t>
      </w:r>
      <w:r w:rsidRPr="009A2EA1">
        <w:t>mg/day prednisone</w:t>
      </w:r>
      <w:r w:rsidR="00517676">
        <w:t>.</w:t>
      </w:r>
    </w:p>
    <w:p w14:paraId="4AB8CB7D" w14:textId="218DD936" w:rsidR="0015280F" w:rsidRPr="009A2EA1" w:rsidRDefault="0015280F" w:rsidP="00116A74">
      <w:pPr>
        <w:pStyle w:val="ListBullet"/>
        <w:rPr>
          <w:b/>
          <w:bCs/>
        </w:rPr>
      </w:pPr>
      <w:r w:rsidRPr="009A2EA1">
        <w:t>For patients who will be receiving CHOP: LVEF (Left V</w:t>
      </w:r>
      <w:r w:rsidR="00517676">
        <w:t>entricular Ejection Fraction) &lt; </w:t>
      </w:r>
      <w:r w:rsidRPr="009A2EA1">
        <w:t xml:space="preserve">50% by </w:t>
      </w:r>
      <w:r w:rsidR="00517676">
        <w:t>multigated acquisition (</w:t>
      </w:r>
      <w:r w:rsidRPr="009A2EA1">
        <w:t>MUGA</w:t>
      </w:r>
      <w:r w:rsidR="00517676">
        <w:t>)</w:t>
      </w:r>
      <w:r w:rsidRPr="009A2EA1">
        <w:t xml:space="preserve"> scan or echocardiogram</w:t>
      </w:r>
      <w:r w:rsidR="00517676">
        <w:t>.</w:t>
      </w:r>
    </w:p>
    <w:p w14:paraId="70E3DB30" w14:textId="578CA75B" w:rsidR="0015280F" w:rsidRPr="009A2EA1" w:rsidRDefault="00645764" w:rsidP="00645764">
      <w:pPr>
        <w:pStyle w:val="Heading6"/>
      </w:pPr>
      <w:r w:rsidRPr="009A2EA1">
        <w:t>Dosing schedule</w:t>
      </w:r>
    </w:p>
    <w:p w14:paraId="705CBEC4" w14:textId="29FD3206" w:rsidR="0015280F" w:rsidRPr="009A2EA1" w:rsidRDefault="0015280F" w:rsidP="0015280F">
      <w:r w:rsidRPr="009A2EA1">
        <w:t xml:space="preserve">In the R-chemo arm, </w:t>
      </w:r>
      <w:r w:rsidR="00517676">
        <w:t>6</w:t>
      </w:r>
      <w:r w:rsidRPr="009A2EA1">
        <w:t xml:space="preserve"> to </w:t>
      </w:r>
      <w:r w:rsidR="00517676">
        <w:t>8</w:t>
      </w:r>
      <w:r w:rsidRPr="009A2EA1">
        <w:t xml:space="preserve"> doses of rituximab at 375 mg/m</w:t>
      </w:r>
      <w:r w:rsidRPr="009A2EA1">
        <w:rPr>
          <w:vertAlign w:val="superscript"/>
        </w:rPr>
        <w:t>2</w:t>
      </w:r>
      <w:r w:rsidRPr="009A2EA1">
        <w:t xml:space="preserve"> were administered by IV infusion with the accompanying chemothe</w:t>
      </w:r>
      <w:r w:rsidR="00645764" w:rsidRPr="009A2EA1">
        <w:t>rapy regimen during induction.</w:t>
      </w:r>
    </w:p>
    <w:p w14:paraId="310F48A2" w14:textId="3421A8D5" w:rsidR="0015280F" w:rsidRPr="009A2EA1" w:rsidRDefault="0015280F" w:rsidP="00645764">
      <w:pPr>
        <w:pStyle w:val="ListBullet"/>
      </w:pPr>
      <w:r w:rsidRPr="009A2EA1">
        <w:t>R-CHOP: Rituximab was ad</w:t>
      </w:r>
      <w:r w:rsidR="00ED6DFE">
        <w:t xml:space="preserve">ministered on Day 1 of Cycles 1 to </w:t>
      </w:r>
      <w:r w:rsidRPr="009A2EA1">
        <w:t>8 (21</w:t>
      </w:r>
      <w:r w:rsidR="00ED6DFE">
        <w:t xml:space="preserve"> </w:t>
      </w:r>
      <w:r w:rsidRPr="009A2EA1">
        <w:t>day cycles). CHOP was administered on Day 1, with prednisone/prednisolone/methylprednisol</w:t>
      </w:r>
      <w:r w:rsidR="00ED6DFE">
        <w:t xml:space="preserve">one also administered on Days 2 to 5, of Cycles 1 to </w:t>
      </w:r>
      <w:r w:rsidRPr="009A2EA1">
        <w:t>6.</w:t>
      </w:r>
    </w:p>
    <w:p w14:paraId="32624A31" w14:textId="115306D6" w:rsidR="0015280F" w:rsidRPr="009A2EA1" w:rsidRDefault="0015280F" w:rsidP="00645764">
      <w:pPr>
        <w:pStyle w:val="ListBullet"/>
      </w:pPr>
      <w:r w:rsidRPr="009A2EA1">
        <w:t>R-CVP: Rituximab was ad</w:t>
      </w:r>
      <w:r w:rsidR="00ED6DFE">
        <w:t xml:space="preserve">ministered on Day 1 of Cycles 1 to 8 (21 </w:t>
      </w:r>
      <w:r w:rsidRPr="009A2EA1">
        <w:t>day cycles). CVP was administered on Day 1, with prednisone/prednisolone/methylprednisol</w:t>
      </w:r>
      <w:r w:rsidR="00ED6DFE">
        <w:t xml:space="preserve">one also administered on Days 2 to 5, of Cycles 1 to </w:t>
      </w:r>
      <w:r w:rsidRPr="009A2EA1">
        <w:t>8.</w:t>
      </w:r>
    </w:p>
    <w:p w14:paraId="7FC4FD62" w14:textId="6E6551A9" w:rsidR="0015280F" w:rsidRPr="009A2EA1" w:rsidRDefault="0015280F" w:rsidP="00645764">
      <w:pPr>
        <w:pStyle w:val="ListBullet"/>
      </w:pPr>
      <w:r w:rsidRPr="009A2EA1">
        <w:t>R-bendamustine: Rituximab was ad</w:t>
      </w:r>
      <w:r w:rsidR="00ED6DFE">
        <w:t xml:space="preserve">ministered on Day 1 of Cycles 1 to 6 (28 </w:t>
      </w:r>
      <w:r w:rsidRPr="009A2EA1">
        <w:t>day cycles). Bendamustine was administered on Days 1 and 2 of Cycles 1</w:t>
      </w:r>
      <w:r w:rsidR="00ED6DFE">
        <w:t xml:space="preserve"> to </w:t>
      </w:r>
      <w:r w:rsidRPr="009A2EA1">
        <w:t>6, with prednisone/prednisolone/methylprednisolone also administered on Day 1 of Cycle 1.</w:t>
      </w:r>
    </w:p>
    <w:p w14:paraId="433992A9" w14:textId="38066BBB" w:rsidR="0015280F" w:rsidRPr="009A2EA1" w:rsidRDefault="00ED6DFE" w:rsidP="0015280F">
      <w:r>
        <w:t>Patients randomis</w:t>
      </w:r>
      <w:r w:rsidR="0015280F" w:rsidRPr="009A2EA1">
        <w:t xml:space="preserve">ed to receive R-chemo who achieved a </w:t>
      </w:r>
      <w:r>
        <w:t>CR or PR</w:t>
      </w:r>
      <w:r w:rsidR="0015280F" w:rsidRPr="009A2EA1">
        <w:t xml:space="preserve"> at the end of induction therapy continued to receive </w:t>
      </w:r>
      <w:r w:rsidR="0015280F" w:rsidRPr="00ED6DFE">
        <w:t>R-maintenance</w:t>
      </w:r>
      <w:r w:rsidR="0015280F" w:rsidRPr="009A2EA1">
        <w:t xml:space="preserve"> at 375 mg/m</w:t>
      </w:r>
      <w:r w:rsidR="0015280F" w:rsidRPr="009A2EA1">
        <w:rPr>
          <w:vertAlign w:val="superscript"/>
        </w:rPr>
        <w:t>2</w:t>
      </w:r>
      <w:r w:rsidR="0015280F" w:rsidRPr="009A2EA1">
        <w:t xml:space="preserve"> every 2 months until disease progression, or for 2 years, whichever came first.</w:t>
      </w:r>
    </w:p>
    <w:p w14:paraId="12BC3331" w14:textId="039B1B82" w:rsidR="0015280F" w:rsidRPr="009A2EA1" w:rsidRDefault="0015280F" w:rsidP="0015280F">
      <w:r w:rsidRPr="009A2EA1">
        <w:t xml:space="preserve">In the G-chemo arm, </w:t>
      </w:r>
      <w:r w:rsidR="00ED6DFE">
        <w:t>8</w:t>
      </w:r>
      <w:r w:rsidRPr="009A2EA1">
        <w:t xml:space="preserve"> to </w:t>
      </w:r>
      <w:r w:rsidR="00ED6DFE">
        <w:t>10</w:t>
      </w:r>
      <w:r w:rsidRPr="009A2EA1">
        <w:t xml:space="preserve"> doses of obinutuzumab at </w:t>
      </w:r>
      <w:r w:rsidR="00ED6DFE">
        <w:t>1000 mg were administered by IV </w:t>
      </w:r>
      <w:r w:rsidRPr="009A2EA1">
        <w:t>infusion with the accompanying chemoth</w:t>
      </w:r>
      <w:r w:rsidR="00ED6DFE">
        <w:t>erapy regimen during induction.</w:t>
      </w:r>
    </w:p>
    <w:p w14:paraId="59049173" w14:textId="2D6251A6" w:rsidR="0015280F" w:rsidRPr="009A2EA1" w:rsidRDefault="0015280F" w:rsidP="00645764">
      <w:pPr>
        <w:pStyle w:val="ListBullet"/>
      </w:pPr>
      <w:r w:rsidRPr="009A2EA1">
        <w:t>G-CHOP: Obinutuzumab was administered on Days 1, 8, and 15 of C</w:t>
      </w:r>
      <w:r w:rsidR="00ED6DFE">
        <w:t xml:space="preserve">ycle 1 and on Day 1 of Cycles 2 to 8 (21 </w:t>
      </w:r>
      <w:r w:rsidRPr="009A2EA1">
        <w:t>day cycles). CHOP was administ</w:t>
      </w:r>
      <w:r w:rsidR="00ED6DFE">
        <w:t>ered on Day 1, with prednisone/</w:t>
      </w:r>
      <w:r w:rsidRPr="009A2EA1">
        <w:t>prednisolone/methylprednisol</w:t>
      </w:r>
      <w:r w:rsidR="00ED6DFE">
        <w:t xml:space="preserve">one also administered on Days 2 to 5 of Cycles 1 to </w:t>
      </w:r>
      <w:r w:rsidRPr="009A2EA1">
        <w:t>6.</w:t>
      </w:r>
    </w:p>
    <w:p w14:paraId="1F4CE0E4" w14:textId="7BE30433" w:rsidR="0015280F" w:rsidRPr="009A2EA1" w:rsidRDefault="0015280F" w:rsidP="00645764">
      <w:pPr>
        <w:pStyle w:val="ListBullet"/>
      </w:pPr>
      <w:r w:rsidRPr="009A2EA1">
        <w:t>G-CVP: Obinutuzumab was administered on Days 1, 8, and 15 of C</w:t>
      </w:r>
      <w:r w:rsidR="00ED6DFE">
        <w:t xml:space="preserve">ycle 1 and on Day 1 of Cycles 2 to 8 (21 </w:t>
      </w:r>
      <w:r w:rsidRPr="009A2EA1">
        <w:t>day cycles). CVP was administ</w:t>
      </w:r>
      <w:r w:rsidR="00ED6DFE">
        <w:t>ered on Day 1, with prednisone/</w:t>
      </w:r>
      <w:r w:rsidRPr="009A2EA1">
        <w:t>prednisolone/methylprednisol</w:t>
      </w:r>
      <w:r w:rsidR="00ED6DFE">
        <w:t xml:space="preserve">one also administered on Days 2 to 5 of Cycles 1 to </w:t>
      </w:r>
      <w:r w:rsidRPr="009A2EA1">
        <w:t>8.</w:t>
      </w:r>
    </w:p>
    <w:p w14:paraId="635C44D2" w14:textId="0DF609D5" w:rsidR="0015280F" w:rsidRPr="009A2EA1" w:rsidRDefault="0015280F" w:rsidP="00645764">
      <w:pPr>
        <w:pStyle w:val="ListBullet"/>
      </w:pPr>
      <w:r w:rsidRPr="009A2EA1">
        <w:t>G-bendamustine: Obinutuzumab was administered on Days 1, 8, and 15 of C</w:t>
      </w:r>
      <w:r w:rsidR="00ED6DFE">
        <w:t xml:space="preserve">ycle 1 and on Day 1 of Cycles 2 to 6 (28 </w:t>
      </w:r>
      <w:r w:rsidRPr="009A2EA1">
        <w:t>day cycles). Bendamustine was administe</w:t>
      </w:r>
      <w:r w:rsidR="00ED6DFE">
        <w:t xml:space="preserve">red on Days 1 and 2 of Cycles 1 to 6, with prednisone/prednisolone/methylprednisolone </w:t>
      </w:r>
      <w:r w:rsidRPr="009A2EA1">
        <w:t>administered on Day 1 of Cycle 1.</w:t>
      </w:r>
    </w:p>
    <w:p w14:paraId="65C91CC1" w14:textId="6CD12CE8" w:rsidR="0015280F" w:rsidRPr="009A2EA1" w:rsidRDefault="0015280F" w:rsidP="0015280F">
      <w:r w:rsidRPr="009A2EA1">
        <w:t xml:space="preserve">Patients randomized to receive G-chemo who achieved a CR or PR at the end of induction therapy continued to receive </w:t>
      </w:r>
      <w:r w:rsidRPr="00ED6DFE">
        <w:t>G-maintenance</w:t>
      </w:r>
      <w:r w:rsidRPr="009A2EA1">
        <w:rPr>
          <w:i/>
        </w:rPr>
        <w:t xml:space="preserve"> </w:t>
      </w:r>
      <w:r w:rsidRPr="009A2EA1">
        <w:t>at 1000 mg every 2 months until disease progression, or for</w:t>
      </w:r>
      <w:r w:rsidR="00ED6DFE">
        <w:t xml:space="preserve"> 2 years, whichever came first.</w:t>
      </w:r>
    </w:p>
    <w:p w14:paraId="6F610A9A" w14:textId="2C89B527" w:rsidR="0015280F" w:rsidRPr="009A2EA1" w:rsidRDefault="0015280F" w:rsidP="0015280F">
      <w:r w:rsidRPr="009A2EA1">
        <w:t>The dose of obinutuzumab (induction and maintenance) is unchanged from the currently recommended</w:t>
      </w:r>
      <w:r w:rsidR="00645764" w:rsidRPr="009A2EA1">
        <w:t xml:space="preserve"> dose in previously treated FL.</w:t>
      </w:r>
    </w:p>
    <w:p w14:paraId="5D1DBF8E" w14:textId="77777777" w:rsidR="0015280F" w:rsidRPr="009A2EA1" w:rsidRDefault="0015280F" w:rsidP="0015280F">
      <w:r w:rsidRPr="009A2EA1">
        <w:t>In the FL subset, estimates of the number of events required to demonstrate efficacy with respect to PFS were made on the basis of the following assumptions:</w:t>
      </w:r>
    </w:p>
    <w:p w14:paraId="594A8805" w14:textId="43D90BC3" w:rsidR="0015280F" w:rsidRPr="009A2EA1" w:rsidRDefault="00ED6DFE" w:rsidP="00645764">
      <w:pPr>
        <w:pStyle w:val="ListBullet"/>
      </w:pPr>
      <w:r>
        <w:t xml:space="preserve">2 </w:t>
      </w:r>
      <w:r w:rsidR="0015280F" w:rsidRPr="009A2EA1">
        <w:t>sided log-rank test at the 0.05 level of significance.</w:t>
      </w:r>
    </w:p>
    <w:p w14:paraId="1B511510" w14:textId="70A9A61D" w:rsidR="0015280F" w:rsidRPr="009A2EA1" w:rsidRDefault="0015280F" w:rsidP="00645764">
      <w:pPr>
        <w:pStyle w:val="ListBullet"/>
      </w:pPr>
      <w:r w:rsidRPr="009A2EA1">
        <w:lastRenderedPageBreak/>
        <w:t xml:space="preserve">Powered for the </w:t>
      </w:r>
      <w:r w:rsidR="00ED6DFE">
        <w:t>FL</w:t>
      </w:r>
      <w:r w:rsidRPr="009A2EA1">
        <w:t xml:space="preserve"> population.</w:t>
      </w:r>
    </w:p>
    <w:p w14:paraId="10A1DA36" w14:textId="00AAFF56" w:rsidR="0015280F" w:rsidRPr="009A2EA1" w:rsidRDefault="00ED6DFE" w:rsidP="00645764">
      <w:pPr>
        <w:pStyle w:val="ListBullet"/>
      </w:pPr>
      <w:r>
        <w:t>80%</w:t>
      </w:r>
      <w:r w:rsidR="0015280F" w:rsidRPr="009A2EA1">
        <w:t xml:space="preserve"> power to detect </w:t>
      </w:r>
      <w:r>
        <w:t xml:space="preserve">a </w:t>
      </w:r>
      <w:r w:rsidR="00B63F4E">
        <w:t xml:space="preserve">HR </w:t>
      </w:r>
      <w:r>
        <w:t xml:space="preserve">for obinutuzumab </w:t>
      </w:r>
      <w:r w:rsidR="0015280F" w:rsidRPr="009A2EA1">
        <w:t>combine</w:t>
      </w:r>
      <w:r>
        <w:t xml:space="preserve">d chemotherapy versus rituximab </w:t>
      </w:r>
      <w:r w:rsidR="0015280F" w:rsidRPr="009A2EA1">
        <w:t>combined chemotherapy of 0.74, corre</w:t>
      </w:r>
      <w:r>
        <w:t>sponding to an improvement in 3 </w:t>
      </w:r>
      <w:r w:rsidR="0015280F" w:rsidRPr="009A2EA1">
        <w:t>year PFS from 70.7% to 77.4% or in median PFS from 6 to 8.1 years (35%). Estimates of median PFS are not likely to be reached in either study arm.</w:t>
      </w:r>
    </w:p>
    <w:p w14:paraId="2C3D0377" w14:textId="77777777" w:rsidR="0015280F" w:rsidRPr="009A2EA1" w:rsidRDefault="0015280F" w:rsidP="00645764">
      <w:pPr>
        <w:pStyle w:val="ListBullet"/>
      </w:pPr>
      <w:r w:rsidRPr="009A2EA1">
        <w:t>Exponential distribution of PFS.</w:t>
      </w:r>
    </w:p>
    <w:p w14:paraId="3BBAA866" w14:textId="77777777" w:rsidR="0015280F" w:rsidRPr="009A2EA1" w:rsidRDefault="0015280F" w:rsidP="00645764">
      <w:pPr>
        <w:pStyle w:val="ListBullet"/>
      </w:pPr>
      <w:r w:rsidRPr="009A2EA1">
        <w:t>An annual dropout rate of 2.5%.</w:t>
      </w:r>
    </w:p>
    <w:p w14:paraId="02DB256E" w14:textId="45A774BB" w:rsidR="0015280F" w:rsidRPr="009A2EA1" w:rsidRDefault="0015280F" w:rsidP="00645764">
      <w:r w:rsidRPr="009A2EA1">
        <w:t>Performance of interim analyses on PFS: one futility analysis when approximately 30% of the total (investigator</w:t>
      </w:r>
      <w:r w:rsidR="008B17DB">
        <w:t xml:space="preserve"> </w:t>
      </w:r>
      <w:r w:rsidRPr="009A2EA1">
        <w:t>assessed) PFS events had occurred (</w:t>
      </w:r>
      <w:r w:rsidR="00EA30FD" w:rsidRPr="009A2EA1">
        <w:t>second</w:t>
      </w:r>
      <w:r w:rsidRPr="009A2EA1">
        <w:t xml:space="preserve"> Interim </w:t>
      </w:r>
      <w:r w:rsidR="00EA30FD" w:rsidRPr="009A2EA1">
        <w:t>(</w:t>
      </w:r>
      <w:r w:rsidRPr="009A2EA1">
        <w:t>futility</w:t>
      </w:r>
      <w:r w:rsidR="00EA30FD" w:rsidRPr="009A2EA1">
        <w:t>)</w:t>
      </w:r>
      <w:r w:rsidRPr="009A2EA1">
        <w:t>, and one efficacy analysis (</w:t>
      </w:r>
      <w:r w:rsidR="00EA30FD" w:rsidRPr="009A2EA1">
        <w:t>third</w:t>
      </w:r>
      <w:r w:rsidRPr="009A2EA1">
        <w:t xml:space="preserve"> Interim </w:t>
      </w:r>
      <w:r w:rsidR="00EA30FD" w:rsidRPr="009A2EA1">
        <w:t>(</w:t>
      </w:r>
      <w:r w:rsidRPr="009A2EA1">
        <w:t>efficacy</w:t>
      </w:r>
      <w:r w:rsidR="00EA30FD" w:rsidRPr="009A2EA1">
        <w:t>)</w:t>
      </w:r>
      <w:r w:rsidRPr="009A2EA1">
        <w:t>) when approximately 67% of the total investigator</w:t>
      </w:r>
      <w:r w:rsidR="008B17DB">
        <w:t xml:space="preserve"> </w:t>
      </w:r>
      <w:r w:rsidRPr="009A2EA1">
        <w:t>assessed) PFS events had occurred. This analysis is now referred to as the primary analysis. The Independent Data Monitoring Committee (IDMC) reviewed the data on 20 May 2016 and recommended that the study be fully analysed at this time, as the primary endpoint had been met.</w:t>
      </w:r>
    </w:p>
    <w:p w14:paraId="43F43246" w14:textId="11CAB310" w:rsidR="0015280F" w:rsidRPr="009A2EA1" w:rsidRDefault="0015280F" w:rsidP="0015280F">
      <w:r w:rsidRPr="009A2EA1">
        <w:t>Two points were noted by the IDMC, first, that if the endpoint were IRC assessed PFS, the recommendation to cease the study for efficacy could not have been made at this point, although trend</w:t>
      </w:r>
      <w:r w:rsidR="00ED6DFE">
        <w:t xml:space="preserve">s in comparison to investigator </w:t>
      </w:r>
      <w:r w:rsidRPr="009A2EA1">
        <w:t>assessed PFS were considered consistent, and secondly, that toxicity is higher with obinutuzumab than rituximab and careful examination of adverse events in the follow-up period is warranted, specifically with respect to secondary malignancies.</w:t>
      </w:r>
    </w:p>
    <w:p w14:paraId="5BB0BF45" w14:textId="70E4D38D" w:rsidR="0015280F" w:rsidRPr="009A2EA1" w:rsidRDefault="00645764" w:rsidP="00645764">
      <w:pPr>
        <w:pStyle w:val="Heading6"/>
      </w:pPr>
      <w:r w:rsidRPr="009A2EA1">
        <w:t>Efficacy results</w:t>
      </w:r>
    </w:p>
    <w:p w14:paraId="26A6AB96" w14:textId="0054ABCE" w:rsidR="0015280F" w:rsidRPr="009A2EA1" w:rsidRDefault="0015280F" w:rsidP="0015280F">
      <w:r w:rsidRPr="009A2EA1">
        <w:t>A statistically significant and clinically meaningful improvement in the primary endpoint of PFS in the FL population as assessed by Investigator was demonstrated. This occurred at a protocol-specified interim analysis of efficacy after 2</w:t>
      </w:r>
      <w:r w:rsidR="00ED6DFE">
        <w:t>45/370 (66%) of events required </w:t>
      </w:r>
      <w:r w:rsidRPr="009A2EA1">
        <w:t>for the final analysis had occurred. Treatment with G-chemo resulted in a clinically meaningful and statistically significant reduction by 34%</w:t>
      </w:r>
      <w:r w:rsidR="00ED6DFE">
        <w:t xml:space="preserve"> in the risk of an investigator </w:t>
      </w:r>
      <w:r w:rsidRPr="009A2EA1">
        <w:t xml:space="preserve">assessed PFS event (disease progression/relapse or death) compared with R-chemo (stratified HR 0.66 </w:t>
      </w:r>
      <w:r w:rsidR="00EA30FD" w:rsidRPr="009A2EA1">
        <w:t>(</w:t>
      </w:r>
      <w:r w:rsidRPr="009A2EA1">
        <w:t>95% CI: 0.51, 0.85</w:t>
      </w:r>
      <w:r w:rsidR="00EA30FD" w:rsidRPr="009A2EA1">
        <w:t>)</w:t>
      </w:r>
      <w:r w:rsidRPr="009A2EA1">
        <w:t>; p-value</w:t>
      </w:r>
      <w:r w:rsidR="00ED6DFE">
        <w:t xml:space="preserve"> </w:t>
      </w:r>
      <w:r w:rsidRPr="009A2EA1">
        <w:t>=</w:t>
      </w:r>
      <w:r w:rsidR="00ED6DFE">
        <w:t xml:space="preserve"> </w:t>
      </w:r>
      <w:r w:rsidRPr="009A2EA1">
        <w:t>0.0012, stratified log-</w:t>
      </w:r>
      <w:r w:rsidR="00ED6DFE">
        <w:t xml:space="preserve">rank test). The p-value of the investigator </w:t>
      </w:r>
      <w:r w:rsidRPr="009A2EA1">
        <w:t>assess</w:t>
      </w:r>
      <w:r w:rsidR="00ED6DFE">
        <w:t>ed PFS was smaller than the pre</w:t>
      </w:r>
      <w:r w:rsidRPr="009A2EA1">
        <w:t>specified interim boundary signifi</w:t>
      </w:r>
      <w:r w:rsidR="00645764" w:rsidRPr="009A2EA1">
        <w:t>cance level of 0.012.</w:t>
      </w:r>
    </w:p>
    <w:p w14:paraId="4DA8C9AB" w14:textId="7C2A93F8" w:rsidR="00645764" w:rsidRPr="009A2EA1" w:rsidRDefault="00E34288" w:rsidP="00645764">
      <w:pPr>
        <w:pStyle w:val="Tabletitle0"/>
      </w:pPr>
      <w:proofErr w:type="gramStart"/>
      <w:r>
        <w:t xml:space="preserve">Table </w:t>
      </w:r>
      <w:r w:rsidR="003F5883">
        <w:t>9</w:t>
      </w:r>
      <w:r>
        <w:t>.</w:t>
      </w:r>
      <w:proofErr w:type="gramEnd"/>
      <w:r>
        <w:t xml:space="preserve"> </w:t>
      </w:r>
      <w:r w:rsidR="00CB4EEA">
        <w:t>Results for the investigator assessed endpoints</w:t>
      </w:r>
    </w:p>
    <w:p w14:paraId="63115416" w14:textId="77777777" w:rsidR="0015280F" w:rsidRPr="009A2EA1" w:rsidRDefault="0015280F" w:rsidP="0015280F">
      <w:r w:rsidRPr="009A2EA1">
        <w:rPr>
          <w:noProof/>
          <w:lang w:eastAsia="en-AU"/>
        </w:rPr>
        <w:drawing>
          <wp:inline distT="0" distB="0" distL="0" distR="0" wp14:anchorId="14915846" wp14:editId="45DF553A">
            <wp:extent cx="5200650" cy="2228715"/>
            <wp:effectExtent l="0" t="0" r="0" b="635"/>
            <wp:docPr id="59" name="Picture 59" descr="Table 8. Results for the investigator assesse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84" t="4001" r="1720"/>
                    <a:stretch/>
                  </pic:blipFill>
                  <pic:spPr bwMode="auto">
                    <a:xfrm>
                      <a:off x="0" y="0"/>
                      <a:ext cx="5200038" cy="2228453"/>
                    </a:xfrm>
                    <a:prstGeom prst="rect">
                      <a:avLst/>
                    </a:prstGeom>
                    <a:ln>
                      <a:noFill/>
                    </a:ln>
                    <a:extLst>
                      <a:ext uri="{53640926-AAD7-44D8-BBD7-CCE9431645EC}">
                        <a14:shadowObscured xmlns:a14="http://schemas.microsoft.com/office/drawing/2010/main"/>
                      </a:ext>
                    </a:extLst>
                  </pic:spPr>
                </pic:pic>
              </a:graphicData>
            </a:graphic>
          </wp:inline>
        </w:drawing>
      </w:r>
    </w:p>
    <w:p w14:paraId="15665F35" w14:textId="7DF58F12" w:rsidR="0015280F" w:rsidRPr="009A2EA1" w:rsidRDefault="0015280F" w:rsidP="0015280F">
      <w:r w:rsidRPr="009A2EA1">
        <w:t>The relevant Kaplan-Meier plot of PFS by inve</w:t>
      </w:r>
      <w:r w:rsidR="00645764" w:rsidRPr="009A2EA1">
        <w:t>stigator asse</w:t>
      </w:r>
      <w:r w:rsidR="00CB4EEA">
        <w:t>ssment is as follows in Figure 5</w:t>
      </w:r>
      <w:r w:rsidR="00645764" w:rsidRPr="009A2EA1">
        <w:t>.</w:t>
      </w:r>
    </w:p>
    <w:p w14:paraId="33A565EF" w14:textId="51C701D7" w:rsidR="00645764" w:rsidRPr="009A2EA1" w:rsidRDefault="00CB4EEA" w:rsidP="00645764">
      <w:pPr>
        <w:pStyle w:val="FigureTitle"/>
      </w:pPr>
      <w:proofErr w:type="gramStart"/>
      <w:r>
        <w:lastRenderedPageBreak/>
        <w:t>Figure 5</w:t>
      </w:r>
      <w:r w:rsidR="00645764" w:rsidRPr="009A2EA1">
        <w:t>.</w:t>
      </w:r>
      <w:proofErr w:type="gramEnd"/>
      <w:r>
        <w:t xml:space="preserve"> </w:t>
      </w:r>
      <w:r w:rsidRPr="00CB4EEA">
        <w:t>Kaplan-Meier plot of PFS by investigator assessment</w:t>
      </w:r>
    </w:p>
    <w:p w14:paraId="135F3FB6" w14:textId="77777777" w:rsidR="0015280F" w:rsidRPr="009A2EA1" w:rsidRDefault="0015280F" w:rsidP="0015280F">
      <w:r w:rsidRPr="009A2EA1">
        <w:rPr>
          <w:noProof/>
          <w:lang w:eastAsia="en-AU"/>
        </w:rPr>
        <w:drawing>
          <wp:inline distT="0" distB="0" distL="0" distR="0" wp14:anchorId="01984986" wp14:editId="553A9E97">
            <wp:extent cx="5400040" cy="3078130"/>
            <wp:effectExtent l="0" t="0" r="0" b="8255"/>
            <wp:docPr id="125" name="Picture 125" descr="Kaplan-Meier plot of PFS by investigator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3078130"/>
                    </a:xfrm>
                    <a:prstGeom prst="rect">
                      <a:avLst/>
                    </a:prstGeom>
                  </pic:spPr>
                </pic:pic>
              </a:graphicData>
            </a:graphic>
          </wp:inline>
        </w:drawing>
      </w:r>
    </w:p>
    <w:p w14:paraId="6F692AB5" w14:textId="31F7844C" w:rsidR="0015280F" w:rsidRPr="009A2EA1" w:rsidRDefault="0015280F" w:rsidP="00645764">
      <w:pPr>
        <w:pStyle w:val="Heading6"/>
      </w:pPr>
      <w:r w:rsidRPr="009A2EA1">
        <w:t>Othe</w:t>
      </w:r>
      <w:r w:rsidR="00645764" w:rsidRPr="009A2EA1">
        <w:t>r efficacy outcomes of interest</w:t>
      </w:r>
    </w:p>
    <w:p w14:paraId="30985B24" w14:textId="05D2B5C2" w:rsidR="0015280F" w:rsidRPr="009A2EA1" w:rsidRDefault="00645764" w:rsidP="0015280F">
      <w:r w:rsidRPr="009A2EA1">
        <w:t>This D</w:t>
      </w:r>
      <w:r w:rsidR="0015280F" w:rsidRPr="009A2EA1">
        <w:t xml:space="preserve">elegate selectively </w:t>
      </w:r>
      <w:r w:rsidR="00CB4EEA">
        <w:t>presents the following outcomes. Table 1</w:t>
      </w:r>
      <w:r w:rsidR="003F5883">
        <w:t>0</w:t>
      </w:r>
      <w:r w:rsidR="00CB4EEA">
        <w:t>, shown below, gives the results for the IRC assessed PFS.</w:t>
      </w:r>
    </w:p>
    <w:p w14:paraId="5FED3171" w14:textId="5539A0AC" w:rsidR="0015280F" w:rsidRPr="009A2EA1" w:rsidRDefault="00CB4EEA" w:rsidP="00645764">
      <w:pPr>
        <w:pStyle w:val="Tabletitle0"/>
      </w:pPr>
      <w:proofErr w:type="gramStart"/>
      <w:r>
        <w:t xml:space="preserve">Table </w:t>
      </w:r>
      <w:r w:rsidR="003F5883">
        <w:t>10</w:t>
      </w:r>
      <w:r>
        <w:t>.</w:t>
      </w:r>
      <w:proofErr w:type="gramEnd"/>
      <w:r>
        <w:t xml:space="preserve"> IRC </w:t>
      </w:r>
      <w:r w:rsidR="00645764" w:rsidRPr="009A2EA1">
        <w:t>assessed</w:t>
      </w:r>
      <w:r>
        <w:t xml:space="preserve"> PFS</w:t>
      </w:r>
    </w:p>
    <w:p w14:paraId="298EB330" w14:textId="77777777" w:rsidR="0015280F" w:rsidRPr="009A2EA1" w:rsidRDefault="0015280F" w:rsidP="0015280F">
      <w:pPr>
        <w:rPr>
          <w:u w:val="single"/>
        </w:rPr>
      </w:pPr>
      <w:r w:rsidRPr="009A2EA1">
        <w:rPr>
          <w:noProof/>
          <w:lang w:eastAsia="en-AU"/>
        </w:rPr>
        <w:drawing>
          <wp:inline distT="0" distB="0" distL="0" distR="0" wp14:anchorId="7938C82B" wp14:editId="4DA22C0B">
            <wp:extent cx="5400040" cy="2342251"/>
            <wp:effectExtent l="0" t="0" r="0" b="1270"/>
            <wp:docPr id="115" name="Picture 115" descr="IRC assessed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2342251"/>
                    </a:xfrm>
                    <a:prstGeom prst="rect">
                      <a:avLst/>
                    </a:prstGeom>
                  </pic:spPr>
                </pic:pic>
              </a:graphicData>
            </a:graphic>
          </wp:inline>
        </w:drawing>
      </w:r>
    </w:p>
    <w:p w14:paraId="1A345B31" w14:textId="3A529626" w:rsidR="0015280F" w:rsidRPr="009A2EA1" w:rsidRDefault="0015280F" w:rsidP="0015280F">
      <w:r w:rsidRPr="009A2EA1">
        <w:t xml:space="preserve">Only the first parameter (PFS in the overall population) is considered statistically significant since the next parameter in the fixed sequence analysis (CR rate without positron emission tomography (PET) </w:t>
      </w:r>
      <w:r w:rsidR="00CB4EEA">
        <w:t>for the indication</w:t>
      </w:r>
      <w:r w:rsidRPr="009A2EA1">
        <w:t xml:space="preserve"> in the FL population) did not meet the predefined statistical requirements.</w:t>
      </w:r>
    </w:p>
    <w:p w14:paraId="0EF4D1CC" w14:textId="0AF20E4D" w:rsidR="0015280F" w:rsidRPr="009A2EA1" w:rsidRDefault="0015280F" w:rsidP="0015280F">
      <w:r w:rsidRPr="009A2EA1">
        <w:t xml:space="preserve">A number of other secondary outcome variables are summarised in </w:t>
      </w:r>
      <w:r w:rsidR="00CB4EEA">
        <w:t>Table 1</w:t>
      </w:r>
      <w:r w:rsidR="003F5883">
        <w:t>1</w:t>
      </w:r>
      <w:r w:rsidR="00CB4EEA">
        <w:t>,</w:t>
      </w:r>
      <w:r w:rsidRPr="009A2EA1">
        <w:t xml:space="preserve"> base</w:t>
      </w:r>
      <w:r w:rsidR="00645764" w:rsidRPr="009A2EA1">
        <w:t>d upon investigator assessment.</w:t>
      </w:r>
    </w:p>
    <w:p w14:paraId="0E0B378E" w14:textId="490723D7" w:rsidR="00645764" w:rsidRPr="009A2EA1" w:rsidRDefault="00CB4EEA" w:rsidP="00645764">
      <w:pPr>
        <w:pStyle w:val="Tabletitle0"/>
      </w:pPr>
      <w:proofErr w:type="gramStart"/>
      <w:r>
        <w:lastRenderedPageBreak/>
        <w:t>Table 1</w:t>
      </w:r>
      <w:r w:rsidR="003F5883">
        <w:t>1</w:t>
      </w:r>
      <w:r w:rsidR="00645764" w:rsidRPr="009A2EA1">
        <w:t>.</w:t>
      </w:r>
      <w:proofErr w:type="gramEnd"/>
      <w:r w:rsidR="00645764" w:rsidRPr="009A2EA1">
        <w:t xml:space="preserve"> Summary of other secondary outcome variables</w:t>
      </w:r>
    </w:p>
    <w:p w14:paraId="6121423E" w14:textId="77777777" w:rsidR="0015280F" w:rsidRPr="009A2EA1" w:rsidRDefault="0015280F" w:rsidP="0015280F">
      <w:r w:rsidRPr="009A2EA1">
        <w:rPr>
          <w:noProof/>
          <w:lang w:eastAsia="en-AU"/>
        </w:rPr>
        <w:drawing>
          <wp:inline distT="0" distB="0" distL="0" distR="0" wp14:anchorId="21F54B5E" wp14:editId="61808A38">
            <wp:extent cx="4981327" cy="3843337"/>
            <wp:effectExtent l="0" t="0" r="0" b="5080"/>
            <wp:docPr id="124" name="Picture 124" descr="Summary of other secondary outcom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83228" cy="3844803"/>
                    </a:xfrm>
                    <a:prstGeom prst="rect">
                      <a:avLst/>
                    </a:prstGeom>
                  </pic:spPr>
                </pic:pic>
              </a:graphicData>
            </a:graphic>
          </wp:inline>
        </w:drawing>
      </w:r>
    </w:p>
    <w:p w14:paraId="5ED8C947" w14:textId="69077FE8" w:rsidR="0015280F" w:rsidRPr="009A2EA1" w:rsidRDefault="0015280F" w:rsidP="0015280F">
      <w:r w:rsidRPr="009A2EA1">
        <w:t>Specifically</w:t>
      </w:r>
      <w:r w:rsidR="00CB4EEA">
        <w:t>,</w:t>
      </w:r>
      <w:r w:rsidRPr="009A2EA1">
        <w:t xml:space="preserve"> for </w:t>
      </w:r>
      <w:r w:rsidRPr="00CB4EEA">
        <w:t>overall survival in the FL population</w:t>
      </w:r>
      <w:r w:rsidR="00CB4EEA">
        <w:t xml:space="preserve">, at the clinical </w:t>
      </w:r>
      <w:proofErr w:type="spellStart"/>
      <w:r w:rsidR="00C9173F">
        <w:t>cut</w:t>
      </w:r>
      <w:r w:rsidR="0093793D">
        <w:t xml:space="preserve"> </w:t>
      </w:r>
      <w:r w:rsidR="00C9173F">
        <w:t>off</w:t>
      </w:r>
      <w:proofErr w:type="spellEnd"/>
      <w:r w:rsidR="00CB4EEA">
        <w:t xml:space="preserve"> date (31 January </w:t>
      </w:r>
      <w:r w:rsidRPr="009A2EA1">
        <w:t>2016), a total of 81 randomi</w:t>
      </w:r>
      <w:r w:rsidR="00CB4EEA">
        <w:t>s</w:t>
      </w:r>
      <w:r w:rsidRPr="009A2EA1">
        <w:t xml:space="preserve">ed patients had died: 46/601 patients (7.7%) in the R-chemo arm and 35/601 patients (5.8%) in the G-chemo arm, and less than 20% of patients had been followed for survival for more than 4 years, hence the data can be considered still immature at this time (stratified HR 0.75 </w:t>
      </w:r>
      <w:r w:rsidR="00EA30FD" w:rsidRPr="009A2EA1">
        <w:t>(</w:t>
      </w:r>
      <w:r w:rsidRPr="009A2EA1">
        <w:t>95% CI: 0.49, 1.17</w:t>
      </w:r>
      <w:r w:rsidR="00EA30FD" w:rsidRPr="009A2EA1">
        <w:t>)</w:t>
      </w:r>
      <w:r w:rsidRPr="009A2EA1">
        <w:t>, stratified log-rank p</w:t>
      </w:r>
      <w:r w:rsidR="00CB4EEA">
        <w:t xml:space="preserve"> </w:t>
      </w:r>
      <w:r w:rsidRPr="009A2EA1">
        <w:t>= 0.21). The most frequent cause of death was adverse event in the G-chemo arm (3.9%</w:t>
      </w:r>
      <w:r w:rsidR="00EA30FD" w:rsidRPr="009A2EA1">
        <w:t xml:space="preserve"> versus</w:t>
      </w:r>
      <w:r w:rsidRPr="009A2EA1">
        <w:t xml:space="preserve"> 3.4% in the R-chemo arm), and progressive disease in the R-chemo arm (3.7%</w:t>
      </w:r>
      <w:r w:rsidR="00EA30FD" w:rsidRPr="009A2EA1">
        <w:t xml:space="preserve"> versus</w:t>
      </w:r>
      <w:r w:rsidRPr="009A2EA1">
        <w:t xml:space="preserve"> 2.0% in the G-chemo arm). </w:t>
      </w:r>
      <w:r w:rsidR="008B17DB">
        <w:t>AEs</w:t>
      </w:r>
      <w:r w:rsidRPr="009A2EA1">
        <w:t xml:space="preserve"> in the obinutuzumab cohort will be discussed in more detail shortly.</w:t>
      </w:r>
    </w:p>
    <w:p w14:paraId="6D09B92C" w14:textId="7649314F" w:rsidR="0015280F" w:rsidRPr="009A2EA1" w:rsidRDefault="0015280F" w:rsidP="0015280F">
      <w:r w:rsidRPr="009A2EA1">
        <w:t>In terms of patient reported outcomes, there were no clinically meaningful differences identified between treatment cohorts in the two questionnaires used during the specific periods of the study, or indeed overall. However, clinically meaningful improvements were noted and sustained in both treatment cohorts fo</w:t>
      </w:r>
      <w:r w:rsidR="00CB4EEA">
        <w:t>r the FACT-lym scores from the M</w:t>
      </w:r>
      <w:r w:rsidRPr="009A2EA1">
        <w:t>onth 2</w:t>
      </w:r>
      <w:r w:rsidR="00CB4EEA">
        <w:t xml:space="preserve"> maintenance visit to M</w:t>
      </w:r>
      <w:r w:rsidR="00645764" w:rsidRPr="009A2EA1">
        <w:t>onth 36.</w:t>
      </w:r>
    </w:p>
    <w:p w14:paraId="2911CAA4" w14:textId="77777777" w:rsidR="0015280F" w:rsidRPr="00CB4EEA" w:rsidRDefault="0015280F" w:rsidP="0015280F">
      <w:r w:rsidRPr="00CB4EEA">
        <w:t>Given the early termination of the study for efficacy, overall survival needs to be closely observed as the data from this study matures.</w:t>
      </w:r>
    </w:p>
    <w:p w14:paraId="315AD88B" w14:textId="6E55ACA9" w:rsidR="0015280F" w:rsidRPr="009A2EA1" w:rsidRDefault="00645764" w:rsidP="00645764">
      <w:pPr>
        <w:pStyle w:val="Heading4"/>
      </w:pPr>
      <w:r w:rsidRPr="009A2EA1">
        <w:t>Safety</w:t>
      </w:r>
    </w:p>
    <w:p w14:paraId="6EDBCF96" w14:textId="1B9D7B15" w:rsidR="0015280F" w:rsidRPr="009A2EA1" w:rsidRDefault="0015280F" w:rsidP="0015280F">
      <w:r w:rsidRPr="009A2EA1">
        <w:t xml:space="preserve">The overall safety population of </w:t>
      </w:r>
      <w:r w:rsidR="00EA30FD" w:rsidRPr="009A2EA1">
        <w:t xml:space="preserve">Study </w:t>
      </w:r>
      <w:r w:rsidRPr="009A2EA1">
        <w:t xml:space="preserve">BO21223 comprised 1390 patients in total, with 1192 of those having a diagnosis of previously untreated </w:t>
      </w:r>
      <w:r w:rsidR="00CB4EEA">
        <w:t>FL</w:t>
      </w:r>
      <w:r w:rsidRPr="009A2EA1">
        <w:t>. The evaluator has focussed on the entire safety population when considering AEs, not simply those from the FL cohort, although these patients do make up 86%</w:t>
      </w:r>
      <w:r w:rsidR="00645764" w:rsidRPr="009A2EA1">
        <w:t xml:space="preserve"> of the total study population.</w:t>
      </w:r>
    </w:p>
    <w:p w14:paraId="01B79B1E" w14:textId="77777777" w:rsidR="0015280F" w:rsidRPr="009A2EA1" w:rsidRDefault="0015280F" w:rsidP="0015280F">
      <w:r w:rsidRPr="009A2EA1">
        <w:t>The safety outcome measures described in the protocol include:</w:t>
      </w:r>
    </w:p>
    <w:p w14:paraId="7BC6777B" w14:textId="1C38A863" w:rsidR="0015280F" w:rsidRPr="009A2EA1" w:rsidRDefault="0015280F" w:rsidP="00EF0B2C">
      <w:pPr>
        <w:pStyle w:val="ListBullet"/>
      </w:pPr>
      <w:r w:rsidRPr="009A2EA1">
        <w:t xml:space="preserve">Incidence, nature, and severity of </w:t>
      </w:r>
      <w:r w:rsidR="008B17DB">
        <w:t>AEs</w:t>
      </w:r>
      <w:r w:rsidRPr="009A2EA1">
        <w:t xml:space="preserve"> (including </w:t>
      </w:r>
      <w:r w:rsidR="008B17DB">
        <w:t>SAEs</w:t>
      </w:r>
      <w:r w:rsidRPr="009A2EA1">
        <w:t xml:space="preserve">) compared between the </w:t>
      </w:r>
      <w:r w:rsidR="008B17DB">
        <w:t>2 </w:t>
      </w:r>
      <w:r w:rsidRPr="009A2EA1">
        <w:t>treatment arms.</w:t>
      </w:r>
    </w:p>
    <w:p w14:paraId="07E2A2A0" w14:textId="4033C255" w:rsidR="0015280F" w:rsidRPr="009A2EA1" w:rsidRDefault="0015280F" w:rsidP="00EF0B2C">
      <w:pPr>
        <w:pStyle w:val="ListBullet"/>
      </w:pPr>
      <w:r w:rsidRPr="009A2EA1">
        <w:lastRenderedPageBreak/>
        <w:t>Deaths</w:t>
      </w:r>
      <w:r w:rsidR="008B17DB">
        <w:t>.</w:t>
      </w:r>
    </w:p>
    <w:p w14:paraId="1C857EC3" w14:textId="77777777" w:rsidR="0015280F" w:rsidRPr="009A2EA1" w:rsidRDefault="0015280F" w:rsidP="00EF0B2C">
      <w:pPr>
        <w:pStyle w:val="ListBullet"/>
      </w:pPr>
      <w:r w:rsidRPr="009A2EA1">
        <w:t>Changes in vital signs, physical findings, and clinical laboratory results.</w:t>
      </w:r>
    </w:p>
    <w:p w14:paraId="1B1B1327" w14:textId="77777777" w:rsidR="00F20ACE" w:rsidRDefault="0015280F" w:rsidP="00EF0B2C">
      <w:pPr>
        <w:pStyle w:val="ListBullet"/>
      </w:pPr>
      <w:r w:rsidRPr="009A2EA1">
        <w:t>Protocol</w:t>
      </w:r>
      <w:r w:rsidR="008B17DB">
        <w:t xml:space="preserve"> </w:t>
      </w:r>
      <w:r w:rsidRPr="009A2EA1">
        <w:t xml:space="preserve">defined events of special interest/non-serious expedited </w:t>
      </w:r>
      <w:r w:rsidR="008B17DB">
        <w:t>AEs</w:t>
      </w:r>
      <w:r w:rsidRPr="009A2EA1">
        <w:t>:</w:t>
      </w:r>
    </w:p>
    <w:p w14:paraId="2939E7B1" w14:textId="16C1926D" w:rsidR="0015280F" w:rsidRPr="009A2EA1" w:rsidRDefault="0015280F" w:rsidP="00EF0B2C">
      <w:pPr>
        <w:pStyle w:val="ListBullet2"/>
      </w:pPr>
      <w:r w:rsidRPr="009A2EA1">
        <w:t>Tumour lysis syndrome</w:t>
      </w:r>
    </w:p>
    <w:p w14:paraId="2D7A39AF" w14:textId="77777777" w:rsidR="0015280F" w:rsidRPr="009A2EA1" w:rsidRDefault="0015280F" w:rsidP="00EF0B2C">
      <w:pPr>
        <w:pStyle w:val="ListBullet2"/>
      </w:pPr>
      <w:r w:rsidRPr="009A2EA1">
        <w:t>Serious IRR</w:t>
      </w:r>
    </w:p>
    <w:p w14:paraId="4503B3E2" w14:textId="6F1525D9" w:rsidR="0015280F" w:rsidRPr="009A2EA1" w:rsidRDefault="0015280F" w:rsidP="00EF0B2C">
      <w:pPr>
        <w:pStyle w:val="ListBullet2"/>
      </w:pPr>
      <w:r w:rsidRPr="009A2EA1">
        <w:t>Serious neutro</w:t>
      </w:r>
      <w:r w:rsidR="00EA30FD" w:rsidRPr="009A2EA1">
        <w:t>paenia</w:t>
      </w:r>
    </w:p>
    <w:p w14:paraId="3A18BF9E" w14:textId="77777777" w:rsidR="0015280F" w:rsidRPr="009A2EA1" w:rsidRDefault="0015280F" w:rsidP="00EF0B2C">
      <w:pPr>
        <w:pStyle w:val="ListBullet2"/>
      </w:pPr>
      <w:r w:rsidRPr="009A2EA1">
        <w:t>Serious infections</w:t>
      </w:r>
    </w:p>
    <w:p w14:paraId="18271023" w14:textId="161F2794" w:rsidR="0015280F" w:rsidRPr="009A2EA1" w:rsidRDefault="0015280F" w:rsidP="0015280F">
      <w:pPr>
        <w:pStyle w:val="ListBullet2"/>
      </w:pPr>
      <w:r w:rsidRPr="009A2EA1">
        <w:t>Hepatitis B reactivation</w:t>
      </w:r>
      <w:r w:rsidR="008D0E63">
        <w:t>.</w:t>
      </w:r>
    </w:p>
    <w:p w14:paraId="56E41046" w14:textId="623783B8" w:rsidR="0015280F" w:rsidRDefault="0015280F" w:rsidP="0015280F">
      <w:r w:rsidRPr="009A2EA1">
        <w:t>In the induction phase of the study, 90% or more of the planned dosing of antibodies occurred in over 99% of patients in both treatment cohorts. This was the same for the maintenance phase of the study. Hence essentially all subjects received sizeable dosing of their respective monoclonal antibody treatments. A broad summary of A</w:t>
      </w:r>
      <w:r w:rsidR="008D0E63">
        <w:t>Es is provided below in Table 1</w:t>
      </w:r>
      <w:r w:rsidR="003F5883">
        <w:t>2</w:t>
      </w:r>
      <w:r w:rsidR="008D0E63">
        <w:t>.</w:t>
      </w:r>
    </w:p>
    <w:p w14:paraId="1B62B875" w14:textId="51028D09" w:rsidR="008D0E63" w:rsidRPr="009A2EA1" w:rsidRDefault="008D0E63" w:rsidP="008D0E63">
      <w:pPr>
        <w:pStyle w:val="Tabletitle0"/>
      </w:pPr>
      <w:proofErr w:type="gramStart"/>
      <w:r>
        <w:t>Table 1</w:t>
      </w:r>
      <w:r w:rsidR="003F5883">
        <w:t>2</w:t>
      </w:r>
      <w:r>
        <w:t>.</w:t>
      </w:r>
      <w:proofErr w:type="gramEnd"/>
      <w:r>
        <w:t xml:space="preserve"> Summary of adverse events (FL safety population and overall safety population)</w:t>
      </w:r>
    </w:p>
    <w:p w14:paraId="06513F2D" w14:textId="77777777" w:rsidR="0015280F" w:rsidRPr="009A2EA1" w:rsidRDefault="0015280F" w:rsidP="0015280F">
      <w:r w:rsidRPr="009A2EA1">
        <w:rPr>
          <w:noProof/>
          <w:lang w:eastAsia="en-AU"/>
        </w:rPr>
        <w:drawing>
          <wp:inline distT="0" distB="0" distL="0" distR="0" wp14:anchorId="296C9D18" wp14:editId="069C30E9">
            <wp:extent cx="4087885" cy="4916063"/>
            <wp:effectExtent l="0" t="0" r="8255" b="0"/>
            <wp:docPr id="139" name="Picture 139" descr="Summary of adverse events (FL safety population and overall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94849" cy="4924438"/>
                    </a:xfrm>
                    <a:prstGeom prst="rect">
                      <a:avLst/>
                    </a:prstGeom>
                  </pic:spPr>
                </pic:pic>
              </a:graphicData>
            </a:graphic>
          </wp:inline>
        </w:drawing>
      </w:r>
    </w:p>
    <w:p w14:paraId="34EE7FBE" w14:textId="770F0CB4" w:rsidR="0015280F" w:rsidRPr="009A2EA1" w:rsidRDefault="0015280F" w:rsidP="0015280F">
      <w:r w:rsidRPr="009A2EA1">
        <w:t xml:space="preserve">One can see that the trend is certainly of obinutuzumab having a greater rate of AEs in all the categories presented above. One could confidently say that the toxicity profile is less benign than it appears to be for rituximab. Hence, as a general conclusion, efficacy benefits must be weighed against this increase in toxicity, particularly when considering whether </w:t>
      </w:r>
      <w:r w:rsidRPr="009A2EA1">
        <w:lastRenderedPageBreak/>
        <w:t>the drug should be used first line, in situations where rituximab is a treatment option, rather than currently, where progression or failure to respond to rituximab has occurred.</w:t>
      </w:r>
    </w:p>
    <w:p w14:paraId="7B5C5F41" w14:textId="72BE74CA" w:rsidR="0015280F" w:rsidRPr="009A2EA1" w:rsidRDefault="0015280F" w:rsidP="0015280F">
      <w:r w:rsidRPr="009A2EA1">
        <w:t>If one compares chemo regimens, where only the use of rituximab or obinutuzumab is the differing factors, for the FL population</w:t>
      </w:r>
      <w:r w:rsidR="00F67C0C" w:rsidRPr="009A2EA1">
        <w:t>, the AE profile is as follows:</w:t>
      </w:r>
    </w:p>
    <w:p w14:paraId="21BF2B8A" w14:textId="77664F27" w:rsidR="0015280F" w:rsidRPr="00FB36D0" w:rsidRDefault="0015280F" w:rsidP="00FB36D0">
      <w:pPr>
        <w:pStyle w:val="ListBullet"/>
      </w:pPr>
      <w:r w:rsidRPr="00FB36D0">
        <w:t>R-Bendamustine (N</w:t>
      </w:r>
      <w:r w:rsidR="00CA4F47" w:rsidRPr="00FB36D0">
        <w:t xml:space="preserve"> </w:t>
      </w:r>
      <w:r w:rsidRPr="00FB36D0">
        <w:t>=</w:t>
      </w:r>
      <w:r w:rsidR="00CA4F47" w:rsidRPr="00FB36D0">
        <w:t xml:space="preserve"> </w:t>
      </w:r>
      <w:r w:rsidRPr="00FB36D0">
        <w:t>338)</w:t>
      </w:r>
      <w:r w:rsidR="00EA30FD" w:rsidRPr="00FB36D0">
        <w:t xml:space="preserve"> versus</w:t>
      </w:r>
      <w:r w:rsidRPr="00FB36D0">
        <w:t xml:space="preserve"> G-Bendamustine (N</w:t>
      </w:r>
      <w:r w:rsidR="00CA4F47" w:rsidRPr="00FB36D0">
        <w:t xml:space="preserve"> </w:t>
      </w:r>
      <w:r w:rsidRPr="00FB36D0">
        <w:t>=</w:t>
      </w:r>
      <w:r w:rsidR="00CA4F47" w:rsidRPr="00FB36D0">
        <w:t xml:space="preserve"> </w:t>
      </w:r>
      <w:r w:rsidRPr="00FB36D0">
        <w:t>338)</w:t>
      </w:r>
      <w:r w:rsidR="00CA4F47" w:rsidRPr="00FB36D0">
        <w:t>:</w:t>
      </w:r>
    </w:p>
    <w:p w14:paraId="3DF60867" w14:textId="5A8820D9" w:rsidR="0015280F" w:rsidRPr="00FB36D0" w:rsidRDefault="0015280F" w:rsidP="00FB36D0">
      <w:pPr>
        <w:pStyle w:val="ListBullet2"/>
      </w:pPr>
      <w:r w:rsidRPr="00FB36D0">
        <w:t>Overall incidence of AEs: 97.6% (98.3%) in the R-bendamustine group</w:t>
      </w:r>
      <w:r w:rsidR="00EA30FD" w:rsidRPr="00FB36D0">
        <w:t xml:space="preserve"> versus</w:t>
      </w:r>
      <w:r w:rsidRPr="00FB36D0">
        <w:t xml:space="preserve"> 99.7% (99.5%) in the G-bendamustine group.</w:t>
      </w:r>
    </w:p>
    <w:p w14:paraId="22AD24E5" w14:textId="50356334" w:rsidR="0015280F" w:rsidRPr="00FB36D0" w:rsidRDefault="0015280F" w:rsidP="00FB36D0">
      <w:pPr>
        <w:pStyle w:val="ListBullet2"/>
      </w:pPr>
      <w:r w:rsidRPr="00FB36D0">
        <w:t>SAEs: 45.9% (39.9%) in the R-bendamustine group</w:t>
      </w:r>
      <w:r w:rsidR="00EA30FD" w:rsidRPr="00FB36D0">
        <w:t xml:space="preserve"> versus</w:t>
      </w:r>
      <w:r w:rsidRPr="00FB36D0">
        <w:t xml:space="preserve"> 50.6% (46.1%) in the G-bendamustine group.</w:t>
      </w:r>
    </w:p>
    <w:p w14:paraId="676D37FC" w14:textId="55E10B67" w:rsidR="0015280F" w:rsidRPr="00FB36D0" w:rsidRDefault="00FB36D0" w:rsidP="00FB36D0">
      <w:pPr>
        <w:pStyle w:val="ListBullet2"/>
      </w:pPr>
      <w:r>
        <w:t xml:space="preserve">Grade 3 to </w:t>
      </w:r>
      <w:r w:rsidR="0015280F" w:rsidRPr="00FB36D0">
        <w:t>5 AEs: 66.3% (67.8%) in the R-bendamustine group</w:t>
      </w:r>
      <w:r w:rsidR="00EA30FD" w:rsidRPr="00FB36D0">
        <w:t xml:space="preserve"> versus</w:t>
      </w:r>
      <w:r w:rsidR="0015280F" w:rsidRPr="00FB36D0">
        <w:t xml:space="preserve"> 68.3% (74.6%) in the G-bendamustine group.</w:t>
      </w:r>
    </w:p>
    <w:p w14:paraId="6409B3BC" w14:textId="30181EA5" w:rsidR="0015280F" w:rsidRPr="00FB36D0" w:rsidRDefault="0015280F" w:rsidP="00FB36D0">
      <w:pPr>
        <w:pStyle w:val="ListBullet2"/>
      </w:pPr>
      <w:r w:rsidRPr="00FB36D0">
        <w:t>Infections: 72.8% (70.0%) in the R-bendamustine group</w:t>
      </w:r>
      <w:r w:rsidR="00EA30FD" w:rsidRPr="00FB36D0">
        <w:t xml:space="preserve"> versus</w:t>
      </w:r>
      <w:r w:rsidRPr="00FB36D0">
        <w:t xml:space="preserve"> 80.5% (77.3%) in the G-bendamustine group.</w:t>
      </w:r>
    </w:p>
    <w:p w14:paraId="6341106E" w14:textId="7CE5A3CC" w:rsidR="0015280F" w:rsidRPr="00906BC8" w:rsidRDefault="0015280F" w:rsidP="00FB36D0">
      <w:pPr>
        <w:pStyle w:val="ListBullet"/>
        <w:rPr>
          <w:lang w:val="pt-BR"/>
        </w:rPr>
      </w:pPr>
      <w:r w:rsidRPr="00906BC8">
        <w:rPr>
          <w:lang w:val="pt-BR"/>
        </w:rPr>
        <w:t>R-CHOP (N</w:t>
      </w:r>
      <w:r w:rsidR="00FB36D0" w:rsidRPr="00906BC8">
        <w:rPr>
          <w:lang w:val="pt-BR"/>
        </w:rPr>
        <w:t xml:space="preserve"> </w:t>
      </w:r>
      <w:r w:rsidRPr="00906BC8">
        <w:rPr>
          <w:lang w:val="pt-BR"/>
        </w:rPr>
        <w:t>=</w:t>
      </w:r>
      <w:r w:rsidR="00FB36D0" w:rsidRPr="00906BC8">
        <w:rPr>
          <w:lang w:val="pt-BR"/>
        </w:rPr>
        <w:t xml:space="preserve"> </w:t>
      </w:r>
      <w:r w:rsidRPr="00906BC8">
        <w:rPr>
          <w:lang w:val="pt-BR"/>
        </w:rPr>
        <w:t>203)</w:t>
      </w:r>
      <w:r w:rsidR="00EA30FD" w:rsidRPr="00906BC8">
        <w:rPr>
          <w:lang w:val="pt-BR"/>
        </w:rPr>
        <w:t xml:space="preserve"> versus</w:t>
      </w:r>
      <w:r w:rsidRPr="00906BC8">
        <w:rPr>
          <w:lang w:val="pt-BR"/>
        </w:rPr>
        <w:t xml:space="preserve"> G-CHOP (N</w:t>
      </w:r>
      <w:r w:rsidR="00FB36D0" w:rsidRPr="00906BC8">
        <w:rPr>
          <w:lang w:val="pt-BR"/>
        </w:rPr>
        <w:t xml:space="preserve"> </w:t>
      </w:r>
      <w:r w:rsidRPr="00906BC8">
        <w:rPr>
          <w:lang w:val="pt-BR"/>
        </w:rPr>
        <w:t>=</w:t>
      </w:r>
      <w:r w:rsidR="00FB36D0" w:rsidRPr="00906BC8">
        <w:rPr>
          <w:lang w:val="pt-BR"/>
        </w:rPr>
        <w:t xml:space="preserve"> </w:t>
      </w:r>
      <w:r w:rsidRPr="00906BC8">
        <w:rPr>
          <w:lang w:val="pt-BR"/>
        </w:rPr>
        <w:t>193)</w:t>
      </w:r>
      <w:r w:rsidR="00FB36D0" w:rsidRPr="00906BC8">
        <w:rPr>
          <w:lang w:val="pt-BR"/>
        </w:rPr>
        <w:t>:</w:t>
      </w:r>
    </w:p>
    <w:p w14:paraId="522043B2" w14:textId="309145F4" w:rsidR="0015280F" w:rsidRPr="00FB36D0" w:rsidRDefault="0015280F" w:rsidP="00FB36D0">
      <w:pPr>
        <w:pStyle w:val="ListBullet2"/>
      </w:pPr>
      <w:r w:rsidRPr="00FB36D0">
        <w:t>SAEs: 31.5% (39.9%) in the R-CHOP group</w:t>
      </w:r>
      <w:r w:rsidR="00EA30FD" w:rsidRPr="00FB36D0">
        <w:t xml:space="preserve"> versus</w:t>
      </w:r>
      <w:r w:rsidRPr="00FB36D0">
        <w:t xml:space="preserve"> 38.3% (46.1%) in the G-CHOP group.</w:t>
      </w:r>
    </w:p>
    <w:p w14:paraId="3AD1E78B" w14:textId="7D84F439" w:rsidR="0015280F" w:rsidRPr="00FB36D0" w:rsidRDefault="00FB36D0" w:rsidP="00FB36D0">
      <w:pPr>
        <w:pStyle w:val="ListBullet2"/>
      </w:pPr>
      <w:r>
        <w:t xml:space="preserve">Grade 3 to </w:t>
      </w:r>
      <w:r w:rsidR="0015280F" w:rsidRPr="00FB36D0">
        <w:t>5 AEs: 74.4% (67.8%) in the R-CHOP group</w:t>
      </w:r>
      <w:r w:rsidR="00EA30FD" w:rsidRPr="00FB36D0">
        <w:t xml:space="preserve"> versus</w:t>
      </w:r>
      <w:r w:rsidR="0015280F" w:rsidRPr="00FB36D0">
        <w:t xml:space="preserve"> 88.1% (74.6%) in the G-CHOP group.</w:t>
      </w:r>
    </w:p>
    <w:p w14:paraId="21AC9E35" w14:textId="0B27B6D1" w:rsidR="0015280F" w:rsidRPr="00FB36D0" w:rsidRDefault="0015280F" w:rsidP="00FB36D0">
      <w:pPr>
        <w:pStyle w:val="ListBullet2"/>
      </w:pPr>
      <w:r w:rsidRPr="00FB36D0">
        <w:t>Infections: 66.0% (70.0%) in the R-CHOP group</w:t>
      </w:r>
      <w:r w:rsidR="00EA30FD" w:rsidRPr="00FB36D0">
        <w:t xml:space="preserve"> versus</w:t>
      </w:r>
      <w:r w:rsidRPr="00FB36D0">
        <w:t xml:space="preserve"> 73.6% (77.3%) in the G-CHOP group.</w:t>
      </w:r>
    </w:p>
    <w:p w14:paraId="763E2181" w14:textId="10C9D155" w:rsidR="0015280F" w:rsidRPr="00906BC8" w:rsidRDefault="0015280F" w:rsidP="00FB36D0">
      <w:pPr>
        <w:pStyle w:val="ListBullet"/>
        <w:rPr>
          <w:lang w:val="pt-BR"/>
        </w:rPr>
      </w:pPr>
      <w:r w:rsidRPr="00906BC8">
        <w:rPr>
          <w:lang w:val="pt-BR"/>
        </w:rPr>
        <w:t>R-CVP (N</w:t>
      </w:r>
      <w:r w:rsidR="00FB36D0" w:rsidRPr="00906BC8">
        <w:rPr>
          <w:lang w:val="pt-BR"/>
        </w:rPr>
        <w:t xml:space="preserve"> </w:t>
      </w:r>
      <w:r w:rsidRPr="00906BC8">
        <w:rPr>
          <w:lang w:val="pt-BR"/>
        </w:rPr>
        <w:t>=</w:t>
      </w:r>
      <w:r w:rsidR="00FB36D0" w:rsidRPr="00906BC8">
        <w:rPr>
          <w:lang w:val="pt-BR"/>
        </w:rPr>
        <w:t xml:space="preserve"> </w:t>
      </w:r>
      <w:r w:rsidRPr="00906BC8">
        <w:rPr>
          <w:lang w:val="pt-BR"/>
        </w:rPr>
        <w:t>56)</w:t>
      </w:r>
      <w:r w:rsidR="00EA30FD" w:rsidRPr="00906BC8">
        <w:rPr>
          <w:lang w:val="pt-BR"/>
        </w:rPr>
        <w:t xml:space="preserve"> versus</w:t>
      </w:r>
      <w:r w:rsidRPr="00906BC8">
        <w:rPr>
          <w:lang w:val="pt-BR"/>
        </w:rPr>
        <w:t xml:space="preserve"> G-CVP (N</w:t>
      </w:r>
      <w:r w:rsidR="00FB36D0" w:rsidRPr="00906BC8">
        <w:rPr>
          <w:lang w:val="pt-BR"/>
        </w:rPr>
        <w:t xml:space="preserve"> </w:t>
      </w:r>
      <w:r w:rsidRPr="00906BC8">
        <w:rPr>
          <w:lang w:val="pt-BR"/>
        </w:rPr>
        <w:t>=</w:t>
      </w:r>
      <w:r w:rsidR="00FB36D0" w:rsidRPr="00906BC8">
        <w:rPr>
          <w:lang w:val="pt-BR"/>
        </w:rPr>
        <w:t xml:space="preserve"> </w:t>
      </w:r>
      <w:r w:rsidRPr="00906BC8">
        <w:rPr>
          <w:lang w:val="pt-BR"/>
        </w:rPr>
        <w:t>61)</w:t>
      </w:r>
      <w:r w:rsidR="00FB36D0" w:rsidRPr="00906BC8">
        <w:rPr>
          <w:lang w:val="pt-BR"/>
        </w:rPr>
        <w:t>:</w:t>
      </w:r>
    </w:p>
    <w:p w14:paraId="4898524A" w14:textId="4D54280C" w:rsidR="0015280F" w:rsidRPr="00FB36D0" w:rsidRDefault="0015280F" w:rsidP="00FB36D0">
      <w:pPr>
        <w:pStyle w:val="ListBullet2"/>
      </w:pPr>
      <w:r w:rsidRPr="00FB36D0">
        <w:t>SAEs: 33.9% (39.9%) in the R-CVP group</w:t>
      </w:r>
      <w:r w:rsidR="00EA30FD" w:rsidRPr="00FB36D0">
        <w:t xml:space="preserve"> versus</w:t>
      </w:r>
      <w:r w:rsidRPr="00FB36D0">
        <w:t xml:space="preserve"> 42.6% (46.1%) in the G-CVP group.</w:t>
      </w:r>
    </w:p>
    <w:p w14:paraId="1699C79D" w14:textId="5807AEBA" w:rsidR="0015280F" w:rsidRPr="00FB36D0" w:rsidRDefault="00FB36D0" w:rsidP="00FB36D0">
      <w:pPr>
        <w:pStyle w:val="ListBullet2"/>
      </w:pPr>
      <w:r>
        <w:t xml:space="preserve">Grade 3 to </w:t>
      </w:r>
      <w:r w:rsidR="0015280F" w:rsidRPr="00FB36D0">
        <w:t>5 AEs: 53.6% (67.8%) in the R-CVP group</w:t>
      </w:r>
      <w:r w:rsidR="00EA30FD" w:rsidRPr="00FB36D0">
        <w:t xml:space="preserve"> versus</w:t>
      </w:r>
      <w:r w:rsidR="0015280F" w:rsidRPr="00FB36D0">
        <w:t xml:space="preserve"> 65.6% (74.6%) in the G-CVP group.</w:t>
      </w:r>
    </w:p>
    <w:p w14:paraId="2ACF4C17" w14:textId="7BED97B4" w:rsidR="0015280F" w:rsidRPr="00FB36D0" w:rsidRDefault="0015280F" w:rsidP="00FB36D0">
      <w:pPr>
        <w:pStyle w:val="ListBullet2"/>
      </w:pPr>
      <w:r w:rsidRPr="00FB36D0">
        <w:t>Infections: 67.9% (70.0%) in the R-CVP group</w:t>
      </w:r>
      <w:r w:rsidR="00EA30FD" w:rsidRPr="00FB36D0">
        <w:t xml:space="preserve"> versus</w:t>
      </w:r>
      <w:r w:rsidRPr="00FB36D0">
        <w:t xml:space="preserve"> 73.8% (77.3%) in the G-CVP group.</w:t>
      </w:r>
    </w:p>
    <w:p w14:paraId="3640A22F" w14:textId="706E0B23" w:rsidR="0015280F" w:rsidRPr="009A2EA1" w:rsidRDefault="0015280F" w:rsidP="0015280F">
      <w:r w:rsidRPr="009A2EA1">
        <w:t>Regardless of chemotherapy co-administ</w:t>
      </w:r>
      <w:r w:rsidR="00FB36D0">
        <w:t xml:space="preserve">ered, SAEs, Grade </w:t>
      </w:r>
      <w:r w:rsidR="007323AC">
        <w:t>3</w:t>
      </w:r>
      <w:r w:rsidR="00FB36D0">
        <w:t xml:space="preserve"> to </w:t>
      </w:r>
      <w:r w:rsidRPr="009A2EA1">
        <w:t>5 AEs and infections all occur at higher rate</w:t>
      </w:r>
      <w:r w:rsidR="00FB36D0">
        <w:t>s in those given obinutuzumab.</w:t>
      </w:r>
    </w:p>
    <w:p w14:paraId="689AAF07" w14:textId="29052D20" w:rsidR="0015280F" w:rsidRPr="009A2EA1" w:rsidRDefault="0015280F" w:rsidP="0015280F">
      <w:r w:rsidRPr="009A2EA1">
        <w:t>In the overall treatment population, ADRs most frequently reported were as follows (for R-chemo</w:t>
      </w:r>
      <w:r w:rsidR="00EA30FD" w:rsidRPr="009A2EA1">
        <w:t xml:space="preserve"> versus </w:t>
      </w:r>
      <w:r w:rsidRPr="009A2EA1">
        <w:t>G-chemo):</w:t>
      </w:r>
    </w:p>
    <w:p w14:paraId="1139841A" w14:textId="4432F929" w:rsidR="0015280F" w:rsidRPr="009A2EA1" w:rsidRDefault="0015280F" w:rsidP="00F67C0C">
      <w:pPr>
        <w:pStyle w:val="ListBullet"/>
      </w:pPr>
      <w:r w:rsidRPr="009A2EA1">
        <w:t>Gastrointestinal Disorders (60.7%</w:t>
      </w:r>
      <w:r w:rsidR="00EA30FD" w:rsidRPr="009A2EA1">
        <w:t xml:space="preserve"> versus</w:t>
      </w:r>
      <w:r w:rsidRPr="009A2EA1">
        <w:t xml:space="preserve"> 63.6%)</w:t>
      </w:r>
    </w:p>
    <w:p w14:paraId="668D83C7" w14:textId="353F4042" w:rsidR="0015280F" w:rsidRPr="009A2EA1" w:rsidRDefault="0015280F" w:rsidP="00F67C0C">
      <w:pPr>
        <w:pStyle w:val="ListBullet"/>
      </w:pPr>
      <w:r w:rsidRPr="009A2EA1">
        <w:t>General Disorders and Administration Site Conditions (51.3%</w:t>
      </w:r>
      <w:r w:rsidR="00EA30FD" w:rsidRPr="009A2EA1">
        <w:t xml:space="preserve"> versus</w:t>
      </w:r>
      <w:r w:rsidRPr="009A2EA1">
        <w:t xml:space="preserve"> 61.5%)</w:t>
      </w:r>
    </w:p>
    <w:p w14:paraId="5E055B2F" w14:textId="116C235D" w:rsidR="0015280F" w:rsidRPr="009A2EA1" w:rsidRDefault="0015280F" w:rsidP="00F67C0C">
      <w:pPr>
        <w:pStyle w:val="ListBullet"/>
      </w:pPr>
      <w:r w:rsidRPr="009A2EA1">
        <w:t>Injury, Poisoning and Procedural Complications (49.0%</w:t>
      </w:r>
      <w:r w:rsidR="00EA30FD" w:rsidRPr="009A2EA1">
        <w:t xml:space="preserve"> versus</w:t>
      </w:r>
      <w:r w:rsidRPr="009A2EA1">
        <w:t xml:space="preserve"> 61.2%)</w:t>
      </w:r>
    </w:p>
    <w:p w14:paraId="0E87F783" w14:textId="71FC078F" w:rsidR="0015280F" w:rsidRPr="009A2EA1" w:rsidRDefault="0015280F" w:rsidP="00F67C0C">
      <w:pPr>
        <w:pStyle w:val="ListBullet"/>
      </w:pPr>
      <w:r w:rsidRPr="009A2EA1">
        <w:t>Blood and Lymphatic System Disorders (48.3%</w:t>
      </w:r>
      <w:r w:rsidR="00EA30FD" w:rsidRPr="009A2EA1">
        <w:t xml:space="preserve"> versus</w:t>
      </w:r>
      <w:r w:rsidRPr="009A2EA1">
        <w:t xml:space="preserve"> 54.0%)</w:t>
      </w:r>
      <w:r w:rsidR="00FB36D0">
        <w:t>.</w:t>
      </w:r>
    </w:p>
    <w:p w14:paraId="5870AC5A" w14:textId="05A6D39E" w:rsidR="0015280F" w:rsidRPr="009A2EA1" w:rsidRDefault="0015280F" w:rsidP="0015280F">
      <w:r w:rsidRPr="009A2EA1">
        <w:t>Again, suggesting a more toxic s</w:t>
      </w:r>
      <w:r w:rsidR="00F67C0C" w:rsidRPr="009A2EA1">
        <w:t>afety profile for obinutuzumab.</w:t>
      </w:r>
    </w:p>
    <w:p w14:paraId="50DDF873" w14:textId="1BCBFBAA" w:rsidR="0015280F" w:rsidRPr="009A2EA1" w:rsidRDefault="0015280F" w:rsidP="0015280F">
      <w:r w:rsidRPr="009A2EA1">
        <w:t>There were, however, more deaths in the R-chemo arm, mainly due to progressive disease or an AE, whereas for obinutuzumab they were essentially</w:t>
      </w:r>
      <w:r w:rsidR="008B17DB">
        <w:t xml:space="preserve"> </w:t>
      </w:r>
      <w:r w:rsidRPr="009A2EA1">
        <w:t>due to AEs. For the overall safety population, there were 63 deaths for R-chemo and 50 for G-chemo. However progressive disease accounted for 29</w:t>
      </w:r>
      <w:r w:rsidR="007323AC">
        <w:t xml:space="preserve"> </w:t>
      </w:r>
      <w:r w:rsidR="00EA30FD" w:rsidRPr="009A2EA1">
        <w:t xml:space="preserve">versus </w:t>
      </w:r>
      <w:r w:rsidRPr="009A2EA1">
        <w:t>13</w:t>
      </w:r>
      <w:r w:rsidR="007323AC">
        <w:t xml:space="preserve"> </w:t>
      </w:r>
      <w:r w:rsidRPr="009A2EA1">
        <w:t>while AEs were 26</w:t>
      </w:r>
      <w:r w:rsidR="0093793D">
        <w:t xml:space="preserve"> </w:t>
      </w:r>
      <w:r w:rsidR="00EA30FD" w:rsidRPr="009A2EA1">
        <w:t xml:space="preserve">versus </w:t>
      </w:r>
      <w:r w:rsidRPr="009A2EA1">
        <w:t>35</w:t>
      </w:r>
      <w:r w:rsidR="0093793D">
        <w:t xml:space="preserve"> </w:t>
      </w:r>
      <w:r w:rsidRPr="009A2EA1">
        <w:t>for R-chemo</w:t>
      </w:r>
      <w:r w:rsidR="00EA30FD" w:rsidRPr="009A2EA1">
        <w:t xml:space="preserve"> versus </w:t>
      </w:r>
      <w:r w:rsidR="00FB36D0">
        <w:t>G-chemo, respectively.</w:t>
      </w:r>
    </w:p>
    <w:p w14:paraId="51C0E162" w14:textId="79C5E7FF" w:rsidR="0015280F" w:rsidRPr="009A2EA1" w:rsidRDefault="00FB36D0" w:rsidP="0015280F">
      <w:r>
        <w:t>SAEs</w:t>
      </w:r>
      <w:r w:rsidR="0015280F" w:rsidRPr="009A2EA1">
        <w:t xml:space="preserve"> favoured rituximab in the overall safety population (41.3%</w:t>
      </w:r>
      <w:r w:rsidR="00EA30FD" w:rsidRPr="009A2EA1">
        <w:t xml:space="preserve"> versus </w:t>
      </w:r>
      <w:r w:rsidR="0015280F" w:rsidRPr="009A2EA1">
        <w:t>48.7%), and those with at or greater than a 5% discrepancy between groups all favoured rituximab:</w:t>
      </w:r>
    </w:p>
    <w:p w14:paraId="6F933BF3" w14:textId="7B827B67" w:rsidR="0015280F" w:rsidRPr="009A2EA1" w:rsidRDefault="0015280F" w:rsidP="00F67C0C">
      <w:pPr>
        <w:pStyle w:val="ListBullet"/>
      </w:pPr>
      <w:r w:rsidRPr="009A2EA1">
        <w:lastRenderedPageBreak/>
        <w:t>Infections and Infestations (15.0%</w:t>
      </w:r>
      <w:r w:rsidR="00EA30FD" w:rsidRPr="009A2EA1">
        <w:t xml:space="preserve"> versus</w:t>
      </w:r>
      <w:r w:rsidRPr="009A2EA1">
        <w:t xml:space="preserve"> 20.8%; total number of events 143</w:t>
      </w:r>
      <w:r w:rsidR="00EA30FD" w:rsidRPr="009A2EA1">
        <w:t xml:space="preserve"> versus</w:t>
      </w:r>
      <w:r w:rsidRPr="009A2EA1">
        <w:t xml:space="preserve"> 217)</w:t>
      </w:r>
    </w:p>
    <w:p w14:paraId="7E6FC0D3" w14:textId="57C505AB" w:rsidR="0015280F" w:rsidRPr="009A2EA1" w:rsidRDefault="0015280F" w:rsidP="00F67C0C">
      <w:pPr>
        <w:pStyle w:val="ListBullet"/>
      </w:pPr>
      <w:r w:rsidRPr="009A2EA1">
        <w:t>Blood and Lymphatic System Disorders (8.7%</w:t>
      </w:r>
      <w:r w:rsidR="00EA30FD" w:rsidRPr="009A2EA1">
        <w:t xml:space="preserve"> versus</w:t>
      </w:r>
      <w:r w:rsidRPr="009A2EA1">
        <w:t xml:space="preserve"> 9.6%; total number of events 87</w:t>
      </w:r>
      <w:r w:rsidR="002E61C8">
        <w:t> </w:t>
      </w:r>
      <w:r w:rsidR="00EA30FD" w:rsidRPr="009A2EA1">
        <w:t>versus</w:t>
      </w:r>
      <w:r w:rsidRPr="009A2EA1">
        <w:t xml:space="preserve"> 100)</w:t>
      </w:r>
    </w:p>
    <w:p w14:paraId="2045600E" w14:textId="3C775680" w:rsidR="0015280F" w:rsidRPr="009A2EA1" w:rsidRDefault="0015280F" w:rsidP="00F67C0C">
      <w:pPr>
        <w:pStyle w:val="ListBullet"/>
      </w:pPr>
      <w:r w:rsidRPr="009A2EA1">
        <w:t>Gastrointestinal Disorders (4.6%</w:t>
      </w:r>
      <w:r w:rsidR="00EA30FD" w:rsidRPr="009A2EA1">
        <w:t xml:space="preserve"> versus</w:t>
      </w:r>
      <w:r w:rsidRPr="009A2EA1">
        <w:t xml:space="preserve"> 7.6%; total number of events 47</w:t>
      </w:r>
      <w:r w:rsidR="00EA30FD" w:rsidRPr="009A2EA1">
        <w:t xml:space="preserve"> versus</w:t>
      </w:r>
      <w:r w:rsidRPr="009A2EA1">
        <w:t xml:space="preserve"> 74)</w:t>
      </w:r>
    </w:p>
    <w:p w14:paraId="2082C73D" w14:textId="4FA18E1F" w:rsidR="0015280F" w:rsidRPr="009A2EA1" w:rsidRDefault="0015280F" w:rsidP="00F67C0C">
      <w:pPr>
        <w:pStyle w:val="ListBullet"/>
      </w:pPr>
      <w:r w:rsidRPr="009A2EA1">
        <w:t>Injury, Poisoning and Procedural Complications (4.2%</w:t>
      </w:r>
      <w:r w:rsidR="00EA30FD" w:rsidRPr="009A2EA1">
        <w:t xml:space="preserve"> versus</w:t>
      </w:r>
      <w:r w:rsidRPr="009A2EA1">
        <w:t xml:space="preserve"> 7.6%), the difference driven mainly by the higher incidence of serious IRRs in the G-chemo arm (2.6%</w:t>
      </w:r>
      <w:r w:rsidR="00FB36D0">
        <w:t> </w:t>
      </w:r>
      <w:r w:rsidR="00EA30FD" w:rsidRPr="009A2EA1">
        <w:t>versus</w:t>
      </w:r>
      <w:r w:rsidRPr="009A2EA1">
        <w:t xml:space="preserve"> 5.2%; total number of events 33</w:t>
      </w:r>
      <w:r w:rsidR="00EA30FD" w:rsidRPr="009A2EA1">
        <w:t xml:space="preserve"> versus</w:t>
      </w:r>
      <w:r w:rsidRPr="009A2EA1">
        <w:t xml:space="preserve"> 64)</w:t>
      </w:r>
    </w:p>
    <w:p w14:paraId="542233F2" w14:textId="225CD985" w:rsidR="0015280F" w:rsidRPr="009A2EA1" w:rsidRDefault="0015280F" w:rsidP="00F67C0C">
      <w:pPr>
        <w:pStyle w:val="ListBullet"/>
      </w:pPr>
      <w:r w:rsidRPr="009A2EA1">
        <w:t>General Disorders and Administration Site Conditions (6.5%</w:t>
      </w:r>
      <w:r w:rsidR="00EA30FD" w:rsidRPr="009A2EA1">
        <w:t xml:space="preserve"> versus</w:t>
      </w:r>
      <w:r w:rsidR="00FB36D0">
        <w:t xml:space="preserve"> 7.3%; total </w:t>
      </w:r>
      <w:r w:rsidRPr="009A2EA1">
        <w:t>number of events 48</w:t>
      </w:r>
      <w:r w:rsidR="00EA30FD" w:rsidRPr="009A2EA1">
        <w:t xml:space="preserve"> versus</w:t>
      </w:r>
      <w:r w:rsidRPr="009A2EA1">
        <w:t xml:space="preserve"> 61)</w:t>
      </w:r>
    </w:p>
    <w:p w14:paraId="550E55DE" w14:textId="6A60D570" w:rsidR="00E413D0" w:rsidRPr="009A2EA1" w:rsidRDefault="0015280F" w:rsidP="00E413D0">
      <w:pPr>
        <w:pStyle w:val="ListBullet"/>
      </w:pPr>
      <w:r w:rsidRPr="009A2EA1">
        <w:t>Respiratory, Thoracic and Mediastinal Disorders (5.6%</w:t>
      </w:r>
      <w:r w:rsidR="00EA30FD" w:rsidRPr="009A2EA1">
        <w:t xml:space="preserve"> versus</w:t>
      </w:r>
      <w:r w:rsidRPr="009A2EA1">
        <w:t xml:space="preserve"> 6.4%; total number of events 42</w:t>
      </w:r>
      <w:r w:rsidR="00EA30FD" w:rsidRPr="009A2EA1">
        <w:t xml:space="preserve"> versus</w:t>
      </w:r>
      <w:r w:rsidRPr="009A2EA1">
        <w:t xml:space="preserve"> 56)</w:t>
      </w:r>
    </w:p>
    <w:p w14:paraId="205AA29A" w14:textId="40A48644" w:rsidR="0015280F" w:rsidRPr="009A2EA1" w:rsidRDefault="0015280F" w:rsidP="00F67C0C">
      <w:pPr>
        <w:pStyle w:val="ListBullet"/>
      </w:pPr>
      <w:r w:rsidRPr="009A2EA1">
        <w:t>Neoplasms Benign, Malignant and Unspecified (including Cysts and Polyps) (3.8%</w:t>
      </w:r>
      <w:r w:rsidR="00FB36D0">
        <w:t> </w:t>
      </w:r>
      <w:r w:rsidR="00EA30FD" w:rsidRPr="009A2EA1">
        <w:t>versus</w:t>
      </w:r>
      <w:r w:rsidRPr="009A2EA1">
        <w:t xml:space="preserve"> 6.0%; total number of events 28</w:t>
      </w:r>
      <w:r w:rsidR="00EA30FD" w:rsidRPr="009A2EA1">
        <w:t xml:space="preserve"> versus</w:t>
      </w:r>
      <w:r w:rsidRPr="009A2EA1">
        <w:t xml:space="preserve"> 49)</w:t>
      </w:r>
    </w:p>
    <w:p w14:paraId="501C9F9F" w14:textId="38620A3D" w:rsidR="0015280F" w:rsidRPr="009A2EA1" w:rsidRDefault="0015280F" w:rsidP="00F67C0C">
      <w:pPr>
        <w:pStyle w:val="ListBullet"/>
      </w:pPr>
      <w:r w:rsidRPr="009A2EA1">
        <w:t>Cardiac Disorders (2.0%</w:t>
      </w:r>
      <w:r w:rsidR="00EA30FD" w:rsidRPr="009A2EA1">
        <w:t xml:space="preserve"> versus</w:t>
      </w:r>
      <w:r w:rsidRPr="009A2EA1">
        <w:t xml:space="preserve"> 5.9%; total number of events 15</w:t>
      </w:r>
      <w:r w:rsidR="00EA30FD" w:rsidRPr="009A2EA1">
        <w:t xml:space="preserve"> versus</w:t>
      </w:r>
      <w:r w:rsidRPr="009A2EA1">
        <w:t xml:space="preserve"> 46)</w:t>
      </w:r>
      <w:r w:rsidR="00FB36D0">
        <w:t>.</w:t>
      </w:r>
    </w:p>
    <w:p w14:paraId="71153AE2" w14:textId="03BA0FC5" w:rsidR="0015280F" w:rsidRPr="009A2EA1" w:rsidRDefault="0015280F" w:rsidP="0015280F">
      <w:r w:rsidRPr="009A2EA1">
        <w:t>It is noted by the evaluator that there are generally more SAEs in the overall study population than the FL population, and this is ascribed to there being proportionally more patients over 65 years in the MZL population. Hence age might be a factor when deciding upon ap</w:t>
      </w:r>
      <w:r w:rsidR="00F67C0C" w:rsidRPr="009A2EA1">
        <w:t>propriate first line treatment.</w:t>
      </w:r>
    </w:p>
    <w:p w14:paraId="283CD85D" w14:textId="493E3D1F" w:rsidR="0015280F" w:rsidRPr="009A2EA1" w:rsidRDefault="0015280F" w:rsidP="0015280F">
      <w:r w:rsidRPr="009A2EA1">
        <w:t xml:space="preserve">Treatment discontinuations as a result of AEs (FL population) were similar between the </w:t>
      </w:r>
      <w:r w:rsidR="008B17DB">
        <w:t>2 </w:t>
      </w:r>
      <w:r w:rsidRPr="009A2EA1">
        <w:t>treatment groups. Treatment modifications, however, were more frequent for G-chemo than R-chemo (65.4%</w:t>
      </w:r>
      <w:r w:rsidR="00EA30FD" w:rsidRPr="009A2EA1">
        <w:t xml:space="preserve"> versus </w:t>
      </w:r>
      <w:r w:rsidR="008E5262">
        <w:t>55.1%).</w:t>
      </w:r>
    </w:p>
    <w:p w14:paraId="18C28B00" w14:textId="03BC21A3" w:rsidR="0015280F" w:rsidRPr="009A2EA1" w:rsidRDefault="0015280F" w:rsidP="0015280F">
      <w:r w:rsidRPr="009A2EA1">
        <w:t xml:space="preserve">In terms of </w:t>
      </w:r>
      <w:r w:rsidR="002E61C8">
        <w:t>AEs</w:t>
      </w:r>
      <w:r w:rsidRPr="009A2EA1">
        <w:t xml:space="preserve"> of particular interest, these included </w:t>
      </w:r>
      <w:r w:rsidR="002E61C8">
        <w:t>IRRs</w:t>
      </w:r>
      <w:r w:rsidRPr="009A2EA1">
        <w:t>; serious neutro</w:t>
      </w:r>
      <w:r w:rsidR="00EA30FD" w:rsidRPr="009A2EA1">
        <w:t>paenia</w:t>
      </w:r>
      <w:r w:rsidRPr="009A2EA1">
        <w:t>; tumour lysis syndrome; serious infection,</w:t>
      </w:r>
      <w:r w:rsidR="00FB4452">
        <w:t xml:space="preserve"> and</w:t>
      </w:r>
      <w:r w:rsidR="00F67C0C" w:rsidRPr="009A2EA1">
        <w:t xml:space="preserve"> hepatitis B reactivation.</w:t>
      </w:r>
    </w:p>
    <w:p w14:paraId="169B3048" w14:textId="2DA8E595" w:rsidR="0015280F" w:rsidRDefault="0015280F" w:rsidP="0015280F">
      <w:r w:rsidRPr="009A2EA1">
        <w:t>For IRRs, these were more frequent in the G-chemo group in the overall safety population (486</w:t>
      </w:r>
      <w:r w:rsidR="00EA30FD" w:rsidRPr="009A2EA1">
        <w:t xml:space="preserve"> versus </w:t>
      </w:r>
      <w:r w:rsidRPr="009A2EA1">
        <w:t>401), and similarly for SAEs (111</w:t>
      </w:r>
      <w:r w:rsidR="00EA30FD" w:rsidRPr="009A2EA1">
        <w:t xml:space="preserve"> versus </w:t>
      </w:r>
      <w:r w:rsidRPr="009A2EA1">
        <w:t>49). The evaluator notes this difference was mainly</w:t>
      </w:r>
      <w:r w:rsidR="008E5262">
        <w:t xml:space="preserve"> due to Day 1, Cycle 1, and by C</w:t>
      </w:r>
      <w:r w:rsidRPr="009A2EA1">
        <w:t>ycle 4, IRRs were comparable between treatment groups.</w:t>
      </w:r>
    </w:p>
    <w:p w14:paraId="12A3A498" w14:textId="23BEAA07" w:rsidR="0015280F" w:rsidRPr="009A2EA1" w:rsidRDefault="00B66306" w:rsidP="0015280F">
      <w:r>
        <w:t>Neutrop</w:t>
      </w:r>
      <w:r w:rsidR="002E61C8">
        <w:t>a</w:t>
      </w:r>
      <w:r>
        <w:t>enia (FL):</w:t>
      </w:r>
    </w:p>
    <w:p w14:paraId="4076AEC5" w14:textId="69914256" w:rsidR="00B66306" w:rsidRDefault="00B66306" w:rsidP="00F67C0C">
      <w:pPr>
        <w:pStyle w:val="ListBullet"/>
      </w:pPr>
      <w:r w:rsidRPr="009A2EA1">
        <w:t>For serious neutrop</w:t>
      </w:r>
      <w:r w:rsidR="002E61C8">
        <w:t>a</w:t>
      </w:r>
      <w:r w:rsidRPr="009A2EA1">
        <w:t>enia, AEs were comparable</w:t>
      </w:r>
      <w:r w:rsidR="002E61C8">
        <w:t>.</w:t>
      </w:r>
    </w:p>
    <w:p w14:paraId="2AEE1823" w14:textId="237973C2" w:rsidR="0015280F" w:rsidRPr="008E5262" w:rsidRDefault="0015280F" w:rsidP="00F67C0C">
      <w:pPr>
        <w:pStyle w:val="ListBullet"/>
      </w:pPr>
      <w:r w:rsidRPr="008E5262">
        <w:t>Patients with treatment withdrawn due to AE comparable (5.5%</w:t>
      </w:r>
      <w:r w:rsidR="00EA30FD" w:rsidRPr="008E5262">
        <w:t xml:space="preserve"> versus </w:t>
      </w:r>
      <w:r w:rsidRPr="008E5262">
        <w:t>6.3%</w:t>
      </w:r>
      <w:r w:rsidR="00B66306">
        <w:t>, overall population</w:t>
      </w:r>
      <w:r w:rsidRPr="008E5262">
        <w:t>) (5.2%</w:t>
      </w:r>
      <w:r w:rsidR="00EA30FD" w:rsidRPr="008E5262">
        <w:t xml:space="preserve"> versus </w:t>
      </w:r>
      <w:r w:rsidRPr="008E5262">
        <w:t>5.0%</w:t>
      </w:r>
      <w:r w:rsidR="00B66306">
        <w:t>, FL population</w:t>
      </w:r>
      <w:r w:rsidRPr="008E5262">
        <w:t>)</w:t>
      </w:r>
    </w:p>
    <w:p w14:paraId="0B20C40B" w14:textId="04AAD20F" w:rsidR="0015280F" w:rsidRPr="008E5262" w:rsidRDefault="0015280F" w:rsidP="00F67C0C">
      <w:pPr>
        <w:pStyle w:val="ListBullet"/>
      </w:pPr>
      <w:r w:rsidRPr="008E5262">
        <w:t>Prolonged neutro</w:t>
      </w:r>
      <w:r w:rsidR="00EA30FD" w:rsidRPr="008E5262">
        <w:t>penia</w:t>
      </w:r>
      <w:r w:rsidRPr="008E5262">
        <w:t xml:space="preserve"> occurred in 0.8% (0.6%) of patients in the R-chemo arm and 0.9% (0.9%) of patients in the G-chemo arm (based on laboratory </w:t>
      </w:r>
      <w:r w:rsidR="008E5262">
        <w:t>absolute neutrophil count (</w:t>
      </w:r>
      <w:r w:rsidRPr="008E5262">
        <w:t>ANC</w:t>
      </w:r>
      <w:r w:rsidR="008E5262">
        <w:t>)</w:t>
      </w:r>
      <w:r w:rsidRPr="008E5262">
        <w:t xml:space="preserve"> assessment).</w:t>
      </w:r>
    </w:p>
    <w:p w14:paraId="030D9EDC" w14:textId="284943BF" w:rsidR="0015280F" w:rsidRPr="008E5262" w:rsidRDefault="0015280F" w:rsidP="00F67C0C">
      <w:pPr>
        <w:pStyle w:val="ListBullet"/>
      </w:pPr>
      <w:r w:rsidRPr="008E5262">
        <w:t>Late onset neutro</w:t>
      </w:r>
      <w:r w:rsidR="00EA30FD" w:rsidRPr="008E5262">
        <w:t>penia</w:t>
      </w:r>
      <w:r w:rsidRPr="008E5262">
        <w:t xml:space="preserve"> occurred in 4.1% (4.1%) of patients in the R-chemo arm and 3.9% (3.8%) of patients in the G-chemo arm (based on laboratory ANC assessment).</w:t>
      </w:r>
    </w:p>
    <w:p w14:paraId="5B262363" w14:textId="306626F5" w:rsidR="0015280F" w:rsidRPr="009A2EA1" w:rsidRDefault="00B66306" w:rsidP="0015280F">
      <w:r>
        <w:t>Infections (FL):</w:t>
      </w:r>
    </w:p>
    <w:p w14:paraId="612868C0" w14:textId="1DB8B601" w:rsidR="0015280F" w:rsidRPr="009A2EA1" w:rsidRDefault="00B66306" w:rsidP="00B66306">
      <w:pPr>
        <w:pStyle w:val="ListBullet"/>
      </w:pPr>
      <w:r w:rsidRPr="009A2EA1">
        <w:t xml:space="preserve">Serious infections had higher rates in the G-chemo arm </w:t>
      </w:r>
      <w:r>
        <w:t xml:space="preserve">as compared to R-chemo arm </w:t>
      </w:r>
      <w:r w:rsidRPr="009A2EA1">
        <w:t>for the FL population</w:t>
      </w:r>
      <w:r>
        <w:t xml:space="preserve">s </w:t>
      </w:r>
      <w:r w:rsidR="008E5262">
        <w:t>S</w:t>
      </w:r>
      <w:r w:rsidR="0015280F" w:rsidRPr="009A2EA1">
        <w:t>AEs more frequent in G-chemo arm (15.0%</w:t>
      </w:r>
      <w:r w:rsidR="00EA30FD" w:rsidRPr="009A2EA1">
        <w:t xml:space="preserve"> versus </w:t>
      </w:r>
      <w:r w:rsidR="0015280F" w:rsidRPr="009A2EA1">
        <w:t>20.8%) (14.4%</w:t>
      </w:r>
      <w:r w:rsidR="00EA30FD" w:rsidRPr="009A2EA1">
        <w:t xml:space="preserve"> versus </w:t>
      </w:r>
      <w:r w:rsidR="0015280F" w:rsidRPr="009A2EA1">
        <w:t>18.2%)</w:t>
      </w:r>
    </w:p>
    <w:p w14:paraId="66477B25" w14:textId="75031F37" w:rsidR="0015280F" w:rsidRPr="009A2EA1" w:rsidRDefault="0015280F" w:rsidP="00F67C0C">
      <w:pPr>
        <w:pStyle w:val="ListBullet"/>
      </w:pPr>
      <w:r w:rsidRPr="009A2EA1">
        <w:t>Patients with treatment withdrawn due to AE comparable (4.6%</w:t>
      </w:r>
      <w:r w:rsidR="00EA30FD" w:rsidRPr="009A2EA1">
        <w:t xml:space="preserve"> versus </w:t>
      </w:r>
      <w:r w:rsidRPr="009A2EA1">
        <w:t>6.6%) (4.5%</w:t>
      </w:r>
      <w:r w:rsidR="00EA30FD" w:rsidRPr="009A2EA1">
        <w:t xml:space="preserve"> versus </w:t>
      </w:r>
      <w:r w:rsidRPr="009A2EA1">
        <w:t>6.1%)</w:t>
      </w:r>
    </w:p>
    <w:p w14:paraId="5F4C1BC6" w14:textId="1A23EBBC" w:rsidR="0015280F" w:rsidRPr="009A2EA1" w:rsidRDefault="0015280F" w:rsidP="00F67C0C">
      <w:pPr>
        <w:pStyle w:val="ListBullet"/>
      </w:pPr>
      <w:r w:rsidRPr="009A2EA1">
        <w:lastRenderedPageBreak/>
        <w:t>No cases of progressive multifocal leukoencephalopathy were reported in either treatment arm.</w:t>
      </w:r>
    </w:p>
    <w:p w14:paraId="05D252E6" w14:textId="6DA7175F" w:rsidR="0015280F" w:rsidRPr="009A2EA1" w:rsidRDefault="0015280F" w:rsidP="00F67C0C">
      <w:pPr>
        <w:pStyle w:val="ListBullet"/>
      </w:pPr>
      <w:r w:rsidRPr="009A2EA1">
        <w:t>Opportunistic infections in the FL safety population (</w:t>
      </w:r>
      <w:r w:rsidR="008E5262">
        <w:t>sponsor’s</w:t>
      </w:r>
      <w:r w:rsidRPr="009A2EA1">
        <w:t xml:space="preserve"> standard </w:t>
      </w:r>
      <w:r w:rsidR="008E5262">
        <w:t>adverse event group term (</w:t>
      </w:r>
      <w:r w:rsidRPr="009A2EA1">
        <w:t>AEGT</w:t>
      </w:r>
      <w:r w:rsidR="008E5262">
        <w:t>) Opportunistic infections):</w:t>
      </w:r>
    </w:p>
    <w:p w14:paraId="239EF7AF" w14:textId="77777777" w:rsidR="00F20ACE" w:rsidRDefault="0015280F" w:rsidP="00F67C0C">
      <w:pPr>
        <w:pStyle w:val="ListBullet2"/>
      </w:pPr>
      <w:r w:rsidRPr="009A2EA1">
        <w:t>3 patients in the R-chemo arm</w:t>
      </w:r>
    </w:p>
    <w:p w14:paraId="609C5D94" w14:textId="77777777" w:rsidR="00F20ACE" w:rsidRDefault="0015280F" w:rsidP="00F67C0C">
      <w:pPr>
        <w:pStyle w:val="ListBullet2"/>
      </w:pPr>
      <w:r w:rsidRPr="009A2EA1">
        <w:t>9 patients in the G-chemo arm</w:t>
      </w:r>
    </w:p>
    <w:p w14:paraId="0D6DF662" w14:textId="2490C32D" w:rsidR="0015280F" w:rsidRPr="009A2EA1" w:rsidRDefault="0015280F" w:rsidP="0015280F">
      <w:r w:rsidRPr="009A2EA1">
        <w:t xml:space="preserve">No Grade 4 or 5 opportunistic infections AEs were reported. One of the </w:t>
      </w:r>
      <w:r w:rsidR="008E5262">
        <w:t>3</w:t>
      </w:r>
      <w:r w:rsidRPr="009A2EA1">
        <w:t xml:space="preserve"> AEs in the R</w:t>
      </w:r>
      <w:r w:rsidR="007E6C72">
        <w:noBreakHyphen/>
      </w:r>
      <w:r w:rsidRPr="009A2EA1">
        <w:t xml:space="preserve">chemo arm, and </w:t>
      </w:r>
      <w:r w:rsidR="008E5262">
        <w:t>6</w:t>
      </w:r>
      <w:r w:rsidRPr="009A2EA1">
        <w:t xml:space="preserve"> of the 12 AEs in the</w:t>
      </w:r>
      <w:r w:rsidR="008E5262">
        <w:t xml:space="preserve"> G-chemo arm were Grade 3 AEs.</w:t>
      </w:r>
    </w:p>
    <w:p w14:paraId="4E91BE4E" w14:textId="09F790B7" w:rsidR="0015280F" w:rsidRPr="009A2EA1" w:rsidRDefault="0015280F" w:rsidP="0015280F">
      <w:r w:rsidRPr="009A2EA1">
        <w:t xml:space="preserve">Tumour lysis syndrome </w:t>
      </w:r>
      <w:r w:rsidR="008E5262">
        <w:t xml:space="preserve">(TLS) </w:t>
      </w:r>
      <w:r w:rsidRPr="009A2EA1">
        <w:t>events for the FL population were broadly comparable:</w:t>
      </w:r>
    </w:p>
    <w:p w14:paraId="483E92B9" w14:textId="5697B863" w:rsidR="0015280F" w:rsidRPr="009A2EA1" w:rsidRDefault="0015280F" w:rsidP="008E5262">
      <w:pPr>
        <w:pStyle w:val="ListBullet"/>
      </w:pPr>
      <w:r w:rsidRPr="009A2EA1">
        <w:t>Percentages shown for R</w:t>
      </w:r>
      <w:r w:rsidR="00F67C0C" w:rsidRPr="009A2EA1">
        <w:t>-chemo followed by G-chemo arm:</w:t>
      </w:r>
    </w:p>
    <w:p w14:paraId="238F9BA0" w14:textId="0DFA7BBE" w:rsidR="0015280F" w:rsidRPr="008E5262" w:rsidRDefault="0015280F" w:rsidP="008E5262">
      <w:pPr>
        <w:pStyle w:val="ListBullet2"/>
      </w:pPr>
      <w:r w:rsidRPr="008E5262">
        <w:t>Incidence of TLS AEs comparable (0.4%</w:t>
      </w:r>
      <w:r w:rsidR="00EA30FD" w:rsidRPr="008E5262">
        <w:t xml:space="preserve"> versus </w:t>
      </w:r>
      <w:r w:rsidRPr="008E5262">
        <w:t>0.9%) (0.5%</w:t>
      </w:r>
      <w:r w:rsidR="00EA30FD" w:rsidRPr="008E5262">
        <w:t xml:space="preserve"> versus </w:t>
      </w:r>
      <w:r w:rsidRPr="008E5262">
        <w:t>1.0%)</w:t>
      </w:r>
    </w:p>
    <w:p w14:paraId="5752097D" w14:textId="77777777" w:rsidR="0015280F" w:rsidRPr="008E5262" w:rsidRDefault="0015280F" w:rsidP="008E5262">
      <w:pPr>
        <w:pStyle w:val="ListBullet2"/>
      </w:pPr>
      <w:r w:rsidRPr="008E5262">
        <w:t>All classed as Grade 3 or 4</w:t>
      </w:r>
    </w:p>
    <w:p w14:paraId="0142DB61" w14:textId="33ACB698" w:rsidR="0015280F" w:rsidRPr="008E5262" w:rsidRDefault="008E5262" w:rsidP="008E5262">
      <w:pPr>
        <w:pStyle w:val="ListBullet2"/>
      </w:pPr>
      <w:r>
        <w:t>No fatal TLS AEs</w:t>
      </w:r>
    </w:p>
    <w:p w14:paraId="7CE6B8FB" w14:textId="69EB1630" w:rsidR="0015280F" w:rsidRPr="008E5262" w:rsidRDefault="0015280F" w:rsidP="008E5262">
      <w:pPr>
        <w:pStyle w:val="ListBullet2"/>
      </w:pPr>
      <w:r w:rsidRPr="008E5262">
        <w:t>Serious TLS 0.1%</w:t>
      </w:r>
      <w:r w:rsidR="00EA30FD" w:rsidRPr="008E5262">
        <w:t xml:space="preserve"> versus </w:t>
      </w:r>
      <w:r w:rsidRPr="008E5262">
        <w:t>0.4% (0.2%</w:t>
      </w:r>
      <w:r w:rsidR="00EA30FD" w:rsidRPr="008E5262">
        <w:t xml:space="preserve"> versus </w:t>
      </w:r>
      <w:r w:rsidRPr="008E5262">
        <w:t>0.5%)</w:t>
      </w:r>
    </w:p>
    <w:p w14:paraId="2B363D6F" w14:textId="441884C2" w:rsidR="0015280F" w:rsidRPr="008E5262" w:rsidRDefault="0015280F" w:rsidP="008E5262">
      <w:pPr>
        <w:pStyle w:val="ListBullet2"/>
      </w:pPr>
      <w:r w:rsidRPr="008E5262">
        <w:t>No TLS AEs led to treatment withdrawal</w:t>
      </w:r>
    </w:p>
    <w:p w14:paraId="320DDA0A" w14:textId="1C4EC6A6" w:rsidR="0015280F" w:rsidRPr="009A2EA1" w:rsidRDefault="0015280F" w:rsidP="0015280F">
      <w:r w:rsidRPr="009A2EA1">
        <w:t xml:space="preserve">Lastly, for hepatitis B reactivation, </w:t>
      </w:r>
      <w:r w:rsidR="0051089C">
        <w:t>7</w:t>
      </w:r>
      <w:r w:rsidRPr="009A2EA1">
        <w:t xml:space="preserve"> of 53 </w:t>
      </w:r>
      <w:r w:rsidR="0051089C">
        <w:t>hepatitis B core antibody positive (HepB core Ab+)</w:t>
      </w:r>
      <w:r w:rsidRPr="009A2EA1">
        <w:t xml:space="preserve"> patients (13.2%) in the R-chemo arm and </w:t>
      </w:r>
      <w:r w:rsidR="0051089C">
        <w:t>5</w:t>
      </w:r>
      <w:r w:rsidRPr="009A2EA1">
        <w:t xml:space="preserve"> of 29 HepB core Ab</w:t>
      </w:r>
      <w:r w:rsidRPr="0051089C">
        <w:t>+</w:t>
      </w:r>
      <w:r w:rsidRPr="009A2EA1">
        <w:t xml:space="preserve"> patients (17.2%) in the G-chemo arm had reactivation according to the study definition. </w:t>
      </w:r>
      <w:r w:rsidR="0051089C">
        <w:t>Hepatitis B virus (</w:t>
      </w:r>
      <w:r w:rsidRPr="009A2EA1">
        <w:t>HBV</w:t>
      </w:r>
      <w:r w:rsidR="0051089C">
        <w:t>)</w:t>
      </w:r>
      <w:r w:rsidRPr="009A2EA1">
        <w:t xml:space="preserve"> DNA ≥</w:t>
      </w:r>
      <w:r w:rsidR="0051089C">
        <w:t> </w:t>
      </w:r>
      <w:r w:rsidRPr="009A2EA1">
        <w:t>100</w:t>
      </w:r>
      <w:r w:rsidR="0051089C">
        <w:t> IU/mL</w:t>
      </w:r>
      <w:r w:rsidRPr="009A2EA1">
        <w:t xml:space="preserve"> occurred in </w:t>
      </w:r>
      <w:r w:rsidR="0051089C">
        <w:t>3</w:t>
      </w:r>
      <w:r w:rsidRPr="009A2EA1">
        <w:t xml:space="preserve"> patients in each arm. </w:t>
      </w:r>
      <w:r w:rsidR="0051089C">
        <w:t>5</w:t>
      </w:r>
      <w:r w:rsidRPr="009A2EA1">
        <w:t xml:space="preserve"> AEs of HBV reactivation were reported: </w:t>
      </w:r>
      <w:r w:rsidR="0051089C">
        <w:t xml:space="preserve">2 </w:t>
      </w:r>
      <w:r w:rsidRPr="009A2EA1">
        <w:t>in the R-chemo arm</w:t>
      </w:r>
      <w:r w:rsidR="00F67C0C" w:rsidRPr="009A2EA1">
        <w:t xml:space="preserve"> and </w:t>
      </w:r>
      <w:r w:rsidR="0051089C">
        <w:t>3</w:t>
      </w:r>
      <w:r w:rsidR="00F67C0C" w:rsidRPr="009A2EA1">
        <w:t xml:space="preserve"> in the G-chemo arm.</w:t>
      </w:r>
    </w:p>
    <w:p w14:paraId="3C71BD3C" w14:textId="73E2588C" w:rsidR="0015280F" w:rsidRPr="009A2EA1" w:rsidRDefault="0015280F" w:rsidP="0015280F">
      <w:r w:rsidRPr="009A2EA1">
        <w:t>Finally, of particular mention given the IDMC’s comments at the cessation of efficacy evaluation, there was a greater incidence of secondary malignancies in the G-chemo arm:</w:t>
      </w:r>
    </w:p>
    <w:p w14:paraId="727578D7" w14:textId="0D066319" w:rsidR="0015280F" w:rsidRPr="0051089C" w:rsidRDefault="0015280F" w:rsidP="00F67C0C">
      <w:pPr>
        <w:pStyle w:val="ListBullet"/>
      </w:pPr>
      <w:r w:rsidRPr="009A2EA1">
        <w:t>Greater incidence of SOC (System Organ Class) defined second malignancies in G-chemo arm (7.5%</w:t>
      </w:r>
      <w:r w:rsidR="00EA30FD" w:rsidRPr="009A2EA1">
        <w:t xml:space="preserve"> versus </w:t>
      </w:r>
      <w:r w:rsidRPr="009A2EA1">
        <w:t xml:space="preserve">10.3%) </w:t>
      </w:r>
      <w:r w:rsidRPr="0051089C">
        <w:t xml:space="preserve">(42/597 </w:t>
      </w:r>
      <w:r w:rsidR="00EA30FD" w:rsidRPr="0051089C">
        <w:t>(</w:t>
      </w:r>
      <w:r w:rsidRPr="0051089C">
        <w:t>7.0%</w:t>
      </w:r>
      <w:r w:rsidR="00EA30FD" w:rsidRPr="0051089C">
        <w:t xml:space="preserve">) versus </w:t>
      </w:r>
      <w:r w:rsidRPr="0051089C">
        <w:t xml:space="preserve">62/595 </w:t>
      </w:r>
      <w:r w:rsidR="00EA30FD" w:rsidRPr="0051089C">
        <w:t>(</w:t>
      </w:r>
      <w:r w:rsidRPr="0051089C">
        <w:t>10.4%</w:t>
      </w:r>
      <w:r w:rsidR="00EA30FD" w:rsidRPr="0051089C">
        <w:t>)</w:t>
      </w:r>
      <w:r w:rsidRPr="0051089C">
        <w:t>)</w:t>
      </w:r>
    </w:p>
    <w:p w14:paraId="1FA9CC57" w14:textId="5983D96A" w:rsidR="0015280F" w:rsidRPr="009A2EA1" w:rsidRDefault="0051089C" w:rsidP="00F67C0C">
      <w:pPr>
        <w:pStyle w:val="ListBullet"/>
      </w:pPr>
      <w:r>
        <w:t xml:space="preserve">SMQ (Standardised MedDRA Query) </w:t>
      </w:r>
      <w:r w:rsidR="0015280F" w:rsidRPr="009A2EA1">
        <w:t>defined second malignancies were also more frequent in the G-chemo arm (5.5%</w:t>
      </w:r>
      <w:r w:rsidR="00EA30FD" w:rsidRPr="009A2EA1">
        <w:t xml:space="preserve"> versus</w:t>
      </w:r>
      <w:r w:rsidR="0015280F" w:rsidRPr="009A2EA1">
        <w:t xml:space="preserve"> 7.2</w:t>
      </w:r>
      <w:r w:rsidR="0015280F" w:rsidRPr="0051089C">
        <w:t>%) (5.0%</w:t>
      </w:r>
      <w:r w:rsidR="00EA30FD" w:rsidRPr="0051089C">
        <w:t xml:space="preserve"> versus </w:t>
      </w:r>
      <w:r w:rsidR="0015280F" w:rsidRPr="0051089C">
        <w:t>7.2%)</w:t>
      </w:r>
    </w:p>
    <w:p w14:paraId="32193E2E" w14:textId="56AC16AE" w:rsidR="0015280F" w:rsidRPr="009A2EA1" w:rsidRDefault="0015280F" w:rsidP="0015280F">
      <w:r w:rsidRPr="009A2EA1">
        <w:t xml:space="preserve">There were 11 fatal second malignancies reported; </w:t>
      </w:r>
      <w:r w:rsidR="006F6B0A">
        <w:t>5</w:t>
      </w:r>
      <w:r w:rsidRPr="009A2EA1">
        <w:t xml:space="preserve"> in the R-chemo arm (neuroendocrine carcinoma of the skin, gastric cancer, colon cancer, malignant melanoma, and lung adenocarcinoma), and </w:t>
      </w:r>
      <w:r w:rsidR="006F6B0A">
        <w:t>6</w:t>
      </w:r>
      <w:r w:rsidRPr="009A2EA1">
        <w:t xml:space="preserve"> in the G-chemo arm (non-small cell lung cancer </w:t>
      </w:r>
      <w:r w:rsidR="00EA30FD" w:rsidRPr="009A2EA1">
        <w:t>(</w:t>
      </w:r>
      <w:r w:rsidR="00835C0A">
        <w:t>2</w:t>
      </w:r>
      <w:r w:rsidR="00835C0A" w:rsidRPr="009A2EA1">
        <w:t xml:space="preserve"> </w:t>
      </w:r>
      <w:r w:rsidRPr="009A2EA1">
        <w:t>AEs</w:t>
      </w:r>
      <w:r w:rsidR="00EA30FD" w:rsidRPr="009A2EA1">
        <w:t>)</w:t>
      </w:r>
      <w:r w:rsidRPr="009A2EA1">
        <w:t>, hepatic neoplasm, prostate cancer, myelodysplastic syndrome, an</w:t>
      </w:r>
      <w:r w:rsidR="00F67C0C" w:rsidRPr="009A2EA1">
        <w:t>d acute lymphocytic leukaemia).</w:t>
      </w:r>
    </w:p>
    <w:p w14:paraId="3FB18F9B" w14:textId="3D076746" w:rsidR="0015280F" w:rsidRPr="009A2EA1" w:rsidRDefault="0015280F" w:rsidP="007B6132">
      <w:r w:rsidRPr="009A2EA1">
        <w:t xml:space="preserve">It is clear from these and other data in the </w:t>
      </w:r>
      <w:r w:rsidR="006F6B0A">
        <w:t>clinical evaluation report</w:t>
      </w:r>
      <w:r w:rsidRPr="009A2EA1">
        <w:t xml:space="preserve"> that the safety profile of obinutuzumab is, on balance, worse than that of rituximab. Rates of </w:t>
      </w:r>
      <w:r w:rsidR="006F6B0A">
        <w:t>AE</w:t>
      </w:r>
      <w:r w:rsidRPr="009A2EA1">
        <w:t xml:space="preserve"> in every general category (</w:t>
      </w:r>
      <w:r w:rsidR="006F6B0A">
        <w:t>see Table 1</w:t>
      </w:r>
      <w:r w:rsidR="003F5883">
        <w:t>2</w:t>
      </w:r>
      <w:r w:rsidR="006F6B0A">
        <w:t>, above</w:t>
      </w:r>
      <w:r w:rsidRPr="009A2EA1">
        <w:t>) suggest a more toxic profile. Of those AEs of particular interest, the data are either equivocal or favour rituximab. While secondary malignancies don’t differ in terms of substantial percentages, the absolute numbers, as defined by SOC, are 42</w:t>
      </w:r>
      <w:r w:rsidR="00EA30FD" w:rsidRPr="009A2EA1">
        <w:t xml:space="preserve"> versus </w:t>
      </w:r>
      <w:r w:rsidRPr="009A2EA1">
        <w:t>62 for R-chemo and G-chemo, respectively.</w:t>
      </w:r>
    </w:p>
    <w:p w14:paraId="53AF4606" w14:textId="77777777" w:rsidR="008E7846" w:rsidRPr="009A2EA1" w:rsidRDefault="00386150" w:rsidP="007B6132">
      <w:pPr>
        <w:pStyle w:val="Heading3"/>
        <w:rPr>
          <w:lang w:eastAsia="en-AU"/>
        </w:rPr>
      </w:pPr>
      <w:bookmarkStart w:id="101" w:name="_Toc513552864"/>
      <w:r w:rsidRPr="009A2EA1">
        <w:rPr>
          <w:lang w:eastAsia="en-AU"/>
        </w:rPr>
        <w:t>Risk m</w:t>
      </w:r>
      <w:r w:rsidR="008E7846" w:rsidRPr="009A2EA1">
        <w:rPr>
          <w:lang w:eastAsia="en-AU"/>
        </w:rPr>
        <w:t xml:space="preserve">anagement </w:t>
      </w:r>
      <w:r w:rsidRPr="009A2EA1">
        <w:rPr>
          <w:lang w:eastAsia="en-AU"/>
        </w:rPr>
        <w:t>p</w:t>
      </w:r>
      <w:r w:rsidR="008E7846" w:rsidRPr="009A2EA1">
        <w:rPr>
          <w:lang w:eastAsia="en-AU"/>
        </w:rPr>
        <w:t>lan</w:t>
      </w:r>
      <w:bookmarkEnd w:id="100"/>
      <w:bookmarkEnd w:id="101"/>
    </w:p>
    <w:p w14:paraId="22BD103F" w14:textId="5BAF173B" w:rsidR="00F67C0C" w:rsidRPr="009A2EA1" w:rsidRDefault="00F67C0C" w:rsidP="00F67C0C">
      <w:r w:rsidRPr="009A2EA1">
        <w:t xml:space="preserve">There are no outstanding issues for the proposed risk management plan. The sponsor proposed the </w:t>
      </w:r>
      <w:r w:rsidRPr="006F6B0A">
        <w:t>following additional pharmacovigilance</w:t>
      </w:r>
      <w:r w:rsidRPr="009A2EA1">
        <w:t xml:space="preserve"> activities in addition to the plan already in place for the currently approved indication:</w:t>
      </w:r>
    </w:p>
    <w:p w14:paraId="4A2513FB" w14:textId="77777777" w:rsidR="00F67C0C" w:rsidRPr="009A2EA1" w:rsidRDefault="00F67C0C" w:rsidP="006F6B0A">
      <w:pPr>
        <w:pStyle w:val="ListBullet"/>
      </w:pPr>
      <w:r w:rsidRPr="009A2EA1">
        <w:t>Additional pharmacovigilance activities (ongoing clinical trials) have been proposed for the following safety concerns:</w:t>
      </w:r>
    </w:p>
    <w:p w14:paraId="58EB1541" w14:textId="77777777" w:rsidR="00F20ACE" w:rsidRDefault="00F67C0C" w:rsidP="006F6B0A">
      <w:pPr>
        <w:pStyle w:val="ListBullet2"/>
      </w:pPr>
      <w:r w:rsidRPr="009A2EA1">
        <w:t>Infusion-related reactions;</w:t>
      </w:r>
    </w:p>
    <w:p w14:paraId="3FB6A0C1" w14:textId="69BED480" w:rsidR="00F67C0C" w:rsidRPr="009A2EA1" w:rsidRDefault="00F67C0C" w:rsidP="006F6B0A">
      <w:pPr>
        <w:pStyle w:val="ListBullet2"/>
      </w:pPr>
      <w:proofErr w:type="spellStart"/>
      <w:r w:rsidRPr="009A2EA1">
        <w:lastRenderedPageBreak/>
        <w:t>Thrombocytop</w:t>
      </w:r>
      <w:r w:rsidR="00835C0A">
        <w:t>a</w:t>
      </w:r>
      <w:r w:rsidRPr="009A2EA1">
        <w:t>enia</w:t>
      </w:r>
      <w:proofErr w:type="spellEnd"/>
      <w:r w:rsidRPr="009A2EA1">
        <w:t>;</w:t>
      </w:r>
    </w:p>
    <w:p w14:paraId="5C41DEFC" w14:textId="7C1BD2B8" w:rsidR="00F67C0C" w:rsidRPr="009A2EA1" w:rsidRDefault="00F67C0C" w:rsidP="006F6B0A">
      <w:pPr>
        <w:pStyle w:val="ListBullet2"/>
      </w:pPr>
      <w:r w:rsidRPr="009A2EA1">
        <w:t>Late onset and prolonged neutro</w:t>
      </w:r>
      <w:r w:rsidR="00EA30FD" w:rsidRPr="009A2EA1">
        <w:t>paenia</w:t>
      </w:r>
      <w:r w:rsidRPr="009A2EA1">
        <w:t>;</w:t>
      </w:r>
    </w:p>
    <w:p w14:paraId="5921B12C" w14:textId="77777777" w:rsidR="00F20ACE" w:rsidRDefault="00F67C0C" w:rsidP="006F6B0A">
      <w:pPr>
        <w:pStyle w:val="ListBullet2"/>
      </w:pPr>
      <w:r w:rsidRPr="009A2EA1">
        <w:t xml:space="preserve">Prolonged </w:t>
      </w:r>
      <w:r w:rsidR="00EA30FD" w:rsidRPr="009A2EA1">
        <w:t>B cell</w:t>
      </w:r>
      <w:r w:rsidRPr="009A2EA1">
        <w:t xml:space="preserve"> depletion,</w:t>
      </w:r>
    </w:p>
    <w:p w14:paraId="31CEC59F" w14:textId="4D9B47E3" w:rsidR="00F67C0C" w:rsidRPr="009A2EA1" w:rsidRDefault="00F67C0C" w:rsidP="006F6B0A">
      <w:pPr>
        <w:pStyle w:val="ListBullet2"/>
      </w:pPr>
      <w:r w:rsidRPr="009A2EA1">
        <w:t>Immunogenicity;</w:t>
      </w:r>
    </w:p>
    <w:p w14:paraId="64803682" w14:textId="0A97F149" w:rsidR="00F67C0C" w:rsidRPr="009A2EA1" w:rsidRDefault="00A0746B" w:rsidP="006F6B0A">
      <w:pPr>
        <w:pStyle w:val="ListBullet2"/>
      </w:pPr>
      <w:r>
        <w:t xml:space="preserve">Immune </w:t>
      </w:r>
      <w:r w:rsidR="00F67C0C" w:rsidRPr="009A2EA1">
        <w:t>mediated glomerulonephritis</w:t>
      </w:r>
    </w:p>
    <w:p w14:paraId="25B7F996" w14:textId="77777777" w:rsidR="00F67C0C" w:rsidRPr="009A2EA1" w:rsidRDefault="00F67C0C" w:rsidP="00F67C0C">
      <w:r w:rsidRPr="009A2EA1">
        <w:t>There are no additional risk minimisation activities.</w:t>
      </w:r>
    </w:p>
    <w:p w14:paraId="1DEEB999" w14:textId="21E9BEAD" w:rsidR="00F67C0C" w:rsidRPr="009A2EA1" w:rsidRDefault="00F67C0C" w:rsidP="00F67C0C">
      <w:r w:rsidRPr="009A2EA1">
        <w:t xml:space="preserve">Table </w:t>
      </w:r>
      <w:r w:rsidR="003F5883">
        <w:t>6</w:t>
      </w:r>
      <w:r w:rsidRPr="009A2EA1">
        <w:t xml:space="preserve"> above, extracted from the second round RMP evaluation summarises the safety issues of concern.</w:t>
      </w:r>
    </w:p>
    <w:p w14:paraId="5D757918" w14:textId="21BBDBA7" w:rsidR="00F67C0C" w:rsidRPr="009A2EA1" w:rsidRDefault="00F67C0C" w:rsidP="008E7846">
      <w:r w:rsidRPr="009A2EA1">
        <w:t xml:space="preserve">One can note here that the issue of renal impairment as well as </w:t>
      </w:r>
      <w:r w:rsidR="00A0746B">
        <w:t>FL</w:t>
      </w:r>
      <w:r w:rsidRPr="009A2EA1">
        <w:t xml:space="preserve"> being more typified by an older population were raised separately by the clinical evaluator as cautionary elements to t</w:t>
      </w:r>
      <w:r w:rsidR="00A0746B">
        <w:t>he analysis of the outcomes of T</w:t>
      </w:r>
      <w:r w:rsidRPr="009A2EA1">
        <w:t>rial BO21223. In fact, the G-chemo arm had propo</w:t>
      </w:r>
      <w:r w:rsidR="00A0746B">
        <w:t xml:space="preserve">rtionally more patients from 60 to </w:t>
      </w:r>
      <w:r w:rsidRPr="009A2EA1">
        <w:t>69 years (34.3%</w:t>
      </w:r>
      <w:r w:rsidR="00EA30FD" w:rsidRPr="009A2EA1">
        <w:t xml:space="preserve"> versus </w:t>
      </w:r>
      <w:r w:rsidRPr="009A2EA1">
        <w:t xml:space="preserve">28.6%), but the mean age in the G-chemo arm </w:t>
      </w:r>
      <w:r w:rsidR="00A0746B">
        <w:t xml:space="preserve">was 59.0 years. </w:t>
      </w:r>
      <w:r w:rsidRPr="009A2EA1">
        <w:t xml:space="preserve">This </w:t>
      </w:r>
      <w:r w:rsidR="00EA30FD" w:rsidRPr="009A2EA1">
        <w:t>Delegate</w:t>
      </w:r>
      <w:r w:rsidRPr="009A2EA1">
        <w:t xml:space="preserve"> is satisfied a significant number of patients in both treatment arms were elderly.</w:t>
      </w:r>
    </w:p>
    <w:p w14:paraId="507ED47A" w14:textId="77777777" w:rsidR="008E7846" w:rsidRPr="009A2EA1" w:rsidRDefault="00AA0ED0" w:rsidP="008E7846">
      <w:pPr>
        <w:pStyle w:val="Heading3"/>
      </w:pPr>
      <w:bookmarkStart w:id="102" w:name="_Toc247691531"/>
      <w:bookmarkStart w:id="103" w:name="_Toc314842515"/>
      <w:bookmarkStart w:id="104" w:name="_Toc196046505"/>
      <w:bookmarkStart w:id="105" w:name="_Toc196046949"/>
      <w:bookmarkStart w:id="106" w:name="_Toc513552865"/>
      <w:r w:rsidRPr="009A2EA1">
        <w:t>Risk-benefit a</w:t>
      </w:r>
      <w:r w:rsidR="008E7846" w:rsidRPr="009A2EA1">
        <w:t>nalysis</w:t>
      </w:r>
      <w:bookmarkEnd w:id="102"/>
      <w:bookmarkEnd w:id="103"/>
      <w:bookmarkEnd w:id="106"/>
    </w:p>
    <w:p w14:paraId="2CAA2DBB" w14:textId="173515E2" w:rsidR="00D23139" w:rsidRPr="009A2EA1" w:rsidRDefault="00C37D4A" w:rsidP="00D23139">
      <w:pPr>
        <w:pStyle w:val="Heading4"/>
      </w:pPr>
      <w:r w:rsidRPr="009A2EA1">
        <w:t>Delegate’s considerations</w:t>
      </w:r>
    </w:p>
    <w:p w14:paraId="7CC17B65" w14:textId="7FB874C2" w:rsidR="00C37D4A" w:rsidRPr="009A2EA1" w:rsidRDefault="00C37D4A" w:rsidP="00C37D4A">
      <w:r w:rsidRPr="009A2EA1">
        <w:t>Study BO21223 shows a statistically significant s</w:t>
      </w:r>
      <w:r w:rsidR="00A0746B">
        <w:t xml:space="preserve">uperior result for obinutuzumab </w:t>
      </w:r>
      <w:r w:rsidRPr="009A2EA1">
        <w:t>chemo</w:t>
      </w:r>
      <w:r w:rsidR="00A0746B">
        <w:t xml:space="preserve"> compared to rituximab </w:t>
      </w:r>
      <w:r w:rsidRPr="009A2EA1">
        <w:t xml:space="preserve">chemo in terms of PFS in previously untreated patients with follicular lymphoma. </w:t>
      </w:r>
      <w:r w:rsidR="00A0746B">
        <w:t>OS</w:t>
      </w:r>
      <w:r w:rsidRPr="009A2EA1">
        <w:t xml:space="preserve"> was not statistically significantly different between treatment cohorts and this result is explained in part by the immaturity of the data and the early termination for efficacy recommen</w:t>
      </w:r>
      <w:r w:rsidR="00A0746B">
        <w:t>ded by the IDMC. This can be re</w:t>
      </w:r>
      <w:r w:rsidRPr="009A2EA1">
        <w:t>assessed as data mature.</w:t>
      </w:r>
    </w:p>
    <w:p w14:paraId="30B660C0" w14:textId="445730E7" w:rsidR="00C37D4A" w:rsidRPr="009A2EA1" w:rsidRDefault="00C37D4A" w:rsidP="00C37D4A">
      <w:r w:rsidRPr="009A2EA1">
        <w:t xml:space="preserve">The clinical evaluator notes that the study population with </w:t>
      </w:r>
      <w:r w:rsidR="00A0746B">
        <w:t>FL</w:t>
      </w:r>
      <w:r w:rsidRPr="009A2EA1">
        <w:t xml:space="preserve"> is not what they would typically consider as representing those patients with </w:t>
      </w:r>
      <w:r w:rsidR="00A0746B">
        <w:t>FL</w:t>
      </w:r>
      <w:r w:rsidRPr="009A2EA1">
        <w:t>, given they were s</w:t>
      </w:r>
      <w:r w:rsidR="00A0746B">
        <w:t xml:space="preserve">elected with an ECOG score of 0 to </w:t>
      </w:r>
      <w:r w:rsidRPr="009A2EA1">
        <w:t xml:space="preserve">1, mean age was </w:t>
      </w:r>
      <w:r w:rsidR="00B66306">
        <w:t>57.9</w:t>
      </w:r>
      <w:r w:rsidRPr="009A2EA1">
        <w:t xml:space="preserve"> years, and no patient with a </w:t>
      </w:r>
      <w:r w:rsidR="00A0746B">
        <w:t>CrCL</w:t>
      </w:r>
      <w:r w:rsidRPr="009A2EA1">
        <w:t xml:space="preserve"> below 40</w:t>
      </w:r>
      <w:r w:rsidR="00A0746B">
        <w:t> </w:t>
      </w:r>
      <w:r w:rsidRPr="009A2EA1">
        <w:t>mL/min was included. Patients often are over 65 and have multiple co-morbidities. This is something to consider when weighing up risk/benefit for this drug when considering use as first line therapy.</w:t>
      </w:r>
    </w:p>
    <w:p w14:paraId="2BB3EC9B" w14:textId="5BD1C7D9" w:rsidR="00C37D4A" w:rsidRPr="009A2EA1" w:rsidRDefault="00C37D4A" w:rsidP="00C37D4A">
      <w:r w:rsidRPr="009A2EA1">
        <w:t xml:space="preserve">It is clear in the opinion of this </w:t>
      </w:r>
      <w:r w:rsidR="00EA30FD" w:rsidRPr="009A2EA1">
        <w:t>Delegate</w:t>
      </w:r>
      <w:r w:rsidRPr="009A2EA1">
        <w:t xml:space="preserve"> that the safety data arising from </w:t>
      </w:r>
      <w:r w:rsidR="00EA30FD" w:rsidRPr="009A2EA1">
        <w:t>Study B</w:t>
      </w:r>
      <w:r w:rsidRPr="009A2EA1">
        <w:t>O21223 show a more toxic profile for obinutuzumab in comparison to rituximab when used first</w:t>
      </w:r>
      <w:r w:rsidR="000C6E75">
        <w:t> </w:t>
      </w:r>
      <w:r w:rsidRPr="009A2EA1">
        <w:t xml:space="preserve">line along with combination chemotherapy for the treatment of </w:t>
      </w:r>
      <w:r w:rsidR="00A0746B">
        <w:t>FL</w:t>
      </w:r>
      <w:r w:rsidRPr="009A2EA1">
        <w:t>. This may indeed be an issue for the treatment of elderly patients as the clinical evaluator asserts. In light of this more toxic profile, one can try and consider any other objectiv</w:t>
      </w:r>
      <w:r w:rsidR="00A0746B">
        <w:t>e data that indicate a positive risk-</w:t>
      </w:r>
      <w:r w:rsidRPr="009A2EA1">
        <w:t xml:space="preserve">benefit outcome. It is clear that, based upon the statistical analysis model devised for the trial, PFS in both the </w:t>
      </w:r>
      <w:r w:rsidR="00A0746B">
        <w:t>FL</w:t>
      </w:r>
      <w:r w:rsidRPr="009A2EA1">
        <w:t xml:space="preserve"> and overall study population showed a statistically significant difference with the use of obinutuzumab compared with rituximab. However, no other efficacy endpoints demonstrated statistical significance at data cut</w:t>
      </w:r>
      <w:r w:rsidR="00A0746B">
        <w:t xml:space="preserve"> </w:t>
      </w:r>
      <w:r w:rsidRPr="009A2EA1">
        <w:t xml:space="preserve">off. One can say that there is a potential trend based upon </w:t>
      </w:r>
      <w:r w:rsidR="00B63F4E">
        <w:t>HRs</w:t>
      </w:r>
      <w:r w:rsidRPr="009A2EA1">
        <w:t xml:space="preserve"> that OS may prove to be prolonged when more data are available, but this</w:t>
      </w:r>
      <w:r w:rsidR="00A0746B">
        <w:t xml:space="preserve"> is speculation at this point. </w:t>
      </w:r>
      <w:r w:rsidRPr="009A2EA1">
        <w:t>There was certainly no particular difference between treatment groups noted for patient-centric outcome variables, accepting that both cohorts experienced a benefit in these over time.</w:t>
      </w:r>
    </w:p>
    <w:p w14:paraId="09364F8B" w14:textId="53BAD6F5" w:rsidR="00C37D4A" w:rsidRPr="009A2EA1" w:rsidRDefault="00C37D4A" w:rsidP="00C37D4A">
      <w:r w:rsidRPr="009A2EA1">
        <w:t>So</w:t>
      </w:r>
      <w:r w:rsidR="00A0746B">
        <w:t>,</w:t>
      </w:r>
      <w:r w:rsidRPr="009A2EA1">
        <w:t xml:space="preserve"> it would appear that we have a clear benefit in terms of PFS, weighed against a worse toxicity profile, all else being equal. The crude measure of study deaths provides a limited benefit to obinutuzumab in the view of this </w:t>
      </w:r>
      <w:r w:rsidR="00EA30FD" w:rsidRPr="009A2EA1">
        <w:t>Delegate</w:t>
      </w:r>
      <w:r w:rsidRPr="009A2EA1">
        <w:t>, as despite a more toxic safety profile, study deaths were greater in the rituximab cohort (46</w:t>
      </w:r>
      <w:r w:rsidR="00EA30FD" w:rsidRPr="009A2EA1">
        <w:t xml:space="preserve"> versus </w:t>
      </w:r>
      <w:r w:rsidRPr="009A2EA1">
        <w:t xml:space="preserve">35 in </w:t>
      </w:r>
      <w:r w:rsidR="00A0746B">
        <w:t>FL</w:t>
      </w:r>
      <w:r w:rsidRPr="009A2EA1">
        <w:t xml:space="preserve"> study population, 63</w:t>
      </w:r>
      <w:r w:rsidR="00EA30FD" w:rsidRPr="009A2EA1">
        <w:t xml:space="preserve"> versus </w:t>
      </w:r>
      <w:r w:rsidRPr="009A2EA1">
        <w:t xml:space="preserve">50 in overall study population). Morbidity is more difficult to compare, and </w:t>
      </w:r>
      <w:r w:rsidRPr="009A2EA1">
        <w:lastRenderedPageBreak/>
        <w:t>certainly rates of SAEs, Gra</w:t>
      </w:r>
      <w:r w:rsidR="00A0746B">
        <w:t xml:space="preserve">de 3 to </w:t>
      </w:r>
      <w:r w:rsidRPr="009A2EA1">
        <w:t>5 AEs and AEs leading to withdrawal from treatment all favoured rituximab. In spite of all this, patients seem to have comparable views about their own status, and PFS is extended in the</w:t>
      </w:r>
      <w:r w:rsidR="00A0746B">
        <w:t xml:space="preserve"> obinutuzumab treatment cohort.</w:t>
      </w:r>
    </w:p>
    <w:p w14:paraId="704EB9A6" w14:textId="62D92D8A" w:rsidR="00C37D4A" w:rsidRPr="009A2EA1" w:rsidRDefault="00C37D4A" w:rsidP="00C37D4A">
      <w:r w:rsidRPr="009A2EA1">
        <w:t xml:space="preserve">In summary, this </w:t>
      </w:r>
      <w:r w:rsidR="00EA30FD" w:rsidRPr="009A2EA1">
        <w:t>Delegate</w:t>
      </w:r>
      <w:r w:rsidRPr="009A2EA1">
        <w:t xml:space="preserve"> is minded to allow the use of this drug as first</w:t>
      </w:r>
      <w:r w:rsidR="00EA30FD" w:rsidRPr="009A2EA1">
        <w:t xml:space="preserve"> line</w:t>
      </w:r>
      <w:r w:rsidRPr="009A2EA1">
        <w:t xml:space="preserve"> therapy for follicular lymphoma, but before making such a decision would be grateful for the views of the committee on the points listed in the request for </w:t>
      </w:r>
      <w:r w:rsidR="00A0746B">
        <w:t>Advisory Committee on Medicines (</w:t>
      </w:r>
      <w:r w:rsidRPr="009A2EA1">
        <w:t>ACM</w:t>
      </w:r>
      <w:r w:rsidR="00A0746B">
        <w:t>)</w:t>
      </w:r>
      <w:r w:rsidRPr="009A2EA1">
        <w:t xml:space="preserve"> advice, shown below.</w:t>
      </w:r>
    </w:p>
    <w:p w14:paraId="17A91782" w14:textId="77777777" w:rsidR="00D23139" w:rsidRPr="009A2EA1" w:rsidRDefault="00D23139" w:rsidP="00D23139">
      <w:pPr>
        <w:pStyle w:val="Heading4"/>
      </w:pPr>
      <w:r w:rsidRPr="009A2EA1">
        <w:t>Proposed action</w:t>
      </w:r>
    </w:p>
    <w:p w14:paraId="60F0CE5E" w14:textId="77777777" w:rsidR="00F20ACE" w:rsidRDefault="00C37D4A" w:rsidP="00C37D4A">
      <w:pPr>
        <w:rPr>
          <w:bCs/>
        </w:rPr>
      </w:pPr>
      <w:r w:rsidRPr="009A2EA1">
        <w:rPr>
          <w:bCs/>
        </w:rPr>
        <w:t>The Delegate had no reason to say, at this time, that the application for (the product) should not be approved for registration</w:t>
      </w:r>
      <w:r w:rsidR="00F20ACE">
        <w:rPr>
          <w:bCs/>
        </w:rPr>
        <w:t>.</w:t>
      </w:r>
    </w:p>
    <w:p w14:paraId="4CF78F06" w14:textId="48A79AF7" w:rsidR="00D23139" w:rsidRPr="009A2EA1" w:rsidRDefault="00A0746B" w:rsidP="00D23139">
      <w:pPr>
        <w:pStyle w:val="Heading4"/>
      </w:pPr>
      <w:r>
        <w:t>Request for AC</w:t>
      </w:r>
      <w:r w:rsidR="00D23139" w:rsidRPr="009A2EA1">
        <w:t>M advice</w:t>
      </w:r>
    </w:p>
    <w:p w14:paraId="75C1E27F" w14:textId="77777777" w:rsidR="00C37D4A" w:rsidRPr="009A2EA1" w:rsidRDefault="00C37D4A" w:rsidP="00C37D4A">
      <w:r w:rsidRPr="009A2EA1">
        <w:t>The committee is requested to provide advice on the following specific issues:</w:t>
      </w:r>
    </w:p>
    <w:p w14:paraId="6DD61737" w14:textId="285FAEFC" w:rsidR="00C37D4A" w:rsidRPr="009A2EA1" w:rsidRDefault="00C37D4A" w:rsidP="006D2F38">
      <w:pPr>
        <w:pStyle w:val="Numberbullet0"/>
        <w:numPr>
          <w:ilvl w:val="0"/>
          <w:numId w:val="7"/>
        </w:numPr>
      </w:pPr>
      <w:r w:rsidRPr="009A2EA1">
        <w:t xml:space="preserve">What is the opinion of the committee with respect to approving the indication for first line treatment of </w:t>
      </w:r>
      <w:r w:rsidR="00A0746B">
        <w:t>FL</w:t>
      </w:r>
      <w:r w:rsidRPr="009A2EA1">
        <w:t>, based principally on the demonstration of benefit to PFS?</w:t>
      </w:r>
    </w:p>
    <w:p w14:paraId="0BC52C69" w14:textId="2850DA6C" w:rsidR="00C37D4A" w:rsidRPr="009A2EA1" w:rsidRDefault="00C37D4A" w:rsidP="006D2F38">
      <w:pPr>
        <w:pStyle w:val="Numberbullet0"/>
        <w:numPr>
          <w:ilvl w:val="0"/>
          <w:numId w:val="7"/>
        </w:numPr>
      </w:pPr>
      <w:r w:rsidRPr="009A2EA1">
        <w:t>What is the opinion of the committee with regard to the safety profile demonstrated by this drug, bearing in mind an approval would obviously allow its use prior to any use and failure of a rituximab-based treatment? Is a positive risk-benefit made out for this potential treatment population by the data submitted in the opinion of the committee?</w:t>
      </w:r>
    </w:p>
    <w:p w14:paraId="264579EF" w14:textId="5C0C732D" w:rsidR="00C37D4A" w:rsidRPr="009A2EA1" w:rsidRDefault="00C37D4A" w:rsidP="006D2F38">
      <w:pPr>
        <w:pStyle w:val="Numberbullet0"/>
        <w:numPr>
          <w:ilvl w:val="0"/>
          <w:numId w:val="7"/>
        </w:numPr>
      </w:pPr>
      <w:r w:rsidRPr="009A2EA1">
        <w:t>What is the committee’s view on whether the submitted clinical trial adequately represents the first</w:t>
      </w:r>
      <w:r w:rsidR="00EA30FD" w:rsidRPr="009A2EA1">
        <w:t xml:space="preserve"> line</w:t>
      </w:r>
      <w:r w:rsidRPr="009A2EA1">
        <w:t xml:space="preserve"> treatment population of FL sufferers?</w:t>
      </w:r>
    </w:p>
    <w:p w14:paraId="68AAA67C" w14:textId="76954BC6" w:rsidR="00C37D4A" w:rsidRPr="009A2EA1" w:rsidRDefault="00C37D4A" w:rsidP="00C37D4A">
      <w:r w:rsidRPr="009A2EA1">
        <w:t>The committee is (also) requested to provide advice on any other issues that it thinks may be relevant to a decision on whether or not to approve this application.</w:t>
      </w:r>
    </w:p>
    <w:p w14:paraId="5036A6E1" w14:textId="09C4305A" w:rsidR="00D23139" w:rsidRPr="009A2EA1" w:rsidRDefault="00D92933" w:rsidP="00D23139">
      <w:pPr>
        <w:pStyle w:val="Heading4"/>
      </w:pPr>
      <w:r w:rsidRPr="009A2EA1">
        <w:t>Response from sponsor</w:t>
      </w:r>
    </w:p>
    <w:p w14:paraId="6F64C0EF" w14:textId="1D7837E0" w:rsidR="00D92933" w:rsidRPr="009A2EA1" w:rsidRDefault="00D92933" w:rsidP="00D92933">
      <w:r w:rsidRPr="009A2EA1">
        <w:t xml:space="preserve">Despite progress in the treatment of </w:t>
      </w:r>
      <w:r w:rsidR="00A0746B">
        <w:t>FL</w:t>
      </w:r>
      <w:r w:rsidRPr="009A2EA1">
        <w:t xml:space="preserve"> in recent years, patients with advanced disease remain incurable with current immunochemotherapy regimens; relapse is inevitable for many patients, and many patients still die from progressive disease or immune dysfunction associated with the disease. There is therefore a significant unmet medical need for new and more effective treatments for patients with advanced FL. A key goal of treatment of FL is to maximise the length of time that a patient is in remission following treatment and to reduce the rate of transformation. As the first remission is usually the longest, maximising the benefit gained from the first treatment is paramount. Compared to the current standard of care rituximab + chemotherapy (R-chemo), obinutuzumab + chemotherapy (G-chemo) offers a markedly </w:t>
      </w:r>
      <w:r w:rsidRPr="00CF3E61">
        <w:t>prolonged duration of remission, as demonstrated by the p</w:t>
      </w:r>
      <w:r w:rsidR="005C1BEC" w:rsidRPr="00CF3E61">
        <w:t xml:space="preserve">rimary endpoint of investigator </w:t>
      </w:r>
      <w:r w:rsidRPr="00CF3E61">
        <w:t xml:space="preserve">assessed </w:t>
      </w:r>
      <w:r w:rsidR="005C1BEC" w:rsidRPr="00CF3E61">
        <w:t>PFS</w:t>
      </w:r>
      <w:r w:rsidR="00A0746B" w:rsidRPr="00CF3E61">
        <w:t xml:space="preserve"> (</w:t>
      </w:r>
      <w:r w:rsidRPr="00CF3E61">
        <w:t>HR</w:t>
      </w:r>
      <w:r w:rsidR="005C1BEC" w:rsidRPr="00CF3E61">
        <w:t xml:space="preserve"> 0.66 (</w:t>
      </w:r>
      <w:r w:rsidR="00A0746B" w:rsidRPr="00CF3E61">
        <w:t>95% CI: </w:t>
      </w:r>
      <w:r w:rsidRPr="00CF3E61">
        <w:t>0.51, 0.85</w:t>
      </w:r>
      <w:r w:rsidR="005C1BEC" w:rsidRPr="00CF3E61">
        <w:t>)</w:t>
      </w:r>
      <w:r w:rsidRPr="00CF3E61">
        <w:t>; p</w:t>
      </w:r>
      <w:r w:rsidR="005C1BEC" w:rsidRPr="00CF3E61">
        <w:t xml:space="preserve"> = 0.0012) observed in pivotal S</w:t>
      </w:r>
      <w:r w:rsidRPr="00CF3E61">
        <w:t xml:space="preserve">tudy BO21223. In addition, </w:t>
      </w:r>
      <w:r w:rsidR="005C1BEC" w:rsidRPr="00CF3E61">
        <w:t>results of other secondary time to event endpoints</w:t>
      </w:r>
      <w:r w:rsidR="00CF3E61" w:rsidRPr="00CF3E61">
        <w:t>,</w:t>
      </w:r>
      <w:r w:rsidR="005C1BEC" w:rsidRPr="00CF3E61">
        <w:t xml:space="preserve"> </w:t>
      </w:r>
      <w:r w:rsidRPr="00CF3E61">
        <w:t>EFS</w:t>
      </w:r>
      <w:r w:rsidR="00CF3E61" w:rsidRPr="00CF3E61">
        <w:t xml:space="preserve">, </w:t>
      </w:r>
      <w:r w:rsidRPr="00CF3E61">
        <w:t>TTNALT</w:t>
      </w:r>
      <w:r w:rsidR="005C1BEC" w:rsidRPr="00CF3E61">
        <w:t xml:space="preserve">, </w:t>
      </w:r>
      <w:r w:rsidRPr="00CF3E61">
        <w:t>DFS and DoR were also consistent with the primary efficacy endpoint. The magnitude of the clinical benefit observed over R-chemo, combined with an acceptable</w:t>
      </w:r>
      <w:r w:rsidRPr="009A2EA1">
        <w:t xml:space="preserve"> safety profile support the use of G-chemo as an important new treatment option for patients with pr</w:t>
      </w:r>
      <w:r w:rsidR="005C1BEC" w:rsidRPr="009A2EA1">
        <w:t>eviously untreated advanced FL.</w:t>
      </w:r>
    </w:p>
    <w:p w14:paraId="2DD1745E" w14:textId="35521702" w:rsidR="005C1BEC" w:rsidRPr="009A2EA1" w:rsidRDefault="005C1BEC" w:rsidP="005C1BEC">
      <w:pPr>
        <w:pStyle w:val="Heading5"/>
      </w:pPr>
      <w:r w:rsidRPr="009A2EA1">
        <w:t xml:space="preserve">Sponsor’s response to </w:t>
      </w:r>
      <w:r w:rsidR="008E5E13">
        <w:t>q</w:t>
      </w:r>
      <w:r w:rsidRPr="009A2EA1">
        <w:t>uestion 1</w:t>
      </w:r>
    </w:p>
    <w:p w14:paraId="66A4C478" w14:textId="4A50EEFB" w:rsidR="005C1BEC" w:rsidRPr="009A2EA1" w:rsidRDefault="005C1BEC" w:rsidP="005C1BEC">
      <w:pPr>
        <w:ind w:left="720"/>
        <w:rPr>
          <w:i/>
        </w:rPr>
      </w:pPr>
      <w:r w:rsidRPr="009A2EA1">
        <w:rPr>
          <w:i/>
        </w:rPr>
        <w:t xml:space="preserve">‘What is the opinion of the committee with respect to approving the indication for first line treatment of </w:t>
      </w:r>
      <w:r w:rsidR="00CF3E61">
        <w:rPr>
          <w:i/>
        </w:rPr>
        <w:t>FL</w:t>
      </w:r>
      <w:r w:rsidRPr="009A2EA1">
        <w:rPr>
          <w:i/>
        </w:rPr>
        <w:t>, based principally on the demonstration of benefit to PFS?’</w:t>
      </w:r>
    </w:p>
    <w:p w14:paraId="5A12174B" w14:textId="4F7A8FA9" w:rsidR="005C1BEC" w:rsidRPr="009A2EA1" w:rsidRDefault="005C1BEC" w:rsidP="005C1BEC">
      <w:r w:rsidRPr="009A2EA1">
        <w:lastRenderedPageBreak/>
        <w:t>PFS was the primary endpoint in Study BO21223. PFS is a well</w:t>
      </w:r>
      <w:r w:rsidR="000D49CF">
        <w:t>-</w:t>
      </w:r>
      <w:r w:rsidRPr="009A2EA1">
        <w:t>accepted and clinically relevant endpoint according to the Guideline on the evaluation of anticancer medicinal products in man (EMA/CHMP/205/95/Rev.4). The Guideline has been adopted by the TGA.</w:t>
      </w:r>
    </w:p>
    <w:p w14:paraId="44A86DCD" w14:textId="27813781" w:rsidR="005C1BEC" w:rsidRPr="009A2EA1" w:rsidRDefault="005C1BEC" w:rsidP="005C1BEC">
      <w:r w:rsidRPr="009A2EA1">
        <w:t>From a clinical perspective, PFS is considered a reliable endpoint in this indolent lymphoma setting, where most patients will have options for salvage therapy during subsequent lines of therapy, rendering OS not very reliable in predicting treatment benefit for patients. Additionally, waiting for an OS benefit to occur in a malignant, yet indolent disease such as FL may take too long to allow patients to receive an efficacious new treatment within an acceptable timeframe. Historical da</w:t>
      </w:r>
      <w:r w:rsidR="00CF3E61">
        <w:t xml:space="preserve">ta shows a median OS of about 8 to </w:t>
      </w:r>
      <w:r w:rsidRPr="009A2EA1">
        <w:t>10 years, which could well be longer now with new treatment strategies.</w:t>
      </w:r>
    </w:p>
    <w:p w14:paraId="3B2786AA" w14:textId="2A1E7BAA" w:rsidR="005C1BEC" w:rsidRPr="009A2EA1" w:rsidRDefault="005C1BEC" w:rsidP="005C1BEC">
      <w:r w:rsidRPr="009A2EA1">
        <w:t xml:space="preserve">The sponsor considers the results of Study BO21223 to be clear and robust. Based on an </w:t>
      </w:r>
      <w:r w:rsidR="0093793D">
        <w:t>I</w:t>
      </w:r>
      <w:r w:rsidRPr="00CF3E61">
        <w:t>DMC</w:t>
      </w:r>
      <w:r w:rsidRPr="009A2EA1">
        <w:t xml:space="preserve"> recommendation the study was fully analysed after an interim analysis ha</w:t>
      </w:r>
      <w:r w:rsidR="00CF3E61">
        <w:t>d shown that the pre</w:t>
      </w:r>
      <w:r w:rsidRPr="009A2EA1">
        <w:t>spec</w:t>
      </w:r>
      <w:r w:rsidR="00CF3E61">
        <w:t xml:space="preserve">ified boundary for the protocol </w:t>
      </w:r>
      <w:r w:rsidRPr="009A2EA1">
        <w:t>specified primary endpoint of investigator assessed PFS in the FL population had been crossed. At this time, the G-chemo regimen produced a statistically significant and clinically meaningful improvement in investigator</w:t>
      </w:r>
      <w:r w:rsidR="00B63F4E">
        <w:t xml:space="preserve"> </w:t>
      </w:r>
      <w:r w:rsidRPr="009A2EA1">
        <w:t xml:space="preserve">assessed PFS when compared with R-chemo, a treatment regimen considered the current standard of care for patients with previously untreated FL. </w:t>
      </w:r>
      <w:r w:rsidR="00CF3E61">
        <w:t xml:space="preserve">IRC </w:t>
      </w:r>
      <w:r w:rsidRPr="009A2EA1">
        <w:t>assessed PFS was consistent with the investigator-asses</w:t>
      </w:r>
      <w:r w:rsidR="00CF3E61">
        <w:t>sed PFS result.</w:t>
      </w:r>
    </w:p>
    <w:p w14:paraId="5865241E" w14:textId="6308ECC3" w:rsidR="005C1BEC" w:rsidRPr="009A2EA1" w:rsidRDefault="005C1BEC" w:rsidP="005C1BEC">
      <w:r w:rsidRPr="009A2EA1">
        <w:t>These results have since been confirmed in an updated analysis after 6.6 months of additional median follow-up and when 72% of patients had been followed</w:t>
      </w:r>
      <w:r w:rsidR="00B63F4E">
        <w:t xml:space="preserve"> </w:t>
      </w:r>
      <w:r w:rsidRPr="009A2EA1">
        <w:t xml:space="preserve">up for at least 36 months. Investigator assessed-PFS (HR 0.68 </w:t>
      </w:r>
      <w:r w:rsidR="00EA30FD" w:rsidRPr="009A2EA1">
        <w:t>(</w:t>
      </w:r>
      <w:r w:rsidRPr="009A2EA1">
        <w:t>95% CI: 0.54, 0.87; p = 0.0016; stratified log-rank</w:t>
      </w:r>
      <w:r w:rsidR="00EA30FD" w:rsidRPr="009A2EA1">
        <w:t>)</w:t>
      </w:r>
      <w:r w:rsidR="00CF3E61">
        <w:t xml:space="preserve">) and IRC </w:t>
      </w:r>
      <w:r w:rsidRPr="009A2EA1">
        <w:t xml:space="preserve">assessed PFS (HR 0.72 </w:t>
      </w:r>
      <w:r w:rsidR="00EA30FD" w:rsidRPr="009A2EA1">
        <w:t>(</w:t>
      </w:r>
      <w:r w:rsidRPr="009A2EA1">
        <w:t>95% CI: 0.56, 0.93</w:t>
      </w:r>
      <w:r w:rsidR="00EA30FD" w:rsidRPr="009A2EA1">
        <w:t>)</w:t>
      </w:r>
      <w:r w:rsidRPr="009A2EA1">
        <w:t>; p = 0.0118) were highly consistent with the primary analysis, providing further confidence that the data are meaningful and reliable. A summary of efficacy outcomes in patients with FL for the primary and the updated analyses in the intent</w:t>
      </w:r>
      <w:r w:rsidR="00B63F4E">
        <w:t xml:space="preserve"> </w:t>
      </w:r>
      <w:r w:rsidRPr="009A2EA1">
        <w:t>to</w:t>
      </w:r>
      <w:r w:rsidR="00B63F4E">
        <w:t xml:space="preserve"> </w:t>
      </w:r>
      <w:r w:rsidRPr="009A2EA1">
        <w:t xml:space="preserve">treat </w:t>
      </w:r>
      <w:r w:rsidR="00CF3E61">
        <w:t xml:space="preserve">FL </w:t>
      </w:r>
      <w:r w:rsidRPr="009A2EA1">
        <w:t xml:space="preserve">population is provided </w:t>
      </w:r>
      <w:r w:rsidR="00CF3E61">
        <w:t>[not included here</w:t>
      </w:r>
      <w:r w:rsidR="00B63F4E">
        <w:t>]</w:t>
      </w:r>
      <w:r w:rsidR="00CF3E61">
        <w:t>.</w:t>
      </w:r>
    </w:p>
    <w:p w14:paraId="03CD7B9E" w14:textId="686FE9F3" w:rsidR="005C1BEC" w:rsidRPr="009A2EA1" w:rsidRDefault="005C1BEC" w:rsidP="00434B1C">
      <w:r w:rsidRPr="009A2EA1">
        <w:t xml:space="preserve">Although median durations for PFS have not been reached in </w:t>
      </w:r>
      <w:r w:rsidR="00CF3E61">
        <w:t>Study BO2122</w:t>
      </w:r>
      <w:r w:rsidR="0026495F">
        <w:t>3</w:t>
      </w:r>
      <w:r w:rsidR="00CF3E61">
        <w:t xml:space="preserve">, assuming exponentially </w:t>
      </w:r>
      <w:r w:rsidRPr="009A2EA1">
        <w:t>distributed PFS survival curves and stable HRs over time, the observed HRs would translate into 52% and</w:t>
      </w:r>
      <w:r w:rsidR="00CF3E61">
        <w:t xml:space="preserve"> 38% longer median investigator and IRC </w:t>
      </w:r>
      <w:r w:rsidRPr="009A2EA1">
        <w:t>assessed PFS, respectively, in the G-chemo arm compared to the R-chemo arm. In assuming a median PFS of 6 years in the R</w:t>
      </w:r>
      <w:r w:rsidR="00CF3E61">
        <w:t xml:space="preserve">-chemo arm (approximated from 6 </w:t>
      </w:r>
      <w:r w:rsidRPr="009A2EA1">
        <w:t>year follow-up of the PRIMA study</w:t>
      </w:r>
      <w:r w:rsidR="00B63F4E">
        <w:t>;</w:t>
      </w:r>
      <w:r w:rsidR="005B2EF4">
        <w:rPr>
          <w:rStyle w:val="FootnoteReference"/>
        </w:rPr>
        <w:footnoteReference w:id="6"/>
      </w:r>
      <w:r w:rsidRPr="009A2EA1">
        <w:t xml:space="preserve"> th</w:t>
      </w:r>
      <w:r w:rsidR="00CF3E61">
        <w:t>e observed HRs for investigator</w:t>
      </w:r>
      <w:r w:rsidR="00512439">
        <w:t xml:space="preserve"> and IRC </w:t>
      </w:r>
      <w:r w:rsidRPr="009A2EA1">
        <w:t xml:space="preserve">assessed PFS in </w:t>
      </w:r>
      <w:r w:rsidR="00512439">
        <w:t>Study </w:t>
      </w:r>
      <w:r w:rsidR="00EA30FD" w:rsidRPr="009A2EA1">
        <w:t>B</w:t>
      </w:r>
      <w:r w:rsidRPr="009A2EA1">
        <w:t>O21223 would translate to an estimated improvement in median PFS of 3.1 and 2.3 years, respectively (</w:t>
      </w:r>
      <w:r w:rsidR="00512439">
        <w:t>that is,</w:t>
      </w:r>
      <w:r w:rsidRPr="009A2EA1">
        <w:t xml:space="preserve"> to 9.1 and 8.3 years in total). Such an improvement in PFS is considered clinically meaningful as it represents the additional time that patients may be spared the symptoms of disease progression and the toxicity of subsequent therapies. Progression or relapse, which is almost inevitable for patients with FL, is furthermore accompanied by increasing resistance to treatment following each relapse and the risk of bone marrow exhaustion after r</w:t>
      </w:r>
      <w:r w:rsidR="00512439">
        <w:t>epeated lines of therapy.</w:t>
      </w:r>
    </w:p>
    <w:p w14:paraId="7D0C0A53" w14:textId="3E1C8E89" w:rsidR="005C1BEC" w:rsidRPr="00906BC8" w:rsidRDefault="00512439" w:rsidP="00434B1C">
      <w:pPr>
        <w:rPr>
          <w:vertAlign w:val="superscript"/>
        </w:rPr>
      </w:pPr>
      <w:r>
        <w:t>The s</w:t>
      </w:r>
      <w:r w:rsidR="005C1BEC" w:rsidRPr="009A2EA1">
        <w:t xml:space="preserve">ponsor considers that the PFS results from </w:t>
      </w:r>
      <w:r>
        <w:t xml:space="preserve">Study </w:t>
      </w:r>
      <w:r w:rsidR="005C1BEC" w:rsidRPr="009A2EA1">
        <w:t>BO21223 are sufficiently mature and are not likely to change</w:t>
      </w:r>
      <w:r w:rsidR="00957C59">
        <w:t xml:space="preserve"> appreciably with longer follow </w:t>
      </w:r>
      <w:r w:rsidR="005C1BEC" w:rsidRPr="009A2EA1">
        <w:t xml:space="preserve">up, based on the magnitude of treatment effect observed with G-chemo over R-chemo, the consistency between the results of the primary and the updated analyses, the stability of HR estimates, and the </w:t>
      </w:r>
      <w:r w:rsidR="005C1BEC" w:rsidRPr="009A2EA1">
        <w:lastRenderedPageBreak/>
        <w:t>maintenance over time</w:t>
      </w:r>
      <w:r w:rsidR="00957C59">
        <w:t xml:space="preserve"> of early PFS benefit with long term follow </w:t>
      </w:r>
      <w:r w:rsidR="005C1BEC" w:rsidRPr="009A2EA1">
        <w:t>up in several large randomised FL studies</w:t>
      </w:r>
      <w:r w:rsidR="005B2EF4">
        <w:t>.</w:t>
      </w:r>
      <w:r w:rsidR="0092022A">
        <w:rPr>
          <w:rStyle w:val="FootnoteReference"/>
        </w:rPr>
        <w:footnoteReference w:id="7"/>
      </w:r>
      <w:r w:rsidR="00441658">
        <w:rPr>
          <w:vertAlign w:val="superscript"/>
        </w:rPr>
        <w:t>,</w:t>
      </w:r>
      <w:r w:rsidR="00441658">
        <w:rPr>
          <w:rStyle w:val="FootnoteReference"/>
        </w:rPr>
        <w:footnoteReference w:id="8"/>
      </w:r>
      <w:r w:rsidR="00441658">
        <w:rPr>
          <w:vertAlign w:val="superscript"/>
        </w:rPr>
        <w:t>,</w:t>
      </w:r>
      <w:r w:rsidR="00441658">
        <w:rPr>
          <w:rStyle w:val="FootnoteReference"/>
        </w:rPr>
        <w:footnoteReference w:id="9"/>
      </w:r>
      <w:r w:rsidR="00441658">
        <w:rPr>
          <w:vertAlign w:val="superscript"/>
        </w:rPr>
        <w:t>,</w:t>
      </w:r>
      <w:r w:rsidR="00441658">
        <w:rPr>
          <w:rStyle w:val="FootnoteReference"/>
        </w:rPr>
        <w:footnoteReference w:id="10"/>
      </w:r>
    </w:p>
    <w:p w14:paraId="180DFA30" w14:textId="49364711" w:rsidR="005C1BEC" w:rsidRPr="009A2EA1" w:rsidRDefault="00434B1C" w:rsidP="00434B1C">
      <w:r w:rsidRPr="009A2EA1">
        <w:t>Results of secondary time</w:t>
      </w:r>
      <w:r w:rsidR="00441658">
        <w:t xml:space="preserve"> </w:t>
      </w:r>
      <w:r w:rsidRPr="009A2EA1">
        <w:t>to</w:t>
      </w:r>
      <w:r w:rsidR="00441658">
        <w:t xml:space="preserve"> </w:t>
      </w:r>
      <w:r w:rsidRPr="009A2EA1">
        <w:t xml:space="preserve">event endpoints including EFS, TTNALT, DFS, and DoR were </w:t>
      </w:r>
      <w:r w:rsidR="005C1BEC" w:rsidRPr="009A2EA1">
        <w:t xml:space="preserve">highly consistent with the PFS results and supportive of clinical benefit for G-chemo compared with R-chemo. Other secondary endpoints such as </w:t>
      </w:r>
      <w:r w:rsidR="00957C59">
        <w:t>CR</w:t>
      </w:r>
      <w:r w:rsidR="005C1BEC" w:rsidRPr="009A2EA1">
        <w:t xml:space="preserve"> rates by </w:t>
      </w:r>
      <w:r w:rsidR="00957C59">
        <w:t>PET</w:t>
      </w:r>
      <w:r w:rsidR="005C1BEC" w:rsidRPr="009A2EA1">
        <w:t xml:space="preserve"> and exploratory endpoints such as </w:t>
      </w:r>
      <w:r w:rsidR="00957C59">
        <w:t>m</w:t>
      </w:r>
      <w:r w:rsidR="005C1BEC" w:rsidRPr="009A2EA1">
        <w:t xml:space="preserve">inimal </w:t>
      </w:r>
      <w:r w:rsidR="00957C59">
        <w:t>r</w:t>
      </w:r>
      <w:r w:rsidR="005C1BEC" w:rsidRPr="009A2EA1">
        <w:t xml:space="preserve">esidual </w:t>
      </w:r>
      <w:r w:rsidR="00957C59">
        <w:t>d</w:t>
      </w:r>
      <w:r w:rsidR="005C1BEC" w:rsidRPr="009A2EA1">
        <w:t xml:space="preserve">isease (MRD) rates provide further support for the effects seen on PFS. Results of analyses of end of induction PET and MRD data from </w:t>
      </w:r>
      <w:r w:rsidR="00EA30FD" w:rsidRPr="009A2EA1">
        <w:t>Study B</w:t>
      </w:r>
      <w:r w:rsidR="005C1BEC" w:rsidRPr="009A2EA1">
        <w:t xml:space="preserve">O21223 suggest that although there was no clinically relevant difference in clinical response rates (PR/CR and CR rates) between the two treatment arms, G-chemo induced deeper responses than R-chemo. Among the 696 MRD evaluable patients the MRD response was numerically higher in the G-chemo arm (92.0%) compared to the R-chemo arm (84.9%). These findings are consistent with the higher proportion converting to CR during maintenance and the improved duration of response (CR or </w:t>
      </w:r>
      <w:r w:rsidR="00957C59">
        <w:t>PR) and PFS in the G</w:t>
      </w:r>
      <w:r w:rsidR="007C1B18">
        <w:noBreakHyphen/>
      </w:r>
      <w:r w:rsidR="00957C59">
        <w:t>chemo arm.</w:t>
      </w:r>
    </w:p>
    <w:p w14:paraId="5F2204B7" w14:textId="2D6454D0" w:rsidR="00D15F5C" w:rsidRPr="009A2EA1" w:rsidRDefault="005C1BEC" w:rsidP="00D15F5C">
      <w:r w:rsidRPr="009A2EA1">
        <w:t>The G-chemo regimen was also accompanied by fewer deaths overall than the R-chemo regimen. At the time of the clinical cut</w:t>
      </w:r>
      <w:r w:rsidR="00957C59">
        <w:t xml:space="preserve"> </w:t>
      </w:r>
      <w:r w:rsidRPr="009A2EA1">
        <w:t xml:space="preserve">off for the updated analysis, 95 randomised patients with FL had died (7.9% of the FL ITT population; 14 more deaths than in the primary analysis). More deaths occurred in the R-chemo arm (52/601 patients </w:t>
      </w:r>
      <w:r w:rsidR="00EA30FD" w:rsidRPr="009A2EA1">
        <w:t>(</w:t>
      </w:r>
      <w:r w:rsidRPr="009A2EA1">
        <w:t>8.7%</w:t>
      </w:r>
      <w:r w:rsidR="00EA30FD" w:rsidRPr="009A2EA1">
        <w:t>)</w:t>
      </w:r>
      <w:r w:rsidRPr="009A2EA1">
        <w:t>) compared to</w:t>
      </w:r>
      <w:r w:rsidR="00D15F5C" w:rsidRPr="009A2EA1">
        <w:t xml:space="preserve"> the G-chemo arm (43/601 patients </w:t>
      </w:r>
      <w:r w:rsidR="00EA30FD" w:rsidRPr="009A2EA1">
        <w:t>(</w:t>
      </w:r>
      <w:r w:rsidR="00D15F5C" w:rsidRPr="009A2EA1">
        <w:t>7.2%</w:t>
      </w:r>
      <w:r w:rsidR="00EA30FD" w:rsidRPr="009A2EA1">
        <w:t>)</w:t>
      </w:r>
      <w:r w:rsidR="00D15F5C" w:rsidRPr="009A2EA1">
        <w:t xml:space="preserve">). The stratified HR for OS in the updated analysis was 0.82 (95% CI: 0.54, 1.22; stratified log-rank test p = 0.32) and was consistent with the results of the primary analysis (0.75 </w:t>
      </w:r>
      <w:r w:rsidR="00EA30FD" w:rsidRPr="009A2EA1">
        <w:t>(</w:t>
      </w:r>
      <w:r w:rsidR="00D15F5C" w:rsidRPr="009A2EA1">
        <w:t>95% CI: 0.49, 1.17</w:t>
      </w:r>
      <w:r w:rsidR="00EA30FD" w:rsidRPr="009A2EA1">
        <w:t>)</w:t>
      </w:r>
      <w:r w:rsidR="00D15F5C" w:rsidRPr="009A2EA1">
        <w:t>; stratified log-rank test p = 0.21), the effect estimate remainin</w:t>
      </w:r>
      <w:r w:rsidR="00957C59">
        <w:t>g in favour of the G-chemo arm.</w:t>
      </w:r>
    </w:p>
    <w:p w14:paraId="35ADB621" w14:textId="61E1C5C6" w:rsidR="00D15F5C" w:rsidRPr="009A2EA1" w:rsidRDefault="00D15F5C" w:rsidP="00D15F5C">
      <w:r w:rsidRPr="009A2EA1">
        <w:t xml:space="preserve">These benefits of the G-chemo regimen were observed in the context of toxicities known to be associated with Gazyva (in addition to those commonly observed with chemotherapy). Notably, the increased toxicity observed with G-chemo did not </w:t>
      </w:r>
      <w:r w:rsidR="00957C59">
        <w:t>impair patient quality of life.</w:t>
      </w:r>
    </w:p>
    <w:p w14:paraId="703F51D8" w14:textId="4ED580CE" w:rsidR="00D15F5C" w:rsidRPr="009A2EA1" w:rsidRDefault="00D15F5C" w:rsidP="00434B1C">
      <w:r w:rsidRPr="009A2EA1">
        <w:t xml:space="preserve">Overall, the </w:t>
      </w:r>
      <w:r w:rsidR="00957C59">
        <w:t>s</w:t>
      </w:r>
      <w:r w:rsidRPr="009A2EA1">
        <w:t>ponsor considers the benefit-risk balance of the G-chemo regimen to be positive. The observed PFS benefit is clear, robust and clinically meaningful, and was accompanied by fewer deaths and improvements in secondary and exploratory efficacy endpoints. The magnitude of clinical benefit combined with an acceptable safety profile of G-chemo support this regimen as an important new treatment option for patients with previously untreated advanced FL, representing an improvement over the R-chemo regimen, the standard of care for treatment of this disease. As the first remission is usually the longest, maximising the benefit gained from the first treatment is paramount. There is therefore a strong rationale for introducing new therapeutic agents that can improve outcomes in patients with previously untreated FL, by preventing or delaying relapse and the need for new lines of anti-lymphoma therapy, and/or prolonging the quality and duration of remission.</w:t>
      </w:r>
    </w:p>
    <w:p w14:paraId="15699F53" w14:textId="007B91B4" w:rsidR="00D15F5C" w:rsidRPr="009A2EA1" w:rsidRDefault="00D15F5C" w:rsidP="00D15F5C">
      <w:pPr>
        <w:pStyle w:val="Heading5"/>
      </w:pPr>
      <w:r w:rsidRPr="009A2EA1">
        <w:t xml:space="preserve">Sponsor’s response to </w:t>
      </w:r>
      <w:r w:rsidR="008E5E13">
        <w:t>q</w:t>
      </w:r>
      <w:r w:rsidRPr="009A2EA1">
        <w:t>uestion 2</w:t>
      </w:r>
    </w:p>
    <w:p w14:paraId="53F43E59" w14:textId="5C2215B2" w:rsidR="00D15F5C" w:rsidRPr="009A2EA1" w:rsidRDefault="00D15F5C" w:rsidP="00D15F5C">
      <w:pPr>
        <w:ind w:left="720"/>
        <w:rPr>
          <w:i/>
        </w:rPr>
      </w:pPr>
      <w:r w:rsidRPr="009A2EA1">
        <w:rPr>
          <w:i/>
        </w:rPr>
        <w:t xml:space="preserve">‘What is the opinion of the committee with regard to the safety profile demonstrated by this drug, bearing in mind an approval would obviously allow its use prior to any </w:t>
      </w:r>
      <w:r w:rsidRPr="009A2EA1">
        <w:rPr>
          <w:i/>
        </w:rPr>
        <w:lastRenderedPageBreak/>
        <w:t>use and failure of a rituximab-based treatment? Is a positive risk-benefit made out for this potential treatment population by the data submitted in the opinion of the committee?’</w:t>
      </w:r>
    </w:p>
    <w:p w14:paraId="5C08CEF9" w14:textId="1A757D01" w:rsidR="00D15F5C" w:rsidRPr="009A2EA1" w:rsidRDefault="00D15F5C" w:rsidP="00D15F5C">
      <w:r w:rsidRPr="009A2EA1">
        <w:t xml:space="preserve">The observed safety profile needs to be assessed in light of the observed efficacy of the regimen; the G-chemo regimen evaluated in </w:t>
      </w:r>
      <w:r w:rsidR="00EA30FD" w:rsidRPr="009A2EA1">
        <w:t>Study B</w:t>
      </w:r>
      <w:r w:rsidRPr="009A2EA1">
        <w:t>O212</w:t>
      </w:r>
      <w:r w:rsidR="00957C59">
        <w:t xml:space="preserve">23 demonstrated a statistically </w:t>
      </w:r>
      <w:r w:rsidRPr="009A2EA1">
        <w:t>significant and clinically meaningful improvement in PFS when compared head</w:t>
      </w:r>
      <w:r w:rsidR="00441658">
        <w:t xml:space="preserve"> </w:t>
      </w:r>
      <w:r w:rsidRPr="009A2EA1">
        <w:t>to</w:t>
      </w:r>
      <w:r w:rsidR="00441658">
        <w:t xml:space="preserve"> </w:t>
      </w:r>
      <w:r w:rsidRPr="009A2EA1">
        <w:t>head with R-chemo, a treatment regimen considered the current standard of care for patients with previously untreated FL. G-chemo was accompanied by fewer deaths overall than with R-chemo. G-chemo was also associated with high quality and durable responses, and a reduction of patient-repo</w:t>
      </w:r>
      <w:r w:rsidR="00957C59">
        <w:t>rted lymphoma related symptoms.</w:t>
      </w:r>
    </w:p>
    <w:p w14:paraId="58F8FCD9" w14:textId="533752D2" w:rsidR="00D15F5C" w:rsidRPr="009A2EA1" w:rsidRDefault="00D15F5C" w:rsidP="00D15F5C">
      <w:r w:rsidRPr="009A2EA1">
        <w:t xml:space="preserve">In </w:t>
      </w:r>
      <w:r w:rsidR="00EA30FD" w:rsidRPr="009A2EA1">
        <w:t>Study B</w:t>
      </w:r>
      <w:r w:rsidRPr="009A2EA1">
        <w:t xml:space="preserve">O21223, the G-chemo treatment regimen was well tolerated in patients with FL and high rates of treatment completion in both induction and maintenance phases were observed. The frequency of treatment withdrawal and dose reductions due to </w:t>
      </w:r>
      <w:r w:rsidR="00957C59">
        <w:t>AEs</w:t>
      </w:r>
      <w:r w:rsidRPr="009A2EA1">
        <w:t xml:space="preserve"> was sim</w:t>
      </w:r>
      <w:r w:rsidR="00957C59">
        <w:t>ilar to that seen with R-chemo.</w:t>
      </w:r>
    </w:p>
    <w:p w14:paraId="6308FB3A" w14:textId="639EC2A0" w:rsidR="00D15F5C" w:rsidRPr="009A2EA1" w:rsidRDefault="00D15F5C" w:rsidP="00D15F5C">
      <w:r w:rsidRPr="009A2EA1">
        <w:t>The safety profile of G-chemo was broadly comparable with that of R-chemo with the exception o</w:t>
      </w:r>
      <w:r w:rsidR="00957C59">
        <w:t xml:space="preserve">f a higher incidence of Grade 3 to </w:t>
      </w:r>
      <w:r w:rsidRPr="009A2EA1">
        <w:t xml:space="preserve">5 AEs and </w:t>
      </w:r>
      <w:r w:rsidR="00957C59">
        <w:t>SAEs</w:t>
      </w:r>
      <w:r w:rsidRPr="009A2EA1">
        <w:t xml:space="preserve">. The incidence of fatal AEs was the same in the </w:t>
      </w:r>
      <w:r w:rsidR="00441658">
        <w:t>2</w:t>
      </w:r>
      <w:r w:rsidR="00441658" w:rsidRPr="009A2EA1">
        <w:t xml:space="preserve"> </w:t>
      </w:r>
      <w:r w:rsidRPr="009A2EA1">
        <w:t xml:space="preserve">treatment arms. Most of the common AEs were Grade </w:t>
      </w:r>
      <w:r w:rsidR="001A6D8E">
        <w:t xml:space="preserve">1 to </w:t>
      </w:r>
      <w:r w:rsidRPr="009A2EA1">
        <w:t xml:space="preserve">2 in severity, and were known to be associated with Gazyva and/or chemotherapy. The following adverse events </w:t>
      </w:r>
      <w:r w:rsidR="001A6D8E">
        <w:t xml:space="preserve">of particular/special interest (all Grades and Grade 3 to </w:t>
      </w:r>
      <w:r w:rsidRPr="009A2EA1">
        <w:t>5) were observed more frequently in the G-chemo arm: IRRs, neutro</w:t>
      </w:r>
      <w:r w:rsidR="00EA30FD" w:rsidRPr="009A2EA1">
        <w:t>paenia</w:t>
      </w:r>
      <w:r w:rsidRPr="009A2EA1">
        <w:t>, thrombocyto</w:t>
      </w:r>
      <w:r w:rsidR="00EA30FD" w:rsidRPr="009A2EA1">
        <w:t>paenia</w:t>
      </w:r>
      <w:r w:rsidRPr="009A2EA1">
        <w:t>, infections, cardiac events and second malignancies and reflect the known safety profile of Gazyva. A n</w:t>
      </w:r>
      <w:r w:rsidR="001A6D8E">
        <w:t xml:space="preserve">otable finding was that Grade 3 to </w:t>
      </w:r>
      <w:r w:rsidRPr="009A2EA1">
        <w:t>5 infections, fatal infections and serious infections were more frequent in patients receiving bendamustine chemotherapy than CHOP/CVP (reg</w:t>
      </w:r>
      <w:r w:rsidR="001A6D8E">
        <w:t>ardless of treatment arm). The s</w:t>
      </w:r>
      <w:r w:rsidRPr="009A2EA1">
        <w:t xml:space="preserve">ponsor has updated the </w:t>
      </w:r>
      <w:r w:rsidR="001A6D8E">
        <w:t>PI with this new finding.</w:t>
      </w:r>
    </w:p>
    <w:p w14:paraId="74BFBC37" w14:textId="5C9D6E68" w:rsidR="00D15F5C" w:rsidRPr="009A2EA1" w:rsidRDefault="00D15F5C" w:rsidP="00D15F5C">
      <w:r w:rsidRPr="009A2EA1">
        <w:t>Al</w:t>
      </w:r>
      <w:r w:rsidR="001A6D8E">
        <w:t xml:space="preserve">though the incidence of Grade 3 to </w:t>
      </w:r>
      <w:r w:rsidRPr="009A2EA1">
        <w:t>5 AEs and SAEs were higher in the G-chemo arm compared to the R-chemo arm, these higher incidences were driven by known events (neutro</w:t>
      </w:r>
      <w:r w:rsidR="00EA30FD" w:rsidRPr="009A2EA1">
        <w:t>paenia</w:t>
      </w:r>
      <w:r w:rsidRPr="009A2EA1">
        <w:t>, febrile neutro</w:t>
      </w:r>
      <w:r w:rsidR="00EA30FD" w:rsidRPr="009A2EA1">
        <w:t>paenia</w:t>
      </w:r>
      <w:r w:rsidRPr="009A2EA1">
        <w:t>, thrombocyto</w:t>
      </w:r>
      <w:r w:rsidR="00EA30FD" w:rsidRPr="009A2EA1">
        <w:t>paenia</w:t>
      </w:r>
      <w:r w:rsidRPr="009A2EA1">
        <w:t>, and IRRs). These are well known events, which were well managed in the study. In addition</w:t>
      </w:r>
      <w:r w:rsidR="001A6D8E">
        <w:t>,</w:t>
      </w:r>
      <w:r w:rsidRPr="009A2EA1">
        <w:t xml:space="preserve"> the current PI provides clear advice and guidance for treating and managing these events, should they occur.</w:t>
      </w:r>
    </w:p>
    <w:p w14:paraId="7AA476FF" w14:textId="280D6E3A" w:rsidR="00D15F5C" w:rsidRPr="009A2EA1" w:rsidRDefault="00D15F5C" w:rsidP="00D15F5C">
      <w:r w:rsidRPr="009A2EA1">
        <w:t xml:space="preserve">Overall, G-chemo induction followed by Gazyva maintenance in patients with previously untreated FL was associated with a tolerable and manageable safety profile and there were no unexpected safety signals. No new important risks were identified and the safety data from </w:t>
      </w:r>
      <w:r w:rsidR="001A6D8E">
        <w:t xml:space="preserve">Study </w:t>
      </w:r>
      <w:r w:rsidRPr="009A2EA1">
        <w:t xml:space="preserve">BO21223 were consistent with the known safety profile for Gazyva. Consequently, no further mitigation strategies are considered to be necessary beyond the proposed amendments made to the PI and ongoing routine pharmacovigilance. The </w:t>
      </w:r>
      <w:r w:rsidR="004B5530">
        <w:t>s</w:t>
      </w:r>
      <w:r w:rsidR="004B5530" w:rsidRPr="009A2EA1">
        <w:t xml:space="preserve">ponsor </w:t>
      </w:r>
      <w:r w:rsidRPr="009A2EA1">
        <w:t>will continue to monitor all identified and potential risks, and missing information as describ</w:t>
      </w:r>
      <w:r w:rsidR="001A6D8E">
        <w:t>ed in the RMP.</w:t>
      </w:r>
    </w:p>
    <w:p w14:paraId="12761FEE" w14:textId="33483977" w:rsidR="00D15F5C" w:rsidRPr="009A2EA1" w:rsidRDefault="00D15F5C" w:rsidP="00D15F5C">
      <w:r w:rsidRPr="009A2EA1">
        <w:t xml:space="preserve">The G-chemo regimen evaluated in </w:t>
      </w:r>
      <w:r w:rsidR="00EA30FD" w:rsidRPr="009A2EA1">
        <w:t>Study B</w:t>
      </w:r>
      <w:r w:rsidRPr="009A2EA1">
        <w:t>O21223 demonstrated a statistically significant and clinically meaningful improv</w:t>
      </w:r>
      <w:r w:rsidR="001A6D8E">
        <w:t xml:space="preserve">ement in PFS when compared head to </w:t>
      </w:r>
      <w:r w:rsidRPr="009A2EA1">
        <w:t>head with R</w:t>
      </w:r>
      <w:r w:rsidR="00956D95">
        <w:noBreakHyphen/>
      </w:r>
      <w:r w:rsidRPr="009A2EA1">
        <w:t>chemo, a treatment regimen considered the current standard of care for patients with previously untreated FL. G-chemo was accompanied by fewer deaths overall than with R</w:t>
      </w:r>
      <w:r w:rsidR="00956D95">
        <w:noBreakHyphen/>
      </w:r>
      <w:r w:rsidRPr="009A2EA1">
        <w:t>chemo. G-chemo was also associated with high quality and durable respon</w:t>
      </w:r>
      <w:r w:rsidR="001A6D8E">
        <w:t xml:space="preserve">ses, and a reduction of patient </w:t>
      </w:r>
      <w:r w:rsidRPr="009A2EA1">
        <w:t xml:space="preserve">reported lymphoma related symptoms. As a result, the </w:t>
      </w:r>
      <w:r w:rsidR="001A6D8E">
        <w:t>s</w:t>
      </w:r>
      <w:r w:rsidRPr="009A2EA1">
        <w:t>ponsor considers the overall benefit-risk balance to be positive and supports the use of G-chemo as a treatment for pr</w:t>
      </w:r>
      <w:r w:rsidR="00FF39C1" w:rsidRPr="009A2EA1">
        <w:t>eviously untreated advanced FL.</w:t>
      </w:r>
    </w:p>
    <w:p w14:paraId="1653009A" w14:textId="23574C2C" w:rsidR="00FF39C1" w:rsidRPr="009A2EA1" w:rsidRDefault="00FF39C1" w:rsidP="007F3D3D">
      <w:pPr>
        <w:pStyle w:val="Heading5"/>
        <w:rPr>
          <w:rFonts w:eastAsiaTheme="minorHAnsi"/>
        </w:rPr>
      </w:pPr>
      <w:r w:rsidRPr="009A2EA1">
        <w:t xml:space="preserve">Sponsor’s response to </w:t>
      </w:r>
      <w:r w:rsidR="008E5E13">
        <w:t>q</w:t>
      </w:r>
      <w:r w:rsidRPr="009A2EA1">
        <w:t>uestion 3</w:t>
      </w:r>
    </w:p>
    <w:p w14:paraId="05D4374C" w14:textId="1EBCF71C" w:rsidR="00D15F5C" w:rsidRPr="009A2EA1" w:rsidRDefault="00FF39C1" w:rsidP="00FF39C1">
      <w:pPr>
        <w:ind w:left="720"/>
        <w:rPr>
          <w:i/>
        </w:rPr>
      </w:pPr>
      <w:r w:rsidRPr="009A2EA1">
        <w:rPr>
          <w:i/>
        </w:rPr>
        <w:t>‘</w:t>
      </w:r>
      <w:r w:rsidR="00D15F5C" w:rsidRPr="009A2EA1">
        <w:rPr>
          <w:i/>
        </w:rPr>
        <w:t>What is the committee’s view on whether the submitted clinical trial adequately represents the first</w:t>
      </w:r>
      <w:r w:rsidR="00EA30FD" w:rsidRPr="009A2EA1">
        <w:rPr>
          <w:i/>
        </w:rPr>
        <w:t xml:space="preserve"> line</w:t>
      </w:r>
      <w:r w:rsidR="00D15F5C" w:rsidRPr="009A2EA1">
        <w:rPr>
          <w:i/>
        </w:rPr>
        <w:t xml:space="preserve"> treatm</w:t>
      </w:r>
      <w:r w:rsidRPr="009A2EA1">
        <w:rPr>
          <w:i/>
        </w:rPr>
        <w:t>ent population of FL sufferers?’</w:t>
      </w:r>
    </w:p>
    <w:p w14:paraId="395A1010" w14:textId="1F8B9D21" w:rsidR="00D15F5C" w:rsidRPr="009A2EA1" w:rsidRDefault="00D15F5C" w:rsidP="00D15F5C">
      <w:r w:rsidRPr="009A2EA1">
        <w:lastRenderedPageBreak/>
        <w:t xml:space="preserve">Study BO21223 enrolled a broad population of patients with FL and marginal zone lymphoma. A total of 1401 patients with indolent NHL were enrolled in </w:t>
      </w:r>
      <w:r w:rsidR="00EA30FD" w:rsidRPr="009A2EA1">
        <w:t>Study B</w:t>
      </w:r>
      <w:r w:rsidRPr="009A2EA1">
        <w:t>O21223, of whom 1202 patients with previously untreated FL were randomised to the R-chemo (601</w:t>
      </w:r>
      <w:r w:rsidR="00924958">
        <w:t> </w:t>
      </w:r>
      <w:r w:rsidRPr="009A2EA1">
        <w:t xml:space="preserve">patients) and G-chemo arms (601 patients). This population, the FL </w:t>
      </w:r>
      <w:r w:rsidR="001A6D8E">
        <w:t>intent to treat</w:t>
      </w:r>
      <w:r w:rsidRPr="009A2EA1">
        <w:t xml:space="preserve"> population, was the primary population on which the efficacy analyses for </w:t>
      </w:r>
      <w:r w:rsidR="001A6D8E">
        <w:t xml:space="preserve">Study BO21223 </w:t>
      </w:r>
      <w:r w:rsidRPr="009A2EA1">
        <w:t xml:space="preserve">are based. Inclusion criteria required all patients to </w:t>
      </w:r>
      <w:r w:rsidR="00C9173F" w:rsidRPr="009A2EA1">
        <w:t>fulfil</w:t>
      </w:r>
      <w:r w:rsidRPr="009A2EA1">
        <w:t xml:space="preserve"> the Groupe d’Etude des Lymphomes Folliculaires (GELF) criteria) (</w:t>
      </w:r>
      <w:r w:rsidR="001A6D8E">
        <w:t>see Table 1</w:t>
      </w:r>
      <w:r w:rsidR="00D166FF">
        <w:t>3</w:t>
      </w:r>
      <w:r w:rsidR="001A6D8E">
        <w:t>, below</w:t>
      </w:r>
      <w:r w:rsidRPr="009A2EA1">
        <w:t>)</w:t>
      </w:r>
      <w:proofErr w:type="gramStart"/>
      <w:r w:rsidRPr="009A2EA1">
        <w:t>.</w:t>
      </w:r>
      <w:r w:rsidR="00924958">
        <w:rPr>
          <w:rStyle w:val="FootnoteReference"/>
        </w:rPr>
        <w:footnoteReference w:id="11"/>
      </w:r>
      <w:r w:rsidR="00924958">
        <w:rPr>
          <w:vertAlign w:val="superscript"/>
        </w:rPr>
        <w:t>,</w:t>
      </w:r>
      <w:proofErr w:type="gramEnd"/>
      <w:r w:rsidR="00924958">
        <w:rPr>
          <w:rStyle w:val="FootnoteReference"/>
        </w:rPr>
        <w:footnoteReference w:id="12"/>
      </w:r>
      <w:r w:rsidRPr="009A2EA1">
        <w:t xml:space="preserve"> These are the generally accepted criteria for initiation of systemic treatment in FL (NCCN, ESMO guidelines). Patients were also required to have a good performance status (ECOG </w:t>
      </w:r>
      <w:r w:rsidR="001A6D8E">
        <w:t>performance score</w:t>
      </w:r>
      <w:r w:rsidRPr="009A2EA1">
        <w:t xml:space="preserve"> </w:t>
      </w:r>
      <w:r w:rsidR="001A6D8E">
        <w:t xml:space="preserve">≥ </w:t>
      </w:r>
      <w:r w:rsidRPr="009A2EA1">
        <w:t xml:space="preserve">2) and adequate organ function to ensure they were likely to be able </w:t>
      </w:r>
      <w:r w:rsidR="007C5DB9" w:rsidRPr="009A2EA1">
        <w:t>to tolerate immunochemotherapy.</w:t>
      </w:r>
    </w:p>
    <w:p w14:paraId="4A8A2C20" w14:textId="776861BC" w:rsidR="00336E7F" w:rsidRPr="009A2EA1" w:rsidRDefault="00336E7F" w:rsidP="001A6D8E">
      <w:pPr>
        <w:pStyle w:val="Tabletitle0"/>
      </w:pPr>
      <w:proofErr w:type="gramStart"/>
      <w:r w:rsidRPr="009A2EA1">
        <w:t xml:space="preserve">Table </w:t>
      </w:r>
      <w:r w:rsidR="004B5530">
        <w:t>1</w:t>
      </w:r>
      <w:r w:rsidR="00D166FF">
        <w:t>3</w:t>
      </w:r>
      <w:r w:rsidRPr="009A2EA1">
        <w:t>.</w:t>
      </w:r>
      <w:proofErr w:type="gramEnd"/>
      <w:r w:rsidRPr="009A2EA1">
        <w:t xml:space="preserve"> Groupe d’Etude des Lymphomes Folliculaires (GELF criteria) for initiation of systemic treatment</w:t>
      </w:r>
    </w:p>
    <w:p w14:paraId="068CAFDA" w14:textId="21245843" w:rsidR="007C5DB9" w:rsidRPr="009A2EA1" w:rsidRDefault="007C5DB9" w:rsidP="00D15F5C">
      <w:r w:rsidRPr="009A2EA1">
        <w:rPr>
          <w:noProof/>
          <w:lang w:eastAsia="en-AU"/>
        </w:rPr>
        <w:drawing>
          <wp:inline distT="0" distB="0" distL="0" distR="0" wp14:anchorId="0A5AB359" wp14:editId="6711FD73">
            <wp:extent cx="4936332" cy="1484266"/>
            <wp:effectExtent l="0" t="0" r="0" b="1905"/>
            <wp:docPr id="4" name="Picture 4" descr="Groupe d’Etude des Lymphomes Folliculaires (GELF criteria) for initiation of systemic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5752" cy="1484091"/>
                    </a:xfrm>
                    <a:prstGeom prst="rect">
                      <a:avLst/>
                    </a:prstGeom>
                  </pic:spPr>
                </pic:pic>
              </a:graphicData>
            </a:graphic>
          </wp:inline>
        </w:drawing>
      </w:r>
    </w:p>
    <w:p w14:paraId="2980C545" w14:textId="4A17B129" w:rsidR="007C5DB9" w:rsidRPr="009A2EA1" w:rsidRDefault="007C5DB9" w:rsidP="007C5DB9">
      <w:r w:rsidRPr="009A2EA1">
        <w:t>The median age of patients in the FL ITT population was 59 years (range: 23 to 88 years) which is close to the median age that patients are diagnosed with FL (around 61 years</w:t>
      </w:r>
      <w:r w:rsidR="008103A8">
        <w:t>)</w:t>
      </w:r>
      <w:r w:rsidRPr="009A2EA1">
        <w:t>.</w:t>
      </w:r>
      <w:bookmarkStart w:id="107" w:name="_Ref508797726"/>
      <w:r w:rsidR="008103A8">
        <w:rPr>
          <w:rStyle w:val="FootnoteReference"/>
        </w:rPr>
        <w:footnoteReference w:id="13"/>
      </w:r>
      <w:bookmarkEnd w:id="107"/>
      <w:r w:rsidRPr="009A2EA1">
        <w:t xml:space="preserve"> Almost a third (31.3%) </w:t>
      </w:r>
      <w:r w:rsidR="004B5530">
        <w:t xml:space="preserve">of the patients </w:t>
      </w:r>
      <w:r w:rsidR="00C9173F" w:rsidRPr="009A2EA1">
        <w:t>was</w:t>
      </w:r>
      <w:r w:rsidRPr="009A2EA1">
        <w:t xml:space="preserve"> &gt; 65 years and 16.9% were &gt; 70 years. Slightly more patients were female (53.2%), consistent with published </w:t>
      </w:r>
      <w:r w:rsidR="00C9173F" w:rsidRPr="009A2EA1">
        <w:t>data.</w:t>
      </w:r>
      <w:r w:rsidR="00924958" w:rsidRPr="00C456E5">
        <w:rPr>
          <w:vertAlign w:val="superscript"/>
        </w:rPr>
        <w:fldChar w:fldCharType="begin"/>
      </w:r>
      <w:r w:rsidR="00924958" w:rsidRPr="00C456E5">
        <w:rPr>
          <w:vertAlign w:val="superscript"/>
        </w:rPr>
        <w:instrText xml:space="preserve"> NOTEREF _Ref508797726 \h </w:instrText>
      </w:r>
      <w:r w:rsidR="00924958">
        <w:rPr>
          <w:vertAlign w:val="superscript"/>
        </w:rPr>
        <w:instrText xml:space="preserve"> \* MERGEFORMAT </w:instrText>
      </w:r>
      <w:r w:rsidR="00924958" w:rsidRPr="00C456E5">
        <w:rPr>
          <w:vertAlign w:val="superscript"/>
        </w:rPr>
      </w:r>
      <w:r w:rsidR="00924958" w:rsidRPr="00C456E5">
        <w:rPr>
          <w:vertAlign w:val="superscript"/>
        </w:rPr>
        <w:fldChar w:fldCharType="separate"/>
      </w:r>
      <w:r w:rsidR="00D036A0">
        <w:rPr>
          <w:vertAlign w:val="superscript"/>
        </w:rPr>
        <w:t>13</w:t>
      </w:r>
      <w:r w:rsidR="00924958" w:rsidRPr="00C456E5">
        <w:rPr>
          <w:vertAlign w:val="superscript"/>
        </w:rPr>
        <w:fldChar w:fldCharType="end"/>
      </w:r>
      <w:r w:rsidR="00924958">
        <w:rPr>
          <w:vertAlign w:val="superscript"/>
        </w:rPr>
        <w:t>,</w:t>
      </w:r>
      <w:r w:rsidR="008103A8">
        <w:rPr>
          <w:rStyle w:val="FootnoteReference"/>
        </w:rPr>
        <w:footnoteReference w:id="14"/>
      </w:r>
      <w:r w:rsidRPr="009A2EA1">
        <w:t xml:space="preserve"> </w:t>
      </w:r>
      <w:proofErr w:type="gramStart"/>
      <w:r w:rsidRPr="009A2EA1">
        <w:t>The</w:t>
      </w:r>
      <w:proofErr w:type="gramEnd"/>
      <w:r w:rsidRPr="009A2EA1">
        <w:t xml:space="preserve"> majority of patients were White (80.5%) reflecting the predominant enrolment at investigator sites in Europe (61.3% of patients); the remainder were from locations in Asia (15.4%), North</w:t>
      </w:r>
      <w:r w:rsidR="00924958">
        <w:t> </w:t>
      </w:r>
      <w:r w:rsidRPr="009A2EA1">
        <w:t>America (12.6%) and other regio</w:t>
      </w:r>
      <w:r w:rsidR="001A6D8E">
        <w:t>ns including Australia (10.6%).</w:t>
      </w:r>
    </w:p>
    <w:p w14:paraId="60EA656B" w14:textId="622DFA11" w:rsidR="007C5DB9" w:rsidRPr="009A2EA1" w:rsidRDefault="00336E7F" w:rsidP="00D15F5C">
      <w:r w:rsidRPr="009A2EA1">
        <w:t>The majority of patients randomised had advanced disease, that is, Ann Arbor Stage III to IV disease (91.4%; with over half with Stage IV, 56.5%). Most patients were in intermediate and high risk FLIPI (37.3% and 41.8% respectively) and FLIPI</w:t>
      </w:r>
      <w:r w:rsidR="00924958">
        <w:t>-</w:t>
      </w:r>
      <w:r w:rsidRPr="009A2EA1">
        <w:t xml:space="preserve">2 groups (50.1% and 40.8%. respectively), consistent with published data for similar patient </w:t>
      </w:r>
      <w:proofErr w:type="gramStart"/>
      <w:r w:rsidRPr="00C456E5">
        <w:t>populations</w:t>
      </w:r>
      <w:r w:rsidR="005B2EF4" w:rsidRPr="00C456E5">
        <w:t>.</w:t>
      </w:r>
      <w:r w:rsidR="0092022A" w:rsidRPr="00C456E5">
        <w:rPr>
          <w:rStyle w:val="FootnoteReference"/>
        </w:rPr>
        <w:footnoteReference w:id="15"/>
      </w:r>
      <w:r w:rsidR="00E26626">
        <w:rPr>
          <w:vertAlign w:val="superscript"/>
        </w:rPr>
        <w:t>,</w:t>
      </w:r>
      <w:proofErr w:type="gramEnd"/>
      <w:r w:rsidR="00E26626">
        <w:rPr>
          <w:rStyle w:val="FootnoteReference"/>
        </w:rPr>
        <w:footnoteReference w:id="16"/>
      </w:r>
      <w:r w:rsidRPr="00C456E5">
        <w:t xml:space="preserve"> Almost</w:t>
      </w:r>
      <w:r w:rsidRPr="009A2EA1">
        <w:t xml:space="preserve"> half of the patients (43.8%) had bulky disease (nodal or </w:t>
      </w:r>
      <w:r w:rsidRPr="009A2EA1">
        <w:lastRenderedPageBreak/>
        <w:t>extranodal mass &gt; 7 cm in diameter). Baseline characteristics for the</w:t>
      </w:r>
      <w:r w:rsidR="00A20977">
        <w:t xml:space="preserve"> intent to treat</w:t>
      </w:r>
      <w:r w:rsidRPr="009A2EA1">
        <w:t xml:space="preserve"> pop</w:t>
      </w:r>
      <w:r w:rsidR="00A20977">
        <w:t>ulation are presented in Table 1</w:t>
      </w:r>
      <w:r w:rsidR="00D166FF">
        <w:t>4</w:t>
      </w:r>
      <w:r w:rsidRPr="009A2EA1">
        <w:t>, below.</w:t>
      </w:r>
    </w:p>
    <w:p w14:paraId="69B6E570" w14:textId="3A6E6446" w:rsidR="00856235" w:rsidRPr="009A2EA1" w:rsidRDefault="00856235" w:rsidP="00A20977">
      <w:pPr>
        <w:pStyle w:val="Tabletitle0"/>
      </w:pPr>
      <w:proofErr w:type="gramStart"/>
      <w:r w:rsidRPr="009A2EA1">
        <w:t xml:space="preserve">Table </w:t>
      </w:r>
      <w:r w:rsidR="004B5530">
        <w:t>1</w:t>
      </w:r>
      <w:r w:rsidR="00D166FF">
        <w:t>4</w:t>
      </w:r>
      <w:r w:rsidRPr="009A2EA1">
        <w:t>.</w:t>
      </w:r>
      <w:proofErr w:type="gramEnd"/>
      <w:r w:rsidRPr="009A2EA1">
        <w:t xml:space="preserve"> Study BO21224 Baseline characteristics</w:t>
      </w:r>
    </w:p>
    <w:p w14:paraId="0B4E4CC5" w14:textId="74DF713C" w:rsidR="00336E7F" w:rsidRPr="009A2EA1" w:rsidRDefault="00336E7F" w:rsidP="00D15F5C">
      <w:r w:rsidRPr="009A2EA1">
        <w:rPr>
          <w:noProof/>
          <w:lang w:eastAsia="en-AU"/>
        </w:rPr>
        <w:drawing>
          <wp:inline distT="0" distB="0" distL="0" distR="0" wp14:anchorId="3B07F8B8" wp14:editId="6789CD78">
            <wp:extent cx="5400040" cy="3470910"/>
            <wp:effectExtent l="0" t="0" r="0" b="0"/>
            <wp:docPr id="5" name="Picture 5" descr="Study BO21224 Baselin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470910"/>
                    </a:xfrm>
                    <a:prstGeom prst="rect">
                      <a:avLst/>
                    </a:prstGeom>
                  </pic:spPr>
                </pic:pic>
              </a:graphicData>
            </a:graphic>
          </wp:inline>
        </w:drawing>
      </w:r>
    </w:p>
    <w:p w14:paraId="467FA33E" w14:textId="32CF6312" w:rsidR="00D92933" w:rsidRPr="009A2EA1" w:rsidRDefault="00856235" w:rsidP="00D92933">
      <w:r w:rsidRPr="009A2EA1">
        <w:t>Given the proportions and baseline characteristics of the enrolled FL study population</w:t>
      </w:r>
      <w:r w:rsidR="0093793D">
        <w:t>,</w:t>
      </w:r>
      <w:r w:rsidRPr="009A2EA1">
        <w:t xml:space="preserve"> the sponsor considers </w:t>
      </w:r>
      <w:r w:rsidR="00A20977">
        <w:t xml:space="preserve">Study BO21223 </w:t>
      </w:r>
      <w:r w:rsidRPr="009A2EA1">
        <w:t>to be an appropriate representation of the FL population requiring systemic treatment.</w:t>
      </w:r>
    </w:p>
    <w:p w14:paraId="141DCA84" w14:textId="77777777" w:rsidR="008E7846" w:rsidRPr="009A2EA1" w:rsidRDefault="008E7846" w:rsidP="008E7846">
      <w:pPr>
        <w:pStyle w:val="Heading4"/>
      </w:pPr>
      <w:r w:rsidRPr="009A2EA1">
        <w:t>Advisory Committee Considerations</w:t>
      </w:r>
    </w:p>
    <w:p w14:paraId="49B04F0C" w14:textId="77777777" w:rsidR="00F20ACE" w:rsidRDefault="0035297B" w:rsidP="0035297B">
      <w:r w:rsidRPr="009A2EA1">
        <w:t xml:space="preserve">The </w:t>
      </w:r>
      <w:r w:rsidR="00BD2B6B" w:rsidRPr="009A2EA1">
        <w:t>Advisory Committee on Medicines (</w:t>
      </w:r>
      <w:r w:rsidRPr="009A2EA1">
        <w:t>ACM</w:t>
      </w:r>
      <w:r w:rsidR="00BD2B6B" w:rsidRPr="009A2EA1">
        <w:t>)</w:t>
      </w:r>
      <w:r w:rsidRPr="009A2EA1">
        <w:t xml:space="preserve"> taking into account the submitted </w:t>
      </w:r>
      <w:r w:rsidR="00C9173F" w:rsidRPr="009A2EA1">
        <w:t>evidence</w:t>
      </w:r>
      <w:r w:rsidRPr="009A2EA1">
        <w:t xml:space="preserve"> agreed with the Delegate and considered G</w:t>
      </w:r>
      <w:r w:rsidR="00BD2B6B" w:rsidRPr="009A2EA1">
        <w:t>azyva</w:t>
      </w:r>
      <w:r w:rsidRPr="009A2EA1">
        <w:t xml:space="preserve"> concentrated solution for infusion containing 1000</w:t>
      </w:r>
      <w:r w:rsidR="00BD2B6B" w:rsidRPr="009A2EA1">
        <w:t xml:space="preserve"> mg/40</w:t>
      </w:r>
      <w:r w:rsidR="0092022A">
        <w:t xml:space="preserve"> </w:t>
      </w:r>
      <w:r w:rsidR="00BD2B6B" w:rsidRPr="009A2EA1">
        <w:t>mL of o</w:t>
      </w:r>
      <w:r w:rsidRPr="009A2EA1">
        <w:t>binutuzumab to h</w:t>
      </w:r>
      <w:r w:rsidR="00BD2B6B" w:rsidRPr="009A2EA1">
        <w:t xml:space="preserve">ave an overall positive benefit </w:t>
      </w:r>
      <w:r w:rsidRPr="009A2EA1">
        <w:t>risk profile for the proposed indication:</w:t>
      </w:r>
    </w:p>
    <w:p w14:paraId="08B190B2" w14:textId="5078E9DB" w:rsidR="0035297B" w:rsidRPr="009A2EA1" w:rsidRDefault="00BD2B6B" w:rsidP="00BD2B6B">
      <w:pPr>
        <w:ind w:left="720"/>
        <w:rPr>
          <w:i/>
        </w:rPr>
      </w:pPr>
      <w:r w:rsidRPr="009A2EA1">
        <w:rPr>
          <w:i/>
        </w:rPr>
        <w:t>‘</w:t>
      </w:r>
      <w:proofErr w:type="spellStart"/>
      <w:r w:rsidRPr="009A2EA1">
        <w:rPr>
          <w:i/>
        </w:rPr>
        <w:t>Gazyva</w:t>
      </w:r>
      <w:proofErr w:type="spellEnd"/>
      <w:r w:rsidR="0035297B" w:rsidRPr="009A2EA1">
        <w:rPr>
          <w:i/>
        </w:rPr>
        <w:t xml:space="preserve"> in combination with chemotherapy followed by </w:t>
      </w:r>
      <w:r w:rsidRPr="009A2EA1">
        <w:rPr>
          <w:i/>
        </w:rPr>
        <w:t>Gazyva</w:t>
      </w:r>
      <w:r w:rsidR="0035297B" w:rsidRPr="009A2EA1">
        <w:rPr>
          <w:i/>
        </w:rPr>
        <w:t xml:space="preserve"> maintenance is indicated for the treatment of patients with previously</w:t>
      </w:r>
      <w:r w:rsidRPr="009A2EA1">
        <w:rPr>
          <w:i/>
        </w:rPr>
        <w:t xml:space="preserve"> untreated follicular lymphoma’.</w:t>
      </w:r>
    </w:p>
    <w:p w14:paraId="16F64ACE" w14:textId="52BD4ADC" w:rsidR="0035297B" w:rsidRPr="009A2EA1" w:rsidRDefault="00BD2B6B" w:rsidP="008E7846">
      <w:r w:rsidRPr="009A2EA1">
        <w:t>In making this recommendation the ACM noted the evidence regarding</w:t>
      </w:r>
      <w:r w:rsidR="0092022A">
        <w:t xml:space="preserve"> the</w:t>
      </w:r>
      <w:r w:rsidRPr="009A2EA1">
        <w:t xml:space="preserve"> use of obinutuzumab in the proposed indication and differences in the study and target populations.</w:t>
      </w:r>
    </w:p>
    <w:p w14:paraId="0EF8E5C8" w14:textId="5A8CA2D1" w:rsidR="00BD2B6B" w:rsidRPr="009A2EA1" w:rsidRDefault="00BD2B6B" w:rsidP="00BD2B6B">
      <w:pPr>
        <w:pStyle w:val="Heading5"/>
        <w:rPr>
          <w:rFonts w:eastAsiaTheme="minorHAnsi"/>
        </w:rPr>
      </w:pPr>
      <w:r w:rsidRPr="009A2EA1">
        <w:t>Specific advice</w:t>
      </w:r>
    </w:p>
    <w:p w14:paraId="0C71681D" w14:textId="15E40F29" w:rsidR="00BD2B6B" w:rsidRPr="009A2EA1" w:rsidRDefault="00BD2B6B" w:rsidP="008E7846">
      <w:r w:rsidRPr="009A2EA1">
        <w:t>The ACM advised the following in response to the Delegate’s specific questions on the submission:</w:t>
      </w:r>
    </w:p>
    <w:p w14:paraId="2775D947" w14:textId="063E6369" w:rsidR="007F3D3D" w:rsidRPr="009A2EA1" w:rsidRDefault="007F3D3D" w:rsidP="007F3D3D">
      <w:pPr>
        <w:ind w:left="720"/>
        <w:rPr>
          <w:i/>
        </w:rPr>
      </w:pPr>
      <w:r w:rsidRPr="009A2EA1">
        <w:rPr>
          <w:i/>
        </w:rPr>
        <w:t xml:space="preserve">What is the opinion of the committee with respect to approving the indication for first line treatment of </w:t>
      </w:r>
      <w:r w:rsidR="00A20977">
        <w:rPr>
          <w:i/>
        </w:rPr>
        <w:t>FL</w:t>
      </w:r>
      <w:r w:rsidRPr="009A2EA1">
        <w:rPr>
          <w:i/>
        </w:rPr>
        <w:t>, based principally on the demonstration of benefit to PFS?</w:t>
      </w:r>
    </w:p>
    <w:p w14:paraId="324BDE91" w14:textId="554CF49A" w:rsidR="00BD2B6B" w:rsidRPr="009A2EA1" w:rsidRDefault="00BD2B6B" w:rsidP="00BD2B6B">
      <w:r w:rsidRPr="009A2EA1">
        <w:t xml:space="preserve">The ACM advised that studies providing evidence of </w:t>
      </w:r>
      <w:r w:rsidR="00A20977">
        <w:t>OS</w:t>
      </w:r>
      <w:r w:rsidRPr="009A2EA1">
        <w:t xml:space="preserve"> benefits are not commonly undertaken for treatments in the field of haematology and that </w:t>
      </w:r>
      <w:r w:rsidR="00A20977">
        <w:t>PFS</w:t>
      </w:r>
      <w:r w:rsidRPr="009A2EA1">
        <w:t xml:space="preserve"> is commonly used as a surrogate, as it is considered biologically plausible. The committee noted that rituximab based treatment protocols are considered first line in the management of </w:t>
      </w:r>
      <w:r w:rsidR="00A20977">
        <w:t>FL</w:t>
      </w:r>
      <w:r w:rsidRPr="009A2EA1">
        <w:t xml:space="preserve"> and that approval of this submission to extend the indications of Gazyva would result in making </w:t>
      </w:r>
      <w:r w:rsidRPr="009A2EA1">
        <w:lastRenderedPageBreak/>
        <w:t>obinutuzumab a first line therapy in the treatment of follicular lymphoma. Approval was recommended by the committee based on the evidence provided in the Study BO21223, which showed that obinutuzumab has greater PFS benefits compared to rituximab after 2</w:t>
      </w:r>
      <w:r w:rsidR="0093289E">
        <w:t> </w:t>
      </w:r>
      <w:r w:rsidRPr="009A2EA1">
        <w:t>to 3 years.</w:t>
      </w:r>
    </w:p>
    <w:p w14:paraId="58EAC1F7" w14:textId="65A456A0" w:rsidR="007F3D3D" w:rsidRPr="009A2EA1" w:rsidRDefault="007F3D3D" w:rsidP="007F3D3D">
      <w:pPr>
        <w:ind w:left="720"/>
        <w:rPr>
          <w:i/>
        </w:rPr>
      </w:pPr>
      <w:r w:rsidRPr="009A2EA1">
        <w:rPr>
          <w:i/>
        </w:rPr>
        <w:t>What is the opinion of the committee with regard to the safety profile demonstrated by this drug, bearing in mind an approval would obviously allow its use prior to any use and failure of a rituximab-based treatment? Is a positive risk-benefit made out for this potential treatment population by the data submitted in the opinion of the committee?</w:t>
      </w:r>
    </w:p>
    <w:p w14:paraId="2AB510BC" w14:textId="3F27FD59" w:rsidR="00BD2B6B" w:rsidRPr="009A2EA1" w:rsidRDefault="00BD2B6B" w:rsidP="00BD2B6B">
      <w:r w:rsidRPr="009A2EA1">
        <w:t>The ACM noted that obinutuzumab has demonstrated a higher incidence of toxicity than rituximab across all grades of toxicity, including febrile neutropaenia and secondary malignancy. The committee considered that it is still appropriate to approve this submission and that the higher risk of toxicity can be managed by information in the product information document, specialist clinical decision making and patient consent.</w:t>
      </w:r>
    </w:p>
    <w:p w14:paraId="7B273C49" w14:textId="5C843B12" w:rsidR="007F3D3D" w:rsidRPr="009A2EA1" w:rsidRDefault="00C37D4A" w:rsidP="007F3D3D">
      <w:pPr>
        <w:ind w:left="720"/>
        <w:rPr>
          <w:i/>
        </w:rPr>
      </w:pPr>
      <w:r w:rsidRPr="009A2EA1">
        <w:rPr>
          <w:i/>
        </w:rPr>
        <w:t xml:space="preserve">What is the committee’s view on whether the submitted clinical trial </w:t>
      </w:r>
      <w:r w:rsidR="007F3D3D" w:rsidRPr="009A2EA1">
        <w:rPr>
          <w:i/>
        </w:rPr>
        <w:t xml:space="preserve">adequately represents the first </w:t>
      </w:r>
      <w:r w:rsidRPr="009A2EA1">
        <w:rPr>
          <w:i/>
        </w:rPr>
        <w:t>line treatment population of FL sufferers?</w:t>
      </w:r>
    </w:p>
    <w:p w14:paraId="5F1000E6" w14:textId="2D9DFC12" w:rsidR="00BD2B6B" w:rsidRPr="009A2EA1" w:rsidRDefault="00BD2B6B" w:rsidP="00BD2B6B">
      <w:r w:rsidRPr="009A2EA1">
        <w:t>The ACM considered that the study population is different to the target population. Differences in the study population include:</w:t>
      </w:r>
    </w:p>
    <w:p w14:paraId="0BF9AE0D" w14:textId="0B4AB940" w:rsidR="00BD2B6B" w:rsidRPr="009A2EA1" w:rsidRDefault="00BD2B6B" w:rsidP="00BD2B6B">
      <w:pPr>
        <w:pStyle w:val="ListBullet"/>
      </w:pPr>
      <w:r w:rsidRPr="009A2EA1">
        <w:t>Lower median age: the median age in the study was 59 compared to a median age of 60 to 65 in the Australian target population. Elderly patients are more susceptible to adverse effects.</w:t>
      </w:r>
    </w:p>
    <w:p w14:paraId="0C28E8C2" w14:textId="77777777" w:rsidR="00BD2B6B" w:rsidRPr="009A2EA1" w:rsidRDefault="00BD2B6B" w:rsidP="00BD2B6B">
      <w:pPr>
        <w:pStyle w:val="ListBullet"/>
      </w:pPr>
      <w:r w:rsidRPr="009A2EA1">
        <w:t>Limited comorbidity.</w:t>
      </w:r>
    </w:p>
    <w:p w14:paraId="279235DB" w14:textId="77777777" w:rsidR="00BD2B6B" w:rsidRPr="009A2EA1" w:rsidRDefault="00BD2B6B" w:rsidP="00BD2B6B">
      <w:pPr>
        <w:pStyle w:val="ListBullet"/>
      </w:pPr>
      <w:r w:rsidRPr="009A2EA1">
        <w:t>Normal renal function.</w:t>
      </w:r>
    </w:p>
    <w:p w14:paraId="3006AF9F" w14:textId="77777777" w:rsidR="00BD2B6B" w:rsidRPr="00A20977" w:rsidRDefault="00BD2B6B" w:rsidP="00A20977">
      <w:pPr>
        <w:ind w:left="720"/>
        <w:rPr>
          <w:i/>
        </w:rPr>
      </w:pPr>
      <w:r w:rsidRPr="00A20977">
        <w:rPr>
          <w:i/>
        </w:rPr>
        <w:t>The committee was also requested to provide advice on any other issues that it thinks may be relevant to a decision on whether or not to approve this application.</w:t>
      </w:r>
    </w:p>
    <w:p w14:paraId="604F08C3" w14:textId="6C9C1675" w:rsidR="00BD2B6B" w:rsidRPr="009A2EA1" w:rsidRDefault="00BD2B6B" w:rsidP="008E5E13">
      <w:r w:rsidRPr="009A2EA1">
        <w:t>The ACM advised that implementation by the sponsor of the recommendations outlined above to the satisfaction of the TGA, in addition to the evidence of efficacy and safety provided would support the safe and effective use of this product.</w:t>
      </w:r>
    </w:p>
    <w:p w14:paraId="485B2F01" w14:textId="77777777" w:rsidR="008E7846" w:rsidRPr="009A2EA1" w:rsidRDefault="008E7846" w:rsidP="008E5E13">
      <w:pPr>
        <w:pStyle w:val="Heading3"/>
      </w:pPr>
      <w:bookmarkStart w:id="108" w:name="_Toc247691532"/>
      <w:bookmarkStart w:id="109" w:name="_Toc314842516"/>
      <w:bookmarkStart w:id="110" w:name="_Toc513552866"/>
      <w:bookmarkEnd w:id="74"/>
      <w:bookmarkEnd w:id="104"/>
      <w:bookmarkEnd w:id="105"/>
      <w:r w:rsidRPr="009A2EA1">
        <w:t>Outcome</w:t>
      </w:r>
      <w:bookmarkEnd w:id="108"/>
      <w:bookmarkEnd w:id="109"/>
      <w:bookmarkEnd w:id="110"/>
    </w:p>
    <w:p w14:paraId="6D2705CA" w14:textId="72E7F102" w:rsidR="00D23139" w:rsidRPr="009A2EA1" w:rsidRDefault="00D23139" w:rsidP="00D23139">
      <w:bookmarkStart w:id="111" w:name="_Toc247691533"/>
      <w:bookmarkStart w:id="112" w:name="_Toc314842517"/>
      <w:r w:rsidRPr="009A2EA1">
        <w:t xml:space="preserve">Based on a review of quality, safety and efficacy, </w:t>
      </w:r>
      <w:r w:rsidR="00F03FA7" w:rsidRPr="009A2EA1">
        <w:t xml:space="preserve">the </w:t>
      </w:r>
      <w:r w:rsidRPr="009A2EA1">
        <w:t xml:space="preserve">TGA approved the registration of </w:t>
      </w:r>
      <w:r w:rsidR="00F160AC" w:rsidRPr="009A2EA1">
        <w:t xml:space="preserve">Gazyva obinutuzumab 40 mL concentrated solution single dose vials </w:t>
      </w:r>
      <w:r w:rsidRPr="009A2EA1">
        <w:t>for</w:t>
      </w:r>
      <w:r w:rsidR="00F160AC" w:rsidRPr="009A2EA1">
        <w:t xml:space="preserve"> intravenous infusion,</w:t>
      </w:r>
      <w:r w:rsidRPr="009A2EA1">
        <w:t xml:space="preserve"> indicated for</w:t>
      </w:r>
      <w:r w:rsidR="00F160AC" w:rsidRPr="009A2EA1">
        <w:t xml:space="preserve"> the new indication</w:t>
      </w:r>
      <w:r w:rsidRPr="009A2EA1">
        <w:t>:</w:t>
      </w:r>
    </w:p>
    <w:p w14:paraId="1F3FFA5A" w14:textId="2D936A81" w:rsidR="00D23139" w:rsidRPr="009A2EA1" w:rsidRDefault="00275B0C" w:rsidP="002A36D1">
      <w:pPr>
        <w:ind w:left="720"/>
      </w:pPr>
      <w:r w:rsidRPr="009A2EA1">
        <w:rPr>
          <w:i/>
          <w:iCs/>
        </w:rPr>
        <w:t>‘</w:t>
      </w:r>
      <w:r w:rsidR="00F03FA7" w:rsidRPr="009A2EA1">
        <w:rPr>
          <w:i/>
          <w:iCs/>
        </w:rPr>
        <w:t>Gazyva in combination with chemotherapy followed by Gazyva maintenance is indicated for</w:t>
      </w:r>
      <w:r w:rsidRPr="009A2EA1">
        <w:t xml:space="preserve"> </w:t>
      </w:r>
      <w:r w:rsidR="00F03FA7" w:rsidRPr="009A2EA1">
        <w:rPr>
          <w:i/>
          <w:iCs/>
        </w:rPr>
        <w:t>the treatment of patients with previously untreated advanced follicular lymphoma</w:t>
      </w:r>
      <w:r w:rsidRPr="009A2EA1">
        <w:rPr>
          <w:i/>
          <w:iCs/>
        </w:rPr>
        <w:t>’.</w:t>
      </w:r>
    </w:p>
    <w:p w14:paraId="74740730" w14:textId="77777777" w:rsidR="00D23139" w:rsidRPr="009A2EA1" w:rsidRDefault="00D23139" w:rsidP="00D23139">
      <w:pPr>
        <w:pStyle w:val="Heading4"/>
      </w:pPr>
      <w:r w:rsidRPr="009A2EA1">
        <w:t>Specific conditions of registration applying to these goods</w:t>
      </w:r>
    </w:p>
    <w:p w14:paraId="2382E123" w14:textId="04509589" w:rsidR="00964D8E" w:rsidRPr="009A2EA1" w:rsidRDefault="00964D8E" w:rsidP="00F03FA7">
      <w:pPr>
        <w:pStyle w:val="ListBullet"/>
      </w:pPr>
      <w:r w:rsidRPr="009A2EA1">
        <w:t>Implement EU-RMP (version 3.0, dated 13 September 2016, data lock point 5</w:t>
      </w:r>
      <w:r w:rsidR="0093289E">
        <w:t> </w:t>
      </w:r>
      <w:r w:rsidRPr="009A2EA1">
        <w:t>September 2016) with Australian Specific Annex (version 4.1, dated June 2017) and any future updates as a condition of registration.</w:t>
      </w:r>
    </w:p>
    <w:p w14:paraId="00D836A7" w14:textId="77777777" w:rsidR="008E7846" w:rsidRPr="009A2EA1" w:rsidRDefault="00A80B5B" w:rsidP="00D23139">
      <w:pPr>
        <w:pStyle w:val="Heading2"/>
      </w:pPr>
      <w:bookmarkStart w:id="113" w:name="_Toc513552867"/>
      <w:proofErr w:type="gramStart"/>
      <w:r w:rsidRPr="009A2EA1">
        <w:lastRenderedPageBreak/>
        <w:t>Attachment 1.</w:t>
      </w:r>
      <w:proofErr w:type="gramEnd"/>
      <w:r w:rsidRPr="009A2EA1">
        <w:t xml:space="preserve"> </w:t>
      </w:r>
      <w:r w:rsidR="008E7846" w:rsidRPr="009A2EA1">
        <w:t xml:space="preserve">Product </w:t>
      </w:r>
      <w:r w:rsidR="00AA0ED0" w:rsidRPr="009A2EA1">
        <w:t>I</w:t>
      </w:r>
      <w:r w:rsidR="008E7846" w:rsidRPr="009A2EA1">
        <w:t>nformation</w:t>
      </w:r>
      <w:bookmarkEnd w:id="111"/>
      <w:bookmarkEnd w:id="112"/>
      <w:bookmarkEnd w:id="113"/>
    </w:p>
    <w:p w14:paraId="01B56017" w14:textId="7C0D229B" w:rsidR="00C80137" w:rsidRPr="009A2EA1" w:rsidRDefault="006136D7" w:rsidP="00C80137">
      <w:pPr>
        <w:rPr>
          <w:color w:val="000000"/>
          <w:lang w:eastAsia="en-AU"/>
        </w:rPr>
      </w:pPr>
      <w:r w:rsidRPr="009A2EA1">
        <w:t xml:space="preserve">The PI for </w:t>
      </w:r>
      <w:r w:rsidR="00155033" w:rsidRPr="009A2EA1">
        <w:t xml:space="preserve">Gazyva </w:t>
      </w:r>
      <w:r w:rsidRPr="009A2EA1">
        <w:t xml:space="preserve">approved with the submission which is described in this AusPAR is at Attachment 1. For the most recent PI, please refer to the TGA website at </w:t>
      </w:r>
      <w:r w:rsidR="007C6B9B" w:rsidRPr="009A2EA1">
        <w:t>&lt;</w:t>
      </w:r>
      <w:hyperlink r:id="rId28" w:history="1">
        <w:r w:rsidR="007C6B9B" w:rsidRPr="009A2EA1">
          <w:rPr>
            <w:rStyle w:val="Hyperlink"/>
          </w:rPr>
          <w:t>https://www.tga.gov.au/product-information-pi</w:t>
        </w:r>
      </w:hyperlink>
      <w:r w:rsidR="00155033" w:rsidRPr="009A2EA1">
        <w:t>&gt;.</w:t>
      </w:r>
    </w:p>
    <w:p w14:paraId="6C37C801" w14:textId="083960CC" w:rsidR="00770CAC" w:rsidRPr="009A2EA1" w:rsidRDefault="00C80137" w:rsidP="00A20977">
      <w:pPr>
        <w:pStyle w:val="Heading2"/>
        <w:rPr>
          <w:lang w:eastAsia="en-AU"/>
        </w:rPr>
      </w:pPr>
      <w:bookmarkStart w:id="114" w:name="_Toc513552868"/>
      <w:proofErr w:type="gramStart"/>
      <w:r w:rsidRPr="009A2EA1">
        <w:rPr>
          <w:lang w:eastAsia="en-AU"/>
        </w:rPr>
        <w:t>Attachment 2.</w:t>
      </w:r>
      <w:proofErr w:type="gramEnd"/>
      <w:r w:rsidR="00A80B5B" w:rsidRPr="009A2EA1">
        <w:rPr>
          <w:lang w:eastAsia="en-AU"/>
        </w:rPr>
        <w:t xml:space="preserve"> </w:t>
      </w:r>
      <w:r w:rsidRPr="009A2EA1">
        <w:rPr>
          <w:lang w:eastAsia="en-AU"/>
        </w:rPr>
        <w:t>Extract from the Clinical Evaluation Report</w:t>
      </w:r>
      <w:bookmarkEnd w:id="114"/>
    </w:p>
    <w:p w14:paraId="3300AF8C" w14:textId="77777777" w:rsidR="00291957" w:rsidRPr="009A2EA1" w:rsidRDefault="00291957" w:rsidP="00291957">
      <w:pPr>
        <w:rPr>
          <w:lang w:eastAsia="ja-JP"/>
        </w:rPr>
      </w:pPr>
    </w:p>
    <w:p w14:paraId="3C5B57F7" w14:textId="77777777" w:rsidR="00C80137" w:rsidRPr="009A2EA1" w:rsidRDefault="00C80137" w:rsidP="003A7F6C">
      <w:pPr>
        <w:pStyle w:val="TableTitle"/>
        <w:sectPr w:rsidR="00C80137" w:rsidRPr="009A2EA1"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9A2EA1" w14:paraId="1CF24261" w14:textId="77777777" w:rsidTr="00A05FA4">
        <w:trPr>
          <w:trHeight w:hRule="exact" w:val="704"/>
        </w:trPr>
        <w:tc>
          <w:tcPr>
            <w:tcW w:w="9175" w:type="dxa"/>
          </w:tcPr>
          <w:p w14:paraId="174A6ADC" w14:textId="77777777" w:rsidR="001C32CD" w:rsidRPr="009A2EA1" w:rsidRDefault="001C32CD" w:rsidP="00A05FA4">
            <w:pPr>
              <w:pStyle w:val="TGASignoff"/>
            </w:pPr>
            <w:r w:rsidRPr="009A2EA1">
              <w:lastRenderedPageBreak/>
              <w:t>Therapeutic Goods Administration</w:t>
            </w:r>
          </w:p>
        </w:tc>
      </w:tr>
      <w:tr w:rsidR="001C32CD" w:rsidRPr="009A2EA1" w14:paraId="61FAF84A" w14:textId="77777777" w:rsidTr="00A05FA4">
        <w:trPr>
          <w:trHeight w:val="1221"/>
        </w:trPr>
        <w:tc>
          <w:tcPr>
            <w:tcW w:w="9175" w:type="dxa"/>
            <w:tcMar>
              <w:top w:w="28" w:type="dxa"/>
            </w:tcMar>
          </w:tcPr>
          <w:p w14:paraId="14E94F85" w14:textId="77777777" w:rsidR="001C32CD" w:rsidRPr="009A2EA1" w:rsidRDefault="001C32CD" w:rsidP="00A05FA4">
            <w:pPr>
              <w:pStyle w:val="Address"/>
            </w:pPr>
            <w:r w:rsidRPr="009A2EA1">
              <w:t>PO Box 100 Woden ACT 2606 Australia</w:t>
            </w:r>
          </w:p>
          <w:p w14:paraId="559C5158" w14:textId="77777777" w:rsidR="001C32CD" w:rsidRPr="009A2EA1" w:rsidRDefault="001C32CD" w:rsidP="00A05FA4">
            <w:pPr>
              <w:pStyle w:val="Address"/>
            </w:pPr>
            <w:r w:rsidRPr="009A2EA1">
              <w:t xml:space="preserve">Email: </w:t>
            </w:r>
            <w:hyperlink r:id="rId33" w:history="1">
              <w:r w:rsidRPr="009A2EA1">
                <w:rPr>
                  <w:rStyle w:val="Hyperlink"/>
                </w:rPr>
                <w:t>info@tga.gov.au</w:t>
              </w:r>
            </w:hyperlink>
            <w:r w:rsidRPr="009A2EA1">
              <w:t xml:space="preserve">  Phone: 1800 020 653  Fax: 02 6232 8605</w:t>
            </w:r>
          </w:p>
          <w:p w14:paraId="68E9875D" w14:textId="77777777" w:rsidR="001C32CD" w:rsidRPr="009A2EA1" w:rsidRDefault="00F20ACE" w:rsidP="00A05FA4">
            <w:pPr>
              <w:pStyle w:val="Address"/>
              <w:spacing w:line="260" w:lineRule="atLeast"/>
              <w:rPr>
                <w:b/>
                <w:color w:val="0000FF"/>
                <w:u w:val="single"/>
              </w:rPr>
            </w:pPr>
            <w:hyperlink r:id="rId34" w:history="1">
              <w:r w:rsidR="007C6B9B" w:rsidRPr="009A2EA1">
                <w:rPr>
                  <w:rStyle w:val="Hyperlink"/>
                  <w:b/>
                </w:rPr>
                <w:t>https://www.tga.gov.au</w:t>
              </w:r>
            </w:hyperlink>
          </w:p>
        </w:tc>
      </w:tr>
    </w:tbl>
    <w:p w14:paraId="7414123C" w14:textId="77777777" w:rsidR="00774E1D" w:rsidRPr="009A2EA1" w:rsidRDefault="00774E1D" w:rsidP="004C239D"/>
    <w:sectPr w:rsidR="00774E1D" w:rsidRPr="009A2EA1"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03B1BCF" w15:done="0"/>
  <w15:commentEx w15:paraId="4034959D" w15:done="0"/>
  <w15:commentEx w15:paraId="2119324E" w15:done="0"/>
  <w15:commentEx w15:paraId="7700AFE6" w15:done="0"/>
  <w15:commentEx w15:paraId="092EE867" w15:done="0"/>
  <w15:commentEx w15:paraId="7D997699" w15:done="0"/>
  <w15:commentEx w15:paraId="0F118440" w15:done="0"/>
  <w15:commentEx w15:paraId="05FA1DC5" w15:done="0"/>
  <w15:commentEx w15:paraId="7D84CF40" w15:done="0"/>
  <w15:commentEx w15:paraId="4AB9AD29" w15:done="0"/>
  <w15:commentEx w15:paraId="2B8E53E3" w15:done="0"/>
  <w15:commentEx w15:paraId="7C1C88CD" w15:paraIdParent="2B8E53E3" w15:done="0"/>
  <w15:commentEx w15:paraId="61428FB4" w15:done="0"/>
  <w15:commentEx w15:paraId="46F609CB" w15:done="0"/>
  <w15:commentEx w15:paraId="05D194C2" w15:done="0"/>
  <w15:commentEx w15:paraId="7F07E112" w15:done="0"/>
  <w15:commentEx w15:paraId="0AA585DE" w15:done="0"/>
  <w15:commentEx w15:paraId="0C3E804E" w15:done="0"/>
  <w15:commentEx w15:paraId="5BA475EF" w15:done="0"/>
  <w15:commentEx w15:paraId="0BE07F54" w15:done="0"/>
  <w15:commentEx w15:paraId="4D0E1D8A" w15:done="0"/>
  <w15:commentEx w15:paraId="1D52C3A8" w15:done="0"/>
  <w15:commentEx w15:paraId="492FB312" w15:paraIdParent="1D52C3A8" w15:done="0"/>
  <w15:commentEx w15:paraId="746FE76F" w15:done="0"/>
  <w15:commentEx w15:paraId="086BB09C" w15:paraIdParent="746FE76F" w15:done="0"/>
  <w15:commentEx w15:paraId="28CBA323" w15:done="0"/>
  <w15:commentEx w15:paraId="274F9EC0" w15:done="0"/>
  <w15:commentEx w15:paraId="4F524E6F" w15:done="0"/>
  <w15:commentEx w15:paraId="3CF7F6D4" w15:done="0"/>
  <w15:commentEx w15:paraId="027B0B2C" w15:paraIdParent="3CF7F6D4" w15:done="0"/>
  <w15:commentEx w15:paraId="543B722B" w15:done="0"/>
  <w15:commentEx w15:paraId="1A2BDF7C" w15:done="0"/>
  <w15:commentEx w15:paraId="42FAD702" w15:done="0"/>
  <w15:commentEx w15:paraId="696EEE95" w15:done="0"/>
  <w15:commentEx w15:paraId="2A66569A" w15:done="0"/>
  <w15:commentEx w15:paraId="48586732" w15:done="0"/>
  <w15:commentEx w15:paraId="44F2C6CE" w15:done="0"/>
  <w15:commentEx w15:paraId="068760BD" w15:done="0"/>
  <w15:commentEx w15:paraId="106D957F" w15:done="0"/>
  <w15:commentEx w15:paraId="62AEB14F" w15:done="0"/>
  <w15:commentEx w15:paraId="1008242F" w15:done="0"/>
  <w15:commentEx w15:paraId="3063DE00" w15:done="0"/>
  <w15:commentEx w15:paraId="7929A23B" w15:done="0"/>
  <w15:commentEx w15:paraId="5226ED24" w15:done="0"/>
  <w15:commentEx w15:paraId="5ED78A19" w15:done="0"/>
  <w15:commentEx w15:paraId="63D3AE84" w15:done="0"/>
  <w15:commentEx w15:paraId="0FEC3D3A" w15:done="0"/>
  <w15:commentEx w15:paraId="757FB344" w15:done="0"/>
  <w15:commentEx w15:paraId="289D929A" w15:done="0"/>
  <w15:commentEx w15:paraId="7FACC2BC" w15:done="0"/>
  <w15:commentEx w15:paraId="290FBC1A" w15:done="0"/>
  <w15:commentEx w15:paraId="1CBAA00C" w15:done="0"/>
  <w15:commentEx w15:paraId="4125A26B" w15:paraIdParent="1CBAA00C" w15:done="0"/>
  <w15:commentEx w15:paraId="2D3E2805" w15:done="0"/>
  <w15:commentEx w15:paraId="3CE5E2AB" w15:done="0"/>
  <w15:commentEx w15:paraId="2750FE7B" w15:done="0"/>
  <w15:commentEx w15:paraId="0794B78C" w15:done="0"/>
  <w15:commentEx w15:paraId="48730D17" w15:done="0"/>
  <w15:commentEx w15:paraId="6F08E6B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1CE40C" w14:textId="77777777" w:rsidR="00F20ACE" w:rsidRDefault="00F20ACE" w:rsidP="00C40A36">
      <w:pPr>
        <w:spacing w:after="0"/>
      </w:pPr>
      <w:r>
        <w:separator/>
      </w:r>
    </w:p>
  </w:endnote>
  <w:endnote w:type="continuationSeparator" w:id="0">
    <w:p w14:paraId="7692B04A" w14:textId="77777777" w:rsidR="00F20ACE" w:rsidRDefault="00F20AC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F20ACE" w:rsidRPr="00487162" w14:paraId="02D403DB" w14:textId="77777777" w:rsidTr="00DB750B">
      <w:trPr>
        <w:trHeight w:val="269"/>
      </w:trPr>
      <w:tc>
        <w:tcPr>
          <w:tcW w:w="7371" w:type="dxa"/>
          <w:tcMar>
            <w:top w:w="142" w:type="dxa"/>
            <w:bottom w:w="0" w:type="dxa"/>
          </w:tcMar>
        </w:tcPr>
        <w:p w14:paraId="3690244A" w14:textId="52CCF7C2" w:rsidR="00F20ACE" w:rsidRDefault="00F20ACE" w:rsidP="00054B64">
          <w:pPr>
            <w:pStyle w:val="Footer"/>
            <w:rPr>
              <w:lang w:val="en-GB"/>
            </w:rPr>
          </w:pPr>
          <w:r w:rsidRPr="00487162">
            <w:t>AusPA</w:t>
          </w:r>
          <w:r>
            <w:t>R</w:t>
          </w:r>
          <w:r w:rsidRPr="00054B64">
            <w:t xml:space="preserve"> for Gazyva </w:t>
          </w:r>
          <w:r w:rsidRPr="00054B64">
            <w:rPr>
              <w:lang w:val="en-GB"/>
            </w:rPr>
            <w:t>obinutuzumab Roche Products Pty Ltd</w:t>
          </w:r>
          <w:r w:rsidRPr="00054B64">
            <w:t xml:space="preserve"> </w:t>
          </w:r>
          <w:r>
            <w:rPr>
              <w:lang w:val="en-GB"/>
            </w:rPr>
            <w:t>PM-2016-03149-1-4</w:t>
          </w:r>
        </w:p>
        <w:p w14:paraId="7EFC1DA4" w14:textId="1CBAC168" w:rsidR="00F20ACE" w:rsidRPr="00487162" w:rsidRDefault="00F20ACE" w:rsidP="00FE2AEA">
          <w:pPr>
            <w:pStyle w:val="Footer"/>
          </w:pPr>
          <w:r>
            <w:t>Final 2 May 2018</w:t>
          </w:r>
        </w:p>
      </w:tc>
      <w:tc>
        <w:tcPr>
          <w:tcW w:w="1490" w:type="dxa"/>
          <w:tcMar>
            <w:top w:w="142" w:type="dxa"/>
            <w:bottom w:w="0" w:type="dxa"/>
          </w:tcMar>
        </w:tcPr>
        <w:p w14:paraId="290A14FD" w14:textId="4B0705CB" w:rsidR="00F20ACE" w:rsidRPr="00487162" w:rsidRDefault="00F20ACE" w:rsidP="00DB750B">
          <w:pPr>
            <w:pStyle w:val="Footer"/>
            <w:jc w:val="right"/>
          </w:pPr>
          <w:r w:rsidRPr="00487162">
            <w:t xml:space="preserve">Page </w:t>
          </w:r>
          <w:r>
            <w:fldChar w:fldCharType="begin"/>
          </w:r>
          <w:r>
            <w:instrText xml:space="preserve"> PAGE  \* Arabic </w:instrText>
          </w:r>
          <w:r>
            <w:fldChar w:fldCharType="separate"/>
          </w:r>
          <w:r w:rsidR="008E5E13">
            <w:rPr>
              <w:noProof/>
            </w:rPr>
            <w:t>3</w:t>
          </w:r>
          <w:r>
            <w:fldChar w:fldCharType="end"/>
          </w:r>
          <w:r w:rsidRPr="00487162">
            <w:t xml:space="preserve"> of </w:t>
          </w:r>
          <w:r>
            <w:fldChar w:fldCharType="begin"/>
          </w:r>
          <w:r>
            <w:instrText xml:space="preserve"> NUMPAGES  \* Arabic </w:instrText>
          </w:r>
          <w:r>
            <w:fldChar w:fldCharType="separate"/>
          </w:r>
          <w:r w:rsidR="008E5E13">
            <w:rPr>
              <w:noProof/>
            </w:rPr>
            <w:t>44</w:t>
          </w:r>
          <w:r>
            <w:rPr>
              <w:noProof/>
            </w:rPr>
            <w:fldChar w:fldCharType="end"/>
          </w:r>
        </w:p>
      </w:tc>
    </w:tr>
  </w:tbl>
  <w:p w14:paraId="1AA4A926" w14:textId="77777777" w:rsidR="00F20ACE" w:rsidRDefault="00F20ACE"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20ACE" w:rsidRPr="00487162" w14:paraId="5FF5214E" w14:textId="77777777" w:rsidTr="00E45619">
      <w:trPr>
        <w:trHeight w:val="269"/>
      </w:trPr>
      <w:tc>
        <w:tcPr>
          <w:tcW w:w="4519" w:type="dxa"/>
          <w:tcBorders>
            <w:top w:val="single" w:sz="4" w:space="0" w:color="auto"/>
          </w:tcBorders>
          <w:tcMar>
            <w:top w:w="142" w:type="dxa"/>
            <w:bottom w:w="0" w:type="dxa"/>
          </w:tcMar>
        </w:tcPr>
        <w:p w14:paraId="45AE7204" w14:textId="77777777" w:rsidR="00F20ACE" w:rsidRPr="00487162" w:rsidRDefault="00F20ACE" w:rsidP="00FE1DEE">
          <w:pPr>
            <w:pStyle w:val="Footer"/>
          </w:pPr>
          <w:r w:rsidRPr="00487162">
            <w:t>Document title, Part #, Section # - Section title</w:t>
          </w:r>
        </w:p>
        <w:p w14:paraId="5058D81F" w14:textId="77777777" w:rsidR="00F20ACE" w:rsidRPr="00487162" w:rsidRDefault="00F20ACE" w:rsidP="00FE1DEE">
          <w:pPr>
            <w:pStyle w:val="Footer"/>
          </w:pPr>
          <w:r w:rsidRPr="00487162">
            <w:t>V1.0 October 2010</w:t>
          </w:r>
        </w:p>
      </w:tc>
      <w:tc>
        <w:tcPr>
          <w:tcW w:w="4342" w:type="dxa"/>
          <w:tcBorders>
            <w:top w:val="single" w:sz="4" w:space="0" w:color="auto"/>
          </w:tcBorders>
          <w:tcMar>
            <w:top w:w="142" w:type="dxa"/>
            <w:bottom w:w="0" w:type="dxa"/>
          </w:tcMar>
        </w:tcPr>
        <w:p w14:paraId="7B6800D7" w14:textId="468BEE2C" w:rsidR="00F20ACE" w:rsidRPr="00487162" w:rsidRDefault="00F20AC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5A0B8813" w14:textId="77777777" w:rsidR="00F20ACE" w:rsidRDefault="00F20A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1CD7F" w14:textId="77777777" w:rsidR="00F20ACE" w:rsidRPr="001C32CD" w:rsidRDefault="00F20AC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20ACE" w14:paraId="736E529D" w14:textId="77777777" w:rsidTr="0010601F">
      <w:trPr>
        <w:trHeight w:val="108"/>
      </w:trPr>
      <w:tc>
        <w:tcPr>
          <w:tcW w:w="8875" w:type="dxa"/>
          <w:gridSpan w:val="2"/>
          <w:tcBorders>
            <w:bottom w:val="single" w:sz="4" w:space="0" w:color="auto"/>
          </w:tcBorders>
          <w:tcMar>
            <w:right w:w="284" w:type="dxa"/>
          </w:tcMar>
        </w:tcPr>
        <w:p w14:paraId="6B67B3A9" w14:textId="77777777" w:rsidR="00F20ACE" w:rsidRDefault="00F20ACE" w:rsidP="006E08B3">
          <w:pPr>
            <w:pStyle w:val="Heading3"/>
          </w:pPr>
          <w:r>
            <w:t>Copyright</w:t>
          </w:r>
        </w:p>
        <w:p w14:paraId="0464446C" w14:textId="77777777" w:rsidR="00F20ACE" w:rsidRDefault="00F20ACE" w:rsidP="006E08B3">
          <w:r>
            <w:rPr>
              <w:rFonts w:cs="Arial"/>
            </w:rPr>
            <w:t>©</w:t>
          </w:r>
          <w:r>
            <w:t xml:space="preserve"> Commonwealth of Australia [add year]</w:t>
          </w:r>
        </w:p>
        <w:p w14:paraId="15A1A327" w14:textId="77777777" w:rsidR="00F20ACE" w:rsidRDefault="00F20ACE" w:rsidP="006E08B3"/>
        <w:p w14:paraId="74FCC051" w14:textId="77777777" w:rsidR="00F20ACE" w:rsidRDefault="00F20AC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1F6AE9A0" w14:textId="77777777" w:rsidR="00F20ACE" w:rsidRDefault="00F20ACE" w:rsidP="006E08B3"/>
        <w:p w14:paraId="63915EE3" w14:textId="77777777" w:rsidR="00F20ACE" w:rsidRDefault="00F20ACE" w:rsidP="006E08B3">
          <w:pPr>
            <w:pStyle w:val="Heading3"/>
          </w:pPr>
          <w:r>
            <w:t>Confidentiality</w:t>
          </w:r>
        </w:p>
        <w:p w14:paraId="5AF21A68" w14:textId="7CDA9D61" w:rsidR="00F20ACE" w:rsidRDefault="00F20AC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14EBEFDC" w14:textId="77777777" w:rsidR="00F20ACE" w:rsidRDefault="00F20ACE" w:rsidP="006E08B3"/>
        <w:p w14:paraId="3A5D89DD" w14:textId="77777777" w:rsidR="00F20ACE" w:rsidRDefault="00F20ACE" w:rsidP="006E08B3">
          <w:r>
            <w:t>For submission made by individuals, all personal details, other than your name, will be removed from your submission before it is published on the TGA’s Internet site.</w:t>
          </w:r>
        </w:p>
        <w:p w14:paraId="317EACF1" w14:textId="77777777" w:rsidR="00F20ACE" w:rsidRDefault="00F20ACE" w:rsidP="006E08B3"/>
        <w:p w14:paraId="63BD623B" w14:textId="77777777" w:rsidR="00F20ACE" w:rsidRDefault="00F20ACE" w:rsidP="006E08B3">
          <w:r>
            <w:t>In addition, a list of parties making submissions will be published. If you do not wish to be identified with your submission you must specifically request this in the space provided ib the submission coversheet.</w:t>
          </w:r>
        </w:p>
      </w:tc>
    </w:tr>
    <w:tr w:rsidR="00F20ACE" w14:paraId="62FB5F02" w14:textId="77777777" w:rsidTr="0010601F">
      <w:trPr>
        <w:trHeight w:val="417"/>
      </w:trPr>
      <w:tc>
        <w:tcPr>
          <w:tcW w:w="4519" w:type="dxa"/>
          <w:tcBorders>
            <w:top w:val="single" w:sz="4" w:space="0" w:color="auto"/>
          </w:tcBorders>
          <w:tcMar>
            <w:top w:w="142" w:type="dxa"/>
            <w:bottom w:w="0" w:type="dxa"/>
          </w:tcMar>
        </w:tcPr>
        <w:p w14:paraId="6A64416D" w14:textId="77777777" w:rsidR="00F20ACE" w:rsidRDefault="00F20ACE" w:rsidP="006E08B3">
          <w:r>
            <w:t>Document title, Part #, Section # - Section title</w:t>
          </w:r>
        </w:p>
        <w:p w14:paraId="232EDE1F" w14:textId="77777777" w:rsidR="00F20ACE" w:rsidRDefault="00F20ACE" w:rsidP="006E08B3">
          <w:r>
            <w:t>V1.0 October 2010</w:t>
          </w:r>
        </w:p>
      </w:tc>
      <w:tc>
        <w:tcPr>
          <w:tcW w:w="4356" w:type="dxa"/>
          <w:tcBorders>
            <w:top w:val="single" w:sz="4" w:space="0" w:color="auto"/>
          </w:tcBorders>
          <w:tcMar>
            <w:top w:w="142" w:type="dxa"/>
            <w:bottom w:w="0" w:type="dxa"/>
          </w:tcMar>
        </w:tcPr>
        <w:p w14:paraId="580C17D6" w14:textId="7C7FD53C" w:rsidR="00F20ACE" w:rsidRDefault="00F20AC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r>
            <w:t xml:space="preserve">  </w:t>
          </w:r>
        </w:p>
      </w:tc>
    </w:tr>
  </w:tbl>
  <w:p w14:paraId="6078A9A4" w14:textId="77777777" w:rsidR="00F20ACE" w:rsidRDefault="00F20A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3A0061" w14:textId="77777777" w:rsidR="00F20ACE" w:rsidRDefault="00F20ACE" w:rsidP="00C40A36">
      <w:pPr>
        <w:spacing w:after="0"/>
      </w:pPr>
      <w:r>
        <w:separator/>
      </w:r>
    </w:p>
  </w:footnote>
  <w:footnote w:type="continuationSeparator" w:id="0">
    <w:p w14:paraId="1DBF1D36" w14:textId="77777777" w:rsidR="00F20ACE" w:rsidRDefault="00F20ACE" w:rsidP="00C40A36">
      <w:pPr>
        <w:spacing w:after="0"/>
      </w:pPr>
      <w:r>
        <w:continuationSeparator/>
      </w:r>
    </w:p>
  </w:footnote>
  <w:footnote w:id="1">
    <w:p w14:paraId="5005D26D" w14:textId="77777777" w:rsidR="00F20ACE" w:rsidRPr="00C9173F" w:rsidRDefault="00F20ACE" w:rsidP="00A806EE">
      <w:pPr>
        <w:rPr>
          <w:sz w:val="18"/>
          <w:szCs w:val="18"/>
        </w:rPr>
      </w:pPr>
      <w:r w:rsidRPr="00C9173F">
        <w:rPr>
          <w:rStyle w:val="FootnoteReference"/>
          <w:sz w:val="18"/>
          <w:szCs w:val="18"/>
        </w:rPr>
        <w:footnoteRef/>
      </w:r>
      <w:r w:rsidRPr="00C9173F">
        <w:rPr>
          <w:sz w:val="18"/>
          <w:szCs w:val="18"/>
        </w:rPr>
        <w:t xml:space="preserve"> </w:t>
      </w:r>
      <w:proofErr w:type="gramStart"/>
      <w:r w:rsidRPr="00C9173F">
        <w:rPr>
          <w:sz w:val="18"/>
          <w:szCs w:val="18"/>
        </w:rPr>
        <w:t>Freedman A, and Aster J. Clinical manifestations, pathologic features, diagnosis, and prognosis of follicular lymphoma.</w:t>
      </w:r>
      <w:proofErr w:type="gramEnd"/>
      <w:r w:rsidRPr="00C9173F">
        <w:rPr>
          <w:sz w:val="18"/>
          <w:szCs w:val="18"/>
        </w:rPr>
        <w:t xml:space="preserve"> </w:t>
      </w:r>
      <w:proofErr w:type="gramStart"/>
      <w:r w:rsidRPr="00C9173F">
        <w:rPr>
          <w:sz w:val="18"/>
          <w:szCs w:val="18"/>
        </w:rPr>
        <w:t>UpToDate.</w:t>
      </w:r>
      <w:proofErr w:type="gramEnd"/>
      <w:r w:rsidRPr="00C9173F">
        <w:rPr>
          <w:sz w:val="18"/>
          <w:szCs w:val="18"/>
        </w:rPr>
        <w:t xml:space="preserve"> Literature review current through: January 2017. </w:t>
      </w:r>
      <w:proofErr w:type="gramStart"/>
      <w:r w:rsidRPr="00C9173F">
        <w:rPr>
          <w:sz w:val="18"/>
          <w:szCs w:val="18"/>
        </w:rPr>
        <w:t>Updated: September 21, 2016.</w:t>
      </w:r>
      <w:proofErr w:type="gramEnd"/>
    </w:p>
  </w:footnote>
  <w:footnote w:id="2">
    <w:p w14:paraId="0A667DC9" w14:textId="77777777" w:rsidR="00F20ACE" w:rsidRPr="00C9173F" w:rsidRDefault="00F20ACE" w:rsidP="009B49F6">
      <w:pPr>
        <w:rPr>
          <w:sz w:val="18"/>
          <w:szCs w:val="18"/>
        </w:rPr>
      </w:pPr>
      <w:r w:rsidRPr="00C9173F">
        <w:rPr>
          <w:rStyle w:val="FootnoteReference"/>
          <w:sz w:val="18"/>
          <w:szCs w:val="18"/>
        </w:rPr>
        <w:footnoteRef/>
      </w:r>
      <w:r w:rsidRPr="00C9173F">
        <w:rPr>
          <w:sz w:val="18"/>
          <w:szCs w:val="18"/>
        </w:rPr>
        <w:t xml:space="preserve"> Kahl B, and Yang D. Follicular lymphoma: evolving therapeutic strategies. Blood 2016; 127, 2055-2063.</w:t>
      </w:r>
    </w:p>
  </w:footnote>
  <w:footnote w:id="3">
    <w:p w14:paraId="18F447DC" w14:textId="77777777" w:rsidR="00F20ACE" w:rsidRPr="00C456E5" w:rsidRDefault="00F20ACE" w:rsidP="009B49F6">
      <w:pPr>
        <w:rPr>
          <w:sz w:val="18"/>
          <w:szCs w:val="18"/>
        </w:rPr>
      </w:pPr>
      <w:r w:rsidRPr="00C456E5">
        <w:rPr>
          <w:sz w:val="18"/>
          <w:szCs w:val="18"/>
        </w:rPr>
        <w:footnoteRef/>
      </w:r>
      <w:r w:rsidRPr="00C456E5">
        <w:rPr>
          <w:sz w:val="18"/>
          <w:szCs w:val="18"/>
        </w:rPr>
        <w:t xml:space="preserve"> Australian Register of Therapeutic Goods (ARTG), searched 17 July 2017.</w:t>
      </w:r>
    </w:p>
  </w:footnote>
  <w:footnote w:id="4">
    <w:p w14:paraId="15C8E1CF" w14:textId="515F8267" w:rsidR="00F20ACE" w:rsidRPr="000D7406" w:rsidRDefault="00F20ACE">
      <w:pPr>
        <w:pStyle w:val="FootnoteText"/>
        <w:rPr>
          <w:lang w:val="en-GB"/>
        </w:rPr>
      </w:pPr>
      <w:r>
        <w:rPr>
          <w:rStyle w:val="FootnoteReference"/>
        </w:rPr>
        <w:footnoteRef/>
      </w:r>
      <w:r>
        <w:t xml:space="preserve"> The </w:t>
      </w:r>
      <w:r w:rsidRPr="008B7A1D">
        <w:rPr>
          <w:lang w:val="en-GB"/>
        </w:rPr>
        <w:t xml:space="preserve">RL </w:t>
      </w:r>
      <w:r>
        <w:rPr>
          <w:lang w:val="en-GB"/>
        </w:rPr>
        <w:t xml:space="preserve">cell line </w:t>
      </w:r>
      <w:r w:rsidRPr="008B7A1D">
        <w:rPr>
          <w:lang w:val="en-GB"/>
        </w:rPr>
        <w:t>is a human</w:t>
      </w:r>
      <w:r>
        <w:rPr>
          <w:lang w:val="en-GB"/>
        </w:rPr>
        <w:t>,</w:t>
      </w:r>
      <w:r w:rsidRPr="008B7A1D">
        <w:rPr>
          <w:lang w:val="en-GB"/>
        </w:rPr>
        <w:t xml:space="preserve"> non-Hodgkin's lymphoma B cell line originated in 1983</w:t>
      </w:r>
      <w:r>
        <w:rPr>
          <w:lang w:val="en-GB"/>
        </w:rPr>
        <w:t>.</w:t>
      </w:r>
    </w:p>
  </w:footnote>
  <w:footnote w:id="5">
    <w:p w14:paraId="42851B8C" w14:textId="1BAB7C4F" w:rsidR="00F20ACE" w:rsidRPr="000D7406" w:rsidRDefault="00F20ACE">
      <w:pPr>
        <w:pStyle w:val="FootnoteText"/>
        <w:rPr>
          <w:lang w:val="en-US"/>
        </w:rPr>
      </w:pPr>
      <w:r>
        <w:rPr>
          <w:rStyle w:val="FootnoteReference"/>
        </w:rPr>
        <w:footnoteRef/>
      </w:r>
      <w:r>
        <w:t xml:space="preserve"> </w:t>
      </w:r>
      <w:r w:rsidRPr="00AC1EE2">
        <w:t>In both treatment groups, the incidence of deaths, deaths due to AEs, Grade 3</w:t>
      </w:r>
      <w:r>
        <w:t xml:space="preserve"> to</w:t>
      </w:r>
      <w:r w:rsidRPr="00AC1EE2">
        <w:t xml:space="preserve"> 5 AEs, SAEs, and AE leading to withdrawal from treatment was higher in patients with a creatinine clearance &lt;</w:t>
      </w:r>
      <w:r>
        <w:t xml:space="preserve"> </w:t>
      </w:r>
      <w:r w:rsidRPr="00AC1EE2">
        <w:t>50 mL/min compared with patients with creatinine clearance &gt;</w:t>
      </w:r>
      <w:r>
        <w:t xml:space="preserve"> </w:t>
      </w:r>
      <w:r w:rsidRPr="00AC1EE2">
        <w:t>50 mL/min</w:t>
      </w:r>
      <w:r>
        <w:t>.</w:t>
      </w:r>
    </w:p>
  </w:footnote>
  <w:footnote w:id="6">
    <w:p w14:paraId="7C3A70B4" w14:textId="286F0BCF" w:rsidR="00F20ACE" w:rsidRPr="00C456E5" w:rsidRDefault="00F20ACE">
      <w:pPr>
        <w:pStyle w:val="FootnoteText"/>
        <w:rPr>
          <w:lang w:val="en-US"/>
        </w:rPr>
      </w:pPr>
      <w:r>
        <w:rPr>
          <w:rStyle w:val="FootnoteReference"/>
        </w:rPr>
        <w:footnoteRef/>
      </w:r>
      <w:r w:rsidRPr="00906BC8">
        <w:rPr>
          <w:lang w:val="fr-FR"/>
        </w:rPr>
        <w:t xml:space="preserve"> Salles G, et al. </w:t>
      </w:r>
      <w:r>
        <w:t xml:space="preserve">(2011). </w:t>
      </w:r>
      <w:r w:rsidRPr="005B2EF4">
        <w:t xml:space="preserve">Rituximab maintenance for 2 years in patients with high tumour burden follicular lymphoma responding to rituximab plus chemotherapy (PRIMA): a </w:t>
      </w:r>
      <w:r>
        <w:t>P</w:t>
      </w:r>
      <w:r w:rsidRPr="005B2EF4">
        <w:t xml:space="preserve">hase </w:t>
      </w:r>
      <w:proofErr w:type="gramStart"/>
      <w:r w:rsidRPr="005B2EF4">
        <w:t>3,</w:t>
      </w:r>
      <w:proofErr w:type="gramEnd"/>
      <w:r w:rsidRPr="005B2EF4">
        <w:t xml:space="preserve"> randomised controlled trial. Lancet.377:42-51</w:t>
      </w:r>
    </w:p>
  </w:footnote>
  <w:footnote w:id="7">
    <w:p w14:paraId="4637B285" w14:textId="38EE3EDB" w:rsidR="00F20ACE" w:rsidRPr="00906BC8" w:rsidRDefault="00F20ACE" w:rsidP="00441658">
      <w:pPr>
        <w:pStyle w:val="FootnoteText"/>
        <w:keepNext/>
        <w:ind w:left="142" w:hanging="142"/>
        <w:rPr>
          <w:lang w:val="fr-FR"/>
        </w:rPr>
      </w:pPr>
      <w:r>
        <w:rPr>
          <w:rStyle w:val="FootnoteReference"/>
        </w:rPr>
        <w:footnoteRef/>
      </w:r>
      <w:r>
        <w:rPr>
          <w:lang w:val="fr-FR"/>
        </w:rPr>
        <w:t xml:space="preserve"> </w:t>
      </w:r>
      <w:r w:rsidRPr="00906BC8">
        <w:rPr>
          <w:lang w:val="fr-FR"/>
        </w:rPr>
        <w:t xml:space="preserve">Salles G, et al. </w:t>
      </w:r>
      <w:r>
        <w:rPr>
          <w:lang w:val="en-US"/>
        </w:rPr>
        <w:t xml:space="preserve">(2011). </w:t>
      </w:r>
      <w:r w:rsidRPr="005B2EF4">
        <w:rPr>
          <w:lang w:val="en-US"/>
        </w:rPr>
        <w:t xml:space="preserve">Rituximab maintenance for 2 years in patients with high tumour burden follicular lymphoma responding to rituximab plus chemotherapy (PRIMA): a phase </w:t>
      </w:r>
      <w:proofErr w:type="gramStart"/>
      <w:r w:rsidRPr="005B2EF4">
        <w:rPr>
          <w:lang w:val="en-US"/>
        </w:rPr>
        <w:t>3,</w:t>
      </w:r>
      <w:proofErr w:type="gramEnd"/>
      <w:r w:rsidRPr="005B2EF4">
        <w:rPr>
          <w:lang w:val="en-US"/>
        </w:rPr>
        <w:t xml:space="preserve"> rand</w:t>
      </w:r>
      <w:r>
        <w:rPr>
          <w:lang w:val="en-US"/>
        </w:rPr>
        <w:t xml:space="preserve">omised controlled trial. </w:t>
      </w:r>
      <w:r w:rsidRPr="00906BC8">
        <w:rPr>
          <w:lang w:val="fr-FR"/>
        </w:rPr>
        <w:t>Lancet 377:42-51.</w:t>
      </w:r>
    </w:p>
  </w:footnote>
  <w:footnote w:id="8">
    <w:p w14:paraId="3301D6D2" w14:textId="05F6BE1F" w:rsidR="00F20ACE" w:rsidRPr="00906BC8" w:rsidRDefault="00F20ACE" w:rsidP="00906BC8">
      <w:pPr>
        <w:pStyle w:val="FootnoteText"/>
        <w:keepNext/>
        <w:ind w:left="142" w:hanging="142"/>
        <w:rPr>
          <w:lang w:val="it-IT"/>
        </w:rPr>
      </w:pPr>
      <w:r>
        <w:rPr>
          <w:rStyle w:val="FootnoteReference"/>
        </w:rPr>
        <w:footnoteRef/>
      </w:r>
      <w:r>
        <w:t xml:space="preserve"> </w:t>
      </w:r>
      <w:r w:rsidRPr="0023062B">
        <w:rPr>
          <w:lang w:val="fr-FR"/>
        </w:rPr>
        <w:t xml:space="preserve">Salles G, et al. </w:t>
      </w:r>
      <w:r>
        <w:rPr>
          <w:lang w:val="en-US"/>
        </w:rPr>
        <w:t xml:space="preserve">(2013). </w:t>
      </w:r>
      <w:r w:rsidRPr="005B2EF4">
        <w:rPr>
          <w:lang w:val="en-US"/>
        </w:rPr>
        <w:t>Obinutuzumab (GA101) in patients with relapsed/refractory indolent non-Hodgkin lymphoma: results from the phase</w:t>
      </w:r>
      <w:r>
        <w:rPr>
          <w:lang w:val="en-US"/>
        </w:rPr>
        <w:t xml:space="preserve"> II GAUGUIN study. </w:t>
      </w:r>
      <w:r>
        <w:rPr>
          <w:lang w:val="it-IT"/>
        </w:rPr>
        <w:t>J Clin Oncol 31:2920-2926.</w:t>
      </w:r>
    </w:p>
  </w:footnote>
  <w:footnote w:id="9">
    <w:p w14:paraId="16B6873A" w14:textId="3576E132" w:rsidR="00F20ACE" w:rsidRPr="00906BC8" w:rsidRDefault="00F20ACE" w:rsidP="00906BC8">
      <w:pPr>
        <w:pStyle w:val="FootnoteText"/>
        <w:keepNext/>
        <w:ind w:left="142" w:hanging="142"/>
        <w:rPr>
          <w:lang w:val="en-US"/>
        </w:rPr>
      </w:pPr>
      <w:r>
        <w:rPr>
          <w:rStyle w:val="FootnoteReference"/>
        </w:rPr>
        <w:footnoteRef/>
      </w:r>
      <w:r>
        <w:t xml:space="preserve"> </w:t>
      </w:r>
      <w:r>
        <w:rPr>
          <w:lang w:val="it-IT"/>
        </w:rPr>
        <w:t>Barta S,</w:t>
      </w:r>
      <w:r w:rsidRPr="0023062B">
        <w:rPr>
          <w:lang w:val="it-IT"/>
        </w:rPr>
        <w:t xml:space="preserve"> et al (2016). </w:t>
      </w:r>
      <w:proofErr w:type="gramStart"/>
      <w:r w:rsidRPr="0092022A">
        <w:rPr>
          <w:lang w:val="en-US"/>
        </w:rPr>
        <w:t>Randomized Phase 3 Study in Low-Grade Lymphoma</w:t>
      </w:r>
      <w:r>
        <w:rPr>
          <w:lang w:val="en-US"/>
        </w:rPr>
        <w:t xml:space="preserve"> </w:t>
      </w:r>
      <w:r w:rsidRPr="0092022A">
        <w:rPr>
          <w:lang w:val="en-US"/>
        </w:rPr>
        <w:t>Comparing Maintenance Anti-CD20 Antibody With Observation</w:t>
      </w:r>
      <w:r>
        <w:rPr>
          <w:lang w:val="en-US"/>
        </w:rPr>
        <w:t xml:space="preserve"> </w:t>
      </w:r>
      <w:r w:rsidRPr="0092022A">
        <w:rPr>
          <w:lang w:val="en-US"/>
        </w:rPr>
        <w:t>After Induction Therapy: A Trial of the ECOG-ACRIN Cancer</w:t>
      </w:r>
      <w:r>
        <w:rPr>
          <w:lang w:val="en-US"/>
        </w:rPr>
        <w:t xml:space="preserve"> </w:t>
      </w:r>
      <w:r w:rsidRPr="0092022A">
        <w:rPr>
          <w:lang w:val="en-US"/>
        </w:rPr>
        <w:t>Research Group (E1496)</w:t>
      </w:r>
      <w:r>
        <w:rPr>
          <w:lang w:val="en-US"/>
        </w:rPr>
        <w:t>.</w:t>
      </w:r>
      <w:proofErr w:type="gramEnd"/>
      <w:r>
        <w:rPr>
          <w:lang w:val="en-US"/>
        </w:rPr>
        <w:t xml:space="preserve"> Cancer 2016: 1-9.</w:t>
      </w:r>
    </w:p>
  </w:footnote>
  <w:footnote w:id="10">
    <w:p w14:paraId="6894E03B" w14:textId="3F0BBDEE" w:rsidR="00F20ACE" w:rsidRPr="00906BC8" w:rsidRDefault="00F20ACE">
      <w:pPr>
        <w:pStyle w:val="FootnoteText"/>
        <w:rPr>
          <w:lang w:val="en-GB"/>
        </w:rPr>
      </w:pPr>
      <w:r>
        <w:rPr>
          <w:rStyle w:val="FootnoteReference"/>
        </w:rPr>
        <w:footnoteRef/>
      </w:r>
      <w:r>
        <w:t xml:space="preserve"> </w:t>
      </w:r>
      <w:r w:rsidRPr="0023062B">
        <w:rPr>
          <w:lang w:val="de-DE"/>
        </w:rPr>
        <w:t xml:space="preserve">Hochster H, et al. </w:t>
      </w:r>
      <w:r>
        <w:rPr>
          <w:lang w:val="en-US"/>
        </w:rPr>
        <w:t xml:space="preserve">(2009). </w:t>
      </w:r>
      <w:r w:rsidRPr="00A456E8">
        <w:rPr>
          <w:lang w:val="en-US"/>
        </w:rPr>
        <w:t xml:space="preserve">Maintenance Rituximab </w:t>
      </w:r>
      <w:proofErr w:type="gramStart"/>
      <w:r w:rsidRPr="00A456E8">
        <w:rPr>
          <w:lang w:val="en-US"/>
        </w:rPr>
        <w:t>After</w:t>
      </w:r>
      <w:proofErr w:type="gramEnd"/>
      <w:r w:rsidRPr="00A456E8">
        <w:rPr>
          <w:lang w:val="en-US"/>
        </w:rPr>
        <w:t xml:space="preserve"> Cyclophosphamide,</w:t>
      </w:r>
      <w:r>
        <w:rPr>
          <w:lang w:val="en-US"/>
        </w:rPr>
        <w:t xml:space="preserve"> </w:t>
      </w:r>
      <w:r w:rsidRPr="00A456E8">
        <w:rPr>
          <w:lang w:val="en-US"/>
        </w:rPr>
        <w:t>Vincristine, and Prednisone Prolongs Progression-Free</w:t>
      </w:r>
      <w:r>
        <w:rPr>
          <w:lang w:val="en-US"/>
        </w:rPr>
        <w:t xml:space="preserve"> </w:t>
      </w:r>
      <w:r w:rsidRPr="00A456E8">
        <w:rPr>
          <w:lang w:val="en-US"/>
        </w:rPr>
        <w:t>Survival in Advanced Indolent Lymphoma: Results of the</w:t>
      </w:r>
      <w:r>
        <w:rPr>
          <w:lang w:val="en-US"/>
        </w:rPr>
        <w:t xml:space="preserve"> </w:t>
      </w:r>
      <w:r w:rsidRPr="00A456E8">
        <w:rPr>
          <w:lang w:val="en-US"/>
        </w:rPr>
        <w:t>Randomized Phase III ECOG1496 Study</w:t>
      </w:r>
      <w:r>
        <w:rPr>
          <w:lang w:val="en-US"/>
        </w:rPr>
        <w:t xml:space="preserve">. </w:t>
      </w:r>
      <w:r w:rsidRPr="0023062B">
        <w:rPr>
          <w:lang w:val="fr-FR"/>
        </w:rPr>
        <w:t>J Clin Oncol 27:1607-1614.</w:t>
      </w:r>
    </w:p>
  </w:footnote>
  <w:footnote w:id="11">
    <w:p w14:paraId="707529E6" w14:textId="3F48F4D1" w:rsidR="00F20ACE" w:rsidRPr="00906BC8" w:rsidRDefault="00F20ACE">
      <w:pPr>
        <w:pStyle w:val="FootnoteText"/>
        <w:ind w:left="142" w:hanging="142"/>
      </w:pPr>
      <w:r>
        <w:rPr>
          <w:rStyle w:val="FootnoteReference"/>
        </w:rPr>
        <w:footnoteRef/>
      </w:r>
      <w:r w:rsidRPr="00005EE4">
        <w:rPr>
          <w:lang w:val="fr-FR"/>
        </w:rPr>
        <w:t xml:space="preserve"> </w:t>
      </w:r>
      <w:proofErr w:type="spellStart"/>
      <w:r w:rsidRPr="00005EE4">
        <w:rPr>
          <w:lang w:val="fr-FR"/>
        </w:rPr>
        <w:t>Solal-Celigny</w:t>
      </w:r>
      <w:proofErr w:type="spellEnd"/>
      <w:r w:rsidRPr="00005EE4">
        <w:rPr>
          <w:lang w:val="fr-FR"/>
        </w:rPr>
        <w:t xml:space="preserve"> P, </w:t>
      </w:r>
      <w:r>
        <w:rPr>
          <w:lang w:val="fr-FR"/>
        </w:rPr>
        <w:t xml:space="preserve">et </w:t>
      </w:r>
      <w:proofErr w:type="gramStart"/>
      <w:r>
        <w:rPr>
          <w:lang w:val="fr-FR"/>
        </w:rPr>
        <w:t>al</w:t>
      </w:r>
      <w:r w:rsidRPr="00005EE4">
        <w:rPr>
          <w:lang w:val="fr-FR"/>
        </w:rPr>
        <w:t>.</w:t>
      </w:r>
      <w:r>
        <w:rPr>
          <w:lang w:val="fr-FR"/>
        </w:rPr>
        <w:t>,</w:t>
      </w:r>
      <w:proofErr w:type="gramEnd"/>
      <w:r w:rsidRPr="00005EE4">
        <w:rPr>
          <w:lang w:val="fr-FR"/>
        </w:rPr>
        <w:t xml:space="preserve"> </w:t>
      </w:r>
      <w:r>
        <w:t>(1998) Doxorubicin-Containing Regimen With or Without Interferon Alfa-2b for Advanced Follicular Lymphomas: Final Analysis of Survival and Toxicity in the Groupe d'Etude des Lymphomes Folliculaires 86 Trial. J Clin Oncol 16:2332-2338.</w:t>
      </w:r>
    </w:p>
  </w:footnote>
  <w:footnote w:id="12">
    <w:p w14:paraId="27E119FC" w14:textId="7F8024A1" w:rsidR="00F20ACE" w:rsidRPr="00906BC8" w:rsidRDefault="00F20ACE">
      <w:pPr>
        <w:pStyle w:val="FootnoteText"/>
        <w:rPr>
          <w:lang w:val="en-GB"/>
        </w:rPr>
      </w:pPr>
      <w:r>
        <w:rPr>
          <w:rStyle w:val="FootnoteReference"/>
        </w:rPr>
        <w:footnoteRef/>
      </w:r>
      <w:r>
        <w:t xml:space="preserve"> </w:t>
      </w:r>
      <w:r w:rsidRPr="008103A8">
        <w:rPr>
          <w:lang w:val="en-US"/>
        </w:rPr>
        <w:t>Brice</w:t>
      </w:r>
      <w:r>
        <w:rPr>
          <w:lang w:val="en-US"/>
        </w:rPr>
        <w:t xml:space="preserve"> P</w:t>
      </w:r>
      <w:r w:rsidRPr="008103A8">
        <w:rPr>
          <w:lang w:val="en-US"/>
        </w:rPr>
        <w:t xml:space="preserve">, </w:t>
      </w:r>
      <w:r>
        <w:rPr>
          <w:lang w:val="en-US"/>
        </w:rPr>
        <w:t xml:space="preserve">et al., (1997). </w:t>
      </w:r>
      <w:r w:rsidRPr="008103A8">
        <w:rPr>
          <w:lang w:val="en-US"/>
        </w:rPr>
        <w:t>Comparison in Low-Tumor-Burden Follicular</w:t>
      </w:r>
      <w:r>
        <w:rPr>
          <w:lang w:val="en-US"/>
        </w:rPr>
        <w:t xml:space="preserve"> </w:t>
      </w:r>
      <w:r w:rsidRPr="008103A8">
        <w:rPr>
          <w:lang w:val="en-US"/>
        </w:rPr>
        <w:t xml:space="preserve">Lymphomas </w:t>
      </w:r>
      <w:proofErr w:type="gramStart"/>
      <w:r w:rsidRPr="008103A8">
        <w:rPr>
          <w:lang w:val="en-US"/>
        </w:rPr>
        <w:t>Between</w:t>
      </w:r>
      <w:proofErr w:type="gramEnd"/>
      <w:r w:rsidRPr="008103A8">
        <w:rPr>
          <w:lang w:val="en-US"/>
        </w:rPr>
        <w:t xml:space="preserve"> an Initial No-Treatment Policy,</w:t>
      </w:r>
      <w:r>
        <w:rPr>
          <w:lang w:val="en-US"/>
        </w:rPr>
        <w:t xml:space="preserve"> </w:t>
      </w:r>
      <w:r w:rsidRPr="008103A8">
        <w:rPr>
          <w:lang w:val="en-US"/>
        </w:rPr>
        <w:t>Prednimustine, or Interferon Alfa: A Randomized Study</w:t>
      </w:r>
      <w:r>
        <w:rPr>
          <w:lang w:val="en-US"/>
        </w:rPr>
        <w:t xml:space="preserve"> </w:t>
      </w:r>
      <w:r w:rsidRPr="008103A8">
        <w:rPr>
          <w:lang w:val="en-US"/>
        </w:rPr>
        <w:t>From the Groupe D'Etude des Lymphomes Folliculaires</w:t>
      </w:r>
      <w:r>
        <w:rPr>
          <w:lang w:val="en-US"/>
        </w:rPr>
        <w:t xml:space="preserve">. </w:t>
      </w:r>
      <w:proofErr w:type="gramStart"/>
      <w:r w:rsidRPr="008103A8">
        <w:rPr>
          <w:lang w:val="en-US"/>
        </w:rPr>
        <w:t>J Clin Oncol 15:1110- 1117</w:t>
      </w:r>
      <w:r>
        <w:rPr>
          <w:lang w:val="en-US"/>
        </w:rPr>
        <w:t>.</w:t>
      </w:r>
      <w:proofErr w:type="gramEnd"/>
    </w:p>
  </w:footnote>
  <w:footnote w:id="13">
    <w:p w14:paraId="44453486" w14:textId="71EEC581" w:rsidR="00F20ACE" w:rsidRPr="00C456E5" w:rsidRDefault="00F20ACE" w:rsidP="005B2EF4">
      <w:pPr>
        <w:pStyle w:val="FootnoteText"/>
        <w:ind w:left="142" w:hanging="142"/>
        <w:rPr>
          <w:lang w:val="en-US"/>
        </w:rPr>
      </w:pPr>
      <w:r>
        <w:rPr>
          <w:rStyle w:val="FootnoteReference"/>
        </w:rPr>
        <w:footnoteRef/>
      </w:r>
      <w:r>
        <w:t xml:space="preserve"> N</w:t>
      </w:r>
      <w:r w:rsidRPr="008103A8">
        <w:t>abhan</w:t>
      </w:r>
      <w:r>
        <w:t xml:space="preserve"> C</w:t>
      </w:r>
      <w:r w:rsidRPr="008103A8">
        <w:t xml:space="preserve">, </w:t>
      </w:r>
      <w:r>
        <w:t xml:space="preserve">et al., (2015). </w:t>
      </w:r>
      <w:proofErr w:type="gramStart"/>
      <w:r w:rsidRPr="008103A8">
        <w:t>Disease characteristics, treatment patterns, prognosis, outcomes and lymphoma-related mortality in elderly follicular lymphoma in the United States</w:t>
      </w:r>
      <w:r>
        <w:t>.</w:t>
      </w:r>
      <w:proofErr w:type="gramEnd"/>
      <w:r>
        <w:t xml:space="preserve"> </w:t>
      </w:r>
      <w:proofErr w:type="gramStart"/>
      <w:r w:rsidRPr="008103A8">
        <w:t>Br J Haematol.</w:t>
      </w:r>
      <w:proofErr w:type="gramEnd"/>
      <w:r w:rsidRPr="008103A8">
        <w:t xml:space="preserve"> 2015 </w:t>
      </w:r>
      <w:proofErr w:type="gramStart"/>
      <w:r w:rsidRPr="008103A8">
        <w:t>July ;</w:t>
      </w:r>
      <w:proofErr w:type="gramEnd"/>
      <w:r w:rsidRPr="008103A8">
        <w:t xml:space="preserve"> 170(1): 85–95.</w:t>
      </w:r>
    </w:p>
  </w:footnote>
  <w:footnote w:id="14">
    <w:p w14:paraId="04CEEF7D" w14:textId="0712A760" w:rsidR="00F20ACE" w:rsidRPr="00906BC8" w:rsidRDefault="00F20ACE" w:rsidP="005B2EF4">
      <w:pPr>
        <w:pStyle w:val="FootnoteText"/>
        <w:ind w:left="142" w:hanging="142"/>
        <w:rPr>
          <w:lang w:val="it-IT"/>
        </w:rPr>
      </w:pPr>
      <w:r>
        <w:rPr>
          <w:rStyle w:val="FootnoteReference"/>
        </w:rPr>
        <w:footnoteRef/>
      </w:r>
      <w:r>
        <w:t xml:space="preserve"> </w:t>
      </w:r>
      <w:r w:rsidRPr="008103A8">
        <w:t>Nabhan</w:t>
      </w:r>
      <w:r>
        <w:t xml:space="preserve"> C</w:t>
      </w:r>
      <w:r w:rsidRPr="008103A8">
        <w:t>,</w:t>
      </w:r>
      <w:r>
        <w:t xml:space="preserve"> et al., (2016). </w:t>
      </w:r>
      <w:proofErr w:type="gramStart"/>
      <w:r>
        <w:t>Disease, treatment, and outcome differences between men and women with follicular lymphoma in the United States.</w:t>
      </w:r>
      <w:proofErr w:type="gramEnd"/>
      <w:r>
        <w:t xml:space="preserve"> </w:t>
      </w:r>
      <w:r w:rsidRPr="00906BC8">
        <w:rPr>
          <w:lang w:val="it-IT"/>
        </w:rPr>
        <w:t>Am. J. Hematol. 00:000–000, 2016.</w:t>
      </w:r>
    </w:p>
  </w:footnote>
  <w:footnote w:id="15">
    <w:p w14:paraId="2C62AB21" w14:textId="2BE3980D" w:rsidR="00F20ACE" w:rsidRPr="00C456E5" w:rsidRDefault="00F20ACE" w:rsidP="008E5E13">
      <w:pPr>
        <w:pStyle w:val="FootnoteText"/>
        <w:rPr>
          <w:lang w:val="en-US"/>
        </w:rPr>
      </w:pPr>
      <w:r>
        <w:rPr>
          <w:rStyle w:val="FootnoteReference"/>
        </w:rPr>
        <w:footnoteRef/>
      </w:r>
      <w:r w:rsidRPr="00906BC8">
        <w:rPr>
          <w:lang w:val="it-IT"/>
        </w:rPr>
        <w:t xml:space="preserve"> Federico M, et al</w:t>
      </w:r>
      <w:r>
        <w:rPr>
          <w:lang w:val="it-IT"/>
        </w:rPr>
        <w:t>.,</w:t>
      </w:r>
      <w:r w:rsidRPr="00906BC8">
        <w:rPr>
          <w:lang w:val="it-IT"/>
        </w:rPr>
        <w:t xml:space="preserve"> (2009). </w:t>
      </w:r>
      <w:r w:rsidRPr="00A456E8">
        <w:rPr>
          <w:lang w:val="en-US"/>
        </w:rPr>
        <w:t>Follicular Lymphoma International Prognostic Index 2:</w:t>
      </w:r>
      <w:r>
        <w:rPr>
          <w:lang w:val="en-US"/>
        </w:rPr>
        <w:t xml:space="preserve"> </w:t>
      </w:r>
      <w:r w:rsidRPr="00A456E8">
        <w:rPr>
          <w:lang w:val="en-US"/>
        </w:rPr>
        <w:t>A New Prognostic Index for Follicular Lymphoma</w:t>
      </w:r>
      <w:r>
        <w:rPr>
          <w:lang w:val="en-US"/>
        </w:rPr>
        <w:t xml:space="preserve"> </w:t>
      </w:r>
      <w:r w:rsidRPr="00A456E8">
        <w:rPr>
          <w:lang w:val="en-US"/>
        </w:rPr>
        <w:t>Developed by the International Follicular Lymphoma</w:t>
      </w:r>
      <w:r>
        <w:rPr>
          <w:lang w:val="en-US"/>
        </w:rPr>
        <w:t xml:space="preserve"> </w:t>
      </w:r>
      <w:r w:rsidRPr="00A456E8">
        <w:rPr>
          <w:lang w:val="en-US"/>
        </w:rPr>
        <w:t>Prognostic Factor Project,</w:t>
      </w:r>
      <w:r>
        <w:rPr>
          <w:lang w:val="en-US"/>
        </w:rPr>
        <w:t xml:space="preserve"> </w:t>
      </w:r>
      <w:r w:rsidRPr="00A456E8">
        <w:rPr>
          <w:lang w:val="en-US"/>
        </w:rPr>
        <w:t>Clin Oncol 27:4555-4562.</w:t>
      </w:r>
    </w:p>
  </w:footnote>
  <w:footnote w:id="16">
    <w:p w14:paraId="18DF579A" w14:textId="4C136819" w:rsidR="00F20ACE" w:rsidRPr="00906BC8" w:rsidRDefault="00F20ACE" w:rsidP="008E5E13">
      <w:pPr>
        <w:pStyle w:val="FootnoteText"/>
        <w:rPr>
          <w:lang w:val="en-US"/>
        </w:rPr>
      </w:pPr>
      <w:r>
        <w:rPr>
          <w:rStyle w:val="FootnoteReference"/>
        </w:rPr>
        <w:footnoteRef/>
      </w:r>
      <w:r>
        <w:t xml:space="preserve"> </w:t>
      </w:r>
      <w:r w:rsidRPr="008103A8">
        <w:rPr>
          <w:lang w:val="en-US"/>
        </w:rPr>
        <w:t>Buske</w:t>
      </w:r>
      <w:r>
        <w:rPr>
          <w:lang w:val="en-US"/>
        </w:rPr>
        <w:t xml:space="preserve"> C</w:t>
      </w:r>
      <w:r w:rsidRPr="008103A8">
        <w:rPr>
          <w:lang w:val="en-US"/>
        </w:rPr>
        <w:t>,</w:t>
      </w:r>
      <w:r>
        <w:rPr>
          <w:lang w:val="en-US"/>
        </w:rPr>
        <w:t xml:space="preserve"> et al., </w:t>
      </w:r>
      <w:r w:rsidRPr="008103A8">
        <w:rPr>
          <w:lang w:val="en-US"/>
        </w:rPr>
        <w:t>for the German Low Grade Lymphoma Study Group (GLSG)</w:t>
      </w:r>
      <w:r>
        <w:rPr>
          <w:lang w:val="en-US"/>
        </w:rPr>
        <w:t xml:space="preserve">. </w:t>
      </w:r>
      <w:r w:rsidRPr="008103A8">
        <w:rPr>
          <w:lang w:val="en-US"/>
        </w:rPr>
        <w:t>The Follicular Lymphoma International Prognostic Index (FLIPI) separates</w:t>
      </w:r>
      <w:r>
        <w:rPr>
          <w:lang w:val="en-US"/>
        </w:rPr>
        <w:t xml:space="preserve"> </w:t>
      </w:r>
      <w:r w:rsidRPr="008103A8">
        <w:rPr>
          <w:lang w:val="en-US"/>
        </w:rPr>
        <w:t>high-risk from intermediate- or low-risk patients with advanced-stage follicular</w:t>
      </w:r>
      <w:r>
        <w:rPr>
          <w:lang w:val="en-US"/>
        </w:rPr>
        <w:t xml:space="preserve"> </w:t>
      </w:r>
      <w:r w:rsidRPr="008103A8">
        <w:rPr>
          <w:lang w:val="en-US"/>
        </w:rPr>
        <w:t>lymphoma treated front-line with rituximab and the combination of</w:t>
      </w:r>
      <w:r>
        <w:rPr>
          <w:lang w:val="en-US"/>
        </w:rPr>
        <w:t xml:space="preserve"> </w:t>
      </w:r>
      <w:r w:rsidRPr="008103A8">
        <w:rPr>
          <w:lang w:val="en-US"/>
        </w:rPr>
        <w:t>cyclophosphamide, doxorubicin, vincristine, and prednisone</w:t>
      </w:r>
      <w:r>
        <w:rPr>
          <w:lang w:val="en-US"/>
        </w:rPr>
        <w:t xml:space="preserve"> </w:t>
      </w:r>
      <w:r w:rsidRPr="008103A8">
        <w:rPr>
          <w:lang w:val="en-US"/>
        </w:rPr>
        <w:t>(R-CHOP) with respect to treatment outcome</w:t>
      </w:r>
      <w:r>
        <w:rPr>
          <w:lang w:val="en-US"/>
        </w:rPr>
        <w:t xml:space="preserve">. </w:t>
      </w:r>
      <w:proofErr w:type="gramStart"/>
      <w:r w:rsidRPr="005B2EF4">
        <w:rPr>
          <w:lang w:val="en-US"/>
        </w:rPr>
        <w:t>Blood, 1 September 2006 Volume 108, Number 5</w:t>
      </w:r>
      <w:r>
        <w:rPr>
          <w:lang w:val="en-US"/>
        </w:rPr>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037AB" w14:textId="77777777" w:rsidR="00F20ACE" w:rsidRDefault="00F20AC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F2ECF" w14:textId="77777777" w:rsidR="00F20ACE" w:rsidRDefault="00F20ACE">
    <w:pPr>
      <w:rPr>
        <w:noProof/>
        <w:lang w:eastAsia="en-AU"/>
      </w:rPr>
    </w:pPr>
    <w:r w:rsidRPr="00347824">
      <w:rPr>
        <w:noProof/>
        <w:lang w:eastAsia="en-AU"/>
      </w:rPr>
      <w:drawing>
        <wp:anchor distT="0" distB="0" distL="114300" distR="114300" simplePos="0" relativeHeight="251659264" behindDoc="1" locked="0" layoutInCell="1" allowOverlap="1" wp14:anchorId="0ED123A3" wp14:editId="0850EC86">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1539B8F" w14:textId="77777777" w:rsidR="00F20ACE" w:rsidRDefault="00F20ACE" w:rsidP="00593AD1">
    <w:pPr>
      <w:pStyle w:val="HeaderNoLine"/>
    </w:pPr>
    <w:r>
      <w:rPr>
        <w:noProof/>
        <w:lang w:eastAsia="en-AU"/>
      </w:rPr>
      <w:drawing>
        <wp:inline distT="0" distB="0" distL="0" distR="0" wp14:anchorId="238E8F06" wp14:editId="2F119174">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0F037" w14:textId="77777777" w:rsidR="00F20ACE" w:rsidRDefault="00F20AC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132F6" w14:textId="77777777" w:rsidR="00F20ACE" w:rsidRDefault="00F20AC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403BC" w14:textId="77777777" w:rsidR="00F20ACE" w:rsidRDefault="00F20AC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DDEE4" w14:textId="77777777" w:rsidR="00F20ACE" w:rsidRDefault="00F20AC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ADDDD" w14:textId="77777777" w:rsidR="00F20ACE" w:rsidRDefault="00F20AC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8854C" w14:textId="77777777" w:rsidR="00F20ACE" w:rsidRDefault="00F20ACE" w:rsidP="006E08B3">
    <w:r>
      <w:t>Therapeutic Goods Administration</w:t>
    </w:r>
  </w:p>
  <w:p w14:paraId="61FEA35A" w14:textId="77777777" w:rsidR="00F20ACE" w:rsidRDefault="00F20AC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12441FB0"/>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EAA65ED0"/>
    <w:lvl w:ilvl="0">
      <w:start w:val="1"/>
      <w:numFmt w:val="bullet"/>
      <w:lvlText w:val=""/>
      <w:lvlJc w:val="left"/>
      <w:pPr>
        <w:tabs>
          <w:tab w:val="num" w:pos="360"/>
        </w:tabs>
        <w:ind w:left="360" w:hanging="360"/>
      </w:pPr>
      <w:rPr>
        <w:rFonts w:ascii="Symbol" w:hAnsi="Symbol" w:hint="default"/>
      </w:rPr>
    </w:lvl>
  </w:abstractNum>
  <w:abstractNum w:abstractNumId="2">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0C969E4"/>
    <w:multiLevelType w:val="hybridMultilevel"/>
    <w:tmpl w:val="3B4EA4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2"/>
  </w:num>
  <w:num w:numId="7">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5"/>
  </w:num>
  <w:num w:numId="9">
    <w:abstractNumId w:val="1"/>
  </w:num>
  <w:num w:numId="10">
    <w:abstractNumId w:val="0"/>
  </w:num>
  <w:numIdMacAtCleanup w:val="7"/>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errett, Duncan {MAAQ~Sydney}">
    <w15:presenceInfo w15:providerId="None" w15:userId="Terrett, Duncan {MAAQ~Sydney}"/>
  </w15:person>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2031"/>
    <w:rsid w:val="00004734"/>
    <w:rsid w:val="0000630D"/>
    <w:rsid w:val="00006B22"/>
    <w:rsid w:val="00006DDA"/>
    <w:rsid w:val="0001276A"/>
    <w:rsid w:val="000246AE"/>
    <w:rsid w:val="00025C67"/>
    <w:rsid w:val="00034C05"/>
    <w:rsid w:val="00036B20"/>
    <w:rsid w:val="00044772"/>
    <w:rsid w:val="00044E86"/>
    <w:rsid w:val="00045AE9"/>
    <w:rsid w:val="00054B64"/>
    <w:rsid w:val="0005559E"/>
    <w:rsid w:val="000576BC"/>
    <w:rsid w:val="000604D6"/>
    <w:rsid w:val="0006723F"/>
    <w:rsid w:val="000734D8"/>
    <w:rsid w:val="00077775"/>
    <w:rsid w:val="00082D19"/>
    <w:rsid w:val="00090471"/>
    <w:rsid w:val="00096AA7"/>
    <w:rsid w:val="0009739F"/>
    <w:rsid w:val="000A3AED"/>
    <w:rsid w:val="000B3532"/>
    <w:rsid w:val="000B3A75"/>
    <w:rsid w:val="000B71DF"/>
    <w:rsid w:val="000C00C2"/>
    <w:rsid w:val="000C4548"/>
    <w:rsid w:val="000C690F"/>
    <w:rsid w:val="000C6E75"/>
    <w:rsid w:val="000D1295"/>
    <w:rsid w:val="000D391B"/>
    <w:rsid w:val="000D3D6D"/>
    <w:rsid w:val="000D49CF"/>
    <w:rsid w:val="000D4FC7"/>
    <w:rsid w:val="000D7406"/>
    <w:rsid w:val="000E2853"/>
    <w:rsid w:val="000E6196"/>
    <w:rsid w:val="000F4869"/>
    <w:rsid w:val="000F5B42"/>
    <w:rsid w:val="000F5F42"/>
    <w:rsid w:val="000F6E6F"/>
    <w:rsid w:val="0010601F"/>
    <w:rsid w:val="0010788A"/>
    <w:rsid w:val="00107A31"/>
    <w:rsid w:val="00110EA5"/>
    <w:rsid w:val="00112F56"/>
    <w:rsid w:val="00114FA3"/>
    <w:rsid w:val="00116A74"/>
    <w:rsid w:val="00125318"/>
    <w:rsid w:val="00127264"/>
    <w:rsid w:val="0013007F"/>
    <w:rsid w:val="001305A2"/>
    <w:rsid w:val="00133238"/>
    <w:rsid w:val="00133A1B"/>
    <w:rsid w:val="00137CFB"/>
    <w:rsid w:val="0014197B"/>
    <w:rsid w:val="001447CD"/>
    <w:rsid w:val="001516B1"/>
    <w:rsid w:val="0015280F"/>
    <w:rsid w:val="00154EBB"/>
    <w:rsid w:val="00155033"/>
    <w:rsid w:val="00156316"/>
    <w:rsid w:val="00160D38"/>
    <w:rsid w:val="00161181"/>
    <w:rsid w:val="001627A8"/>
    <w:rsid w:val="00162D14"/>
    <w:rsid w:val="00165389"/>
    <w:rsid w:val="001672EF"/>
    <w:rsid w:val="00171A31"/>
    <w:rsid w:val="0017693F"/>
    <w:rsid w:val="0018110E"/>
    <w:rsid w:val="00181684"/>
    <w:rsid w:val="001843C6"/>
    <w:rsid w:val="001850E0"/>
    <w:rsid w:val="001A2158"/>
    <w:rsid w:val="001A525F"/>
    <w:rsid w:val="001A6D8E"/>
    <w:rsid w:val="001B09F9"/>
    <w:rsid w:val="001B1182"/>
    <w:rsid w:val="001B2667"/>
    <w:rsid w:val="001B5C90"/>
    <w:rsid w:val="001B6448"/>
    <w:rsid w:val="001C32CD"/>
    <w:rsid w:val="001C3C84"/>
    <w:rsid w:val="001D2984"/>
    <w:rsid w:val="001E07CF"/>
    <w:rsid w:val="001E59A0"/>
    <w:rsid w:val="001E59F1"/>
    <w:rsid w:val="001F2CEE"/>
    <w:rsid w:val="001F49EB"/>
    <w:rsid w:val="001F6CBA"/>
    <w:rsid w:val="00201D4E"/>
    <w:rsid w:val="002061ED"/>
    <w:rsid w:val="002076C9"/>
    <w:rsid w:val="00220B8A"/>
    <w:rsid w:val="002257F3"/>
    <w:rsid w:val="00230AD1"/>
    <w:rsid w:val="00233456"/>
    <w:rsid w:val="002339A5"/>
    <w:rsid w:val="00244EE8"/>
    <w:rsid w:val="00246CF0"/>
    <w:rsid w:val="00255ED6"/>
    <w:rsid w:val="00255F96"/>
    <w:rsid w:val="00257848"/>
    <w:rsid w:val="00261682"/>
    <w:rsid w:val="002640A1"/>
    <w:rsid w:val="0026495F"/>
    <w:rsid w:val="0027084A"/>
    <w:rsid w:val="00270D25"/>
    <w:rsid w:val="00273E54"/>
    <w:rsid w:val="00275B0C"/>
    <w:rsid w:val="00286434"/>
    <w:rsid w:val="00286C59"/>
    <w:rsid w:val="00291957"/>
    <w:rsid w:val="002942D1"/>
    <w:rsid w:val="0029501A"/>
    <w:rsid w:val="002A1C3C"/>
    <w:rsid w:val="002A36D1"/>
    <w:rsid w:val="002A3721"/>
    <w:rsid w:val="002A5DE8"/>
    <w:rsid w:val="002B1638"/>
    <w:rsid w:val="002B3624"/>
    <w:rsid w:val="002D0952"/>
    <w:rsid w:val="002D3666"/>
    <w:rsid w:val="002E17AE"/>
    <w:rsid w:val="002E40B3"/>
    <w:rsid w:val="002E4C9A"/>
    <w:rsid w:val="002E61C8"/>
    <w:rsid w:val="002F11F8"/>
    <w:rsid w:val="002F3F56"/>
    <w:rsid w:val="002F44B5"/>
    <w:rsid w:val="002F51C8"/>
    <w:rsid w:val="00311AC0"/>
    <w:rsid w:val="00311D8D"/>
    <w:rsid w:val="003176FC"/>
    <w:rsid w:val="00325091"/>
    <w:rsid w:val="0032583B"/>
    <w:rsid w:val="00327883"/>
    <w:rsid w:val="00331CCF"/>
    <w:rsid w:val="00334024"/>
    <w:rsid w:val="00335504"/>
    <w:rsid w:val="00336E7F"/>
    <w:rsid w:val="00340C18"/>
    <w:rsid w:val="003442FD"/>
    <w:rsid w:val="00347824"/>
    <w:rsid w:val="00350567"/>
    <w:rsid w:val="003521E8"/>
    <w:rsid w:val="0035297B"/>
    <w:rsid w:val="00370CE3"/>
    <w:rsid w:val="003728F3"/>
    <w:rsid w:val="0037496E"/>
    <w:rsid w:val="00383221"/>
    <w:rsid w:val="00386150"/>
    <w:rsid w:val="003874CE"/>
    <w:rsid w:val="00390900"/>
    <w:rsid w:val="00394F02"/>
    <w:rsid w:val="003A7F6C"/>
    <w:rsid w:val="003B4D60"/>
    <w:rsid w:val="003B7E39"/>
    <w:rsid w:val="003C58DC"/>
    <w:rsid w:val="003D1E62"/>
    <w:rsid w:val="003D5246"/>
    <w:rsid w:val="003E0B99"/>
    <w:rsid w:val="003E2486"/>
    <w:rsid w:val="003E3208"/>
    <w:rsid w:val="003F0B04"/>
    <w:rsid w:val="003F10C6"/>
    <w:rsid w:val="003F5883"/>
    <w:rsid w:val="0040134E"/>
    <w:rsid w:val="004334C7"/>
    <w:rsid w:val="00434B1C"/>
    <w:rsid w:val="00440A2D"/>
    <w:rsid w:val="00441658"/>
    <w:rsid w:val="00441C3F"/>
    <w:rsid w:val="004564A7"/>
    <w:rsid w:val="00460677"/>
    <w:rsid w:val="004617BF"/>
    <w:rsid w:val="00463658"/>
    <w:rsid w:val="004637A0"/>
    <w:rsid w:val="004722CC"/>
    <w:rsid w:val="00475F87"/>
    <w:rsid w:val="004936E4"/>
    <w:rsid w:val="00494E60"/>
    <w:rsid w:val="00497487"/>
    <w:rsid w:val="004A5C53"/>
    <w:rsid w:val="004A6189"/>
    <w:rsid w:val="004A7390"/>
    <w:rsid w:val="004A79CF"/>
    <w:rsid w:val="004B5530"/>
    <w:rsid w:val="004B7B76"/>
    <w:rsid w:val="004C13E4"/>
    <w:rsid w:val="004C239D"/>
    <w:rsid w:val="004C2DCA"/>
    <w:rsid w:val="004C61D2"/>
    <w:rsid w:val="004D0921"/>
    <w:rsid w:val="004F0C4A"/>
    <w:rsid w:val="004F0F38"/>
    <w:rsid w:val="004F47D6"/>
    <w:rsid w:val="00501921"/>
    <w:rsid w:val="00506970"/>
    <w:rsid w:val="0051089C"/>
    <w:rsid w:val="00512439"/>
    <w:rsid w:val="00517676"/>
    <w:rsid w:val="005224D7"/>
    <w:rsid w:val="00530354"/>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B1FD0"/>
    <w:rsid w:val="005B2EF4"/>
    <w:rsid w:val="005C1BEC"/>
    <w:rsid w:val="005C5570"/>
    <w:rsid w:val="005C79A4"/>
    <w:rsid w:val="005D5442"/>
    <w:rsid w:val="005E1E9B"/>
    <w:rsid w:val="00601747"/>
    <w:rsid w:val="00603F32"/>
    <w:rsid w:val="00605AD4"/>
    <w:rsid w:val="00606835"/>
    <w:rsid w:val="006136D7"/>
    <w:rsid w:val="006178D1"/>
    <w:rsid w:val="00622556"/>
    <w:rsid w:val="00625A6E"/>
    <w:rsid w:val="00632398"/>
    <w:rsid w:val="00632B98"/>
    <w:rsid w:val="006351E4"/>
    <w:rsid w:val="00640FC3"/>
    <w:rsid w:val="00642020"/>
    <w:rsid w:val="00645764"/>
    <w:rsid w:val="0065337B"/>
    <w:rsid w:val="0065419D"/>
    <w:rsid w:val="006604D8"/>
    <w:rsid w:val="00664A5B"/>
    <w:rsid w:val="0066735C"/>
    <w:rsid w:val="006763D2"/>
    <w:rsid w:val="00680C08"/>
    <w:rsid w:val="006916A0"/>
    <w:rsid w:val="006931B1"/>
    <w:rsid w:val="006A15C0"/>
    <w:rsid w:val="006B12FE"/>
    <w:rsid w:val="006C0BFF"/>
    <w:rsid w:val="006C3E2A"/>
    <w:rsid w:val="006C642F"/>
    <w:rsid w:val="006D03E5"/>
    <w:rsid w:val="006D2F38"/>
    <w:rsid w:val="006D5D3E"/>
    <w:rsid w:val="006E08B3"/>
    <w:rsid w:val="006F17AC"/>
    <w:rsid w:val="006F25B8"/>
    <w:rsid w:val="006F572E"/>
    <w:rsid w:val="006F6B0A"/>
    <w:rsid w:val="007046D6"/>
    <w:rsid w:val="00705DB0"/>
    <w:rsid w:val="00722B57"/>
    <w:rsid w:val="00730F8A"/>
    <w:rsid w:val="007323AC"/>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384F"/>
    <w:rsid w:val="00785717"/>
    <w:rsid w:val="00785721"/>
    <w:rsid w:val="0079333E"/>
    <w:rsid w:val="00793A59"/>
    <w:rsid w:val="007B6132"/>
    <w:rsid w:val="007B6E9F"/>
    <w:rsid w:val="007C1216"/>
    <w:rsid w:val="007C1AF7"/>
    <w:rsid w:val="007C1B18"/>
    <w:rsid w:val="007C5DB9"/>
    <w:rsid w:val="007C6B9B"/>
    <w:rsid w:val="007E05A2"/>
    <w:rsid w:val="007E6C72"/>
    <w:rsid w:val="007F3D3D"/>
    <w:rsid w:val="008006F4"/>
    <w:rsid w:val="00805D27"/>
    <w:rsid w:val="00806DCB"/>
    <w:rsid w:val="008103A8"/>
    <w:rsid w:val="008158DA"/>
    <w:rsid w:val="00821776"/>
    <w:rsid w:val="008321F5"/>
    <w:rsid w:val="00832369"/>
    <w:rsid w:val="00834660"/>
    <w:rsid w:val="00835C0A"/>
    <w:rsid w:val="00836BC2"/>
    <w:rsid w:val="0085156D"/>
    <w:rsid w:val="0085287E"/>
    <w:rsid w:val="00856235"/>
    <w:rsid w:val="0085641B"/>
    <w:rsid w:val="00856F63"/>
    <w:rsid w:val="00857136"/>
    <w:rsid w:val="008644EC"/>
    <w:rsid w:val="00875A6B"/>
    <w:rsid w:val="00885B11"/>
    <w:rsid w:val="00886D15"/>
    <w:rsid w:val="00887DD8"/>
    <w:rsid w:val="00890944"/>
    <w:rsid w:val="00891BA9"/>
    <w:rsid w:val="00896018"/>
    <w:rsid w:val="008960DD"/>
    <w:rsid w:val="0089635C"/>
    <w:rsid w:val="008A2B9D"/>
    <w:rsid w:val="008A3D9F"/>
    <w:rsid w:val="008A5E0B"/>
    <w:rsid w:val="008A6D59"/>
    <w:rsid w:val="008B17DB"/>
    <w:rsid w:val="008B4B03"/>
    <w:rsid w:val="008B596F"/>
    <w:rsid w:val="008B7A1D"/>
    <w:rsid w:val="008C159F"/>
    <w:rsid w:val="008C1623"/>
    <w:rsid w:val="008C1850"/>
    <w:rsid w:val="008C37F5"/>
    <w:rsid w:val="008C51A9"/>
    <w:rsid w:val="008D0E63"/>
    <w:rsid w:val="008E5262"/>
    <w:rsid w:val="008E5E13"/>
    <w:rsid w:val="008E7846"/>
    <w:rsid w:val="008F02E5"/>
    <w:rsid w:val="008F1CCC"/>
    <w:rsid w:val="008F2967"/>
    <w:rsid w:val="008F6943"/>
    <w:rsid w:val="00902A21"/>
    <w:rsid w:val="00906BC8"/>
    <w:rsid w:val="00906E14"/>
    <w:rsid w:val="00910EAE"/>
    <w:rsid w:val="0092022A"/>
    <w:rsid w:val="00920330"/>
    <w:rsid w:val="009219D7"/>
    <w:rsid w:val="00922D53"/>
    <w:rsid w:val="00923B70"/>
    <w:rsid w:val="00924245"/>
    <w:rsid w:val="00924482"/>
    <w:rsid w:val="00924958"/>
    <w:rsid w:val="00925D02"/>
    <w:rsid w:val="00930237"/>
    <w:rsid w:val="0093289E"/>
    <w:rsid w:val="0093793D"/>
    <w:rsid w:val="00937C17"/>
    <w:rsid w:val="00940A89"/>
    <w:rsid w:val="00943A68"/>
    <w:rsid w:val="00946EA5"/>
    <w:rsid w:val="009511CC"/>
    <w:rsid w:val="00951559"/>
    <w:rsid w:val="00956D95"/>
    <w:rsid w:val="00957C59"/>
    <w:rsid w:val="00963C08"/>
    <w:rsid w:val="00964D8E"/>
    <w:rsid w:val="009752A5"/>
    <w:rsid w:val="00980D74"/>
    <w:rsid w:val="00983C06"/>
    <w:rsid w:val="009845BB"/>
    <w:rsid w:val="0098585A"/>
    <w:rsid w:val="00986DF2"/>
    <w:rsid w:val="009A2EA1"/>
    <w:rsid w:val="009A4CED"/>
    <w:rsid w:val="009A690D"/>
    <w:rsid w:val="009B1D12"/>
    <w:rsid w:val="009B416B"/>
    <w:rsid w:val="009B49F6"/>
    <w:rsid w:val="009C4BD5"/>
    <w:rsid w:val="009D16B6"/>
    <w:rsid w:val="009D2C60"/>
    <w:rsid w:val="009D7B77"/>
    <w:rsid w:val="009E0BB0"/>
    <w:rsid w:val="009E3FBB"/>
    <w:rsid w:val="009F7353"/>
    <w:rsid w:val="00A04F85"/>
    <w:rsid w:val="00A05FA4"/>
    <w:rsid w:val="00A0746B"/>
    <w:rsid w:val="00A102E4"/>
    <w:rsid w:val="00A10C5E"/>
    <w:rsid w:val="00A12C42"/>
    <w:rsid w:val="00A13935"/>
    <w:rsid w:val="00A14BBB"/>
    <w:rsid w:val="00A14DF7"/>
    <w:rsid w:val="00A20977"/>
    <w:rsid w:val="00A3246D"/>
    <w:rsid w:val="00A366F1"/>
    <w:rsid w:val="00A36FA7"/>
    <w:rsid w:val="00A44DDB"/>
    <w:rsid w:val="00A456E8"/>
    <w:rsid w:val="00A46054"/>
    <w:rsid w:val="00A475B7"/>
    <w:rsid w:val="00A47AF7"/>
    <w:rsid w:val="00A47C3E"/>
    <w:rsid w:val="00A50041"/>
    <w:rsid w:val="00A50226"/>
    <w:rsid w:val="00A60BAD"/>
    <w:rsid w:val="00A63E4A"/>
    <w:rsid w:val="00A806EE"/>
    <w:rsid w:val="00A80B5B"/>
    <w:rsid w:val="00A84E36"/>
    <w:rsid w:val="00A964D1"/>
    <w:rsid w:val="00AA07D9"/>
    <w:rsid w:val="00AA0ED0"/>
    <w:rsid w:val="00AC1EE2"/>
    <w:rsid w:val="00AC2B40"/>
    <w:rsid w:val="00AC2BB2"/>
    <w:rsid w:val="00AC2C3C"/>
    <w:rsid w:val="00AC512D"/>
    <w:rsid w:val="00AC515C"/>
    <w:rsid w:val="00AD0083"/>
    <w:rsid w:val="00AD341B"/>
    <w:rsid w:val="00AD3935"/>
    <w:rsid w:val="00AD65C7"/>
    <w:rsid w:val="00AE38CB"/>
    <w:rsid w:val="00AE65EB"/>
    <w:rsid w:val="00AE67A7"/>
    <w:rsid w:val="00AF1D94"/>
    <w:rsid w:val="00AF5B2C"/>
    <w:rsid w:val="00AF60C5"/>
    <w:rsid w:val="00B009C6"/>
    <w:rsid w:val="00B00B98"/>
    <w:rsid w:val="00B01548"/>
    <w:rsid w:val="00B13EBD"/>
    <w:rsid w:val="00B14B6D"/>
    <w:rsid w:val="00B21D29"/>
    <w:rsid w:val="00B25034"/>
    <w:rsid w:val="00B33588"/>
    <w:rsid w:val="00B33863"/>
    <w:rsid w:val="00B36856"/>
    <w:rsid w:val="00B37D17"/>
    <w:rsid w:val="00B4175E"/>
    <w:rsid w:val="00B430B7"/>
    <w:rsid w:val="00B452CE"/>
    <w:rsid w:val="00B54C25"/>
    <w:rsid w:val="00B63F4E"/>
    <w:rsid w:val="00B66306"/>
    <w:rsid w:val="00B663FD"/>
    <w:rsid w:val="00B76B91"/>
    <w:rsid w:val="00B77EB1"/>
    <w:rsid w:val="00B811C6"/>
    <w:rsid w:val="00B855B0"/>
    <w:rsid w:val="00B92E08"/>
    <w:rsid w:val="00BB3DFB"/>
    <w:rsid w:val="00BC622A"/>
    <w:rsid w:val="00BD2B6B"/>
    <w:rsid w:val="00BD3A8D"/>
    <w:rsid w:val="00BE0A78"/>
    <w:rsid w:val="00BE3757"/>
    <w:rsid w:val="00BE79F0"/>
    <w:rsid w:val="00BF046D"/>
    <w:rsid w:val="00BF1190"/>
    <w:rsid w:val="00BF5D04"/>
    <w:rsid w:val="00BF7F3E"/>
    <w:rsid w:val="00C009AA"/>
    <w:rsid w:val="00C07332"/>
    <w:rsid w:val="00C1003B"/>
    <w:rsid w:val="00C1164D"/>
    <w:rsid w:val="00C12B7A"/>
    <w:rsid w:val="00C16861"/>
    <w:rsid w:val="00C346AB"/>
    <w:rsid w:val="00C37D4A"/>
    <w:rsid w:val="00C404A6"/>
    <w:rsid w:val="00C40A36"/>
    <w:rsid w:val="00C44419"/>
    <w:rsid w:val="00C456E5"/>
    <w:rsid w:val="00C45E7B"/>
    <w:rsid w:val="00C471B1"/>
    <w:rsid w:val="00C6316B"/>
    <w:rsid w:val="00C634A9"/>
    <w:rsid w:val="00C64586"/>
    <w:rsid w:val="00C70D53"/>
    <w:rsid w:val="00C73D0B"/>
    <w:rsid w:val="00C772FF"/>
    <w:rsid w:val="00C80137"/>
    <w:rsid w:val="00C801AF"/>
    <w:rsid w:val="00C80256"/>
    <w:rsid w:val="00C9173F"/>
    <w:rsid w:val="00C94CD4"/>
    <w:rsid w:val="00C94DEE"/>
    <w:rsid w:val="00C9747E"/>
    <w:rsid w:val="00CA4F47"/>
    <w:rsid w:val="00CB4EEA"/>
    <w:rsid w:val="00CB55CA"/>
    <w:rsid w:val="00CB6BC0"/>
    <w:rsid w:val="00CC1B7C"/>
    <w:rsid w:val="00CC6961"/>
    <w:rsid w:val="00CC727F"/>
    <w:rsid w:val="00CD0683"/>
    <w:rsid w:val="00CD237C"/>
    <w:rsid w:val="00CF15C3"/>
    <w:rsid w:val="00CF2B6F"/>
    <w:rsid w:val="00CF2F3E"/>
    <w:rsid w:val="00CF3D2D"/>
    <w:rsid w:val="00CF3E61"/>
    <w:rsid w:val="00CF58B6"/>
    <w:rsid w:val="00D0062D"/>
    <w:rsid w:val="00D017ED"/>
    <w:rsid w:val="00D036A0"/>
    <w:rsid w:val="00D040D3"/>
    <w:rsid w:val="00D04C65"/>
    <w:rsid w:val="00D15F5C"/>
    <w:rsid w:val="00D166FF"/>
    <w:rsid w:val="00D201D2"/>
    <w:rsid w:val="00D224FE"/>
    <w:rsid w:val="00D23139"/>
    <w:rsid w:val="00D33C63"/>
    <w:rsid w:val="00D36811"/>
    <w:rsid w:val="00D425BB"/>
    <w:rsid w:val="00D6493E"/>
    <w:rsid w:val="00D7195D"/>
    <w:rsid w:val="00D7301E"/>
    <w:rsid w:val="00D8243C"/>
    <w:rsid w:val="00D83AE1"/>
    <w:rsid w:val="00D855D4"/>
    <w:rsid w:val="00D902C9"/>
    <w:rsid w:val="00D92933"/>
    <w:rsid w:val="00D93466"/>
    <w:rsid w:val="00D93D8F"/>
    <w:rsid w:val="00DA1124"/>
    <w:rsid w:val="00DB0BFC"/>
    <w:rsid w:val="00DB6124"/>
    <w:rsid w:val="00DB750B"/>
    <w:rsid w:val="00DB75B7"/>
    <w:rsid w:val="00DC6E02"/>
    <w:rsid w:val="00DD28CD"/>
    <w:rsid w:val="00DE02AE"/>
    <w:rsid w:val="00DE0630"/>
    <w:rsid w:val="00DE1A4C"/>
    <w:rsid w:val="00DF1D7F"/>
    <w:rsid w:val="00DF4BE4"/>
    <w:rsid w:val="00E02FB4"/>
    <w:rsid w:val="00E13FC7"/>
    <w:rsid w:val="00E20571"/>
    <w:rsid w:val="00E235F7"/>
    <w:rsid w:val="00E23659"/>
    <w:rsid w:val="00E239D4"/>
    <w:rsid w:val="00E244AB"/>
    <w:rsid w:val="00E26130"/>
    <w:rsid w:val="00E26626"/>
    <w:rsid w:val="00E34288"/>
    <w:rsid w:val="00E36693"/>
    <w:rsid w:val="00E40B22"/>
    <w:rsid w:val="00E413D0"/>
    <w:rsid w:val="00E44ED1"/>
    <w:rsid w:val="00E45619"/>
    <w:rsid w:val="00E4588F"/>
    <w:rsid w:val="00E46DA3"/>
    <w:rsid w:val="00E51BB1"/>
    <w:rsid w:val="00E54DEA"/>
    <w:rsid w:val="00E624A5"/>
    <w:rsid w:val="00E64BA4"/>
    <w:rsid w:val="00E7344E"/>
    <w:rsid w:val="00E82665"/>
    <w:rsid w:val="00E837F8"/>
    <w:rsid w:val="00EA30FD"/>
    <w:rsid w:val="00EA7B0E"/>
    <w:rsid w:val="00EB0798"/>
    <w:rsid w:val="00EB40AD"/>
    <w:rsid w:val="00EB586E"/>
    <w:rsid w:val="00EB5FC8"/>
    <w:rsid w:val="00EB7966"/>
    <w:rsid w:val="00EC463D"/>
    <w:rsid w:val="00EC7A85"/>
    <w:rsid w:val="00ED2922"/>
    <w:rsid w:val="00ED3854"/>
    <w:rsid w:val="00ED3CAD"/>
    <w:rsid w:val="00ED5A41"/>
    <w:rsid w:val="00ED6DFE"/>
    <w:rsid w:val="00ED70B7"/>
    <w:rsid w:val="00EE1DE8"/>
    <w:rsid w:val="00EE27C2"/>
    <w:rsid w:val="00EE3BF5"/>
    <w:rsid w:val="00EE44DB"/>
    <w:rsid w:val="00EF0B2C"/>
    <w:rsid w:val="00EF4BAD"/>
    <w:rsid w:val="00EF59DC"/>
    <w:rsid w:val="00F033EC"/>
    <w:rsid w:val="00F03FA7"/>
    <w:rsid w:val="00F04F68"/>
    <w:rsid w:val="00F12670"/>
    <w:rsid w:val="00F14B27"/>
    <w:rsid w:val="00F160AC"/>
    <w:rsid w:val="00F16BA4"/>
    <w:rsid w:val="00F20ACE"/>
    <w:rsid w:val="00F23E0F"/>
    <w:rsid w:val="00F27101"/>
    <w:rsid w:val="00F3148D"/>
    <w:rsid w:val="00F325C5"/>
    <w:rsid w:val="00F32823"/>
    <w:rsid w:val="00F32FE0"/>
    <w:rsid w:val="00F35298"/>
    <w:rsid w:val="00F3613B"/>
    <w:rsid w:val="00F47333"/>
    <w:rsid w:val="00F47E37"/>
    <w:rsid w:val="00F53C07"/>
    <w:rsid w:val="00F54B65"/>
    <w:rsid w:val="00F553EB"/>
    <w:rsid w:val="00F640B6"/>
    <w:rsid w:val="00F65CE5"/>
    <w:rsid w:val="00F66DF2"/>
    <w:rsid w:val="00F67C0C"/>
    <w:rsid w:val="00F73E38"/>
    <w:rsid w:val="00F80E40"/>
    <w:rsid w:val="00F848D9"/>
    <w:rsid w:val="00FA5B82"/>
    <w:rsid w:val="00FA639E"/>
    <w:rsid w:val="00FA7142"/>
    <w:rsid w:val="00FB36D0"/>
    <w:rsid w:val="00FB4452"/>
    <w:rsid w:val="00FC1FCA"/>
    <w:rsid w:val="00FC25E4"/>
    <w:rsid w:val="00FC4EF7"/>
    <w:rsid w:val="00FD0824"/>
    <w:rsid w:val="00FD119B"/>
    <w:rsid w:val="00FD1EDC"/>
    <w:rsid w:val="00FE1DEE"/>
    <w:rsid w:val="00FE2AEA"/>
    <w:rsid w:val="00FF2126"/>
    <w:rsid w:val="00FF39C1"/>
    <w:rsid w:val="00FF455A"/>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CF8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20AC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AD341B"/>
    <w:pPr>
      <w:keepNext/>
      <w:spacing w:after="180"/>
      <w:outlineLvl w:val="4"/>
    </w:pPr>
    <w:rPr>
      <w:rFonts w:cstheme="minorBidi"/>
      <w:b/>
    </w:rPr>
  </w:style>
  <w:style w:type="paragraph" w:customStyle="1" w:styleId="Summaryofsafetyconcerns">
    <w:name w:val="Summary of safety concerns"/>
    <w:basedOn w:val="Tabletext"/>
    <w:link w:val="SummaryofsafetyconcernsChar"/>
    <w:qFormat/>
    <w:rsid w:val="00E244AB"/>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DefaultParagraphFont"/>
    <w:link w:val="Summaryofsafetyconcerns"/>
    <w:rsid w:val="00E244AB"/>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E244A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244AB"/>
    <w:rPr>
      <w:rFonts w:ascii="Cambria" w:eastAsia="Times New Roman" w:hAnsi="Cambria" w:cs="Times New Roman"/>
      <w:snapToGrid w:val="0"/>
      <w:kern w:val="16"/>
      <w:sz w:val="23"/>
      <w:szCs w:val="24"/>
    </w:rPr>
  </w:style>
  <w:style w:type="paragraph" w:customStyle="1" w:styleId="Pharmacovigilanceplan">
    <w:name w:val="Pharmacovigilance plan"/>
    <w:basedOn w:val="Tabletext"/>
    <w:link w:val="PharmacovigilanceplanChar"/>
    <w:qFormat/>
    <w:rsid w:val="00E244AB"/>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DefaultParagraphFont"/>
    <w:link w:val="Pharmacovigilanceplan"/>
    <w:rsid w:val="00E244AB"/>
    <w:rPr>
      <w:rFonts w:ascii="Cambria" w:eastAsia="Times New Roman" w:hAnsi="Cambria" w:cs="Times New Roman"/>
      <w:b/>
      <w:snapToGrid w:val="0"/>
      <w:kern w:val="16"/>
      <w:sz w:val="20"/>
      <w:szCs w:val="24"/>
    </w:rPr>
  </w:style>
  <w:style w:type="character" w:customStyle="1" w:styleId="TabletextChar">
    <w:name w:val="Table text Char"/>
    <w:basedOn w:val="StandardChar"/>
    <w:link w:val="Tabletext"/>
    <w:rsid w:val="00E244AB"/>
    <w:rPr>
      <w:rFonts w:ascii="Cambria" w:eastAsia="Cambria" w:hAnsi="Cambria" w:cs="Times New Roman"/>
      <w:snapToGrid/>
      <w:kern w:val="16"/>
      <w:sz w:val="19"/>
      <w:szCs w:val="24"/>
    </w:rPr>
  </w:style>
  <w:style w:type="paragraph" w:customStyle="1" w:styleId="Bulletlist">
    <w:name w:val="Bullet list"/>
    <w:basedOn w:val="Normal"/>
    <w:link w:val="BulletlistChar"/>
    <w:qFormat/>
    <w:rsid w:val="00F67C0C"/>
    <w:pPr>
      <w:numPr>
        <w:numId w:val="6"/>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StandardChar"/>
    <w:link w:val="Bulletlist"/>
    <w:rsid w:val="00B430B7"/>
    <w:rPr>
      <w:rFonts w:ascii="Cambria" w:eastAsia="Times New Roman" w:hAnsi="Cambria" w:cs="Times New Roman"/>
      <w:snapToGrid w:val="0"/>
      <w:kern w:val="2"/>
      <w:sz w:val="23"/>
      <w:szCs w:val="24"/>
    </w:rPr>
  </w:style>
  <w:style w:type="paragraph" w:styleId="ListParagraph">
    <w:name w:val="List Paragraph"/>
    <w:basedOn w:val="Normal"/>
    <w:uiPriority w:val="34"/>
    <w:rsid w:val="00B6630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20ACE"/>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AD341B"/>
    <w:pPr>
      <w:keepNext/>
      <w:spacing w:after="180"/>
      <w:outlineLvl w:val="4"/>
    </w:pPr>
    <w:rPr>
      <w:rFonts w:cstheme="minorBidi"/>
      <w:b/>
    </w:rPr>
  </w:style>
  <w:style w:type="paragraph" w:customStyle="1" w:styleId="Summaryofsafetyconcerns">
    <w:name w:val="Summary of safety concerns"/>
    <w:basedOn w:val="Tabletext"/>
    <w:link w:val="SummaryofsafetyconcernsChar"/>
    <w:qFormat/>
    <w:rsid w:val="00E244AB"/>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DefaultParagraphFont"/>
    <w:link w:val="Summaryofsafetyconcerns"/>
    <w:rsid w:val="00E244AB"/>
    <w:rPr>
      <w:rFonts w:ascii="Cambria" w:eastAsia="Times New Roman" w:hAnsi="Cambria" w:cs="Times New Roman"/>
      <w:b/>
      <w:snapToGrid w:val="0"/>
      <w:kern w:val="16"/>
      <w:sz w:val="20"/>
      <w:szCs w:val="24"/>
    </w:rPr>
  </w:style>
  <w:style w:type="paragraph" w:customStyle="1" w:styleId="Standard">
    <w:name w:val="Standard"/>
    <w:basedOn w:val="Normal"/>
    <w:link w:val="StandardChar"/>
    <w:qFormat/>
    <w:rsid w:val="00E244AB"/>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244AB"/>
    <w:rPr>
      <w:rFonts w:ascii="Cambria" w:eastAsia="Times New Roman" w:hAnsi="Cambria" w:cs="Times New Roman"/>
      <w:snapToGrid w:val="0"/>
      <w:kern w:val="16"/>
      <w:sz w:val="23"/>
      <w:szCs w:val="24"/>
    </w:rPr>
  </w:style>
  <w:style w:type="paragraph" w:customStyle="1" w:styleId="Pharmacovigilanceplan">
    <w:name w:val="Pharmacovigilance plan"/>
    <w:basedOn w:val="Tabletext"/>
    <w:link w:val="PharmacovigilanceplanChar"/>
    <w:qFormat/>
    <w:rsid w:val="00E244AB"/>
    <w:pPr>
      <w:spacing w:before="20" w:after="20" w:line="252" w:lineRule="auto"/>
      <w:jc w:val="center"/>
    </w:pPr>
    <w:rPr>
      <w:rFonts w:eastAsia="Times New Roman"/>
      <w:b/>
      <w:snapToGrid w:val="0"/>
      <w:kern w:val="16"/>
      <w:sz w:val="20"/>
      <w:szCs w:val="24"/>
    </w:rPr>
  </w:style>
  <w:style w:type="character" w:customStyle="1" w:styleId="PharmacovigilanceplanChar">
    <w:name w:val="Pharmacovigilance plan Char"/>
    <w:basedOn w:val="DefaultParagraphFont"/>
    <w:link w:val="Pharmacovigilanceplan"/>
    <w:rsid w:val="00E244AB"/>
    <w:rPr>
      <w:rFonts w:ascii="Cambria" w:eastAsia="Times New Roman" w:hAnsi="Cambria" w:cs="Times New Roman"/>
      <w:b/>
      <w:snapToGrid w:val="0"/>
      <w:kern w:val="16"/>
      <w:sz w:val="20"/>
      <w:szCs w:val="24"/>
    </w:rPr>
  </w:style>
  <w:style w:type="character" w:customStyle="1" w:styleId="TabletextChar">
    <w:name w:val="Table text Char"/>
    <w:basedOn w:val="StandardChar"/>
    <w:link w:val="Tabletext"/>
    <w:rsid w:val="00E244AB"/>
    <w:rPr>
      <w:rFonts w:ascii="Cambria" w:eastAsia="Cambria" w:hAnsi="Cambria" w:cs="Times New Roman"/>
      <w:snapToGrid/>
      <w:kern w:val="16"/>
      <w:sz w:val="19"/>
      <w:szCs w:val="24"/>
    </w:rPr>
  </w:style>
  <w:style w:type="paragraph" w:customStyle="1" w:styleId="Bulletlist">
    <w:name w:val="Bullet list"/>
    <w:basedOn w:val="Normal"/>
    <w:link w:val="BulletlistChar"/>
    <w:qFormat/>
    <w:rsid w:val="00F67C0C"/>
    <w:pPr>
      <w:numPr>
        <w:numId w:val="6"/>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StandardChar"/>
    <w:link w:val="Bulletlist"/>
    <w:rsid w:val="00B430B7"/>
    <w:rPr>
      <w:rFonts w:ascii="Cambria" w:eastAsia="Times New Roman" w:hAnsi="Cambria" w:cs="Times New Roman"/>
      <w:snapToGrid w:val="0"/>
      <w:kern w:val="2"/>
      <w:sz w:val="23"/>
      <w:szCs w:val="24"/>
    </w:rPr>
  </w:style>
  <w:style w:type="paragraph" w:styleId="ListParagraph">
    <w:name w:val="List Paragraph"/>
    <w:basedOn w:val="Normal"/>
    <w:uiPriority w:val="34"/>
    <w:rsid w:val="00B663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7473">
      <w:bodyDiv w:val="1"/>
      <w:marLeft w:val="0"/>
      <w:marRight w:val="0"/>
      <w:marTop w:val="0"/>
      <w:marBottom w:val="0"/>
      <w:divBdr>
        <w:top w:val="none" w:sz="0" w:space="0" w:color="auto"/>
        <w:left w:val="none" w:sz="0" w:space="0" w:color="auto"/>
        <w:bottom w:val="none" w:sz="0" w:space="0" w:color="auto"/>
        <w:right w:val="none" w:sz="0" w:space="0" w:color="auto"/>
      </w:divBdr>
      <w:divsChild>
        <w:div w:id="1518423416">
          <w:marLeft w:val="0"/>
          <w:marRight w:val="0"/>
          <w:marTop w:val="0"/>
          <w:marBottom w:val="0"/>
          <w:divBdr>
            <w:top w:val="none" w:sz="0" w:space="0" w:color="auto"/>
            <w:left w:val="none" w:sz="0" w:space="0" w:color="auto"/>
            <w:bottom w:val="none" w:sz="0" w:space="0" w:color="auto"/>
            <w:right w:val="none" w:sz="0" w:space="0" w:color="auto"/>
          </w:divBdr>
          <w:divsChild>
            <w:div w:id="674186671">
              <w:marLeft w:val="0"/>
              <w:marRight w:val="0"/>
              <w:marTop w:val="0"/>
              <w:marBottom w:val="0"/>
              <w:divBdr>
                <w:top w:val="none" w:sz="0" w:space="0" w:color="auto"/>
                <w:left w:val="none" w:sz="0" w:space="0" w:color="auto"/>
                <w:bottom w:val="none" w:sz="0" w:space="0" w:color="auto"/>
                <w:right w:val="none" w:sz="0" w:space="0" w:color="auto"/>
              </w:divBdr>
              <w:divsChild>
                <w:div w:id="840857826">
                  <w:marLeft w:val="0"/>
                  <w:marRight w:val="0"/>
                  <w:marTop w:val="0"/>
                  <w:marBottom w:val="0"/>
                  <w:divBdr>
                    <w:top w:val="none" w:sz="0" w:space="0" w:color="auto"/>
                    <w:left w:val="none" w:sz="0" w:space="0" w:color="auto"/>
                    <w:bottom w:val="none" w:sz="0" w:space="0" w:color="auto"/>
                    <w:right w:val="none" w:sz="0" w:space="0" w:color="auto"/>
                  </w:divBdr>
                  <w:divsChild>
                    <w:div w:id="66101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63806">
      <w:bodyDiv w:val="1"/>
      <w:marLeft w:val="0"/>
      <w:marRight w:val="0"/>
      <w:marTop w:val="0"/>
      <w:marBottom w:val="0"/>
      <w:divBdr>
        <w:top w:val="none" w:sz="0" w:space="0" w:color="auto"/>
        <w:left w:val="none" w:sz="0" w:space="0" w:color="auto"/>
        <w:bottom w:val="none" w:sz="0" w:space="0" w:color="auto"/>
        <w:right w:val="none" w:sz="0" w:space="0" w:color="auto"/>
      </w:divBdr>
    </w:div>
    <w:div w:id="134759089">
      <w:bodyDiv w:val="1"/>
      <w:marLeft w:val="0"/>
      <w:marRight w:val="0"/>
      <w:marTop w:val="0"/>
      <w:marBottom w:val="0"/>
      <w:divBdr>
        <w:top w:val="none" w:sz="0" w:space="0" w:color="auto"/>
        <w:left w:val="none" w:sz="0" w:space="0" w:color="auto"/>
        <w:bottom w:val="none" w:sz="0" w:space="0" w:color="auto"/>
        <w:right w:val="none" w:sz="0" w:space="0" w:color="auto"/>
      </w:divBdr>
      <w:divsChild>
        <w:div w:id="598031291">
          <w:marLeft w:val="0"/>
          <w:marRight w:val="0"/>
          <w:marTop w:val="0"/>
          <w:marBottom w:val="0"/>
          <w:divBdr>
            <w:top w:val="none" w:sz="0" w:space="0" w:color="auto"/>
            <w:left w:val="none" w:sz="0" w:space="0" w:color="auto"/>
            <w:bottom w:val="none" w:sz="0" w:space="0" w:color="auto"/>
            <w:right w:val="none" w:sz="0" w:space="0" w:color="auto"/>
          </w:divBdr>
          <w:divsChild>
            <w:div w:id="1378817306">
              <w:marLeft w:val="0"/>
              <w:marRight w:val="0"/>
              <w:marTop w:val="0"/>
              <w:marBottom w:val="0"/>
              <w:divBdr>
                <w:top w:val="none" w:sz="0" w:space="0" w:color="auto"/>
                <w:left w:val="none" w:sz="0" w:space="0" w:color="auto"/>
                <w:bottom w:val="none" w:sz="0" w:space="0" w:color="auto"/>
                <w:right w:val="none" w:sz="0" w:space="0" w:color="auto"/>
              </w:divBdr>
              <w:divsChild>
                <w:div w:id="752779155">
                  <w:marLeft w:val="0"/>
                  <w:marRight w:val="0"/>
                  <w:marTop w:val="0"/>
                  <w:marBottom w:val="0"/>
                  <w:divBdr>
                    <w:top w:val="none" w:sz="0" w:space="0" w:color="auto"/>
                    <w:left w:val="none" w:sz="0" w:space="0" w:color="auto"/>
                    <w:bottom w:val="none" w:sz="0" w:space="0" w:color="auto"/>
                    <w:right w:val="none" w:sz="0" w:space="0" w:color="auto"/>
                  </w:divBdr>
                  <w:divsChild>
                    <w:div w:id="20303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9365">
      <w:bodyDiv w:val="1"/>
      <w:marLeft w:val="0"/>
      <w:marRight w:val="0"/>
      <w:marTop w:val="0"/>
      <w:marBottom w:val="0"/>
      <w:divBdr>
        <w:top w:val="none" w:sz="0" w:space="0" w:color="auto"/>
        <w:left w:val="none" w:sz="0" w:space="0" w:color="auto"/>
        <w:bottom w:val="none" w:sz="0" w:space="0" w:color="auto"/>
        <w:right w:val="none" w:sz="0" w:space="0" w:color="auto"/>
      </w:divBdr>
    </w:div>
    <w:div w:id="280918325">
      <w:bodyDiv w:val="1"/>
      <w:marLeft w:val="0"/>
      <w:marRight w:val="0"/>
      <w:marTop w:val="0"/>
      <w:marBottom w:val="0"/>
      <w:divBdr>
        <w:top w:val="none" w:sz="0" w:space="0" w:color="auto"/>
        <w:left w:val="none" w:sz="0" w:space="0" w:color="auto"/>
        <w:bottom w:val="none" w:sz="0" w:space="0" w:color="auto"/>
        <w:right w:val="none" w:sz="0" w:space="0" w:color="auto"/>
      </w:divBdr>
    </w:div>
    <w:div w:id="328561361">
      <w:bodyDiv w:val="1"/>
      <w:marLeft w:val="0"/>
      <w:marRight w:val="0"/>
      <w:marTop w:val="0"/>
      <w:marBottom w:val="0"/>
      <w:divBdr>
        <w:top w:val="none" w:sz="0" w:space="0" w:color="auto"/>
        <w:left w:val="none" w:sz="0" w:space="0" w:color="auto"/>
        <w:bottom w:val="none" w:sz="0" w:space="0" w:color="auto"/>
        <w:right w:val="none" w:sz="0" w:space="0" w:color="auto"/>
      </w:divBdr>
    </w:div>
    <w:div w:id="363095581">
      <w:bodyDiv w:val="1"/>
      <w:marLeft w:val="0"/>
      <w:marRight w:val="0"/>
      <w:marTop w:val="0"/>
      <w:marBottom w:val="0"/>
      <w:divBdr>
        <w:top w:val="none" w:sz="0" w:space="0" w:color="auto"/>
        <w:left w:val="none" w:sz="0" w:space="0" w:color="auto"/>
        <w:bottom w:val="none" w:sz="0" w:space="0" w:color="auto"/>
        <w:right w:val="none" w:sz="0" w:space="0" w:color="auto"/>
      </w:divBdr>
    </w:div>
    <w:div w:id="515311082">
      <w:bodyDiv w:val="1"/>
      <w:marLeft w:val="0"/>
      <w:marRight w:val="0"/>
      <w:marTop w:val="0"/>
      <w:marBottom w:val="0"/>
      <w:divBdr>
        <w:top w:val="none" w:sz="0" w:space="0" w:color="auto"/>
        <w:left w:val="none" w:sz="0" w:space="0" w:color="auto"/>
        <w:bottom w:val="none" w:sz="0" w:space="0" w:color="auto"/>
        <w:right w:val="none" w:sz="0" w:space="0" w:color="auto"/>
      </w:divBdr>
    </w:div>
    <w:div w:id="577901886">
      <w:bodyDiv w:val="1"/>
      <w:marLeft w:val="0"/>
      <w:marRight w:val="0"/>
      <w:marTop w:val="0"/>
      <w:marBottom w:val="0"/>
      <w:divBdr>
        <w:top w:val="none" w:sz="0" w:space="0" w:color="auto"/>
        <w:left w:val="none" w:sz="0" w:space="0" w:color="auto"/>
        <w:bottom w:val="none" w:sz="0" w:space="0" w:color="auto"/>
        <w:right w:val="none" w:sz="0" w:space="0" w:color="auto"/>
      </w:divBdr>
    </w:div>
    <w:div w:id="616372997">
      <w:bodyDiv w:val="1"/>
      <w:marLeft w:val="0"/>
      <w:marRight w:val="0"/>
      <w:marTop w:val="0"/>
      <w:marBottom w:val="0"/>
      <w:divBdr>
        <w:top w:val="none" w:sz="0" w:space="0" w:color="auto"/>
        <w:left w:val="none" w:sz="0" w:space="0" w:color="auto"/>
        <w:bottom w:val="none" w:sz="0" w:space="0" w:color="auto"/>
        <w:right w:val="none" w:sz="0" w:space="0" w:color="auto"/>
      </w:divBdr>
    </w:div>
    <w:div w:id="725949995">
      <w:bodyDiv w:val="1"/>
      <w:marLeft w:val="0"/>
      <w:marRight w:val="0"/>
      <w:marTop w:val="0"/>
      <w:marBottom w:val="0"/>
      <w:divBdr>
        <w:top w:val="none" w:sz="0" w:space="0" w:color="auto"/>
        <w:left w:val="none" w:sz="0" w:space="0" w:color="auto"/>
        <w:bottom w:val="none" w:sz="0" w:space="0" w:color="auto"/>
        <w:right w:val="none" w:sz="0" w:space="0" w:color="auto"/>
      </w:divBdr>
    </w:div>
    <w:div w:id="890075221">
      <w:bodyDiv w:val="1"/>
      <w:marLeft w:val="0"/>
      <w:marRight w:val="0"/>
      <w:marTop w:val="0"/>
      <w:marBottom w:val="0"/>
      <w:divBdr>
        <w:top w:val="none" w:sz="0" w:space="0" w:color="auto"/>
        <w:left w:val="none" w:sz="0" w:space="0" w:color="auto"/>
        <w:bottom w:val="none" w:sz="0" w:space="0" w:color="auto"/>
        <w:right w:val="none" w:sz="0" w:space="0" w:color="auto"/>
      </w:divBdr>
    </w:div>
    <w:div w:id="974217372">
      <w:bodyDiv w:val="1"/>
      <w:marLeft w:val="0"/>
      <w:marRight w:val="0"/>
      <w:marTop w:val="0"/>
      <w:marBottom w:val="0"/>
      <w:divBdr>
        <w:top w:val="none" w:sz="0" w:space="0" w:color="auto"/>
        <w:left w:val="none" w:sz="0" w:space="0" w:color="auto"/>
        <w:bottom w:val="none" w:sz="0" w:space="0" w:color="auto"/>
        <w:right w:val="none" w:sz="0" w:space="0" w:color="auto"/>
      </w:divBdr>
    </w:div>
    <w:div w:id="990602606">
      <w:bodyDiv w:val="1"/>
      <w:marLeft w:val="0"/>
      <w:marRight w:val="0"/>
      <w:marTop w:val="0"/>
      <w:marBottom w:val="0"/>
      <w:divBdr>
        <w:top w:val="none" w:sz="0" w:space="0" w:color="auto"/>
        <w:left w:val="none" w:sz="0" w:space="0" w:color="auto"/>
        <w:bottom w:val="none" w:sz="0" w:space="0" w:color="auto"/>
        <w:right w:val="none" w:sz="0" w:space="0" w:color="auto"/>
      </w:divBdr>
    </w:div>
    <w:div w:id="1198617361">
      <w:bodyDiv w:val="1"/>
      <w:marLeft w:val="0"/>
      <w:marRight w:val="0"/>
      <w:marTop w:val="0"/>
      <w:marBottom w:val="0"/>
      <w:divBdr>
        <w:top w:val="none" w:sz="0" w:space="0" w:color="auto"/>
        <w:left w:val="none" w:sz="0" w:space="0" w:color="auto"/>
        <w:bottom w:val="none" w:sz="0" w:space="0" w:color="auto"/>
        <w:right w:val="none" w:sz="0" w:space="0" w:color="auto"/>
      </w:divBdr>
    </w:div>
    <w:div w:id="1218275173">
      <w:bodyDiv w:val="1"/>
      <w:marLeft w:val="0"/>
      <w:marRight w:val="0"/>
      <w:marTop w:val="0"/>
      <w:marBottom w:val="0"/>
      <w:divBdr>
        <w:top w:val="none" w:sz="0" w:space="0" w:color="auto"/>
        <w:left w:val="none" w:sz="0" w:space="0" w:color="auto"/>
        <w:bottom w:val="none" w:sz="0" w:space="0" w:color="auto"/>
        <w:right w:val="none" w:sz="0" w:space="0" w:color="auto"/>
      </w:divBdr>
    </w:div>
    <w:div w:id="1280449349">
      <w:bodyDiv w:val="1"/>
      <w:marLeft w:val="0"/>
      <w:marRight w:val="0"/>
      <w:marTop w:val="0"/>
      <w:marBottom w:val="0"/>
      <w:divBdr>
        <w:top w:val="none" w:sz="0" w:space="0" w:color="auto"/>
        <w:left w:val="none" w:sz="0" w:space="0" w:color="auto"/>
        <w:bottom w:val="none" w:sz="0" w:space="0" w:color="auto"/>
        <w:right w:val="none" w:sz="0" w:space="0" w:color="auto"/>
      </w:divBdr>
    </w:div>
    <w:div w:id="1298028719">
      <w:bodyDiv w:val="1"/>
      <w:marLeft w:val="0"/>
      <w:marRight w:val="0"/>
      <w:marTop w:val="0"/>
      <w:marBottom w:val="0"/>
      <w:divBdr>
        <w:top w:val="none" w:sz="0" w:space="0" w:color="auto"/>
        <w:left w:val="none" w:sz="0" w:space="0" w:color="auto"/>
        <w:bottom w:val="none" w:sz="0" w:space="0" w:color="auto"/>
        <w:right w:val="none" w:sz="0" w:space="0" w:color="auto"/>
      </w:divBdr>
    </w:div>
    <w:div w:id="1921016284">
      <w:bodyDiv w:val="1"/>
      <w:marLeft w:val="0"/>
      <w:marRight w:val="0"/>
      <w:marTop w:val="0"/>
      <w:marBottom w:val="0"/>
      <w:divBdr>
        <w:top w:val="none" w:sz="0" w:space="0" w:color="auto"/>
        <w:left w:val="none" w:sz="0" w:space="0" w:color="auto"/>
        <w:bottom w:val="none" w:sz="0" w:space="0" w:color="auto"/>
        <w:right w:val="none" w:sz="0" w:space="0" w:color="auto"/>
      </w:divBdr>
    </w:div>
    <w:div w:id="1922178534">
      <w:bodyDiv w:val="1"/>
      <w:marLeft w:val="0"/>
      <w:marRight w:val="0"/>
      <w:marTop w:val="0"/>
      <w:marBottom w:val="0"/>
      <w:divBdr>
        <w:top w:val="none" w:sz="0" w:space="0" w:color="auto"/>
        <w:left w:val="none" w:sz="0" w:space="0" w:color="auto"/>
        <w:bottom w:val="none" w:sz="0" w:space="0" w:color="auto"/>
        <w:right w:val="none" w:sz="0" w:space="0" w:color="auto"/>
      </w:divBdr>
    </w:div>
    <w:div w:id="2002654195">
      <w:bodyDiv w:val="1"/>
      <w:marLeft w:val="0"/>
      <w:marRight w:val="0"/>
      <w:marTop w:val="0"/>
      <w:marBottom w:val="0"/>
      <w:divBdr>
        <w:top w:val="none" w:sz="0" w:space="0" w:color="auto"/>
        <w:left w:val="none" w:sz="0" w:space="0" w:color="auto"/>
        <w:bottom w:val="none" w:sz="0" w:space="0" w:color="auto"/>
        <w:right w:val="none" w:sz="0" w:space="0" w:color="auto"/>
      </w:divBdr>
    </w:div>
    <w:div w:id="2022781783">
      <w:bodyDiv w:val="1"/>
      <w:marLeft w:val="0"/>
      <w:marRight w:val="0"/>
      <w:marTop w:val="0"/>
      <w:marBottom w:val="0"/>
      <w:divBdr>
        <w:top w:val="none" w:sz="0" w:space="0" w:color="auto"/>
        <w:left w:val="none" w:sz="0" w:space="0" w:color="auto"/>
        <w:bottom w:val="none" w:sz="0" w:space="0" w:color="auto"/>
        <w:right w:val="none" w:sz="0" w:space="0" w:color="auto"/>
      </w:divBdr>
    </w:div>
    <w:div w:id="2087680556">
      <w:bodyDiv w:val="1"/>
      <w:marLeft w:val="0"/>
      <w:marRight w:val="0"/>
      <w:marTop w:val="0"/>
      <w:marBottom w:val="0"/>
      <w:divBdr>
        <w:top w:val="none" w:sz="0" w:space="0" w:color="auto"/>
        <w:left w:val="none" w:sz="0" w:space="0" w:color="auto"/>
        <w:bottom w:val="none" w:sz="0" w:space="0" w:color="auto"/>
        <w:right w:val="none" w:sz="0" w:space="0" w:color="auto"/>
      </w:divBdr>
      <w:divsChild>
        <w:div w:id="68813334">
          <w:marLeft w:val="0"/>
          <w:marRight w:val="0"/>
          <w:marTop w:val="0"/>
          <w:marBottom w:val="0"/>
          <w:divBdr>
            <w:top w:val="none" w:sz="0" w:space="0" w:color="auto"/>
            <w:left w:val="none" w:sz="0" w:space="0" w:color="auto"/>
            <w:bottom w:val="none" w:sz="0" w:space="0" w:color="auto"/>
            <w:right w:val="none" w:sz="0" w:space="0" w:color="auto"/>
          </w:divBdr>
          <w:divsChild>
            <w:div w:id="2111008182">
              <w:marLeft w:val="0"/>
              <w:marRight w:val="0"/>
              <w:marTop w:val="0"/>
              <w:marBottom w:val="0"/>
              <w:divBdr>
                <w:top w:val="none" w:sz="0" w:space="0" w:color="auto"/>
                <w:left w:val="none" w:sz="0" w:space="0" w:color="auto"/>
                <w:bottom w:val="none" w:sz="0" w:space="0" w:color="auto"/>
                <w:right w:val="none" w:sz="0" w:space="0" w:color="auto"/>
              </w:divBdr>
              <w:divsChild>
                <w:div w:id="489566351">
                  <w:marLeft w:val="0"/>
                  <w:marRight w:val="0"/>
                  <w:marTop w:val="0"/>
                  <w:marBottom w:val="0"/>
                  <w:divBdr>
                    <w:top w:val="none" w:sz="0" w:space="0" w:color="auto"/>
                    <w:left w:val="none" w:sz="0" w:space="0" w:color="auto"/>
                    <w:bottom w:val="none" w:sz="0" w:space="0" w:color="auto"/>
                    <w:right w:val="none" w:sz="0" w:space="0" w:color="auto"/>
                  </w:divBdr>
                  <w:divsChild>
                    <w:div w:id="4206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7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microsoft.com/office/2007/relationships/hdphoto" Target="media/hdphoto1.wdp"/><Relationship Id="rId26" Type="http://schemas.openxmlformats.org/officeDocument/2006/relationships/image" Target="media/image13.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tga.gov.au" TargetMode="External"/><Relationship Id="rId42"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7.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header" Target="header6.xml"/><Relationship Id="rId43"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C60C9-665E-42E7-9932-D025B3ADA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44</Pages>
  <Words>13668</Words>
  <Characters>75722</Characters>
  <Application>Microsoft Office Word</Application>
  <DocSecurity>0</DocSecurity>
  <Lines>2704</Lines>
  <Paragraphs>1686</Paragraphs>
  <ScaleCrop>false</ScaleCrop>
  <HeadingPairs>
    <vt:vector size="2" baseType="variant">
      <vt:variant>
        <vt:lpstr>Title</vt:lpstr>
      </vt:variant>
      <vt:variant>
        <vt:i4>1</vt:i4>
      </vt:variant>
    </vt:vector>
  </HeadingPairs>
  <TitlesOfParts>
    <vt:vector size="1" baseType="lpstr">
      <vt:lpstr>Australian Public Assessment Report Obinutuzumab</vt:lpstr>
    </vt:vector>
  </TitlesOfParts>
  <Company>Department of Health Therapeutic Goods Administration</Company>
  <LinksUpToDate>false</LinksUpToDate>
  <CharactersWithSpaces>87704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Obinutuzumab</dc:title>
  <dc:subject>prescription medicines</dc:subject>
  <dc:creator>Therapeutic Goods Administration</dc:creator>
  <cp:keywords>AusPARs</cp:keywords>
  <cp:lastModifiedBy>LACK, Janet</cp:lastModifiedBy>
  <cp:revision>3</cp:revision>
  <cp:lastPrinted>2018-04-11T00:21:00Z</cp:lastPrinted>
  <dcterms:created xsi:type="dcterms:W3CDTF">2018-05-08T03:42:00Z</dcterms:created>
  <dcterms:modified xsi:type="dcterms:W3CDTF">2018-05-08T04:25:00Z</dcterms:modified>
  <cp:category/>
</cp:coreProperties>
</file>