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8AF7" w14:textId="77777777" w:rsidR="00F354E3" w:rsidRDefault="00F354E3" w:rsidP="007F46FD">
      <w:pPr>
        <w:pStyle w:val="Title"/>
      </w:pPr>
      <w:bookmarkStart w:id="0" w:name="_GoBack"/>
      <w:bookmarkEnd w:id="0"/>
    </w:p>
    <w:p w14:paraId="0840EE79" w14:textId="3E899A34" w:rsidR="0025612B" w:rsidRPr="00D766FE" w:rsidRDefault="00BC6DA6" w:rsidP="007F46FD">
      <w:pPr>
        <w:pStyle w:val="Title"/>
      </w:pPr>
      <w:r>
        <w:t>ODOMZO</w:t>
      </w:r>
      <w:r w:rsidR="00B53986">
        <w:t xml:space="preserve"> </w:t>
      </w:r>
      <w:r w:rsidR="00F22127" w:rsidRPr="00D766FE">
        <w:rPr>
          <w:rFonts w:ascii="Times New Roman Bold" w:hAnsi="Times New Roman Bold"/>
          <w:szCs w:val="34"/>
          <w:vertAlign w:val="superscript"/>
        </w:rPr>
        <w:sym w:font="Symbol" w:char="F0D2"/>
      </w:r>
      <w:r w:rsidR="00F22127" w:rsidRPr="00D766FE">
        <w:rPr>
          <w:rFonts w:ascii="Times New Roman Bold" w:hAnsi="Times New Roman Bold"/>
          <w:szCs w:val="34"/>
          <w:vertAlign w:val="superscript"/>
        </w:rPr>
        <w:t xml:space="preserve"> </w:t>
      </w:r>
      <w:r w:rsidR="00F22127" w:rsidRPr="00D766FE">
        <w:t xml:space="preserve"> </w:t>
      </w:r>
    </w:p>
    <w:p w14:paraId="0840EE7A" w14:textId="484CE30E" w:rsidR="00FA4F37" w:rsidRPr="00D766FE" w:rsidRDefault="00BC6DA6" w:rsidP="007F46FD">
      <w:pPr>
        <w:pStyle w:val="Subtitle"/>
      </w:pPr>
      <w:r>
        <w:t>Sonidegib</w:t>
      </w:r>
    </w:p>
    <w:p w14:paraId="0840EE7B" w14:textId="77777777" w:rsidR="006D0C74" w:rsidRDefault="00F22127" w:rsidP="007F46FD">
      <w:pPr>
        <w:pStyle w:val="Heading1"/>
      </w:pPr>
      <w:r w:rsidRPr="00D766FE">
        <w:t xml:space="preserve">NAME OF THE </w:t>
      </w:r>
      <w:r w:rsidR="007F46FD">
        <w:t>MEDICINE</w:t>
      </w:r>
    </w:p>
    <w:p w14:paraId="0840EE7C" w14:textId="77777777" w:rsidR="00B82375" w:rsidRDefault="00F22127" w:rsidP="007F46FD">
      <w:r w:rsidRPr="007F46FD">
        <w:t>Structural formula:</w:t>
      </w:r>
    </w:p>
    <w:p w14:paraId="13CF08FA" w14:textId="0E352967" w:rsidR="00BC6DA6" w:rsidRPr="007F46FD" w:rsidRDefault="00BC6DA6" w:rsidP="007F46FD">
      <w:r>
        <w:rPr>
          <w:noProof/>
          <w:lang w:val="en-AU" w:eastAsia="en-AU"/>
        </w:rPr>
        <w:drawing>
          <wp:inline distT="0" distB="0" distL="0" distR="0" wp14:anchorId="41137C4A" wp14:editId="3C7C78DA">
            <wp:extent cx="3962400" cy="1735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735455"/>
                    </a:xfrm>
                    <a:prstGeom prst="rect">
                      <a:avLst/>
                    </a:prstGeom>
                    <a:noFill/>
                    <a:ln>
                      <a:noFill/>
                    </a:ln>
                  </pic:spPr>
                </pic:pic>
              </a:graphicData>
            </a:graphic>
          </wp:inline>
        </w:drawing>
      </w:r>
    </w:p>
    <w:p w14:paraId="2881FE9B" w14:textId="77777777" w:rsidR="00BC6DA6" w:rsidRDefault="00BC6DA6" w:rsidP="007F46FD"/>
    <w:p w14:paraId="653F4504" w14:textId="061FC5E0" w:rsidR="00BC6DA6" w:rsidRDefault="00F22127" w:rsidP="007F46FD">
      <w:r w:rsidRPr="00D766FE">
        <w:t>Chemical name (IUPAC)</w:t>
      </w:r>
      <w:r w:rsidR="00B53986">
        <w:t xml:space="preserve">: </w:t>
      </w:r>
    </w:p>
    <w:p w14:paraId="21B86E53" w14:textId="4C1D5CC9" w:rsidR="00A521CD" w:rsidRPr="00585574" w:rsidRDefault="00A521CD" w:rsidP="00A521CD">
      <w:pPr>
        <w:tabs>
          <w:tab w:val="clear" w:pos="-720"/>
          <w:tab w:val="clear" w:pos="0"/>
          <w:tab w:val="clear" w:pos="720"/>
          <w:tab w:val="clear" w:pos="1440"/>
          <w:tab w:val="clear" w:pos="2160"/>
          <w:tab w:val="clear" w:pos="2880"/>
          <w:tab w:val="clear" w:pos="3600"/>
          <w:tab w:val="clear" w:pos="4320"/>
        </w:tabs>
        <w:spacing w:before="0" w:line="240" w:lineRule="auto"/>
        <w:jc w:val="left"/>
        <w:rPr>
          <w:b w:val="0"/>
        </w:rPr>
      </w:pPr>
      <w:r w:rsidRPr="00585574">
        <w:rPr>
          <w:b w:val="0"/>
          <w:i/>
          <w:iCs/>
        </w:rPr>
        <w:t>N</w:t>
      </w:r>
      <w:r w:rsidRPr="00585574">
        <w:rPr>
          <w:b w:val="0"/>
        </w:rPr>
        <w:t>-{6-[(2</w:t>
      </w:r>
      <w:r w:rsidRPr="00585574">
        <w:rPr>
          <w:b w:val="0"/>
          <w:i/>
          <w:iCs/>
        </w:rPr>
        <w:t>R</w:t>
      </w:r>
      <w:r w:rsidRPr="00585574">
        <w:rPr>
          <w:b w:val="0"/>
        </w:rPr>
        <w:t>,6</w:t>
      </w:r>
      <w:r w:rsidRPr="00585574">
        <w:rPr>
          <w:b w:val="0"/>
          <w:i/>
          <w:iCs/>
        </w:rPr>
        <w:t>S</w:t>
      </w:r>
      <w:r w:rsidRPr="00585574">
        <w:rPr>
          <w:b w:val="0"/>
        </w:rPr>
        <w:t>)-2,6-Dimethylmorpholin-4-yl]pyridin-3-yl}-2-methyl-</w:t>
      </w:r>
    </w:p>
    <w:p w14:paraId="4670849A" w14:textId="486E5A83" w:rsidR="00A521CD" w:rsidRPr="00585574" w:rsidRDefault="00A521CD" w:rsidP="007F46FD">
      <w:pPr>
        <w:rPr>
          <w:b w:val="0"/>
        </w:rPr>
      </w:pPr>
      <w:r w:rsidRPr="00585574">
        <w:rPr>
          <w:b w:val="0"/>
        </w:rPr>
        <w:t>4′-(</w:t>
      </w:r>
      <w:proofErr w:type="spellStart"/>
      <w:r w:rsidRPr="00585574">
        <w:rPr>
          <w:b w:val="0"/>
        </w:rPr>
        <w:t>trifluoromethoxy</w:t>
      </w:r>
      <w:proofErr w:type="spellEnd"/>
      <w:r w:rsidRPr="00585574">
        <w:rPr>
          <w:b w:val="0"/>
        </w:rPr>
        <w:t>)[1,1′-biphenyl]-3-carboxamide diphosphate</w:t>
      </w:r>
    </w:p>
    <w:p w14:paraId="0840EE7E" w14:textId="659BDB43" w:rsidR="00FA4F37" w:rsidRPr="00A521CD" w:rsidRDefault="00F22127" w:rsidP="007F46FD">
      <w:r w:rsidRPr="00A521CD">
        <w:t xml:space="preserve">INN: </w:t>
      </w:r>
      <w:r w:rsidR="00BC6DA6" w:rsidRPr="00A521CD">
        <w:rPr>
          <w:b w:val="0"/>
        </w:rPr>
        <w:t>sonidegib</w:t>
      </w:r>
      <w:r w:rsidRPr="00A521CD">
        <w:tab/>
      </w:r>
      <w:r w:rsidRPr="00A521CD">
        <w:tab/>
      </w:r>
      <w:r w:rsidRPr="00A521CD">
        <w:tab/>
      </w:r>
      <w:r w:rsidRPr="00A521CD">
        <w:tab/>
      </w:r>
    </w:p>
    <w:p w14:paraId="752AD25E" w14:textId="77777777" w:rsidR="00BC6F22" w:rsidRDefault="00F22127" w:rsidP="007F46FD">
      <w:pPr>
        <w:rPr>
          <w:lang w:val="pt-BR"/>
        </w:rPr>
      </w:pPr>
      <w:r w:rsidRPr="00225250">
        <w:rPr>
          <w:lang w:val="pt-BR"/>
        </w:rPr>
        <w:t>CAS no.:</w:t>
      </w:r>
      <w:r w:rsidRPr="00D766FE">
        <w:rPr>
          <w:lang w:val="pt-BR"/>
        </w:rPr>
        <w:t xml:space="preserve"> </w:t>
      </w:r>
    </w:p>
    <w:p w14:paraId="4362687E" w14:textId="314F8C61" w:rsidR="00BC6F22" w:rsidRPr="00BC6F22" w:rsidRDefault="00BC6F22" w:rsidP="007F46FD">
      <w:pPr>
        <w:rPr>
          <w:b w:val="0"/>
          <w:lang w:val="pt-BR"/>
        </w:rPr>
      </w:pPr>
      <w:r w:rsidRPr="00BC6F22">
        <w:rPr>
          <w:b w:val="0"/>
          <w:lang w:val="pt-BR"/>
        </w:rPr>
        <w:t>Free base: 956697-53-3</w:t>
      </w:r>
    </w:p>
    <w:p w14:paraId="7FD933BF" w14:textId="77777777" w:rsidR="00BC6F22" w:rsidRDefault="00BC6F22" w:rsidP="007F46FD">
      <w:pPr>
        <w:rPr>
          <w:b w:val="0"/>
          <w:lang w:val="pt-BR"/>
        </w:rPr>
      </w:pPr>
      <w:r w:rsidRPr="00BC6F22">
        <w:rPr>
          <w:b w:val="0"/>
          <w:lang w:val="pt-BR"/>
        </w:rPr>
        <w:t>Salt Form:</w:t>
      </w:r>
      <w:r>
        <w:rPr>
          <w:lang w:val="pt-BR"/>
        </w:rPr>
        <w:t xml:space="preserve"> </w:t>
      </w:r>
      <w:r w:rsidR="00536836" w:rsidRPr="00536836">
        <w:rPr>
          <w:b w:val="0"/>
          <w:lang w:val="pt-BR"/>
        </w:rPr>
        <w:t>1218778-77-8</w:t>
      </w:r>
    </w:p>
    <w:p w14:paraId="0840EE80" w14:textId="4260B856" w:rsidR="00B53986" w:rsidRDefault="00267FB6" w:rsidP="007F46FD">
      <w:pPr>
        <w:rPr>
          <w:lang w:val="pt-BR"/>
        </w:rPr>
      </w:pPr>
      <w:r w:rsidRPr="00267FB6">
        <w:rPr>
          <w:b w:val="0"/>
        </w:rPr>
        <w:t>Biopharmaceutics Classification System</w:t>
      </w:r>
      <w:r w:rsidRPr="00267FB6">
        <w:rPr>
          <w:b w:val="0"/>
          <w:lang w:val="pt-BR"/>
        </w:rPr>
        <w:t xml:space="preserve"> (</w:t>
      </w:r>
      <w:r w:rsidR="00BC6F22" w:rsidRPr="00267FB6">
        <w:rPr>
          <w:b w:val="0"/>
          <w:lang w:val="pt-BR"/>
        </w:rPr>
        <w:t>BCS</w:t>
      </w:r>
      <w:r w:rsidRPr="00267FB6">
        <w:rPr>
          <w:b w:val="0"/>
          <w:lang w:val="pt-BR"/>
        </w:rPr>
        <w:t>)</w:t>
      </w:r>
      <w:r w:rsidR="00BC6F22" w:rsidRPr="00267FB6">
        <w:rPr>
          <w:b w:val="0"/>
          <w:lang w:val="pt-BR"/>
        </w:rPr>
        <w:t>:</w:t>
      </w:r>
      <w:r w:rsidR="00BC6F22">
        <w:rPr>
          <w:b w:val="0"/>
          <w:lang w:val="pt-BR"/>
        </w:rPr>
        <w:t xml:space="preserve"> Class II</w:t>
      </w:r>
      <w:r w:rsidR="00F22127" w:rsidRPr="00D766FE">
        <w:rPr>
          <w:lang w:val="pt-BR"/>
        </w:rPr>
        <w:tab/>
      </w:r>
      <w:r w:rsidR="00F22127" w:rsidRPr="00D766FE">
        <w:rPr>
          <w:lang w:val="pt-BR"/>
        </w:rPr>
        <w:tab/>
      </w:r>
      <w:r w:rsidR="00F22127" w:rsidRPr="00D766FE">
        <w:rPr>
          <w:lang w:val="pt-BR"/>
        </w:rPr>
        <w:tab/>
      </w:r>
    </w:p>
    <w:p w14:paraId="20647EC2" w14:textId="77777777" w:rsidR="00BC6DA6" w:rsidRDefault="00F22127" w:rsidP="00BC6DA6">
      <w:pPr>
        <w:pStyle w:val="Text"/>
        <w:rPr>
          <w:lang w:val="pt-BR"/>
        </w:rPr>
      </w:pPr>
      <w:r w:rsidRPr="00D766FE">
        <w:rPr>
          <w:lang w:val="pt-BR"/>
        </w:rPr>
        <w:t xml:space="preserve">Molecular formula: </w:t>
      </w:r>
      <w:r w:rsidRPr="00D766FE">
        <w:rPr>
          <w:lang w:val="pt-BR"/>
        </w:rPr>
        <w:tab/>
      </w:r>
    </w:p>
    <w:p w14:paraId="3607E883" w14:textId="4A5FA654" w:rsidR="00BC6DA6" w:rsidRPr="00BC6DA6" w:rsidRDefault="00BC6DA6" w:rsidP="00BC6DA6">
      <w:pPr>
        <w:pStyle w:val="Text"/>
        <w:rPr>
          <w:b w:val="0"/>
          <w:lang w:val="x-none"/>
        </w:rPr>
      </w:pPr>
      <w:r w:rsidRPr="00BC6DA6">
        <w:rPr>
          <w:b w:val="0"/>
          <w:lang w:val="x-none"/>
        </w:rPr>
        <w:t>Salt form on anhydrous basis: C</w:t>
      </w:r>
      <w:r w:rsidRPr="00BC6DA6">
        <w:rPr>
          <w:b w:val="0"/>
          <w:vertAlign w:val="subscript"/>
          <w:lang w:val="x-none"/>
        </w:rPr>
        <w:t>26</w:t>
      </w:r>
      <w:r w:rsidRPr="00BC6DA6">
        <w:rPr>
          <w:b w:val="0"/>
          <w:lang w:val="x-none"/>
        </w:rPr>
        <w:t>H</w:t>
      </w:r>
      <w:r w:rsidRPr="00BC6DA6">
        <w:rPr>
          <w:b w:val="0"/>
          <w:vertAlign w:val="subscript"/>
          <w:lang w:val="x-none"/>
        </w:rPr>
        <w:t>26</w:t>
      </w:r>
      <w:r w:rsidRPr="00BC6DA6">
        <w:rPr>
          <w:b w:val="0"/>
          <w:lang w:val="x-none"/>
        </w:rPr>
        <w:t xml:space="preserve"> F</w:t>
      </w:r>
      <w:r w:rsidRPr="00BC6DA6">
        <w:rPr>
          <w:b w:val="0"/>
          <w:vertAlign w:val="subscript"/>
          <w:lang w:val="x-none"/>
        </w:rPr>
        <w:t>3</w:t>
      </w:r>
      <w:r w:rsidRPr="00BC6DA6">
        <w:rPr>
          <w:b w:val="0"/>
          <w:lang w:val="x-none"/>
        </w:rPr>
        <w:t>N</w:t>
      </w:r>
      <w:r w:rsidRPr="00BC6DA6">
        <w:rPr>
          <w:b w:val="0"/>
          <w:vertAlign w:val="subscript"/>
          <w:lang w:val="x-none"/>
        </w:rPr>
        <w:t>3</w:t>
      </w:r>
      <w:r w:rsidRPr="00BC6DA6">
        <w:rPr>
          <w:b w:val="0"/>
          <w:lang w:val="x-none"/>
        </w:rPr>
        <w:t>O</w:t>
      </w:r>
      <w:r w:rsidRPr="00BC6DA6">
        <w:rPr>
          <w:b w:val="0"/>
          <w:vertAlign w:val="subscript"/>
          <w:lang w:val="x-none"/>
        </w:rPr>
        <w:t>3</w:t>
      </w:r>
      <w:r w:rsidRPr="00BC6DA6">
        <w:rPr>
          <w:b w:val="0"/>
          <w:lang w:val="x-none"/>
        </w:rPr>
        <w:t xml:space="preserve"> • 2H</w:t>
      </w:r>
      <w:r w:rsidRPr="00BC6DA6">
        <w:rPr>
          <w:b w:val="0"/>
          <w:vertAlign w:val="subscript"/>
          <w:lang w:val="x-none"/>
        </w:rPr>
        <w:t>3</w:t>
      </w:r>
      <w:r w:rsidRPr="00BC6DA6">
        <w:rPr>
          <w:b w:val="0"/>
          <w:lang w:val="x-none"/>
        </w:rPr>
        <w:t>PO</w:t>
      </w:r>
      <w:r w:rsidRPr="00BC6DA6">
        <w:rPr>
          <w:b w:val="0"/>
          <w:vertAlign w:val="subscript"/>
          <w:lang w:val="x-none"/>
        </w:rPr>
        <w:t>4</w:t>
      </w:r>
    </w:p>
    <w:p w14:paraId="686FB44B" w14:textId="10B45341" w:rsidR="00BC6DA6" w:rsidRPr="00BC6DA6" w:rsidRDefault="00BC6DA6" w:rsidP="00BC6DA6">
      <w:pPr>
        <w:pStyle w:val="Text"/>
        <w:rPr>
          <w:b w:val="0"/>
          <w:i/>
          <w:lang w:val="x-none"/>
        </w:rPr>
      </w:pPr>
      <w:r w:rsidRPr="00BC6DA6">
        <w:rPr>
          <w:b w:val="0"/>
          <w:lang w:val="x-none"/>
        </w:rPr>
        <w:t>Salt/base ratio on anhydrous basis: 1.404</w:t>
      </w:r>
    </w:p>
    <w:p w14:paraId="3F4CDECA" w14:textId="744C4B57" w:rsidR="00BC6DA6" w:rsidRDefault="00F22127" w:rsidP="007F46FD">
      <w:pPr>
        <w:rPr>
          <w:lang w:val="pt-BR"/>
        </w:rPr>
      </w:pPr>
      <w:r w:rsidRPr="00D766FE">
        <w:rPr>
          <w:lang w:val="pt-BR"/>
        </w:rPr>
        <w:t xml:space="preserve">Molecular weight: </w:t>
      </w:r>
    </w:p>
    <w:p w14:paraId="732A2971" w14:textId="51F81752" w:rsidR="00BC6DA6" w:rsidRPr="00BC6DA6" w:rsidRDefault="00BC6DA6" w:rsidP="00BC6DA6">
      <w:pPr>
        <w:pStyle w:val="Text"/>
        <w:rPr>
          <w:b w:val="0"/>
          <w:lang w:val="x-none"/>
        </w:rPr>
      </w:pPr>
      <w:r>
        <w:rPr>
          <w:b w:val="0"/>
          <w:lang w:val="x-none"/>
        </w:rPr>
        <w:t>Free base:</w:t>
      </w:r>
      <w:r w:rsidRPr="00BC6DA6">
        <w:rPr>
          <w:b w:val="0"/>
          <w:lang w:val="pt-BR"/>
        </w:rPr>
        <w:tab/>
      </w:r>
      <w:r w:rsidRPr="00BC6DA6">
        <w:rPr>
          <w:b w:val="0"/>
          <w:lang w:val="pt-BR"/>
        </w:rPr>
        <w:tab/>
      </w:r>
      <w:r w:rsidRPr="00BC6DA6">
        <w:rPr>
          <w:b w:val="0"/>
          <w:lang w:val="x-none"/>
        </w:rPr>
        <w:t>485.50</w:t>
      </w:r>
    </w:p>
    <w:p w14:paraId="3384B95B" w14:textId="2C1BB650" w:rsidR="00BC6DA6" w:rsidRPr="00BC6DA6" w:rsidRDefault="00BC6DA6" w:rsidP="00BC6DA6">
      <w:pPr>
        <w:pStyle w:val="Text"/>
        <w:rPr>
          <w:b w:val="0"/>
          <w:lang w:val="x-none"/>
        </w:rPr>
      </w:pPr>
      <w:r>
        <w:rPr>
          <w:b w:val="0"/>
          <w:lang w:val="x-none"/>
        </w:rPr>
        <w:t>Diphosphate salt:</w:t>
      </w:r>
      <w:r>
        <w:rPr>
          <w:b w:val="0"/>
          <w:lang w:val="en-AU"/>
        </w:rPr>
        <w:tab/>
      </w:r>
      <w:r w:rsidRPr="00BC6DA6">
        <w:rPr>
          <w:b w:val="0"/>
          <w:lang w:val="x-none"/>
        </w:rPr>
        <w:t>681.49</w:t>
      </w:r>
    </w:p>
    <w:p w14:paraId="0840EE83" w14:textId="3A9919EC" w:rsidR="00B82375" w:rsidRPr="00BC6DA6" w:rsidRDefault="00B82375" w:rsidP="007F46FD">
      <w:pPr>
        <w:rPr>
          <w:lang w:val="pt-BR"/>
        </w:rPr>
      </w:pPr>
    </w:p>
    <w:p w14:paraId="0840EE84" w14:textId="77777777" w:rsidR="006D0C74" w:rsidRDefault="00055669" w:rsidP="007F46FD">
      <w:pPr>
        <w:pStyle w:val="Heading1"/>
        <w:rPr>
          <w:lang w:val="pt-BR"/>
        </w:rPr>
      </w:pPr>
      <w:r w:rsidRPr="00BC6DA6">
        <w:rPr>
          <w:lang w:val="pt-BR"/>
        </w:rPr>
        <w:lastRenderedPageBreak/>
        <w:t>DESCRIPTION</w:t>
      </w:r>
    </w:p>
    <w:p w14:paraId="7697D77C" w14:textId="74936D13" w:rsidR="00924F26" w:rsidRDefault="00924F26" w:rsidP="00924F26">
      <w:pPr>
        <w:pStyle w:val="Text"/>
        <w:rPr>
          <w:b w:val="0"/>
        </w:rPr>
      </w:pPr>
      <w:r w:rsidRPr="00924F26">
        <w:rPr>
          <w:b w:val="0"/>
        </w:rPr>
        <w:t xml:space="preserve">The compound is a white to off-white powder obtained by a standard synthetic organic chemistry synthesis. </w:t>
      </w:r>
      <w:r>
        <w:rPr>
          <w:b w:val="0"/>
        </w:rPr>
        <w:t>Sonidegib</w:t>
      </w:r>
      <w:r w:rsidRPr="00924F26">
        <w:rPr>
          <w:b w:val="0"/>
        </w:rPr>
        <w:t xml:space="preserve"> free base is practically insoluble, with &lt;10µg/mL solubility across the pH range (pH 1-10). The diphosphate salt has a similar solubility profile to the free base, but shows increased solubility at pH 2 (0.018 mg/mL). The diphosphate salt also shows improved solubility in fed state simulated intestinal fluid (0.275 mg/mL). Dissolution profiles of the free base and diphosphate salt were similar in fed and fasted state simulated intestinal fluid.</w:t>
      </w:r>
      <w:r>
        <w:rPr>
          <w:b w:val="0"/>
        </w:rPr>
        <w:t xml:space="preserve"> </w:t>
      </w:r>
    </w:p>
    <w:p w14:paraId="17CF3F1D" w14:textId="4D67617B" w:rsidR="00924F26" w:rsidRPr="00924F26" w:rsidRDefault="00924F26" w:rsidP="00924F26">
      <w:pPr>
        <w:pStyle w:val="Text"/>
        <w:rPr>
          <w:b w:val="0"/>
        </w:rPr>
      </w:pPr>
      <w:r>
        <w:rPr>
          <w:b w:val="0"/>
          <w:lang w:val="en-AU"/>
        </w:rPr>
        <w:t>Odomzo</w:t>
      </w:r>
      <w:r w:rsidRPr="00DE6BF0">
        <w:rPr>
          <w:b w:val="0"/>
          <w:lang w:val="en-AU"/>
        </w:rPr>
        <w:t xml:space="preserve"> </w:t>
      </w:r>
      <w:r>
        <w:rPr>
          <w:b w:val="0"/>
          <w:lang w:val="en-AU"/>
        </w:rPr>
        <w:t>capsules</w:t>
      </w:r>
      <w:r w:rsidRPr="00DE6BF0">
        <w:rPr>
          <w:b w:val="0"/>
          <w:lang w:val="en-AU"/>
        </w:rPr>
        <w:t xml:space="preserve"> contain </w:t>
      </w:r>
      <w:r>
        <w:rPr>
          <w:b w:val="0"/>
          <w:lang w:val="en-AU"/>
        </w:rPr>
        <w:t>200</w:t>
      </w:r>
      <w:r w:rsidRPr="00DE6BF0">
        <w:rPr>
          <w:b w:val="0"/>
          <w:lang w:val="en-AU"/>
        </w:rPr>
        <w:t xml:space="preserve"> mg</w:t>
      </w:r>
      <w:r>
        <w:rPr>
          <w:b w:val="0"/>
          <w:lang w:val="en-AU"/>
        </w:rPr>
        <w:t xml:space="preserve"> of sonidegib a</w:t>
      </w:r>
      <w:r w:rsidRPr="00DE6BF0">
        <w:rPr>
          <w:b w:val="0"/>
          <w:lang w:val="en-AU"/>
        </w:rPr>
        <w:t xml:space="preserve">s the </w:t>
      </w:r>
      <w:r>
        <w:rPr>
          <w:b w:val="0"/>
          <w:lang w:val="en-AU"/>
        </w:rPr>
        <w:t>di</w:t>
      </w:r>
      <w:r w:rsidRPr="00DE6BF0">
        <w:rPr>
          <w:b w:val="0"/>
          <w:lang w:val="en-AU"/>
        </w:rPr>
        <w:t>phosphate</w:t>
      </w:r>
      <w:r>
        <w:rPr>
          <w:b w:val="0"/>
          <w:lang w:val="en-AU"/>
        </w:rPr>
        <w:t xml:space="preserve"> salt.</w:t>
      </w:r>
    </w:p>
    <w:p w14:paraId="0840EE85" w14:textId="77777777" w:rsidR="007F46FD" w:rsidRDefault="00F22127" w:rsidP="007F46FD">
      <w:pPr>
        <w:rPr>
          <w:lang w:val="pt-BR"/>
        </w:rPr>
      </w:pPr>
      <w:r w:rsidRPr="00BC6DA6">
        <w:rPr>
          <w:lang w:val="pt-BR"/>
        </w:rPr>
        <w:t>Excipients</w:t>
      </w:r>
    </w:p>
    <w:p w14:paraId="2C2111E5" w14:textId="52B0F075" w:rsidR="00924F26" w:rsidRDefault="00924F26" w:rsidP="00924F26">
      <w:pPr>
        <w:rPr>
          <w:b w:val="0"/>
          <w:lang w:val="pt-BR"/>
        </w:rPr>
      </w:pPr>
      <w:r>
        <w:rPr>
          <w:b w:val="0"/>
          <w:lang w:val="pt-BR"/>
        </w:rPr>
        <w:t xml:space="preserve">Odomzo capsules contain the following excipients: </w:t>
      </w:r>
      <w:r w:rsidRPr="00924F26">
        <w:rPr>
          <w:b w:val="0"/>
          <w:lang w:val="pt-BR"/>
        </w:rPr>
        <w:t xml:space="preserve">crospovidone, lactose, magnesium stearate, poloxamer (188), </w:t>
      </w:r>
      <w:r w:rsidR="00E754E0">
        <w:rPr>
          <w:b w:val="0"/>
          <w:lang w:val="pt-BR"/>
        </w:rPr>
        <w:t xml:space="preserve">butylated hydroxytoluene, </w:t>
      </w:r>
      <w:r w:rsidR="00D35783">
        <w:rPr>
          <w:b w:val="0"/>
          <w:lang w:val="pt-BR"/>
        </w:rPr>
        <w:t xml:space="preserve">anhydrous colloidal </w:t>
      </w:r>
      <w:r w:rsidRPr="00924F26">
        <w:rPr>
          <w:b w:val="0"/>
          <w:lang w:val="pt-BR"/>
        </w:rPr>
        <w:t>silica and sodium laur</w:t>
      </w:r>
      <w:r w:rsidR="00F32F5B">
        <w:rPr>
          <w:b w:val="0"/>
          <w:lang w:val="pt-BR"/>
        </w:rPr>
        <w:t>y</w:t>
      </w:r>
      <w:r w:rsidRPr="00924F26">
        <w:rPr>
          <w:b w:val="0"/>
          <w:lang w:val="pt-BR"/>
        </w:rPr>
        <w:t>l</w:t>
      </w:r>
      <w:r w:rsidR="00F32F5B">
        <w:rPr>
          <w:b w:val="0"/>
          <w:lang w:val="pt-BR"/>
        </w:rPr>
        <w:t xml:space="preserve"> </w:t>
      </w:r>
      <w:r w:rsidRPr="00924F26">
        <w:rPr>
          <w:b w:val="0"/>
          <w:lang w:val="pt-BR"/>
        </w:rPr>
        <w:t>sulfate (sodium lauryl sulfate)</w:t>
      </w:r>
      <w:r>
        <w:rPr>
          <w:b w:val="0"/>
          <w:lang w:val="pt-BR"/>
        </w:rPr>
        <w:t>.</w:t>
      </w:r>
    </w:p>
    <w:p w14:paraId="3D9B4EB3" w14:textId="3BB1C261" w:rsidR="001A1BF2" w:rsidRPr="001A1BF2" w:rsidRDefault="001A1BF2" w:rsidP="001A1BF2">
      <w:pPr>
        <w:pStyle w:val="Text"/>
        <w:rPr>
          <w:lang w:val="pt-BR"/>
        </w:rPr>
      </w:pPr>
      <w:r w:rsidRPr="001A1BF2">
        <w:rPr>
          <w:lang w:val="pt-BR"/>
        </w:rPr>
        <w:t xml:space="preserve">Capsule shell: </w:t>
      </w:r>
      <w:r w:rsidRPr="001A1BF2">
        <w:rPr>
          <w:b w:val="0"/>
          <w:lang w:val="pt-BR"/>
        </w:rPr>
        <w:t>gelatin, iron oxide red (E172), and titanium dioxide (E171)</w:t>
      </w:r>
      <w:r>
        <w:rPr>
          <w:b w:val="0"/>
          <w:lang w:val="pt-BR"/>
        </w:rPr>
        <w:t>.</w:t>
      </w:r>
    </w:p>
    <w:p w14:paraId="4920E8D7" w14:textId="0FE089CA" w:rsidR="001A1BF2" w:rsidRDefault="003D78D3" w:rsidP="001A1BF2">
      <w:pPr>
        <w:pStyle w:val="Text"/>
        <w:rPr>
          <w:b w:val="0"/>
          <w:lang w:val="pt-BR"/>
        </w:rPr>
      </w:pPr>
      <w:r>
        <w:rPr>
          <w:lang w:val="pt-BR"/>
        </w:rPr>
        <w:t>Opacode manogramming ink S-1-277002 Black</w:t>
      </w:r>
      <w:r w:rsidR="001A1BF2" w:rsidRPr="001A1BF2">
        <w:rPr>
          <w:lang w:val="pt-BR"/>
        </w:rPr>
        <w:t xml:space="preserve">: </w:t>
      </w:r>
      <w:r w:rsidR="001A1BF2" w:rsidRPr="001A1BF2">
        <w:rPr>
          <w:b w:val="0"/>
          <w:lang w:val="pt-BR"/>
        </w:rPr>
        <w:t>ammonium hydroxide, iron oxide black (E172), propylene glycol, and shellac</w:t>
      </w:r>
      <w:r w:rsidR="001A1BF2">
        <w:rPr>
          <w:b w:val="0"/>
          <w:lang w:val="pt-BR"/>
        </w:rPr>
        <w:t>.</w:t>
      </w:r>
    </w:p>
    <w:p w14:paraId="14559857" w14:textId="77777777" w:rsidR="001A1BF2" w:rsidRPr="001A1BF2" w:rsidRDefault="001A1BF2" w:rsidP="00924F26">
      <w:pPr>
        <w:rPr>
          <w:b w:val="0"/>
          <w:lang w:val="pt-BR"/>
        </w:rPr>
      </w:pPr>
    </w:p>
    <w:p w14:paraId="0840EE86" w14:textId="0BB857CF" w:rsidR="007F46FD" w:rsidRPr="00BC6DA6" w:rsidRDefault="00F22127" w:rsidP="00924F26">
      <w:pPr>
        <w:rPr>
          <w:lang w:val="pt-BR"/>
        </w:rPr>
      </w:pPr>
      <w:r w:rsidRPr="00BC6DA6">
        <w:rPr>
          <w:lang w:val="pt-BR"/>
        </w:rPr>
        <w:t>PHARMACOLOGY</w:t>
      </w:r>
    </w:p>
    <w:p w14:paraId="7BDBFDB7" w14:textId="7ACC30F4" w:rsidR="001A1BF2" w:rsidRPr="001A1BF2" w:rsidRDefault="001A1BF2" w:rsidP="001D6A62">
      <w:pPr>
        <w:pStyle w:val="Heading2"/>
      </w:pPr>
      <w:r w:rsidRPr="001A1BF2">
        <w:t>Mechanism of action</w:t>
      </w:r>
    </w:p>
    <w:p w14:paraId="41A13E61" w14:textId="5154ACB3" w:rsidR="001A1BF2" w:rsidRPr="001A1BF2" w:rsidRDefault="001A1BF2" w:rsidP="001D6A62">
      <w:pPr>
        <w:pStyle w:val="Heading2"/>
      </w:pPr>
      <w:r w:rsidRPr="00F26850">
        <w:rPr>
          <w:b w:val="0"/>
        </w:rPr>
        <w:t>Sonidegib is a selective and orally bioavailable Smoothened (Smo) antagonist. Smo is a G protein-coupled receptor-like molecule that positively regulates the Hedgehog (Hh) signal transduction pathway. Hh pathway activation of Smo leads to activation and nuclear localization of Glioma-Associated Oncogene (GLI) transcription factors, and is linked to the pathogenesis of several types of cancer including basal cell carcinoma (BCC). Sonidegib binds Smo with high affinity to inhibit GLI mediated target gene activation thereby inhibiting Hh signaling</w:t>
      </w:r>
      <w:r>
        <w:t>.</w:t>
      </w:r>
    </w:p>
    <w:p w14:paraId="0840EE87" w14:textId="77777777" w:rsidR="007F46FD" w:rsidRDefault="00357959" w:rsidP="001D6A62">
      <w:pPr>
        <w:pStyle w:val="Heading2"/>
      </w:pPr>
      <w:r w:rsidRPr="00BC6DA6">
        <w:t>Pharmacodynamics</w:t>
      </w:r>
    </w:p>
    <w:p w14:paraId="43CE1EF8" w14:textId="118A9C50" w:rsidR="001A1BF2" w:rsidRDefault="001A1BF2" w:rsidP="001A1BF2">
      <w:pPr>
        <w:pStyle w:val="Text"/>
        <w:rPr>
          <w:b w:val="0"/>
        </w:rPr>
      </w:pPr>
      <w:r w:rsidRPr="001A1BF2">
        <w:rPr>
          <w:b w:val="0"/>
        </w:rPr>
        <w:t xml:space="preserve">The </w:t>
      </w:r>
      <w:proofErr w:type="spellStart"/>
      <w:r w:rsidRPr="001A1BF2">
        <w:rPr>
          <w:b w:val="0"/>
        </w:rPr>
        <w:t>sonidegib</w:t>
      </w:r>
      <w:proofErr w:type="spellEnd"/>
      <w:r w:rsidRPr="001A1BF2">
        <w:rPr>
          <w:b w:val="0"/>
        </w:rPr>
        <w:t xml:space="preserve"> plasma concentration-</w:t>
      </w:r>
      <w:proofErr w:type="spellStart"/>
      <w:r w:rsidRPr="001A1BF2">
        <w:rPr>
          <w:b w:val="0"/>
        </w:rPr>
        <w:t>QTc</w:t>
      </w:r>
      <w:proofErr w:type="spellEnd"/>
      <w:r w:rsidRPr="001A1BF2">
        <w:rPr>
          <w:b w:val="0"/>
        </w:rPr>
        <w:t xml:space="preserve"> analysis showed that the upper bound of one-sided 95% confidence interval for </w:t>
      </w:r>
      <w:proofErr w:type="spellStart"/>
      <w:r w:rsidRPr="001A1BF2">
        <w:rPr>
          <w:b w:val="0"/>
        </w:rPr>
        <w:t>QTc</w:t>
      </w:r>
      <w:proofErr w:type="spellEnd"/>
      <w:r w:rsidRPr="001A1BF2">
        <w:rPr>
          <w:b w:val="0"/>
        </w:rPr>
        <w:t xml:space="preserve"> increase was below 5 </w:t>
      </w:r>
      <w:proofErr w:type="spellStart"/>
      <w:r w:rsidRPr="001A1BF2">
        <w:rPr>
          <w:b w:val="0"/>
        </w:rPr>
        <w:t>msec</w:t>
      </w:r>
      <w:proofErr w:type="spellEnd"/>
      <w:r w:rsidRPr="001A1BF2">
        <w:rPr>
          <w:b w:val="0"/>
        </w:rPr>
        <w:t xml:space="preserve"> at steady-state </w:t>
      </w:r>
      <w:proofErr w:type="spellStart"/>
      <w:r w:rsidRPr="001A1BF2">
        <w:rPr>
          <w:b w:val="0"/>
        </w:rPr>
        <w:t>Cmax</w:t>
      </w:r>
      <w:proofErr w:type="spellEnd"/>
      <w:r w:rsidRPr="001A1BF2">
        <w:rPr>
          <w:b w:val="0"/>
        </w:rPr>
        <w:t xml:space="preserve"> for 800 mg daily doses, which provide 2.3-fold plasma exposure compared with the recommended 200 mg dose. Further, sonidegib plasma concentrations above those achieved with the therapeutic doses were not associated with life threatening arrhythmias or </w:t>
      </w:r>
      <w:proofErr w:type="spellStart"/>
      <w:r w:rsidRPr="001A1BF2">
        <w:rPr>
          <w:b w:val="0"/>
        </w:rPr>
        <w:t>Torsades</w:t>
      </w:r>
      <w:proofErr w:type="spellEnd"/>
      <w:r w:rsidRPr="001A1BF2">
        <w:rPr>
          <w:b w:val="0"/>
        </w:rPr>
        <w:t xml:space="preserve"> de pointes</w:t>
      </w:r>
      <w:r>
        <w:rPr>
          <w:b w:val="0"/>
        </w:rPr>
        <w:t>.</w:t>
      </w:r>
    </w:p>
    <w:p w14:paraId="0376A1CC" w14:textId="06E838C2" w:rsidR="00BA253E" w:rsidRPr="007A396C" w:rsidRDefault="00BA253E" w:rsidP="001A1BF2">
      <w:pPr>
        <w:pStyle w:val="Text"/>
        <w:rPr>
          <w:b w:val="0"/>
        </w:rPr>
      </w:pPr>
      <w:r w:rsidRPr="007A396C">
        <w:rPr>
          <w:b w:val="0"/>
        </w:rPr>
        <w:t xml:space="preserve">In the pivotal study A2201, a </w:t>
      </w:r>
      <w:proofErr w:type="spellStart"/>
      <w:r w:rsidRPr="007A396C">
        <w:rPr>
          <w:b w:val="0"/>
        </w:rPr>
        <w:t>postbaseline</w:t>
      </w:r>
      <w:proofErr w:type="spellEnd"/>
      <w:r w:rsidRPr="007A396C">
        <w:rPr>
          <w:b w:val="0"/>
        </w:rPr>
        <w:t xml:space="preserve"> </w:t>
      </w:r>
      <w:proofErr w:type="spellStart"/>
      <w:r w:rsidRPr="007A396C">
        <w:rPr>
          <w:b w:val="0"/>
        </w:rPr>
        <w:t>QTcF</w:t>
      </w:r>
      <w:proofErr w:type="spellEnd"/>
      <w:r w:rsidRPr="007A396C">
        <w:rPr>
          <w:b w:val="0"/>
        </w:rPr>
        <w:t xml:space="preserve"> &gt;</w:t>
      </w:r>
      <w:r w:rsidR="003032D1">
        <w:rPr>
          <w:b w:val="0"/>
        </w:rPr>
        <w:t xml:space="preserve"> </w:t>
      </w:r>
      <w:r w:rsidRPr="007A396C">
        <w:rPr>
          <w:b w:val="0"/>
        </w:rPr>
        <w:t xml:space="preserve">500 </w:t>
      </w:r>
      <w:proofErr w:type="spellStart"/>
      <w:r w:rsidRPr="007A396C">
        <w:rPr>
          <w:b w:val="0"/>
        </w:rPr>
        <w:t>ms</w:t>
      </w:r>
      <w:proofErr w:type="spellEnd"/>
      <w:r w:rsidRPr="007A396C">
        <w:rPr>
          <w:b w:val="0"/>
        </w:rPr>
        <w:t xml:space="preserve"> was reported for one patient in the sonidegib 200 mg group. This patient had prolonged </w:t>
      </w:r>
      <w:proofErr w:type="spellStart"/>
      <w:r w:rsidRPr="007A396C">
        <w:rPr>
          <w:b w:val="0"/>
        </w:rPr>
        <w:t>QTcF</w:t>
      </w:r>
      <w:proofErr w:type="spellEnd"/>
      <w:r w:rsidRPr="007A396C">
        <w:rPr>
          <w:b w:val="0"/>
        </w:rPr>
        <w:t xml:space="preserve"> intervals at baseline which present consistently throughout the study; there were no associated cardiac-related AEs. Increases </w:t>
      </w:r>
      <w:r w:rsidRPr="007A396C">
        <w:rPr>
          <w:b w:val="0"/>
        </w:rPr>
        <w:lastRenderedPageBreak/>
        <w:t xml:space="preserve">from baseline of  &gt;30 </w:t>
      </w:r>
      <w:proofErr w:type="spellStart"/>
      <w:r w:rsidRPr="007A396C">
        <w:rPr>
          <w:b w:val="0"/>
        </w:rPr>
        <w:t>ms</w:t>
      </w:r>
      <w:proofErr w:type="spellEnd"/>
      <w:r w:rsidRPr="007A396C">
        <w:rPr>
          <w:b w:val="0"/>
        </w:rPr>
        <w:t xml:space="preserve"> were reported for 7.6% of patients in the sonidegib 200 mg group. No increases from baseline in </w:t>
      </w:r>
      <w:proofErr w:type="spellStart"/>
      <w:r w:rsidRPr="007A396C">
        <w:rPr>
          <w:b w:val="0"/>
        </w:rPr>
        <w:t>QTcF</w:t>
      </w:r>
      <w:proofErr w:type="spellEnd"/>
      <w:r w:rsidRPr="007A396C">
        <w:rPr>
          <w:b w:val="0"/>
        </w:rPr>
        <w:t xml:space="preserve"> of &gt;</w:t>
      </w:r>
      <w:r w:rsidR="003032D1">
        <w:rPr>
          <w:b w:val="0"/>
        </w:rPr>
        <w:t xml:space="preserve"> </w:t>
      </w:r>
      <w:r w:rsidRPr="007A396C">
        <w:rPr>
          <w:b w:val="0"/>
        </w:rPr>
        <w:t xml:space="preserve">60 </w:t>
      </w:r>
      <w:proofErr w:type="spellStart"/>
      <w:r w:rsidRPr="007A396C">
        <w:rPr>
          <w:b w:val="0"/>
        </w:rPr>
        <w:t>ms</w:t>
      </w:r>
      <w:proofErr w:type="spellEnd"/>
      <w:r w:rsidRPr="007A396C">
        <w:rPr>
          <w:b w:val="0"/>
        </w:rPr>
        <w:t xml:space="preserve"> were observed.</w:t>
      </w:r>
    </w:p>
    <w:p w14:paraId="3A0D5CF7" w14:textId="355315C8" w:rsidR="00924F26" w:rsidRPr="001A1BF2" w:rsidRDefault="001A1BF2" w:rsidP="001A1BF2">
      <w:pPr>
        <w:pStyle w:val="paragraph"/>
        <w:rPr>
          <w:b w:val="0"/>
          <w:lang w:val="pt-BR"/>
        </w:rPr>
      </w:pPr>
      <w:r w:rsidRPr="001A1BF2">
        <w:rPr>
          <w:b w:val="0"/>
        </w:rPr>
        <w:t>Tumor response was independent of sonidegib dose or plasma concentration in the dose range of 200 mg to 800 mg.</w:t>
      </w:r>
    </w:p>
    <w:p w14:paraId="0840EE88" w14:textId="77777777" w:rsidR="007F46FD" w:rsidRDefault="00055669" w:rsidP="001D6A62">
      <w:pPr>
        <w:pStyle w:val="Heading2"/>
      </w:pPr>
      <w:r w:rsidRPr="00BC6DA6">
        <w:t>Pharmacokinetics</w:t>
      </w:r>
    </w:p>
    <w:p w14:paraId="0840EE89" w14:textId="77777777" w:rsidR="007F46FD" w:rsidRDefault="00357959" w:rsidP="00A44381">
      <w:pPr>
        <w:pStyle w:val="Heading3"/>
        <w:rPr>
          <w:lang w:val="pt-BR"/>
        </w:rPr>
      </w:pPr>
      <w:r w:rsidRPr="00BC6DA6">
        <w:rPr>
          <w:lang w:val="pt-BR"/>
        </w:rPr>
        <w:t>Absorption</w:t>
      </w:r>
      <w:r w:rsidR="0038416E" w:rsidRPr="00BC6DA6">
        <w:rPr>
          <w:lang w:val="pt-BR"/>
        </w:rPr>
        <w:t>:</w:t>
      </w:r>
    </w:p>
    <w:p w14:paraId="7A404325" w14:textId="13BE0D6E" w:rsidR="00924F26" w:rsidRPr="001A1BF2" w:rsidRDefault="001A1BF2" w:rsidP="00924F26">
      <w:pPr>
        <w:pStyle w:val="paragraph"/>
        <w:rPr>
          <w:b w:val="0"/>
          <w:lang w:val="pt-BR"/>
        </w:rPr>
      </w:pPr>
      <w:r w:rsidRPr="001A1BF2">
        <w:rPr>
          <w:b w:val="0"/>
        </w:rPr>
        <w:t>Following the administration of a single dose of Odomzo (100 mg to 3000 mg) without food in patients with cancer, the median time-to-peak concentration (</w:t>
      </w:r>
      <w:proofErr w:type="spellStart"/>
      <w:r w:rsidRPr="001A1BF2">
        <w:rPr>
          <w:b w:val="0"/>
        </w:rPr>
        <w:t>T</w:t>
      </w:r>
      <w:r w:rsidRPr="001A1BF2">
        <w:rPr>
          <w:b w:val="0"/>
          <w:vertAlign w:val="subscript"/>
        </w:rPr>
        <w:t>max</w:t>
      </w:r>
      <w:proofErr w:type="spellEnd"/>
      <w:r w:rsidRPr="001A1BF2">
        <w:rPr>
          <w:b w:val="0"/>
        </w:rPr>
        <w:t>) was 2-4 hours.</w:t>
      </w:r>
      <w:r w:rsidR="003970C4">
        <w:rPr>
          <w:b w:val="0"/>
        </w:rPr>
        <w:t xml:space="preserve"> Sonidegib is poorly absorbed following oral administration (6% to 7% of the administered dose </w:t>
      </w:r>
      <w:r w:rsidR="008D19F6">
        <w:rPr>
          <w:b w:val="0"/>
        </w:rPr>
        <w:t xml:space="preserve">at 800 mg </w:t>
      </w:r>
      <w:r w:rsidR="003970C4">
        <w:rPr>
          <w:b w:val="0"/>
        </w:rPr>
        <w:t>in the fasting state</w:t>
      </w:r>
      <w:r w:rsidR="008D19F6">
        <w:rPr>
          <w:b w:val="0"/>
        </w:rPr>
        <w:t xml:space="preserve">. </w:t>
      </w:r>
      <w:r w:rsidR="008D19F6" w:rsidRPr="007A396C">
        <w:rPr>
          <w:b w:val="0"/>
        </w:rPr>
        <w:t>The oral absorption of sonidegib 200 mg is expected to be higher based on the nonlinear dose-exposure relationship, but is unlikely to exceed 14%</w:t>
      </w:r>
      <w:r w:rsidR="003970C4" w:rsidRPr="007A396C">
        <w:rPr>
          <w:b w:val="0"/>
        </w:rPr>
        <w:t>.</w:t>
      </w:r>
      <w:r w:rsidRPr="007A396C">
        <w:rPr>
          <w:b w:val="0"/>
        </w:rPr>
        <w:t xml:space="preserve"> </w:t>
      </w:r>
      <w:r w:rsidR="003A55D6">
        <w:rPr>
          <w:b w:val="0"/>
        </w:rPr>
        <w:t>An absolute oral bioavailability study in humans has not been conducted due to the</w:t>
      </w:r>
      <w:r w:rsidR="003A55D6">
        <w:t xml:space="preserve"> </w:t>
      </w:r>
      <w:r w:rsidR="003A55D6" w:rsidRPr="003A55D6">
        <w:rPr>
          <w:b w:val="0"/>
        </w:rPr>
        <w:t>insolubility of sonidegib in a large number of potential vehicles.</w:t>
      </w:r>
      <w:r w:rsidR="003A55D6">
        <w:t xml:space="preserve"> </w:t>
      </w:r>
      <w:r w:rsidRPr="001A1BF2">
        <w:rPr>
          <w:b w:val="0"/>
        </w:rPr>
        <w:t xml:space="preserve">Sonidegib exhibited </w:t>
      </w:r>
      <w:r w:rsidR="008D19F6">
        <w:rPr>
          <w:b w:val="0"/>
        </w:rPr>
        <w:t xml:space="preserve">approximate </w:t>
      </w:r>
      <w:r w:rsidRPr="001A1BF2">
        <w:rPr>
          <w:b w:val="0"/>
        </w:rPr>
        <w:t xml:space="preserve">dose-proportional increases in AUC and </w:t>
      </w:r>
      <w:proofErr w:type="spellStart"/>
      <w:r w:rsidRPr="001A1BF2">
        <w:rPr>
          <w:b w:val="0"/>
        </w:rPr>
        <w:t>C</w:t>
      </w:r>
      <w:r w:rsidRPr="001A1BF2">
        <w:rPr>
          <w:b w:val="0"/>
          <w:vertAlign w:val="subscript"/>
        </w:rPr>
        <w:t>max</w:t>
      </w:r>
      <w:proofErr w:type="spellEnd"/>
      <w:r w:rsidRPr="001A1BF2">
        <w:rPr>
          <w:b w:val="0"/>
        </w:rPr>
        <w:t xml:space="preserve"> over the dose range from 100 mg to 400 mg, but less than dose-proportional increases above 400 mg</w:t>
      </w:r>
      <w:r w:rsidRPr="001A1BF2">
        <w:rPr>
          <w:b w:val="0"/>
          <w:color w:val="0000FF"/>
        </w:rPr>
        <w:t>.</w:t>
      </w:r>
      <w:r w:rsidRPr="001A1BF2">
        <w:rPr>
          <w:b w:val="0"/>
        </w:rPr>
        <w:t xml:space="preserve"> There was no evidence of clearance change with repeated dosing based on the population PK analysis and estimated accumulation </w:t>
      </w:r>
      <w:r w:rsidR="008D19F6">
        <w:rPr>
          <w:b w:val="0"/>
        </w:rPr>
        <w:t xml:space="preserve">based on </w:t>
      </w:r>
      <w:r w:rsidRPr="001A1BF2">
        <w:rPr>
          <w:b w:val="0"/>
        </w:rPr>
        <w:t xml:space="preserve">steady state </w:t>
      </w:r>
      <w:r w:rsidR="00ED3952">
        <w:rPr>
          <w:b w:val="0"/>
        </w:rPr>
        <w:t xml:space="preserve">AUC (0-24h) </w:t>
      </w:r>
      <w:r w:rsidRPr="001A1BF2">
        <w:rPr>
          <w:b w:val="0"/>
        </w:rPr>
        <w:t>was 19-fold irrespective of dose</w:t>
      </w:r>
      <w:r w:rsidR="008D19F6">
        <w:rPr>
          <w:b w:val="0"/>
        </w:rPr>
        <w:t xml:space="preserve"> (200 mg QD or 800 mg QD)</w:t>
      </w:r>
      <w:r w:rsidRPr="001A1BF2">
        <w:rPr>
          <w:b w:val="0"/>
        </w:rPr>
        <w:t xml:space="preserve">. Steady state was reached approximately 4 months after starting sonidegib. The average steady state </w:t>
      </w:r>
      <w:proofErr w:type="spellStart"/>
      <w:r w:rsidRPr="001A1BF2">
        <w:rPr>
          <w:b w:val="0"/>
        </w:rPr>
        <w:t>C</w:t>
      </w:r>
      <w:r w:rsidRPr="001A1BF2">
        <w:rPr>
          <w:b w:val="0"/>
          <w:vertAlign w:val="subscript"/>
        </w:rPr>
        <w:t>trough</w:t>
      </w:r>
      <w:proofErr w:type="spellEnd"/>
      <w:r w:rsidRPr="001A1BF2">
        <w:rPr>
          <w:b w:val="0"/>
        </w:rPr>
        <w:t xml:space="preserve"> for 200 mg was </w:t>
      </w:r>
      <w:r w:rsidR="00ED3952">
        <w:rPr>
          <w:b w:val="0"/>
        </w:rPr>
        <w:t>810</w:t>
      </w:r>
      <w:r w:rsidRPr="001A1BF2">
        <w:rPr>
          <w:b w:val="0"/>
        </w:rPr>
        <w:t xml:space="preserve"> ng/mL (range </w:t>
      </w:r>
      <w:r w:rsidR="00ED3952">
        <w:rPr>
          <w:b w:val="0"/>
        </w:rPr>
        <w:t>182</w:t>
      </w:r>
      <w:r w:rsidR="00F32F5B">
        <w:rPr>
          <w:b w:val="0"/>
        </w:rPr>
        <w:t xml:space="preserve"> to</w:t>
      </w:r>
      <w:r w:rsidRPr="001A1BF2">
        <w:rPr>
          <w:b w:val="0"/>
        </w:rPr>
        <w:t xml:space="preserve"> </w:t>
      </w:r>
      <w:r w:rsidR="00ED3952">
        <w:rPr>
          <w:b w:val="0"/>
        </w:rPr>
        <w:t>2810</w:t>
      </w:r>
      <w:r w:rsidRPr="001A1BF2">
        <w:rPr>
          <w:b w:val="0"/>
        </w:rPr>
        <w:t xml:space="preserve"> ng/mL) in cancer patients. Compared to the fasted state, the </w:t>
      </w:r>
      <w:proofErr w:type="spellStart"/>
      <w:r w:rsidRPr="001A1BF2">
        <w:rPr>
          <w:b w:val="0"/>
        </w:rPr>
        <w:t>C</w:t>
      </w:r>
      <w:r w:rsidRPr="001A1BF2">
        <w:rPr>
          <w:b w:val="0"/>
          <w:vertAlign w:val="subscript"/>
        </w:rPr>
        <w:t>max</w:t>
      </w:r>
      <w:proofErr w:type="spellEnd"/>
      <w:r w:rsidRPr="001A1BF2">
        <w:rPr>
          <w:b w:val="0"/>
        </w:rPr>
        <w:t xml:space="preserve"> and AUC of sonidegib 800 mg was increased 7.8- and 7.4-fold, respectively when the </w:t>
      </w:r>
      <w:r w:rsidR="00ED3952">
        <w:rPr>
          <w:b w:val="0"/>
        </w:rPr>
        <w:t xml:space="preserve">single </w:t>
      </w:r>
      <w:r w:rsidRPr="001A1BF2">
        <w:rPr>
          <w:b w:val="0"/>
        </w:rPr>
        <w:t xml:space="preserve">dose </w:t>
      </w:r>
      <w:r w:rsidR="008D19F6">
        <w:rPr>
          <w:b w:val="0"/>
        </w:rPr>
        <w:t xml:space="preserve">of sonidegib </w:t>
      </w:r>
      <w:r w:rsidRPr="001A1BF2">
        <w:rPr>
          <w:b w:val="0"/>
        </w:rPr>
        <w:t>was given with a high-fat meal</w:t>
      </w:r>
      <w:r w:rsidR="00ED3952">
        <w:rPr>
          <w:b w:val="0"/>
        </w:rPr>
        <w:t xml:space="preserve"> in healthy subjects</w:t>
      </w:r>
      <w:r>
        <w:rPr>
          <w:b w:val="0"/>
        </w:rPr>
        <w:t>.</w:t>
      </w:r>
    </w:p>
    <w:p w14:paraId="43BA41BF" w14:textId="77777777" w:rsidR="001A1BF2" w:rsidRDefault="001A1BF2" w:rsidP="00A44381">
      <w:pPr>
        <w:pStyle w:val="Heading3"/>
        <w:rPr>
          <w:lang w:val="pt-BR"/>
        </w:rPr>
      </w:pPr>
    </w:p>
    <w:p w14:paraId="0840EE8A" w14:textId="77777777" w:rsidR="007F46FD" w:rsidRDefault="00357959" w:rsidP="00A44381">
      <w:pPr>
        <w:pStyle w:val="Heading3"/>
        <w:rPr>
          <w:lang w:val="pt-BR"/>
        </w:rPr>
      </w:pPr>
      <w:r w:rsidRPr="00BC6DA6">
        <w:rPr>
          <w:lang w:val="pt-BR"/>
        </w:rPr>
        <w:t>Distribution</w:t>
      </w:r>
      <w:r w:rsidR="0038416E" w:rsidRPr="00BC6DA6">
        <w:rPr>
          <w:lang w:val="pt-BR"/>
        </w:rPr>
        <w:t>:</w:t>
      </w:r>
    </w:p>
    <w:p w14:paraId="61A147E2" w14:textId="7544F6F2" w:rsidR="001A1BF2" w:rsidRPr="001A1BF2" w:rsidRDefault="001A1BF2" w:rsidP="001A1BF2">
      <w:pPr>
        <w:pStyle w:val="Text"/>
        <w:rPr>
          <w:b w:val="0"/>
        </w:rPr>
      </w:pPr>
      <w:r w:rsidRPr="001A1BF2">
        <w:rPr>
          <w:b w:val="0"/>
        </w:rPr>
        <w:t>Based on a population pharmacokinetic analysis of 351 patients who received oral doses of Odomzo in the dose range of 100 mg to 3000 mg, the apparent steady-state volume of distribution (</w:t>
      </w:r>
      <w:proofErr w:type="spellStart"/>
      <w:r w:rsidRPr="001A1BF2">
        <w:rPr>
          <w:b w:val="0"/>
        </w:rPr>
        <w:t>Vss</w:t>
      </w:r>
      <w:proofErr w:type="spellEnd"/>
      <w:r w:rsidRPr="001A1BF2">
        <w:rPr>
          <w:b w:val="0"/>
        </w:rPr>
        <w:t>/F) was 9170 L. Steady-state level of sonidegib in the skin was 6-fold higher than in plasma.</w:t>
      </w:r>
    </w:p>
    <w:p w14:paraId="034F8724" w14:textId="4F502EC2" w:rsidR="001A1BF2" w:rsidRPr="001A1BF2" w:rsidRDefault="001A1BF2" w:rsidP="001A1BF2">
      <w:pPr>
        <w:pStyle w:val="Text"/>
        <w:rPr>
          <w:b w:val="0"/>
        </w:rPr>
      </w:pPr>
      <w:r w:rsidRPr="001A1BF2">
        <w:rPr>
          <w:b w:val="0"/>
        </w:rPr>
        <w:t>Sonidegib was highly bound to human plasma proteins (human serum albumin and alpha</w:t>
      </w:r>
      <w:r w:rsidRPr="001A1BF2">
        <w:rPr>
          <w:b w:val="0"/>
        </w:rPr>
        <w:noBreakHyphen/>
        <w:t xml:space="preserve">1 acid glycoprotein) </w:t>
      </w:r>
      <w:r w:rsidRPr="001A1BF2">
        <w:rPr>
          <w:b w:val="0"/>
          <w:i/>
        </w:rPr>
        <w:t>in vitro</w:t>
      </w:r>
      <w:r w:rsidRPr="001A1BF2">
        <w:rPr>
          <w:b w:val="0"/>
        </w:rPr>
        <w:t xml:space="preserve"> (&gt;97%), and binding was not concentration-dependent from 1 ng/mL to 2500 ng/</w:t>
      </w:r>
      <w:proofErr w:type="spellStart"/>
      <w:r w:rsidRPr="001A1BF2">
        <w:rPr>
          <w:b w:val="0"/>
        </w:rPr>
        <w:t>mL.</w:t>
      </w:r>
      <w:proofErr w:type="spellEnd"/>
    </w:p>
    <w:p w14:paraId="0E5CDF20" w14:textId="765BB4A9" w:rsidR="00924F26" w:rsidRPr="001A1BF2" w:rsidRDefault="001A1BF2" w:rsidP="001A1BF2">
      <w:pPr>
        <w:pStyle w:val="paragraph"/>
        <w:rPr>
          <w:b w:val="0"/>
        </w:rPr>
      </w:pPr>
      <w:r w:rsidRPr="001A1BF2">
        <w:rPr>
          <w:b w:val="0"/>
        </w:rPr>
        <w:t>Sonidegib is not a substrate of P-</w:t>
      </w:r>
      <w:proofErr w:type="spellStart"/>
      <w:r w:rsidRPr="001A1BF2">
        <w:rPr>
          <w:b w:val="0"/>
        </w:rPr>
        <w:t>gp</w:t>
      </w:r>
      <w:proofErr w:type="spellEnd"/>
      <w:r w:rsidRPr="001A1BF2">
        <w:rPr>
          <w:b w:val="0"/>
        </w:rPr>
        <w:t>, BCRP or multi-resistance protein 2 (MRP2).</w:t>
      </w:r>
    </w:p>
    <w:p w14:paraId="655F1DCB" w14:textId="77777777" w:rsidR="001A1BF2" w:rsidRDefault="001A1BF2" w:rsidP="00A44381">
      <w:pPr>
        <w:pStyle w:val="Heading3"/>
        <w:rPr>
          <w:lang w:val="pt-BR"/>
        </w:rPr>
      </w:pPr>
    </w:p>
    <w:p w14:paraId="0840EE8B" w14:textId="4F17F6AD" w:rsidR="007F46FD" w:rsidRDefault="00357959" w:rsidP="00A44381">
      <w:pPr>
        <w:pStyle w:val="Heading3"/>
        <w:rPr>
          <w:lang w:val="pt-BR"/>
        </w:rPr>
      </w:pPr>
      <w:r w:rsidRPr="00BC6DA6">
        <w:rPr>
          <w:lang w:val="pt-BR"/>
        </w:rPr>
        <w:t>Metabolism</w:t>
      </w:r>
      <w:r w:rsidR="0038416E" w:rsidRPr="00BC6DA6">
        <w:rPr>
          <w:lang w:val="pt-BR"/>
        </w:rPr>
        <w:t>:</w:t>
      </w:r>
    </w:p>
    <w:p w14:paraId="1BE88BB2" w14:textId="0881A16E" w:rsidR="00924F26" w:rsidRPr="001A1BF2" w:rsidRDefault="001A1BF2" w:rsidP="00924F26">
      <w:pPr>
        <w:pStyle w:val="paragraph"/>
        <w:rPr>
          <w:b w:val="0"/>
          <w:lang w:val="pt-BR"/>
        </w:rPr>
      </w:pPr>
      <w:r w:rsidRPr="001A1BF2">
        <w:rPr>
          <w:b w:val="0"/>
        </w:rPr>
        <w:t>Sonidegib is primarily metabolized by CYP3A4. Unchanged sonidegib represented 36% of circulating radioactivity</w:t>
      </w:r>
      <w:r w:rsidR="00E15888">
        <w:rPr>
          <w:b w:val="0"/>
        </w:rPr>
        <w:t>.</w:t>
      </w:r>
      <w:r w:rsidRPr="001A1BF2">
        <w:rPr>
          <w:b w:val="0"/>
        </w:rPr>
        <w:t xml:space="preserve"> </w:t>
      </w:r>
      <w:r w:rsidR="00E15888">
        <w:rPr>
          <w:b w:val="0"/>
        </w:rPr>
        <w:t>T</w:t>
      </w:r>
      <w:r w:rsidRPr="001A1BF2">
        <w:rPr>
          <w:b w:val="0"/>
        </w:rPr>
        <w:t xml:space="preserve">he major circulating metabolite (45% of parent exposure) identified in plasma is the hydrolysis product of sonidegib and is pharmacologically inactive. </w:t>
      </w:r>
      <w:r w:rsidR="00E15888">
        <w:rPr>
          <w:b w:val="0"/>
        </w:rPr>
        <w:t>T</w:t>
      </w:r>
      <w:r w:rsidRPr="001A1BF2">
        <w:rPr>
          <w:b w:val="0"/>
        </w:rPr>
        <w:t xml:space="preserve">he metabolites </w:t>
      </w:r>
      <w:r w:rsidR="00E15888">
        <w:rPr>
          <w:b w:val="0"/>
        </w:rPr>
        <w:t xml:space="preserve">tested </w:t>
      </w:r>
      <w:r w:rsidRPr="001A1BF2">
        <w:rPr>
          <w:b w:val="0"/>
        </w:rPr>
        <w:t xml:space="preserve">were </w:t>
      </w:r>
      <w:r w:rsidR="00E15888">
        <w:rPr>
          <w:b w:val="0"/>
        </w:rPr>
        <w:t xml:space="preserve">at least </w:t>
      </w:r>
      <w:r w:rsidRPr="001A1BF2">
        <w:rPr>
          <w:b w:val="0"/>
        </w:rPr>
        <w:t>4</w:t>
      </w:r>
      <w:r w:rsidR="00E15888">
        <w:rPr>
          <w:b w:val="0"/>
        </w:rPr>
        <w:t xml:space="preserve">-fold </w:t>
      </w:r>
      <w:r w:rsidRPr="001A1BF2">
        <w:rPr>
          <w:b w:val="0"/>
        </w:rPr>
        <w:t>less potent than sonidegib.</w:t>
      </w:r>
    </w:p>
    <w:p w14:paraId="20915E61" w14:textId="77777777" w:rsidR="001A1BF2" w:rsidRDefault="001A1BF2" w:rsidP="00A44381">
      <w:pPr>
        <w:pStyle w:val="Heading3"/>
        <w:rPr>
          <w:lang w:val="pt-BR"/>
        </w:rPr>
      </w:pPr>
    </w:p>
    <w:p w14:paraId="0840EE8C" w14:textId="77777777" w:rsidR="007F46FD" w:rsidRDefault="00357959" w:rsidP="00A44381">
      <w:pPr>
        <w:pStyle w:val="Heading3"/>
        <w:rPr>
          <w:lang w:val="pt-BR"/>
        </w:rPr>
      </w:pPr>
      <w:r w:rsidRPr="00BC6DA6">
        <w:rPr>
          <w:lang w:val="pt-BR"/>
        </w:rPr>
        <w:t>Elimination</w:t>
      </w:r>
      <w:r w:rsidR="0038416E" w:rsidRPr="00BC6DA6">
        <w:rPr>
          <w:lang w:val="pt-BR"/>
        </w:rPr>
        <w:t>:</w:t>
      </w:r>
    </w:p>
    <w:p w14:paraId="4343E090" w14:textId="560F4D9C" w:rsidR="00924F26" w:rsidRPr="001A1BF2" w:rsidRDefault="001A1BF2" w:rsidP="00924F26">
      <w:pPr>
        <w:pStyle w:val="paragraph"/>
        <w:rPr>
          <w:b w:val="0"/>
        </w:rPr>
      </w:pPr>
      <w:r w:rsidRPr="001A1BF2">
        <w:rPr>
          <w:b w:val="0"/>
        </w:rPr>
        <w:t>Sonidegib and its metabolites are eliminated primarily by the hepatic route with 93.4% of the administered dose recovered in the feces and 1.95% recovered in urine. Unchanged sonidegib in feces represented 88.7% of the administered dose and was not detectable in urine. The elimination half-life (t</w:t>
      </w:r>
      <w:r w:rsidRPr="001A1BF2">
        <w:rPr>
          <w:b w:val="0"/>
          <w:vertAlign w:val="subscript"/>
        </w:rPr>
        <w:t>1/2</w:t>
      </w:r>
      <w:r w:rsidRPr="001A1BF2">
        <w:rPr>
          <w:b w:val="0"/>
        </w:rPr>
        <w:t>) of sonidegib estimated from population PK modeling was approximately 28 days.</w:t>
      </w:r>
    </w:p>
    <w:p w14:paraId="0B97E858" w14:textId="77777777" w:rsidR="001A1BF2" w:rsidRPr="00924F26" w:rsidRDefault="001A1BF2" w:rsidP="00924F26">
      <w:pPr>
        <w:pStyle w:val="paragraph"/>
        <w:rPr>
          <w:lang w:val="pt-BR"/>
        </w:rPr>
      </w:pPr>
    </w:p>
    <w:p w14:paraId="0840EE8D" w14:textId="77777777" w:rsidR="007F46FD" w:rsidRDefault="00357959" w:rsidP="001D6A62">
      <w:pPr>
        <w:pStyle w:val="Heading2"/>
      </w:pPr>
      <w:r w:rsidRPr="00BC6DA6">
        <w:t>Pharmacokinetics in special patient groups</w:t>
      </w:r>
    </w:p>
    <w:p w14:paraId="4BFB4DC3" w14:textId="77777777" w:rsidR="001A1BF2" w:rsidRPr="001A1BF2" w:rsidRDefault="001A1BF2" w:rsidP="001A1BF2">
      <w:pPr>
        <w:pStyle w:val="Nottoc-headings0"/>
        <w:rPr>
          <w:rFonts w:ascii="Times New Roman" w:hAnsi="Times New Roman"/>
          <w:bCs/>
          <w:sz w:val="24"/>
        </w:rPr>
      </w:pPr>
      <w:r w:rsidRPr="001A1BF2">
        <w:rPr>
          <w:rFonts w:ascii="Times New Roman" w:hAnsi="Times New Roman"/>
          <w:bCs/>
          <w:sz w:val="24"/>
        </w:rPr>
        <w:t>Patients with hepatic impairment</w:t>
      </w:r>
      <w:bookmarkStart w:id="1" w:name="_4231754Patients_with_hepatic_impa"/>
      <w:bookmarkEnd w:id="1"/>
    </w:p>
    <w:p w14:paraId="02E3186C" w14:textId="5FABEE54" w:rsidR="001A1BF2" w:rsidRPr="001A1BF2" w:rsidRDefault="001A1BF2" w:rsidP="001A1BF2">
      <w:pPr>
        <w:pStyle w:val="Text"/>
        <w:tabs>
          <w:tab w:val="left" w:pos="1987"/>
        </w:tabs>
        <w:rPr>
          <w:b w:val="0"/>
        </w:rPr>
      </w:pPr>
      <w:r w:rsidRPr="001A1BF2">
        <w:rPr>
          <w:b w:val="0"/>
        </w:rPr>
        <w:t>The effect of hepatic impairment on the systemic exposure of sonidegib has not been studied. As sonidegib is primarily metabolized by the liver, it is anticipated that impaired hepatic function may impact sonidegib pharmacokinetics.</w:t>
      </w:r>
    </w:p>
    <w:p w14:paraId="5D2C8DE5" w14:textId="77777777" w:rsidR="001A1BF2" w:rsidRPr="001A1BF2" w:rsidRDefault="001A1BF2" w:rsidP="001A1BF2">
      <w:pPr>
        <w:pStyle w:val="Nottoc-headings0"/>
        <w:rPr>
          <w:rFonts w:ascii="Times New Roman" w:hAnsi="Times New Roman"/>
          <w:bCs/>
          <w:sz w:val="24"/>
        </w:rPr>
      </w:pPr>
      <w:r w:rsidRPr="001A1BF2">
        <w:rPr>
          <w:rFonts w:ascii="Times New Roman" w:hAnsi="Times New Roman"/>
          <w:bCs/>
          <w:sz w:val="24"/>
        </w:rPr>
        <w:t>Patients with renal impairment</w:t>
      </w:r>
      <w:bookmarkStart w:id="2" w:name="_4332021Patients_with_renal_impair"/>
      <w:bookmarkEnd w:id="2"/>
    </w:p>
    <w:p w14:paraId="114C7FE9" w14:textId="32F010E2" w:rsidR="001A1BF2" w:rsidRPr="001A1BF2" w:rsidRDefault="001A1BF2" w:rsidP="001A1BF2">
      <w:pPr>
        <w:pStyle w:val="Text"/>
        <w:rPr>
          <w:b w:val="0"/>
        </w:rPr>
      </w:pPr>
      <w:r w:rsidRPr="001A1BF2">
        <w:rPr>
          <w:b w:val="0"/>
        </w:rPr>
        <w:t>The effect of renal impairment on the systemic exposure of sonidegib has not been studied. Since sonidegib is not renally excreted, no change in systemic exposure is anticipated in patients with renal impairment. A population pharmacokinetic analysis did not find significant influence of renal function (creatinine clearance &gt;27 mL/min) on the apparent clearance (CL/F) of sonidegib suggesting that dose adjustment is not necessary in patients with renal impairment</w:t>
      </w:r>
      <w:r>
        <w:rPr>
          <w:b w:val="0"/>
          <w:color w:val="0000FF"/>
        </w:rPr>
        <w:t>.</w:t>
      </w:r>
    </w:p>
    <w:p w14:paraId="3ED3BF79" w14:textId="77777777" w:rsidR="001A1BF2" w:rsidRPr="001A1BF2" w:rsidRDefault="001A1BF2" w:rsidP="001A1BF2">
      <w:pPr>
        <w:pStyle w:val="Nottoc-headings0"/>
        <w:rPr>
          <w:rFonts w:ascii="Times New Roman" w:hAnsi="Times New Roman"/>
          <w:sz w:val="24"/>
        </w:rPr>
      </w:pPr>
      <w:r w:rsidRPr="001A1BF2">
        <w:rPr>
          <w:rFonts w:ascii="Times New Roman" w:hAnsi="Times New Roman"/>
          <w:sz w:val="24"/>
        </w:rPr>
        <w:t>Effect of age, weight and gender</w:t>
      </w:r>
      <w:bookmarkStart w:id="3" w:name="_4432269Effect_of_age44_weight_and"/>
      <w:bookmarkEnd w:id="3"/>
    </w:p>
    <w:p w14:paraId="5C6556C7" w14:textId="3F442C4A" w:rsidR="001A1BF2" w:rsidRPr="001A1BF2" w:rsidRDefault="001A1BF2" w:rsidP="001A1BF2">
      <w:pPr>
        <w:pStyle w:val="Text"/>
        <w:rPr>
          <w:b w:val="0"/>
        </w:rPr>
      </w:pPr>
      <w:r w:rsidRPr="001A1BF2">
        <w:rPr>
          <w:b w:val="0"/>
        </w:rPr>
        <w:t>Population PK analyses showed that there are no clinically relevant effects of age, body weight, gender, or creatinine clearance on the systemic exposure of sonidegib</w:t>
      </w:r>
      <w:r w:rsidRPr="001A1BF2">
        <w:rPr>
          <w:b w:val="0"/>
          <w:color w:val="0000FF"/>
        </w:rPr>
        <w:t>.</w:t>
      </w:r>
    </w:p>
    <w:p w14:paraId="36BEF79F" w14:textId="24212F77" w:rsidR="001A1BF2" w:rsidRPr="001A1BF2" w:rsidRDefault="001A1BF2" w:rsidP="001A1BF2">
      <w:pPr>
        <w:pStyle w:val="Nottoc-headings0"/>
        <w:rPr>
          <w:rFonts w:ascii="Times New Roman" w:hAnsi="Times New Roman"/>
          <w:sz w:val="24"/>
        </w:rPr>
      </w:pPr>
      <w:r w:rsidRPr="001A1BF2">
        <w:rPr>
          <w:rFonts w:ascii="Times New Roman" w:hAnsi="Times New Roman"/>
          <w:sz w:val="24"/>
        </w:rPr>
        <w:t xml:space="preserve">Effect of </w:t>
      </w:r>
      <w:r w:rsidR="00EC0522">
        <w:rPr>
          <w:rFonts w:ascii="Times New Roman" w:hAnsi="Times New Roman"/>
          <w:sz w:val="24"/>
        </w:rPr>
        <w:t>e</w:t>
      </w:r>
      <w:r w:rsidRPr="001A1BF2">
        <w:rPr>
          <w:rFonts w:ascii="Times New Roman" w:hAnsi="Times New Roman"/>
          <w:sz w:val="24"/>
        </w:rPr>
        <w:t>thnicity</w:t>
      </w:r>
      <w:bookmarkStart w:id="4" w:name="_4532526Effect_of_Ethnicity"/>
      <w:bookmarkEnd w:id="4"/>
    </w:p>
    <w:p w14:paraId="1E0AD74C" w14:textId="7A25E03E" w:rsidR="00924F26" w:rsidRPr="001A1BF2" w:rsidRDefault="001A1BF2" w:rsidP="001A1BF2">
      <w:pPr>
        <w:pStyle w:val="paragraph"/>
        <w:rPr>
          <w:b w:val="0"/>
        </w:rPr>
      </w:pPr>
      <w:r w:rsidRPr="001A1BF2">
        <w:rPr>
          <w:b w:val="0"/>
        </w:rPr>
        <w:t xml:space="preserve">The </w:t>
      </w:r>
      <w:proofErr w:type="spellStart"/>
      <w:r w:rsidRPr="001A1BF2">
        <w:rPr>
          <w:b w:val="0"/>
        </w:rPr>
        <w:t>C</w:t>
      </w:r>
      <w:r w:rsidRPr="001A1BF2">
        <w:rPr>
          <w:b w:val="0"/>
          <w:vertAlign w:val="subscript"/>
        </w:rPr>
        <w:t>max</w:t>
      </w:r>
      <w:proofErr w:type="spellEnd"/>
      <w:r w:rsidRPr="001A1BF2">
        <w:rPr>
          <w:b w:val="0"/>
        </w:rPr>
        <w:t xml:space="preserve"> and </w:t>
      </w:r>
      <w:proofErr w:type="spellStart"/>
      <w:r w:rsidRPr="001A1BF2">
        <w:rPr>
          <w:b w:val="0"/>
        </w:rPr>
        <w:t>AUC</w:t>
      </w:r>
      <w:r w:rsidRPr="001A1BF2">
        <w:rPr>
          <w:b w:val="0"/>
          <w:vertAlign w:val="subscript"/>
        </w:rPr>
        <w:t>inf</w:t>
      </w:r>
      <w:proofErr w:type="spellEnd"/>
      <w:r w:rsidRPr="001A1BF2">
        <w:rPr>
          <w:b w:val="0"/>
        </w:rPr>
        <w:t xml:space="preserve"> of sonidegib in Japanese healthy subjects were 1.56 and 1.68-fold higher respectively of those seen in Western healthy subjects for a single dose of 200 mg.</w:t>
      </w:r>
    </w:p>
    <w:p w14:paraId="68F7813D" w14:textId="77777777" w:rsidR="001A1BF2" w:rsidRPr="00924F26" w:rsidRDefault="001A1BF2" w:rsidP="001A1BF2">
      <w:pPr>
        <w:pStyle w:val="paragraph"/>
        <w:rPr>
          <w:lang w:val="pt-BR"/>
        </w:rPr>
      </w:pPr>
    </w:p>
    <w:p w14:paraId="0840EE8E" w14:textId="77777777" w:rsidR="006D0C74" w:rsidRDefault="00F22127" w:rsidP="007F46FD">
      <w:pPr>
        <w:pStyle w:val="Heading1"/>
        <w:rPr>
          <w:lang w:val="pt-BR"/>
        </w:rPr>
      </w:pPr>
      <w:r w:rsidRPr="00BC6DA6">
        <w:rPr>
          <w:lang w:val="pt-BR"/>
        </w:rPr>
        <w:t>CLINICAL TRIALS</w:t>
      </w:r>
    </w:p>
    <w:p w14:paraId="1C4A7351" w14:textId="77777777" w:rsidR="007961ED" w:rsidRDefault="00034346" w:rsidP="00034346">
      <w:pPr>
        <w:pStyle w:val="Text"/>
        <w:rPr>
          <w:rStyle w:val="Nottoc-headingsChar"/>
          <w:rFonts w:ascii="Times New Roman" w:hAnsi="Times New Roman"/>
          <w:sz w:val="24"/>
        </w:rPr>
      </w:pPr>
      <w:r w:rsidRPr="00034346">
        <w:rPr>
          <w:rStyle w:val="Nottoc-headingsChar"/>
          <w:rFonts w:ascii="Times New Roman" w:hAnsi="Times New Roman"/>
          <w:sz w:val="24"/>
        </w:rPr>
        <w:t>A phase II, randomized double-blind study of two dose levels (200 mg or 800 mg) of Odomzo was conducted in 230 patients with either locally advanced basal cell carcinoma (</w:t>
      </w:r>
      <w:proofErr w:type="spellStart"/>
      <w:r w:rsidRPr="00034346">
        <w:rPr>
          <w:rStyle w:val="Nottoc-headingsChar"/>
          <w:rFonts w:ascii="Times New Roman" w:hAnsi="Times New Roman"/>
          <w:sz w:val="24"/>
        </w:rPr>
        <w:t>laBCC</w:t>
      </w:r>
      <w:proofErr w:type="spellEnd"/>
      <w:r w:rsidRPr="00034346">
        <w:rPr>
          <w:rStyle w:val="Nottoc-headingsChar"/>
          <w:rFonts w:ascii="Times New Roman" w:hAnsi="Times New Roman"/>
          <w:sz w:val="24"/>
        </w:rPr>
        <w:t>) (n=194) or metastatic basal cell carcinoma (</w:t>
      </w:r>
      <w:proofErr w:type="spellStart"/>
      <w:r w:rsidRPr="00034346">
        <w:rPr>
          <w:rStyle w:val="Nottoc-headingsChar"/>
          <w:rFonts w:ascii="Times New Roman" w:hAnsi="Times New Roman"/>
          <w:sz w:val="24"/>
        </w:rPr>
        <w:t>mBCC</w:t>
      </w:r>
      <w:proofErr w:type="spellEnd"/>
      <w:r w:rsidRPr="00034346">
        <w:rPr>
          <w:rStyle w:val="Nottoc-headingsChar"/>
          <w:rFonts w:ascii="Times New Roman" w:hAnsi="Times New Roman"/>
          <w:sz w:val="24"/>
        </w:rPr>
        <w:t xml:space="preserve">) (n=36). Of the 230 patients, 16 had a diagnosis of </w:t>
      </w:r>
      <w:proofErr w:type="spellStart"/>
      <w:r w:rsidRPr="00034346">
        <w:rPr>
          <w:rStyle w:val="Nottoc-headingsChar"/>
          <w:rFonts w:ascii="Times New Roman" w:hAnsi="Times New Roman"/>
          <w:sz w:val="24"/>
        </w:rPr>
        <w:t>Gorlin</w:t>
      </w:r>
      <w:proofErr w:type="spellEnd"/>
      <w:r w:rsidRPr="00034346">
        <w:rPr>
          <w:rStyle w:val="Nottoc-headingsChar"/>
          <w:rFonts w:ascii="Times New Roman" w:hAnsi="Times New Roman"/>
          <w:sz w:val="24"/>
        </w:rPr>
        <w:t xml:space="preserve"> Syndrome (15 </w:t>
      </w:r>
      <w:proofErr w:type="spellStart"/>
      <w:r w:rsidRPr="00034346">
        <w:rPr>
          <w:rStyle w:val="Nottoc-headingsChar"/>
          <w:rFonts w:ascii="Times New Roman" w:hAnsi="Times New Roman"/>
          <w:sz w:val="24"/>
        </w:rPr>
        <w:t>laBCC</w:t>
      </w:r>
      <w:proofErr w:type="spellEnd"/>
      <w:r w:rsidRPr="00034346">
        <w:rPr>
          <w:rStyle w:val="Nottoc-headingsChar"/>
          <w:rFonts w:ascii="Times New Roman" w:hAnsi="Times New Roman"/>
          <w:sz w:val="24"/>
        </w:rPr>
        <w:t xml:space="preserve"> and 1 </w:t>
      </w:r>
      <w:proofErr w:type="spellStart"/>
      <w:r w:rsidRPr="00034346">
        <w:rPr>
          <w:rStyle w:val="Nottoc-headingsChar"/>
          <w:rFonts w:ascii="Times New Roman" w:hAnsi="Times New Roman"/>
          <w:sz w:val="24"/>
        </w:rPr>
        <w:t>mBCC</w:t>
      </w:r>
      <w:proofErr w:type="spellEnd"/>
      <w:r w:rsidRPr="00034346">
        <w:rPr>
          <w:rStyle w:val="Nottoc-headingsChar"/>
          <w:rFonts w:ascii="Times New Roman" w:hAnsi="Times New Roman"/>
          <w:sz w:val="24"/>
        </w:rPr>
        <w:t xml:space="preserve">). Adult patients with </w:t>
      </w:r>
      <w:proofErr w:type="spellStart"/>
      <w:r w:rsidRPr="00034346">
        <w:rPr>
          <w:rStyle w:val="Nottoc-headingsChar"/>
          <w:rFonts w:ascii="Times New Roman" w:hAnsi="Times New Roman"/>
          <w:sz w:val="24"/>
        </w:rPr>
        <w:t>laBCC</w:t>
      </w:r>
      <w:proofErr w:type="spellEnd"/>
      <w:r w:rsidRPr="00034346">
        <w:rPr>
          <w:rStyle w:val="Nottoc-headingsChar"/>
          <w:rFonts w:ascii="Times New Roman" w:hAnsi="Times New Roman"/>
          <w:sz w:val="24"/>
        </w:rPr>
        <w:t xml:space="preserve"> or </w:t>
      </w:r>
      <w:proofErr w:type="spellStart"/>
      <w:r w:rsidRPr="00034346">
        <w:rPr>
          <w:rStyle w:val="Nottoc-headingsChar"/>
          <w:rFonts w:ascii="Times New Roman" w:hAnsi="Times New Roman"/>
          <w:sz w:val="24"/>
        </w:rPr>
        <w:t>mBCC</w:t>
      </w:r>
      <w:proofErr w:type="spellEnd"/>
      <w:r w:rsidRPr="00034346">
        <w:rPr>
          <w:rStyle w:val="Nottoc-headingsChar"/>
          <w:rFonts w:ascii="Times New Roman" w:hAnsi="Times New Roman"/>
          <w:sz w:val="24"/>
        </w:rPr>
        <w:t xml:space="preserve"> (≥18 years of age) who were not candidates for radiotherapy, surgery or other local </w:t>
      </w:r>
      <w:r w:rsidRPr="00034346">
        <w:rPr>
          <w:rStyle w:val="Nottoc-headingsChar"/>
          <w:rFonts w:ascii="Times New Roman" w:hAnsi="Times New Roman"/>
          <w:sz w:val="24"/>
        </w:rPr>
        <w:lastRenderedPageBreak/>
        <w:t xml:space="preserve">therapies, were randomized to receive either Odomzo 200 mg or 800 mg daily until disease progression or unacceptable toxicity. </w:t>
      </w:r>
    </w:p>
    <w:p w14:paraId="1D81D227" w14:textId="0F1BA3B9" w:rsidR="00034346" w:rsidRPr="00034346" w:rsidRDefault="00034346" w:rsidP="00034346">
      <w:pPr>
        <w:pStyle w:val="Text"/>
        <w:rPr>
          <w:b w:val="0"/>
        </w:rPr>
      </w:pPr>
      <w:r w:rsidRPr="00034346">
        <w:rPr>
          <w:b w:val="0"/>
        </w:rPr>
        <w:t>The primary efficacy endpoint of the trial was objective response rate (ORR) according to modified Response Evaluation Criteria in Solid Tumors (</w:t>
      </w:r>
      <w:proofErr w:type="spellStart"/>
      <w:r w:rsidRPr="00034346">
        <w:rPr>
          <w:b w:val="0"/>
        </w:rPr>
        <w:t>mRECIST</w:t>
      </w:r>
      <w:proofErr w:type="spellEnd"/>
      <w:r w:rsidRPr="00034346">
        <w:rPr>
          <w:b w:val="0"/>
        </w:rPr>
        <w:t xml:space="preserve">) in </w:t>
      </w:r>
      <w:r w:rsidR="007961ED">
        <w:rPr>
          <w:b w:val="0"/>
        </w:rPr>
        <w:t xml:space="preserve">patients with </w:t>
      </w:r>
      <w:proofErr w:type="spellStart"/>
      <w:r w:rsidRPr="00034346">
        <w:rPr>
          <w:b w:val="0"/>
        </w:rPr>
        <w:t>laBCC</w:t>
      </w:r>
      <w:proofErr w:type="spellEnd"/>
      <w:r w:rsidRPr="00034346">
        <w:rPr>
          <w:b w:val="0"/>
        </w:rPr>
        <w:t xml:space="preserve"> and RECIST 1.1 in </w:t>
      </w:r>
      <w:r w:rsidR="007961ED">
        <w:rPr>
          <w:b w:val="0"/>
        </w:rPr>
        <w:t xml:space="preserve">patients with </w:t>
      </w:r>
      <w:proofErr w:type="spellStart"/>
      <w:r w:rsidRPr="00034346">
        <w:rPr>
          <w:b w:val="0"/>
        </w:rPr>
        <w:t>mBCC</w:t>
      </w:r>
      <w:proofErr w:type="spellEnd"/>
      <w:r w:rsidRPr="00034346">
        <w:rPr>
          <w:b w:val="0"/>
        </w:rPr>
        <w:t xml:space="preserve"> as determined by central review. The secondary endpoints included duration of response (</w:t>
      </w:r>
      <w:proofErr w:type="spellStart"/>
      <w:r w:rsidRPr="00034346">
        <w:rPr>
          <w:b w:val="0"/>
        </w:rPr>
        <w:t>DoR</w:t>
      </w:r>
      <w:proofErr w:type="spellEnd"/>
      <w:r w:rsidRPr="00034346">
        <w:rPr>
          <w:b w:val="0"/>
        </w:rPr>
        <w:t xml:space="preserve">), time to tumor response (TTR) and progression free survival (PFS) according to </w:t>
      </w:r>
      <w:proofErr w:type="spellStart"/>
      <w:r w:rsidRPr="00034346">
        <w:rPr>
          <w:b w:val="0"/>
        </w:rPr>
        <w:t>mRECIST</w:t>
      </w:r>
      <w:proofErr w:type="spellEnd"/>
      <w:r w:rsidRPr="00034346">
        <w:rPr>
          <w:b w:val="0"/>
        </w:rPr>
        <w:t xml:space="preserve"> in </w:t>
      </w:r>
      <w:r w:rsidR="007961ED">
        <w:rPr>
          <w:b w:val="0"/>
        </w:rPr>
        <w:t xml:space="preserve">patients with </w:t>
      </w:r>
      <w:proofErr w:type="spellStart"/>
      <w:r w:rsidRPr="00034346">
        <w:rPr>
          <w:b w:val="0"/>
        </w:rPr>
        <w:t>laBCC</w:t>
      </w:r>
      <w:proofErr w:type="spellEnd"/>
      <w:r w:rsidRPr="00034346">
        <w:rPr>
          <w:b w:val="0"/>
        </w:rPr>
        <w:t xml:space="preserve"> and RECIST 1.1 in </w:t>
      </w:r>
      <w:r w:rsidR="007961ED">
        <w:rPr>
          <w:b w:val="0"/>
        </w:rPr>
        <w:t xml:space="preserve">patients with </w:t>
      </w:r>
      <w:proofErr w:type="spellStart"/>
      <w:r w:rsidRPr="00034346">
        <w:rPr>
          <w:b w:val="0"/>
        </w:rPr>
        <w:t>mBCC</w:t>
      </w:r>
      <w:proofErr w:type="spellEnd"/>
      <w:r w:rsidRPr="00034346">
        <w:rPr>
          <w:b w:val="0"/>
        </w:rPr>
        <w:t xml:space="preserve"> as determined by central review.</w:t>
      </w:r>
    </w:p>
    <w:p w14:paraId="20F23010" w14:textId="4C5538BA" w:rsidR="00924F26" w:rsidRPr="00034346" w:rsidRDefault="00034346" w:rsidP="00034346">
      <w:pPr>
        <w:pStyle w:val="paragraph"/>
        <w:rPr>
          <w:b w:val="0"/>
          <w:lang w:val="pt-BR"/>
        </w:rPr>
      </w:pPr>
      <w:r w:rsidRPr="00034346">
        <w:rPr>
          <w:b w:val="0"/>
        </w:rPr>
        <w:t xml:space="preserve">For </w:t>
      </w:r>
      <w:r w:rsidR="007961ED">
        <w:rPr>
          <w:b w:val="0"/>
        </w:rPr>
        <w:t xml:space="preserve">patients with </w:t>
      </w:r>
      <w:proofErr w:type="spellStart"/>
      <w:r w:rsidRPr="00034346">
        <w:rPr>
          <w:b w:val="0"/>
        </w:rPr>
        <w:t>laBCC</w:t>
      </w:r>
      <w:proofErr w:type="spellEnd"/>
      <w:r w:rsidRPr="00034346">
        <w:rPr>
          <w:b w:val="0"/>
        </w:rPr>
        <w:t xml:space="preserve">, the </w:t>
      </w:r>
      <w:r w:rsidR="00FE0D0A">
        <w:rPr>
          <w:b w:val="0"/>
        </w:rPr>
        <w:t>Independent Review Committee (</w:t>
      </w:r>
      <w:r w:rsidRPr="00034346">
        <w:rPr>
          <w:b w:val="0"/>
        </w:rPr>
        <w:t>IRC</w:t>
      </w:r>
      <w:r w:rsidR="00FE0D0A">
        <w:rPr>
          <w:b w:val="0"/>
        </w:rPr>
        <w:t>)</w:t>
      </w:r>
      <w:r w:rsidRPr="00034346">
        <w:rPr>
          <w:b w:val="0"/>
        </w:rPr>
        <w:t xml:space="preserve"> Composite Overall Response was integrated from centrally evaluated MRI scans, digital clinical photographs, and histopathology according to </w:t>
      </w:r>
      <w:proofErr w:type="spellStart"/>
      <w:r w:rsidRPr="00034346">
        <w:rPr>
          <w:b w:val="0"/>
        </w:rPr>
        <w:t>mRECIST</w:t>
      </w:r>
      <w:proofErr w:type="spellEnd"/>
      <w:r w:rsidRPr="00034346">
        <w:rPr>
          <w:b w:val="0"/>
        </w:rPr>
        <w:t xml:space="preserve">. </w:t>
      </w:r>
      <w:proofErr w:type="spellStart"/>
      <w:r w:rsidRPr="00034346">
        <w:rPr>
          <w:b w:val="0"/>
        </w:rPr>
        <w:t>LaBCC</w:t>
      </w:r>
      <w:proofErr w:type="spellEnd"/>
      <w:r w:rsidRPr="00034346">
        <w:rPr>
          <w:b w:val="0"/>
        </w:rPr>
        <w:t xml:space="preserve"> biopsies were taken each time a response assessment was confounded by presence of lesion ulceration, cyst, and or scarring/fibrosis. MRI tumor response was evaluated by RECIST 1.1. Response by digital clinical photograph was evaluated by World Health Organization (WHO) adapted criteria [partial response (PR): ≥ 50% decrease in the sum of the product of perpendicular diameters (SPD) of lesion</w:t>
      </w:r>
      <w:r w:rsidR="00FE0D0A">
        <w:rPr>
          <w:b w:val="0"/>
        </w:rPr>
        <w:t>s</w:t>
      </w:r>
      <w:r w:rsidRPr="00034346">
        <w:rPr>
          <w:b w:val="0"/>
        </w:rPr>
        <w:t>, complete response (CR): disappearance of all lesions, progressive disease (PD): ≥ 25% increase in the SPD of lesion</w:t>
      </w:r>
      <w:r w:rsidR="00FE0D0A">
        <w:rPr>
          <w:b w:val="0"/>
        </w:rPr>
        <w:t>s</w:t>
      </w:r>
      <w:r w:rsidRPr="00034346">
        <w:rPr>
          <w:b w:val="0"/>
        </w:rPr>
        <w:t>]</w:t>
      </w:r>
      <w:r>
        <w:rPr>
          <w:b w:val="0"/>
        </w:rPr>
        <w:t>.</w:t>
      </w:r>
    </w:p>
    <w:p w14:paraId="027777F1" w14:textId="73049693" w:rsidR="00034346" w:rsidRPr="00034346" w:rsidRDefault="00034346" w:rsidP="00034346">
      <w:pPr>
        <w:pStyle w:val="Text"/>
        <w:rPr>
          <w:b w:val="0"/>
        </w:rPr>
      </w:pPr>
      <w:r w:rsidRPr="00034346">
        <w:rPr>
          <w:b w:val="0"/>
        </w:rPr>
        <w:t xml:space="preserve">Of the 230 patients randomized, 79 patients were assigned to Odomzo 200mg. Of these 79 patients, 66 (83.5%) were </w:t>
      </w:r>
      <w:proofErr w:type="spellStart"/>
      <w:r w:rsidRPr="00034346">
        <w:rPr>
          <w:b w:val="0"/>
        </w:rPr>
        <w:t>laBCC</w:t>
      </w:r>
      <w:proofErr w:type="spellEnd"/>
      <w:r w:rsidRPr="00034346">
        <w:rPr>
          <w:b w:val="0"/>
        </w:rPr>
        <w:t xml:space="preserve"> patients (37 </w:t>
      </w:r>
      <w:r w:rsidR="00E05DCF">
        <w:rPr>
          <w:b w:val="0"/>
        </w:rPr>
        <w:t>[</w:t>
      </w:r>
      <w:r w:rsidRPr="00034346">
        <w:rPr>
          <w:b w:val="0"/>
        </w:rPr>
        <w:t>46.8%</w:t>
      </w:r>
      <w:r w:rsidR="00E05DCF">
        <w:rPr>
          <w:b w:val="0"/>
        </w:rPr>
        <w:t>]</w:t>
      </w:r>
      <w:r w:rsidRPr="00034346">
        <w:rPr>
          <w:b w:val="0"/>
        </w:rPr>
        <w:t xml:space="preserve"> with aggressive histology and 29 </w:t>
      </w:r>
      <w:r w:rsidR="00E05DCF">
        <w:rPr>
          <w:b w:val="0"/>
        </w:rPr>
        <w:t>[</w:t>
      </w:r>
      <w:r w:rsidRPr="00034346">
        <w:rPr>
          <w:b w:val="0"/>
        </w:rPr>
        <w:t>36.7%</w:t>
      </w:r>
      <w:r w:rsidR="00E05DCF">
        <w:rPr>
          <w:b w:val="0"/>
        </w:rPr>
        <w:t>]</w:t>
      </w:r>
      <w:r w:rsidRPr="00034346">
        <w:rPr>
          <w:b w:val="0"/>
        </w:rPr>
        <w:t xml:space="preserve"> with non-aggressive histology) and 13 (16.5%) were </w:t>
      </w:r>
      <w:proofErr w:type="spellStart"/>
      <w:r w:rsidRPr="00034346">
        <w:rPr>
          <w:b w:val="0"/>
        </w:rPr>
        <w:t>mBCC</w:t>
      </w:r>
      <w:proofErr w:type="spellEnd"/>
      <w:r w:rsidRPr="00034346">
        <w:rPr>
          <w:b w:val="0"/>
        </w:rPr>
        <w:t xml:space="preserve"> patients. The median age of all patients receiving Odomzo 200 mg was 67 years (59.5% were &gt;65 years of age), 60.8% </w:t>
      </w:r>
      <w:r w:rsidR="00E05DCF">
        <w:rPr>
          <w:b w:val="0"/>
        </w:rPr>
        <w:t xml:space="preserve">were </w:t>
      </w:r>
      <w:r w:rsidRPr="00034346">
        <w:rPr>
          <w:b w:val="0"/>
        </w:rPr>
        <w:t>male and 89.9% Caucasian. The majority of patients (</w:t>
      </w:r>
      <w:proofErr w:type="spellStart"/>
      <w:r w:rsidRPr="00034346">
        <w:rPr>
          <w:b w:val="0"/>
        </w:rPr>
        <w:t>laBCC</w:t>
      </w:r>
      <w:proofErr w:type="spellEnd"/>
      <w:r w:rsidRPr="00034346">
        <w:rPr>
          <w:b w:val="0"/>
        </w:rPr>
        <w:t xml:space="preserve"> 7</w:t>
      </w:r>
      <w:r w:rsidR="00FE0D0A">
        <w:rPr>
          <w:b w:val="0"/>
        </w:rPr>
        <w:t>4</w:t>
      </w:r>
      <w:r w:rsidRPr="00034346">
        <w:rPr>
          <w:b w:val="0"/>
        </w:rPr>
        <w:t xml:space="preserve">%, </w:t>
      </w:r>
      <w:proofErr w:type="spellStart"/>
      <w:r w:rsidRPr="00034346">
        <w:rPr>
          <w:b w:val="0"/>
        </w:rPr>
        <w:t>mBCC</w:t>
      </w:r>
      <w:proofErr w:type="spellEnd"/>
      <w:r w:rsidRPr="00034346">
        <w:rPr>
          <w:b w:val="0"/>
        </w:rPr>
        <w:t xml:space="preserve"> </w:t>
      </w:r>
      <w:r w:rsidR="00FE0D0A">
        <w:rPr>
          <w:b w:val="0"/>
        </w:rPr>
        <w:t>92</w:t>
      </w:r>
      <w:r w:rsidRPr="00034346">
        <w:rPr>
          <w:b w:val="0"/>
        </w:rPr>
        <w:t>%) had undergone prior therapies including surgery (</w:t>
      </w:r>
      <w:proofErr w:type="spellStart"/>
      <w:r w:rsidRPr="00034346">
        <w:rPr>
          <w:b w:val="0"/>
        </w:rPr>
        <w:t>laBCC</w:t>
      </w:r>
      <w:proofErr w:type="spellEnd"/>
      <w:r w:rsidRPr="00034346">
        <w:rPr>
          <w:b w:val="0"/>
        </w:rPr>
        <w:t xml:space="preserve"> 7</w:t>
      </w:r>
      <w:r w:rsidR="00FE0D0A">
        <w:rPr>
          <w:b w:val="0"/>
        </w:rPr>
        <w:t>3</w:t>
      </w:r>
      <w:r w:rsidRPr="00034346">
        <w:rPr>
          <w:b w:val="0"/>
        </w:rPr>
        <w:t xml:space="preserve">%, </w:t>
      </w:r>
      <w:proofErr w:type="spellStart"/>
      <w:r w:rsidRPr="00034346">
        <w:rPr>
          <w:b w:val="0"/>
        </w:rPr>
        <w:t>mBCC</w:t>
      </w:r>
      <w:proofErr w:type="spellEnd"/>
      <w:r w:rsidRPr="00034346">
        <w:rPr>
          <w:b w:val="0"/>
        </w:rPr>
        <w:t xml:space="preserve"> 8</w:t>
      </w:r>
      <w:r w:rsidR="00FE0D0A">
        <w:rPr>
          <w:b w:val="0"/>
        </w:rPr>
        <w:t>5</w:t>
      </w:r>
      <w:r w:rsidRPr="00034346">
        <w:rPr>
          <w:b w:val="0"/>
        </w:rPr>
        <w:t>%), radiotherapy (</w:t>
      </w:r>
      <w:proofErr w:type="spellStart"/>
      <w:r w:rsidRPr="00034346">
        <w:rPr>
          <w:b w:val="0"/>
        </w:rPr>
        <w:t>laBCC</w:t>
      </w:r>
      <w:proofErr w:type="spellEnd"/>
      <w:r w:rsidRPr="00034346">
        <w:rPr>
          <w:b w:val="0"/>
        </w:rPr>
        <w:t xml:space="preserve"> </w:t>
      </w:r>
      <w:r w:rsidR="00FE0D0A">
        <w:rPr>
          <w:b w:val="0"/>
        </w:rPr>
        <w:t>18</w:t>
      </w:r>
      <w:r w:rsidRPr="00034346">
        <w:rPr>
          <w:b w:val="0"/>
        </w:rPr>
        <w:t xml:space="preserve">%, </w:t>
      </w:r>
      <w:proofErr w:type="spellStart"/>
      <w:r w:rsidRPr="00034346">
        <w:rPr>
          <w:b w:val="0"/>
        </w:rPr>
        <w:t>mBCC</w:t>
      </w:r>
      <w:proofErr w:type="spellEnd"/>
      <w:r w:rsidRPr="00034346">
        <w:rPr>
          <w:b w:val="0"/>
        </w:rPr>
        <w:t xml:space="preserve"> </w:t>
      </w:r>
      <w:r w:rsidR="00FE0D0A">
        <w:rPr>
          <w:b w:val="0"/>
        </w:rPr>
        <w:t>54</w:t>
      </w:r>
      <w:r w:rsidRPr="00034346">
        <w:rPr>
          <w:b w:val="0"/>
        </w:rPr>
        <w:t>%), and antineoplastic therapies (</w:t>
      </w:r>
      <w:proofErr w:type="spellStart"/>
      <w:r w:rsidRPr="00034346">
        <w:rPr>
          <w:b w:val="0"/>
        </w:rPr>
        <w:t>laBCC</w:t>
      </w:r>
      <w:proofErr w:type="spellEnd"/>
      <w:r w:rsidRPr="00034346">
        <w:rPr>
          <w:b w:val="0"/>
        </w:rPr>
        <w:t xml:space="preserve"> </w:t>
      </w:r>
      <w:r w:rsidR="00FE0D0A">
        <w:rPr>
          <w:b w:val="0"/>
        </w:rPr>
        <w:t>23</w:t>
      </w:r>
      <w:r w:rsidRPr="00034346">
        <w:rPr>
          <w:b w:val="0"/>
        </w:rPr>
        <w:t xml:space="preserve">%, </w:t>
      </w:r>
      <w:proofErr w:type="spellStart"/>
      <w:r w:rsidRPr="00034346">
        <w:rPr>
          <w:b w:val="0"/>
        </w:rPr>
        <w:t>mBCC</w:t>
      </w:r>
      <w:proofErr w:type="spellEnd"/>
      <w:r w:rsidRPr="00034346">
        <w:rPr>
          <w:b w:val="0"/>
        </w:rPr>
        <w:t xml:space="preserve"> </w:t>
      </w:r>
      <w:r w:rsidR="00FE0D0A">
        <w:rPr>
          <w:b w:val="0"/>
        </w:rPr>
        <w:t>23</w:t>
      </w:r>
      <w:r w:rsidRPr="00034346">
        <w:rPr>
          <w:b w:val="0"/>
        </w:rPr>
        <w:t>%).</w:t>
      </w:r>
    </w:p>
    <w:p w14:paraId="3C410B6D" w14:textId="567D1748" w:rsidR="00034346" w:rsidRDefault="00FE0D0A" w:rsidP="00034346">
      <w:pPr>
        <w:pStyle w:val="Text"/>
        <w:rPr>
          <w:b w:val="0"/>
        </w:rPr>
      </w:pPr>
      <w:r w:rsidRPr="00FE0D0A">
        <w:rPr>
          <w:b w:val="0"/>
        </w:rPr>
        <w:t>The following efficacy analysis includes data collected after all patients were followed for at least 1</w:t>
      </w:r>
      <w:r>
        <w:rPr>
          <w:b w:val="0"/>
        </w:rPr>
        <w:t>8</w:t>
      </w:r>
      <w:r w:rsidRPr="00FE0D0A">
        <w:rPr>
          <w:b w:val="0"/>
        </w:rPr>
        <w:t xml:space="preserve"> months unless discontinued earlier. </w:t>
      </w:r>
      <w:r w:rsidR="00034346" w:rsidRPr="00FE0D0A">
        <w:rPr>
          <w:b w:val="0"/>
        </w:rPr>
        <w:t>The</w:t>
      </w:r>
      <w:r w:rsidR="00034346" w:rsidRPr="00034346">
        <w:rPr>
          <w:b w:val="0"/>
        </w:rPr>
        <w:t xml:space="preserve"> key efficacy results per central review and local investigator assessment are presented in Table 1.</w:t>
      </w:r>
    </w:p>
    <w:p w14:paraId="2D36BBA4" w14:textId="6A94CBF3" w:rsidR="00034346" w:rsidRPr="00034346" w:rsidRDefault="00034346" w:rsidP="00250E8E">
      <w:pPr>
        <w:pStyle w:val="Heading6"/>
        <w:ind w:left="1418" w:hanging="1418"/>
        <w:rPr>
          <w:rFonts w:ascii="Times New Roman" w:hAnsi="Times New Roman"/>
          <w:vertAlign w:val="superscript"/>
        </w:rPr>
      </w:pPr>
      <w:bookmarkStart w:id="5" w:name="_Toc384821976"/>
      <w:r w:rsidRPr="00034346">
        <w:rPr>
          <w:rFonts w:ascii="Times New Roman" w:hAnsi="Times New Roman"/>
        </w:rPr>
        <w:t>Table</w:t>
      </w:r>
      <w:r w:rsidR="006E00C8">
        <w:rPr>
          <w:rFonts w:ascii="Times New Roman" w:hAnsi="Times New Roman"/>
        </w:rPr>
        <w:t xml:space="preserve"> </w:t>
      </w:r>
      <w:r w:rsidRPr="00034346">
        <w:rPr>
          <w:rFonts w:ascii="Times New Roman" w:hAnsi="Times New Roman"/>
        </w:rPr>
        <w:t>1</w:t>
      </w:r>
      <w:r w:rsidRPr="00034346">
        <w:rPr>
          <w:rFonts w:ascii="Times New Roman" w:hAnsi="Times New Roman"/>
        </w:rPr>
        <w:tab/>
      </w:r>
      <w:r>
        <w:rPr>
          <w:rFonts w:ascii="Times New Roman" w:hAnsi="Times New Roman"/>
        </w:rPr>
        <w:tab/>
      </w:r>
      <w:r w:rsidRPr="00034346">
        <w:rPr>
          <w:rFonts w:ascii="Times New Roman" w:hAnsi="Times New Roman"/>
        </w:rPr>
        <w:t xml:space="preserve">Efficacy overview per central review and local investigator assessment by </w:t>
      </w:r>
      <w:proofErr w:type="spellStart"/>
      <w:r w:rsidRPr="00034346">
        <w:rPr>
          <w:rFonts w:ascii="Times New Roman" w:hAnsi="Times New Roman"/>
        </w:rPr>
        <w:t>FAS</w:t>
      </w:r>
      <w:r w:rsidRPr="00034346">
        <w:rPr>
          <w:rFonts w:ascii="Times New Roman" w:hAnsi="Times New Roman"/>
          <w:vertAlign w:val="superscript"/>
        </w:rPr>
        <w:t>a</w:t>
      </w:r>
      <w:bookmarkEnd w:id="5"/>
      <w:proofErr w:type="spellEnd"/>
    </w:p>
    <w:tbl>
      <w:tblPr>
        <w:tblW w:w="0" w:type="auto"/>
        <w:tblBorders>
          <w:top w:val="single" w:sz="4" w:space="0" w:color="auto"/>
          <w:bottom w:val="single" w:sz="4" w:space="0" w:color="auto"/>
        </w:tblBorders>
        <w:tblLayout w:type="fixed"/>
        <w:tblLook w:val="0000" w:firstRow="0" w:lastRow="0" w:firstColumn="0" w:lastColumn="0" w:noHBand="0" w:noVBand="0"/>
      </w:tblPr>
      <w:tblGrid>
        <w:gridCol w:w="3348"/>
        <w:gridCol w:w="1300"/>
        <w:gridCol w:w="1301"/>
        <w:gridCol w:w="1301"/>
        <w:gridCol w:w="1301"/>
      </w:tblGrid>
      <w:tr w:rsidR="006E00C8" w:rsidRPr="000F6D80" w14:paraId="0B301312" w14:textId="77777777" w:rsidTr="00376422">
        <w:trPr>
          <w:tblHeader/>
        </w:trPr>
        <w:tc>
          <w:tcPr>
            <w:tcW w:w="3348" w:type="dxa"/>
            <w:tcBorders>
              <w:top w:val="single" w:sz="4" w:space="0" w:color="auto"/>
              <w:bottom w:val="nil"/>
            </w:tcBorders>
            <w:shd w:val="clear" w:color="auto" w:fill="auto"/>
          </w:tcPr>
          <w:p w14:paraId="4C626CF4" w14:textId="77777777" w:rsidR="006E00C8" w:rsidRPr="000F6D80" w:rsidRDefault="006E00C8" w:rsidP="00BC47FF">
            <w:pPr>
              <w:pStyle w:val="Table0"/>
            </w:pPr>
          </w:p>
        </w:tc>
        <w:tc>
          <w:tcPr>
            <w:tcW w:w="5203" w:type="dxa"/>
            <w:gridSpan w:val="4"/>
            <w:tcBorders>
              <w:top w:val="single" w:sz="4" w:space="0" w:color="auto"/>
              <w:bottom w:val="nil"/>
            </w:tcBorders>
            <w:shd w:val="clear" w:color="auto" w:fill="auto"/>
          </w:tcPr>
          <w:p w14:paraId="76FAB649" w14:textId="77777777" w:rsidR="006E00C8" w:rsidRPr="000F6D80" w:rsidRDefault="006E00C8" w:rsidP="00BC47FF">
            <w:pPr>
              <w:pStyle w:val="Table0"/>
            </w:pPr>
            <w:r w:rsidRPr="000F6D80">
              <w:t>Odomzo 200 mg</w:t>
            </w:r>
          </w:p>
        </w:tc>
      </w:tr>
      <w:tr w:rsidR="006E00C8" w:rsidRPr="000F6D80" w14:paraId="27D9DE57" w14:textId="77777777" w:rsidTr="00376422">
        <w:trPr>
          <w:tblHeader/>
        </w:trPr>
        <w:tc>
          <w:tcPr>
            <w:tcW w:w="3348" w:type="dxa"/>
            <w:tcBorders>
              <w:top w:val="nil"/>
              <w:bottom w:val="nil"/>
            </w:tcBorders>
            <w:shd w:val="clear" w:color="auto" w:fill="auto"/>
          </w:tcPr>
          <w:p w14:paraId="4E585974" w14:textId="77777777" w:rsidR="006E00C8" w:rsidRPr="000F6D80" w:rsidRDefault="006E00C8" w:rsidP="00BC47FF">
            <w:pPr>
              <w:pStyle w:val="Table0"/>
            </w:pPr>
          </w:p>
        </w:tc>
        <w:tc>
          <w:tcPr>
            <w:tcW w:w="2601" w:type="dxa"/>
            <w:gridSpan w:val="2"/>
            <w:tcBorders>
              <w:top w:val="nil"/>
              <w:bottom w:val="nil"/>
            </w:tcBorders>
            <w:shd w:val="clear" w:color="auto" w:fill="auto"/>
          </w:tcPr>
          <w:p w14:paraId="2E6C8EA9" w14:textId="77777777" w:rsidR="006E00C8" w:rsidRPr="000F6D80" w:rsidRDefault="006E00C8" w:rsidP="00BC47FF">
            <w:pPr>
              <w:pStyle w:val="Table0"/>
            </w:pPr>
            <w:r w:rsidRPr="000F6D80">
              <w:t>Central</w:t>
            </w:r>
          </w:p>
        </w:tc>
        <w:tc>
          <w:tcPr>
            <w:tcW w:w="2602" w:type="dxa"/>
            <w:gridSpan w:val="2"/>
            <w:tcBorders>
              <w:top w:val="nil"/>
              <w:bottom w:val="nil"/>
            </w:tcBorders>
            <w:shd w:val="clear" w:color="auto" w:fill="auto"/>
          </w:tcPr>
          <w:p w14:paraId="15A9A2DE" w14:textId="77777777" w:rsidR="006E00C8" w:rsidRPr="000F6D80" w:rsidRDefault="006E00C8" w:rsidP="00BC47FF">
            <w:pPr>
              <w:pStyle w:val="Table0"/>
            </w:pPr>
            <w:r w:rsidRPr="000F6D80">
              <w:t>Local Investigator</w:t>
            </w:r>
          </w:p>
        </w:tc>
      </w:tr>
      <w:tr w:rsidR="006E00C8" w:rsidRPr="000F6D80" w14:paraId="13A8E68D" w14:textId="77777777" w:rsidTr="00376422">
        <w:trPr>
          <w:tblHeader/>
        </w:trPr>
        <w:tc>
          <w:tcPr>
            <w:tcW w:w="3348" w:type="dxa"/>
            <w:tcBorders>
              <w:top w:val="nil"/>
              <w:bottom w:val="nil"/>
            </w:tcBorders>
            <w:shd w:val="clear" w:color="auto" w:fill="auto"/>
          </w:tcPr>
          <w:p w14:paraId="6C337237" w14:textId="77777777" w:rsidR="006E00C8" w:rsidRPr="000F6D80" w:rsidRDefault="006E00C8" w:rsidP="00BC47FF">
            <w:pPr>
              <w:pStyle w:val="Table0"/>
            </w:pPr>
          </w:p>
        </w:tc>
        <w:tc>
          <w:tcPr>
            <w:tcW w:w="1300" w:type="dxa"/>
            <w:tcBorders>
              <w:top w:val="nil"/>
              <w:bottom w:val="nil"/>
            </w:tcBorders>
            <w:shd w:val="clear" w:color="auto" w:fill="auto"/>
          </w:tcPr>
          <w:p w14:paraId="0CB1942E" w14:textId="77777777" w:rsidR="006E00C8" w:rsidRPr="000F6D80" w:rsidRDefault="006E00C8" w:rsidP="00BC47FF">
            <w:pPr>
              <w:pStyle w:val="Table0"/>
            </w:pPr>
            <w:proofErr w:type="spellStart"/>
            <w:r w:rsidRPr="000F6D80">
              <w:t>laBCC</w:t>
            </w:r>
            <w:proofErr w:type="spellEnd"/>
          </w:p>
        </w:tc>
        <w:tc>
          <w:tcPr>
            <w:tcW w:w="1301" w:type="dxa"/>
            <w:tcBorders>
              <w:top w:val="nil"/>
              <w:bottom w:val="nil"/>
            </w:tcBorders>
            <w:shd w:val="clear" w:color="auto" w:fill="auto"/>
          </w:tcPr>
          <w:p w14:paraId="138E6747" w14:textId="77777777" w:rsidR="006E00C8" w:rsidRPr="000F6D80" w:rsidRDefault="006E00C8" w:rsidP="00BC47FF">
            <w:pPr>
              <w:pStyle w:val="Table0"/>
            </w:pPr>
            <w:proofErr w:type="spellStart"/>
            <w:r w:rsidRPr="000F6D80">
              <w:t>mBCC</w:t>
            </w:r>
            <w:proofErr w:type="spellEnd"/>
          </w:p>
        </w:tc>
        <w:tc>
          <w:tcPr>
            <w:tcW w:w="1301" w:type="dxa"/>
            <w:tcBorders>
              <w:top w:val="nil"/>
              <w:bottom w:val="nil"/>
            </w:tcBorders>
            <w:shd w:val="clear" w:color="auto" w:fill="auto"/>
          </w:tcPr>
          <w:p w14:paraId="591CDBF8" w14:textId="77777777" w:rsidR="006E00C8" w:rsidRPr="000F6D80" w:rsidRDefault="006E00C8" w:rsidP="00BC47FF">
            <w:pPr>
              <w:pStyle w:val="Table0"/>
            </w:pPr>
            <w:proofErr w:type="spellStart"/>
            <w:r w:rsidRPr="000F6D80">
              <w:t>laBCC</w:t>
            </w:r>
            <w:proofErr w:type="spellEnd"/>
          </w:p>
        </w:tc>
        <w:tc>
          <w:tcPr>
            <w:tcW w:w="1301" w:type="dxa"/>
            <w:tcBorders>
              <w:top w:val="nil"/>
              <w:bottom w:val="nil"/>
            </w:tcBorders>
            <w:shd w:val="clear" w:color="auto" w:fill="auto"/>
          </w:tcPr>
          <w:p w14:paraId="432F9661" w14:textId="77777777" w:rsidR="006E00C8" w:rsidRPr="000F6D80" w:rsidRDefault="006E00C8" w:rsidP="007624D5">
            <w:pPr>
              <w:pStyle w:val="Table0"/>
            </w:pPr>
            <w:proofErr w:type="spellStart"/>
            <w:r w:rsidRPr="000F6D80">
              <w:t>mBCC</w:t>
            </w:r>
            <w:proofErr w:type="spellEnd"/>
          </w:p>
        </w:tc>
      </w:tr>
      <w:tr w:rsidR="006E00C8" w:rsidRPr="000F6D80" w14:paraId="46800E79" w14:textId="77777777" w:rsidTr="00376422">
        <w:trPr>
          <w:tblHeader/>
        </w:trPr>
        <w:tc>
          <w:tcPr>
            <w:tcW w:w="3348" w:type="dxa"/>
            <w:tcBorders>
              <w:top w:val="nil"/>
              <w:bottom w:val="single" w:sz="4" w:space="0" w:color="auto"/>
            </w:tcBorders>
            <w:shd w:val="clear" w:color="auto" w:fill="auto"/>
          </w:tcPr>
          <w:p w14:paraId="51A1647F" w14:textId="77777777" w:rsidR="006E00C8" w:rsidRPr="000F6D80" w:rsidRDefault="006E00C8" w:rsidP="00BC47FF">
            <w:pPr>
              <w:pStyle w:val="Table0"/>
            </w:pPr>
          </w:p>
        </w:tc>
        <w:tc>
          <w:tcPr>
            <w:tcW w:w="1300" w:type="dxa"/>
            <w:tcBorders>
              <w:top w:val="nil"/>
              <w:bottom w:val="single" w:sz="4" w:space="0" w:color="auto"/>
            </w:tcBorders>
            <w:shd w:val="clear" w:color="auto" w:fill="auto"/>
          </w:tcPr>
          <w:p w14:paraId="37993B99" w14:textId="77777777" w:rsidR="006E00C8" w:rsidRPr="000F6D80" w:rsidRDefault="006E00C8" w:rsidP="00BC47FF">
            <w:pPr>
              <w:pStyle w:val="Table0"/>
            </w:pPr>
            <w:r w:rsidRPr="000F6D80">
              <w:t>N=66</w:t>
            </w:r>
          </w:p>
        </w:tc>
        <w:tc>
          <w:tcPr>
            <w:tcW w:w="1301" w:type="dxa"/>
            <w:tcBorders>
              <w:top w:val="nil"/>
              <w:bottom w:val="single" w:sz="4" w:space="0" w:color="auto"/>
            </w:tcBorders>
            <w:shd w:val="clear" w:color="auto" w:fill="auto"/>
          </w:tcPr>
          <w:p w14:paraId="0C901FCC" w14:textId="77777777" w:rsidR="006E00C8" w:rsidRPr="000F6D80" w:rsidRDefault="006E00C8" w:rsidP="00BC47FF">
            <w:pPr>
              <w:pStyle w:val="Table0"/>
            </w:pPr>
            <w:r w:rsidRPr="000F6D80">
              <w:t>N=13</w:t>
            </w:r>
          </w:p>
        </w:tc>
        <w:tc>
          <w:tcPr>
            <w:tcW w:w="1301" w:type="dxa"/>
            <w:tcBorders>
              <w:top w:val="nil"/>
              <w:bottom w:val="single" w:sz="4" w:space="0" w:color="auto"/>
            </w:tcBorders>
            <w:shd w:val="clear" w:color="auto" w:fill="auto"/>
          </w:tcPr>
          <w:p w14:paraId="102085F7" w14:textId="77777777" w:rsidR="006E00C8" w:rsidRPr="000F6D80" w:rsidRDefault="006E00C8" w:rsidP="00BC47FF">
            <w:pPr>
              <w:pStyle w:val="Table0"/>
            </w:pPr>
            <w:r w:rsidRPr="000F6D80">
              <w:t>N=66</w:t>
            </w:r>
          </w:p>
        </w:tc>
        <w:tc>
          <w:tcPr>
            <w:tcW w:w="1301" w:type="dxa"/>
            <w:tcBorders>
              <w:top w:val="nil"/>
              <w:bottom w:val="single" w:sz="4" w:space="0" w:color="auto"/>
            </w:tcBorders>
            <w:shd w:val="clear" w:color="auto" w:fill="auto"/>
          </w:tcPr>
          <w:p w14:paraId="4AC018B1" w14:textId="77777777" w:rsidR="006E00C8" w:rsidRPr="000F6D80" w:rsidRDefault="006E00C8" w:rsidP="007624D5">
            <w:pPr>
              <w:pStyle w:val="Table0"/>
            </w:pPr>
            <w:r w:rsidRPr="000F6D80">
              <w:t>N=13</w:t>
            </w:r>
          </w:p>
        </w:tc>
      </w:tr>
      <w:tr w:rsidR="006E00C8" w:rsidRPr="000F6D80" w14:paraId="5811F97D" w14:textId="77777777" w:rsidTr="00376422">
        <w:tc>
          <w:tcPr>
            <w:tcW w:w="3348" w:type="dxa"/>
            <w:tcBorders>
              <w:top w:val="single" w:sz="4" w:space="0" w:color="auto"/>
              <w:bottom w:val="single" w:sz="4" w:space="0" w:color="auto"/>
            </w:tcBorders>
            <w:shd w:val="clear" w:color="auto" w:fill="auto"/>
          </w:tcPr>
          <w:p w14:paraId="6A014B68" w14:textId="092419D4" w:rsidR="006E00C8" w:rsidRPr="000F6D80" w:rsidRDefault="006E00C8" w:rsidP="007A396C">
            <w:pPr>
              <w:pStyle w:val="Table0"/>
            </w:pPr>
            <w:r w:rsidRPr="000F6D80">
              <w:t>Primary Endpoint</w:t>
            </w:r>
          </w:p>
          <w:p w14:paraId="39B81F6F" w14:textId="77777777" w:rsidR="006E00C8" w:rsidRPr="000F6D80" w:rsidRDefault="006E00C8" w:rsidP="007A396C">
            <w:pPr>
              <w:pStyle w:val="Table0"/>
            </w:pPr>
            <w:r w:rsidRPr="000F6D80">
              <w:t>Overall objective response rate, n (%)</w:t>
            </w:r>
          </w:p>
        </w:tc>
        <w:tc>
          <w:tcPr>
            <w:tcW w:w="2601" w:type="dxa"/>
            <w:gridSpan w:val="2"/>
            <w:tcBorders>
              <w:top w:val="single" w:sz="4" w:space="0" w:color="auto"/>
              <w:bottom w:val="single" w:sz="4" w:space="0" w:color="auto"/>
            </w:tcBorders>
            <w:shd w:val="clear" w:color="auto" w:fill="auto"/>
          </w:tcPr>
          <w:p w14:paraId="4EB6B357" w14:textId="77777777" w:rsidR="006E00C8" w:rsidRPr="000F6D80" w:rsidRDefault="006E00C8" w:rsidP="007A396C">
            <w:pPr>
              <w:pStyle w:val="Table0"/>
            </w:pPr>
          </w:p>
          <w:p w14:paraId="679AB93E" w14:textId="442E4944" w:rsidR="006E00C8" w:rsidRPr="000F6D80" w:rsidRDefault="006E00C8" w:rsidP="007A396C">
            <w:pPr>
              <w:pStyle w:val="Table0"/>
            </w:pPr>
            <w:r w:rsidRPr="000F6D80">
              <w:t>38 (48.1)</w:t>
            </w:r>
          </w:p>
        </w:tc>
        <w:tc>
          <w:tcPr>
            <w:tcW w:w="2602" w:type="dxa"/>
            <w:gridSpan w:val="2"/>
            <w:tcBorders>
              <w:top w:val="single" w:sz="4" w:space="0" w:color="auto"/>
              <w:bottom w:val="single" w:sz="4" w:space="0" w:color="auto"/>
            </w:tcBorders>
            <w:shd w:val="clear" w:color="auto" w:fill="auto"/>
          </w:tcPr>
          <w:p w14:paraId="520AF349" w14:textId="77777777" w:rsidR="006E00C8" w:rsidRPr="000F6D80" w:rsidRDefault="006E00C8" w:rsidP="007A396C">
            <w:pPr>
              <w:pStyle w:val="Table0"/>
            </w:pPr>
          </w:p>
          <w:p w14:paraId="35C16A26" w14:textId="77777777" w:rsidR="006E00C8" w:rsidRPr="000F6D80" w:rsidRDefault="006E00C8" w:rsidP="007A396C">
            <w:pPr>
              <w:pStyle w:val="Table0"/>
            </w:pPr>
            <w:r w:rsidRPr="000F6D80">
              <w:t>50 (63.3)</w:t>
            </w:r>
          </w:p>
        </w:tc>
      </w:tr>
      <w:tr w:rsidR="006E00C8" w:rsidRPr="000F6D80" w14:paraId="2E9783D0" w14:textId="77777777" w:rsidTr="00376422">
        <w:tc>
          <w:tcPr>
            <w:tcW w:w="3348" w:type="dxa"/>
            <w:tcBorders>
              <w:top w:val="single" w:sz="4" w:space="0" w:color="auto"/>
            </w:tcBorders>
            <w:shd w:val="clear" w:color="auto" w:fill="auto"/>
          </w:tcPr>
          <w:p w14:paraId="6E4C1558" w14:textId="3F27AEA7" w:rsidR="006E00C8" w:rsidRPr="000F6D80" w:rsidRDefault="006E00C8" w:rsidP="00BC47FF">
            <w:pPr>
              <w:pStyle w:val="Table0"/>
            </w:pPr>
            <w:r w:rsidRPr="000F6D80">
              <w:t>Secondary Endpoints</w:t>
            </w:r>
          </w:p>
          <w:p w14:paraId="449D0767" w14:textId="77777777" w:rsidR="006E00C8" w:rsidRPr="000F6D80" w:rsidRDefault="006E00C8" w:rsidP="00BC47FF">
            <w:pPr>
              <w:pStyle w:val="Table0"/>
            </w:pPr>
            <w:r w:rsidRPr="000F6D80">
              <w:t>Objective response rate, n (%)</w:t>
            </w:r>
          </w:p>
        </w:tc>
        <w:tc>
          <w:tcPr>
            <w:tcW w:w="1300" w:type="dxa"/>
            <w:tcBorders>
              <w:top w:val="single" w:sz="4" w:space="0" w:color="auto"/>
            </w:tcBorders>
            <w:shd w:val="clear" w:color="auto" w:fill="auto"/>
          </w:tcPr>
          <w:p w14:paraId="77DBC15C" w14:textId="77777777" w:rsidR="006E00C8" w:rsidRPr="000F6D80" w:rsidRDefault="006E00C8" w:rsidP="007A396C">
            <w:pPr>
              <w:pStyle w:val="Table0"/>
            </w:pPr>
          </w:p>
          <w:p w14:paraId="5731CFD6" w14:textId="0A552C5E" w:rsidR="006E00C8" w:rsidRPr="000F6D80" w:rsidRDefault="006E00C8" w:rsidP="007A396C">
            <w:pPr>
              <w:pStyle w:val="Table0"/>
            </w:pPr>
            <w:r w:rsidRPr="000F6D80">
              <w:t>37 (56.1)</w:t>
            </w:r>
          </w:p>
        </w:tc>
        <w:tc>
          <w:tcPr>
            <w:tcW w:w="1301" w:type="dxa"/>
            <w:tcBorders>
              <w:top w:val="single" w:sz="4" w:space="0" w:color="auto"/>
            </w:tcBorders>
            <w:shd w:val="clear" w:color="auto" w:fill="auto"/>
          </w:tcPr>
          <w:p w14:paraId="4495D1F2" w14:textId="77777777" w:rsidR="006E00C8" w:rsidRPr="000F6D80" w:rsidRDefault="006E00C8" w:rsidP="007A396C">
            <w:pPr>
              <w:pStyle w:val="Table0"/>
            </w:pPr>
          </w:p>
          <w:p w14:paraId="2CFF2148" w14:textId="77777777" w:rsidR="006E00C8" w:rsidRPr="000F6D80" w:rsidRDefault="006E00C8" w:rsidP="007A396C">
            <w:pPr>
              <w:pStyle w:val="Table0"/>
            </w:pPr>
            <w:r w:rsidRPr="000F6D80">
              <w:t>1 (7.7)</w:t>
            </w:r>
          </w:p>
        </w:tc>
        <w:tc>
          <w:tcPr>
            <w:tcW w:w="1301" w:type="dxa"/>
            <w:tcBorders>
              <w:top w:val="single" w:sz="4" w:space="0" w:color="auto"/>
            </w:tcBorders>
            <w:shd w:val="clear" w:color="auto" w:fill="auto"/>
          </w:tcPr>
          <w:p w14:paraId="42A3FD91" w14:textId="77777777" w:rsidR="006E00C8" w:rsidRPr="000F6D80" w:rsidRDefault="006E00C8" w:rsidP="007A396C">
            <w:pPr>
              <w:pStyle w:val="Table0"/>
            </w:pPr>
          </w:p>
          <w:p w14:paraId="52AC8725" w14:textId="77777777" w:rsidR="006E00C8" w:rsidRPr="000F6D80" w:rsidRDefault="006E00C8" w:rsidP="007A396C">
            <w:pPr>
              <w:pStyle w:val="Table0"/>
            </w:pPr>
            <w:r w:rsidRPr="000F6D80">
              <w:t xml:space="preserve">47 </w:t>
            </w:r>
            <w:r w:rsidRPr="000F6D80">
              <w:tab/>
              <w:t>(71.2)</w:t>
            </w:r>
          </w:p>
        </w:tc>
        <w:tc>
          <w:tcPr>
            <w:tcW w:w="1301" w:type="dxa"/>
            <w:tcBorders>
              <w:top w:val="single" w:sz="4" w:space="0" w:color="auto"/>
            </w:tcBorders>
            <w:shd w:val="clear" w:color="auto" w:fill="auto"/>
          </w:tcPr>
          <w:p w14:paraId="2843768C" w14:textId="77777777" w:rsidR="006E00C8" w:rsidRPr="000F6D80" w:rsidRDefault="006E00C8" w:rsidP="007A396C">
            <w:pPr>
              <w:pStyle w:val="Table0"/>
            </w:pPr>
          </w:p>
          <w:p w14:paraId="3FC974ED" w14:textId="77777777" w:rsidR="006E00C8" w:rsidRPr="000F6D80" w:rsidRDefault="006E00C8" w:rsidP="007A396C">
            <w:pPr>
              <w:pStyle w:val="Table0"/>
            </w:pPr>
            <w:r w:rsidRPr="000F6D80">
              <w:t>3</w:t>
            </w:r>
            <w:r w:rsidRPr="000F6D80">
              <w:tab/>
              <w:t xml:space="preserve"> (23.1)</w:t>
            </w:r>
          </w:p>
        </w:tc>
      </w:tr>
      <w:tr w:rsidR="006E00C8" w:rsidRPr="00246DEA" w14:paraId="18E87C9F" w14:textId="77777777" w:rsidTr="00376422">
        <w:tc>
          <w:tcPr>
            <w:tcW w:w="3348" w:type="dxa"/>
            <w:shd w:val="clear" w:color="auto" w:fill="auto"/>
          </w:tcPr>
          <w:p w14:paraId="05A882A1" w14:textId="77777777" w:rsidR="006E00C8" w:rsidRPr="00246DEA" w:rsidRDefault="006E00C8" w:rsidP="00BC47FF">
            <w:pPr>
              <w:pStyle w:val="Table0"/>
              <w:rPr>
                <w:b w:val="0"/>
              </w:rPr>
            </w:pPr>
            <w:r w:rsidRPr="00246DEA">
              <w:rPr>
                <w:b w:val="0"/>
              </w:rPr>
              <w:tab/>
              <w:t>95% CI</w:t>
            </w:r>
          </w:p>
        </w:tc>
        <w:tc>
          <w:tcPr>
            <w:tcW w:w="1300" w:type="dxa"/>
            <w:shd w:val="clear" w:color="auto" w:fill="auto"/>
          </w:tcPr>
          <w:p w14:paraId="2CA81994" w14:textId="0093D331" w:rsidR="006E00C8" w:rsidRPr="00246DEA" w:rsidRDefault="006E00C8" w:rsidP="00BC47FF">
            <w:pPr>
              <w:pStyle w:val="Table0"/>
              <w:rPr>
                <w:b w:val="0"/>
              </w:rPr>
            </w:pPr>
            <w:r w:rsidRPr="00246DEA">
              <w:rPr>
                <w:b w:val="0"/>
              </w:rPr>
              <w:t>(43.3, 68.3)</w:t>
            </w:r>
          </w:p>
        </w:tc>
        <w:tc>
          <w:tcPr>
            <w:tcW w:w="1301" w:type="dxa"/>
            <w:shd w:val="clear" w:color="auto" w:fill="auto"/>
          </w:tcPr>
          <w:p w14:paraId="47EA1A5B" w14:textId="77777777" w:rsidR="006E00C8" w:rsidRPr="00246DEA" w:rsidRDefault="006E00C8" w:rsidP="00BC47FF">
            <w:pPr>
              <w:pStyle w:val="Table0"/>
              <w:rPr>
                <w:b w:val="0"/>
              </w:rPr>
            </w:pPr>
            <w:r w:rsidRPr="00246DEA">
              <w:rPr>
                <w:b w:val="0"/>
              </w:rPr>
              <w:t>(0.2, 36.0)</w:t>
            </w:r>
          </w:p>
        </w:tc>
        <w:tc>
          <w:tcPr>
            <w:tcW w:w="1301" w:type="dxa"/>
            <w:shd w:val="clear" w:color="auto" w:fill="auto"/>
          </w:tcPr>
          <w:p w14:paraId="7B01FBDB" w14:textId="77777777" w:rsidR="006E00C8" w:rsidRPr="00246DEA" w:rsidRDefault="006E00C8" w:rsidP="00BC47FF">
            <w:pPr>
              <w:pStyle w:val="Table0"/>
              <w:rPr>
                <w:b w:val="0"/>
              </w:rPr>
            </w:pPr>
            <w:r w:rsidRPr="00246DEA">
              <w:rPr>
                <w:b w:val="0"/>
              </w:rPr>
              <w:t>(58.7, 81.7)</w:t>
            </w:r>
          </w:p>
        </w:tc>
        <w:tc>
          <w:tcPr>
            <w:tcW w:w="1301" w:type="dxa"/>
            <w:shd w:val="clear" w:color="auto" w:fill="auto"/>
          </w:tcPr>
          <w:p w14:paraId="162808DB" w14:textId="77777777" w:rsidR="006E00C8" w:rsidRPr="00246DEA" w:rsidRDefault="006E00C8" w:rsidP="007624D5">
            <w:pPr>
              <w:pStyle w:val="Table0"/>
              <w:rPr>
                <w:b w:val="0"/>
              </w:rPr>
            </w:pPr>
            <w:r w:rsidRPr="00246DEA">
              <w:rPr>
                <w:b w:val="0"/>
              </w:rPr>
              <w:t>(5.0, 53.8)</w:t>
            </w:r>
          </w:p>
        </w:tc>
      </w:tr>
      <w:tr w:rsidR="006E00C8" w:rsidRPr="000F6D80" w14:paraId="45A61E40" w14:textId="77777777" w:rsidTr="00376422">
        <w:tc>
          <w:tcPr>
            <w:tcW w:w="3348" w:type="dxa"/>
            <w:shd w:val="clear" w:color="auto" w:fill="auto"/>
          </w:tcPr>
          <w:p w14:paraId="2A01A90B" w14:textId="77777777" w:rsidR="006E00C8" w:rsidRPr="000F6D80" w:rsidRDefault="006E00C8" w:rsidP="00BC47FF">
            <w:pPr>
              <w:pStyle w:val="Table0"/>
            </w:pPr>
            <w:r w:rsidRPr="00115F35">
              <w:lastRenderedPageBreak/>
              <w:t>Best overall response, n (%)</w:t>
            </w:r>
          </w:p>
        </w:tc>
        <w:tc>
          <w:tcPr>
            <w:tcW w:w="1300" w:type="dxa"/>
            <w:shd w:val="clear" w:color="auto" w:fill="auto"/>
          </w:tcPr>
          <w:p w14:paraId="1CBED733" w14:textId="77777777" w:rsidR="006E00C8" w:rsidRPr="000F6D80" w:rsidRDefault="006E00C8" w:rsidP="00BC47FF">
            <w:pPr>
              <w:pStyle w:val="Table0"/>
            </w:pPr>
          </w:p>
        </w:tc>
        <w:tc>
          <w:tcPr>
            <w:tcW w:w="1301" w:type="dxa"/>
            <w:shd w:val="clear" w:color="auto" w:fill="auto"/>
          </w:tcPr>
          <w:p w14:paraId="60528EF3" w14:textId="77777777" w:rsidR="006E00C8" w:rsidRPr="000F6D80" w:rsidRDefault="006E00C8" w:rsidP="00BC47FF">
            <w:pPr>
              <w:pStyle w:val="Table0"/>
            </w:pPr>
          </w:p>
        </w:tc>
        <w:tc>
          <w:tcPr>
            <w:tcW w:w="1301" w:type="dxa"/>
            <w:shd w:val="clear" w:color="auto" w:fill="auto"/>
          </w:tcPr>
          <w:p w14:paraId="5A42EECC" w14:textId="77777777" w:rsidR="006E00C8" w:rsidRPr="000F6D80" w:rsidRDefault="006E00C8" w:rsidP="00BC47FF">
            <w:pPr>
              <w:pStyle w:val="Table0"/>
            </w:pPr>
          </w:p>
        </w:tc>
        <w:tc>
          <w:tcPr>
            <w:tcW w:w="1301" w:type="dxa"/>
            <w:shd w:val="clear" w:color="auto" w:fill="auto"/>
          </w:tcPr>
          <w:p w14:paraId="54CFDEE0" w14:textId="77777777" w:rsidR="006E00C8" w:rsidRPr="000F6D80" w:rsidRDefault="006E00C8" w:rsidP="007624D5">
            <w:pPr>
              <w:pStyle w:val="Table0"/>
            </w:pPr>
          </w:p>
        </w:tc>
      </w:tr>
      <w:tr w:rsidR="006E00C8" w:rsidRPr="000F6D80" w14:paraId="54B7E15D" w14:textId="77777777" w:rsidTr="00376422">
        <w:tc>
          <w:tcPr>
            <w:tcW w:w="3348" w:type="dxa"/>
            <w:shd w:val="clear" w:color="auto" w:fill="auto"/>
          </w:tcPr>
          <w:p w14:paraId="10E36627" w14:textId="77777777" w:rsidR="006E00C8" w:rsidRPr="00246DEA" w:rsidRDefault="006E00C8" w:rsidP="007A396C">
            <w:pPr>
              <w:pStyle w:val="Table0"/>
              <w:rPr>
                <w:b w:val="0"/>
              </w:rPr>
            </w:pPr>
            <w:r w:rsidRPr="00246DEA">
              <w:rPr>
                <w:b w:val="0"/>
              </w:rPr>
              <w:tab/>
              <w:t>Complete response</w:t>
            </w:r>
          </w:p>
        </w:tc>
        <w:tc>
          <w:tcPr>
            <w:tcW w:w="1300" w:type="dxa"/>
            <w:shd w:val="clear" w:color="auto" w:fill="auto"/>
          </w:tcPr>
          <w:p w14:paraId="7ED2A508" w14:textId="77777777" w:rsidR="006E00C8" w:rsidRPr="00246DEA" w:rsidRDefault="006E00C8" w:rsidP="007A396C">
            <w:pPr>
              <w:pStyle w:val="Table0"/>
              <w:rPr>
                <w:b w:val="0"/>
              </w:rPr>
            </w:pPr>
            <w:r w:rsidRPr="00246DEA">
              <w:rPr>
                <w:b w:val="0"/>
              </w:rPr>
              <w:t xml:space="preserve">3 </w:t>
            </w:r>
            <w:r w:rsidRPr="00246DEA">
              <w:rPr>
                <w:b w:val="0"/>
              </w:rPr>
              <w:tab/>
              <w:t>(4.5)</w:t>
            </w:r>
          </w:p>
        </w:tc>
        <w:tc>
          <w:tcPr>
            <w:tcW w:w="1301" w:type="dxa"/>
            <w:shd w:val="clear" w:color="auto" w:fill="auto"/>
          </w:tcPr>
          <w:p w14:paraId="72120CF4" w14:textId="77777777" w:rsidR="006E00C8" w:rsidRPr="00246DEA" w:rsidRDefault="006E00C8" w:rsidP="007A396C">
            <w:pPr>
              <w:pStyle w:val="Table0"/>
              <w:rPr>
                <w:b w:val="0"/>
              </w:rPr>
            </w:pPr>
            <w:r w:rsidRPr="00246DEA">
              <w:rPr>
                <w:b w:val="0"/>
              </w:rPr>
              <w:t>0</w:t>
            </w:r>
          </w:p>
        </w:tc>
        <w:tc>
          <w:tcPr>
            <w:tcW w:w="1301" w:type="dxa"/>
            <w:shd w:val="clear" w:color="auto" w:fill="auto"/>
          </w:tcPr>
          <w:p w14:paraId="3987DFCE" w14:textId="77777777" w:rsidR="006E00C8" w:rsidRPr="00246DEA" w:rsidRDefault="006E00C8" w:rsidP="007A396C">
            <w:pPr>
              <w:pStyle w:val="Table0"/>
              <w:rPr>
                <w:b w:val="0"/>
              </w:rPr>
            </w:pPr>
            <w:r w:rsidRPr="00246DEA">
              <w:rPr>
                <w:b w:val="0"/>
              </w:rPr>
              <w:t xml:space="preserve">6 </w:t>
            </w:r>
            <w:r w:rsidRPr="00246DEA">
              <w:rPr>
                <w:b w:val="0"/>
              </w:rPr>
              <w:tab/>
              <w:t>(9.1)</w:t>
            </w:r>
          </w:p>
        </w:tc>
        <w:tc>
          <w:tcPr>
            <w:tcW w:w="1301" w:type="dxa"/>
            <w:shd w:val="clear" w:color="auto" w:fill="auto"/>
          </w:tcPr>
          <w:p w14:paraId="2CA1C2B8" w14:textId="77777777" w:rsidR="006E00C8" w:rsidRPr="00246DEA" w:rsidRDefault="006E00C8" w:rsidP="007A396C">
            <w:pPr>
              <w:pStyle w:val="Table0"/>
              <w:rPr>
                <w:b w:val="0"/>
              </w:rPr>
            </w:pPr>
            <w:r w:rsidRPr="00246DEA">
              <w:rPr>
                <w:b w:val="0"/>
              </w:rPr>
              <w:t>0</w:t>
            </w:r>
          </w:p>
        </w:tc>
      </w:tr>
      <w:tr w:rsidR="006E00C8" w:rsidRPr="000F6D80" w14:paraId="0760745F" w14:textId="77777777" w:rsidTr="00376422">
        <w:tc>
          <w:tcPr>
            <w:tcW w:w="3348" w:type="dxa"/>
            <w:shd w:val="clear" w:color="auto" w:fill="auto"/>
          </w:tcPr>
          <w:p w14:paraId="2D4D826E" w14:textId="77777777" w:rsidR="006E00C8" w:rsidRPr="00246DEA" w:rsidRDefault="006E00C8" w:rsidP="007A396C">
            <w:pPr>
              <w:pStyle w:val="Table0"/>
              <w:rPr>
                <w:b w:val="0"/>
              </w:rPr>
            </w:pPr>
            <w:r w:rsidRPr="00246DEA">
              <w:rPr>
                <w:b w:val="0"/>
              </w:rPr>
              <w:tab/>
              <w:t>Partial response</w:t>
            </w:r>
          </w:p>
        </w:tc>
        <w:tc>
          <w:tcPr>
            <w:tcW w:w="1300" w:type="dxa"/>
            <w:shd w:val="clear" w:color="auto" w:fill="auto"/>
          </w:tcPr>
          <w:p w14:paraId="1191810B" w14:textId="6CEAB5B5" w:rsidR="006E00C8" w:rsidRPr="00246DEA" w:rsidRDefault="006E00C8" w:rsidP="007A396C">
            <w:pPr>
              <w:pStyle w:val="Table0"/>
              <w:rPr>
                <w:b w:val="0"/>
              </w:rPr>
            </w:pPr>
            <w:r w:rsidRPr="00246DEA">
              <w:rPr>
                <w:b w:val="0"/>
              </w:rPr>
              <w:t xml:space="preserve">34 </w:t>
            </w:r>
            <w:r w:rsidRPr="00246DEA">
              <w:rPr>
                <w:b w:val="0"/>
              </w:rPr>
              <w:tab/>
              <w:t>(51.5)</w:t>
            </w:r>
          </w:p>
        </w:tc>
        <w:tc>
          <w:tcPr>
            <w:tcW w:w="1301" w:type="dxa"/>
            <w:shd w:val="clear" w:color="auto" w:fill="auto"/>
          </w:tcPr>
          <w:p w14:paraId="161036A0" w14:textId="77777777" w:rsidR="006E00C8" w:rsidRPr="00246DEA" w:rsidRDefault="006E00C8" w:rsidP="007A396C">
            <w:pPr>
              <w:pStyle w:val="Table0"/>
              <w:rPr>
                <w:b w:val="0"/>
              </w:rPr>
            </w:pPr>
            <w:r w:rsidRPr="00246DEA">
              <w:rPr>
                <w:b w:val="0"/>
              </w:rPr>
              <w:t xml:space="preserve">1 </w:t>
            </w:r>
            <w:r w:rsidRPr="00246DEA">
              <w:rPr>
                <w:b w:val="0"/>
              </w:rPr>
              <w:tab/>
              <w:t>(7.7)</w:t>
            </w:r>
          </w:p>
        </w:tc>
        <w:tc>
          <w:tcPr>
            <w:tcW w:w="1301" w:type="dxa"/>
            <w:shd w:val="clear" w:color="auto" w:fill="auto"/>
          </w:tcPr>
          <w:p w14:paraId="070C5160" w14:textId="77777777" w:rsidR="006E00C8" w:rsidRPr="00246DEA" w:rsidRDefault="006E00C8" w:rsidP="007A396C">
            <w:pPr>
              <w:pStyle w:val="Table0"/>
              <w:rPr>
                <w:b w:val="0"/>
              </w:rPr>
            </w:pPr>
            <w:r w:rsidRPr="00246DEA">
              <w:rPr>
                <w:b w:val="0"/>
              </w:rPr>
              <w:t xml:space="preserve">41 </w:t>
            </w:r>
            <w:r w:rsidRPr="00246DEA">
              <w:rPr>
                <w:b w:val="0"/>
              </w:rPr>
              <w:tab/>
              <w:t>(62.1)</w:t>
            </w:r>
          </w:p>
        </w:tc>
        <w:tc>
          <w:tcPr>
            <w:tcW w:w="1301" w:type="dxa"/>
            <w:shd w:val="clear" w:color="auto" w:fill="auto"/>
          </w:tcPr>
          <w:p w14:paraId="7E9A7AA8" w14:textId="77777777" w:rsidR="006E00C8" w:rsidRPr="00246DEA" w:rsidRDefault="006E00C8" w:rsidP="007A396C">
            <w:pPr>
              <w:pStyle w:val="Table0"/>
              <w:rPr>
                <w:b w:val="0"/>
              </w:rPr>
            </w:pPr>
            <w:r w:rsidRPr="00246DEA">
              <w:rPr>
                <w:b w:val="0"/>
              </w:rPr>
              <w:t xml:space="preserve">3 </w:t>
            </w:r>
            <w:r w:rsidRPr="00246DEA">
              <w:rPr>
                <w:b w:val="0"/>
              </w:rPr>
              <w:tab/>
              <w:t>(23.1)</w:t>
            </w:r>
          </w:p>
        </w:tc>
      </w:tr>
      <w:tr w:rsidR="006E00C8" w:rsidRPr="000F6D80" w14:paraId="027DD702" w14:textId="77777777" w:rsidTr="00376422">
        <w:tc>
          <w:tcPr>
            <w:tcW w:w="3348" w:type="dxa"/>
            <w:shd w:val="clear" w:color="auto" w:fill="auto"/>
          </w:tcPr>
          <w:p w14:paraId="1A5D2539" w14:textId="77777777" w:rsidR="006E00C8" w:rsidRPr="00246DEA" w:rsidRDefault="006E00C8" w:rsidP="007A396C">
            <w:pPr>
              <w:pStyle w:val="Table0"/>
              <w:rPr>
                <w:b w:val="0"/>
              </w:rPr>
            </w:pPr>
            <w:r w:rsidRPr="00246DEA">
              <w:rPr>
                <w:b w:val="0"/>
              </w:rPr>
              <w:tab/>
              <w:t>Disease stabilization</w:t>
            </w:r>
          </w:p>
        </w:tc>
        <w:tc>
          <w:tcPr>
            <w:tcW w:w="1300" w:type="dxa"/>
            <w:shd w:val="clear" w:color="auto" w:fill="auto"/>
          </w:tcPr>
          <w:p w14:paraId="0269C4D7" w14:textId="42EC1853" w:rsidR="006E00C8" w:rsidRPr="00246DEA" w:rsidRDefault="006E00C8" w:rsidP="007A396C">
            <w:pPr>
              <w:pStyle w:val="Table0"/>
              <w:rPr>
                <w:b w:val="0"/>
              </w:rPr>
            </w:pPr>
            <w:r w:rsidRPr="00246DEA">
              <w:rPr>
                <w:b w:val="0"/>
              </w:rPr>
              <w:t xml:space="preserve">23 </w:t>
            </w:r>
            <w:r w:rsidRPr="00246DEA">
              <w:rPr>
                <w:b w:val="0"/>
              </w:rPr>
              <w:tab/>
              <w:t>(34.8)</w:t>
            </w:r>
          </w:p>
        </w:tc>
        <w:tc>
          <w:tcPr>
            <w:tcW w:w="1301" w:type="dxa"/>
            <w:shd w:val="clear" w:color="auto" w:fill="auto"/>
          </w:tcPr>
          <w:p w14:paraId="2EB12A5F" w14:textId="77777777" w:rsidR="006E00C8" w:rsidRPr="00246DEA" w:rsidRDefault="006E00C8" w:rsidP="007A396C">
            <w:pPr>
              <w:pStyle w:val="Table0"/>
              <w:rPr>
                <w:b w:val="0"/>
              </w:rPr>
            </w:pPr>
            <w:r w:rsidRPr="00246DEA">
              <w:rPr>
                <w:b w:val="0"/>
              </w:rPr>
              <w:t xml:space="preserve">11 </w:t>
            </w:r>
            <w:r w:rsidRPr="00246DEA">
              <w:rPr>
                <w:b w:val="0"/>
              </w:rPr>
              <w:tab/>
              <w:t>(84.6)</w:t>
            </w:r>
          </w:p>
        </w:tc>
        <w:tc>
          <w:tcPr>
            <w:tcW w:w="1301" w:type="dxa"/>
            <w:shd w:val="clear" w:color="auto" w:fill="auto"/>
          </w:tcPr>
          <w:p w14:paraId="5DB3562E" w14:textId="77777777" w:rsidR="006E00C8" w:rsidRPr="00246DEA" w:rsidRDefault="006E00C8" w:rsidP="007A396C">
            <w:pPr>
              <w:pStyle w:val="Table0"/>
              <w:rPr>
                <w:b w:val="0"/>
              </w:rPr>
            </w:pPr>
            <w:r w:rsidRPr="00246DEA">
              <w:rPr>
                <w:b w:val="0"/>
              </w:rPr>
              <w:t xml:space="preserve">14 </w:t>
            </w:r>
            <w:r w:rsidRPr="00246DEA">
              <w:rPr>
                <w:b w:val="0"/>
              </w:rPr>
              <w:tab/>
              <w:t>(21.2)</w:t>
            </w:r>
          </w:p>
        </w:tc>
        <w:tc>
          <w:tcPr>
            <w:tcW w:w="1301" w:type="dxa"/>
            <w:shd w:val="clear" w:color="auto" w:fill="auto"/>
          </w:tcPr>
          <w:p w14:paraId="43FE011F" w14:textId="77777777" w:rsidR="006E00C8" w:rsidRPr="00246DEA" w:rsidRDefault="006E00C8" w:rsidP="007A396C">
            <w:pPr>
              <w:pStyle w:val="Table0"/>
              <w:rPr>
                <w:b w:val="0"/>
              </w:rPr>
            </w:pPr>
            <w:r w:rsidRPr="00246DEA">
              <w:rPr>
                <w:b w:val="0"/>
              </w:rPr>
              <w:t xml:space="preserve">8 </w:t>
            </w:r>
            <w:r w:rsidRPr="00246DEA">
              <w:rPr>
                <w:b w:val="0"/>
              </w:rPr>
              <w:tab/>
              <w:t>(61.5)</w:t>
            </w:r>
          </w:p>
        </w:tc>
      </w:tr>
      <w:tr w:rsidR="006E00C8" w:rsidRPr="000F6D80" w14:paraId="0175CA89" w14:textId="77777777" w:rsidTr="00376422">
        <w:tc>
          <w:tcPr>
            <w:tcW w:w="3348" w:type="dxa"/>
            <w:shd w:val="clear" w:color="auto" w:fill="auto"/>
          </w:tcPr>
          <w:p w14:paraId="30AE2BEA" w14:textId="77777777" w:rsidR="006E00C8" w:rsidRPr="00246DEA" w:rsidRDefault="006E00C8" w:rsidP="007A396C">
            <w:pPr>
              <w:pStyle w:val="Table0"/>
              <w:rPr>
                <w:b w:val="0"/>
              </w:rPr>
            </w:pPr>
            <w:r w:rsidRPr="00246DEA">
              <w:rPr>
                <w:b w:val="0"/>
              </w:rPr>
              <w:tab/>
              <w:t>Disease progression</w:t>
            </w:r>
          </w:p>
        </w:tc>
        <w:tc>
          <w:tcPr>
            <w:tcW w:w="1300" w:type="dxa"/>
            <w:shd w:val="clear" w:color="auto" w:fill="auto"/>
          </w:tcPr>
          <w:p w14:paraId="24D76EBA" w14:textId="77777777" w:rsidR="006E00C8" w:rsidRPr="00246DEA" w:rsidRDefault="006E00C8" w:rsidP="007A396C">
            <w:pPr>
              <w:pStyle w:val="Table0"/>
              <w:rPr>
                <w:b w:val="0"/>
              </w:rPr>
            </w:pPr>
            <w:r w:rsidRPr="00246DEA">
              <w:rPr>
                <w:b w:val="0"/>
              </w:rPr>
              <w:t xml:space="preserve">1 </w:t>
            </w:r>
            <w:r w:rsidRPr="00246DEA">
              <w:rPr>
                <w:b w:val="0"/>
              </w:rPr>
              <w:tab/>
              <w:t>(1.5)</w:t>
            </w:r>
          </w:p>
        </w:tc>
        <w:tc>
          <w:tcPr>
            <w:tcW w:w="1301" w:type="dxa"/>
            <w:shd w:val="clear" w:color="auto" w:fill="auto"/>
          </w:tcPr>
          <w:p w14:paraId="77BFA152" w14:textId="77777777" w:rsidR="006E00C8" w:rsidRPr="00246DEA" w:rsidRDefault="006E00C8" w:rsidP="007A396C">
            <w:pPr>
              <w:pStyle w:val="Table0"/>
              <w:rPr>
                <w:b w:val="0"/>
              </w:rPr>
            </w:pPr>
            <w:r w:rsidRPr="00246DEA">
              <w:rPr>
                <w:b w:val="0"/>
              </w:rPr>
              <w:t>0</w:t>
            </w:r>
          </w:p>
        </w:tc>
        <w:tc>
          <w:tcPr>
            <w:tcW w:w="1301" w:type="dxa"/>
            <w:shd w:val="clear" w:color="auto" w:fill="auto"/>
          </w:tcPr>
          <w:p w14:paraId="0D9CB922" w14:textId="77777777" w:rsidR="006E00C8" w:rsidRPr="00246DEA" w:rsidRDefault="006E00C8" w:rsidP="007A396C">
            <w:pPr>
              <w:pStyle w:val="Table0"/>
              <w:rPr>
                <w:b w:val="0"/>
              </w:rPr>
            </w:pPr>
            <w:r w:rsidRPr="00246DEA">
              <w:rPr>
                <w:b w:val="0"/>
              </w:rPr>
              <w:t xml:space="preserve">1 </w:t>
            </w:r>
            <w:r w:rsidRPr="00246DEA">
              <w:rPr>
                <w:b w:val="0"/>
              </w:rPr>
              <w:tab/>
              <w:t>(1.5)</w:t>
            </w:r>
          </w:p>
        </w:tc>
        <w:tc>
          <w:tcPr>
            <w:tcW w:w="1301" w:type="dxa"/>
            <w:shd w:val="clear" w:color="auto" w:fill="auto"/>
          </w:tcPr>
          <w:p w14:paraId="507707DF" w14:textId="77777777" w:rsidR="006E00C8" w:rsidRPr="00246DEA" w:rsidRDefault="006E00C8" w:rsidP="007A396C">
            <w:pPr>
              <w:pStyle w:val="Table0"/>
              <w:rPr>
                <w:b w:val="0"/>
              </w:rPr>
            </w:pPr>
            <w:r w:rsidRPr="00246DEA">
              <w:rPr>
                <w:b w:val="0"/>
              </w:rPr>
              <w:t xml:space="preserve">2 </w:t>
            </w:r>
            <w:r w:rsidRPr="00246DEA">
              <w:rPr>
                <w:b w:val="0"/>
              </w:rPr>
              <w:tab/>
              <w:t>(15.4)</w:t>
            </w:r>
          </w:p>
        </w:tc>
      </w:tr>
      <w:tr w:rsidR="006E00C8" w:rsidRPr="000F6D80" w14:paraId="0C1B75A4" w14:textId="77777777" w:rsidTr="00376422">
        <w:tc>
          <w:tcPr>
            <w:tcW w:w="3348" w:type="dxa"/>
            <w:shd w:val="clear" w:color="auto" w:fill="auto"/>
          </w:tcPr>
          <w:p w14:paraId="1EE7990D" w14:textId="77777777" w:rsidR="006E00C8" w:rsidRPr="00246DEA" w:rsidRDefault="006E00C8" w:rsidP="007A396C">
            <w:pPr>
              <w:pStyle w:val="Table0"/>
              <w:rPr>
                <w:b w:val="0"/>
              </w:rPr>
            </w:pPr>
            <w:r w:rsidRPr="00246DEA">
              <w:rPr>
                <w:b w:val="0"/>
              </w:rPr>
              <w:tab/>
              <w:t>Unknown</w:t>
            </w:r>
          </w:p>
        </w:tc>
        <w:tc>
          <w:tcPr>
            <w:tcW w:w="1300" w:type="dxa"/>
            <w:shd w:val="clear" w:color="auto" w:fill="auto"/>
          </w:tcPr>
          <w:p w14:paraId="35E752CE" w14:textId="77777777" w:rsidR="006E00C8" w:rsidRPr="00246DEA" w:rsidRDefault="006E00C8" w:rsidP="007A396C">
            <w:pPr>
              <w:pStyle w:val="Table0"/>
              <w:rPr>
                <w:b w:val="0"/>
              </w:rPr>
            </w:pPr>
            <w:r w:rsidRPr="00246DEA">
              <w:rPr>
                <w:b w:val="0"/>
              </w:rPr>
              <w:t xml:space="preserve">5 </w:t>
            </w:r>
            <w:r w:rsidRPr="00246DEA">
              <w:rPr>
                <w:b w:val="0"/>
              </w:rPr>
              <w:tab/>
              <w:t>(7.6)</w:t>
            </w:r>
          </w:p>
        </w:tc>
        <w:tc>
          <w:tcPr>
            <w:tcW w:w="1301" w:type="dxa"/>
            <w:shd w:val="clear" w:color="auto" w:fill="auto"/>
          </w:tcPr>
          <w:p w14:paraId="066067F8" w14:textId="77777777" w:rsidR="006E00C8" w:rsidRPr="00246DEA" w:rsidRDefault="006E00C8" w:rsidP="007A396C">
            <w:pPr>
              <w:pStyle w:val="Table0"/>
              <w:rPr>
                <w:b w:val="0"/>
              </w:rPr>
            </w:pPr>
            <w:r w:rsidRPr="00246DEA">
              <w:rPr>
                <w:b w:val="0"/>
              </w:rPr>
              <w:t>1</w:t>
            </w:r>
            <w:r w:rsidRPr="00246DEA">
              <w:rPr>
                <w:b w:val="0"/>
              </w:rPr>
              <w:tab/>
              <w:t>(7.7)</w:t>
            </w:r>
          </w:p>
        </w:tc>
        <w:tc>
          <w:tcPr>
            <w:tcW w:w="1301" w:type="dxa"/>
            <w:shd w:val="clear" w:color="auto" w:fill="auto"/>
          </w:tcPr>
          <w:p w14:paraId="3B8136AA" w14:textId="77777777" w:rsidR="006E00C8" w:rsidRPr="00246DEA" w:rsidRDefault="006E00C8" w:rsidP="007A396C">
            <w:pPr>
              <w:pStyle w:val="Table0"/>
              <w:rPr>
                <w:b w:val="0"/>
              </w:rPr>
            </w:pPr>
            <w:r w:rsidRPr="00246DEA">
              <w:rPr>
                <w:b w:val="0"/>
              </w:rPr>
              <w:t xml:space="preserve">4 </w:t>
            </w:r>
            <w:r w:rsidRPr="00246DEA">
              <w:rPr>
                <w:b w:val="0"/>
              </w:rPr>
              <w:tab/>
              <w:t>(6.1)</w:t>
            </w:r>
          </w:p>
        </w:tc>
        <w:tc>
          <w:tcPr>
            <w:tcW w:w="1301" w:type="dxa"/>
            <w:shd w:val="clear" w:color="auto" w:fill="auto"/>
          </w:tcPr>
          <w:p w14:paraId="671AD99E" w14:textId="77777777" w:rsidR="006E00C8" w:rsidRPr="00246DEA" w:rsidRDefault="006E00C8" w:rsidP="007A396C">
            <w:pPr>
              <w:pStyle w:val="Table0"/>
              <w:rPr>
                <w:b w:val="0"/>
              </w:rPr>
            </w:pPr>
            <w:r w:rsidRPr="00246DEA">
              <w:rPr>
                <w:b w:val="0"/>
              </w:rPr>
              <w:t>0</w:t>
            </w:r>
          </w:p>
        </w:tc>
      </w:tr>
      <w:tr w:rsidR="006E00C8" w:rsidRPr="000F6D80" w14:paraId="199C0E91" w14:textId="77777777" w:rsidTr="00376422">
        <w:tc>
          <w:tcPr>
            <w:tcW w:w="3348" w:type="dxa"/>
            <w:tcBorders>
              <w:top w:val="single" w:sz="4" w:space="0" w:color="auto"/>
              <w:bottom w:val="nil"/>
            </w:tcBorders>
            <w:shd w:val="clear" w:color="auto" w:fill="auto"/>
          </w:tcPr>
          <w:p w14:paraId="147CD5FE" w14:textId="77777777" w:rsidR="006E00C8" w:rsidRPr="000F6D80" w:rsidRDefault="006E00C8" w:rsidP="007A396C">
            <w:pPr>
              <w:pStyle w:val="Table0"/>
            </w:pPr>
            <w:r w:rsidRPr="000F6D80">
              <w:t>Time to tumor response (months)</w:t>
            </w:r>
          </w:p>
        </w:tc>
        <w:tc>
          <w:tcPr>
            <w:tcW w:w="1300" w:type="dxa"/>
            <w:tcBorders>
              <w:top w:val="single" w:sz="4" w:space="0" w:color="auto"/>
              <w:bottom w:val="nil"/>
            </w:tcBorders>
            <w:shd w:val="clear" w:color="auto" w:fill="auto"/>
          </w:tcPr>
          <w:p w14:paraId="142A3AB5" w14:textId="77777777" w:rsidR="006E00C8" w:rsidRPr="000F6D80" w:rsidRDefault="006E00C8" w:rsidP="007A396C">
            <w:pPr>
              <w:pStyle w:val="Table0"/>
            </w:pPr>
          </w:p>
        </w:tc>
        <w:tc>
          <w:tcPr>
            <w:tcW w:w="1301" w:type="dxa"/>
            <w:tcBorders>
              <w:top w:val="single" w:sz="4" w:space="0" w:color="auto"/>
              <w:bottom w:val="nil"/>
            </w:tcBorders>
            <w:shd w:val="clear" w:color="auto" w:fill="auto"/>
          </w:tcPr>
          <w:p w14:paraId="331AE588" w14:textId="77777777" w:rsidR="006E00C8" w:rsidRPr="000F6D80" w:rsidRDefault="006E00C8" w:rsidP="007A396C">
            <w:pPr>
              <w:pStyle w:val="Table0"/>
            </w:pPr>
          </w:p>
        </w:tc>
        <w:tc>
          <w:tcPr>
            <w:tcW w:w="1301" w:type="dxa"/>
            <w:tcBorders>
              <w:top w:val="single" w:sz="4" w:space="0" w:color="auto"/>
              <w:bottom w:val="nil"/>
            </w:tcBorders>
            <w:shd w:val="clear" w:color="auto" w:fill="auto"/>
          </w:tcPr>
          <w:p w14:paraId="29E45997" w14:textId="77777777" w:rsidR="006E00C8" w:rsidRPr="000F6D80" w:rsidRDefault="006E00C8" w:rsidP="007A396C">
            <w:pPr>
              <w:pStyle w:val="Table0"/>
            </w:pPr>
          </w:p>
        </w:tc>
        <w:tc>
          <w:tcPr>
            <w:tcW w:w="1301" w:type="dxa"/>
            <w:tcBorders>
              <w:top w:val="single" w:sz="4" w:space="0" w:color="auto"/>
              <w:bottom w:val="nil"/>
            </w:tcBorders>
            <w:shd w:val="clear" w:color="auto" w:fill="auto"/>
          </w:tcPr>
          <w:p w14:paraId="384DBEC3" w14:textId="77777777" w:rsidR="006E00C8" w:rsidRPr="000F6D80" w:rsidRDefault="006E00C8" w:rsidP="007A396C">
            <w:pPr>
              <w:pStyle w:val="Table0"/>
            </w:pPr>
          </w:p>
        </w:tc>
      </w:tr>
      <w:tr w:rsidR="006E00C8" w:rsidRPr="00246DEA" w14:paraId="12937C64" w14:textId="77777777" w:rsidTr="00376422">
        <w:tc>
          <w:tcPr>
            <w:tcW w:w="3348" w:type="dxa"/>
            <w:tcBorders>
              <w:top w:val="nil"/>
              <w:bottom w:val="nil"/>
            </w:tcBorders>
            <w:shd w:val="clear" w:color="auto" w:fill="auto"/>
          </w:tcPr>
          <w:p w14:paraId="12E78E58" w14:textId="77777777" w:rsidR="006E00C8" w:rsidRPr="00246DEA" w:rsidRDefault="006E00C8" w:rsidP="007A396C">
            <w:pPr>
              <w:pStyle w:val="Table0"/>
              <w:rPr>
                <w:b w:val="0"/>
              </w:rPr>
            </w:pPr>
            <w:r w:rsidRPr="00246DEA">
              <w:rPr>
                <w:b w:val="0"/>
              </w:rPr>
              <w:t>Median</w:t>
            </w:r>
          </w:p>
        </w:tc>
        <w:tc>
          <w:tcPr>
            <w:tcW w:w="1300" w:type="dxa"/>
            <w:tcBorders>
              <w:top w:val="nil"/>
              <w:bottom w:val="nil"/>
            </w:tcBorders>
            <w:shd w:val="clear" w:color="auto" w:fill="auto"/>
          </w:tcPr>
          <w:p w14:paraId="584C8C40" w14:textId="77777777" w:rsidR="006E00C8" w:rsidRPr="00246DEA" w:rsidRDefault="006E00C8" w:rsidP="007A396C">
            <w:pPr>
              <w:pStyle w:val="Table0"/>
              <w:rPr>
                <w:b w:val="0"/>
              </w:rPr>
            </w:pPr>
            <w:r w:rsidRPr="00246DEA">
              <w:rPr>
                <w:b w:val="0"/>
              </w:rPr>
              <w:t>4.0</w:t>
            </w:r>
          </w:p>
        </w:tc>
        <w:tc>
          <w:tcPr>
            <w:tcW w:w="1301" w:type="dxa"/>
            <w:tcBorders>
              <w:top w:val="nil"/>
              <w:bottom w:val="nil"/>
            </w:tcBorders>
            <w:shd w:val="clear" w:color="auto" w:fill="auto"/>
          </w:tcPr>
          <w:p w14:paraId="0BAD5BA1" w14:textId="77777777" w:rsidR="006E00C8" w:rsidRPr="00246DEA" w:rsidRDefault="006E00C8" w:rsidP="007A396C">
            <w:pPr>
              <w:pStyle w:val="Table0"/>
              <w:rPr>
                <w:b w:val="0"/>
              </w:rPr>
            </w:pPr>
            <w:r w:rsidRPr="00246DEA">
              <w:rPr>
                <w:b w:val="0"/>
              </w:rPr>
              <w:t>1.8</w:t>
            </w:r>
          </w:p>
        </w:tc>
        <w:tc>
          <w:tcPr>
            <w:tcW w:w="1301" w:type="dxa"/>
            <w:tcBorders>
              <w:top w:val="nil"/>
              <w:bottom w:val="nil"/>
            </w:tcBorders>
            <w:shd w:val="clear" w:color="auto" w:fill="auto"/>
          </w:tcPr>
          <w:p w14:paraId="14A0E3F1" w14:textId="77777777" w:rsidR="006E00C8" w:rsidRPr="00246DEA" w:rsidRDefault="006E00C8" w:rsidP="007A396C">
            <w:pPr>
              <w:pStyle w:val="Table0"/>
              <w:rPr>
                <w:b w:val="0"/>
              </w:rPr>
            </w:pPr>
            <w:r w:rsidRPr="00246DEA">
              <w:rPr>
                <w:b w:val="0"/>
              </w:rPr>
              <w:t>2.5</w:t>
            </w:r>
          </w:p>
        </w:tc>
        <w:tc>
          <w:tcPr>
            <w:tcW w:w="1301" w:type="dxa"/>
            <w:tcBorders>
              <w:top w:val="nil"/>
              <w:bottom w:val="nil"/>
            </w:tcBorders>
            <w:shd w:val="clear" w:color="auto" w:fill="auto"/>
          </w:tcPr>
          <w:p w14:paraId="7B554DB8" w14:textId="77777777" w:rsidR="006E00C8" w:rsidRPr="00246DEA" w:rsidRDefault="006E00C8" w:rsidP="007A396C">
            <w:pPr>
              <w:pStyle w:val="Table0"/>
              <w:rPr>
                <w:b w:val="0"/>
              </w:rPr>
            </w:pPr>
            <w:r w:rsidRPr="00246DEA">
              <w:rPr>
                <w:b w:val="0"/>
              </w:rPr>
              <w:t>1.0</w:t>
            </w:r>
          </w:p>
        </w:tc>
      </w:tr>
      <w:tr w:rsidR="006E00C8" w:rsidRPr="000F6D80" w14:paraId="34509523" w14:textId="77777777" w:rsidTr="00376422">
        <w:tc>
          <w:tcPr>
            <w:tcW w:w="3348" w:type="dxa"/>
            <w:tcBorders>
              <w:top w:val="nil"/>
              <w:bottom w:val="single" w:sz="4" w:space="0" w:color="auto"/>
            </w:tcBorders>
            <w:shd w:val="clear" w:color="auto" w:fill="auto"/>
          </w:tcPr>
          <w:p w14:paraId="3F17B510" w14:textId="77777777" w:rsidR="006E00C8" w:rsidRPr="00246DEA" w:rsidRDefault="006E00C8" w:rsidP="00BC47FF">
            <w:pPr>
              <w:pStyle w:val="Table0"/>
              <w:rPr>
                <w:b w:val="0"/>
              </w:rPr>
            </w:pPr>
            <w:r w:rsidRPr="00246DEA">
              <w:rPr>
                <w:b w:val="0"/>
              </w:rPr>
              <w:tab/>
              <w:t>95% CI</w:t>
            </w:r>
          </w:p>
        </w:tc>
        <w:tc>
          <w:tcPr>
            <w:tcW w:w="1300" w:type="dxa"/>
            <w:tcBorders>
              <w:top w:val="nil"/>
              <w:bottom w:val="single" w:sz="4" w:space="0" w:color="auto"/>
            </w:tcBorders>
            <w:shd w:val="clear" w:color="auto" w:fill="auto"/>
          </w:tcPr>
          <w:p w14:paraId="0B89EB27" w14:textId="77777777" w:rsidR="006E00C8" w:rsidRPr="00246DEA" w:rsidRDefault="006E00C8" w:rsidP="00BC47FF">
            <w:pPr>
              <w:pStyle w:val="Table0"/>
              <w:rPr>
                <w:b w:val="0"/>
              </w:rPr>
            </w:pPr>
            <w:r w:rsidRPr="00246DEA">
              <w:rPr>
                <w:b w:val="0"/>
              </w:rPr>
              <w:t>(3.8, 5.6)</w:t>
            </w:r>
          </w:p>
        </w:tc>
        <w:tc>
          <w:tcPr>
            <w:tcW w:w="1301" w:type="dxa"/>
            <w:tcBorders>
              <w:top w:val="nil"/>
              <w:bottom w:val="single" w:sz="4" w:space="0" w:color="auto"/>
            </w:tcBorders>
            <w:shd w:val="clear" w:color="auto" w:fill="auto"/>
          </w:tcPr>
          <w:p w14:paraId="450EDD75" w14:textId="77777777" w:rsidR="006E00C8" w:rsidRPr="00246DEA" w:rsidRDefault="006E00C8" w:rsidP="00BC47FF">
            <w:pPr>
              <w:pStyle w:val="Table0"/>
              <w:rPr>
                <w:b w:val="0"/>
              </w:rPr>
            </w:pPr>
            <w:r w:rsidRPr="00246DEA">
              <w:rPr>
                <w:b w:val="0"/>
              </w:rPr>
              <w:t>NE</w:t>
            </w:r>
          </w:p>
        </w:tc>
        <w:tc>
          <w:tcPr>
            <w:tcW w:w="1301" w:type="dxa"/>
            <w:tcBorders>
              <w:top w:val="nil"/>
              <w:bottom w:val="single" w:sz="4" w:space="0" w:color="auto"/>
            </w:tcBorders>
            <w:shd w:val="clear" w:color="auto" w:fill="auto"/>
          </w:tcPr>
          <w:p w14:paraId="6652A45F" w14:textId="77777777" w:rsidR="006E00C8" w:rsidRPr="00246DEA" w:rsidRDefault="006E00C8" w:rsidP="00BC47FF">
            <w:pPr>
              <w:pStyle w:val="Table0"/>
              <w:rPr>
                <w:b w:val="0"/>
              </w:rPr>
            </w:pPr>
            <w:r w:rsidRPr="00246DEA">
              <w:rPr>
                <w:b w:val="0"/>
              </w:rPr>
              <w:t>(1.9, 3.7)</w:t>
            </w:r>
          </w:p>
        </w:tc>
        <w:tc>
          <w:tcPr>
            <w:tcW w:w="1301" w:type="dxa"/>
            <w:tcBorders>
              <w:top w:val="nil"/>
              <w:bottom w:val="single" w:sz="4" w:space="0" w:color="auto"/>
            </w:tcBorders>
            <w:shd w:val="clear" w:color="auto" w:fill="auto"/>
          </w:tcPr>
          <w:p w14:paraId="0B78CCAC" w14:textId="77777777" w:rsidR="006E00C8" w:rsidRPr="00246DEA" w:rsidRDefault="006E00C8" w:rsidP="007624D5">
            <w:pPr>
              <w:pStyle w:val="Table0"/>
              <w:rPr>
                <w:b w:val="0"/>
              </w:rPr>
            </w:pPr>
            <w:r w:rsidRPr="00246DEA">
              <w:rPr>
                <w:b w:val="0"/>
              </w:rPr>
              <w:t>(0.9, 3.7)</w:t>
            </w:r>
          </w:p>
        </w:tc>
      </w:tr>
      <w:tr w:rsidR="006E00C8" w:rsidRPr="000F6D80" w14:paraId="68734B91" w14:textId="77777777" w:rsidTr="00376422">
        <w:tc>
          <w:tcPr>
            <w:tcW w:w="3348" w:type="dxa"/>
            <w:tcBorders>
              <w:top w:val="single" w:sz="4" w:space="0" w:color="auto"/>
            </w:tcBorders>
            <w:shd w:val="clear" w:color="auto" w:fill="auto"/>
          </w:tcPr>
          <w:p w14:paraId="12763177" w14:textId="77777777" w:rsidR="006E00C8" w:rsidRPr="000F6D80" w:rsidRDefault="006E00C8" w:rsidP="00BC47FF">
            <w:pPr>
              <w:pStyle w:val="Table0"/>
            </w:pPr>
            <w:r w:rsidRPr="000F6D80">
              <w:t>Duration of response</w:t>
            </w:r>
          </w:p>
        </w:tc>
        <w:tc>
          <w:tcPr>
            <w:tcW w:w="1300" w:type="dxa"/>
            <w:tcBorders>
              <w:top w:val="single" w:sz="4" w:space="0" w:color="auto"/>
            </w:tcBorders>
            <w:shd w:val="clear" w:color="auto" w:fill="auto"/>
          </w:tcPr>
          <w:p w14:paraId="5B545C39" w14:textId="77777777" w:rsidR="006E00C8" w:rsidRPr="000F6D80" w:rsidRDefault="006E00C8" w:rsidP="00BC47FF">
            <w:pPr>
              <w:pStyle w:val="Table0"/>
            </w:pPr>
          </w:p>
        </w:tc>
        <w:tc>
          <w:tcPr>
            <w:tcW w:w="1301" w:type="dxa"/>
            <w:tcBorders>
              <w:top w:val="single" w:sz="4" w:space="0" w:color="auto"/>
            </w:tcBorders>
            <w:shd w:val="clear" w:color="auto" w:fill="auto"/>
          </w:tcPr>
          <w:p w14:paraId="4E62E72D" w14:textId="77777777" w:rsidR="006E00C8" w:rsidRPr="000F6D80" w:rsidRDefault="006E00C8" w:rsidP="00BC47FF">
            <w:pPr>
              <w:pStyle w:val="Table0"/>
            </w:pPr>
          </w:p>
        </w:tc>
        <w:tc>
          <w:tcPr>
            <w:tcW w:w="1301" w:type="dxa"/>
            <w:tcBorders>
              <w:top w:val="single" w:sz="4" w:space="0" w:color="auto"/>
            </w:tcBorders>
            <w:shd w:val="clear" w:color="auto" w:fill="auto"/>
          </w:tcPr>
          <w:p w14:paraId="434B757A" w14:textId="77777777" w:rsidR="006E00C8" w:rsidRPr="000F6D80" w:rsidRDefault="006E00C8" w:rsidP="00BC47FF">
            <w:pPr>
              <w:pStyle w:val="Table0"/>
            </w:pPr>
          </w:p>
        </w:tc>
        <w:tc>
          <w:tcPr>
            <w:tcW w:w="1301" w:type="dxa"/>
            <w:tcBorders>
              <w:top w:val="single" w:sz="4" w:space="0" w:color="auto"/>
            </w:tcBorders>
            <w:shd w:val="clear" w:color="auto" w:fill="auto"/>
          </w:tcPr>
          <w:p w14:paraId="40E691C7" w14:textId="77777777" w:rsidR="006E00C8" w:rsidRPr="000F6D80" w:rsidRDefault="006E00C8" w:rsidP="007624D5">
            <w:pPr>
              <w:pStyle w:val="Table0"/>
            </w:pPr>
          </w:p>
        </w:tc>
      </w:tr>
      <w:tr w:rsidR="006E00C8" w:rsidRPr="000F6D80" w14:paraId="7880809B" w14:textId="77777777" w:rsidTr="00376422">
        <w:tc>
          <w:tcPr>
            <w:tcW w:w="3348" w:type="dxa"/>
            <w:shd w:val="clear" w:color="auto" w:fill="auto"/>
          </w:tcPr>
          <w:p w14:paraId="2A26F66F" w14:textId="77777777" w:rsidR="006E00C8" w:rsidRPr="00246DEA" w:rsidRDefault="006E00C8" w:rsidP="00BC47FF">
            <w:pPr>
              <w:pStyle w:val="Table0"/>
              <w:rPr>
                <w:b w:val="0"/>
              </w:rPr>
            </w:pPr>
            <w:r w:rsidRPr="00246DEA">
              <w:rPr>
                <w:b w:val="0"/>
              </w:rPr>
              <w:t>No. of events*</w:t>
            </w:r>
          </w:p>
        </w:tc>
        <w:tc>
          <w:tcPr>
            <w:tcW w:w="1300" w:type="dxa"/>
            <w:shd w:val="clear" w:color="auto" w:fill="auto"/>
          </w:tcPr>
          <w:p w14:paraId="33C8C45C" w14:textId="766E0177" w:rsidR="006E00C8" w:rsidRPr="00246DEA" w:rsidRDefault="006E00C8" w:rsidP="007A396C">
            <w:pPr>
              <w:pStyle w:val="Table0"/>
              <w:rPr>
                <w:b w:val="0"/>
              </w:rPr>
            </w:pPr>
            <w:r w:rsidRPr="00246DEA">
              <w:rPr>
                <w:b w:val="0"/>
              </w:rPr>
              <w:t>10</w:t>
            </w:r>
          </w:p>
        </w:tc>
        <w:tc>
          <w:tcPr>
            <w:tcW w:w="1301" w:type="dxa"/>
            <w:shd w:val="clear" w:color="auto" w:fill="auto"/>
          </w:tcPr>
          <w:p w14:paraId="3821D490" w14:textId="77777777" w:rsidR="006E00C8" w:rsidRPr="00246DEA" w:rsidRDefault="006E00C8" w:rsidP="007A396C">
            <w:pPr>
              <w:pStyle w:val="Table0"/>
              <w:rPr>
                <w:b w:val="0"/>
              </w:rPr>
            </w:pPr>
            <w:r w:rsidRPr="00246DEA">
              <w:rPr>
                <w:b w:val="0"/>
              </w:rPr>
              <w:t>0</w:t>
            </w:r>
          </w:p>
        </w:tc>
        <w:tc>
          <w:tcPr>
            <w:tcW w:w="1301" w:type="dxa"/>
            <w:shd w:val="clear" w:color="auto" w:fill="auto"/>
          </w:tcPr>
          <w:p w14:paraId="04E47BAC" w14:textId="753B36DA" w:rsidR="006E00C8" w:rsidRPr="00246DEA" w:rsidRDefault="006E00C8" w:rsidP="007A396C">
            <w:pPr>
              <w:pStyle w:val="Table0"/>
              <w:rPr>
                <w:b w:val="0"/>
              </w:rPr>
            </w:pPr>
            <w:r w:rsidRPr="00246DEA">
              <w:rPr>
                <w:b w:val="0"/>
              </w:rPr>
              <w:t>21</w:t>
            </w:r>
          </w:p>
        </w:tc>
        <w:tc>
          <w:tcPr>
            <w:tcW w:w="1301" w:type="dxa"/>
            <w:shd w:val="clear" w:color="auto" w:fill="auto"/>
          </w:tcPr>
          <w:p w14:paraId="4C69236A" w14:textId="77777777" w:rsidR="006E00C8" w:rsidRPr="00246DEA" w:rsidRDefault="006E00C8" w:rsidP="007A396C">
            <w:pPr>
              <w:pStyle w:val="Table0"/>
              <w:rPr>
                <w:b w:val="0"/>
              </w:rPr>
            </w:pPr>
            <w:r w:rsidRPr="00246DEA">
              <w:rPr>
                <w:b w:val="0"/>
              </w:rPr>
              <w:t>1</w:t>
            </w:r>
          </w:p>
        </w:tc>
      </w:tr>
      <w:tr w:rsidR="006E00C8" w:rsidRPr="000F6D80" w14:paraId="4A999ED9" w14:textId="77777777" w:rsidTr="00376422">
        <w:tc>
          <w:tcPr>
            <w:tcW w:w="3348" w:type="dxa"/>
            <w:shd w:val="clear" w:color="auto" w:fill="auto"/>
          </w:tcPr>
          <w:p w14:paraId="74D2B81C" w14:textId="77777777" w:rsidR="006E00C8" w:rsidRPr="00246DEA" w:rsidRDefault="006E00C8" w:rsidP="00BC47FF">
            <w:pPr>
              <w:pStyle w:val="Table0"/>
              <w:rPr>
                <w:b w:val="0"/>
              </w:rPr>
            </w:pPr>
            <w:r w:rsidRPr="00246DEA">
              <w:rPr>
                <w:b w:val="0"/>
              </w:rPr>
              <w:t>No. censored</w:t>
            </w:r>
          </w:p>
        </w:tc>
        <w:tc>
          <w:tcPr>
            <w:tcW w:w="1300" w:type="dxa"/>
            <w:shd w:val="clear" w:color="auto" w:fill="auto"/>
          </w:tcPr>
          <w:p w14:paraId="52EE0979" w14:textId="7BB4365D" w:rsidR="006E00C8" w:rsidRPr="00246DEA" w:rsidRDefault="006E00C8" w:rsidP="007A396C">
            <w:pPr>
              <w:pStyle w:val="Table0"/>
              <w:rPr>
                <w:b w:val="0"/>
              </w:rPr>
            </w:pPr>
            <w:r w:rsidRPr="00246DEA">
              <w:rPr>
                <w:b w:val="0"/>
              </w:rPr>
              <w:t>27</w:t>
            </w:r>
          </w:p>
        </w:tc>
        <w:tc>
          <w:tcPr>
            <w:tcW w:w="1301" w:type="dxa"/>
            <w:shd w:val="clear" w:color="auto" w:fill="auto"/>
          </w:tcPr>
          <w:p w14:paraId="10EE582D" w14:textId="77777777" w:rsidR="006E00C8" w:rsidRPr="00246DEA" w:rsidRDefault="006E00C8" w:rsidP="007A396C">
            <w:pPr>
              <w:pStyle w:val="Table0"/>
              <w:rPr>
                <w:b w:val="0"/>
              </w:rPr>
            </w:pPr>
            <w:r w:rsidRPr="00246DEA">
              <w:rPr>
                <w:b w:val="0"/>
              </w:rPr>
              <w:t>1</w:t>
            </w:r>
          </w:p>
        </w:tc>
        <w:tc>
          <w:tcPr>
            <w:tcW w:w="1301" w:type="dxa"/>
            <w:shd w:val="clear" w:color="auto" w:fill="auto"/>
          </w:tcPr>
          <w:p w14:paraId="22B97B6F" w14:textId="4B9680A6" w:rsidR="006E00C8" w:rsidRPr="00246DEA" w:rsidRDefault="006E00C8" w:rsidP="007A396C">
            <w:pPr>
              <w:pStyle w:val="Table0"/>
              <w:rPr>
                <w:b w:val="0"/>
              </w:rPr>
            </w:pPr>
            <w:r w:rsidRPr="00246DEA">
              <w:rPr>
                <w:b w:val="0"/>
              </w:rPr>
              <w:t>26</w:t>
            </w:r>
          </w:p>
        </w:tc>
        <w:tc>
          <w:tcPr>
            <w:tcW w:w="1301" w:type="dxa"/>
            <w:shd w:val="clear" w:color="auto" w:fill="auto"/>
          </w:tcPr>
          <w:p w14:paraId="40C116EF" w14:textId="77777777" w:rsidR="006E00C8" w:rsidRPr="00246DEA" w:rsidRDefault="006E00C8" w:rsidP="007A396C">
            <w:pPr>
              <w:pStyle w:val="Table0"/>
              <w:rPr>
                <w:b w:val="0"/>
              </w:rPr>
            </w:pPr>
            <w:r w:rsidRPr="00246DEA">
              <w:rPr>
                <w:b w:val="0"/>
              </w:rPr>
              <w:t>2</w:t>
            </w:r>
          </w:p>
        </w:tc>
      </w:tr>
      <w:tr w:rsidR="006E00C8" w:rsidRPr="000F6D80" w14:paraId="2903490C" w14:textId="77777777" w:rsidTr="00376422">
        <w:tc>
          <w:tcPr>
            <w:tcW w:w="3348" w:type="dxa"/>
            <w:tcBorders>
              <w:bottom w:val="nil"/>
            </w:tcBorders>
            <w:shd w:val="clear" w:color="auto" w:fill="auto"/>
          </w:tcPr>
          <w:p w14:paraId="026FC460" w14:textId="77777777" w:rsidR="006E00C8" w:rsidRPr="00246DEA" w:rsidRDefault="006E00C8" w:rsidP="00BC47FF">
            <w:pPr>
              <w:pStyle w:val="Table0"/>
              <w:rPr>
                <w:b w:val="0"/>
              </w:rPr>
            </w:pPr>
            <w:r w:rsidRPr="00246DEA">
              <w:rPr>
                <w:b w:val="0"/>
              </w:rPr>
              <w:t>Median (months)</w:t>
            </w:r>
          </w:p>
        </w:tc>
        <w:tc>
          <w:tcPr>
            <w:tcW w:w="1300" w:type="dxa"/>
            <w:tcBorders>
              <w:bottom w:val="nil"/>
            </w:tcBorders>
            <w:shd w:val="clear" w:color="auto" w:fill="auto"/>
          </w:tcPr>
          <w:p w14:paraId="14CD4CAD" w14:textId="77777777" w:rsidR="006E00C8" w:rsidRPr="00246DEA" w:rsidRDefault="006E00C8" w:rsidP="007A396C">
            <w:pPr>
              <w:pStyle w:val="Table0"/>
              <w:rPr>
                <w:b w:val="0"/>
                <w:vertAlign w:val="superscript"/>
              </w:rPr>
            </w:pPr>
            <w:r w:rsidRPr="00246DEA">
              <w:rPr>
                <w:b w:val="0"/>
              </w:rPr>
              <w:t>NE</w:t>
            </w:r>
          </w:p>
        </w:tc>
        <w:tc>
          <w:tcPr>
            <w:tcW w:w="1301" w:type="dxa"/>
            <w:tcBorders>
              <w:bottom w:val="nil"/>
            </w:tcBorders>
            <w:shd w:val="clear" w:color="auto" w:fill="auto"/>
          </w:tcPr>
          <w:p w14:paraId="23034C5D" w14:textId="77777777" w:rsidR="006E00C8" w:rsidRPr="00246DEA" w:rsidRDefault="006E00C8" w:rsidP="007A396C">
            <w:pPr>
              <w:pStyle w:val="Table0"/>
              <w:rPr>
                <w:b w:val="0"/>
                <w:vertAlign w:val="superscript"/>
              </w:rPr>
            </w:pPr>
            <w:r w:rsidRPr="00246DEA">
              <w:rPr>
                <w:b w:val="0"/>
              </w:rPr>
              <w:t>NE</w:t>
            </w:r>
          </w:p>
        </w:tc>
        <w:tc>
          <w:tcPr>
            <w:tcW w:w="1301" w:type="dxa"/>
            <w:tcBorders>
              <w:bottom w:val="nil"/>
            </w:tcBorders>
            <w:shd w:val="clear" w:color="auto" w:fill="auto"/>
          </w:tcPr>
          <w:p w14:paraId="50954927" w14:textId="67D24BAD" w:rsidR="006E00C8" w:rsidRPr="00246DEA" w:rsidRDefault="006E00C8" w:rsidP="007A396C">
            <w:pPr>
              <w:pStyle w:val="Table0"/>
              <w:rPr>
                <w:b w:val="0"/>
                <w:vertAlign w:val="superscript"/>
              </w:rPr>
            </w:pPr>
            <w:r w:rsidRPr="00246DEA">
              <w:rPr>
                <w:b w:val="0"/>
              </w:rPr>
              <w:t>14.3</w:t>
            </w:r>
          </w:p>
        </w:tc>
        <w:tc>
          <w:tcPr>
            <w:tcW w:w="1301" w:type="dxa"/>
            <w:tcBorders>
              <w:bottom w:val="nil"/>
            </w:tcBorders>
            <w:shd w:val="clear" w:color="auto" w:fill="auto"/>
          </w:tcPr>
          <w:p w14:paraId="0A242DF2" w14:textId="77777777" w:rsidR="006E00C8" w:rsidRPr="00246DEA" w:rsidRDefault="006E00C8" w:rsidP="007A396C">
            <w:pPr>
              <w:pStyle w:val="Table0"/>
              <w:rPr>
                <w:b w:val="0"/>
                <w:vertAlign w:val="superscript"/>
              </w:rPr>
            </w:pPr>
            <w:r w:rsidRPr="00246DEA">
              <w:rPr>
                <w:b w:val="0"/>
              </w:rPr>
              <w:t>17.7</w:t>
            </w:r>
          </w:p>
        </w:tc>
      </w:tr>
      <w:tr w:rsidR="006E00C8" w:rsidRPr="000F6D80" w14:paraId="37C5E314" w14:textId="77777777" w:rsidTr="00376422">
        <w:tc>
          <w:tcPr>
            <w:tcW w:w="3348" w:type="dxa"/>
            <w:tcBorders>
              <w:top w:val="nil"/>
              <w:bottom w:val="nil"/>
            </w:tcBorders>
            <w:shd w:val="clear" w:color="auto" w:fill="auto"/>
          </w:tcPr>
          <w:p w14:paraId="7E162AAC" w14:textId="77777777" w:rsidR="006E00C8" w:rsidRPr="00246DEA" w:rsidRDefault="006E00C8" w:rsidP="00BC47FF">
            <w:pPr>
              <w:pStyle w:val="Table0"/>
              <w:rPr>
                <w:b w:val="0"/>
              </w:rPr>
            </w:pPr>
            <w:r w:rsidRPr="00246DEA">
              <w:rPr>
                <w:b w:val="0"/>
              </w:rPr>
              <w:tab/>
              <w:t>95% CI</w:t>
            </w:r>
          </w:p>
        </w:tc>
        <w:tc>
          <w:tcPr>
            <w:tcW w:w="1300" w:type="dxa"/>
            <w:tcBorders>
              <w:top w:val="nil"/>
              <w:bottom w:val="nil"/>
            </w:tcBorders>
            <w:shd w:val="clear" w:color="auto" w:fill="auto"/>
          </w:tcPr>
          <w:p w14:paraId="336FF61B" w14:textId="77777777" w:rsidR="006E00C8" w:rsidRPr="00246DEA" w:rsidRDefault="006E00C8" w:rsidP="00BC47FF">
            <w:pPr>
              <w:pStyle w:val="Table0"/>
              <w:rPr>
                <w:b w:val="0"/>
              </w:rPr>
            </w:pPr>
            <w:r w:rsidRPr="00246DEA">
              <w:rPr>
                <w:b w:val="0"/>
              </w:rPr>
              <w:t>(NE)</w:t>
            </w:r>
          </w:p>
        </w:tc>
        <w:tc>
          <w:tcPr>
            <w:tcW w:w="1301" w:type="dxa"/>
            <w:tcBorders>
              <w:top w:val="nil"/>
              <w:bottom w:val="nil"/>
            </w:tcBorders>
            <w:shd w:val="clear" w:color="auto" w:fill="auto"/>
          </w:tcPr>
          <w:p w14:paraId="694139C1" w14:textId="77777777" w:rsidR="006E00C8" w:rsidRPr="00246DEA" w:rsidRDefault="006E00C8" w:rsidP="00BC47FF">
            <w:pPr>
              <w:pStyle w:val="Table0"/>
              <w:rPr>
                <w:b w:val="0"/>
              </w:rPr>
            </w:pPr>
            <w:r w:rsidRPr="00246DEA">
              <w:rPr>
                <w:b w:val="0"/>
              </w:rPr>
              <w:t>(NE)</w:t>
            </w:r>
          </w:p>
        </w:tc>
        <w:tc>
          <w:tcPr>
            <w:tcW w:w="1301" w:type="dxa"/>
            <w:tcBorders>
              <w:top w:val="nil"/>
              <w:bottom w:val="nil"/>
            </w:tcBorders>
            <w:shd w:val="clear" w:color="auto" w:fill="auto"/>
          </w:tcPr>
          <w:p w14:paraId="06519A0D" w14:textId="09AE10DB" w:rsidR="006E00C8" w:rsidRPr="00246DEA" w:rsidRDefault="006E00C8" w:rsidP="00BC47FF">
            <w:pPr>
              <w:pStyle w:val="Table0"/>
              <w:rPr>
                <w:b w:val="0"/>
              </w:rPr>
            </w:pPr>
            <w:r w:rsidRPr="00246DEA">
              <w:rPr>
                <w:b w:val="0"/>
              </w:rPr>
              <w:t>(12.0,20.2)</w:t>
            </w:r>
          </w:p>
        </w:tc>
        <w:tc>
          <w:tcPr>
            <w:tcW w:w="1301" w:type="dxa"/>
            <w:tcBorders>
              <w:top w:val="nil"/>
              <w:bottom w:val="nil"/>
            </w:tcBorders>
            <w:shd w:val="clear" w:color="auto" w:fill="auto"/>
          </w:tcPr>
          <w:p w14:paraId="038F9EA5" w14:textId="77777777" w:rsidR="006E00C8" w:rsidRPr="00246DEA" w:rsidRDefault="006E00C8" w:rsidP="007624D5">
            <w:pPr>
              <w:pStyle w:val="Table0"/>
              <w:rPr>
                <w:b w:val="0"/>
              </w:rPr>
            </w:pPr>
            <w:r w:rsidRPr="00246DEA">
              <w:rPr>
                <w:b w:val="0"/>
              </w:rPr>
              <w:t>(NE)</w:t>
            </w:r>
          </w:p>
        </w:tc>
      </w:tr>
      <w:tr w:rsidR="006E00C8" w:rsidRPr="000F6D80" w14:paraId="70737DF9" w14:textId="77777777" w:rsidTr="00376422">
        <w:tc>
          <w:tcPr>
            <w:tcW w:w="3348" w:type="dxa"/>
            <w:tcBorders>
              <w:top w:val="nil"/>
              <w:bottom w:val="nil"/>
            </w:tcBorders>
            <w:shd w:val="clear" w:color="auto" w:fill="auto"/>
          </w:tcPr>
          <w:p w14:paraId="3DA54684" w14:textId="77777777" w:rsidR="006E00C8" w:rsidRPr="00246DEA" w:rsidRDefault="006E00C8" w:rsidP="00BC47FF">
            <w:pPr>
              <w:pStyle w:val="Table0"/>
              <w:rPr>
                <w:b w:val="0"/>
              </w:rPr>
            </w:pPr>
            <w:r w:rsidRPr="00246DEA">
              <w:rPr>
                <w:b w:val="0"/>
              </w:rPr>
              <w:t>Event-free probability (%), (95% CI)</w:t>
            </w:r>
          </w:p>
        </w:tc>
        <w:tc>
          <w:tcPr>
            <w:tcW w:w="1300" w:type="dxa"/>
            <w:tcBorders>
              <w:top w:val="nil"/>
              <w:bottom w:val="nil"/>
            </w:tcBorders>
            <w:shd w:val="clear" w:color="auto" w:fill="auto"/>
          </w:tcPr>
          <w:p w14:paraId="088EFE0A" w14:textId="77777777" w:rsidR="006E00C8" w:rsidRPr="00246DEA" w:rsidRDefault="006E00C8" w:rsidP="00BC47FF">
            <w:pPr>
              <w:pStyle w:val="Table0"/>
              <w:rPr>
                <w:b w:val="0"/>
              </w:rPr>
            </w:pPr>
          </w:p>
        </w:tc>
        <w:tc>
          <w:tcPr>
            <w:tcW w:w="1301" w:type="dxa"/>
            <w:tcBorders>
              <w:top w:val="nil"/>
              <w:bottom w:val="nil"/>
            </w:tcBorders>
            <w:shd w:val="clear" w:color="auto" w:fill="auto"/>
          </w:tcPr>
          <w:p w14:paraId="70B46F11" w14:textId="77777777" w:rsidR="006E00C8" w:rsidRPr="00246DEA" w:rsidRDefault="006E00C8" w:rsidP="00BC47FF">
            <w:pPr>
              <w:pStyle w:val="Table0"/>
              <w:rPr>
                <w:b w:val="0"/>
              </w:rPr>
            </w:pPr>
          </w:p>
        </w:tc>
        <w:tc>
          <w:tcPr>
            <w:tcW w:w="1301" w:type="dxa"/>
            <w:tcBorders>
              <w:top w:val="nil"/>
              <w:bottom w:val="nil"/>
            </w:tcBorders>
            <w:shd w:val="clear" w:color="auto" w:fill="auto"/>
          </w:tcPr>
          <w:p w14:paraId="5515CA2C" w14:textId="77777777" w:rsidR="006E00C8" w:rsidRPr="00246DEA" w:rsidRDefault="006E00C8" w:rsidP="00BC47FF">
            <w:pPr>
              <w:pStyle w:val="Table0"/>
              <w:rPr>
                <w:b w:val="0"/>
              </w:rPr>
            </w:pPr>
          </w:p>
        </w:tc>
        <w:tc>
          <w:tcPr>
            <w:tcW w:w="1301" w:type="dxa"/>
            <w:tcBorders>
              <w:top w:val="nil"/>
              <w:bottom w:val="nil"/>
            </w:tcBorders>
            <w:shd w:val="clear" w:color="auto" w:fill="auto"/>
          </w:tcPr>
          <w:p w14:paraId="3FF9E282" w14:textId="77777777" w:rsidR="006E00C8" w:rsidRPr="00246DEA" w:rsidRDefault="006E00C8" w:rsidP="007624D5">
            <w:pPr>
              <w:pStyle w:val="Table0"/>
              <w:rPr>
                <w:b w:val="0"/>
              </w:rPr>
            </w:pPr>
          </w:p>
        </w:tc>
      </w:tr>
      <w:tr w:rsidR="006E00C8" w:rsidRPr="000F6D80" w14:paraId="64EDE702" w14:textId="77777777" w:rsidTr="00376422">
        <w:tc>
          <w:tcPr>
            <w:tcW w:w="3348" w:type="dxa"/>
            <w:tcBorders>
              <w:top w:val="nil"/>
              <w:bottom w:val="nil"/>
            </w:tcBorders>
            <w:shd w:val="clear" w:color="auto" w:fill="auto"/>
          </w:tcPr>
          <w:p w14:paraId="19B4B71D" w14:textId="77777777" w:rsidR="006E00C8" w:rsidRPr="00246DEA" w:rsidRDefault="006E00C8" w:rsidP="00BC47FF">
            <w:pPr>
              <w:pStyle w:val="Table0"/>
              <w:rPr>
                <w:b w:val="0"/>
              </w:rPr>
            </w:pPr>
            <w:r w:rsidRPr="00246DEA">
              <w:rPr>
                <w:b w:val="0"/>
              </w:rPr>
              <w:tab/>
              <w:t>6 months</w:t>
            </w:r>
          </w:p>
        </w:tc>
        <w:tc>
          <w:tcPr>
            <w:tcW w:w="1300" w:type="dxa"/>
            <w:tcBorders>
              <w:top w:val="nil"/>
              <w:bottom w:val="nil"/>
            </w:tcBorders>
            <w:shd w:val="clear" w:color="auto" w:fill="auto"/>
          </w:tcPr>
          <w:p w14:paraId="44E19E8A" w14:textId="46F595C5" w:rsidR="006E00C8" w:rsidRPr="00246DEA" w:rsidRDefault="006E00C8" w:rsidP="00BC47FF">
            <w:pPr>
              <w:pStyle w:val="Table0"/>
              <w:rPr>
                <w:b w:val="0"/>
              </w:rPr>
            </w:pPr>
            <w:r w:rsidRPr="00246DEA">
              <w:rPr>
                <w:b w:val="0"/>
                <w:lang w:val="fr-FR"/>
              </w:rPr>
              <w:t>86.9 (68.6,94.9</w:t>
            </w:r>
            <w:r w:rsidRPr="00246DEA">
              <w:rPr>
                <w:b w:val="0"/>
              </w:rPr>
              <w:t>)</w:t>
            </w:r>
          </w:p>
        </w:tc>
        <w:tc>
          <w:tcPr>
            <w:tcW w:w="1301" w:type="dxa"/>
            <w:tcBorders>
              <w:top w:val="nil"/>
              <w:bottom w:val="nil"/>
            </w:tcBorders>
            <w:shd w:val="clear" w:color="auto" w:fill="auto"/>
          </w:tcPr>
          <w:p w14:paraId="1E8BE728" w14:textId="77777777" w:rsidR="006E00C8" w:rsidRPr="00246DEA" w:rsidRDefault="006E00C8" w:rsidP="00BC47FF">
            <w:pPr>
              <w:pStyle w:val="Table0"/>
              <w:rPr>
                <w:b w:val="0"/>
                <w:lang w:val="fr-FR"/>
              </w:rPr>
            </w:pPr>
            <w:r w:rsidRPr="00246DEA">
              <w:rPr>
                <w:b w:val="0"/>
                <w:lang w:val="fr-FR"/>
              </w:rPr>
              <w:t>100 (NE)</w:t>
            </w:r>
          </w:p>
        </w:tc>
        <w:tc>
          <w:tcPr>
            <w:tcW w:w="1301" w:type="dxa"/>
            <w:tcBorders>
              <w:top w:val="nil"/>
              <w:bottom w:val="nil"/>
            </w:tcBorders>
            <w:shd w:val="clear" w:color="auto" w:fill="auto"/>
          </w:tcPr>
          <w:p w14:paraId="782FA6E5" w14:textId="50C96A00" w:rsidR="006E00C8" w:rsidRPr="00246DEA" w:rsidRDefault="006E00C8" w:rsidP="00BC47FF">
            <w:pPr>
              <w:pStyle w:val="Table0"/>
              <w:rPr>
                <w:b w:val="0"/>
              </w:rPr>
            </w:pPr>
            <w:r w:rsidRPr="00246DEA">
              <w:rPr>
                <w:b w:val="0"/>
              </w:rPr>
              <w:t>89.8 (74.8, 96.1)</w:t>
            </w:r>
          </w:p>
        </w:tc>
        <w:tc>
          <w:tcPr>
            <w:tcW w:w="1301" w:type="dxa"/>
            <w:tcBorders>
              <w:top w:val="nil"/>
              <w:bottom w:val="nil"/>
            </w:tcBorders>
            <w:shd w:val="clear" w:color="auto" w:fill="auto"/>
          </w:tcPr>
          <w:p w14:paraId="57229654" w14:textId="77777777" w:rsidR="006E00C8" w:rsidRPr="00246DEA" w:rsidRDefault="006E00C8" w:rsidP="007624D5">
            <w:pPr>
              <w:pStyle w:val="Table0"/>
              <w:rPr>
                <w:b w:val="0"/>
              </w:rPr>
            </w:pPr>
            <w:r w:rsidRPr="00246DEA">
              <w:rPr>
                <w:b w:val="0"/>
                <w:lang w:val="fr-FR"/>
              </w:rPr>
              <w:t>100 (NE)</w:t>
            </w:r>
          </w:p>
        </w:tc>
      </w:tr>
      <w:tr w:rsidR="006E00C8" w:rsidRPr="000F6D80" w14:paraId="140EB000" w14:textId="77777777" w:rsidTr="00376422">
        <w:tc>
          <w:tcPr>
            <w:tcW w:w="3348" w:type="dxa"/>
            <w:tcBorders>
              <w:top w:val="nil"/>
              <w:bottom w:val="nil"/>
            </w:tcBorders>
            <w:shd w:val="clear" w:color="auto" w:fill="auto"/>
          </w:tcPr>
          <w:p w14:paraId="15C43768" w14:textId="77777777" w:rsidR="006E00C8" w:rsidRPr="00246DEA" w:rsidRDefault="006E00C8" w:rsidP="00BC47FF">
            <w:pPr>
              <w:pStyle w:val="Table0"/>
              <w:rPr>
                <w:b w:val="0"/>
                <w:lang w:val="fr-FR"/>
              </w:rPr>
            </w:pPr>
            <w:r w:rsidRPr="00246DEA">
              <w:rPr>
                <w:b w:val="0"/>
                <w:lang w:val="fr-FR"/>
              </w:rPr>
              <w:tab/>
              <w:t>9 </w:t>
            </w:r>
            <w:proofErr w:type="spellStart"/>
            <w:r w:rsidRPr="00246DEA">
              <w:rPr>
                <w:b w:val="0"/>
                <w:lang w:val="fr-FR"/>
              </w:rPr>
              <w:t>months</w:t>
            </w:r>
            <w:proofErr w:type="spellEnd"/>
          </w:p>
        </w:tc>
        <w:tc>
          <w:tcPr>
            <w:tcW w:w="1300" w:type="dxa"/>
            <w:tcBorders>
              <w:top w:val="nil"/>
              <w:bottom w:val="nil"/>
            </w:tcBorders>
            <w:shd w:val="clear" w:color="auto" w:fill="auto"/>
          </w:tcPr>
          <w:p w14:paraId="238E580A" w14:textId="5041EEA7" w:rsidR="006E00C8" w:rsidRPr="00246DEA" w:rsidRDefault="006E00C8" w:rsidP="00BC47FF">
            <w:pPr>
              <w:pStyle w:val="Table0"/>
              <w:rPr>
                <w:b w:val="0"/>
              </w:rPr>
            </w:pPr>
            <w:r w:rsidRPr="00246DEA">
              <w:rPr>
                <w:b w:val="0"/>
                <w:lang w:val="fr-FR"/>
              </w:rPr>
              <w:t>75.8 (55.7,87.7)</w:t>
            </w:r>
          </w:p>
        </w:tc>
        <w:tc>
          <w:tcPr>
            <w:tcW w:w="1301" w:type="dxa"/>
            <w:tcBorders>
              <w:top w:val="nil"/>
              <w:bottom w:val="nil"/>
            </w:tcBorders>
            <w:shd w:val="clear" w:color="auto" w:fill="auto"/>
          </w:tcPr>
          <w:p w14:paraId="26D44782" w14:textId="77777777" w:rsidR="006E00C8" w:rsidRPr="00246DEA" w:rsidRDefault="006E00C8" w:rsidP="00BC47FF">
            <w:pPr>
              <w:pStyle w:val="Table0"/>
              <w:rPr>
                <w:b w:val="0"/>
              </w:rPr>
            </w:pPr>
            <w:r w:rsidRPr="00246DEA">
              <w:rPr>
                <w:b w:val="0"/>
              </w:rPr>
              <w:t>100 (NE)</w:t>
            </w:r>
          </w:p>
        </w:tc>
        <w:tc>
          <w:tcPr>
            <w:tcW w:w="1301" w:type="dxa"/>
            <w:tcBorders>
              <w:top w:val="nil"/>
              <w:bottom w:val="nil"/>
            </w:tcBorders>
            <w:shd w:val="clear" w:color="auto" w:fill="auto"/>
          </w:tcPr>
          <w:p w14:paraId="38C811D4" w14:textId="12C1549F" w:rsidR="006E00C8" w:rsidRPr="00246DEA" w:rsidRDefault="006E00C8" w:rsidP="00BC47FF">
            <w:pPr>
              <w:pStyle w:val="Table0"/>
              <w:rPr>
                <w:b w:val="0"/>
              </w:rPr>
            </w:pPr>
            <w:r w:rsidRPr="00246DEA">
              <w:rPr>
                <w:b w:val="0"/>
              </w:rPr>
              <w:t>80.7 (63.5,90.4)</w:t>
            </w:r>
          </w:p>
        </w:tc>
        <w:tc>
          <w:tcPr>
            <w:tcW w:w="1301" w:type="dxa"/>
            <w:tcBorders>
              <w:top w:val="nil"/>
              <w:bottom w:val="nil"/>
            </w:tcBorders>
            <w:shd w:val="clear" w:color="auto" w:fill="auto"/>
          </w:tcPr>
          <w:p w14:paraId="6E60D66B" w14:textId="77777777" w:rsidR="006E00C8" w:rsidRPr="00246DEA" w:rsidRDefault="006E00C8" w:rsidP="007624D5">
            <w:pPr>
              <w:pStyle w:val="Table0"/>
              <w:rPr>
                <w:b w:val="0"/>
              </w:rPr>
            </w:pPr>
            <w:r w:rsidRPr="00246DEA">
              <w:rPr>
                <w:b w:val="0"/>
                <w:lang w:val="it-IT"/>
              </w:rPr>
              <w:t>1</w:t>
            </w:r>
            <w:r w:rsidRPr="00246DEA">
              <w:rPr>
                <w:b w:val="0"/>
              </w:rPr>
              <w:t>00 (NE)</w:t>
            </w:r>
          </w:p>
        </w:tc>
      </w:tr>
      <w:tr w:rsidR="006E00C8" w:rsidRPr="000F6D80" w14:paraId="6751FC6F" w14:textId="77777777" w:rsidTr="00376422">
        <w:tc>
          <w:tcPr>
            <w:tcW w:w="3348" w:type="dxa"/>
            <w:tcBorders>
              <w:top w:val="nil"/>
              <w:bottom w:val="single" w:sz="4" w:space="0" w:color="auto"/>
            </w:tcBorders>
            <w:shd w:val="clear" w:color="auto" w:fill="auto"/>
          </w:tcPr>
          <w:p w14:paraId="12829D7C" w14:textId="77777777" w:rsidR="006E00C8" w:rsidRPr="00246DEA" w:rsidRDefault="006E00C8" w:rsidP="00BC47FF">
            <w:pPr>
              <w:pStyle w:val="Table0"/>
              <w:rPr>
                <w:b w:val="0"/>
              </w:rPr>
            </w:pPr>
            <w:r w:rsidRPr="00246DEA">
              <w:rPr>
                <w:b w:val="0"/>
              </w:rPr>
              <w:tab/>
              <w:t>12 months</w:t>
            </w:r>
          </w:p>
        </w:tc>
        <w:tc>
          <w:tcPr>
            <w:tcW w:w="1300" w:type="dxa"/>
            <w:tcBorders>
              <w:top w:val="nil"/>
              <w:bottom w:val="single" w:sz="4" w:space="0" w:color="auto"/>
            </w:tcBorders>
            <w:shd w:val="clear" w:color="auto" w:fill="auto"/>
          </w:tcPr>
          <w:p w14:paraId="37E05B57" w14:textId="1DD8137B" w:rsidR="006E00C8" w:rsidRPr="00246DEA" w:rsidRDefault="006E00C8" w:rsidP="00BC47FF">
            <w:pPr>
              <w:pStyle w:val="Table0"/>
              <w:rPr>
                <w:b w:val="0"/>
              </w:rPr>
            </w:pPr>
            <w:r w:rsidRPr="00246DEA">
              <w:rPr>
                <w:b w:val="0"/>
              </w:rPr>
              <w:t>65.6 (43.2,81.0)</w:t>
            </w:r>
          </w:p>
        </w:tc>
        <w:tc>
          <w:tcPr>
            <w:tcW w:w="1301" w:type="dxa"/>
            <w:tcBorders>
              <w:top w:val="nil"/>
              <w:bottom w:val="single" w:sz="4" w:space="0" w:color="auto"/>
            </w:tcBorders>
            <w:shd w:val="clear" w:color="auto" w:fill="auto"/>
          </w:tcPr>
          <w:p w14:paraId="351CE269" w14:textId="77777777" w:rsidR="006E00C8" w:rsidRPr="00246DEA" w:rsidRDefault="006E00C8" w:rsidP="00BC47FF">
            <w:pPr>
              <w:pStyle w:val="Table0"/>
              <w:rPr>
                <w:b w:val="0"/>
              </w:rPr>
            </w:pPr>
            <w:r w:rsidRPr="00246DEA">
              <w:rPr>
                <w:b w:val="0"/>
              </w:rPr>
              <w:t>100 (NE)</w:t>
            </w:r>
          </w:p>
        </w:tc>
        <w:tc>
          <w:tcPr>
            <w:tcW w:w="1301" w:type="dxa"/>
            <w:tcBorders>
              <w:top w:val="nil"/>
              <w:bottom w:val="single" w:sz="4" w:space="0" w:color="auto"/>
            </w:tcBorders>
            <w:shd w:val="clear" w:color="auto" w:fill="auto"/>
          </w:tcPr>
          <w:p w14:paraId="3026ACC3" w14:textId="0570269C" w:rsidR="006E00C8" w:rsidRPr="00246DEA" w:rsidRDefault="006E00C8" w:rsidP="00BC47FF">
            <w:pPr>
              <w:pStyle w:val="Table0"/>
              <w:rPr>
                <w:b w:val="0"/>
              </w:rPr>
            </w:pPr>
            <w:r w:rsidRPr="00246DEA">
              <w:rPr>
                <w:b w:val="0"/>
              </w:rPr>
              <w:t>70.9 (52.2,83.3)</w:t>
            </w:r>
          </w:p>
        </w:tc>
        <w:tc>
          <w:tcPr>
            <w:tcW w:w="1301" w:type="dxa"/>
            <w:tcBorders>
              <w:top w:val="nil"/>
              <w:bottom w:val="single" w:sz="4" w:space="0" w:color="auto"/>
            </w:tcBorders>
            <w:shd w:val="clear" w:color="auto" w:fill="auto"/>
          </w:tcPr>
          <w:p w14:paraId="56BE8DC7" w14:textId="77777777" w:rsidR="006E00C8" w:rsidRPr="00246DEA" w:rsidRDefault="006E00C8" w:rsidP="007624D5">
            <w:pPr>
              <w:pStyle w:val="Table0"/>
              <w:rPr>
                <w:b w:val="0"/>
              </w:rPr>
            </w:pPr>
            <w:r w:rsidRPr="00246DEA">
              <w:rPr>
                <w:b w:val="0"/>
              </w:rPr>
              <w:t>100 (NE)</w:t>
            </w:r>
          </w:p>
        </w:tc>
      </w:tr>
      <w:tr w:rsidR="006E00C8" w:rsidRPr="000F6D80" w14:paraId="779544D0" w14:textId="77777777" w:rsidTr="00376422">
        <w:tc>
          <w:tcPr>
            <w:tcW w:w="3348" w:type="dxa"/>
            <w:tcBorders>
              <w:top w:val="single" w:sz="4" w:space="0" w:color="auto"/>
            </w:tcBorders>
            <w:shd w:val="clear" w:color="auto" w:fill="auto"/>
          </w:tcPr>
          <w:p w14:paraId="4F4E12CD" w14:textId="77777777" w:rsidR="006E00C8" w:rsidRPr="000F6D80" w:rsidRDefault="006E00C8" w:rsidP="00BC47FF">
            <w:pPr>
              <w:pStyle w:val="Table0"/>
            </w:pPr>
            <w:r w:rsidRPr="000F6D80">
              <w:t>Progression-free survival</w:t>
            </w:r>
          </w:p>
        </w:tc>
        <w:tc>
          <w:tcPr>
            <w:tcW w:w="1300" w:type="dxa"/>
            <w:tcBorders>
              <w:top w:val="single" w:sz="4" w:space="0" w:color="auto"/>
            </w:tcBorders>
            <w:shd w:val="clear" w:color="auto" w:fill="auto"/>
          </w:tcPr>
          <w:p w14:paraId="01343292" w14:textId="77777777" w:rsidR="006E00C8" w:rsidRPr="000F6D80" w:rsidRDefault="006E00C8" w:rsidP="00BC47FF">
            <w:pPr>
              <w:pStyle w:val="Table0"/>
            </w:pPr>
          </w:p>
        </w:tc>
        <w:tc>
          <w:tcPr>
            <w:tcW w:w="1301" w:type="dxa"/>
            <w:tcBorders>
              <w:top w:val="single" w:sz="4" w:space="0" w:color="auto"/>
            </w:tcBorders>
            <w:shd w:val="clear" w:color="auto" w:fill="auto"/>
          </w:tcPr>
          <w:p w14:paraId="4A84B453" w14:textId="77777777" w:rsidR="006E00C8" w:rsidRPr="000F6D80" w:rsidRDefault="006E00C8" w:rsidP="00BC47FF">
            <w:pPr>
              <w:pStyle w:val="Table0"/>
            </w:pPr>
          </w:p>
        </w:tc>
        <w:tc>
          <w:tcPr>
            <w:tcW w:w="1301" w:type="dxa"/>
            <w:tcBorders>
              <w:top w:val="single" w:sz="4" w:space="0" w:color="auto"/>
            </w:tcBorders>
            <w:shd w:val="clear" w:color="auto" w:fill="auto"/>
          </w:tcPr>
          <w:p w14:paraId="6006B136" w14:textId="77777777" w:rsidR="006E00C8" w:rsidRPr="000F6D80" w:rsidRDefault="006E00C8" w:rsidP="00BC47FF">
            <w:pPr>
              <w:pStyle w:val="Table0"/>
            </w:pPr>
          </w:p>
        </w:tc>
        <w:tc>
          <w:tcPr>
            <w:tcW w:w="1301" w:type="dxa"/>
            <w:tcBorders>
              <w:top w:val="single" w:sz="4" w:space="0" w:color="auto"/>
            </w:tcBorders>
            <w:shd w:val="clear" w:color="auto" w:fill="auto"/>
          </w:tcPr>
          <w:p w14:paraId="7BC960D8" w14:textId="77777777" w:rsidR="006E00C8" w:rsidRPr="000F6D80" w:rsidRDefault="006E00C8" w:rsidP="007624D5">
            <w:pPr>
              <w:pStyle w:val="Table0"/>
            </w:pPr>
          </w:p>
        </w:tc>
      </w:tr>
      <w:tr w:rsidR="006E00C8" w:rsidRPr="000F6D80" w14:paraId="775D6DDA" w14:textId="77777777" w:rsidTr="00376422">
        <w:tc>
          <w:tcPr>
            <w:tcW w:w="3348" w:type="dxa"/>
            <w:shd w:val="clear" w:color="auto" w:fill="auto"/>
          </w:tcPr>
          <w:p w14:paraId="347DD3A1" w14:textId="77777777" w:rsidR="006E00C8" w:rsidRPr="00246DEA" w:rsidRDefault="006E00C8" w:rsidP="00BC47FF">
            <w:pPr>
              <w:pStyle w:val="Table0"/>
              <w:rPr>
                <w:b w:val="0"/>
              </w:rPr>
            </w:pPr>
            <w:r w:rsidRPr="00246DEA">
              <w:rPr>
                <w:b w:val="0"/>
              </w:rPr>
              <w:t>No. of events*</w:t>
            </w:r>
          </w:p>
        </w:tc>
        <w:tc>
          <w:tcPr>
            <w:tcW w:w="1300" w:type="dxa"/>
            <w:shd w:val="clear" w:color="auto" w:fill="auto"/>
          </w:tcPr>
          <w:p w14:paraId="5A2C88E6" w14:textId="3A85E8BE" w:rsidR="006E00C8" w:rsidRPr="00246DEA" w:rsidRDefault="006E00C8" w:rsidP="007A396C">
            <w:pPr>
              <w:pStyle w:val="Table0"/>
              <w:rPr>
                <w:b w:val="0"/>
              </w:rPr>
            </w:pPr>
            <w:r w:rsidRPr="00246DEA">
              <w:rPr>
                <w:b w:val="0"/>
              </w:rPr>
              <w:t>15</w:t>
            </w:r>
          </w:p>
        </w:tc>
        <w:tc>
          <w:tcPr>
            <w:tcW w:w="1301" w:type="dxa"/>
            <w:shd w:val="clear" w:color="auto" w:fill="auto"/>
          </w:tcPr>
          <w:p w14:paraId="798CCF58" w14:textId="77777777" w:rsidR="006E00C8" w:rsidRPr="00246DEA" w:rsidRDefault="006E00C8" w:rsidP="007A396C">
            <w:pPr>
              <w:pStyle w:val="Table0"/>
              <w:rPr>
                <w:b w:val="0"/>
              </w:rPr>
            </w:pPr>
            <w:r w:rsidRPr="00246DEA">
              <w:rPr>
                <w:b w:val="0"/>
              </w:rPr>
              <w:t>6</w:t>
            </w:r>
          </w:p>
        </w:tc>
        <w:tc>
          <w:tcPr>
            <w:tcW w:w="1301" w:type="dxa"/>
            <w:shd w:val="clear" w:color="auto" w:fill="auto"/>
          </w:tcPr>
          <w:p w14:paraId="29FB6379" w14:textId="3E3E9219" w:rsidR="006E00C8" w:rsidRPr="00246DEA" w:rsidRDefault="006E00C8" w:rsidP="007A396C">
            <w:pPr>
              <w:pStyle w:val="Table0"/>
              <w:rPr>
                <w:b w:val="0"/>
              </w:rPr>
            </w:pPr>
            <w:r w:rsidRPr="00246DEA">
              <w:rPr>
                <w:b w:val="0"/>
              </w:rPr>
              <w:t>26</w:t>
            </w:r>
          </w:p>
        </w:tc>
        <w:tc>
          <w:tcPr>
            <w:tcW w:w="1301" w:type="dxa"/>
            <w:shd w:val="clear" w:color="auto" w:fill="auto"/>
          </w:tcPr>
          <w:p w14:paraId="2C23E037" w14:textId="77777777" w:rsidR="006E00C8" w:rsidRPr="00246DEA" w:rsidRDefault="006E00C8" w:rsidP="007A396C">
            <w:pPr>
              <w:pStyle w:val="Table0"/>
              <w:rPr>
                <w:b w:val="0"/>
              </w:rPr>
            </w:pPr>
            <w:r w:rsidRPr="00246DEA">
              <w:rPr>
                <w:b w:val="0"/>
              </w:rPr>
              <w:t>8</w:t>
            </w:r>
          </w:p>
        </w:tc>
      </w:tr>
      <w:tr w:rsidR="006E00C8" w:rsidRPr="000F6D80" w14:paraId="72415E94" w14:textId="77777777" w:rsidTr="00376422">
        <w:tc>
          <w:tcPr>
            <w:tcW w:w="3348" w:type="dxa"/>
            <w:shd w:val="clear" w:color="auto" w:fill="auto"/>
          </w:tcPr>
          <w:p w14:paraId="564C3629" w14:textId="77777777" w:rsidR="006E00C8" w:rsidRPr="00246DEA" w:rsidRDefault="006E00C8" w:rsidP="00BC47FF">
            <w:pPr>
              <w:pStyle w:val="Table0"/>
              <w:rPr>
                <w:b w:val="0"/>
              </w:rPr>
            </w:pPr>
            <w:r w:rsidRPr="00246DEA">
              <w:rPr>
                <w:b w:val="0"/>
              </w:rPr>
              <w:t>No. censored</w:t>
            </w:r>
          </w:p>
        </w:tc>
        <w:tc>
          <w:tcPr>
            <w:tcW w:w="1300" w:type="dxa"/>
            <w:shd w:val="clear" w:color="auto" w:fill="auto"/>
          </w:tcPr>
          <w:p w14:paraId="44C6A760" w14:textId="01779118" w:rsidR="006E00C8" w:rsidRPr="00246DEA" w:rsidRDefault="006E00C8" w:rsidP="007A396C">
            <w:pPr>
              <w:pStyle w:val="Table0"/>
              <w:rPr>
                <w:b w:val="0"/>
              </w:rPr>
            </w:pPr>
            <w:r w:rsidRPr="00246DEA">
              <w:rPr>
                <w:b w:val="0"/>
              </w:rPr>
              <w:t>51</w:t>
            </w:r>
          </w:p>
        </w:tc>
        <w:tc>
          <w:tcPr>
            <w:tcW w:w="1301" w:type="dxa"/>
            <w:shd w:val="clear" w:color="auto" w:fill="auto"/>
          </w:tcPr>
          <w:p w14:paraId="140FD79C" w14:textId="77777777" w:rsidR="006E00C8" w:rsidRPr="00246DEA" w:rsidRDefault="006E00C8" w:rsidP="007A396C">
            <w:pPr>
              <w:pStyle w:val="Table0"/>
              <w:rPr>
                <w:b w:val="0"/>
              </w:rPr>
            </w:pPr>
            <w:r w:rsidRPr="00246DEA">
              <w:rPr>
                <w:b w:val="0"/>
              </w:rPr>
              <w:t>7</w:t>
            </w:r>
          </w:p>
        </w:tc>
        <w:tc>
          <w:tcPr>
            <w:tcW w:w="1301" w:type="dxa"/>
            <w:shd w:val="clear" w:color="auto" w:fill="auto"/>
          </w:tcPr>
          <w:p w14:paraId="3ECF24F5" w14:textId="6305E82F" w:rsidR="006E00C8" w:rsidRPr="00246DEA" w:rsidRDefault="006E00C8" w:rsidP="007A396C">
            <w:pPr>
              <w:pStyle w:val="Table0"/>
              <w:rPr>
                <w:b w:val="0"/>
              </w:rPr>
            </w:pPr>
            <w:r w:rsidRPr="00246DEA">
              <w:rPr>
                <w:b w:val="0"/>
              </w:rPr>
              <w:t>40</w:t>
            </w:r>
          </w:p>
        </w:tc>
        <w:tc>
          <w:tcPr>
            <w:tcW w:w="1301" w:type="dxa"/>
            <w:shd w:val="clear" w:color="auto" w:fill="auto"/>
          </w:tcPr>
          <w:p w14:paraId="2BC9A811" w14:textId="77777777" w:rsidR="006E00C8" w:rsidRPr="00246DEA" w:rsidRDefault="006E00C8" w:rsidP="007A396C">
            <w:pPr>
              <w:pStyle w:val="Table0"/>
              <w:rPr>
                <w:b w:val="0"/>
              </w:rPr>
            </w:pPr>
            <w:r w:rsidRPr="00246DEA">
              <w:rPr>
                <w:b w:val="0"/>
              </w:rPr>
              <w:t>5</w:t>
            </w:r>
          </w:p>
        </w:tc>
      </w:tr>
      <w:tr w:rsidR="006E00C8" w:rsidRPr="000F6D80" w14:paraId="4AFB66D1" w14:textId="77777777" w:rsidTr="00376422">
        <w:tc>
          <w:tcPr>
            <w:tcW w:w="3348" w:type="dxa"/>
            <w:tcBorders>
              <w:bottom w:val="nil"/>
            </w:tcBorders>
            <w:shd w:val="clear" w:color="auto" w:fill="auto"/>
          </w:tcPr>
          <w:p w14:paraId="50D63BC4" w14:textId="77777777" w:rsidR="006E00C8" w:rsidRPr="00246DEA" w:rsidRDefault="006E00C8" w:rsidP="00BC47FF">
            <w:pPr>
              <w:pStyle w:val="Table0"/>
              <w:rPr>
                <w:b w:val="0"/>
              </w:rPr>
            </w:pPr>
            <w:r w:rsidRPr="00246DEA">
              <w:rPr>
                <w:b w:val="0"/>
              </w:rPr>
              <w:t>Median (months)</w:t>
            </w:r>
          </w:p>
        </w:tc>
        <w:tc>
          <w:tcPr>
            <w:tcW w:w="1300" w:type="dxa"/>
            <w:tcBorders>
              <w:bottom w:val="nil"/>
            </w:tcBorders>
            <w:shd w:val="clear" w:color="auto" w:fill="auto"/>
          </w:tcPr>
          <w:p w14:paraId="45BFAC8A" w14:textId="77777777" w:rsidR="006E00C8" w:rsidRPr="00246DEA" w:rsidRDefault="006E00C8" w:rsidP="007A396C">
            <w:pPr>
              <w:pStyle w:val="Table0"/>
              <w:rPr>
                <w:b w:val="0"/>
                <w:vertAlign w:val="superscript"/>
              </w:rPr>
            </w:pPr>
            <w:r w:rsidRPr="00246DEA">
              <w:rPr>
                <w:b w:val="0"/>
              </w:rPr>
              <w:t>22.1</w:t>
            </w:r>
          </w:p>
        </w:tc>
        <w:tc>
          <w:tcPr>
            <w:tcW w:w="1301" w:type="dxa"/>
            <w:tcBorders>
              <w:bottom w:val="nil"/>
            </w:tcBorders>
            <w:shd w:val="clear" w:color="auto" w:fill="auto"/>
          </w:tcPr>
          <w:p w14:paraId="654AF7E8" w14:textId="77777777" w:rsidR="006E00C8" w:rsidRPr="00246DEA" w:rsidRDefault="006E00C8" w:rsidP="007A396C">
            <w:pPr>
              <w:pStyle w:val="Table0"/>
              <w:rPr>
                <w:b w:val="0"/>
                <w:vertAlign w:val="superscript"/>
              </w:rPr>
            </w:pPr>
            <w:r w:rsidRPr="00246DEA">
              <w:rPr>
                <w:b w:val="0"/>
              </w:rPr>
              <w:t>13.1</w:t>
            </w:r>
          </w:p>
        </w:tc>
        <w:tc>
          <w:tcPr>
            <w:tcW w:w="1301" w:type="dxa"/>
            <w:tcBorders>
              <w:bottom w:val="nil"/>
            </w:tcBorders>
            <w:shd w:val="clear" w:color="auto" w:fill="auto"/>
          </w:tcPr>
          <w:p w14:paraId="08156DF4" w14:textId="74A94231" w:rsidR="006E00C8" w:rsidRPr="00246DEA" w:rsidRDefault="006E00C8" w:rsidP="007A396C">
            <w:pPr>
              <w:pStyle w:val="Table0"/>
              <w:rPr>
                <w:b w:val="0"/>
                <w:vertAlign w:val="superscript"/>
              </w:rPr>
            </w:pPr>
            <w:r w:rsidRPr="00246DEA">
              <w:rPr>
                <w:b w:val="0"/>
              </w:rPr>
              <w:t>19.4</w:t>
            </w:r>
          </w:p>
        </w:tc>
        <w:tc>
          <w:tcPr>
            <w:tcW w:w="1301" w:type="dxa"/>
            <w:tcBorders>
              <w:bottom w:val="nil"/>
            </w:tcBorders>
            <w:shd w:val="clear" w:color="auto" w:fill="auto"/>
          </w:tcPr>
          <w:p w14:paraId="3927E7FB" w14:textId="77777777" w:rsidR="006E00C8" w:rsidRPr="00246DEA" w:rsidRDefault="006E00C8" w:rsidP="007A396C">
            <w:pPr>
              <w:pStyle w:val="Table0"/>
              <w:rPr>
                <w:b w:val="0"/>
                <w:vertAlign w:val="superscript"/>
              </w:rPr>
            </w:pPr>
            <w:r w:rsidRPr="00246DEA">
              <w:rPr>
                <w:b w:val="0"/>
              </w:rPr>
              <w:t>13.1</w:t>
            </w:r>
          </w:p>
        </w:tc>
      </w:tr>
      <w:tr w:rsidR="006E00C8" w:rsidRPr="000F6D80" w14:paraId="385284B8" w14:textId="77777777" w:rsidTr="00376422">
        <w:tc>
          <w:tcPr>
            <w:tcW w:w="3348" w:type="dxa"/>
            <w:tcBorders>
              <w:top w:val="nil"/>
              <w:bottom w:val="nil"/>
            </w:tcBorders>
            <w:shd w:val="clear" w:color="auto" w:fill="auto"/>
          </w:tcPr>
          <w:p w14:paraId="29A44994" w14:textId="77777777" w:rsidR="006E00C8" w:rsidRPr="00246DEA" w:rsidRDefault="006E00C8" w:rsidP="00BC47FF">
            <w:pPr>
              <w:pStyle w:val="Table0"/>
              <w:rPr>
                <w:b w:val="0"/>
              </w:rPr>
            </w:pPr>
            <w:r w:rsidRPr="00246DEA">
              <w:rPr>
                <w:b w:val="0"/>
              </w:rPr>
              <w:tab/>
              <w:t>95% CI</w:t>
            </w:r>
          </w:p>
        </w:tc>
        <w:tc>
          <w:tcPr>
            <w:tcW w:w="1300" w:type="dxa"/>
            <w:tcBorders>
              <w:top w:val="nil"/>
              <w:bottom w:val="nil"/>
            </w:tcBorders>
            <w:shd w:val="clear" w:color="auto" w:fill="auto"/>
          </w:tcPr>
          <w:p w14:paraId="1EA76A97" w14:textId="77777777" w:rsidR="006E00C8" w:rsidRPr="00246DEA" w:rsidRDefault="006E00C8" w:rsidP="00BC47FF">
            <w:pPr>
              <w:pStyle w:val="Table0"/>
              <w:rPr>
                <w:b w:val="0"/>
              </w:rPr>
            </w:pPr>
            <w:r w:rsidRPr="00246DEA">
              <w:rPr>
                <w:b w:val="0"/>
              </w:rPr>
              <w:t>(NE)</w:t>
            </w:r>
          </w:p>
        </w:tc>
        <w:tc>
          <w:tcPr>
            <w:tcW w:w="1301" w:type="dxa"/>
            <w:tcBorders>
              <w:top w:val="nil"/>
              <w:bottom w:val="nil"/>
            </w:tcBorders>
            <w:shd w:val="clear" w:color="auto" w:fill="auto"/>
          </w:tcPr>
          <w:p w14:paraId="17B0E2B2" w14:textId="1C5D456B" w:rsidR="006E00C8" w:rsidRPr="00246DEA" w:rsidRDefault="006E00C8" w:rsidP="00BC47FF">
            <w:pPr>
              <w:pStyle w:val="Table0"/>
              <w:rPr>
                <w:b w:val="0"/>
              </w:rPr>
            </w:pPr>
            <w:r w:rsidRPr="00246DEA">
              <w:rPr>
                <w:b w:val="0"/>
              </w:rPr>
              <w:t xml:space="preserve">(NE) </w:t>
            </w:r>
          </w:p>
        </w:tc>
        <w:tc>
          <w:tcPr>
            <w:tcW w:w="1301" w:type="dxa"/>
            <w:tcBorders>
              <w:top w:val="nil"/>
              <w:bottom w:val="nil"/>
            </w:tcBorders>
            <w:shd w:val="clear" w:color="auto" w:fill="auto"/>
          </w:tcPr>
          <w:p w14:paraId="77F59735" w14:textId="413CD7D6" w:rsidR="006E00C8" w:rsidRPr="00246DEA" w:rsidRDefault="006E00C8" w:rsidP="00BC47FF">
            <w:pPr>
              <w:pStyle w:val="Table0"/>
              <w:rPr>
                <w:b w:val="0"/>
              </w:rPr>
            </w:pPr>
            <w:r w:rsidRPr="00246DEA">
              <w:rPr>
                <w:b w:val="0"/>
              </w:rPr>
              <w:t>(16.6, 22.6)</w:t>
            </w:r>
          </w:p>
        </w:tc>
        <w:tc>
          <w:tcPr>
            <w:tcW w:w="1301" w:type="dxa"/>
            <w:tcBorders>
              <w:top w:val="nil"/>
              <w:bottom w:val="nil"/>
            </w:tcBorders>
            <w:shd w:val="clear" w:color="auto" w:fill="auto"/>
          </w:tcPr>
          <w:p w14:paraId="23B6D693" w14:textId="56310EE6" w:rsidR="006E00C8" w:rsidRPr="00246DEA" w:rsidRDefault="006E00C8" w:rsidP="007624D5">
            <w:pPr>
              <w:pStyle w:val="Table0"/>
              <w:rPr>
                <w:b w:val="0"/>
              </w:rPr>
            </w:pPr>
            <w:r w:rsidRPr="00246DEA">
              <w:rPr>
                <w:b w:val="0"/>
              </w:rPr>
              <w:t xml:space="preserve">(NE) </w:t>
            </w:r>
          </w:p>
        </w:tc>
      </w:tr>
      <w:tr w:rsidR="006E00C8" w:rsidRPr="000F6D80" w14:paraId="3DCB3E9F" w14:textId="77777777" w:rsidTr="00376422">
        <w:tc>
          <w:tcPr>
            <w:tcW w:w="3348" w:type="dxa"/>
            <w:tcBorders>
              <w:top w:val="nil"/>
              <w:bottom w:val="nil"/>
            </w:tcBorders>
            <w:shd w:val="clear" w:color="auto" w:fill="auto"/>
          </w:tcPr>
          <w:p w14:paraId="50BA4CFA" w14:textId="77777777" w:rsidR="006E00C8" w:rsidRPr="00246DEA" w:rsidRDefault="006E00C8" w:rsidP="007A396C">
            <w:pPr>
              <w:pStyle w:val="Table0"/>
              <w:rPr>
                <w:b w:val="0"/>
              </w:rPr>
            </w:pPr>
            <w:r w:rsidRPr="00246DEA">
              <w:rPr>
                <w:b w:val="0"/>
              </w:rPr>
              <w:t>Progression-free survival probability (%), (95% CI)</w:t>
            </w:r>
          </w:p>
        </w:tc>
        <w:tc>
          <w:tcPr>
            <w:tcW w:w="1300" w:type="dxa"/>
            <w:tcBorders>
              <w:top w:val="nil"/>
              <w:bottom w:val="nil"/>
            </w:tcBorders>
            <w:shd w:val="clear" w:color="auto" w:fill="auto"/>
          </w:tcPr>
          <w:p w14:paraId="1627ED43" w14:textId="77777777" w:rsidR="006E00C8" w:rsidRPr="00246DEA" w:rsidRDefault="006E00C8" w:rsidP="00BC47FF">
            <w:pPr>
              <w:pStyle w:val="Table0"/>
              <w:rPr>
                <w:b w:val="0"/>
              </w:rPr>
            </w:pPr>
          </w:p>
        </w:tc>
        <w:tc>
          <w:tcPr>
            <w:tcW w:w="1301" w:type="dxa"/>
            <w:tcBorders>
              <w:top w:val="nil"/>
              <w:bottom w:val="nil"/>
            </w:tcBorders>
            <w:shd w:val="clear" w:color="auto" w:fill="auto"/>
          </w:tcPr>
          <w:p w14:paraId="14C5E009" w14:textId="77777777" w:rsidR="006E00C8" w:rsidRPr="00246DEA" w:rsidRDefault="006E00C8" w:rsidP="00BC47FF">
            <w:pPr>
              <w:pStyle w:val="Table0"/>
              <w:rPr>
                <w:b w:val="0"/>
              </w:rPr>
            </w:pPr>
          </w:p>
        </w:tc>
        <w:tc>
          <w:tcPr>
            <w:tcW w:w="1301" w:type="dxa"/>
            <w:tcBorders>
              <w:top w:val="nil"/>
              <w:bottom w:val="nil"/>
            </w:tcBorders>
            <w:shd w:val="clear" w:color="auto" w:fill="auto"/>
          </w:tcPr>
          <w:p w14:paraId="063071B2" w14:textId="77777777" w:rsidR="006E00C8" w:rsidRPr="00246DEA" w:rsidRDefault="006E00C8" w:rsidP="00BC47FF">
            <w:pPr>
              <w:pStyle w:val="Table0"/>
              <w:rPr>
                <w:b w:val="0"/>
              </w:rPr>
            </w:pPr>
          </w:p>
        </w:tc>
        <w:tc>
          <w:tcPr>
            <w:tcW w:w="1301" w:type="dxa"/>
            <w:tcBorders>
              <w:top w:val="nil"/>
              <w:bottom w:val="nil"/>
            </w:tcBorders>
            <w:shd w:val="clear" w:color="auto" w:fill="auto"/>
          </w:tcPr>
          <w:p w14:paraId="0B866487" w14:textId="77777777" w:rsidR="006E00C8" w:rsidRPr="00246DEA" w:rsidRDefault="006E00C8" w:rsidP="00BC47FF">
            <w:pPr>
              <w:pStyle w:val="Table0"/>
              <w:rPr>
                <w:b w:val="0"/>
              </w:rPr>
            </w:pPr>
          </w:p>
        </w:tc>
      </w:tr>
      <w:tr w:rsidR="006E00C8" w:rsidRPr="000F6D80" w14:paraId="659A8F33" w14:textId="77777777" w:rsidTr="00376422">
        <w:tc>
          <w:tcPr>
            <w:tcW w:w="3348" w:type="dxa"/>
            <w:tcBorders>
              <w:top w:val="nil"/>
              <w:bottom w:val="nil"/>
            </w:tcBorders>
            <w:shd w:val="clear" w:color="auto" w:fill="auto"/>
          </w:tcPr>
          <w:p w14:paraId="392E40B7" w14:textId="77777777" w:rsidR="006E00C8" w:rsidRPr="00246DEA" w:rsidRDefault="006E00C8" w:rsidP="00BC47FF">
            <w:pPr>
              <w:pStyle w:val="Table0"/>
              <w:rPr>
                <w:b w:val="0"/>
              </w:rPr>
            </w:pPr>
            <w:r w:rsidRPr="00246DEA">
              <w:rPr>
                <w:b w:val="0"/>
              </w:rPr>
              <w:tab/>
              <w:t>6 months</w:t>
            </w:r>
          </w:p>
        </w:tc>
        <w:tc>
          <w:tcPr>
            <w:tcW w:w="1300" w:type="dxa"/>
            <w:tcBorders>
              <w:top w:val="nil"/>
              <w:bottom w:val="nil"/>
            </w:tcBorders>
            <w:shd w:val="clear" w:color="auto" w:fill="auto"/>
          </w:tcPr>
          <w:p w14:paraId="3E7575FC" w14:textId="77777777" w:rsidR="006E00C8" w:rsidRPr="00246DEA" w:rsidRDefault="006E00C8" w:rsidP="00BC47FF">
            <w:pPr>
              <w:pStyle w:val="Table0"/>
              <w:rPr>
                <w:b w:val="0"/>
              </w:rPr>
            </w:pPr>
            <w:r w:rsidRPr="00246DEA">
              <w:rPr>
                <w:b w:val="0"/>
              </w:rPr>
              <w:t>94.8 (84.6, 98.3)</w:t>
            </w:r>
          </w:p>
        </w:tc>
        <w:tc>
          <w:tcPr>
            <w:tcW w:w="1301" w:type="dxa"/>
            <w:tcBorders>
              <w:top w:val="nil"/>
              <w:bottom w:val="nil"/>
            </w:tcBorders>
            <w:shd w:val="clear" w:color="auto" w:fill="auto"/>
          </w:tcPr>
          <w:p w14:paraId="3B3C25A8" w14:textId="77777777" w:rsidR="006E00C8" w:rsidRPr="00246DEA" w:rsidRDefault="006E00C8" w:rsidP="00BC47FF">
            <w:pPr>
              <w:pStyle w:val="Table0"/>
              <w:rPr>
                <w:b w:val="0"/>
              </w:rPr>
            </w:pPr>
            <w:r w:rsidRPr="00246DEA">
              <w:rPr>
                <w:b w:val="0"/>
              </w:rPr>
              <w:t>80.8 (42.3, 94.9)</w:t>
            </w:r>
          </w:p>
        </w:tc>
        <w:tc>
          <w:tcPr>
            <w:tcW w:w="1301" w:type="dxa"/>
            <w:tcBorders>
              <w:top w:val="nil"/>
              <w:bottom w:val="nil"/>
            </w:tcBorders>
            <w:shd w:val="clear" w:color="auto" w:fill="auto"/>
          </w:tcPr>
          <w:p w14:paraId="0D7D6118" w14:textId="33156572" w:rsidR="006E00C8" w:rsidRPr="00246DEA" w:rsidRDefault="006E00C8" w:rsidP="00BC47FF">
            <w:pPr>
              <w:pStyle w:val="Table0"/>
              <w:rPr>
                <w:b w:val="0"/>
              </w:rPr>
            </w:pPr>
            <w:r w:rsidRPr="00246DEA">
              <w:rPr>
                <w:b w:val="0"/>
              </w:rPr>
              <w:t>94.8 (84.7, 98.3)</w:t>
            </w:r>
          </w:p>
        </w:tc>
        <w:tc>
          <w:tcPr>
            <w:tcW w:w="1301" w:type="dxa"/>
            <w:tcBorders>
              <w:top w:val="nil"/>
              <w:bottom w:val="nil"/>
            </w:tcBorders>
            <w:shd w:val="clear" w:color="auto" w:fill="auto"/>
          </w:tcPr>
          <w:p w14:paraId="1E029F00" w14:textId="77777777" w:rsidR="006E00C8" w:rsidRPr="00246DEA" w:rsidRDefault="006E00C8" w:rsidP="007624D5">
            <w:pPr>
              <w:pStyle w:val="Table0"/>
              <w:rPr>
                <w:b w:val="0"/>
              </w:rPr>
            </w:pPr>
            <w:r w:rsidRPr="00246DEA">
              <w:rPr>
                <w:b w:val="0"/>
              </w:rPr>
              <w:t>84.6 (51.2, 95.9)</w:t>
            </w:r>
          </w:p>
        </w:tc>
      </w:tr>
      <w:tr w:rsidR="006E00C8" w:rsidRPr="000F6D80" w14:paraId="0999BD56" w14:textId="77777777" w:rsidTr="00376422">
        <w:tc>
          <w:tcPr>
            <w:tcW w:w="3348" w:type="dxa"/>
            <w:tcBorders>
              <w:top w:val="nil"/>
              <w:bottom w:val="single" w:sz="4" w:space="0" w:color="auto"/>
            </w:tcBorders>
            <w:shd w:val="clear" w:color="auto" w:fill="auto"/>
          </w:tcPr>
          <w:p w14:paraId="75748D50" w14:textId="77777777" w:rsidR="006E00C8" w:rsidRPr="00246DEA" w:rsidRDefault="006E00C8" w:rsidP="00BC47FF">
            <w:pPr>
              <w:pStyle w:val="Table0"/>
              <w:rPr>
                <w:b w:val="0"/>
              </w:rPr>
            </w:pPr>
            <w:r w:rsidRPr="00246DEA">
              <w:rPr>
                <w:b w:val="0"/>
              </w:rPr>
              <w:tab/>
              <w:t>12 months</w:t>
            </w:r>
          </w:p>
        </w:tc>
        <w:tc>
          <w:tcPr>
            <w:tcW w:w="1300" w:type="dxa"/>
            <w:tcBorders>
              <w:top w:val="nil"/>
              <w:bottom w:val="single" w:sz="4" w:space="0" w:color="auto"/>
            </w:tcBorders>
            <w:shd w:val="clear" w:color="auto" w:fill="auto"/>
          </w:tcPr>
          <w:p w14:paraId="135E2496" w14:textId="292C8B05" w:rsidR="006E00C8" w:rsidRPr="00246DEA" w:rsidRDefault="006E00C8" w:rsidP="00BC47FF">
            <w:pPr>
              <w:pStyle w:val="Table0"/>
              <w:rPr>
                <w:b w:val="0"/>
              </w:rPr>
            </w:pPr>
            <w:r w:rsidRPr="00246DEA">
              <w:rPr>
                <w:b w:val="0"/>
              </w:rPr>
              <w:t>82.2 (67.0, 90.8)</w:t>
            </w:r>
          </w:p>
        </w:tc>
        <w:tc>
          <w:tcPr>
            <w:tcW w:w="1301" w:type="dxa"/>
            <w:tcBorders>
              <w:top w:val="nil"/>
              <w:bottom w:val="single" w:sz="4" w:space="0" w:color="auto"/>
            </w:tcBorders>
            <w:shd w:val="clear" w:color="auto" w:fill="auto"/>
          </w:tcPr>
          <w:p w14:paraId="1DAE3EF9" w14:textId="77777777" w:rsidR="006E00C8" w:rsidRPr="00246DEA" w:rsidRDefault="006E00C8" w:rsidP="00BC47FF">
            <w:pPr>
              <w:pStyle w:val="Table0"/>
              <w:rPr>
                <w:b w:val="0"/>
              </w:rPr>
            </w:pPr>
            <w:r w:rsidRPr="00246DEA">
              <w:rPr>
                <w:b w:val="0"/>
              </w:rPr>
              <w:t>58.9 (23.4, 82.5)</w:t>
            </w:r>
          </w:p>
        </w:tc>
        <w:tc>
          <w:tcPr>
            <w:tcW w:w="1301" w:type="dxa"/>
            <w:tcBorders>
              <w:top w:val="nil"/>
              <w:bottom w:val="single" w:sz="4" w:space="0" w:color="auto"/>
            </w:tcBorders>
            <w:shd w:val="clear" w:color="auto" w:fill="auto"/>
          </w:tcPr>
          <w:p w14:paraId="40B29DF0" w14:textId="715E0DF0" w:rsidR="006E00C8" w:rsidRPr="00246DEA" w:rsidRDefault="006E00C8" w:rsidP="00BC47FF">
            <w:pPr>
              <w:pStyle w:val="Table0"/>
              <w:rPr>
                <w:b w:val="0"/>
              </w:rPr>
            </w:pPr>
            <w:r w:rsidRPr="00246DEA">
              <w:rPr>
                <w:b w:val="0"/>
              </w:rPr>
              <w:t>76.0 (61.4, 85.7)</w:t>
            </w:r>
          </w:p>
        </w:tc>
        <w:tc>
          <w:tcPr>
            <w:tcW w:w="1301" w:type="dxa"/>
            <w:tcBorders>
              <w:top w:val="nil"/>
              <w:bottom w:val="single" w:sz="4" w:space="0" w:color="auto"/>
            </w:tcBorders>
            <w:shd w:val="clear" w:color="auto" w:fill="auto"/>
          </w:tcPr>
          <w:p w14:paraId="1F61E4F8" w14:textId="77777777" w:rsidR="006E00C8" w:rsidRPr="00246DEA" w:rsidRDefault="006E00C8" w:rsidP="007624D5">
            <w:pPr>
              <w:pStyle w:val="Table0"/>
              <w:rPr>
                <w:b w:val="0"/>
              </w:rPr>
            </w:pPr>
            <w:r w:rsidRPr="00246DEA">
              <w:rPr>
                <w:b w:val="0"/>
              </w:rPr>
              <w:t>57.1 (25.1, 79.7)</w:t>
            </w:r>
          </w:p>
        </w:tc>
      </w:tr>
    </w:tbl>
    <w:p w14:paraId="7C6F17DD" w14:textId="77777777" w:rsidR="006E00C8" w:rsidRPr="007A396C" w:rsidRDefault="006E00C8" w:rsidP="00BC47FF">
      <w:pPr>
        <w:pStyle w:val="Table0"/>
      </w:pPr>
    </w:p>
    <w:p w14:paraId="2E7C1C06" w14:textId="52763FB6" w:rsidR="00034346" w:rsidRPr="00246DEA" w:rsidRDefault="00034346" w:rsidP="00BC47FF">
      <w:pPr>
        <w:pStyle w:val="Table0"/>
        <w:rPr>
          <w:b w:val="0"/>
        </w:rPr>
      </w:pPr>
      <w:proofErr w:type="spellStart"/>
      <w:r w:rsidRPr="00246DEA">
        <w:rPr>
          <w:b w:val="0"/>
          <w:vertAlign w:val="superscript"/>
        </w:rPr>
        <w:t>a</w:t>
      </w:r>
      <w:r w:rsidRPr="00246DEA">
        <w:rPr>
          <w:b w:val="0"/>
        </w:rPr>
        <w:t>Full</w:t>
      </w:r>
      <w:proofErr w:type="spellEnd"/>
      <w:r w:rsidRPr="00246DEA">
        <w:rPr>
          <w:b w:val="0"/>
        </w:rPr>
        <w:t xml:space="preserve"> analysis set included all randomized patients.</w:t>
      </w:r>
      <w:r w:rsidR="00C84340" w:rsidRPr="00246DEA">
        <w:rPr>
          <w:b w:val="0"/>
        </w:rPr>
        <w:t xml:space="preserve"> *Event refers to disease progression or death due to any reason</w:t>
      </w:r>
    </w:p>
    <w:p w14:paraId="6A4BD6D0" w14:textId="77777777" w:rsidR="00034346" w:rsidRPr="00246DEA" w:rsidRDefault="00034346" w:rsidP="00BC47FF">
      <w:pPr>
        <w:pStyle w:val="Table0"/>
        <w:rPr>
          <w:b w:val="0"/>
        </w:rPr>
      </w:pPr>
      <w:r w:rsidRPr="00246DEA">
        <w:rPr>
          <w:b w:val="0"/>
        </w:rPr>
        <w:t>CI: confidence interval</w:t>
      </w:r>
    </w:p>
    <w:p w14:paraId="21947EBE" w14:textId="4B086E80" w:rsidR="00034346" w:rsidRPr="00246DEA" w:rsidRDefault="00034346" w:rsidP="007624D5">
      <w:pPr>
        <w:pStyle w:val="Table0"/>
        <w:rPr>
          <w:b w:val="0"/>
        </w:rPr>
      </w:pPr>
      <w:r w:rsidRPr="00246DEA">
        <w:rPr>
          <w:b w:val="0"/>
        </w:rPr>
        <w:t>NE: not estimable</w:t>
      </w:r>
    </w:p>
    <w:p w14:paraId="11E01549" w14:textId="77777777" w:rsidR="008B640C" w:rsidRDefault="008B640C" w:rsidP="00034346">
      <w:pPr>
        <w:pStyle w:val="Text"/>
        <w:rPr>
          <w:b w:val="0"/>
        </w:rPr>
      </w:pPr>
    </w:p>
    <w:p w14:paraId="58CF1650" w14:textId="72E52453" w:rsidR="00034346" w:rsidRDefault="00034346" w:rsidP="00034346">
      <w:pPr>
        <w:pStyle w:val="Text"/>
        <w:rPr>
          <w:szCs w:val="20"/>
        </w:rPr>
      </w:pPr>
      <w:r w:rsidRPr="00034346">
        <w:rPr>
          <w:b w:val="0"/>
        </w:rPr>
        <w:t xml:space="preserve">Figures 1 and 2 show the best change in target lesion size for each patient with </w:t>
      </w:r>
      <w:proofErr w:type="spellStart"/>
      <w:r w:rsidRPr="00034346">
        <w:rPr>
          <w:b w:val="0"/>
        </w:rPr>
        <w:t>laBCC</w:t>
      </w:r>
      <w:proofErr w:type="spellEnd"/>
      <w:r w:rsidRPr="00034346">
        <w:rPr>
          <w:b w:val="0"/>
        </w:rPr>
        <w:t xml:space="preserve"> (Figure </w:t>
      </w:r>
      <w:r>
        <w:rPr>
          <w:b w:val="0"/>
        </w:rPr>
        <w:t>1</w:t>
      </w:r>
      <w:r w:rsidRPr="00034346">
        <w:rPr>
          <w:b w:val="0"/>
        </w:rPr>
        <w:t xml:space="preserve">) and </w:t>
      </w:r>
      <w:proofErr w:type="spellStart"/>
      <w:r w:rsidRPr="00034346">
        <w:rPr>
          <w:b w:val="0"/>
        </w:rPr>
        <w:t>mBCC</w:t>
      </w:r>
      <w:proofErr w:type="spellEnd"/>
      <w:r w:rsidRPr="00034346">
        <w:rPr>
          <w:b w:val="0"/>
        </w:rPr>
        <w:t xml:space="preserve"> (Figure 2) </w:t>
      </w:r>
      <w:r w:rsidR="00C84340">
        <w:rPr>
          <w:b w:val="0"/>
        </w:rPr>
        <w:t xml:space="preserve">at the dose of 200 mg </w:t>
      </w:r>
      <w:r w:rsidRPr="00034346">
        <w:rPr>
          <w:b w:val="0"/>
        </w:rPr>
        <w:t>per central review.</w:t>
      </w:r>
    </w:p>
    <w:p w14:paraId="1B97EC5B" w14:textId="658243C3" w:rsidR="00034346" w:rsidRDefault="00034346" w:rsidP="00034346">
      <w:pPr>
        <w:pStyle w:val="Heading7"/>
      </w:pPr>
      <w:bookmarkStart w:id="6" w:name="_Toc384821977"/>
      <w:r w:rsidRPr="00034346">
        <w:rPr>
          <w:rFonts w:ascii="Times New Roman" w:hAnsi="Times New Roman"/>
        </w:rPr>
        <w:lastRenderedPageBreak/>
        <w:t>Figure 1:</w:t>
      </w:r>
      <w:r w:rsidRPr="00034346">
        <w:rPr>
          <w:rFonts w:ascii="Times New Roman" w:hAnsi="Times New Roman"/>
        </w:rPr>
        <w:tab/>
        <w:t xml:space="preserve">Best change from baseline in the target lesions of </w:t>
      </w:r>
      <w:proofErr w:type="spellStart"/>
      <w:r w:rsidRPr="00034346">
        <w:rPr>
          <w:rFonts w:ascii="Times New Roman" w:hAnsi="Times New Roman"/>
        </w:rPr>
        <w:t>laBCC</w:t>
      </w:r>
      <w:proofErr w:type="spellEnd"/>
      <w:r w:rsidRPr="00034346">
        <w:rPr>
          <w:rFonts w:ascii="Times New Roman" w:hAnsi="Times New Roman"/>
        </w:rPr>
        <w:t xml:space="preserve"> patients </w:t>
      </w:r>
      <w:r w:rsidR="00C84340">
        <w:rPr>
          <w:rFonts w:ascii="Times New Roman" w:hAnsi="Times New Roman"/>
        </w:rPr>
        <w:t xml:space="preserve">per </w:t>
      </w:r>
      <w:r w:rsidRPr="00034346">
        <w:rPr>
          <w:rFonts w:ascii="Times New Roman" w:hAnsi="Times New Roman"/>
        </w:rPr>
        <w:t xml:space="preserve">central review by FAS </w:t>
      </w:r>
      <w:bookmarkEnd w:id="6"/>
    </w:p>
    <w:p w14:paraId="2E532B1D" w14:textId="516E8C12" w:rsidR="00034346" w:rsidRDefault="00034346" w:rsidP="00034346">
      <w:pPr>
        <w:pStyle w:val="Text"/>
      </w:pPr>
    </w:p>
    <w:p w14:paraId="47A9B906" w14:textId="52658C39" w:rsidR="00034346" w:rsidRDefault="00376422" w:rsidP="00034346">
      <w:pPr>
        <w:pStyle w:val="Text"/>
      </w:pPr>
      <w:r>
        <w:rPr>
          <w:noProof/>
          <w:lang w:val="en-AU" w:eastAsia="en-AU"/>
        </w:rPr>
        <w:drawing>
          <wp:inline distT="0" distB="0" distL="0" distR="0" wp14:anchorId="6A856936" wp14:editId="02ACB46C">
            <wp:extent cx="4504762" cy="3333334"/>
            <wp:effectExtent l="0" t="0" r="0" b="63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4762" cy="3333334"/>
                    </a:xfrm>
                    <a:prstGeom prst="rect">
                      <a:avLst/>
                    </a:prstGeom>
                  </pic:spPr>
                </pic:pic>
              </a:graphicData>
            </a:graphic>
          </wp:inline>
        </w:drawing>
      </w:r>
    </w:p>
    <w:p w14:paraId="006ED955" w14:textId="77777777" w:rsidR="00376422" w:rsidRDefault="00376422" w:rsidP="000D6F80">
      <w:pPr>
        <w:pStyle w:val="Heading7"/>
        <w:rPr>
          <w:rFonts w:ascii="Times New Roman" w:hAnsi="Times New Roman"/>
        </w:rPr>
      </w:pPr>
      <w:bookmarkStart w:id="7" w:name="_Toc384821978"/>
    </w:p>
    <w:p w14:paraId="26F6DE33" w14:textId="3EC91EDB" w:rsidR="000D6F80" w:rsidRDefault="000D6F80" w:rsidP="007A396C">
      <w:pPr>
        <w:pStyle w:val="Heading7"/>
      </w:pPr>
      <w:r w:rsidRPr="000D6F80">
        <w:rPr>
          <w:rFonts w:ascii="Times New Roman" w:hAnsi="Times New Roman"/>
        </w:rPr>
        <w:t>Figure</w:t>
      </w:r>
      <w:r>
        <w:rPr>
          <w:rFonts w:ascii="Times New Roman" w:hAnsi="Times New Roman"/>
        </w:rPr>
        <w:t xml:space="preserve"> 2:</w:t>
      </w:r>
      <w:r w:rsidRPr="000D6F80">
        <w:rPr>
          <w:rFonts w:ascii="Times New Roman" w:hAnsi="Times New Roman"/>
        </w:rPr>
        <w:tab/>
        <w:t xml:space="preserve">Best change from baseline in the target lesions of </w:t>
      </w:r>
      <w:proofErr w:type="spellStart"/>
      <w:r w:rsidRPr="000D6F80">
        <w:rPr>
          <w:rFonts w:ascii="Times New Roman" w:hAnsi="Times New Roman"/>
        </w:rPr>
        <w:t>mBCC</w:t>
      </w:r>
      <w:proofErr w:type="spellEnd"/>
      <w:r w:rsidRPr="000D6F80">
        <w:rPr>
          <w:rFonts w:ascii="Times New Roman" w:hAnsi="Times New Roman"/>
        </w:rPr>
        <w:t xml:space="preserve"> patients per central review by FAS</w:t>
      </w:r>
      <w:bookmarkEnd w:id="7"/>
    </w:p>
    <w:p w14:paraId="481774A9" w14:textId="69F15E92" w:rsidR="00C84340" w:rsidRDefault="002C6193" w:rsidP="000D6F80">
      <w:pPr>
        <w:pStyle w:val="Text"/>
        <w:rPr>
          <w:b w:val="0"/>
        </w:rPr>
      </w:pPr>
      <w:r>
        <w:rPr>
          <w:noProof/>
          <w:lang w:val="en-AU" w:eastAsia="en-AU"/>
        </w:rPr>
        <w:drawing>
          <wp:inline distT="0" distB="0" distL="0" distR="0" wp14:anchorId="6BC5FF12" wp14:editId="6AE804CD">
            <wp:extent cx="5732145" cy="3881759"/>
            <wp:effectExtent l="0" t="0" r="1905" b="444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3881759"/>
                    </a:xfrm>
                    <a:prstGeom prst="rect">
                      <a:avLst/>
                    </a:prstGeom>
                  </pic:spPr>
                </pic:pic>
              </a:graphicData>
            </a:graphic>
          </wp:inline>
        </w:drawing>
      </w:r>
    </w:p>
    <w:p w14:paraId="7FAB8F00" w14:textId="5C230911" w:rsidR="000D6F80" w:rsidRDefault="000D6F80" w:rsidP="000D6F80">
      <w:pPr>
        <w:pStyle w:val="Text"/>
        <w:rPr>
          <w:b w:val="0"/>
        </w:rPr>
      </w:pPr>
      <w:r w:rsidRPr="000D6F80">
        <w:rPr>
          <w:b w:val="0"/>
        </w:rPr>
        <w:t>The estimated PFS rate at 12 months was 8</w:t>
      </w:r>
      <w:r w:rsidR="00C84340">
        <w:rPr>
          <w:b w:val="0"/>
        </w:rPr>
        <w:t>2</w:t>
      </w:r>
      <w:r w:rsidRPr="000D6F80">
        <w:rPr>
          <w:b w:val="0"/>
        </w:rPr>
        <w:t xml:space="preserve">% for </w:t>
      </w:r>
      <w:proofErr w:type="spellStart"/>
      <w:r w:rsidRPr="000D6F80">
        <w:rPr>
          <w:b w:val="0"/>
        </w:rPr>
        <w:t>laBCC</w:t>
      </w:r>
      <w:proofErr w:type="spellEnd"/>
      <w:r w:rsidRPr="000D6F80">
        <w:rPr>
          <w:b w:val="0"/>
        </w:rPr>
        <w:t xml:space="preserve"> and </w:t>
      </w:r>
      <w:r w:rsidR="00C84340">
        <w:rPr>
          <w:b w:val="0"/>
        </w:rPr>
        <w:t>59</w:t>
      </w:r>
      <w:r w:rsidRPr="000D6F80">
        <w:rPr>
          <w:b w:val="0"/>
        </w:rPr>
        <w:t xml:space="preserve">% for </w:t>
      </w:r>
      <w:proofErr w:type="spellStart"/>
      <w:r w:rsidRPr="000D6F80">
        <w:rPr>
          <w:b w:val="0"/>
        </w:rPr>
        <w:t>mBCC</w:t>
      </w:r>
      <w:proofErr w:type="spellEnd"/>
      <w:r w:rsidRPr="000D6F80">
        <w:rPr>
          <w:b w:val="0"/>
        </w:rPr>
        <w:t xml:space="preserve"> patients taking Odomzo200 mg based on central review (Figure</w:t>
      </w:r>
      <w:r>
        <w:rPr>
          <w:b w:val="0"/>
        </w:rPr>
        <w:t xml:space="preserve"> </w:t>
      </w:r>
      <w:r w:rsidR="00250E8E">
        <w:rPr>
          <w:b w:val="0"/>
        </w:rPr>
        <w:t>3</w:t>
      </w:r>
      <w:r>
        <w:rPr>
          <w:b w:val="0"/>
        </w:rPr>
        <w:t>)</w:t>
      </w:r>
      <w:r w:rsidRPr="000D6F80">
        <w:rPr>
          <w:b w:val="0"/>
        </w:rPr>
        <w:t>.</w:t>
      </w:r>
      <w:bookmarkStart w:id="8" w:name="_Toc384821979"/>
    </w:p>
    <w:p w14:paraId="3B17153A" w14:textId="77777777" w:rsidR="003032D1" w:rsidRDefault="003032D1">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r>
        <w:br w:type="page"/>
      </w:r>
    </w:p>
    <w:p w14:paraId="7A660FD0" w14:textId="7CB15BAE" w:rsidR="003032D1" w:rsidRDefault="000D6F80" w:rsidP="000D6F80">
      <w:pPr>
        <w:pStyle w:val="Text"/>
      </w:pPr>
      <w:r>
        <w:lastRenderedPageBreak/>
        <w:t xml:space="preserve">Figure 3: Kaplan-Meier plot of PFS per </w:t>
      </w:r>
      <w:r w:rsidR="008F0330">
        <w:t xml:space="preserve">central review </w:t>
      </w:r>
      <w:r>
        <w:t xml:space="preserve">by FAS </w:t>
      </w:r>
      <w:bookmarkEnd w:id="8"/>
    </w:p>
    <w:p w14:paraId="7929F89E" w14:textId="38799579" w:rsidR="000D6F80" w:rsidRDefault="006F639C" w:rsidP="000D6F80">
      <w:pPr>
        <w:pStyle w:val="Text"/>
      </w:pPr>
      <w:r>
        <w:rPr>
          <w:noProof/>
          <w:lang w:val="en-AU" w:eastAsia="en-AU"/>
        </w:rPr>
        <w:drawing>
          <wp:inline distT="0" distB="0" distL="0" distR="0" wp14:anchorId="1CBE6B60" wp14:editId="5F036A39">
            <wp:extent cx="5732145" cy="3020399"/>
            <wp:effectExtent l="0" t="0" r="1905"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2145" cy="3020399"/>
                    </a:xfrm>
                    <a:prstGeom prst="rect">
                      <a:avLst/>
                    </a:prstGeom>
                  </pic:spPr>
                </pic:pic>
              </a:graphicData>
            </a:graphic>
          </wp:inline>
        </w:drawing>
      </w:r>
    </w:p>
    <w:p w14:paraId="5A33AB13" w14:textId="31F51C54" w:rsidR="000D6F80" w:rsidRDefault="000D6F80" w:rsidP="000D6F80">
      <w:pPr>
        <w:pStyle w:val="Text"/>
        <w:rPr>
          <w:b w:val="0"/>
        </w:rPr>
      </w:pPr>
      <w:r w:rsidRPr="000D6F80">
        <w:rPr>
          <w:b w:val="0"/>
        </w:rPr>
        <w:t>Patient-reported outcomes were evaluated as an exploratory endpoint to evaluate changes in disease-related symptoms (e.g. pain, fatigue, and weight loss), functioning (e.g. physical function, social function, trouble with social contact), and health status/quality of life (</w:t>
      </w:r>
      <w:proofErr w:type="spellStart"/>
      <w:r w:rsidRPr="000D6F80">
        <w:rPr>
          <w:b w:val="0"/>
        </w:rPr>
        <w:t>QoL</w:t>
      </w:r>
      <w:proofErr w:type="spellEnd"/>
      <w:r w:rsidRPr="000D6F80">
        <w:rPr>
          <w:b w:val="0"/>
        </w:rPr>
        <w:t>) using the European Organization for Research and Treatment of Cancer Quality of Life Questionnaire Core 30 (EORTC QLQ-C30) and its associated head and neck cancer specific module (H&amp;N35).</w:t>
      </w:r>
    </w:p>
    <w:p w14:paraId="234C85F4" w14:textId="0E286455" w:rsidR="000D6F80" w:rsidRPr="000D6F80" w:rsidRDefault="000D6F80" w:rsidP="000D6F80">
      <w:pPr>
        <w:pStyle w:val="Text"/>
        <w:rPr>
          <w:b w:val="0"/>
        </w:rPr>
      </w:pPr>
      <w:r w:rsidRPr="000D6F80">
        <w:rPr>
          <w:b w:val="0"/>
        </w:rPr>
        <w:t>Results</w:t>
      </w:r>
      <w:r w:rsidR="005C69B5">
        <w:rPr>
          <w:b w:val="0"/>
        </w:rPr>
        <w:t>, from 18 months follow up data for all patients unless discontinued earlier,</w:t>
      </w:r>
      <w:r w:rsidRPr="000D6F80">
        <w:rPr>
          <w:b w:val="0"/>
        </w:rPr>
        <w:t xml:space="preserve"> confirmed the consistency of the observed treatment effect in patients with </w:t>
      </w:r>
      <w:proofErr w:type="spellStart"/>
      <w:r w:rsidRPr="000D6F80">
        <w:rPr>
          <w:b w:val="0"/>
        </w:rPr>
        <w:t>laBCC</w:t>
      </w:r>
      <w:proofErr w:type="spellEnd"/>
      <w:r w:rsidRPr="000D6F80">
        <w:rPr>
          <w:b w:val="0"/>
        </w:rPr>
        <w:t xml:space="preserve"> or </w:t>
      </w:r>
      <w:proofErr w:type="spellStart"/>
      <w:r w:rsidRPr="000D6F80">
        <w:rPr>
          <w:b w:val="0"/>
        </w:rPr>
        <w:t>mBCC</w:t>
      </w:r>
      <w:proofErr w:type="spellEnd"/>
      <w:r w:rsidRPr="000D6F80">
        <w:rPr>
          <w:b w:val="0"/>
        </w:rPr>
        <w:t xml:space="preserve">. The majority of patients experienced maintenance and/or improvement in their disease-related symptoms, functioning, and health status. Time to deterioration in the </w:t>
      </w:r>
      <w:proofErr w:type="spellStart"/>
      <w:r w:rsidRPr="000D6F80">
        <w:rPr>
          <w:b w:val="0"/>
        </w:rPr>
        <w:t>prespecified</w:t>
      </w:r>
      <w:proofErr w:type="spellEnd"/>
      <w:r w:rsidRPr="000D6F80">
        <w:rPr>
          <w:b w:val="0"/>
        </w:rPr>
        <w:t xml:space="preserve"> PRO scales (corresponding to &gt;10-point </w:t>
      </w:r>
      <w:proofErr w:type="spellStart"/>
      <w:r w:rsidRPr="000D6F80">
        <w:rPr>
          <w:b w:val="0"/>
        </w:rPr>
        <w:t>worsenings</w:t>
      </w:r>
      <w:proofErr w:type="spellEnd"/>
      <w:r w:rsidRPr="000D6F80">
        <w:rPr>
          <w:b w:val="0"/>
        </w:rPr>
        <w:t xml:space="preserve"> without subsequent improvement) essentially mirrored the estimated PFS, reflecting durable clinical benefit</w:t>
      </w:r>
      <w:r>
        <w:rPr>
          <w:b w:val="0"/>
        </w:rPr>
        <w:t>.</w:t>
      </w:r>
    </w:p>
    <w:p w14:paraId="708AD970" w14:textId="77777777" w:rsidR="00034346" w:rsidRPr="00924F26" w:rsidRDefault="00034346" w:rsidP="00924F26">
      <w:pPr>
        <w:pStyle w:val="paragraph"/>
        <w:rPr>
          <w:lang w:val="pt-BR"/>
        </w:rPr>
      </w:pPr>
    </w:p>
    <w:p w14:paraId="0840EE8F" w14:textId="77777777" w:rsidR="006D0C74" w:rsidRDefault="00F22127" w:rsidP="007F46FD">
      <w:pPr>
        <w:pStyle w:val="Heading1"/>
        <w:rPr>
          <w:lang w:val="pt-BR"/>
        </w:rPr>
      </w:pPr>
      <w:r w:rsidRPr="00BC6DA6">
        <w:rPr>
          <w:lang w:val="pt-BR"/>
        </w:rPr>
        <w:t>INDICATIONS</w:t>
      </w:r>
    </w:p>
    <w:p w14:paraId="2B7CCAF2" w14:textId="77777777" w:rsidR="000D6F80" w:rsidRPr="000D6F80" w:rsidRDefault="000D6F80" w:rsidP="000D6F80">
      <w:pPr>
        <w:pStyle w:val="Text"/>
        <w:rPr>
          <w:b w:val="0"/>
        </w:rPr>
      </w:pPr>
      <w:r w:rsidRPr="000D6F80">
        <w:rPr>
          <w:b w:val="0"/>
        </w:rPr>
        <w:t>Odomzo</w:t>
      </w:r>
      <w:r w:rsidRPr="000D6F80">
        <w:rPr>
          <w:b w:val="0"/>
          <w:vertAlign w:val="superscript"/>
        </w:rPr>
        <w:t xml:space="preserve"> </w:t>
      </w:r>
      <w:r w:rsidRPr="000D6F80">
        <w:rPr>
          <w:b w:val="0"/>
        </w:rPr>
        <w:t>is indicated for the treatment of adult patients with:</w:t>
      </w:r>
    </w:p>
    <w:p w14:paraId="127C20BA" w14:textId="77777777" w:rsidR="000D6F80" w:rsidRPr="000D6F80" w:rsidRDefault="000D6F80" w:rsidP="003068EE">
      <w:pPr>
        <w:pStyle w:val="Listlevel1"/>
        <w:numPr>
          <w:ilvl w:val="0"/>
          <w:numId w:val="1"/>
        </w:numPr>
        <w:rPr>
          <w:lang w:val="pt-BR"/>
        </w:rPr>
      </w:pPr>
      <w:r w:rsidRPr="000D6F80">
        <w:t>Locally advanced basal cell carcinoma (BCC) who are not amenable to curative surgery or radiation therapy.</w:t>
      </w:r>
    </w:p>
    <w:p w14:paraId="062AAB29" w14:textId="0898C3AB" w:rsidR="00924F26" w:rsidRPr="000D6F80" w:rsidRDefault="000D6F80" w:rsidP="003068EE">
      <w:pPr>
        <w:pStyle w:val="Listlevel1"/>
        <w:numPr>
          <w:ilvl w:val="0"/>
          <w:numId w:val="1"/>
        </w:numPr>
        <w:rPr>
          <w:lang w:val="pt-BR"/>
        </w:rPr>
      </w:pPr>
      <w:r w:rsidRPr="000D6F80">
        <w:t>Metastatic BCC</w:t>
      </w:r>
      <w:r>
        <w:t>.</w:t>
      </w:r>
    </w:p>
    <w:p w14:paraId="44CDE2F6" w14:textId="77777777" w:rsidR="000D6F80" w:rsidRPr="00924F26" w:rsidRDefault="000D6F80" w:rsidP="00924F26">
      <w:pPr>
        <w:pStyle w:val="paragraph"/>
        <w:rPr>
          <w:lang w:val="pt-BR"/>
        </w:rPr>
      </w:pPr>
    </w:p>
    <w:p w14:paraId="0840EE90" w14:textId="77777777" w:rsidR="006D0C74" w:rsidRDefault="00F22127" w:rsidP="007F46FD">
      <w:pPr>
        <w:pStyle w:val="Heading1"/>
        <w:rPr>
          <w:lang w:val="pt-BR"/>
        </w:rPr>
      </w:pPr>
      <w:r w:rsidRPr="00924F26">
        <w:rPr>
          <w:lang w:val="pt-BR"/>
        </w:rPr>
        <w:t>CONTRAINDICATIONS</w:t>
      </w:r>
    </w:p>
    <w:p w14:paraId="2DF4F31A" w14:textId="55D8DCD9" w:rsidR="00924F26" w:rsidRDefault="000D6F80" w:rsidP="00924F26">
      <w:pPr>
        <w:pStyle w:val="paragraph"/>
        <w:rPr>
          <w:b w:val="0"/>
        </w:rPr>
      </w:pPr>
      <w:r w:rsidRPr="000D6F80">
        <w:rPr>
          <w:b w:val="0"/>
        </w:rPr>
        <w:t xml:space="preserve">Women who are pregnant or breast-feeding </w:t>
      </w:r>
      <w:r w:rsidRPr="00283FF4">
        <w:rPr>
          <w:b w:val="0"/>
        </w:rPr>
        <w:t xml:space="preserve">(see Precautions </w:t>
      </w:r>
      <w:r w:rsidR="00283FF4" w:rsidRPr="00283FF4">
        <w:rPr>
          <w:b w:val="0"/>
        </w:rPr>
        <w:t>–</w:t>
      </w:r>
      <w:r w:rsidRPr="00283FF4">
        <w:rPr>
          <w:b w:val="0"/>
        </w:rPr>
        <w:t xml:space="preserve"> </w:t>
      </w:r>
      <w:r w:rsidR="00283FF4" w:rsidRPr="00283FF4">
        <w:rPr>
          <w:b w:val="0"/>
        </w:rPr>
        <w:t xml:space="preserve">Use in Pregnancy, </w:t>
      </w:r>
      <w:r w:rsidRPr="00283FF4">
        <w:rPr>
          <w:b w:val="0"/>
        </w:rPr>
        <w:t xml:space="preserve">and </w:t>
      </w:r>
      <w:r w:rsidR="00283FF4" w:rsidRPr="00283FF4">
        <w:rPr>
          <w:b w:val="0"/>
        </w:rPr>
        <w:t>Use in Lactation</w:t>
      </w:r>
      <w:r w:rsidRPr="00283FF4">
        <w:rPr>
          <w:b w:val="0"/>
        </w:rPr>
        <w:t>).</w:t>
      </w:r>
    </w:p>
    <w:p w14:paraId="75755D06" w14:textId="1883C772" w:rsidR="006C13BD" w:rsidRPr="000D6F80" w:rsidRDefault="006C13BD" w:rsidP="00924F26">
      <w:pPr>
        <w:pStyle w:val="paragraph"/>
        <w:rPr>
          <w:b w:val="0"/>
          <w:lang w:val="pt-BR"/>
        </w:rPr>
      </w:pPr>
      <w:r>
        <w:rPr>
          <w:b w:val="0"/>
        </w:rPr>
        <w:lastRenderedPageBreak/>
        <w:t xml:space="preserve">Women of child-bearing potential, unless two reliable methods of contraception are used during treatment and for 20 months after the last dose (see Precautions - </w:t>
      </w:r>
      <w:r w:rsidRPr="00283FF4">
        <w:rPr>
          <w:b w:val="0"/>
        </w:rPr>
        <w:t>Women of child-bearing potential and sexually active men</w:t>
      </w:r>
      <w:r>
        <w:rPr>
          <w:b w:val="0"/>
        </w:rPr>
        <w:t>).</w:t>
      </w:r>
    </w:p>
    <w:p w14:paraId="246DE03E" w14:textId="77777777" w:rsidR="00246DEA" w:rsidRDefault="00246DEA" w:rsidP="007F46FD">
      <w:pPr>
        <w:pStyle w:val="Heading1"/>
        <w:rPr>
          <w:lang w:val="pt-BR"/>
        </w:rPr>
      </w:pPr>
    </w:p>
    <w:p w14:paraId="291EF08F" w14:textId="784ED8D8" w:rsidR="00924F26" w:rsidRDefault="00F22127" w:rsidP="007F46FD">
      <w:pPr>
        <w:pStyle w:val="Heading1"/>
        <w:rPr>
          <w:lang w:val="pt-BR"/>
        </w:rPr>
      </w:pPr>
      <w:r w:rsidRPr="00924F26">
        <w:rPr>
          <w:lang w:val="pt-BR"/>
        </w:rPr>
        <w:t>PRECAUTIONS</w:t>
      </w:r>
    </w:p>
    <w:p w14:paraId="4DFC138D" w14:textId="13239494" w:rsidR="004D2C9A" w:rsidRPr="004D2C9A" w:rsidRDefault="004D2C9A" w:rsidP="004D2C9A">
      <w:pPr>
        <w:pStyle w:val="Nottoc-headings0"/>
        <w:rPr>
          <w:rFonts w:ascii="Times New Roman" w:hAnsi="Times New Roman"/>
          <w:sz w:val="24"/>
        </w:rPr>
      </w:pPr>
      <w:r w:rsidRPr="004D2C9A">
        <w:rPr>
          <w:rFonts w:ascii="Times New Roman" w:hAnsi="Times New Roman"/>
          <w:sz w:val="24"/>
        </w:rPr>
        <w:t>Muscle related adverse events</w:t>
      </w:r>
      <w:bookmarkStart w:id="9" w:name="_1310029Muscle_related_events"/>
      <w:bookmarkEnd w:id="9"/>
    </w:p>
    <w:p w14:paraId="035EF434" w14:textId="2E32BC8F" w:rsidR="004D2C9A" w:rsidRPr="004D2C9A" w:rsidRDefault="004D2C9A" w:rsidP="004D2C9A">
      <w:pPr>
        <w:pStyle w:val="Text"/>
        <w:rPr>
          <w:b w:val="0"/>
        </w:rPr>
      </w:pPr>
      <w:r w:rsidRPr="004D2C9A">
        <w:rPr>
          <w:b w:val="0"/>
        </w:rPr>
        <w:t xml:space="preserve">Advise all patients starting therapy with Odomzo of the risk of muscle related adverse events including the potential </w:t>
      </w:r>
      <w:r w:rsidR="004B3D67">
        <w:rPr>
          <w:b w:val="0"/>
        </w:rPr>
        <w:t>for</w:t>
      </w:r>
      <w:r w:rsidRPr="004D2C9A">
        <w:rPr>
          <w:b w:val="0"/>
        </w:rPr>
        <w:t xml:space="preserve"> rhabdomyolysis. Advise all patients to report promptly any new unexplained muscle pain, tenderness or weakness occurring during treatment with Odomzo or if symptoms persist after discontinuing treatment.</w:t>
      </w:r>
    </w:p>
    <w:p w14:paraId="6CCB2BBB" w14:textId="4BAD55BD" w:rsidR="004D2C9A" w:rsidRPr="004D2C9A" w:rsidRDefault="004A10FA" w:rsidP="004D2C9A">
      <w:pPr>
        <w:pStyle w:val="Text"/>
        <w:rPr>
          <w:b w:val="0"/>
        </w:rPr>
      </w:pPr>
      <w:r>
        <w:rPr>
          <w:b w:val="0"/>
        </w:rPr>
        <w:t xml:space="preserve">Check </w:t>
      </w:r>
      <w:r w:rsidR="004D2C9A" w:rsidRPr="004D2C9A">
        <w:rPr>
          <w:b w:val="0"/>
        </w:rPr>
        <w:t xml:space="preserve">CK levels prior to starting treatment and as clinically indicated thereafter, </w:t>
      </w:r>
      <w:proofErr w:type="spellStart"/>
      <w:r w:rsidR="004B3D67">
        <w:rPr>
          <w:b w:val="0"/>
        </w:rPr>
        <w:t>eg</w:t>
      </w:r>
      <w:proofErr w:type="spellEnd"/>
      <w:r w:rsidR="004B3D67">
        <w:rPr>
          <w:b w:val="0"/>
        </w:rPr>
        <w:t xml:space="preserve"> </w:t>
      </w:r>
      <w:r w:rsidR="004D2C9A" w:rsidRPr="004D2C9A">
        <w:rPr>
          <w:b w:val="0"/>
        </w:rPr>
        <w:t>if muscle related symptoms are reported. If clinically notable elevation of CK is detected, renal function should be assessed (see Dosage and administration).</w:t>
      </w:r>
    </w:p>
    <w:p w14:paraId="495991A8" w14:textId="6C6834DD" w:rsidR="004D2C9A" w:rsidRDefault="004A10FA" w:rsidP="004D2C9A">
      <w:pPr>
        <w:pStyle w:val="Text"/>
        <w:rPr>
          <w:b w:val="0"/>
        </w:rPr>
      </w:pPr>
      <w:r>
        <w:rPr>
          <w:b w:val="0"/>
        </w:rPr>
        <w:t>Follow d</w:t>
      </w:r>
      <w:r w:rsidR="004D2C9A" w:rsidRPr="004D2C9A">
        <w:rPr>
          <w:b w:val="0"/>
        </w:rPr>
        <w:t>ose modification or interruption guidelines (see Dosage and administration, Dose adjustment). Management of high grade CK elevation using supportive therapy, including proper hydration, should be considered according to local standards of medical practice and treatment guidelines.</w:t>
      </w:r>
    </w:p>
    <w:p w14:paraId="5B0FCA6E" w14:textId="77777777" w:rsidR="003F2CBE" w:rsidRPr="004D2C9A" w:rsidRDefault="003F2CBE" w:rsidP="003F2CBE">
      <w:pPr>
        <w:pStyle w:val="Text"/>
        <w:rPr>
          <w:b w:val="0"/>
        </w:rPr>
      </w:pPr>
      <w:r w:rsidRPr="004D2C9A">
        <w:rPr>
          <w:b w:val="0"/>
        </w:rPr>
        <w:t xml:space="preserve">In the phase II pivotal study, muscle spasms, myalgia, myopathy and cases of CK elevations were observed. The majority of patients treated with Odomzo 200 mg daily who had </w:t>
      </w:r>
      <w:r>
        <w:rPr>
          <w:b w:val="0"/>
        </w:rPr>
        <w:t>G</w:t>
      </w:r>
      <w:r w:rsidRPr="004D2C9A">
        <w:rPr>
          <w:b w:val="0"/>
        </w:rPr>
        <w:t xml:space="preserve">rade 2 or higher CK elevations developed muscle symptoms prior to the CK elevations. </w:t>
      </w:r>
      <w:r w:rsidRPr="004B3D67">
        <w:rPr>
          <w:b w:val="0"/>
        </w:rPr>
        <w:t xml:space="preserve">For most patients, </w:t>
      </w:r>
      <w:r>
        <w:rPr>
          <w:b w:val="0"/>
        </w:rPr>
        <w:t>m</w:t>
      </w:r>
      <w:r w:rsidRPr="004D2C9A">
        <w:rPr>
          <w:b w:val="0"/>
        </w:rPr>
        <w:t xml:space="preserve">uscle symptoms and CK elevations  resolved with </w:t>
      </w:r>
      <w:r>
        <w:rPr>
          <w:b w:val="0"/>
        </w:rPr>
        <w:t xml:space="preserve">appropriate </w:t>
      </w:r>
      <w:r w:rsidRPr="004D2C9A">
        <w:rPr>
          <w:b w:val="0"/>
        </w:rPr>
        <w:t>proper management.</w:t>
      </w:r>
    </w:p>
    <w:p w14:paraId="0C35A317" w14:textId="29198326" w:rsidR="004D2C9A" w:rsidRPr="004D2C9A" w:rsidRDefault="004A10FA" w:rsidP="004D2C9A">
      <w:pPr>
        <w:pStyle w:val="Text"/>
        <w:rPr>
          <w:b w:val="0"/>
        </w:rPr>
      </w:pPr>
      <w:r>
        <w:rPr>
          <w:b w:val="0"/>
        </w:rPr>
        <w:t>Closely monitor p</w:t>
      </w:r>
      <w:r w:rsidR="004D2C9A" w:rsidRPr="004D2C9A">
        <w:rPr>
          <w:b w:val="0"/>
        </w:rPr>
        <w:t xml:space="preserve">atients for muscle related symptoms if Odomzo is used in combination with certain medications that may increase the potential risk of developing muscle toxicity (e.g. CYP3A inhibitors, chloroquine, </w:t>
      </w:r>
      <w:proofErr w:type="spellStart"/>
      <w:r w:rsidR="004D2C9A" w:rsidRPr="004D2C9A">
        <w:rPr>
          <w:b w:val="0"/>
        </w:rPr>
        <w:t>hydroxychloroquine</w:t>
      </w:r>
      <w:proofErr w:type="spellEnd"/>
      <w:r w:rsidR="004D2C9A" w:rsidRPr="004D2C9A">
        <w:rPr>
          <w:b w:val="0"/>
        </w:rPr>
        <w:t xml:space="preserve">, </w:t>
      </w:r>
      <w:proofErr w:type="spellStart"/>
      <w:r w:rsidR="004D2C9A" w:rsidRPr="004D2C9A">
        <w:rPr>
          <w:b w:val="0"/>
        </w:rPr>
        <w:t>fibric</w:t>
      </w:r>
      <w:proofErr w:type="spellEnd"/>
      <w:r w:rsidR="004D2C9A" w:rsidRPr="004D2C9A">
        <w:rPr>
          <w:b w:val="0"/>
        </w:rPr>
        <w:t xml:space="preserve"> acid derivatives, </w:t>
      </w:r>
      <w:proofErr w:type="spellStart"/>
      <w:r w:rsidR="004D2C9A" w:rsidRPr="004D2C9A">
        <w:rPr>
          <w:b w:val="0"/>
        </w:rPr>
        <w:t>penicillamine</w:t>
      </w:r>
      <w:proofErr w:type="spellEnd"/>
      <w:r w:rsidR="004D2C9A" w:rsidRPr="004D2C9A">
        <w:rPr>
          <w:b w:val="0"/>
        </w:rPr>
        <w:t>, zidovudine, niacin, HMG-CoA reductase inhibitors) (see Interactions</w:t>
      </w:r>
      <w:r w:rsidR="004D2C9A">
        <w:rPr>
          <w:b w:val="0"/>
        </w:rPr>
        <w:t xml:space="preserve"> with Other Medicines</w:t>
      </w:r>
      <w:r w:rsidR="004D2C9A" w:rsidRPr="004D2C9A">
        <w:rPr>
          <w:b w:val="0"/>
        </w:rPr>
        <w:t>).</w:t>
      </w:r>
    </w:p>
    <w:p w14:paraId="0840EE91" w14:textId="316F70E7" w:rsidR="00B82375" w:rsidRPr="004D2C9A" w:rsidRDefault="004D2C9A" w:rsidP="004D2C9A">
      <w:pPr>
        <w:pStyle w:val="Heading1"/>
        <w:jc w:val="both"/>
        <w:rPr>
          <w:b w:val="0"/>
          <w:sz w:val="24"/>
          <w:u w:val="none"/>
          <w:lang w:val="pt-BR"/>
        </w:rPr>
      </w:pPr>
      <w:r w:rsidRPr="004D2C9A">
        <w:rPr>
          <w:b w:val="0"/>
          <w:sz w:val="24"/>
          <w:u w:val="none"/>
        </w:rPr>
        <w:t>Closely monitor patients with neuromuscular disorders (e.g. inflammatory myopathies, muscular dystrophy, amyotrophic lateral sclerosis and spinal muscular atrophy) due to an increased risk of muscle toxicity</w:t>
      </w:r>
      <w:r>
        <w:rPr>
          <w:b w:val="0"/>
          <w:sz w:val="24"/>
          <w:u w:val="none"/>
        </w:rPr>
        <w:t>.</w:t>
      </w:r>
    </w:p>
    <w:p w14:paraId="0840EE94" w14:textId="7BA6757D" w:rsidR="00B82375" w:rsidRPr="00B42838" w:rsidRDefault="00F22127" w:rsidP="001D6A62">
      <w:pPr>
        <w:pStyle w:val="Heading2"/>
      </w:pPr>
      <w:r w:rsidRPr="00B42838">
        <w:t>Effects on Fertility</w:t>
      </w:r>
    </w:p>
    <w:p w14:paraId="255DC1A7" w14:textId="53BF0E53" w:rsidR="007F431D" w:rsidRDefault="00FA3C64" w:rsidP="007F431D">
      <w:pPr>
        <w:pStyle w:val="Text"/>
        <w:rPr>
          <w:b w:val="0"/>
        </w:rPr>
      </w:pPr>
      <w:r w:rsidRPr="00FA3C64">
        <w:rPr>
          <w:b w:val="0"/>
        </w:rPr>
        <w:t>The potential for Odomzo to cause infertility in male and female patients is unknown. Based on findings from animal studies, male and female fertility</w:t>
      </w:r>
      <w:r>
        <w:rPr>
          <w:b w:val="0"/>
        </w:rPr>
        <w:t xml:space="preserve"> may be compromised </w:t>
      </w:r>
      <w:r w:rsidR="00E91A7B">
        <w:rPr>
          <w:b w:val="0"/>
        </w:rPr>
        <w:t>by</w:t>
      </w:r>
      <w:r>
        <w:rPr>
          <w:b w:val="0"/>
        </w:rPr>
        <w:t xml:space="preserve"> Odomzo</w:t>
      </w:r>
      <w:r w:rsidRPr="00FA3C64">
        <w:rPr>
          <w:b w:val="0"/>
        </w:rPr>
        <w:t>. Fertility preservation strategies should be discussed prior to starting treatment with Odomzo.</w:t>
      </w:r>
      <w:r w:rsidR="007F431D">
        <w:rPr>
          <w:b w:val="0"/>
        </w:rPr>
        <w:t xml:space="preserve"> </w:t>
      </w:r>
    </w:p>
    <w:p w14:paraId="3B719A0B" w14:textId="639557BF" w:rsidR="000E3B39" w:rsidRPr="00F26850" w:rsidRDefault="000E3B39" w:rsidP="007F431D">
      <w:pPr>
        <w:pStyle w:val="Text"/>
        <w:rPr>
          <w:b w:val="0"/>
        </w:rPr>
      </w:pPr>
      <w:r w:rsidRPr="00F26850">
        <w:rPr>
          <w:b w:val="0"/>
        </w:rPr>
        <w:t xml:space="preserve">In a fertility study in rats, sonidegib administered to female rats at 20 mg/kg resulted in a complete lack of fertility even though estrous cycling was within normal ranges and the </w:t>
      </w:r>
      <w:proofErr w:type="spellStart"/>
      <w:r w:rsidRPr="00F26850">
        <w:rPr>
          <w:b w:val="0"/>
        </w:rPr>
        <w:t>precoital</w:t>
      </w:r>
      <w:proofErr w:type="spellEnd"/>
      <w:r w:rsidRPr="00F26850">
        <w:rPr>
          <w:b w:val="0"/>
        </w:rPr>
        <w:t xml:space="preserve"> interval was comparable to concurrent controls. There was also a reduction of the </w:t>
      </w:r>
      <w:r w:rsidRPr="00F26850">
        <w:rPr>
          <w:b w:val="0"/>
        </w:rPr>
        <w:lastRenderedPageBreak/>
        <w:t>number of pregnant females and a decrease in the number of viable fetuses at 2 mg/kg/day</w:t>
      </w:r>
      <w:r w:rsidR="00E91A7B">
        <w:rPr>
          <w:b w:val="0"/>
        </w:rPr>
        <w:t xml:space="preserve"> (exposure below the clinical exposure based on AUC)</w:t>
      </w:r>
      <w:r w:rsidRPr="00F26850">
        <w:rPr>
          <w:b w:val="0"/>
        </w:rPr>
        <w:t>. The no observed effect level (NOEL) for female fertility was 0.2 mg/kg. For sonidegib-treated males, the 20 mg/kg/day (high) dose</w:t>
      </w:r>
      <w:r w:rsidR="00E91A7B">
        <w:rPr>
          <w:b w:val="0"/>
        </w:rPr>
        <w:t xml:space="preserve"> (exposure approx. 3 times the clinical exposure based on AUC)</w:t>
      </w:r>
      <w:r w:rsidRPr="00F26850">
        <w:rPr>
          <w:b w:val="0"/>
        </w:rPr>
        <w:t xml:space="preserve"> did not impact the ability of the male rat to impregnate the untreated females and therefore, the 20 mg/kg/day dose is considered the NOEL for fertility and reproduction in the male rat.</w:t>
      </w:r>
      <w:r w:rsidR="00E91A7B">
        <w:rPr>
          <w:b w:val="0"/>
        </w:rPr>
        <w:t xml:space="preserve"> Repeat dose toxicity studies in rats and dogs at around clinical exposure levels showed various reproductive tract changes such as delayed or arrested maturation as well as atrophy of testes, seminal vesicles, prostate, ovary and uterus.</w:t>
      </w:r>
      <w:r w:rsidRPr="00F26850">
        <w:rPr>
          <w:b w:val="0"/>
        </w:rPr>
        <w:t xml:space="preserve"> </w:t>
      </w:r>
    </w:p>
    <w:p w14:paraId="0840EE95" w14:textId="7354332B" w:rsidR="00B82375" w:rsidRPr="00B42838" w:rsidRDefault="00F22127" w:rsidP="001D6A62">
      <w:pPr>
        <w:pStyle w:val="Heading2"/>
      </w:pPr>
      <w:r w:rsidRPr="00B42838">
        <w:t xml:space="preserve">Use in Pregnancy (Category </w:t>
      </w:r>
      <w:r w:rsidR="003D78D3">
        <w:t>X</w:t>
      </w:r>
      <w:r w:rsidRPr="00B42838">
        <w:t>)</w:t>
      </w:r>
    </w:p>
    <w:p w14:paraId="5AB32F9B" w14:textId="1935F6A6" w:rsidR="0007466E" w:rsidRDefault="00672962" w:rsidP="00672962">
      <w:pPr>
        <w:tabs>
          <w:tab w:val="clear" w:pos="-720"/>
          <w:tab w:val="clear" w:pos="0"/>
          <w:tab w:val="clear" w:pos="720"/>
          <w:tab w:val="clear" w:pos="1440"/>
          <w:tab w:val="clear" w:pos="2160"/>
          <w:tab w:val="clear" w:pos="2880"/>
          <w:tab w:val="clear" w:pos="3600"/>
          <w:tab w:val="clear" w:pos="4320"/>
        </w:tabs>
        <w:spacing w:before="0" w:line="240" w:lineRule="auto"/>
        <w:rPr>
          <w:b w:val="0"/>
        </w:rPr>
      </w:pPr>
      <w:proofErr w:type="spellStart"/>
      <w:r w:rsidRPr="00672962">
        <w:rPr>
          <w:b w:val="0"/>
        </w:rPr>
        <w:t>Odomzo</w:t>
      </w:r>
      <w:proofErr w:type="spellEnd"/>
      <w:r w:rsidRPr="00672962">
        <w:rPr>
          <w:b w:val="0"/>
        </w:rPr>
        <w:t xml:space="preserve"> may cause embryo-</w:t>
      </w:r>
      <w:proofErr w:type="spellStart"/>
      <w:r w:rsidRPr="00672962">
        <w:rPr>
          <w:b w:val="0"/>
        </w:rPr>
        <w:t>foetal</w:t>
      </w:r>
      <w:proofErr w:type="spellEnd"/>
      <w:r w:rsidRPr="00672962">
        <w:rPr>
          <w:b w:val="0"/>
        </w:rPr>
        <w:t xml:space="preserve"> death or severe birth defects when administered to pregnant women. Based on the mechanism of action, in animal studies, sonidegib has been shown to be teratogenic and </w:t>
      </w:r>
      <w:proofErr w:type="spellStart"/>
      <w:r w:rsidRPr="00672962">
        <w:rPr>
          <w:b w:val="0"/>
        </w:rPr>
        <w:t>foetotoxic</w:t>
      </w:r>
      <w:proofErr w:type="spellEnd"/>
      <w:r w:rsidRPr="00672962">
        <w:rPr>
          <w:b w:val="0"/>
        </w:rPr>
        <w:t xml:space="preserve">. </w:t>
      </w:r>
      <w:r w:rsidR="003F2CBE">
        <w:rPr>
          <w:b w:val="0"/>
        </w:rPr>
        <w:t xml:space="preserve">Odomzo must not be administered to women who are, or planning to become, pregnant. Women who have received Odomzo should not become pregnant for at least 20 months following their last Odomzo dose. </w:t>
      </w:r>
    </w:p>
    <w:p w14:paraId="6434CBAE" w14:textId="3040A0FA" w:rsidR="007F431D" w:rsidRPr="000E3B39" w:rsidRDefault="007F431D" w:rsidP="007F431D">
      <w:pPr>
        <w:pStyle w:val="Text"/>
        <w:rPr>
          <w:b w:val="0"/>
        </w:rPr>
      </w:pPr>
      <w:r w:rsidRPr="000E3B39">
        <w:rPr>
          <w:b w:val="0"/>
        </w:rPr>
        <w:t xml:space="preserve">Sonidegib was shown to be </w:t>
      </w:r>
      <w:proofErr w:type="spellStart"/>
      <w:r w:rsidRPr="000E3B39">
        <w:rPr>
          <w:b w:val="0"/>
        </w:rPr>
        <w:t>feto</w:t>
      </w:r>
      <w:proofErr w:type="spellEnd"/>
      <w:r w:rsidRPr="000E3B39">
        <w:rPr>
          <w:b w:val="0"/>
        </w:rPr>
        <w:t>-toxic in rabbits as evidenced by abortion and/or complete resorption of fetuses and teratogenic resulting in severe malformations at ≥ 5 mg/kg/day</w:t>
      </w:r>
      <w:r w:rsidR="00916687">
        <w:rPr>
          <w:b w:val="0"/>
        </w:rPr>
        <w:t xml:space="preserve"> (approx. 0.05 times the clinical exposure based on AUC)</w:t>
      </w:r>
      <w:r w:rsidRPr="000E3B39">
        <w:rPr>
          <w:b w:val="0"/>
          <w:color w:val="0000FF"/>
        </w:rPr>
        <w:t xml:space="preserve">. </w:t>
      </w:r>
      <w:r w:rsidRPr="000E3B39">
        <w:rPr>
          <w:b w:val="0"/>
        </w:rPr>
        <w:t xml:space="preserve">Teratogenic effects included vertebral, distal limb and digit malformations, severe craniofacial malformations and other severe midline defects. </w:t>
      </w:r>
      <w:proofErr w:type="spellStart"/>
      <w:r w:rsidRPr="000E3B39">
        <w:rPr>
          <w:b w:val="0"/>
        </w:rPr>
        <w:t>Feto</w:t>
      </w:r>
      <w:proofErr w:type="spellEnd"/>
      <w:r w:rsidRPr="000E3B39">
        <w:rPr>
          <w:b w:val="0"/>
        </w:rPr>
        <w:t>-toxicity in rabbits was seen at low maternal doses (0.01 mg/kg/day) where maternal exposure was below the limit of detection.</w:t>
      </w:r>
    </w:p>
    <w:p w14:paraId="69F920A2" w14:textId="77777777" w:rsidR="00F12490" w:rsidRPr="00B42838" w:rsidRDefault="00F12490" w:rsidP="001D6A62">
      <w:pPr>
        <w:pStyle w:val="Heading2"/>
      </w:pPr>
      <w:r w:rsidRPr="00B42838">
        <w:t>Use in Lactation</w:t>
      </w:r>
    </w:p>
    <w:p w14:paraId="1565DD3E" w14:textId="77777777" w:rsidR="00F12490" w:rsidRPr="00F26850" w:rsidRDefault="00F12490" w:rsidP="001D6A62">
      <w:pPr>
        <w:pStyle w:val="Heading2"/>
        <w:rPr>
          <w:b w:val="0"/>
        </w:rPr>
      </w:pPr>
      <w:r w:rsidRPr="00F26850">
        <w:rPr>
          <w:b w:val="0"/>
        </w:rPr>
        <w:t xml:space="preserve">It is unknown whether Odomzo is excreted in human milk. Because many drugs are excreted in human milk, and because of the potential for serious adverse drug reactions in breastfed newborns/infants from Odomzo, women must not breast feed while taking Odomzo or for at least 20 months after ending treatment. </w:t>
      </w:r>
    </w:p>
    <w:p w14:paraId="44CC9229" w14:textId="2DC5B2DE" w:rsidR="00CB5ABF" w:rsidRPr="00B42838" w:rsidRDefault="00CB5ABF" w:rsidP="00CB5ABF">
      <w:pPr>
        <w:pStyle w:val="Nottoc-headings0"/>
        <w:rPr>
          <w:rFonts w:ascii="Times New Roman" w:hAnsi="Times New Roman"/>
          <w:sz w:val="24"/>
        </w:rPr>
      </w:pPr>
      <w:r w:rsidRPr="00B42838">
        <w:rPr>
          <w:rFonts w:ascii="Times New Roman" w:hAnsi="Times New Roman"/>
          <w:sz w:val="24"/>
        </w:rPr>
        <w:t>Women of child-bearing potential and sexually active men</w:t>
      </w:r>
      <w:bookmarkStart w:id="10" w:name="_1511995Women_of_child45bearing_po"/>
      <w:bookmarkEnd w:id="10"/>
    </w:p>
    <w:p w14:paraId="41347CE0" w14:textId="4044A049" w:rsidR="00CB5ABF" w:rsidRPr="00CB5ABF" w:rsidRDefault="00B42838" w:rsidP="00CB5ABF">
      <w:pPr>
        <w:pStyle w:val="Text"/>
        <w:rPr>
          <w:b w:val="0"/>
        </w:rPr>
      </w:pPr>
      <w:r w:rsidRPr="00B42838">
        <w:rPr>
          <w:b w:val="0"/>
        </w:rPr>
        <w:t xml:space="preserve">Odomzo may cause embryo-fetal death or severe birth defects when administered to pregnant women. Based on the mechanism of action, in animal studies, sonidegib has been shown to be teratogenic and </w:t>
      </w:r>
      <w:proofErr w:type="spellStart"/>
      <w:r w:rsidRPr="00B42838">
        <w:rPr>
          <w:b w:val="0"/>
        </w:rPr>
        <w:t>fetotoxic</w:t>
      </w:r>
      <w:proofErr w:type="spellEnd"/>
      <w:r w:rsidRPr="00B42838">
        <w:rPr>
          <w:b w:val="0"/>
        </w:rPr>
        <w:t>.</w:t>
      </w:r>
      <w:r w:rsidR="00CB5ABF" w:rsidRPr="00CB5ABF">
        <w:rPr>
          <w:b w:val="0"/>
        </w:rPr>
        <w:t xml:space="preserve"> </w:t>
      </w:r>
      <w:r w:rsidR="003F2CBE">
        <w:rPr>
          <w:b w:val="0"/>
        </w:rPr>
        <w:t xml:space="preserve">Odomzo must not be administered to women who are, or planning to become, pregnant. Women who have received Odomzo should not become pregnant for at least 20 months following their last Odomzo dose. </w:t>
      </w:r>
      <w:r w:rsidR="00CB5ABF" w:rsidRPr="00CB5ABF">
        <w:rPr>
          <w:b w:val="0"/>
        </w:rPr>
        <w:t xml:space="preserve">Verify pregnancy status of women of childbearing potential </w:t>
      </w:r>
      <w:r w:rsidR="00C34E48">
        <w:rPr>
          <w:b w:val="0"/>
        </w:rPr>
        <w:t xml:space="preserve">within 7 days </w:t>
      </w:r>
      <w:r w:rsidR="00CB5ABF" w:rsidRPr="00CB5ABF">
        <w:rPr>
          <w:b w:val="0"/>
        </w:rPr>
        <w:t xml:space="preserve">prior to the initiation of Odomzo treatment </w:t>
      </w:r>
      <w:r w:rsidR="00C34E48">
        <w:rPr>
          <w:b w:val="0"/>
        </w:rPr>
        <w:t xml:space="preserve">and monthly during treatment </w:t>
      </w:r>
      <w:r w:rsidR="00CB5ABF" w:rsidRPr="00CB5ABF">
        <w:rPr>
          <w:b w:val="0"/>
        </w:rPr>
        <w:t xml:space="preserve">by a test performed by a healthcare </w:t>
      </w:r>
      <w:r w:rsidR="00C34E48">
        <w:rPr>
          <w:b w:val="0"/>
        </w:rPr>
        <w:t>professional</w:t>
      </w:r>
      <w:r w:rsidR="00CB5ABF" w:rsidRPr="00CB5ABF">
        <w:rPr>
          <w:b w:val="0"/>
        </w:rPr>
        <w:t xml:space="preserve">. Women of child-bearing potential must </w:t>
      </w:r>
      <w:r w:rsidR="00E61691">
        <w:rPr>
          <w:b w:val="0"/>
        </w:rPr>
        <w:t xml:space="preserve">be instructed to </w:t>
      </w:r>
      <w:r w:rsidR="00CB5ABF" w:rsidRPr="00F37F98">
        <w:rPr>
          <w:b w:val="0"/>
        </w:rPr>
        <w:t xml:space="preserve">use </w:t>
      </w:r>
      <w:r w:rsidR="00F37F98" w:rsidRPr="007A396C">
        <w:rPr>
          <w:b w:val="0"/>
        </w:rPr>
        <w:t xml:space="preserve">two methods of contraception, including one </w:t>
      </w:r>
      <w:r w:rsidR="00CB5ABF" w:rsidRPr="00CB5ABF">
        <w:rPr>
          <w:b w:val="0"/>
        </w:rPr>
        <w:t xml:space="preserve">highly effective method </w:t>
      </w:r>
      <w:r w:rsidR="00F37F98">
        <w:rPr>
          <w:b w:val="0"/>
        </w:rPr>
        <w:t xml:space="preserve">and a barrier method </w:t>
      </w:r>
      <w:r w:rsidR="00CB5ABF" w:rsidRPr="00CB5ABF">
        <w:rPr>
          <w:b w:val="0"/>
        </w:rPr>
        <w:t xml:space="preserve">while taking Odomzo. Contraception must be continued for 20 months after ending treatment. </w:t>
      </w:r>
      <w:r w:rsidR="00F71F02" w:rsidRPr="00F71F02">
        <w:rPr>
          <w:b w:val="0"/>
          <w:szCs w:val="22"/>
        </w:rPr>
        <w:t>W</w:t>
      </w:r>
      <w:r w:rsidR="00F71F02">
        <w:rPr>
          <w:b w:val="0"/>
          <w:szCs w:val="22"/>
        </w:rPr>
        <w:t>omen w</w:t>
      </w:r>
      <w:r w:rsidR="00F71F02" w:rsidRPr="00F71F02">
        <w:rPr>
          <w:b w:val="0"/>
          <w:szCs w:val="22"/>
        </w:rPr>
        <w:t xml:space="preserve">hose periods are irregular or have stopped must follow </w:t>
      </w:r>
      <w:r w:rsidR="00C02571">
        <w:rPr>
          <w:b w:val="0"/>
          <w:szCs w:val="22"/>
        </w:rPr>
        <w:t xml:space="preserve">all </w:t>
      </w:r>
      <w:r w:rsidR="00F71F02">
        <w:rPr>
          <w:b w:val="0"/>
          <w:szCs w:val="22"/>
        </w:rPr>
        <w:t>th</w:t>
      </w:r>
      <w:r w:rsidR="00535531">
        <w:rPr>
          <w:b w:val="0"/>
          <w:szCs w:val="22"/>
        </w:rPr>
        <w:t>e</w:t>
      </w:r>
      <w:r w:rsidR="00F71F02" w:rsidRPr="00F71F02">
        <w:rPr>
          <w:b w:val="0"/>
          <w:szCs w:val="22"/>
        </w:rPr>
        <w:t xml:space="preserve"> advice</w:t>
      </w:r>
      <w:r w:rsidR="00535531">
        <w:rPr>
          <w:b w:val="0"/>
          <w:szCs w:val="22"/>
        </w:rPr>
        <w:t xml:space="preserve"> on effective contraception</w:t>
      </w:r>
      <w:r w:rsidR="00F71F02">
        <w:rPr>
          <w:b w:val="0"/>
          <w:szCs w:val="22"/>
        </w:rPr>
        <w:t xml:space="preserve">. </w:t>
      </w:r>
      <w:r w:rsidR="00CB5ABF" w:rsidRPr="00CB5ABF">
        <w:rPr>
          <w:b w:val="0"/>
        </w:rPr>
        <w:t>In case of pregnancy</w:t>
      </w:r>
      <w:r>
        <w:rPr>
          <w:b w:val="0"/>
        </w:rPr>
        <w:t xml:space="preserve"> occurring during</w:t>
      </w:r>
      <w:r w:rsidR="00CB5ABF" w:rsidRPr="00CB5ABF">
        <w:rPr>
          <w:b w:val="0"/>
        </w:rPr>
        <w:t xml:space="preserve"> treatment</w:t>
      </w:r>
      <w:r>
        <w:rPr>
          <w:b w:val="0"/>
        </w:rPr>
        <w:t>,</w:t>
      </w:r>
      <w:r w:rsidR="00CB5ABF" w:rsidRPr="00CB5ABF">
        <w:rPr>
          <w:b w:val="0"/>
        </w:rPr>
        <w:t xml:space="preserve"> </w:t>
      </w:r>
      <w:r>
        <w:rPr>
          <w:b w:val="0"/>
        </w:rPr>
        <w:t xml:space="preserve">Odomzo </w:t>
      </w:r>
      <w:r w:rsidR="00CB5ABF" w:rsidRPr="00CB5ABF">
        <w:rPr>
          <w:b w:val="0"/>
        </w:rPr>
        <w:t>must be stopped immediately</w:t>
      </w:r>
      <w:r w:rsidR="00BC36CB">
        <w:rPr>
          <w:b w:val="0"/>
        </w:rPr>
        <w:t>.</w:t>
      </w:r>
    </w:p>
    <w:p w14:paraId="15A7860D" w14:textId="2F73CACC" w:rsidR="00CB5ABF" w:rsidRPr="00CB5ABF" w:rsidRDefault="00CB5ABF" w:rsidP="00CB5ABF">
      <w:pPr>
        <w:pStyle w:val="Text"/>
        <w:rPr>
          <w:b w:val="0"/>
        </w:rPr>
      </w:pPr>
      <w:r w:rsidRPr="00CB5ABF">
        <w:rPr>
          <w:b w:val="0"/>
        </w:rPr>
        <w:lastRenderedPageBreak/>
        <w:t>Sexually active males being treated with Odomzo must use a condom</w:t>
      </w:r>
      <w:r w:rsidR="00C34E48">
        <w:rPr>
          <w:b w:val="0"/>
        </w:rPr>
        <w:t xml:space="preserve"> with spermicide (</w:t>
      </w:r>
      <w:r w:rsidR="0046009B">
        <w:rPr>
          <w:b w:val="0"/>
        </w:rPr>
        <w:t xml:space="preserve">if </w:t>
      </w:r>
      <w:r w:rsidR="00C34E48">
        <w:rPr>
          <w:b w:val="0"/>
        </w:rPr>
        <w:t>available)</w:t>
      </w:r>
      <w:r w:rsidR="00BC36CB">
        <w:rPr>
          <w:b w:val="0"/>
        </w:rPr>
        <w:t xml:space="preserve">, </w:t>
      </w:r>
      <w:r w:rsidR="00BC36CB" w:rsidRPr="00B42838">
        <w:rPr>
          <w:b w:val="0"/>
        </w:rPr>
        <w:t>regardless of vasectomy status,</w:t>
      </w:r>
      <w:r w:rsidRPr="00CB5ABF">
        <w:rPr>
          <w:b w:val="0"/>
        </w:rPr>
        <w:t xml:space="preserve"> during int</w:t>
      </w:r>
      <w:r w:rsidR="00BC36CB">
        <w:rPr>
          <w:b w:val="0"/>
        </w:rPr>
        <w:t xml:space="preserve">ercourse </w:t>
      </w:r>
      <w:r w:rsidR="00BC36CB" w:rsidRPr="00BC36CB">
        <w:rPr>
          <w:b w:val="0"/>
        </w:rPr>
        <w:t>and for 6 months after ending treatment to prevent exposure of female partners to the drug via seminal fluid</w:t>
      </w:r>
      <w:r w:rsidR="00BC36CB">
        <w:rPr>
          <w:b w:val="0"/>
        </w:rPr>
        <w:t>.</w:t>
      </w:r>
      <w:r w:rsidR="00BC36CB">
        <w:t xml:space="preserve"> </w:t>
      </w:r>
      <w:r w:rsidRPr="00CB5ABF">
        <w:rPr>
          <w:b w:val="0"/>
        </w:rPr>
        <w:t xml:space="preserve">They should not father a child or donate semen while taking Odomzo or for at least 6 months after ending treatment. </w:t>
      </w:r>
    </w:p>
    <w:p w14:paraId="56CE710B" w14:textId="77777777" w:rsidR="00CB5ABF" w:rsidRPr="00CB5ABF" w:rsidRDefault="00CB5ABF" w:rsidP="00CB5ABF">
      <w:pPr>
        <w:pStyle w:val="Text"/>
        <w:rPr>
          <w:b w:val="0"/>
        </w:rPr>
      </w:pPr>
      <w:r w:rsidRPr="00CB5ABF">
        <w:rPr>
          <w:b w:val="0"/>
        </w:rPr>
        <w:t>Advise male and female patients of the risks of embryo-fetal death and severe birth defects and the need for contraception during and after treatment. Advise female patients (and female partners of male patients) to contact their healthcare provider immediately if they suspect that they may be pregnant. Female and male patients of reproductive potential should be counseled regarding pregnancy prevention and planning. If Odomzo is used during pregnancy or if a patient (or the female partner of a male patient) becomes pregnant while taking Odomzo, the expectant mother should be apprised of the potential hazard to the fetus.</w:t>
      </w:r>
    </w:p>
    <w:p w14:paraId="579E36A2" w14:textId="23C5E318" w:rsidR="00CB5ABF" w:rsidRPr="00CB5ABF" w:rsidRDefault="00CB5ABF" w:rsidP="00CB5ABF">
      <w:pPr>
        <w:pStyle w:val="paragraph"/>
        <w:rPr>
          <w:b w:val="0"/>
        </w:rPr>
      </w:pPr>
      <w:r w:rsidRPr="00CB5ABF">
        <w:rPr>
          <w:b w:val="0"/>
        </w:rPr>
        <w:t xml:space="preserve">Encourage women who may be exposed to Odomzo during pregnancy, either directly or through seminal fluid to report this </w:t>
      </w:r>
      <w:r w:rsidR="00C17E5B">
        <w:rPr>
          <w:b w:val="0"/>
        </w:rPr>
        <w:t xml:space="preserve"> to their treating physician immediately</w:t>
      </w:r>
      <w:r w:rsidRPr="00CB5ABF">
        <w:rPr>
          <w:b w:val="0"/>
        </w:rPr>
        <w:t>.</w:t>
      </w:r>
    </w:p>
    <w:p w14:paraId="0840EE97" w14:textId="67C96DE3" w:rsidR="00B82375" w:rsidRPr="000C0F6B" w:rsidRDefault="00F22127" w:rsidP="001D6A62">
      <w:pPr>
        <w:pStyle w:val="Heading2"/>
        <w:rPr>
          <w:szCs w:val="24"/>
        </w:rPr>
      </w:pPr>
      <w:r w:rsidRPr="000C0F6B">
        <w:rPr>
          <w:szCs w:val="24"/>
        </w:rPr>
        <w:t>P</w:t>
      </w:r>
      <w:r w:rsidR="00A44381" w:rsidRPr="000C0F6B">
        <w:rPr>
          <w:szCs w:val="24"/>
        </w:rPr>
        <w:t>a</w:t>
      </w:r>
      <w:r w:rsidRPr="000C0F6B">
        <w:rPr>
          <w:szCs w:val="24"/>
        </w:rPr>
        <w:t>ediatric Use</w:t>
      </w:r>
    </w:p>
    <w:p w14:paraId="58668C1D" w14:textId="79A5C9A3" w:rsidR="00362797" w:rsidRPr="007A396C" w:rsidRDefault="000C0F6B" w:rsidP="000C0F6B">
      <w:pPr>
        <w:tabs>
          <w:tab w:val="clear" w:pos="-720"/>
          <w:tab w:val="clear" w:pos="0"/>
          <w:tab w:val="clear" w:pos="720"/>
          <w:tab w:val="clear" w:pos="1440"/>
          <w:tab w:val="clear" w:pos="2160"/>
          <w:tab w:val="clear" w:pos="2880"/>
          <w:tab w:val="clear" w:pos="3600"/>
          <w:tab w:val="clear" w:pos="4320"/>
        </w:tabs>
        <w:spacing w:before="0" w:line="240" w:lineRule="auto"/>
        <w:jc w:val="left"/>
        <w:rPr>
          <w:b w:val="0"/>
        </w:rPr>
      </w:pPr>
      <w:r w:rsidRPr="007A396C">
        <w:rPr>
          <w:b w:val="0"/>
        </w:rPr>
        <w:t>The safety and efficacy of Odomzo in children and adolescents aged below 18 years with basal cell carcinoma have not been established. No data are available.</w:t>
      </w:r>
      <w:r w:rsidR="00362797" w:rsidRPr="007A396C">
        <w:rPr>
          <w:b w:val="0"/>
        </w:rPr>
        <w:t xml:space="preserve"> </w:t>
      </w:r>
    </w:p>
    <w:p w14:paraId="0840EE98" w14:textId="711A199C" w:rsidR="00B82375" w:rsidRPr="00E05DCF" w:rsidRDefault="00F22127" w:rsidP="001D6A62">
      <w:pPr>
        <w:pStyle w:val="Heading2"/>
      </w:pPr>
      <w:r w:rsidRPr="00E05DCF">
        <w:t>Use in the Elderly</w:t>
      </w:r>
    </w:p>
    <w:p w14:paraId="649E0B40" w14:textId="19E3F31E" w:rsidR="00362797" w:rsidRPr="00F26850" w:rsidRDefault="00362797" w:rsidP="001D6A62">
      <w:pPr>
        <w:pStyle w:val="Heading2"/>
        <w:rPr>
          <w:b w:val="0"/>
        </w:rPr>
      </w:pPr>
      <w:r w:rsidRPr="00F26850">
        <w:rPr>
          <w:b w:val="0"/>
        </w:rPr>
        <w:t>The safety and effectiveness data of Odomzo in patients aged 65 years and older do not suggest that a dosage adjustment is required in elderly patients (see Pharmacology).</w:t>
      </w:r>
    </w:p>
    <w:p w14:paraId="4051764E" w14:textId="77777777" w:rsidR="00F12490" w:rsidRPr="00E05DCF" w:rsidRDefault="00F12490" w:rsidP="001D6A62">
      <w:pPr>
        <w:pStyle w:val="Heading2"/>
      </w:pPr>
      <w:r w:rsidRPr="00E05DCF">
        <w:t>Genotoxicity</w:t>
      </w:r>
    </w:p>
    <w:p w14:paraId="103471B2" w14:textId="620C4BBA" w:rsidR="00F12490" w:rsidRPr="000E3B39" w:rsidRDefault="00F12490" w:rsidP="00F12490">
      <w:pPr>
        <w:pStyle w:val="paragraph"/>
        <w:rPr>
          <w:b w:val="0"/>
          <w:lang w:val="pt-BR"/>
        </w:rPr>
      </w:pPr>
      <w:r w:rsidRPr="000E3B39">
        <w:rPr>
          <w:b w:val="0"/>
        </w:rPr>
        <w:t xml:space="preserve">Sonidegib was not genotoxic in studies conducted </w:t>
      </w:r>
      <w:r w:rsidRPr="000E3B39">
        <w:rPr>
          <w:b w:val="0"/>
          <w:i/>
        </w:rPr>
        <w:t>in vitro</w:t>
      </w:r>
      <w:r w:rsidRPr="000E3B39">
        <w:rPr>
          <w:b w:val="0"/>
        </w:rPr>
        <w:t xml:space="preserve"> </w:t>
      </w:r>
      <w:r w:rsidR="00916687">
        <w:rPr>
          <w:b w:val="0"/>
        </w:rPr>
        <w:t xml:space="preserve">in bacteria (gene mutation) and in human lymphocytes and </w:t>
      </w:r>
      <w:proofErr w:type="spellStart"/>
      <w:r w:rsidR="00916687">
        <w:rPr>
          <w:b w:val="0"/>
        </w:rPr>
        <w:t>lymphoblastoid</w:t>
      </w:r>
      <w:proofErr w:type="spellEnd"/>
      <w:r w:rsidR="00916687">
        <w:rPr>
          <w:b w:val="0"/>
        </w:rPr>
        <w:t xml:space="preserve"> cells (chromosome aberration) </w:t>
      </w:r>
      <w:r w:rsidRPr="000E3B39">
        <w:rPr>
          <w:b w:val="0"/>
        </w:rPr>
        <w:t xml:space="preserve">and </w:t>
      </w:r>
      <w:r w:rsidRPr="000E3B39">
        <w:rPr>
          <w:b w:val="0"/>
          <w:i/>
        </w:rPr>
        <w:t>in vivo</w:t>
      </w:r>
      <w:r w:rsidR="00916687">
        <w:rPr>
          <w:b w:val="0"/>
          <w:i/>
        </w:rPr>
        <w:t xml:space="preserve"> </w:t>
      </w:r>
      <w:r w:rsidR="00916687">
        <w:rPr>
          <w:b w:val="0"/>
        </w:rPr>
        <w:t>in rats (chromosome aberration).</w:t>
      </w:r>
    </w:p>
    <w:p w14:paraId="0840EE99" w14:textId="1E227F3A" w:rsidR="00B82375" w:rsidRPr="00E05DCF" w:rsidRDefault="00F22127" w:rsidP="001D6A62">
      <w:pPr>
        <w:pStyle w:val="Heading2"/>
      </w:pPr>
      <w:r w:rsidRPr="00E05DCF">
        <w:t xml:space="preserve">Carcinogenicity </w:t>
      </w:r>
    </w:p>
    <w:p w14:paraId="760526A0" w14:textId="64B2D3C6" w:rsidR="00CB5ABF" w:rsidRDefault="000E3B39" w:rsidP="00CB5ABF">
      <w:pPr>
        <w:pStyle w:val="paragraph"/>
        <w:rPr>
          <w:b w:val="0"/>
        </w:rPr>
      </w:pPr>
      <w:r w:rsidRPr="000E3B39">
        <w:rPr>
          <w:b w:val="0"/>
        </w:rPr>
        <w:t>Carcinogenicity studies have not been performed with sonidegib</w:t>
      </w:r>
      <w:r>
        <w:rPr>
          <w:b w:val="0"/>
        </w:rPr>
        <w:t>.</w:t>
      </w:r>
    </w:p>
    <w:p w14:paraId="2C136AEE" w14:textId="7FF9E6D4" w:rsidR="006F425A" w:rsidRPr="006F425A" w:rsidRDefault="006F425A" w:rsidP="00CB5ABF">
      <w:pPr>
        <w:pStyle w:val="paragraph"/>
      </w:pPr>
      <w:r w:rsidRPr="006F425A">
        <w:t>Other Toxicological Findings</w:t>
      </w:r>
    </w:p>
    <w:p w14:paraId="7C3B1794" w14:textId="767104F9" w:rsidR="006F425A" w:rsidRPr="006F425A" w:rsidRDefault="00285815" w:rsidP="000E3B39">
      <w:pPr>
        <w:pStyle w:val="Text"/>
        <w:rPr>
          <w:b w:val="0"/>
        </w:rPr>
      </w:pPr>
      <w:r>
        <w:rPr>
          <w:b w:val="0"/>
        </w:rPr>
        <w:t>C</w:t>
      </w:r>
      <w:r w:rsidR="006F425A" w:rsidRPr="006F425A">
        <w:rPr>
          <w:b w:val="0"/>
        </w:rPr>
        <w:t xml:space="preserve">ardiovascular studies </w:t>
      </w:r>
      <w:r>
        <w:rPr>
          <w:b w:val="0"/>
        </w:rPr>
        <w:t xml:space="preserve">in dogs receiving a daily dose of sonidegib for 26 weeks </w:t>
      </w:r>
      <w:r w:rsidR="006F425A" w:rsidRPr="006F425A">
        <w:rPr>
          <w:b w:val="0"/>
        </w:rPr>
        <w:t>show</w:t>
      </w:r>
      <w:r>
        <w:rPr>
          <w:b w:val="0"/>
        </w:rPr>
        <w:t>ed</w:t>
      </w:r>
      <w:r w:rsidR="006F425A" w:rsidRPr="006F425A">
        <w:rPr>
          <w:b w:val="0"/>
        </w:rPr>
        <w:t xml:space="preserve"> </w:t>
      </w:r>
      <w:r>
        <w:rPr>
          <w:b w:val="0"/>
        </w:rPr>
        <w:t xml:space="preserve">only </w:t>
      </w:r>
      <w:r w:rsidR="006F425A" w:rsidRPr="006F425A">
        <w:rPr>
          <w:b w:val="0"/>
        </w:rPr>
        <w:t xml:space="preserve">a </w:t>
      </w:r>
      <w:r>
        <w:rPr>
          <w:b w:val="0"/>
        </w:rPr>
        <w:t xml:space="preserve">mild </w:t>
      </w:r>
      <w:r w:rsidR="006F425A" w:rsidRPr="006F425A">
        <w:rPr>
          <w:b w:val="0"/>
        </w:rPr>
        <w:t xml:space="preserve">increase </w:t>
      </w:r>
      <w:r>
        <w:rPr>
          <w:b w:val="0"/>
        </w:rPr>
        <w:t xml:space="preserve">(approx. 7%) </w:t>
      </w:r>
      <w:r w:rsidR="006F425A" w:rsidRPr="006F425A">
        <w:rPr>
          <w:b w:val="0"/>
        </w:rPr>
        <w:t xml:space="preserve">in </w:t>
      </w:r>
      <w:proofErr w:type="spellStart"/>
      <w:r w:rsidR="006F425A" w:rsidRPr="006F425A">
        <w:rPr>
          <w:b w:val="0"/>
        </w:rPr>
        <w:t>QTc</w:t>
      </w:r>
      <w:proofErr w:type="spellEnd"/>
      <w:r w:rsidR="006F425A" w:rsidRPr="006F425A">
        <w:rPr>
          <w:b w:val="0"/>
        </w:rPr>
        <w:t xml:space="preserve"> </w:t>
      </w:r>
      <w:r>
        <w:rPr>
          <w:b w:val="0"/>
        </w:rPr>
        <w:t xml:space="preserve">interval </w:t>
      </w:r>
      <w:r w:rsidR="006F425A" w:rsidRPr="006F425A">
        <w:rPr>
          <w:b w:val="0"/>
        </w:rPr>
        <w:t xml:space="preserve"> at plasma concentrations </w:t>
      </w:r>
      <w:r w:rsidR="0074487F">
        <w:rPr>
          <w:b w:val="0"/>
        </w:rPr>
        <w:t>at least 15</w:t>
      </w:r>
      <w:r w:rsidR="006F425A" w:rsidRPr="006F425A">
        <w:rPr>
          <w:b w:val="0"/>
        </w:rPr>
        <w:t>fold higher than those anticipated at steady-state in patients taking 200 mg daily. Other safety pharmacology studies indicate that sonidegib is unlikely to interfere with the vital functions of the respiratory and CNS systems.</w:t>
      </w:r>
    </w:p>
    <w:p w14:paraId="64839C60" w14:textId="63EA50B5" w:rsidR="000E3B39" w:rsidRPr="000E3B39" w:rsidRDefault="000E3B39" w:rsidP="000E3B39">
      <w:pPr>
        <w:pStyle w:val="Text"/>
        <w:rPr>
          <w:b w:val="0"/>
        </w:rPr>
      </w:pPr>
      <w:r w:rsidRPr="000E3B39">
        <w:rPr>
          <w:b w:val="0"/>
        </w:rPr>
        <w:t xml:space="preserve">The safety of sonidegib was evaluated on an oral daily dosing schedule for up to 6 months in rats and dogs. The majority of adverse effects of sonidegib observed in toxicity studies in rats and dogs can be attributed to its pharmacologic mechanism of action on developmental pathways and effects in rats and dogs were similar. The most significant effects were on growing bone and consisted of thinning or closure of growth plates in the sternum and femur </w:t>
      </w:r>
      <w:r w:rsidRPr="000E3B39">
        <w:rPr>
          <w:b w:val="0"/>
        </w:rPr>
        <w:lastRenderedPageBreak/>
        <w:t xml:space="preserve">and decreasing proliferating chondrocytes in the </w:t>
      </w:r>
      <w:proofErr w:type="spellStart"/>
      <w:r w:rsidRPr="000E3B39">
        <w:rPr>
          <w:b w:val="0"/>
        </w:rPr>
        <w:t>chostochondral</w:t>
      </w:r>
      <w:proofErr w:type="spellEnd"/>
      <w:r w:rsidRPr="000E3B39">
        <w:rPr>
          <w:b w:val="0"/>
        </w:rPr>
        <w:t xml:space="preserve"> junction of ribs. Effects on growing teeth in rats were also seen, including dentine dysplasia of the incisors and loss of incisors. Neither effects on bone or teeth are expected to occur in adult cancer patients due to the maturity of the dental and skeletal systems.</w:t>
      </w:r>
    </w:p>
    <w:p w14:paraId="2812FBD3" w14:textId="75B57E8D" w:rsidR="000E3B39" w:rsidRPr="000E3B39" w:rsidRDefault="000E3B39" w:rsidP="000E3B39">
      <w:pPr>
        <w:pStyle w:val="Text"/>
        <w:rPr>
          <w:b w:val="0"/>
        </w:rPr>
      </w:pPr>
      <w:r w:rsidRPr="000E3B39">
        <w:rPr>
          <w:b w:val="0"/>
        </w:rPr>
        <w:t xml:space="preserve">Other drug-related effects, likely associated with the pharmacology of sonidegib, included effects on the male and female reproductive tract </w:t>
      </w:r>
      <w:r w:rsidR="0074487F">
        <w:rPr>
          <w:b w:val="0"/>
        </w:rPr>
        <w:t>(see Effects on Fertility).</w:t>
      </w:r>
      <w:r w:rsidRPr="000E3B39">
        <w:rPr>
          <w:b w:val="0"/>
        </w:rPr>
        <w:t xml:space="preserve"> Atrophy of the hair follicles and hair thinning is also a pharmacologic effect of sonidegib. Gastrointestinal (GI) toxicity with body weight loss was dose limiting in rats and dogs. In rats, distention of stomach and duodenum, </w:t>
      </w:r>
      <w:proofErr w:type="spellStart"/>
      <w:r w:rsidRPr="000E3B39">
        <w:rPr>
          <w:b w:val="0"/>
        </w:rPr>
        <w:t>h</w:t>
      </w:r>
      <w:r w:rsidR="00326090">
        <w:rPr>
          <w:b w:val="0"/>
        </w:rPr>
        <w:t>a</w:t>
      </w:r>
      <w:r w:rsidRPr="000E3B39">
        <w:rPr>
          <w:b w:val="0"/>
        </w:rPr>
        <w:t>emorrhage</w:t>
      </w:r>
      <w:proofErr w:type="spellEnd"/>
      <w:r w:rsidRPr="000E3B39">
        <w:rPr>
          <w:b w:val="0"/>
        </w:rPr>
        <w:t xml:space="preserve"> in the stomach wall, loss of mucosa with inflammation, and ulcerations of the non-glandular mucosa occurred. Emesis and diarrhea with single cell necrosis of intestinal epithelium and thinning of the epithelium with erosion were also seen in dogs.</w:t>
      </w:r>
    </w:p>
    <w:p w14:paraId="7B53852C" w14:textId="40FBA952" w:rsidR="000E3B39" w:rsidRDefault="000E3B39" w:rsidP="000E3B39">
      <w:pPr>
        <w:pStyle w:val="Text"/>
      </w:pPr>
      <w:r w:rsidRPr="000E3B39">
        <w:rPr>
          <w:b w:val="0"/>
        </w:rPr>
        <w:t xml:space="preserve">An additional target organ was the kidney with acute tubular necrosis and mineralization of tubular epithelium seen in rats. Lymphoid depletion in thymus and spleen and </w:t>
      </w:r>
      <w:proofErr w:type="spellStart"/>
      <w:r w:rsidRPr="000E3B39">
        <w:rPr>
          <w:b w:val="0"/>
        </w:rPr>
        <w:t>lymphocytolysis</w:t>
      </w:r>
      <w:proofErr w:type="spellEnd"/>
      <w:r w:rsidRPr="000E3B39">
        <w:rPr>
          <w:b w:val="0"/>
        </w:rPr>
        <w:t>/</w:t>
      </w:r>
      <w:proofErr w:type="spellStart"/>
      <w:r w:rsidRPr="000E3B39">
        <w:rPr>
          <w:b w:val="0"/>
        </w:rPr>
        <w:t>lymphophagocytes</w:t>
      </w:r>
      <w:proofErr w:type="spellEnd"/>
      <w:r w:rsidRPr="000E3B39">
        <w:rPr>
          <w:b w:val="0"/>
        </w:rPr>
        <w:t xml:space="preserve"> in lymph nodes and gut associated lymphoid tissue (GALT) were also seen in both rats and dogs.</w:t>
      </w:r>
    </w:p>
    <w:p w14:paraId="3B734319" w14:textId="71BE600D" w:rsidR="000E3B39" w:rsidRDefault="000E3B39" w:rsidP="000E3B39">
      <w:pPr>
        <w:pStyle w:val="paragraph"/>
        <w:rPr>
          <w:b w:val="0"/>
        </w:rPr>
      </w:pPr>
      <w:r w:rsidRPr="000E3B39">
        <w:rPr>
          <w:b w:val="0"/>
        </w:rPr>
        <w:t xml:space="preserve">In a juvenile rat study effects were seen in bone, teeth, reproductive tissues, GI tract, and lymphoid tissues similar to the effects in adult rats. In addition, a minimal to slight degeneration of nerve fibers was found in the sciatic nerve and, less commonly, in the thoracic spinal cord, but not in the cervical or lumbar spinal cord or optic nerve. These effects </w:t>
      </w:r>
      <w:r w:rsidR="00993576">
        <w:rPr>
          <w:b w:val="0"/>
        </w:rPr>
        <w:t xml:space="preserve">might be </w:t>
      </w:r>
      <w:r w:rsidRPr="000E3B39">
        <w:rPr>
          <w:b w:val="0"/>
        </w:rPr>
        <w:t>secondary to spinal cord and nerve compression resulting from sonidegib induced cessation of bone growth</w:t>
      </w:r>
      <w:r w:rsidR="00993576">
        <w:rPr>
          <w:b w:val="0"/>
        </w:rPr>
        <w:t>, but a direct effect of sonidegib cannot be excluded</w:t>
      </w:r>
      <w:r w:rsidRPr="000E3B39">
        <w:rPr>
          <w:b w:val="0"/>
        </w:rPr>
        <w:t>. Effects on nerves were not seen in any of the toxicity studies on more mature rats or dogs.</w:t>
      </w:r>
    </w:p>
    <w:p w14:paraId="411CB905" w14:textId="77777777" w:rsidR="00CB5ABF" w:rsidRPr="00E05DCF" w:rsidRDefault="00CB5ABF" w:rsidP="00CB5ABF">
      <w:pPr>
        <w:pStyle w:val="Nottoc-headings0"/>
        <w:rPr>
          <w:rFonts w:ascii="Times New Roman" w:hAnsi="Times New Roman"/>
          <w:sz w:val="24"/>
        </w:rPr>
      </w:pPr>
      <w:r w:rsidRPr="00E05DCF">
        <w:rPr>
          <w:rFonts w:ascii="Times New Roman" w:hAnsi="Times New Roman"/>
          <w:sz w:val="24"/>
        </w:rPr>
        <w:t>Blood donation</w:t>
      </w:r>
      <w:bookmarkStart w:id="11" w:name="_1613457Blood_donation"/>
      <w:bookmarkEnd w:id="11"/>
    </w:p>
    <w:p w14:paraId="4313CED6" w14:textId="1078B36C" w:rsidR="00CB5ABF" w:rsidRDefault="00CB5ABF" w:rsidP="00CB5ABF">
      <w:pPr>
        <w:pStyle w:val="paragraph"/>
        <w:rPr>
          <w:b w:val="0"/>
        </w:rPr>
      </w:pPr>
      <w:r w:rsidRPr="00CB5ABF">
        <w:rPr>
          <w:b w:val="0"/>
        </w:rPr>
        <w:t>Patients should be instructed not to donate blood while taking Odomzo and for at least 20 months after ending treatment</w:t>
      </w:r>
      <w:r>
        <w:rPr>
          <w:b w:val="0"/>
        </w:rPr>
        <w:t>.</w:t>
      </w:r>
    </w:p>
    <w:p w14:paraId="6D04C17E" w14:textId="77777777" w:rsidR="00B42838" w:rsidRPr="00B42838" w:rsidRDefault="00B42838" w:rsidP="00B42838">
      <w:pPr>
        <w:pStyle w:val="Nottoc-headings0"/>
        <w:rPr>
          <w:rStyle w:val="CommentChar"/>
          <w:rFonts w:ascii="Times New Roman" w:hAnsi="Times New Roman"/>
          <w:b w:val="0"/>
          <w:bCs/>
        </w:rPr>
      </w:pPr>
      <w:bookmarkStart w:id="12" w:name="_Toc259706917"/>
      <w:bookmarkStart w:id="13" w:name="_Toc259707088"/>
      <w:bookmarkStart w:id="14" w:name="_Toc259707151"/>
      <w:bookmarkStart w:id="15" w:name="_Toc259713092"/>
      <w:r w:rsidRPr="00E05DCF">
        <w:rPr>
          <w:rFonts w:ascii="Times New Roman" w:hAnsi="Times New Roman"/>
          <w:sz w:val="24"/>
          <w:lang w:bidi="th-TH"/>
        </w:rPr>
        <w:t>Advice to handler</w:t>
      </w:r>
      <w:bookmarkStart w:id="16" w:name="_1713597Advice_to_handler_"/>
      <w:bookmarkEnd w:id="12"/>
      <w:bookmarkEnd w:id="13"/>
      <w:bookmarkEnd w:id="14"/>
      <w:bookmarkEnd w:id="15"/>
      <w:bookmarkEnd w:id="16"/>
    </w:p>
    <w:p w14:paraId="2DF36209" w14:textId="187A1889" w:rsidR="00B42838" w:rsidRDefault="00B42838" w:rsidP="00B42838">
      <w:pPr>
        <w:pStyle w:val="paragraph"/>
        <w:rPr>
          <w:b w:val="0"/>
          <w:lang w:bidi="th-TH"/>
        </w:rPr>
      </w:pPr>
      <w:r w:rsidRPr="00E05DCF">
        <w:rPr>
          <w:b w:val="0"/>
          <w:lang w:bidi="th-TH"/>
        </w:rPr>
        <w:t>Do not open capsules due to risk of teratogenicity</w:t>
      </w:r>
      <w:r>
        <w:rPr>
          <w:b w:val="0"/>
          <w:lang w:bidi="th-TH"/>
        </w:rPr>
        <w:t>.</w:t>
      </w:r>
    </w:p>
    <w:p w14:paraId="14839F11" w14:textId="77777777" w:rsidR="00B42838" w:rsidRPr="00B42838" w:rsidRDefault="00B42838" w:rsidP="00B42838">
      <w:pPr>
        <w:pStyle w:val="paragraph"/>
        <w:rPr>
          <w:b w:val="0"/>
          <w:lang w:val="pt-BR"/>
        </w:rPr>
      </w:pPr>
    </w:p>
    <w:p w14:paraId="0840EE9B" w14:textId="77777777" w:rsidR="00B82375" w:rsidRDefault="00B53986" w:rsidP="007F46FD">
      <w:pPr>
        <w:pStyle w:val="Heading1"/>
      </w:pPr>
      <w:r w:rsidRPr="00D766FE">
        <w:t>INTERACTIONS WITH OTHER MEDICINES</w:t>
      </w:r>
    </w:p>
    <w:p w14:paraId="689ECD57" w14:textId="31FBEDBA" w:rsidR="000E3B39" w:rsidRPr="000E3B39" w:rsidRDefault="000E3B39" w:rsidP="000E3B39">
      <w:pPr>
        <w:pStyle w:val="Text"/>
        <w:rPr>
          <w:b w:val="0"/>
        </w:rPr>
      </w:pPr>
      <w:bookmarkStart w:id="17" w:name="_Toc259713111"/>
      <w:bookmarkStart w:id="18" w:name="_Toc259707165"/>
      <w:bookmarkStart w:id="19" w:name="_Toc259707102"/>
      <w:bookmarkStart w:id="20" w:name="_Toc259706931"/>
      <w:r w:rsidRPr="000E3B39">
        <w:rPr>
          <w:b w:val="0"/>
        </w:rPr>
        <w:t>Sonidegib undergoes metabolism primarily by CYP3A4, and concomitant administration of strong inhibitors or inducers of CYP3A4 can increase or decrease sonidegib concentrations significantly.</w:t>
      </w:r>
    </w:p>
    <w:p w14:paraId="2F387420" w14:textId="77777777" w:rsidR="000E3B39" w:rsidRPr="000E3B39" w:rsidRDefault="000E3B39" w:rsidP="000E3B39">
      <w:pPr>
        <w:pStyle w:val="Nottoc-headings0"/>
        <w:rPr>
          <w:rFonts w:ascii="Times New Roman" w:hAnsi="Times New Roman"/>
          <w:sz w:val="24"/>
        </w:rPr>
      </w:pPr>
      <w:r w:rsidRPr="000E3B39">
        <w:rPr>
          <w:rFonts w:ascii="Times New Roman" w:hAnsi="Times New Roman"/>
          <w:sz w:val="24"/>
        </w:rPr>
        <w:lastRenderedPageBreak/>
        <w:t>Agents that may increase sonidegib plasma concentration</w:t>
      </w:r>
      <w:bookmarkStart w:id="21" w:name="_2522392Agents_that_may_increase_s"/>
      <w:bookmarkEnd w:id="21"/>
    </w:p>
    <w:p w14:paraId="23CBAA39" w14:textId="24602716" w:rsidR="000E3B39" w:rsidRPr="000E3B39" w:rsidRDefault="000E3B39" w:rsidP="000E3B39">
      <w:pPr>
        <w:pStyle w:val="Text"/>
        <w:rPr>
          <w:b w:val="0"/>
        </w:rPr>
      </w:pPr>
      <w:r w:rsidRPr="000E3B39">
        <w:rPr>
          <w:b w:val="0"/>
        </w:rPr>
        <w:t xml:space="preserve">In healthy subjects, co-administration of a single 800 mg dose of Odomzo with ketoconazole (200 mg twice daily for 14 days), a strong CYP3A inhibitor, resulted in a 2.25 fold and a 1.49-fold increase in </w:t>
      </w:r>
      <w:proofErr w:type="spellStart"/>
      <w:r w:rsidRPr="000E3B39">
        <w:rPr>
          <w:b w:val="0"/>
        </w:rPr>
        <w:t>sonidegib</w:t>
      </w:r>
      <w:proofErr w:type="spellEnd"/>
      <w:r w:rsidRPr="000E3B39">
        <w:rPr>
          <w:b w:val="0"/>
        </w:rPr>
        <w:t xml:space="preserve"> AUC and </w:t>
      </w:r>
      <w:proofErr w:type="spellStart"/>
      <w:r w:rsidRPr="000E3B39">
        <w:rPr>
          <w:b w:val="0"/>
        </w:rPr>
        <w:t>Cmax</w:t>
      </w:r>
      <w:proofErr w:type="spellEnd"/>
      <w:r w:rsidRPr="000E3B39">
        <w:rPr>
          <w:b w:val="0"/>
        </w:rPr>
        <w:t xml:space="preserve">, respectively, compared to when Odomzo was given alone. Co-administration of Odomzo with strong CYP3A inhibitors increases sonidegib plasma concentration. Avoid concomitant use of strong CYP3A inhibitors, including but not limited to, ritonavir, </w:t>
      </w:r>
      <w:proofErr w:type="spellStart"/>
      <w:r w:rsidRPr="000E3B39">
        <w:rPr>
          <w:b w:val="0"/>
        </w:rPr>
        <w:t>saquinavir</w:t>
      </w:r>
      <w:proofErr w:type="spellEnd"/>
      <w:r w:rsidRPr="000E3B39">
        <w:rPr>
          <w:b w:val="0"/>
        </w:rPr>
        <w:t xml:space="preserve">, </w:t>
      </w:r>
      <w:proofErr w:type="spellStart"/>
      <w:r w:rsidRPr="000E3B39">
        <w:rPr>
          <w:b w:val="0"/>
        </w:rPr>
        <w:t>telithromycin</w:t>
      </w:r>
      <w:proofErr w:type="spellEnd"/>
      <w:r w:rsidRPr="000E3B39">
        <w:rPr>
          <w:b w:val="0"/>
        </w:rPr>
        <w:t xml:space="preserve">, ketoconazole, </w:t>
      </w:r>
      <w:proofErr w:type="spellStart"/>
      <w:r w:rsidRPr="000E3B39">
        <w:rPr>
          <w:b w:val="0"/>
        </w:rPr>
        <w:t>itraconazole</w:t>
      </w:r>
      <w:proofErr w:type="spellEnd"/>
      <w:r w:rsidRPr="000E3B39">
        <w:rPr>
          <w:b w:val="0"/>
        </w:rPr>
        <w:t xml:space="preserve">, </w:t>
      </w:r>
      <w:proofErr w:type="spellStart"/>
      <w:r w:rsidRPr="000E3B39">
        <w:rPr>
          <w:b w:val="0"/>
        </w:rPr>
        <w:t>voriconazole</w:t>
      </w:r>
      <w:proofErr w:type="spellEnd"/>
      <w:r w:rsidRPr="000E3B39">
        <w:rPr>
          <w:b w:val="0"/>
        </w:rPr>
        <w:t xml:space="preserve">, </w:t>
      </w:r>
      <w:proofErr w:type="spellStart"/>
      <w:r w:rsidRPr="000E3B39">
        <w:rPr>
          <w:b w:val="0"/>
        </w:rPr>
        <w:t>posaconazole</w:t>
      </w:r>
      <w:proofErr w:type="spellEnd"/>
      <w:r w:rsidRPr="000E3B39">
        <w:rPr>
          <w:b w:val="0"/>
        </w:rPr>
        <w:t xml:space="preserve"> and </w:t>
      </w:r>
      <w:proofErr w:type="spellStart"/>
      <w:r w:rsidRPr="000E3B39">
        <w:rPr>
          <w:b w:val="0"/>
        </w:rPr>
        <w:t>nefazodone</w:t>
      </w:r>
      <w:proofErr w:type="spellEnd"/>
      <w:r w:rsidRPr="000E3B39">
        <w:rPr>
          <w:b w:val="0"/>
        </w:rPr>
        <w:t xml:space="preserve">. Patients should be carefully monitored for adverse events if </w:t>
      </w:r>
      <w:r w:rsidR="00E61691" w:rsidRPr="00E61691">
        <w:rPr>
          <w:b w:val="0"/>
        </w:rPr>
        <w:t>one of these agents is</w:t>
      </w:r>
      <w:r w:rsidR="00E61691">
        <w:t xml:space="preserve"> </w:t>
      </w:r>
      <w:r w:rsidRPr="000E3B39">
        <w:rPr>
          <w:b w:val="0"/>
        </w:rPr>
        <w:t>used together</w:t>
      </w:r>
      <w:r w:rsidR="00E61691">
        <w:rPr>
          <w:b w:val="0"/>
        </w:rPr>
        <w:t xml:space="preserve"> with sonidegib</w:t>
      </w:r>
      <w:r w:rsidRPr="000E3B39">
        <w:rPr>
          <w:b w:val="0"/>
        </w:rPr>
        <w:t>. Recommended dose reductions should be considered if muscle related symptoms develop.</w:t>
      </w:r>
    </w:p>
    <w:p w14:paraId="574E01D5" w14:textId="77777777" w:rsidR="000E3B39" w:rsidRPr="000E3B39" w:rsidRDefault="000E3B39" w:rsidP="000E3B39">
      <w:pPr>
        <w:pStyle w:val="Nottoc-headings0"/>
        <w:rPr>
          <w:rFonts w:ascii="Times New Roman" w:hAnsi="Times New Roman"/>
          <w:sz w:val="24"/>
        </w:rPr>
      </w:pPr>
      <w:r w:rsidRPr="000E3B39">
        <w:rPr>
          <w:rFonts w:ascii="Times New Roman" w:hAnsi="Times New Roman"/>
          <w:sz w:val="24"/>
        </w:rPr>
        <w:t>Agents that may decrease sonidegib plasma concentration</w:t>
      </w:r>
      <w:bookmarkStart w:id="22" w:name="_2623140Agents_that_may_decrease_s"/>
      <w:bookmarkEnd w:id="22"/>
    </w:p>
    <w:p w14:paraId="66A919E6" w14:textId="59C3F938" w:rsidR="000E3B39" w:rsidRDefault="000E3B39" w:rsidP="000E3B39">
      <w:pPr>
        <w:pStyle w:val="Text"/>
        <w:rPr>
          <w:b w:val="0"/>
        </w:rPr>
      </w:pPr>
      <w:r w:rsidRPr="000E3B39">
        <w:rPr>
          <w:b w:val="0"/>
        </w:rPr>
        <w:t xml:space="preserve">In healthy subjects, co-administration of a single dose of 800 mg Odomzo with  rifampicin (600 mg daily for 14 days), a strong CYP3A inducer, resulted in 72% and 54% decreases in </w:t>
      </w:r>
      <w:proofErr w:type="spellStart"/>
      <w:r w:rsidRPr="000E3B39">
        <w:rPr>
          <w:b w:val="0"/>
        </w:rPr>
        <w:t>sonidegib</w:t>
      </w:r>
      <w:proofErr w:type="spellEnd"/>
      <w:r w:rsidRPr="000E3B39">
        <w:rPr>
          <w:b w:val="0"/>
        </w:rPr>
        <w:t xml:space="preserve"> AUC and </w:t>
      </w:r>
      <w:proofErr w:type="spellStart"/>
      <w:r w:rsidRPr="000E3B39">
        <w:rPr>
          <w:b w:val="0"/>
        </w:rPr>
        <w:t>Cmax</w:t>
      </w:r>
      <w:proofErr w:type="spellEnd"/>
      <w:r w:rsidRPr="000E3B39">
        <w:rPr>
          <w:b w:val="0"/>
        </w:rPr>
        <w:t xml:space="preserve"> respectively, compared </w:t>
      </w:r>
      <w:r w:rsidR="00E61691">
        <w:rPr>
          <w:b w:val="0"/>
        </w:rPr>
        <w:t xml:space="preserve">with </w:t>
      </w:r>
      <w:r w:rsidRPr="000E3B39">
        <w:rPr>
          <w:b w:val="0"/>
        </w:rPr>
        <w:t xml:space="preserve">when Odomzo was given alone. Co-administration of Odomzo with strong CYP3A inducers decreases sonidegib plasma concentration. Avoid concomitant use of strong CYP3A inducers, including but not limited to carbamazepine, phenobarbital, phenytoin, </w:t>
      </w:r>
      <w:proofErr w:type="spellStart"/>
      <w:r w:rsidRPr="000E3B39">
        <w:rPr>
          <w:b w:val="0"/>
        </w:rPr>
        <w:t>rifabutin</w:t>
      </w:r>
      <w:proofErr w:type="spellEnd"/>
      <w:r w:rsidRPr="000E3B39">
        <w:rPr>
          <w:b w:val="0"/>
        </w:rPr>
        <w:t xml:space="preserve">, rifampin and St John’s </w:t>
      </w:r>
      <w:proofErr w:type="spellStart"/>
      <w:r w:rsidRPr="000E3B39">
        <w:rPr>
          <w:b w:val="0"/>
        </w:rPr>
        <w:t>Wort</w:t>
      </w:r>
      <w:proofErr w:type="spellEnd"/>
      <w:r w:rsidRPr="000E3B39">
        <w:rPr>
          <w:b w:val="0"/>
        </w:rPr>
        <w:t xml:space="preserve"> </w:t>
      </w:r>
      <w:r w:rsidRPr="000E3B39">
        <w:rPr>
          <w:b w:val="0"/>
          <w:i/>
        </w:rPr>
        <w:t>(</w:t>
      </w:r>
      <w:proofErr w:type="spellStart"/>
      <w:r w:rsidRPr="000E3B39">
        <w:rPr>
          <w:b w:val="0"/>
          <w:i/>
        </w:rPr>
        <w:t>Hypericum</w:t>
      </w:r>
      <w:proofErr w:type="spellEnd"/>
      <w:r w:rsidRPr="000E3B39">
        <w:rPr>
          <w:b w:val="0"/>
          <w:i/>
        </w:rPr>
        <w:t xml:space="preserve"> </w:t>
      </w:r>
      <w:proofErr w:type="spellStart"/>
      <w:r w:rsidRPr="000E3B39">
        <w:rPr>
          <w:b w:val="0"/>
          <w:i/>
        </w:rPr>
        <w:t>perforatum</w:t>
      </w:r>
      <w:proofErr w:type="spellEnd"/>
      <w:r w:rsidRPr="000E3B39">
        <w:rPr>
          <w:b w:val="0"/>
          <w:i/>
        </w:rPr>
        <w:t xml:space="preserve">). </w:t>
      </w:r>
      <w:r w:rsidRPr="000E3B39">
        <w:rPr>
          <w:b w:val="0"/>
        </w:rPr>
        <w:t>If a strong CYP3A inducer must be used concomitantly with sonidegib, consider increasing the dose of sonidegib by 200 mg increments to a maximum daily dose of 800 mg. This dose of sonidegib is predicted to adjust the AUC to the range observed without inducers based on pharmacokinetic data. The dose of Odomzo used prior to initiation of the strong inducer should be resumed if the strong inducer is discontinued.</w:t>
      </w:r>
    </w:p>
    <w:p w14:paraId="0295C39F" w14:textId="79E0B119" w:rsidR="00326A0D" w:rsidRPr="00326A0D" w:rsidRDefault="00326A0D" w:rsidP="000E3B39">
      <w:pPr>
        <w:pStyle w:val="Text"/>
        <w:rPr>
          <w:b w:val="0"/>
        </w:rPr>
      </w:pPr>
      <w:r w:rsidRPr="00326A0D">
        <w:rPr>
          <w:b w:val="0"/>
        </w:rPr>
        <w:t>Medicinal products that increase the pH of the upper gastrointestinal tract, such as proton pump inhibitors (PPIs), may alter the solubility of sonidegib and potentially reduce its bioavailability. No formal clinical study has been conducted to evaluate the effect of PPIs on the systemic exposure of sonidegib. However, concomitant use of PPIs or H2 receptor antagonists was tested as a covariate in the population pharmacokinetic analysis. PPIs were estimated to decrease the bioavailability to</w:t>
      </w:r>
      <w:r w:rsidRPr="00326A0D">
        <w:rPr>
          <w:b w:val="0"/>
          <w:i/>
        </w:rPr>
        <w:t xml:space="preserve"> </w:t>
      </w:r>
      <w:r w:rsidRPr="00326A0D">
        <w:rPr>
          <w:b w:val="0"/>
        </w:rPr>
        <w:t>0.69 (95% CI: 0.60, 0.81), while H2 receptor antagonists were estimated to have no significant effect on bioavailability. The effect of PPIs or H2 receptor antagonists on efficacy of sonidegib is unknown.</w:t>
      </w:r>
    </w:p>
    <w:p w14:paraId="00537E60" w14:textId="77777777" w:rsidR="000E3B39" w:rsidRPr="000E3B39" w:rsidRDefault="000E3B39" w:rsidP="000E3B39">
      <w:pPr>
        <w:pStyle w:val="Nottoc-headings0"/>
        <w:rPr>
          <w:rFonts w:ascii="Times New Roman" w:hAnsi="Times New Roman"/>
          <w:sz w:val="24"/>
        </w:rPr>
      </w:pPr>
      <w:r w:rsidRPr="000E3B39">
        <w:rPr>
          <w:rFonts w:ascii="Times New Roman" w:hAnsi="Times New Roman"/>
          <w:sz w:val="24"/>
        </w:rPr>
        <w:t>Anticipated interactions to be considered</w:t>
      </w:r>
      <w:bookmarkStart w:id="23" w:name="_2723852Anticipated_interactions_t"/>
      <w:bookmarkEnd w:id="17"/>
      <w:bookmarkEnd w:id="18"/>
      <w:bookmarkEnd w:id="19"/>
      <w:bookmarkEnd w:id="20"/>
      <w:bookmarkEnd w:id="23"/>
    </w:p>
    <w:p w14:paraId="1E23D8FB" w14:textId="3A93184C" w:rsidR="000E3B39" w:rsidRPr="000E3B39" w:rsidRDefault="000E3B39" w:rsidP="000E3B39">
      <w:pPr>
        <w:pStyle w:val="Text"/>
        <w:rPr>
          <w:b w:val="0"/>
        </w:rPr>
      </w:pPr>
      <w:r w:rsidRPr="000E3B39">
        <w:rPr>
          <w:b w:val="0"/>
        </w:rPr>
        <w:t xml:space="preserve">Sonidegib is a competitive inhibitor of CYP2B6 and CYP2C9 </w:t>
      </w:r>
      <w:r w:rsidRPr="000E3B39">
        <w:rPr>
          <w:b w:val="0"/>
          <w:i/>
        </w:rPr>
        <w:t>in vitro</w:t>
      </w:r>
      <w:r w:rsidRPr="000E3B39">
        <w:rPr>
          <w:b w:val="0"/>
        </w:rPr>
        <w:t xml:space="preserve">, potentially increasing the concentrations of drugs metabolized by these enzymes. Sonidegib is also a breast cancer resistance protein (BCRP) inhibitor. </w:t>
      </w:r>
      <w:r w:rsidR="00E61691">
        <w:rPr>
          <w:b w:val="0"/>
        </w:rPr>
        <w:t>Monitor p</w:t>
      </w:r>
      <w:r w:rsidRPr="000E3B39">
        <w:rPr>
          <w:b w:val="0"/>
        </w:rPr>
        <w:t>atients carefully for adverse drug reactions with concomitant use of substrates of CYP2B6 and CYP2C9 enzymes or BCRP transporter, especially those with a narrow therapeutic range.</w:t>
      </w:r>
    </w:p>
    <w:p w14:paraId="6047E030" w14:textId="77777777" w:rsidR="000E3B39" w:rsidRPr="000E3B39" w:rsidRDefault="000E3B39" w:rsidP="000E3B39">
      <w:pPr>
        <w:pStyle w:val="Nottoc-headings0"/>
        <w:tabs>
          <w:tab w:val="left" w:pos="5597"/>
        </w:tabs>
        <w:rPr>
          <w:rFonts w:ascii="Times New Roman" w:hAnsi="Times New Roman"/>
          <w:sz w:val="24"/>
        </w:rPr>
      </w:pPr>
      <w:r w:rsidRPr="000E3B39">
        <w:rPr>
          <w:rFonts w:ascii="Times New Roman" w:hAnsi="Times New Roman"/>
          <w:sz w:val="24"/>
        </w:rPr>
        <w:lastRenderedPageBreak/>
        <w:t>Agents that are substrates of transporters</w:t>
      </w:r>
    </w:p>
    <w:p w14:paraId="407072D8" w14:textId="2C9D34DA" w:rsidR="000E3B39" w:rsidRPr="000E3B39" w:rsidRDefault="000E3B39" w:rsidP="000E3B39">
      <w:pPr>
        <w:pStyle w:val="Text"/>
        <w:rPr>
          <w:b w:val="0"/>
        </w:rPr>
      </w:pPr>
      <w:r w:rsidRPr="000E3B39">
        <w:rPr>
          <w:b w:val="0"/>
        </w:rPr>
        <w:t xml:space="preserve">Based on </w:t>
      </w:r>
      <w:r w:rsidRPr="000E3B39">
        <w:rPr>
          <w:b w:val="0"/>
          <w:i/>
        </w:rPr>
        <w:t>in vitro</w:t>
      </w:r>
      <w:r w:rsidRPr="000E3B39">
        <w:rPr>
          <w:b w:val="0"/>
        </w:rPr>
        <w:t xml:space="preserve"> data, sonidegib did not inhibit apical efflux transporters, P-</w:t>
      </w:r>
      <w:proofErr w:type="spellStart"/>
      <w:r w:rsidRPr="000E3B39">
        <w:rPr>
          <w:b w:val="0"/>
        </w:rPr>
        <w:t>gp</w:t>
      </w:r>
      <w:proofErr w:type="spellEnd"/>
      <w:r w:rsidRPr="000E3B39">
        <w:rPr>
          <w:b w:val="0"/>
        </w:rPr>
        <w:t xml:space="preserve"> or MRP2, hepatic uptake transporters OATP1B1 or OATP1B3, renal organic anion uptake transporters OAT1 and OAT3, or the organic cation uptake transporters OCT1 or OCT2 at clinically relevant concentrations. Therefore, clinical drug-drug interactions as a result of sonidegib-mediated inhibition of substrates for these transporters are unlikely to occur</w:t>
      </w:r>
      <w:r w:rsidRPr="000E3B39">
        <w:rPr>
          <w:b w:val="0"/>
          <w:color w:val="0000FF"/>
        </w:rPr>
        <w:t>.</w:t>
      </w:r>
    </w:p>
    <w:p w14:paraId="34F2A767" w14:textId="77777777" w:rsidR="000E3B39" w:rsidRPr="000E3B39" w:rsidRDefault="000E3B39" w:rsidP="000E3B39">
      <w:pPr>
        <w:pStyle w:val="Nottoc-headings0"/>
        <w:rPr>
          <w:rFonts w:ascii="Times New Roman" w:hAnsi="Times New Roman"/>
          <w:sz w:val="24"/>
        </w:rPr>
      </w:pPr>
      <w:r w:rsidRPr="000E3B39">
        <w:rPr>
          <w:rFonts w:ascii="Times New Roman" w:hAnsi="Times New Roman"/>
          <w:iCs/>
          <w:sz w:val="24"/>
        </w:rPr>
        <w:t>Agents that may increase muscle related adverse events</w:t>
      </w:r>
      <w:bookmarkStart w:id="24" w:name="_2824334Agents_that_may_increase_C"/>
      <w:bookmarkEnd w:id="24"/>
    </w:p>
    <w:p w14:paraId="5C0CF993" w14:textId="6D746CFC" w:rsidR="000E3B39" w:rsidRPr="000E3B39" w:rsidRDefault="000E3B39" w:rsidP="000E3B39">
      <w:pPr>
        <w:pStyle w:val="Text"/>
        <w:rPr>
          <w:b w:val="0"/>
        </w:rPr>
      </w:pPr>
      <w:r w:rsidRPr="000E3B39">
        <w:rPr>
          <w:b w:val="0"/>
        </w:rPr>
        <w:t>Due to overlapping toxicities, patients taking Odomzo who are also taking medications known to increase the risk of muscle related toxicity may be at increased risk of developing muscle related adverse events. Patients should be closely monitored and dose adjustments should be considered if muscle symptoms develop.</w:t>
      </w:r>
    </w:p>
    <w:p w14:paraId="78CF7077" w14:textId="28768E30" w:rsidR="000E3B39" w:rsidRPr="000E3B39" w:rsidRDefault="000E3B39" w:rsidP="000E3B39">
      <w:pPr>
        <w:pStyle w:val="Text"/>
        <w:rPr>
          <w:b w:val="0"/>
        </w:rPr>
      </w:pPr>
      <w:r w:rsidRPr="000E3B39">
        <w:rPr>
          <w:b w:val="0"/>
        </w:rPr>
        <w:t xml:space="preserve">In the phase II pivotal </w:t>
      </w:r>
      <w:r w:rsidR="00E61691">
        <w:rPr>
          <w:b w:val="0"/>
        </w:rPr>
        <w:t>study</w:t>
      </w:r>
      <w:r w:rsidRPr="000E3B39">
        <w:rPr>
          <w:b w:val="0"/>
        </w:rPr>
        <w:t xml:space="preserve">, </w:t>
      </w:r>
      <w:r w:rsidR="008B640C">
        <w:rPr>
          <w:b w:val="0"/>
        </w:rPr>
        <w:t>12</w:t>
      </w:r>
      <w:r w:rsidRPr="000E3B39">
        <w:rPr>
          <w:b w:val="0"/>
        </w:rPr>
        <w:t xml:space="preserve"> (</w:t>
      </w:r>
      <w:r w:rsidR="008B640C">
        <w:rPr>
          <w:b w:val="0"/>
        </w:rPr>
        <w:t>15.2</w:t>
      </w:r>
      <w:r w:rsidRPr="000E3B39">
        <w:rPr>
          <w:b w:val="0"/>
        </w:rPr>
        <w:t xml:space="preserve">%) patients treated with Odomzo 200 mg took concomitant HMG-CoA reductase inhibitors. Of the patients on HMG-CoA reductase inhibitors, </w:t>
      </w:r>
      <w:r w:rsidR="008B640C">
        <w:rPr>
          <w:b w:val="0"/>
        </w:rPr>
        <w:t>7</w:t>
      </w:r>
      <w:r w:rsidRPr="000E3B39">
        <w:rPr>
          <w:b w:val="0"/>
        </w:rPr>
        <w:t xml:space="preserve"> (</w:t>
      </w:r>
      <w:r w:rsidR="008B640C">
        <w:rPr>
          <w:b w:val="0"/>
        </w:rPr>
        <w:t>58.3</w:t>
      </w:r>
      <w:r w:rsidRPr="000E3B39">
        <w:rPr>
          <w:b w:val="0"/>
        </w:rPr>
        <w:t xml:space="preserve">%) had up to </w:t>
      </w:r>
      <w:r w:rsidR="00EC0522">
        <w:rPr>
          <w:b w:val="0"/>
        </w:rPr>
        <w:t>G</w:t>
      </w:r>
      <w:r w:rsidRPr="000E3B39">
        <w:rPr>
          <w:b w:val="0"/>
        </w:rPr>
        <w:t xml:space="preserve">rade 1 muscle symptoms </w:t>
      </w:r>
      <w:r w:rsidR="00EC0522">
        <w:rPr>
          <w:b w:val="0"/>
        </w:rPr>
        <w:t>while</w:t>
      </w:r>
      <w:r w:rsidRPr="000E3B39">
        <w:rPr>
          <w:b w:val="0"/>
        </w:rPr>
        <w:t xml:space="preserve"> 4</w:t>
      </w:r>
      <w:r w:rsidR="00EC0522">
        <w:rPr>
          <w:b w:val="0"/>
        </w:rPr>
        <w:t>3</w:t>
      </w:r>
      <w:r w:rsidRPr="000E3B39">
        <w:rPr>
          <w:b w:val="0"/>
        </w:rPr>
        <w:t xml:space="preserve"> (</w:t>
      </w:r>
      <w:r w:rsidR="00EC0522">
        <w:rPr>
          <w:b w:val="0"/>
        </w:rPr>
        <w:t>64.2</w:t>
      </w:r>
      <w:r w:rsidRPr="000E3B39">
        <w:rPr>
          <w:b w:val="0"/>
        </w:rPr>
        <w:t xml:space="preserve">%) patients not taking HMG-CoA reductase inhibitors experienced up to </w:t>
      </w:r>
      <w:r w:rsidR="00EC0522">
        <w:rPr>
          <w:b w:val="0"/>
        </w:rPr>
        <w:t>G</w:t>
      </w:r>
      <w:r w:rsidRPr="000E3B39">
        <w:rPr>
          <w:b w:val="0"/>
        </w:rPr>
        <w:t xml:space="preserve">rade 3 symptoms. No patient taking HMG-CoA reductase inhibitors experienced </w:t>
      </w:r>
      <w:r w:rsidR="00EC0522">
        <w:rPr>
          <w:b w:val="0"/>
        </w:rPr>
        <w:t>G</w:t>
      </w:r>
      <w:r w:rsidRPr="000E3B39">
        <w:rPr>
          <w:b w:val="0"/>
        </w:rPr>
        <w:t xml:space="preserve">rade 3/4 CK elevations, as opposed to </w:t>
      </w:r>
      <w:r w:rsidR="00EC0522">
        <w:rPr>
          <w:b w:val="0"/>
        </w:rPr>
        <w:t>6</w:t>
      </w:r>
      <w:r w:rsidRPr="000E3B39">
        <w:rPr>
          <w:b w:val="0"/>
        </w:rPr>
        <w:t xml:space="preserve"> (</w:t>
      </w:r>
      <w:r w:rsidR="00EC0522">
        <w:rPr>
          <w:b w:val="0"/>
        </w:rPr>
        <w:t>9.0</w:t>
      </w:r>
      <w:r w:rsidRPr="000E3B39">
        <w:rPr>
          <w:b w:val="0"/>
        </w:rPr>
        <w:t>%) patients not taking HMG-CoA reductase inhibitors.</w:t>
      </w:r>
    </w:p>
    <w:p w14:paraId="491A6CEE" w14:textId="77777777" w:rsidR="000E3B39" w:rsidRPr="000E3B39" w:rsidRDefault="000E3B39" w:rsidP="000E3B39">
      <w:pPr>
        <w:pStyle w:val="Nottoc-headings0"/>
        <w:rPr>
          <w:rFonts w:ascii="Times New Roman" w:hAnsi="Times New Roman"/>
          <w:sz w:val="24"/>
        </w:rPr>
      </w:pPr>
      <w:r w:rsidRPr="000E3B39">
        <w:rPr>
          <w:rFonts w:ascii="Times New Roman" w:hAnsi="Times New Roman"/>
          <w:sz w:val="24"/>
        </w:rPr>
        <w:t>Drug-food interaction</w:t>
      </w:r>
      <w:bookmarkStart w:id="25" w:name="_2925258Drug45food_interaction"/>
      <w:bookmarkEnd w:id="25"/>
    </w:p>
    <w:p w14:paraId="436E376E" w14:textId="48DBBC0B" w:rsidR="000E3B39" w:rsidRPr="000E3B39" w:rsidRDefault="000E3B39" w:rsidP="000E3B39">
      <w:pPr>
        <w:pStyle w:val="paragraph"/>
        <w:rPr>
          <w:b w:val="0"/>
        </w:rPr>
      </w:pPr>
      <w:r w:rsidRPr="000E3B39">
        <w:rPr>
          <w:b w:val="0"/>
        </w:rPr>
        <w:t xml:space="preserve">The bioavailability of Odomzo is increased in the presence of food (see </w:t>
      </w:r>
      <w:r>
        <w:rPr>
          <w:b w:val="0"/>
        </w:rPr>
        <w:t>P</w:t>
      </w:r>
      <w:r w:rsidRPr="000E3B39">
        <w:rPr>
          <w:b w:val="0"/>
        </w:rPr>
        <w:t>harmacology). Odomzo should be taken at least 1 hour before, or two hours after a meal.</w:t>
      </w:r>
    </w:p>
    <w:p w14:paraId="76DD87B0" w14:textId="77777777" w:rsidR="00FA3C64" w:rsidRDefault="00FA3C64" w:rsidP="007F46FD">
      <w:pPr>
        <w:pStyle w:val="Heading1"/>
      </w:pPr>
    </w:p>
    <w:p w14:paraId="0840EE9C" w14:textId="77777777" w:rsidR="006D0C74" w:rsidRDefault="00F22127" w:rsidP="007F46FD">
      <w:pPr>
        <w:pStyle w:val="Heading1"/>
      </w:pPr>
      <w:r w:rsidRPr="00D766FE">
        <w:t xml:space="preserve">ADVERSE </w:t>
      </w:r>
      <w:r w:rsidR="00B53986">
        <w:t>EFFECTS</w:t>
      </w:r>
    </w:p>
    <w:p w14:paraId="7AD95167" w14:textId="77777777" w:rsidR="00FA3C64" w:rsidRPr="00FA3C64" w:rsidRDefault="00FA3C64" w:rsidP="00FA3C64">
      <w:pPr>
        <w:pStyle w:val="Nottoc-headings0"/>
        <w:rPr>
          <w:rFonts w:ascii="Times New Roman" w:hAnsi="Times New Roman"/>
          <w:sz w:val="24"/>
        </w:rPr>
      </w:pPr>
      <w:r w:rsidRPr="00FA3C64">
        <w:rPr>
          <w:rFonts w:ascii="Times New Roman" w:hAnsi="Times New Roman"/>
          <w:sz w:val="24"/>
        </w:rPr>
        <w:t>Summary of the safety profile</w:t>
      </w:r>
      <w:bookmarkStart w:id="26" w:name="_1813733Summary_of_the_safety_prof"/>
      <w:bookmarkEnd w:id="26"/>
    </w:p>
    <w:p w14:paraId="7E14E130" w14:textId="7CB2341A" w:rsidR="00FA3C64" w:rsidRPr="00FA3C64" w:rsidRDefault="00FA3C64" w:rsidP="00FA3C64">
      <w:pPr>
        <w:pStyle w:val="Text"/>
        <w:rPr>
          <w:b w:val="0"/>
        </w:rPr>
      </w:pPr>
      <w:r w:rsidRPr="00FA3C64">
        <w:rPr>
          <w:b w:val="0"/>
        </w:rPr>
        <w:t xml:space="preserve">The phase II pivotal study evaluated the safety of Odomzo in a total of 229 adult patients with locally advanced or metastatic BCC. Patients were treated with Odomzo 200 mg daily (n=79) </w:t>
      </w:r>
      <w:r w:rsidR="004B3D67">
        <w:rPr>
          <w:b w:val="0"/>
        </w:rPr>
        <w:t xml:space="preserve">or </w:t>
      </w:r>
      <w:r w:rsidRPr="00FA3C64">
        <w:rPr>
          <w:b w:val="0"/>
        </w:rPr>
        <w:t xml:space="preserve">with Odomzo 800 mg daily (n=150). </w:t>
      </w:r>
      <w:r w:rsidR="004B3D67" w:rsidRPr="004B3D67">
        <w:rPr>
          <w:b w:val="0"/>
        </w:rPr>
        <w:t>The following safety analysis is based on data collected after all patients were followed for at least 1</w:t>
      </w:r>
      <w:r w:rsidR="004B3D67">
        <w:rPr>
          <w:b w:val="0"/>
        </w:rPr>
        <w:t>8</w:t>
      </w:r>
      <w:r w:rsidR="004B3D67" w:rsidRPr="004B3D67">
        <w:rPr>
          <w:b w:val="0"/>
        </w:rPr>
        <w:t xml:space="preserve"> months unless discontinued earlier. </w:t>
      </w:r>
      <w:r w:rsidRPr="00FA3C64">
        <w:rPr>
          <w:b w:val="0"/>
        </w:rPr>
        <w:t xml:space="preserve">The median duration of treatment was </w:t>
      </w:r>
      <w:r w:rsidR="004B3D67">
        <w:rPr>
          <w:b w:val="0"/>
        </w:rPr>
        <w:t>11.0</w:t>
      </w:r>
      <w:r w:rsidRPr="00FA3C64">
        <w:rPr>
          <w:b w:val="0"/>
        </w:rPr>
        <w:t xml:space="preserve"> months for patients treated with Odomzo at the recommended dose of 200 mg (range 1.3 to </w:t>
      </w:r>
      <w:r w:rsidR="004B3D67">
        <w:rPr>
          <w:b w:val="0"/>
        </w:rPr>
        <w:t>33.5</w:t>
      </w:r>
      <w:r w:rsidRPr="00FA3C64">
        <w:rPr>
          <w:b w:val="0"/>
        </w:rPr>
        <w:t xml:space="preserve"> months). </w:t>
      </w:r>
      <w:r w:rsidR="004B3D67">
        <w:rPr>
          <w:b w:val="0"/>
        </w:rPr>
        <w:t xml:space="preserve">Thirteen </w:t>
      </w:r>
      <w:r w:rsidRPr="00FA3C64">
        <w:rPr>
          <w:b w:val="0"/>
        </w:rPr>
        <w:t xml:space="preserve"> (1</w:t>
      </w:r>
      <w:r w:rsidR="004B3D67">
        <w:rPr>
          <w:b w:val="0"/>
        </w:rPr>
        <w:t>3</w:t>
      </w:r>
      <w:r w:rsidRPr="00FA3C64">
        <w:rPr>
          <w:b w:val="0"/>
        </w:rPr>
        <w:t>)</w:t>
      </w:r>
      <w:r w:rsidRPr="00FA3C64">
        <w:rPr>
          <w:b w:val="0"/>
          <w:lang w:val="en-GB"/>
        </w:rPr>
        <w:t xml:space="preserve"> (1</w:t>
      </w:r>
      <w:r w:rsidR="004B3D67">
        <w:rPr>
          <w:b w:val="0"/>
          <w:lang w:val="en-GB"/>
        </w:rPr>
        <w:t>6.5</w:t>
      </w:r>
      <w:r w:rsidRPr="00FA3C64">
        <w:rPr>
          <w:b w:val="0"/>
          <w:lang w:val="en-GB"/>
        </w:rPr>
        <w:t xml:space="preserve">%) patients had a dose reduction and </w:t>
      </w:r>
      <w:r w:rsidR="004B3D67">
        <w:rPr>
          <w:b w:val="0"/>
          <w:lang w:val="en-GB"/>
        </w:rPr>
        <w:t>22</w:t>
      </w:r>
      <w:r w:rsidRPr="00FA3C64">
        <w:rPr>
          <w:b w:val="0"/>
          <w:lang w:val="en-GB"/>
        </w:rPr>
        <w:t xml:space="preserve"> (2</w:t>
      </w:r>
      <w:r w:rsidR="004B3D67">
        <w:rPr>
          <w:b w:val="0"/>
          <w:lang w:val="en-GB"/>
        </w:rPr>
        <w:t>7.8</w:t>
      </w:r>
      <w:r w:rsidRPr="00FA3C64">
        <w:rPr>
          <w:b w:val="0"/>
          <w:lang w:val="en-GB"/>
        </w:rPr>
        <w:t xml:space="preserve">%) discontinued treatment due to adverse events. </w:t>
      </w:r>
      <w:r w:rsidR="004B3D67">
        <w:rPr>
          <w:b w:val="0"/>
          <w:lang w:val="en-GB"/>
        </w:rPr>
        <w:t>One</w:t>
      </w:r>
      <w:r w:rsidRPr="00FA3C64">
        <w:rPr>
          <w:b w:val="0"/>
          <w:lang w:val="en-GB"/>
        </w:rPr>
        <w:t xml:space="preserve"> death occurred while on treatment </w:t>
      </w:r>
      <w:r w:rsidR="004B3D67" w:rsidRPr="004B3D67">
        <w:rPr>
          <w:b w:val="0"/>
          <w:lang w:val="en-GB"/>
        </w:rPr>
        <w:t>or within 30 days of the last dose taken</w:t>
      </w:r>
      <w:r w:rsidR="004B3D67" w:rsidRPr="00FA3C64">
        <w:rPr>
          <w:b w:val="0"/>
          <w:lang w:val="en-GB"/>
        </w:rPr>
        <w:t xml:space="preserve"> </w:t>
      </w:r>
      <w:r w:rsidRPr="00FA3C64">
        <w:rPr>
          <w:b w:val="0"/>
          <w:lang w:val="en-GB"/>
        </w:rPr>
        <w:t xml:space="preserve">in either </w:t>
      </w:r>
      <w:r w:rsidR="00B42838">
        <w:rPr>
          <w:b w:val="0"/>
          <w:lang w:val="en-GB"/>
        </w:rPr>
        <w:t xml:space="preserve">the metastatic </w:t>
      </w:r>
      <w:r w:rsidRPr="00FA3C64">
        <w:rPr>
          <w:b w:val="0"/>
          <w:lang w:val="en-GB"/>
        </w:rPr>
        <w:t xml:space="preserve">BCC or </w:t>
      </w:r>
      <w:r w:rsidR="00B42838">
        <w:rPr>
          <w:b w:val="0"/>
          <w:lang w:val="en-GB"/>
        </w:rPr>
        <w:t>locally advanced</w:t>
      </w:r>
      <w:r w:rsidR="000E20B4">
        <w:rPr>
          <w:b w:val="0"/>
          <w:lang w:val="en-GB"/>
        </w:rPr>
        <w:t xml:space="preserve"> </w:t>
      </w:r>
      <w:r w:rsidRPr="00FA3C64">
        <w:rPr>
          <w:b w:val="0"/>
          <w:lang w:val="en-GB"/>
        </w:rPr>
        <w:t>BCC patients taking Odomzo 200 mg.</w:t>
      </w:r>
    </w:p>
    <w:p w14:paraId="020FE98C" w14:textId="5D535AC8" w:rsidR="00FA3C64" w:rsidRPr="00FA3C64" w:rsidRDefault="00FA3C64" w:rsidP="00FA3C64">
      <w:pPr>
        <w:pStyle w:val="Text"/>
        <w:rPr>
          <w:b w:val="0"/>
        </w:rPr>
      </w:pPr>
      <w:r w:rsidRPr="00FA3C64">
        <w:rPr>
          <w:b w:val="0"/>
        </w:rPr>
        <w:t xml:space="preserve">The most common adverse drug reactions occurring in ≥10% in patients treated with Odomzo 200 mg were muscle spasms, alopecia, </w:t>
      </w:r>
      <w:proofErr w:type="spellStart"/>
      <w:r w:rsidRPr="00FA3C64">
        <w:rPr>
          <w:b w:val="0"/>
        </w:rPr>
        <w:t>dysgeusia</w:t>
      </w:r>
      <w:proofErr w:type="spellEnd"/>
      <w:r w:rsidRPr="00FA3C64">
        <w:rPr>
          <w:b w:val="0"/>
        </w:rPr>
        <w:t xml:space="preserve">, fatigue, nausea, musculoskeletal pain, </w:t>
      </w:r>
      <w:r w:rsidR="00C12BA7">
        <w:rPr>
          <w:b w:val="0"/>
        </w:rPr>
        <w:t>diarrhoe</w:t>
      </w:r>
      <w:r w:rsidR="004854CC">
        <w:rPr>
          <w:b w:val="0"/>
        </w:rPr>
        <w:t>a</w:t>
      </w:r>
      <w:r w:rsidR="00C12BA7">
        <w:rPr>
          <w:b w:val="0"/>
        </w:rPr>
        <w:t xml:space="preserve">, </w:t>
      </w:r>
      <w:r w:rsidRPr="00FA3C64">
        <w:rPr>
          <w:b w:val="0"/>
        </w:rPr>
        <w:t xml:space="preserve">weight decreased, decreased appetite, myalgia, abdominal pain, </w:t>
      </w:r>
      <w:r w:rsidR="00C12BA7">
        <w:rPr>
          <w:b w:val="0"/>
        </w:rPr>
        <w:t xml:space="preserve">headache, </w:t>
      </w:r>
      <w:r w:rsidRPr="00FA3C64">
        <w:rPr>
          <w:b w:val="0"/>
        </w:rPr>
        <w:t>pain</w:t>
      </w:r>
      <w:r w:rsidR="00C12BA7">
        <w:rPr>
          <w:b w:val="0"/>
        </w:rPr>
        <w:t>, vomiting and pruritus</w:t>
      </w:r>
      <w:r w:rsidRPr="00FA3C64">
        <w:rPr>
          <w:b w:val="0"/>
        </w:rPr>
        <w:t>.</w:t>
      </w:r>
    </w:p>
    <w:p w14:paraId="377F641F" w14:textId="2CFE5406" w:rsidR="00FA3C64" w:rsidRPr="00FA3C64" w:rsidRDefault="00FA3C64" w:rsidP="00FA3C64">
      <w:pPr>
        <w:pStyle w:val="Text"/>
        <w:rPr>
          <w:b w:val="0"/>
          <w:color w:val="0000FF"/>
        </w:rPr>
      </w:pPr>
      <w:r w:rsidRPr="00FA3C64">
        <w:rPr>
          <w:b w:val="0"/>
          <w:lang w:val="en-GB"/>
        </w:rPr>
        <w:lastRenderedPageBreak/>
        <w:t xml:space="preserve">The most common </w:t>
      </w:r>
      <w:r w:rsidR="00C12BA7">
        <w:rPr>
          <w:b w:val="0"/>
          <w:lang w:val="en-GB"/>
        </w:rPr>
        <w:t>G</w:t>
      </w:r>
      <w:r w:rsidRPr="00FA3C64">
        <w:rPr>
          <w:b w:val="0"/>
          <w:lang w:val="en-GB"/>
        </w:rPr>
        <w:t xml:space="preserve">rade 3/4 adverse drug reactions occurring in </w:t>
      </w:r>
      <w:r w:rsidRPr="00FA3C64">
        <w:rPr>
          <w:b w:val="0"/>
          <w:u w:val="single"/>
          <w:lang w:val="en-GB"/>
        </w:rPr>
        <w:t>&gt;</w:t>
      </w:r>
      <w:r w:rsidRPr="00FA3C64">
        <w:rPr>
          <w:b w:val="0"/>
          <w:lang w:val="en-GB"/>
        </w:rPr>
        <w:t xml:space="preserve"> 2% </w:t>
      </w:r>
      <w:r w:rsidR="00C12BA7">
        <w:rPr>
          <w:b w:val="0"/>
          <w:lang w:val="en-GB"/>
        </w:rPr>
        <w:t>of</w:t>
      </w:r>
      <w:r w:rsidRPr="00FA3C64">
        <w:rPr>
          <w:b w:val="0"/>
          <w:lang w:val="en-GB"/>
        </w:rPr>
        <w:t xml:space="preserve"> patients treated with Odomzo 200 mg were fatigue, </w:t>
      </w:r>
      <w:r w:rsidR="00C12BA7">
        <w:rPr>
          <w:b w:val="0"/>
          <w:lang w:val="en-GB"/>
        </w:rPr>
        <w:t xml:space="preserve">weight decreased </w:t>
      </w:r>
      <w:r w:rsidRPr="00FA3C64">
        <w:rPr>
          <w:b w:val="0"/>
          <w:lang w:val="en-GB"/>
        </w:rPr>
        <w:t>and muscle spasms.</w:t>
      </w:r>
    </w:p>
    <w:p w14:paraId="2D30BEF3" w14:textId="66EBA4A3" w:rsidR="00FA3C64" w:rsidRDefault="00C12BA7" w:rsidP="00FA3C64">
      <w:pPr>
        <w:pStyle w:val="Text"/>
      </w:pPr>
      <w:r w:rsidRPr="00C12BA7">
        <w:rPr>
          <w:b w:val="0"/>
        </w:rPr>
        <w:t>Among adverse drug reactions reported,</w:t>
      </w:r>
      <w:r>
        <w:t xml:space="preserve"> </w:t>
      </w:r>
      <w:r>
        <w:rPr>
          <w:b w:val="0"/>
        </w:rPr>
        <w:t>t</w:t>
      </w:r>
      <w:r w:rsidR="00FA3C64" w:rsidRPr="00FA3C64">
        <w:rPr>
          <w:b w:val="0"/>
        </w:rPr>
        <w:t xml:space="preserve">he frequency was greater in patients taking Odomzo 800 mg </w:t>
      </w:r>
      <w:r>
        <w:rPr>
          <w:b w:val="0"/>
        </w:rPr>
        <w:t xml:space="preserve">than </w:t>
      </w:r>
      <w:r w:rsidR="00B42838" w:rsidRPr="00E05DCF">
        <w:rPr>
          <w:b w:val="0"/>
        </w:rPr>
        <w:t>in patients taking Odomzo</w:t>
      </w:r>
      <w:r w:rsidR="00B42838">
        <w:t xml:space="preserve"> </w:t>
      </w:r>
      <w:r w:rsidR="00FA3C64" w:rsidRPr="00FA3C64">
        <w:rPr>
          <w:b w:val="0"/>
        </w:rPr>
        <w:t>than 200 mg except musculoskeletal pain, diarrhea</w:t>
      </w:r>
      <w:r>
        <w:rPr>
          <w:b w:val="0"/>
        </w:rPr>
        <w:t>, abdominal pain,</w:t>
      </w:r>
      <w:r w:rsidR="00FA3C64" w:rsidRPr="00FA3C64">
        <w:rPr>
          <w:b w:val="0"/>
        </w:rPr>
        <w:t xml:space="preserve"> headache</w:t>
      </w:r>
      <w:r>
        <w:rPr>
          <w:b w:val="0"/>
        </w:rPr>
        <w:t xml:space="preserve"> and pruritus</w:t>
      </w:r>
      <w:r w:rsidR="00FA3C64" w:rsidRPr="00FA3C64">
        <w:rPr>
          <w:b w:val="0"/>
        </w:rPr>
        <w:t xml:space="preserve">. This was also true for </w:t>
      </w:r>
      <w:r>
        <w:rPr>
          <w:b w:val="0"/>
        </w:rPr>
        <w:t>G</w:t>
      </w:r>
      <w:r w:rsidR="00FA3C64" w:rsidRPr="00FA3C64">
        <w:rPr>
          <w:b w:val="0"/>
        </w:rPr>
        <w:t>rade 3/4 adverse reactions, except fatigue.</w:t>
      </w:r>
    </w:p>
    <w:p w14:paraId="421A37E9" w14:textId="52EAE907" w:rsidR="00FA3C64" w:rsidRPr="00FA3C64" w:rsidRDefault="00FA3C64" w:rsidP="00FA3C64">
      <w:pPr>
        <w:pStyle w:val="Nottoc-headings0"/>
        <w:rPr>
          <w:rFonts w:ascii="Times New Roman" w:hAnsi="Times New Roman"/>
          <w:sz w:val="24"/>
        </w:rPr>
      </w:pPr>
      <w:bookmarkStart w:id="27" w:name="_206142179Table_114579Number_and_p"/>
      <w:bookmarkStart w:id="28" w:name="_207142195Table_114579Number_and_p"/>
      <w:bookmarkStart w:id="29" w:name="_207142278Table_114579Number_and_p"/>
      <w:bookmarkStart w:id="30" w:name="_207142384Table_114579Number_and_p"/>
      <w:bookmarkStart w:id="31" w:name="_207142514Table_114579Number_and_p"/>
      <w:bookmarkStart w:id="32" w:name="_207142470Table_114579Number_and_p"/>
      <w:bookmarkStart w:id="33" w:name="_207142496Table_114579Number_and_p"/>
      <w:bookmarkStart w:id="34" w:name="_206142531Table_114579Number_and_p"/>
      <w:bookmarkStart w:id="35" w:name="_206142341Table_114579Number_and_p"/>
      <w:bookmarkStart w:id="36" w:name="_206141981Table_114579Number_and_p"/>
      <w:bookmarkStart w:id="37" w:name="_206141949Table_114579Number_and_p"/>
      <w:bookmarkStart w:id="38" w:name="_206141905Table_114579Number_and_p"/>
      <w:bookmarkStart w:id="39" w:name="_206141963Table_114579Number_and_p"/>
      <w:bookmarkStart w:id="40" w:name="_205142466Table_114579Number_and_p"/>
      <w:bookmarkStart w:id="41" w:name="_205142522Table_114579Number_and_p"/>
      <w:bookmarkStart w:id="42" w:name="_205142570Table_114579Number_and_p"/>
      <w:bookmarkStart w:id="43" w:name="_205142508Table_104579Number_and_p"/>
      <w:bookmarkStart w:id="44" w:name="_184142508Table_104579Number_and_p"/>
      <w:bookmarkStart w:id="45" w:name="_205142535Table_104579Number_and_p"/>
      <w:bookmarkStart w:id="46" w:name="_205142524Table_104579Number_and_p"/>
      <w:bookmarkStart w:id="47" w:name="_205142569Table_104579Number_and_p"/>
      <w:bookmarkStart w:id="48" w:name="_205142601Table_104579Number_and_p"/>
      <w:bookmarkStart w:id="49" w:name="_205142591Table_104579Number_and_p"/>
      <w:bookmarkStart w:id="50" w:name="_205142821Table_104579Number_and_p"/>
      <w:bookmarkStart w:id="51" w:name="_205142994Table_104579Number_and_p"/>
      <w:bookmarkStart w:id="52" w:name="_139194610Table_54549Number_and_pe"/>
      <w:bookmarkStart w:id="53" w:name="_155225074Table_54549Number_and_pe"/>
      <w:bookmarkStart w:id="54" w:name="_148219794Table_54549Number_and_pe"/>
      <w:bookmarkStart w:id="55" w:name="_150220179Table_54549Number_and_pe"/>
      <w:bookmarkStart w:id="56" w:name="_151220263Table_545549Number_and_p"/>
      <w:bookmarkStart w:id="57" w:name="_151220260Table_54559Number_and_pe"/>
      <w:bookmarkStart w:id="58" w:name="_151220832Table_54559Number_and_pe"/>
      <w:bookmarkStart w:id="59" w:name="_151220888Table_54559Number_and_pe"/>
      <w:bookmarkStart w:id="60" w:name="_151220945Table_54559Number_and_pe"/>
      <w:bookmarkStart w:id="61" w:name="_151221235Table_54559Number_and_pe"/>
      <w:bookmarkStart w:id="62" w:name="_151221291Table_54559Number_and_pe"/>
      <w:bookmarkStart w:id="63" w:name="_151221330Table_54559Number_and_pe"/>
      <w:bookmarkStart w:id="64" w:name="_151221347Table_54559Number_and_pe"/>
      <w:bookmarkStart w:id="65" w:name="_151221403Table_54559Number_and_pe"/>
      <w:bookmarkStart w:id="66" w:name="_151221459Table_54559Number_and_pe"/>
      <w:bookmarkStart w:id="67" w:name="_151221515Table_54559Number_and_pe"/>
      <w:bookmarkStart w:id="68" w:name="_151221571Table_54559Number_and_pe"/>
      <w:bookmarkStart w:id="69" w:name="_151221627Table_54559Number_and_pe"/>
      <w:bookmarkStart w:id="70" w:name="_151221683Table_54559Number_and_pe"/>
      <w:bookmarkStart w:id="71" w:name="_151221722Table_54559Number_and_pe"/>
      <w:bookmarkStart w:id="72" w:name="_151221739Table_54559Number_and_pe"/>
      <w:bookmarkStart w:id="73" w:name="_151221795Table_54559Number_and_pe"/>
      <w:bookmarkStart w:id="74" w:name="_151221851Table_54559Number_and_pe"/>
      <w:bookmarkStart w:id="75" w:name="_151221907Table_54559Number_and_pe"/>
      <w:bookmarkStart w:id="76" w:name="_151221963Table_54559Number_and_pe"/>
      <w:bookmarkStart w:id="77" w:name="_151222019Table_54559Number_and_pe"/>
      <w:bookmarkStart w:id="78" w:name="_151222075Table_54559Number_and_pe"/>
      <w:bookmarkStart w:id="79" w:name="_151222131Table_54559Number_and_pe"/>
      <w:bookmarkStart w:id="80" w:name="_151222187Table_54559Number_and_pe"/>
      <w:bookmarkStart w:id="81" w:name="_151222243Table_54559Number_and_pe"/>
      <w:bookmarkStart w:id="82" w:name="_151222299Table_54559Number_and_pe"/>
      <w:bookmarkStart w:id="83" w:name="_151222355Table_54559Number_and_pe"/>
      <w:bookmarkStart w:id="84" w:name="_151222411Table_54559Number_and_pe"/>
      <w:bookmarkStart w:id="85" w:name="_151222467Table_54559Number_and_pe"/>
      <w:bookmarkStart w:id="86" w:name="_151222523Table_54559Number_and_pe"/>
      <w:bookmarkStart w:id="87" w:name="_151222579Table_54559Number_and_pe"/>
      <w:bookmarkStart w:id="88" w:name="_151222635Table_54559Number_and_pe"/>
      <w:bookmarkStart w:id="89" w:name="_151222691Table_54559Number_and_pe"/>
      <w:bookmarkStart w:id="90" w:name="_151222747Table_54559Number_and_pe"/>
      <w:bookmarkStart w:id="91" w:name="_151222803Table_54559Number_and_pe"/>
      <w:bookmarkStart w:id="92" w:name="_151222859Table_54559Number_and_pe"/>
      <w:bookmarkStart w:id="93" w:name="_151224549Table_54559Number_and_pe"/>
      <w:bookmarkStart w:id="94" w:name="_149225686Table_54559Number_and_pe"/>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A3C64">
        <w:rPr>
          <w:rFonts w:ascii="Times New Roman" w:hAnsi="Times New Roman"/>
          <w:sz w:val="24"/>
        </w:rPr>
        <w:t>Tabulated summary of adverse drug reactions</w:t>
      </w:r>
      <w:bookmarkStart w:id="95" w:name="_1916317Tabulated_summary_of_adver"/>
      <w:bookmarkEnd w:id="95"/>
    </w:p>
    <w:p w14:paraId="02DFB200" w14:textId="4462A06C" w:rsidR="00FA3C64" w:rsidRPr="00FA3C64" w:rsidRDefault="00FA3C64" w:rsidP="00FA3C64">
      <w:pPr>
        <w:pStyle w:val="Text"/>
        <w:rPr>
          <w:b w:val="0"/>
        </w:rPr>
      </w:pPr>
      <w:r w:rsidRPr="00FA3C64">
        <w:rPr>
          <w:b w:val="0"/>
        </w:rPr>
        <w:t xml:space="preserve">Adverse drug reactions for the recommended dose from the phase II pivotal clinical </w:t>
      </w:r>
      <w:r w:rsidR="00B42838">
        <w:rPr>
          <w:b w:val="0"/>
        </w:rPr>
        <w:t>study</w:t>
      </w:r>
      <w:r w:rsidRPr="00FA3C64">
        <w:rPr>
          <w:b w:val="0"/>
        </w:rPr>
        <w:t xml:space="preserve"> (Table </w:t>
      </w:r>
      <w:r>
        <w:rPr>
          <w:b w:val="0"/>
        </w:rPr>
        <w:t>2</w:t>
      </w:r>
      <w:r w:rsidRPr="00FA3C64">
        <w:rPr>
          <w:b w:val="0"/>
        </w:rPr>
        <w:t xml:space="preserve">) are listed by </w:t>
      </w:r>
      <w:proofErr w:type="spellStart"/>
      <w:r w:rsidRPr="00FA3C64">
        <w:rPr>
          <w:b w:val="0"/>
        </w:rPr>
        <w:t>MedDRA</w:t>
      </w:r>
      <w:proofErr w:type="spellEnd"/>
      <w:r w:rsidRPr="00FA3C64">
        <w:rPr>
          <w:b w:val="0"/>
        </w:rPr>
        <w:t xml:space="preserve"> system organ class. Within each system organ class, the adverse drug reactions are ranked by frequency, with the most frequent reactions first. Within each frequency grouping, adverse drug reactions are presented in order of decreasing seriousness. In addition, the corresponding frequency category for each adverse drug reaction is based on the following convention (CIOMS III): very common (≥1/10); common (≥1/100 to &lt;1/10); uncommon (≥1/1,000 to &lt;1/100); rare (≥1/10,000 to &lt;1/1,000); very rare (&lt;1/10,000); not known (cannot be estimated from the available data).</w:t>
      </w:r>
    </w:p>
    <w:p w14:paraId="6D0A6A41" w14:textId="77777777" w:rsidR="00585574" w:rsidRDefault="00585574">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bookmarkStart w:id="96" w:name="_Toc384821974"/>
      <w:r>
        <w:br w:type="page"/>
      </w:r>
    </w:p>
    <w:p w14:paraId="5ABC60FF" w14:textId="18FA92CD" w:rsidR="00FA3C64" w:rsidRPr="00FA3C64" w:rsidRDefault="00FA3C64" w:rsidP="00FA3C64">
      <w:pPr>
        <w:pStyle w:val="Heading6"/>
        <w:rPr>
          <w:rFonts w:ascii="Times New Roman" w:hAnsi="Times New Roman"/>
        </w:rPr>
      </w:pPr>
      <w:r w:rsidRPr="00FA3C64">
        <w:rPr>
          <w:rFonts w:ascii="Times New Roman" w:hAnsi="Times New Roman"/>
        </w:rPr>
        <w:lastRenderedPageBreak/>
        <w:t>Table 2:</w:t>
      </w:r>
      <w:r w:rsidRPr="00FA3C64">
        <w:rPr>
          <w:rFonts w:ascii="Times New Roman" w:hAnsi="Times New Roman"/>
        </w:rPr>
        <w:tab/>
        <w:t xml:space="preserve">Adverse drug reactions observed in </w:t>
      </w:r>
      <w:r w:rsidR="00A27F22">
        <w:rPr>
          <w:rFonts w:ascii="Times New Roman" w:hAnsi="Times New Roman"/>
        </w:rPr>
        <w:t xml:space="preserve">the </w:t>
      </w:r>
      <w:r w:rsidRPr="00FA3C64">
        <w:rPr>
          <w:rFonts w:ascii="Times New Roman" w:hAnsi="Times New Roman"/>
        </w:rPr>
        <w:t xml:space="preserve">phase II </w:t>
      </w:r>
      <w:r w:rsidR="00A27F22">
        <w:rPr>
          <w:rFonts w:ascii="Times New Roman" w:hAnsi="Times New Roman"/>
        </w:rPr>
        <w:t>pivotal</w:t>
      </w:r>
      <w:r w:rsidRPr="00FA3C64">
        <w:rPr>
          <w:rFonts w:ascii="Times New Roman" w:hAnsi="Times New Roman"/>
        </w:rPr>
        <w:t xml:space="preserve"> </w:t>
      </w:r>
      <w:r w:rsidR="00B42838">
        <w:rPr>
          <w:rFonts w:ascii="Times New Roman" w:hAnsi="Times New Roman"/>
        </w:rPr>
        <w:t>study</w:t>
      </w:r>
      <w:bookmarkStart w:id="97" w:name="_7017047Table_74519Adverse_reactio"/>
      <w:bookmarkEnd w:id="96"/>
      <w:bookmarkEnd w:id="97"/>
    </w:p>
    <w:tbl>
      <w:tblPr>
        <w:tblW w:w="9090" w:type="dxa"/>
        <w:tblInd w:w="108" w:type="dxa"/>
        <w:tblBorders>
          <w:top w:val="single" w:sz="4" w:space="0" w:color="auto"/>
          <w:bottom w:val="single" w:sz="4" w:space="0" w:color="auto"/>
        </w:tblBorders>
        <w:tblLayout w:type="fixed"/>
        <w:tblLook w:val="0020" w:firstRow="1" w:lastRow="0" w:firstColumn="0" w:lastColumn="0" w:noHBand="0" w:noVBand="0"/>
      </w:tblPr>
      <w:tblGrid>
        <w:gridCol w:w="2700"/>
        <w:gridCol w:w="1680"/>
        <w:gridCol w:w="30"/>
        <w:gridCol w:w="1440"/>
        <w:gridCol w:w="30"/>
        <w:gridCol w:w="1500"/>
        <w:gridCol w:w="1710"/>
      </w:tblGrid>
      <w:tr w:rsidR="00130E55" w:rsidRPr="000E7ED6" w14:paraId="13A8D52B" w14:textId="77777777" w:rsidTr="00C17E5B">
        <w:trPr>
          <w:trHeight w:val="263"/>
          <w:tblHeader/>
        </w:trPr>
        <w:tc>
          <w:tcPr>
            <w:tcW w:w="2700" w:type="dxa"/>
            <w:vMerge w:val="restart"/>
            <w:tcBorders>
              <w:top w:val="single" w:sz="4" w:space="0" w:color="auto"/>
              <w:left w:val="nil"/>
              <w:bottom w:val="single" w:sz="4" w:space="0" w:color="auto"/>
              <w:right w:val="nil"/>
            </w:tcBorders>
            <w:shd w:val="clear" w:color="auto" w:fill="auto"/>
            <w:vAlign w:val="center"/>
          </w:tcPr>
          <w:p w14:paraId="32627802" w14:textId="77777777" w:rsidR="00130E55" w:rsidRPr="000E7ED6" w:rsidRDefault="00130E55" w:rsidP="00BC47FF">
            <w:pPr>
              <w:pStyle w:val="Table0"/>
            </w:pPr>
            <w:bookmarkStart w:id="98" w:name="_Toc384821975"/>
            <w:r w:rsidRPr="000E7ED6">
              <w:t>Primary System Organ Class</w:t>
            </w:r>
          </w:p>
          <w:p w14:paraId="06A2AC36" w14:textId="77777777" w:rsidR="00130E55" w:rsidRPr="000E7ED6" w:rsidRDefault="00130E55" w:rsidP="00BC47FF">
            <w:pPr>
              <w:pStyle w:val="Table0"/>
            </w:pPr>
            <w:r w:rsidRPr="000E7ED6">
              <w:t>Preferred Term</w:t>
            </w:r>
          </w:p>
        </w:tc>
        <w:tc>
          <w:tcPr>
            <w:tcW w:w="4680" w:type="dxa"/>
            <w:gridSpan w:val="5"/>
            <w:tcBorders>
              <w:top w:val="single" w:sz="4" w:space="0" w:color="auto"/>
              <w:left w:val="nil"/>
              <w:bottom w:val="nil"/>
              <w:right w:val="nil"/>
            </w:tcBorders>
            <w:shd w:val="clear" w:color="auto" w:fill="auto"/>
            <w:vAlign w:val="center"/>
          </w:tcPr>
          <w:p w14:paraId="29B55209" w14:textId="77777777" w:rsidR="00130E55" w:rsidRPr="000E7ED6" w:rsidRDefault="00130E55" w:rsidP="00BC47FF">
            <w:pPr>
              <w:pStyle w:val="Table0"/>
            </w:pPr>
            <w:r w:rsidRPr="000E7ED6">
              <w:t>Odomzo 200 mg</w:t>
            </w:r>
          </w:p>
        </w:tc>
        <w:tc>
          <w:tcPr>
            <w:tcW w:w="1710" w:type="dxa"/>
            <w:vMerge w:val="restart"/>
            <w:tcBorders>
              <w:top w:val="single" w:sz="4" w:space="0" w:color="auto"/>
              <w:left w:val="nil"/>
              <w:bottom w:val="single" w:sz="4" w:space="0" w:color="auto"/>
            </w:tcBorders>
            <w:shd w:val="clear" w:color="auto" w:fill="auto"/>
            <w:vAlign w:val="center"/>
          </w:tcPr>
          <w:p w14:paraId="2C18E283" w14:textId="77777777" w:rsidR="00130E55" w:rsidRPr="000E7ED6" w:rsidRDefault="00130E55" w:rsidP="007624D5">
            <w:pPr>
              <w:pStyle w:val="Table0"/>
            </w:pPr>
            <w:r w:rsidRPr="000E7ED6">
              <w:t>Frequency</w:t>
            </w:r>
          </w:p>
          <w:p w14:paraId="51B67AC1" w14:textId="77777777" w:rsidR="00130E55" w:rsidRPr="000E7ED6" w:rsidRDefault="00130E55" w:rsidP="0078356F">
            <w:pPr>
              <w:pStyle w:val="Table0"/>
            </w:pPr>
            <w:r w:rsidRPr="000E7ED6">
              <w:t xml:space="preserve">200 mg </w:t>
            </w:r>
          </w:p>
          <w:p w14:paraId="60901CAC" w14:textId="77777777" w:rsidR="00130E55" w:rsidRPr="000E7ED6" w:rsidRDefault="00130E55">
            <w:pPr>
              <w:pStyle w:val="Table0"/>
            </w:pPr>
            <w:r w:rsidRPr="000E7ED6">
              <w:t>all grades</w:t>
            </w:r>
          </w:p>
        </w:tc>
      </w:tr>
      <w:tr w:rsidR="00130E55" w:rsidRPr="000E7ED6" w14:paraId="215BC901" w14:textId="77777777" w:rsidTr="00C17E5B">
        <w:trPr>
          <w:tblHeader/>
        </w:trPr>
        <w:tc>
          <w:tcPr>
            <w:tcW w:w="2700" w:type="dxa"/>
            <w:vMerge/>
            <w:tcBorders>
              <w:top w:val="single" w:sz="4" w:space="0" w:color="auto"/>
              <w:left w:val="nil"/>
              <w:bottom w:val="single" w:sz="4" w:space="0" w:color="auto"/>
              <w:right w:val="nil"/>
            </w:tcBorders>
            <w:shd w:val="clear" w:color="auto" w:fill="auto"/>
          </w:tcPr>
          <w:p w14:paraId="4F068E90" w14:textId="77777777" w:rsidR="00130E55" w:rsidRPr="000E7ED6" w:rsidRDefault="00130E55">
            <w:pPr>
              <w:pStyle w:val="Table0"/>
            </w:pPr>
          </w:p>
        </w:tc>
        <w:tc>
          <w:tcPr>
            <w:tcW w:w="4680" w:type="dxa"/>
            <w:gridSpan w:val="5"/>
            <w:tcBorders>
              <w:top w:val="nil"/>
              <w:left w:val="nil"/>
              <w:bottom w:val="nil"/>
              <w:right w:val="nil"/>
            </w:tcBorders>
            <w:shd w:val="clear" w:color="auto" w:fill="auto"/>
            <w:vAlign w:val="center"/>
          </w:tcPr>
          <w:p w14:paraId="49981024" w14:textId="77777777" w:rsidR="00130E55" w:rsidRPr="000E7ED6" w:rsidRDefault="00130E55">
            <w:pPr>
              <w:pStyle w:val="Table0"/>
            </w:pPr>
            <w:r w:rsidRPr="000E7ED6">
              <w:t>N=79</w:t>
            </w:r>
          </w:p>
        </w:tc>
        <w:tc>
          <w:tcPr>
            <w:tcW w:w="1710" w:type="dxa"/>
            <w:vMerge/>
            <w:tcBorders>
              <w:top w:val="single" w:sz="4" w:space="0" w:color="auto"/>
              <w:left w:val="nil"/>
              <w:bottom w:val="single" w:sz="4" w:space="0" w:color="auto"/>
            </w:tcBorders>
            <w:shd w:val="clear" w:color="auto" w:fill="auto"/>
            <w:vAlign w:val="center"/>
          </w:tcPr>
          <w:p w14:paraId="69B00925" w14:textId="77777777" w:rsidR="00130E55" w:rsidRPr="000E7ED6" w:rsidRDefault="00130E55">
            <w:pPr>
              <w:pStyle w:val="Table0"/>
            </w:pPr>
          </w:p>
        </w:tc>
      </w:tr>
      <w:tr w:rsidR="00130E55" w:rsidRPr="000E7ED6" w14:paraId="5EC4E89A" w14:textId="77777777" w:rsidTr="00C17E5B">
        <w:trPr>
          <w:tblHeader/>
        </w:trPr>
        <w:tc>
          <w:tcPr>
            <w:tcW w:w="2700" w:type="dxa"/>
            <w:vMerge/>
            <w:tcBorders>
              <w:top w:val="single" w:sz="4" w:space="0" w:color="auto"/>
              <w:left w:val="nil"/>
              <w:bottom w:val="single" w:sz="4" w:space="0" w:color="auto"/>
              <w:right w:val="nil"/>
            </w:tcBorders>
            <w:shd w:val="clear" w:color="auto" w:fill="auto"/>
          </w:tcPr>
          <w:p w14:paraId="593AE8CE" w14:textId="77777777" w:rsidR="00130E55" w:rsidRPr="000E7ED6" w:rsidRDefault="00130E55">
            <w:pPr>
              <w:pStyle w:val="Table0"/>
            </w:pPr>
          </w:p>
        </w:tc>
        <w:tc>
          <w:tcPr>
            <w:tcW w:w="1680" w:type="dxa"/>
            <w:tcBorders>
              <w:top w:val="nil"/>
              <w:left w:val="nil"/>
              <w:bottom w:val="single" w:sz="4" w:space="0" w:color="auto"/>
              <w:right w:val="nil"/>
            </w:tcBorders>
            <w:shd w:val="clear" w:color="auto" w:fill="auto"/>
            <w:vAlign w:val="center"/>
          </w:tcPr>
          <w:p w14:paraId="4401FE94" w14:textId="77777777" w:rsidR="00130E55" w:rsidRPr="000E7ED6" w:rsidRDefault="00130E55">
            <w:pPr>
              <w:pStyle w:val="Table0"/>
            </w:pPr>
            <w:r w:rsidRPr="000E7ED6">
              <w:t>all grades n (%)</w:t>
            </w:r>
          </w:p>
        </w:tc>
        <w:tc>
          <w:tcPr>
            <w:tcW w:w="1500" w:type="dxa"/>
            <w:gridSpan w:val="3"/>
            <w:tcBorders>
              <w:top w:val="nil"/>
              <w:left w:val="nil"/>
              <w:bottom w:val="single" w:sz="4" w:space="0" w:color="auto"/>
              <w:right w:val="nil"/>
            </w:tcBorders>
            <w:shd w:val="clear" w:color="auto" w:fill="auto"/>
            <w:vAlign w:val="center"/>
          </w:tcPr>
          <w:p w14:paraId="1B904225" w14:textId="77777777" w:rsidR="00130E55" w:rsidRPr="000E7ED6" w:rsidRDefault="00130E55">
            <w:pPr>
              <w:pStyle w:val="Table0"/>
            </w:pPr>
            <w:r w:rsidRPr="000E7ED6">
              <w:t>grade 3 n (%)</w:t>
            </w:r>
          </w:p>
        </w:tc>
        <w:tc>
          <w:tcPr>
            <w:tcW w:w="1500" w:type="dxa"/>
            <w:tcBorders>
              <w:top w:val="nil"/>
              <w:left w:val="nil"/>
              <w:bottom w:val="single" w:sz="4" w:space="0" w:color="auto"/>
              <w:right w:val="nil"/>
            </w:tcBorders>
            <w:shd w:val="clear" w:color="auto" w:fill="auto"/>
            <w:vAlign w:val="center"/>
          </w:tcPr>
          <w:p w14:paraId="084638C5" w14:textId="77777777" w:rsidR="00130E55" w:rsidRPr="000E7ED6" w:rsidRDefault="00130E55">
            <w:pPr>
              <w:pStyle w:val="Table0"/>
            </w:pPr>
            <w:r w:rsidRPr="000E7ED6">
              <w:t>grade 4 n (%)</w:t>
            </w:r>
          </w:p>
        </w:tc>
        <w:tc>
          <w:tcPr>
            <w:tcW w:w="1710" w:type="dxa"/>
            <w:vMerge/>
            <w:tcBorders>
              <w:left w:val="nil"/>
              <w:bottom w:val="single" w:sz="4" w:space="0" w:color="auto"/>
            </w:tcBorders>
            <w:shd w:val="clear" w:color="auto" w:fill="auto"/>
            <w:vAlign w:val="center"/>
          </w:tcPr>
          <w:p w14:paraId="08FCA14E" w14:textId="77777777" w:rsidR="00130E55" w:rsidRPr="000E7ED6" w:rsidRDefault="00130E55">
            <w:pPr>
              <w:pStyle w:val="Table0"/>
            </w:pPr>
          </w:p>
        </w:tc>
      </w:tr>
      <w:tr w:rsidR="00130E55" w:rsidRPr="000E7ED6" w14:paraId="302DA4D1" w14:textId="77777777" w:rsidTr="00C17E5B">
        <w:tc>
          <w:tcPr>
            <w:tcW w:w="9090" w:type="dxa"/>
            <w:gridSpan w:val="7"/>
            <w:shd w:val="clear" w:color="auto" w:fill="auto"/>
          </w:tcPr>
          <w:p w14:paraId="431C4FC9" w14:textId="77777777" w:rsidR="00130E55" w:rsidRPr="000E7ED6" w:rsidRDefault="00130E55" w:rsidP="00BC47FF">
            <w:pPr>
              <w:pStyle w:val="Table0"/>
            </w:pPr>
            <w:r w:rsidRPr="000E7ED6">
              <w:t>Metabolism and nutrition disorders</w:t>
            </w:r>
          </w:p>
        </w:tc>
      </w:tr>
      <w:tr w:rsidR="00130E55" w:rsidRPr="007A396C" w14:paraId="63990236" w14:textId="77777777" w:rsidTr="00C17E5B">
        <w:tc>
          <w:tcPr>
            <w:tcW w:w="2700" w:type="dxa"/>
            <w:shd w:val="clear" w:color="auto" w:fill="auto"/>
          </w:tcPr>
          <w:p w14:paraId="6218B4C0" w14:textId="77777777" w:rsidR="00130E55" w:rsidRPr="00755FB8" w:rsidRDefault="00130E55" w:rsidP="007A396C">
            <w:pPr>
              <w:pStyle w:val="Table0"/>
              <w:rPr>
                <w:b w:val="0"/>
              </w:rPr>
            </w:pPr>
            <w:r w:rsidRPr="00755FB8">
              <w:rPr>
                <w:b w:val="0"/>
              </w:rPr>
              <w:t>Decreased appetite</w:t>
            </w:r>
          </w:p>
        </w:tc>
        <w:tc>
          <w:tcPr>
            <w:tcW w:w="1710" w:type="dxa"/>
            <w:gridSpan w:val="2"/>
            <w:shd w:val="clear" w:color="auto" w:fill="auto"/>
            <w:vAlign w:val="center"/>
          </w:tcPr>
          <w:p w14:paraId="68DB06E2" w14:textId="77777777" w:rsidR="00130E55" w:rsidRPr="00755FB8" w:rsidRDefault="00130E55" w:rsidP="00BC47FF">
            <w:pPr>
              <w:pStyle w:val="Table0"/>
              <w:rPr>
                <w:b w:val="0"/>
              </w:rPr>
            </w:pPr>
            <w:r w:rsidRPr="00755FB8">
              <w:rPr>
                <w:b w:val="0"/>
              </w:rPr>
              <w:t>18 (23)</w:t>
            </w:r>
          </w:p>
        </w:tc>
        <w:tc>
          <w:tcPr>
            <w:tcW w:w="1440" w:type="dxa"/>
            <w:shd w:val="clear" w:color="auto" w:fill="auto"/>
            <w:vAlign w:val="center"/>
          </w:tcPr>
          <w:p w14:paraId="35A403D7" w14:textId="5FDE9378"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70340C9E" w14:textId="77777777" w:rsidR="00130E55" w:rsidRPr="00755FB8" w:rsidRDefault="00130E55" w:rsidP="00BC47FF">
            <w:pPr>
              <w:pStyle w:val="Table0"/>
              <w:rPr>
                <w:b w:val="0"/>
              </w:rPr>
            </w:pPr>
            <w:r w:rsidRPr="00755FB8">
              <w:rPr>
                <w:b w:val="0"/>
              </w:rPr>
              <w:t>0</w:t>
            </w:r>
          </w:p>
        </w:tc>
        <w:tc>
          <w:tcPr>
            <w:tcW w:w="1710" w:type="dxa"/>
            <w:shd w:val="clear" w:color="auto" w:fill="auto"/>
          </w:tcPr>
          <w:p w14:paraId="17D50E79" w14:textId="77777777" w:rsidR="00130E55" w:rsidRPr="00755FB8" w:rsidRDefault="00130E55" w:rsidP="00BC47FF">
            <w:pPr>
              <w:pStyle w:val="Table0"/>
              <w:rPr>
                <w:b w:val="0"/>
              </w:rPr>
            </w:pPr>
            <w:r w:rsidRPr="00755FB8">
              <w:rPr>
                <w:b w:val="0"/>
              </w:rPr>
              <w:t>Very common</w:t>
            </w:r>
          </w:p>
        </w:tc>
      </w:tr>
      <w:tr w:rsidR="00130E55" w:rsidRPr="007A396C" w14:paraId="15A7B53F" w14:textId="77777777" w:rsidTr="00C17E5B">
        <w:tc>
          <w:tcPr>
            <w:tcW w:w="2700" w:type="dxa"/>
            <w:shd w:val="clear" w:color="auto" w:fill="auto"/>
          </w:tcPr>
          <w:p w14:paraId="7FF6ABAD" w14:textId="77777777" w:rsidR="00130E55" w:rsidRPr="00755FB8" w:rsidRDefault="00130E55" w:rsidP="007A396C">
            <w:pPr>
              <w:pStyle w:val="Table0"/>
              <w:rPr>
                <w:b w:val="0"/>
              </w:rPr>
            </w:pPr>
            <w:r w:rsidRPr="00755FB8">
              <w:rPr>
                <w:b w:val="0"/>
              </w:rPr>
              <w:t>Dehydration</w:t>
            </w:r>
          </w:p>
        </w:tc>
        <w:tc>
          <w:tcPr>
            <w:tcW w:w="1710" w:type="dxa"/>
            <w:gridSpan w:val="2"/>
            <w:shd w:val="clear" w:color="auto" w:fill="auto"/>
            <w:vAlign w:val="center"/>
          </w:tcPr>
          <w:p w14:paraId="352518CA" w14:textId="77777777" w:rsidR="00130E55" w:rsidRPr="00755FB8" w:rsidRDefault="00130E55" w:rsidP="00BC47FF">
            <w:pPr>
              <w:pStyle w:val="Table0"/>
              <w:rPr>
                <w:b w:val="0"/>
              </w:rPr>
            </w:pPr>
            <w:r w:rsidRPr="00755FB8">
              <w:rPr>
                <w:b w:val="0"/>
              </w:rPr>
              <w:t>1 (1)</w:t>
            </w:r>
          </w:p>
        </w:tc>
        <w:tc>
          <w:tcPr>
            <w:tcW w:w="1440" w:type="dxa"/>
            <w:shd w:val="clear" w:color="auto" w:fill="auto"/>
            <w:vAlign w:val="center"/>
          </w:tcPr>
          <w:p w14:paraId="6B34CA7B" w14:textId="77777777"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6348CD5D" w14:textId="77777777" w:rsidR="00130E55" w:rsidRPr="00755FB8" w:rsidRDefault="00130E55" w:rsidP="00BC47FF">
            <w:pPr>
              <w:pStyle w:val="Table0"/>
              <w:rPr>
                <w:b w:val="0"/>
              </w:rPr>
            </w:pPr>
            <w:r w:rsidRPr="00755FB8">
              <w:rPr>
                <w:b w:val="0"/>
              </w:rPr>
              <w:t>0</w:t>
            </w:r>
          </w:p>
        </w:tc>
        <w:tc>
          <w:tcPr>
            <w:tcW w:w="1710" w:type="dxa"/>
            <w:shd w:val="clear" w:color="auto" w:fill="auto"/>
          </w:tcPr>
          <w:p w14:paraId="7AFB4C36" w14:textId="77777777" w:rsidR="00130E55" w:rsidRPr="00755FB8" w:rsidRDefault="00130E55" w:rsidP="00BC47FF">
            <w:pPr>
              <w:pStyle w:val="Table0"/>
              <w:rPr>
                <w:b w:val="0"/>
              </w:rPr>
            </w:pPr>
            <w:r w:rsidRPr="00755FB8">
              <w:rPr>
                <w:b w:val="0"/>
              </w:rPr>
              <w:t>Common</w:t>
            </w:r>
          </w:p>
        </w:tc>
      </w:tr>
      <w:tr w:rsidR="00130E55" w:rsidRPr="000E7ED6" w14:paraId="192AA2AF" w14:textId="77777777" w:rsidTr="00C17E5B">
        <w:tc>
          <w:tcPr>
            <w:tcW w:w="9090" w:type="dxa"/>
            <w:gridSpan w:val="7"/>
            <w:shd w:val="clear" w:color="auto" w:fill="auto"/>
          </w:tcPr>
          <w:p w14:paraId="5DE0EE81" w14:textId="77777777" w:rsidR="00130E55" w:rsidRPr="000E7ED6" w:rsidRDefault="00130E55" w:rsidP="00BC47FF">
            <w:pPr>
              <w:pStyle w:val="Table0"/>
            </w:pPr>
            <w:r w:rsidRPr="000E7ED6">
              <w:t>Nervous system disorders</w:t>
            </w:r>
          </w:p>
        </w:tc>
      </w:tr>
      <w:tr w:rsidR="00130E55" w:rsidRPr="000E7ED6" w14:paraId="4D2319BA" w14:textId="77777777" w:rsidTr="00C17E5B">
        <w:tc>
          <w:tcPr>
            <w:tcW w:w="2700" w:type="dxa"/>
            <w:shd w:val="clear" w:color="auto" w:fill="auto"/>
          </w:tcPr>
          <w:p w14:paraId="13AFC28F" w14:textId="77777777" w:rsidR="00130E55" w:rsidRPr="00755FB8" w:rsidRDefault="00130E55" w:rsidP="007A396C">
            <w:pPr>
              <w:pStyle w:val="Table0"/>
              <w:rPr>
                <w:b w:val="0"/>
                <w:vertAlign w:val="superscript"/>
              </w:rPr>
            </w:pPr>
            <w:proofErr w:type="spellStart"/>
            <w:r w:rsidRPr="00755FB8">
              <w:rPr>
                <w:b w:val="0"/>
              </w:rPr>
              <w:t>Dysgeusia</w:t>
            </w:r>
            <w:proofErr w:type="spellEnd"/>
          </w:p>
        </w:tc>
        <w:tc>
          <w:tcPr>
            <w:tcW w:w="1710" w:type="dxa"/>
            <w:gridSpan w:val="2"/>
            <w:shd w:val="clear" w:color="auto" w:fill="auto"/>
            <w:vAlign w:val="center"/>
          </w:tcPr>
          <w:p w14:paraId="58C79727" w14:textId="503F8896" w:rsidR="00130E55" w:rsidRPr="00755FB8" w:rsidRDefault="00130E55" w:rsidP="00BC47FF">
            <w:pPr>
              <w:pStyle w:val="Table0"/>
              <w:rPr>
                <w:b w:val="0"/>
              </w:rPr>
            </w:pPr>
            <w:r w:rsidRPr="00755FB8">
              <w:rPr>
                <w:b w:val="0"/>
              </w:rPr>
              <w:t>36 (46)</w:t>
            </w:r>
          </w:p>
        </w:tc>
        <w:tc>
          <w:tcPr>
            <w:tcW w:w="1440" w:type="dxa"/>
            <w:shd w:val="clear" w:color="auto" w:fill="auto"/>
            <w:vAlign w:val="center"/>
          </w:tcPr>
          <w:p w14:paraId="7BFE9DA3"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71F27AAF" w14:textId="77777777" w:rsidR="00130E55" w:rsidRPr="00755FB8" w:rsidRDefault="00130E55" w:rsidP="00BC47FF">
            <w:pPr>
              <w:pStyle w:val="Table0"/>
              <w:rPr>
                <w:b w:val="0"/>
              </w:rPr>
            </w:pPr>
            <w:r w:rsidRPr="00755FB8">
              <w:rPr>
                <w:b w:val="0"/>
              </w:rPr>
              <w:t>0</w:t>
            </w:r>
          </w:p>
        </w:tc>
        <w:tc>
          <w:tcPr>
            <w:tcW w:w="1710" w:type="dxa"/>
            <w:shd w:val="clear" w:color="auto" w:fill="auto"/>
          </w:tcPr>
          <w:p w14:paraId="7E59912B" w14:textId="77777777" w:rsidR="00130E55" w:rsidRPr="00755FB8" w:rsidRDefault="00130E55" w:rsidP="00BC47FF">
            <w:pPr>
              <w:pStyle w:val="Table0"/>
              <w:rPr>
                <w:b w:val="0"/>
              </w:rPr>
            </w:pPr>
            <w:r w:rsidRPr="00755FB8">
              <w:rPr>
                <w:b w:val="0"/>
              </w:rPr>
              <w:t>Very common</w:t>
            </w:r>
          </w:p>
        </w:tc>
      </w:tr>
      <w:tr w:rsidR="00130E55" w:rsidRPr="000E7ED6" w14:paraId="7BCEB340" w14:textId="77777777" w:rsidTr="00C17E5B">
        <w:tc>
          <w:tcPr>
            <w:tcW w:w="2700" w:type="dxa"/>
            <w:shd w:val="clear" w:color="auto" w:fill="auto"/>
          </w:tcPr>
          <w:p w14:paraId="569EDF31" w14:textId="77777777" w:rsidR="00130E55" w:rsidRPr="00755FB8" w:rsidRDefault="00130E55" w:rsidP="007A396C">
            <w:pPr>
              <w:pStyle w:val="Table0"/>
              <w:rPr>
                <w:b w:val="0"/>
              </w:rPr>
            </w:pPr>
            <w:r w:rsidRPr="00755FB8">
              <w:rPr>
                <w:b w:val="0"/>
              </w:rPr>
              <w:t>Headache</w:t>
            </w:r>
          </w:p>
        </w:tc>
        <w:tc>
          <w:tcPr>
            <w:tcW w:w="1710" w:type="dxa"/>
            <w:gridSpan w:val="2"/>
            <w:shd w:val="clear" w:color="auto" w:fill="auto"/>
            <w:vAlign w:val="center"/>
          </w:tcPr>
          <w:p w14:paraId="27E546D9" w14:textId="77777777" w:rsidR="00130E55" w:rsidRPr="00755FB8" w:rsidRDefault="00130E55" w:rsidP="00BC47FF">
            <w:pPr>
              <w:pStyle w:val="Table0"/>
              <w:rPr>
                <w:b w:val="0"/>
              </w:rPr>
            </w:pPr>
            <w:r w:rsidRPr="00755FB8">
              <w:rPr>
                <w:b w:val="0"/>
              </w:rPr>
              <w:t>12 (15)</w:t>
            </w:r>
          </w:p>
        </w:tc>
        <w:tc>
          <w:tcPr>
            <w:tcW w:w="1440" w:type="dxa"/>
            <w:shd w:val="clear" w:color="auto" w:fill="auto"/>
            <w:vAlign w:val="center"/>
          </w:tcPr>
          <w:p w14:paraId="21DBC9D3" w14:textId="77777777"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07DA7913" w14:textId="77777777" w:rsidR="00130E55" w:rsidRPr="00755FB8" w:rsidRDefault="00130E55" w:rsidP="00BC47FF">
            <w:pPr>
              <w:pStyle w:val="Table0"/>
              <w:rPr>
                <w:b w:val="0"/>
              </w:rPr>
            </w:pPr>
            <w:r w:rsidRPr="00755FB8">
              <w:rPr>
                <w:b w:val="0"/>
              </w:rPr>
              <w:t>0</w:t>
            </w:r>
          </w:p>
        </w:tc>
        <w:tc>
          <w:tcPr>
            <w:tcW w:w="1710" w:type="dxa"/>
            <w:shd w:val="clear" w:color="auto" w:fill="auto"/>
          </w:tcPr>
          <w:p w14:paraId="63638413" w14:textId="77777777" w:rsidR="00130E55" w:rsidRPr="00755FB8" w:rsidRDefault="00130E55" w:rsidP="00BC47FF">
            <w:pPr>
              <w:pStyle w:val="Table0"/>
              <w:rPr>
                <w:b w:val="0"/>
              </w:rPr>
            </w:pPr>
            <w:r w:rsidRPr="00755FB8">
              <w:rPr>
                <w:b w:val="0"/>
              </w:rPr>
              <w:t>Very common</w:t>
            </w:r>
          </w:p>
        </w:tc>
      </w:tr>
      <w:tr w:rsidR="00130E55" w:rsidRPr="000E7ED6" w14:paraId="29E0D1DF" w14:textId="77777777" w:rsidTr="00C17E5B">
        <w:tc>
          <w:tcPr>
            <w:tcW w:w="9090" w:type="dxa"/>
            <w:gridSpan w:val="7"/>
            <w:shd w:val="clear" w:color="auto" w:fill="auto"/>
          </w:tcPr>
          <w:p w14:paraId="43BFA319" w14:textId="77777777" w:rsidR="00130E55" w:rsidRPr="000E7ED6" w:rsidRDefault="00130E55" w:rsidP="00BC47FF">
            <w:pPr>
              <w:pStyle w:val="Table0"/>
            </w:pPr>
            <w:r w:rsidRPr="000E7ED6">
              <w:t>Gastrointestinal disorders</w:t>
            </w:r>
          </w:p>
        </w:tc>
      </w:tr>
      <w:tr w:rsidR="00130E55" w:rsidRPr="000E7ED6" w14:paraId="016E9A50" w14:textId="77777777" w:rsidTr="00C17E5B">
        <w:tc>
          <w:tcPr>
            <w:tcW w:w="2700" w:type="dxa"/>
            <w:shd w:val="clear" w:color="auto" w:fill="auto"/>
          </w:tcPr>
          <w:p w14:paraId="30E01F0C" w14:textId="77777777" w:rsidR="00130E55" w:rsidRPr="00755FB8" w:rsidRDefault="00130E55" w:rsidP="007A396C">
            <w:pPr>
              <w:pStyle w:val="Table0"/>
              <w:rPr>
                <w:b w:val="0"/>
              </w:rPr>
            </w:pPr>
            <w:r w:rsidRPr="00755FB8">
              <w:rPr>
                <w:b w:val="0"/>
              </w:rPr>
              <w:t>Nausea</w:t>
            </w:r>
          </w:p>
        </w:tc>
        <w:tc>
          <w:tcPr>
            <w:tcW w:w="1710" w:type="dxa"/>
            <w:gridSpan w:val="2"/>
            <w:tcBorders>
              <w:top w:val="nil"/>
              <w:bottom w:val="nil"/>
            </w:tcBorders>
            <w:shd w:val="clear" w:color="auto" w:fill="auto"/>
            <w:vAlign w:val="center"/>
          </w:tcPr>
          <w:p w14:paraId="2113CA55" w14:textId="19D5B658" w:rsidR="00130E55" w:rsidRPr="00755FB8" w:rsidRDefault="00130E55" w:rsidP="00BC47FF">
            <w:pPr>
              <w:pStyle w:val="Table0"/>
              <w:rPr>
                <w:b w:val="0"/>
              </w:rPr>
            </w:pPr>
            <w:r w:rsidRPr="00755FB8">
              <w:rPr>
                <w:b w:val="0"/>
              </w:rPr>
              <w:t>31 (39)</w:t>
            </w:r>
          </w:p>
        </w:tc>
        <w:tc>
          <w:tcPr>
            <w:tcW w:w="1440" w:type="dxa"/>
            <w:tcBorders>
              <w:top w:val="nil"/>
              <w:bottom w:val="nil"/>
            </w:tcBorders>
            <w:shd w:val="clear" w:color="auto" w:fill="auto"/>
            <w:vAlign w:val="center"/>
          </w:tcPr>
          <w:p w14:paraId="0F45D07C" w14:textId="77777777" w:rsidR="00130E55" w:rsidRPr="00755FB8" w:rsidRDefault="00130E55" w:rsidP="00BC47FF">
            <w:pPr>
              <w:pStyle w:val="Table0"/>
              <w:rPr>
                <w:b w:val="0"/>
              </w:rPr>
            </w:pPr>
            <w:r w:rsidRPr="00755FB8">
              <w:rPr>
                <w:b w:val="0"/>
              </w:rPr>
              <w:t>1 (1)</w:t>
            </w:r>
          </w:p>
        </w:tc>
        <w:tc>
          <w:tcPr>
            <w:tcW w:w="1530" w:type="dxa"/>
            <w:gridSpan w:val="2"/>
            <w:tcBorders>
              <w:top w:val="nil"/>
              <w:bottom w:val="nil"/>
            </w:tcBorders>
            <w:shd w:val="clear" w:color="auto" w:fill="auto"/>
            <w:vAlign w:val="center"/>
          </w:tcPr>
          <w:p w14:paraId="045BE1F8" w14:textId="77777777" w:rsidR="00130E55" w:rsidRPr="00755FB8" w:rsidRDefault="00130E55" w:rsidP="00BC47FF">
            <w:pPr>
              <w:pStyle w:val="Table0"/>
              <w:rPr>
                <w:b w:val="0"/>
              </w:rPr>
            </w:pPr>
            <w:r w:rsidRPr="00755FB8">
              <w:rPr>
                <w:b w:val="0"/>
              </w:rPr>
              <w:t>0</w:t>
            </w:r>
          </w:p>
        </w:tc>
        <w:tc>
          <w:tcPr>
            <w:tcW w:w="1710" w:type="dxa"/>
            <w:shd w:val="clear" w:color="auto" w:fill="auto"/>
          </w:tcPr>
          <w:p w14:paraId="53F88E0E" w14:textId="77777777" w:rsidR="00130E55" w:rsidRPr="00755FB8" w:rsidRDefault="00130E55" w:rsidP="00BC47FF">
            <w:pPr>
              <w:pStyle w:val="Table0"/>
              <w:rPr>
                <w:b w:val="0"/>
              </w:rPr>
            </w:pPr>
            <w:r w:rsidRPr="00755FB8">
              <w:rPr>
                <w:b w:val="0"/>
              </w:rPr>
              <w:t>Very common</w:t>
            </w:r>
          </w:p>
        </w:tc>
      </w:tr>
      <w:tr w:rsidR="00130E55" w:rsidRPr="000E7ED6" w14:paraId="1A33674C" w14:textId="77777777" w:rsidTr="00C17E5B">
        <w:tc>
          <w:tcPr>
            <w:tcW w:w="2700" w:type="dxa"/>
            <w:shd w:val="clear" w:color="auto" w:fill="auto"/>
            <w:vAlign w:val="center"/>
          </w:tcPr>
          <w:p w14:paraId="0B229FC5" w14:textId="77777777" w:rsidR="00130E55" w:rsidRPr="00755FB8" w:rsidRDefault="00130E55" w:rsidP="007A396C">
            <w:pPr>
              <w:pStyle w:val="Table0"/>
              <w:rPr>
                <w:b w:val="0"/>
              </w:rPr>
            </w:pPr>
            <w:r w:rsidRPr="00755FB8">
              <w:rPr>
                <w:b w:val="0"/>
              </w:rPr>
              <w:t>Diarrhea</w:t>
            </w:r>
          </w:p>
        </w:tc>
        <w:tc>
          <w:tcPr>
            <w:tcW w:w="1710" w:type="dxa"/>
            <w:gridSpan w:val="2"/>
            <w:tcBorders>
              <w:top w:val="nil"/>
              <w:bottom w:val="nil"/>
            </w:tcBorders>
            <w:shd w:val="clear" w:color="auto" w:fill="auto"/>
            <w:vAlign w:val="center"/>
          </w:tcPr>
          <w:p w14:paraId="4A57FE97" w14:textId="24DD0A09" w:rsidR="00130E55" w:rsidRPr="00755FB8" w:rsidRDefault="00130E55" w:rsidP="00BC47FF">
            <w:pPr>
              <w:pStyle w:val="Table0"/>
              <w:rPr>
                <w:b w:val="0"/>
              </w:rPr>
            </w:pPr>
            <w:r w:rsidRPr="00755FB8">
              <w:rPr>
                <w:b w:val="0"/>
              </w:rPr>
              <w:t>25 (32)</w:t>
            </w:r>
          </w:p>
        </w:tc>
        <w:tc>
          <w:tcPr>
            <w:tcW w:w="1440" w:type="dxa"/>
            <w:tcBorders>
              <w:top w:val="nil"/>
              <w:bottom w:val="nil"/>
            </w:tcBorders>
            <w:shd w:val="clear" w:color="auto" w:fill="auto"/>
            <w:vAlign w:val="center"/>
          </w:tcPr>
          <w:p w14:paraId="2CCECAC6" w14:textId="77777777" w:rsidR="00130E55" w:rsidRPr="00755FB8" w:rsidRDefault="00130E55" w:rsidP="00BC47FF">
            <w:pPr>
              <w:pStyle w:val="Table0"/>
              <w:rPr>
                <w:b w:val="0"/>
              </w:rPr>
            </w:pPr>
            <w:r w:rsidRPr="00755FB8">
              <w:rPr>
                <w:b w:val="0"/>
              </w:rPr>
              <w:t>1 (1)</w:t>
            </w:r>
          </w:p>
        </w:tc>
        <w:tc>
          <w:tcPr>
            <w:tcW w:w="1530" w:type="dxa"/>
            <w:gridSpan w:val="2"/>
            <w:tcBorders>
              <w:top w:val="nil"/>
              <w:bottom w:val="nil"/>
            </w:tcBorders>
            <w:shd w:val="clear" w:color="auto" w:fill="auto"/>
            <w:vAlign w:val="center"/>
          </w:tcPr>
          <w:p w14:paraId="1445DCFB" w14:textId="77777777" w:rsidR="00130E55" w:rsidRPr="00755FB8" w:rsidRDefault="00130E55" w:rsidP="00BC47FF">
            <w:pPr>
              <w:pStyle w:val="Table0"/>
              <w:rPr>
                <w:b w:val="0"/>
              </w:rPr>
            </w:pPr>
            <w:r w:rsidRPr="00755FB8">
              <w:rPr>
                <w:b w:val="0"/>
              </w:rPr>
              <w:t>0</w:t>
            </w:r>
          </w:p>
        </w:tc>
        <w:tc>
          <w:tcPr>
            <w:tcW w:w="1710" w:type="dxa"/>
            <w:shd w:val="clear" w:color="auto" w:fill="auto"/>
          </w:tcPr>
          <w:p w14:paraId="573B54DC" w14:textId="77777777" w:rsidR="00130E55" w:rsidRPr="00755FB8" w:rsidRDefault="00130E55" w:rsidP="00BC47FF">
            <w:pPr>
              <w:pStyle w:val="Table0"/>
              <w:rPr>
                <w:b w:val="0"/>
              </w:rPr>
            </w:pPr>
            <w:r w:rsidRPr="00755FB8">
              <w:rPr>
                <w:b w:val="0"/>
              </w:rPr>
              <w:t>Very common</w:t>
            </w:r>
          </w:p>
        </w:tc>
      </w:tr>
      <w:tr w:rsidR="00130E55" w:rsidRPr="000E7ED6" w14:paraId="63CB7C6E" w14:textId="77777777" w:rsidTr="00C17E5B">
        <w:tc>
          <w:tcPr>
            <w:tcW w:w="2700" w:type="dxa"/>
            <w:shd w:val="clear" w:color="auto" w:fill="auto"/>
          </w:tcPr>
          <w:p w14:paraId="410E8D40" w14:textId="77777777" w:rsidR="00130E55" w:rsidRPr="00755FB8" w:rsidRDefault="00130E55" w:rsidP="007A396C">
            <w:pPr>
              <w:pStyle w:val="Table0"/>
              <w:rPr>
                <w:b w:val="0"/>
                <w:vertAlign w:val="superscript"/>
              </w:rPr>
            </w:pPr>
            <w:r w:rsidRPr="00755FB8">
              <w:rPr>
                <w:b w:val="0"/>
              </w:rPr>
              <w:t>Abdominal pain</w:t>
            </w:r>
          </w:p>
        </w:tc>
        <w:tc>
          <w:tcPr>
            <w:tcW w:w="1710" w:type="dxa"/>
            <w:gridSpan w:val="2"/>
            <w:tcBorders>
              <w:top w:val="nil"/>
            </w:tcBorders>
            <w:shd w:val="clear" w:color="auto" w:fill="auto"/>
            <w:vAlign w:val="center"/>
          </w:tcPr>
          <w:p w14:paraId="664DA464" w14:textId="77777777" w:rsidR="00130E55" w:rsidRPr="00755FB8" w:rsidRDefault="00130E55" w:rsidP="00BC47FF">
            <w:pPr>
              <w:pStyle w:val="Table0"/>
              <w:rPr>
                <w:b w:val="0"/>
              </w:rPr>
            </w:pPr>
            <w:r w:rsidRPr="00755FB8">
              <w:rPr>
                <w:b w:val="0"/>
              </w:rPr>
              <w:t>14 (18)</w:t>
            </w:r>
          </w:p>
        </w:tc>
        <w:tc>
          <w:tcPr>
            <w:tcW w:w="1440" w:type="dxa"/>
            <w:tcBorders>
              <w:top w:val="nil"/>
            </w:tcBorders>
            <w:shd w:val="clear" w:color="auto" w:fill="auto"/>
            <w:vAlign w:val="center"/>
          </w:tcPr>
          <w:p w14:paraId="4BA88FDB" w14:textId="77777777" w:rsidR="00130E55" w:rsidRPr="00755FB8" w:rsidRDefault="00130E55" w:rsidP="00BC47FF">
            <w:pPr>
              <w:pStyle w:val="Table0"/>
              <w:rPr>
                <w:b w:val="0"/>
              </w:rPr>
            </w:pPr>
            <w:r w:rsidRPr="00755FB8">
              <w:rPr>
                <w:b w:val="0"/>
              </w:rPr>
              <w:t>0</w:t>
            </w:r>
          </w:p>
        </w:tc>
        <w:tc>
          <w:tcPr>
            <w:tcW w:w="1530" w:type="dxa"/>
            <w:gridSpan w:val="2"/>
            <w:tcBorders>
              <w:top w:val="nil"/>
            </w:tcBorders>
            <w:shd w:val="clear" w:color="auto" w:fill="auto"/>
            <w:vAlign w:val="center"/>
          </w:tcPr>
          <w:p w14:paraId="1CA3A43F" w14:textId="77777777" w:rsidR="00130E55" w:rsidRPr="00755FB8" w:rsidRDefault="00130E55" w:rsidP="00BC47FF">
            <w:pPr>
              <w:pStyle w:val="Table0"/>
              <w:rPr>
                <w:b w:val="0"/>
              </w:rPr>
            </w:pPr>
            <w:r w:rsidRPr="00755FB8">
              <w:rPr>
                <w:b w:val="0"/>
              </w:rPr>
              <w:t>0</w:t>
            </w:r>
          </w:p>
        </w:tc>
        <w:tc>
          <w:tcPr>
            <w:tcW w:w="1710" w:type="dxa"/>
            <w:shd w:val="clear" w:color="auto" w:fill="auto"/>
          </w:tcPr>
          <w:p w14:paraId="4CE0B6A3" w14:textId="77777777" w:rsidR="00130E55" w:rsidRPr="00755FB8" w:rsidRDefault="00130E55" w:rsidP="00BC47FF">
            <w:pPr>
              <w:pStyle w:val="Table0"/>
              <w:rPr>
                <w:b w:val="0"/>
              </w:rPr>
            </w:pPr>
            <w:r w:rsidRPr="00755FB8">
              <w:rPr>
                <w:b w:val="0"/>
              </w:rPr>
              <w:t>Very common</w:t>
            </w:r>
          </w:p>
        </w:tc>
      </w:tr>
      <w:tr w:rsidR="00130E55" w:rsidRPr="000E7ED6" w14:paraId="565B76CD" w14:textId="77777777" w:rsidTr="00C17E5B">
        <w:tc>
          <w:tcPr>
            <w:tcW w:w="2700" w:type="dxa"/>
            <w:shd w:val="clear" w:color="auto" w:fill="auto"/>
          </w:tcPr>
          <w:p w14:paraId="10717369" w14:textId="77777777" w:rsidR="00130E55" w:rsidRPr="00755FB8" w:rsidRDefault="00130E55" w:rsidP="007A396C">
            <w:pPr>
              <w:pStyle w:val="Table0"/>
              <w:rPr>
                <w:b w:val="0"/>
              </w:rPr>
            </w:pPr>
            <w:r w:rsidRPr="00755FB8">
              <w:rPr>
                <w:b w:val="0"/>
              </w:rPr>
              <w:t>Vomiting</w:t>
            </w:r>
          </w:p>
        </w:tc>
        <w:tc>
          <w:tcPr>
            <w:tcW w:w="1710" w:type="dxa"/>
            <w:gridSpan w:val="2"/>
            <w:tcBorders>
              <w:top w:val="nil"/>
            </w:tcBorders>
            <w:shd w:val="clear" w:color="auto" w:fill="auto"/>
            <w:vAlign w:val="center"/>
          </w:tcPr>
          <w:p w14:paraId="6B6548C0" w14:textId="77777777" w:rsidR="00130E55" w:rsidRPr="00755FB8" w:rsidRDefault="00130E55" w:rsidP="00BC47FF">
            <w:pPr>
              <w:pStyle w:val="Table0"/>
              <w:rPr>
                <w:b w:val="0"/>
              </w:rPr>
            </w:pPr>
            <w:r w:rsidRPr="00755FB8">
              <w:rPr>
                <w:b w:val="0"/>
              </w:rPr>
              <w:t>9 (11)</w:t>
            </w:r>
          </w:p>
        </w:tc>
        <w:tc>
          <w:tcPr>
            <w:tcW w:w="1440" w:type="dxa"/>
            <w:tcBorders>
              <w:top w:val="nil"/>
            </w:tcBorders>
            <w:shd w:val="clear" w:color="auto" w:fill="auto"/>
            <w:vAlign w:val="center"/>
          </w:tcPr>
          <w:p w14:paraId="27A4E423" w14:textId="77777777" w:rsidR="00130E55" w:rsidRPr="00755FB8" w:rsidRDefault="00130E55" w:rsidP="00BC47FF">
            <w:pPr>
              <w:pStyle w:val="Table0"/>
              <w:rPr>
                <w:b w:val="0"/>
              </w:rPr>
            </w:pPr>
            <w:r w:rsidRPr="00755FB8">
              <w:rPr>
                <w:b w:val="0"/>
              </w:rPr>
              <w:t>1 (1)</w:t>
            </w:r>
          </w:p>
        </w:tc>
        <w:tc>
          <w:tcPr>
            <w:tcW w:w="1530" w:type="dxa"/>
            <w:gridSpan w:val="2"/>
            <w:tcBorders>
              <w:top w:val="nil"/>
            </w:tcBorders>
            <w:shd w:val="clear" w:color="auto" w:fill="auto"/>
            <w:vAlign w:val="center"/>
          </w:tcPr>
          <w:p w14:paraId="7BD0EC40" w14:textId="77777777" w:rsidR="00130E55" w:rsidRPr="00755FB8" w:rsidRDefault="00130E55" w:rsidP="00BC47FF">
            <w:pPr>
              <w:pStyle w:val="Table0"/>
              <w:rPr>
                <w:b w:val="0"/>
              </w:rPr>
            </w:pPr>
            <w:r w:rsidRPr="00755FB8">
              <w:rPr>
                <w:b w:val="0"/>
              </w:rPr>
              <w:t>0</w:t>
            </w:r>
          </w:p>
        </w:tc>
        <w:tc>
          <w:tcPr>
            <w:tcW w:w="1710" w:type="dxa"/>
            <w:shd w:val="clear" w:color="auto" w:fill="auto"/>
          </w:tcPr>
          <w:p w14:paraId="190455C7" w14:textId="77777777" w:rsidR="00130E55" w:rsidRPr="00755FB8" w:rsidRDefault="00130E55" w:rsidP="00BC47FF">
            <w:pPr>
              <w:pStyle w:val="Table0"/>
              <w:rPr>
                <w:b w:val="0"/>
              </w:rPr>
            </w:pPr>
            <w:r w:rsidRPr="00755FB8">
              <w:rPr>
                <w:b w:val="0"/>
              </w:rPr>
              <w:t>Very common</w:t>
            </w:r>
          </w:p>
        </w:tc>
      </w:tr>
      <w:tr w:rsidR="00130E55" w:rsidRPr="000E7ED6" w14:paraId="21F1C28A" w14:textId="77777777" w:rsidTr="00C17E5B">
        <w:tc>
          <w:tcPr>
            <w:tcW w:w="2700" w:type="dxa"/>
            <w:shd w:val="clear" w:color="auto" w:fill="auto"/>
          </w:tcPr>
          <w:p w14:paraId="0DE98991" w14:textId="77777777" w:rsidR="00130E55" w:rsidRPr="00755FB8" w:rsidRDefault="00130E55" w:rsidP="007A396C">
            <w:pPr>
              <w:pStyle w:val="Table0"/>
              <w:rPr>
                <w:b w:val="0"/>
              </w:rPr>
            </w:pPr>
            <w:r w:rsidRPr="00755FB8">
              <w:rPr>
                <w:b w:val="0"/>
              </w:rPr>
              <w:t>Dyspepsia</w:t>
            </w:r>
          </w:p>
        </w:tc>
        <w:tc>
          <w:tcPr>
            <w:tcW w:w="1710" w:type="dxa"/>
            <w:gridSpan w:val="2"/>
            <w:shd w:val="clear" w:color="auto" w:fill="auto"/>
            <w:vAlign w:val="center"/>
          </w:tcPr>
          <w:p w14:paraId="534F3327" w14:textId="77777777" w:rsidR="00130E55" w:rsidRPr="00755FB8" w:rsidRDefault="00130E55" w:rsidP="00BC47FF">
            <w:pPr>
              <w:pStyle w:val="Table0"/>
              <w:rPr>
                <w:b w:val="0"/>
              </w:rPr>
            </w:pPr>
            <w:r w:rsidRPr="00755FB8">
              <w:rPr>
                <w:b w:val="0"/>
              </w:rPr>
              <w:t>7 (9)</w:t>
            </w:r>
          </w:p>
        </w:tc>
        <w:tc>
          <w:tcPr>
            <w:tcW w:w="1440" w:type="dxa"/>
            <w:shd w:val="clear" w:color="auto" w:fill="auto"/>
            <w:vAlign w:val="center"/>
          </w:tcPr>
          <w:p w14:paraId="206A30D8" w14:textId="77777777"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24E0817F" w14:textId="77777777" w:rsidR="00130E55" w:rsidRPr="00755FB8" w:rsidRDefault="00130E55" w:rsidP="00BC47FF">
            <w:pPr>
              <w:pStyle w:val="Table0"/>
              <w:rPr>
                <w:b w:val="0"/>
              </w:rPr>
            </w:pPr>
            <w:r w:rsidRPr="00755FB8">
              <w:rPr>
                <w:b w:val="0"/>
              </w:rPr>
              <w:t>0</w:t>
            </w:r>
          </w:p>
        </w:tc>
        <w:tc>
          <w:tcPr>
            <w:tcW w:w="1710" w:type="dxa"/>
            <w:shd w:val="clear" w:color="auto" w:fill="auto"/>
          </w:tcPr>
          <w:p w14:paraId="53D4B35C" w14:textId="77777777" w:rsidR="00130E55" w:rsidRPr="00755FB8" w:rsidRDefault="00130E55" w:rsidP="00BC47FF">
            <w:pPr>
              <w:pStyle w:val="Table0"/>
              <w:rPr>
                <w:b w:val="0"/>
              </w:rPr>
            </w:pPr>
            <w:r w:rsidRPr="00755FB8">
              <w:rPr>
                <w:b w:val="0"/>
              </w:rPr>
              <w:t>Common</w:t>
            </w:r>
          </w:p>
        </w:tc>
      </w:tr>
      <w:tr w:rsidR="00130E55" w:rsidRPr="000E7ED6" w14:paraId="6B2FD148" w14:textId="77777777" w:rsidTr="00C17E5B">
        <w:tc>
          <w:tcPr>
            <w:tcW w:w="2700" w:type="dxa"/>
            <w:shd w:val="clear" w:color="auto" w:fill="auto"/>
          </w:tcPr>
          <w:p w14:paraId="00EB16E2" w14:textId="77777777" w:rsidR="00130E55" w:rsidRPr="00755FB8" w:rsidRDefault="00130E55" w:rsidP="007A396C">
            <w:pPr>
              <w:pStyle w:val="Table0"/>
              <w:rPr>
                <w:b w:val="0"/>
              </w:rPr>
            </w:pPr>
            <w:r w:rsidRPr="00755FB8">
              <w:rPr>
                <w:b w:val="0"/>
              </w:rPr>
              <w:t>Constipation</w:t>
            </w:r>
          </w:p>
        </w:tc>
        <w:tc>
          <w:tcPr>
            <w:tcW w:w="1710" w:type="dxa"/>
            <w:gridSpan w:val="2"/>
            <w:shd w:val="clear" w:color="auto" w:fill="auto"/>
            <w:vAlign w:val="center"/>
          </w:tcPr>
          <w:p w14:paraId="55D98756" w14:textId="2252E980" w:rsidR="00130E55" w:rsidRPr="00755FB8" w:rsidRDefault="00130E55" w:rsidP="00BC47FF">
            <w:pPr>
              <w:pStyle w:val="Table0"/>
              <w:rPr>
                <w:b w:val="0"/>
              </w:rPr>
            </w:pPr>
            <w:r w:rsidRPr="00755FB8">
              <w:rPr>
                <w:b w:val="0"/>
              </w:rPr>
              <w:t>6 (8)</w:t>
            </w:r>
          </w:p>
        </w:tc>
        <w:tc>
          <w:tcPr>
            <w:tcW w:w="1440" w:type="dxa"/>
            <w:shd w:val="clear" w:color="auto" w:fill="auto"/>
            <w:vAlign w:val="center"/>
          </w:tcPr>
          <w:p w14:paraId="1529C0AB" w14:textId="61D4A7CB"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7DD11791" w14:textId="77777777" w:rsidR="00130E55" w:rsidRPr="00755FB8" w:rsidRDefault="00130E55" w:rsidP="00BC47FF">
            <w:pPr>
              <w:pStyle w:val="Table0"/>
              <w:rPr>
                <w:b w:val="0"/>
              </w:rPr>
            </w:pPr>
            <w:r w:rsidRPr="00755FB8">
              <w:rPr>
                <w:b w:val="0"/>
              </w:rPr>
              <w:t>0</w:t>
            </w:r>
          </w:p>
        </w:tc>
        <w:tc>
          <w:tcPr>
            <w:tcW w:w="1710" w:type="dxa"/>
            <w:shd w:val="clear" w:color="auto" w:fill="auto"/>
          </w:tcPr>
          <w:p w14:paraId="5981FF66" w14:textId="77777777" w:rsidR="00130E55" w:rsidRPr="00755FB8" w:rsidRDefault="00130E55" w:rsidP="00BC47FF">
            <w:pPr>
              <w:pStyle w:val="Table0"/>
              <w:rPr>
                <w:b w:val="0"/>
              </w:rPr>
            </w:pPr>
            <w:r w:rsidRPr="00755FB8">
              <w:rPr>
                <w:b w:val="0"/>
              </w:rPr>
              <w:t>Common</w:t>
            </w:r>
          </w:p>
        </w:tc>
      </w:tr>
      <w:tr w:rsidR="00130E55" w:rsidRPr="000E7ED6" w14:paraId="54928316" w14:textId="77777777" w:rsidTr="00C17E5B">
        <w:tc>
          <w:tcPr>
            <w:tcW w:w="2700" w:type="dxa"/>
            <w:shd w:val="clear" w:color="auto" w:fill="auto"/>
          </w:tcPr>
          <w:p w14:paraId="247CA035" w14:textId="77777777" w:rsidR="00130E55" w:rsidRPr="00755FB8" w:rsidRDefault="00130E55" w:rsidP="007A396C">
            <w:pPr>
              <w:pStyle w:val="Table0"/>
              <w:rPr>
                <w:b w:val="0"/>
              </w:rPr>
            </w:pPr>
            <w:r w:rsidRPr="00755FB8">
              <w:rPr>
                <w:b w:val="0"/>
              </w:rPr>
              <w:t>Gastroesophageal reflux disorder</w:t>
            </w:r>
          </w:p>
        </w:tc>
        <w:tc>
          <w:tcPr>
            <w:tcW w:w="1710" w:type="dxa"/>
            <w:gridSpan w:val="2"/>
            <w:shd w:val="clear" w:color="auto" w:fill="auto"/>
            <w:vAlign w:val="center"/>
          </w:tcPr>
          <w:p w14:paraId="5C1ADE0E" w14:textId="77777777" w:rsidR="00130E55" w:rsidRPr="00755FB8" w:rsidRDefault="00130E55" w:rsidP="00BC47FF">
            <w:pPr>
              <w:pStyle w:val="Table0"/>
              <w:rPr>
                <w:b w:val="0"/>
              </w:rPr>
            </w:pPr>
            <w:r w:rsidRPr="00755FB8">
              <w:rPr>
                <w:b w:val="0"/>
              </w:rPr>
              <w:t>3 (4)</w:t>
            </w:r>
          </w:p>
        </w:tc>
        <w:tc>
          <w:tcPr>
            <w:tcW w:w="1440" w:type="dxa"/>
            <w:shd w:val="clear" w:color="auto" w:fill="auto"/>
            <w:vAlign w:val="center"/>
          </w:tcPr>
          <w:p w14:paraId="0DC59FE6"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7193E1BD" w14:textId="77777777" w:rsidR="00130E55" w:rsidRPr="00755FB8" w:rsidRDefault="00130E55" w:rsidP="00BC47FF">
            <w:pPr>
              <w:pStyle w:val="Table0"/>
              <w:rPr>
                <w:b w:val="0"/>
              </w:rPr>
            </w:pPr>
            <w:r w:rsidRPr="00755FB8">
              <w:rPr>
                <w:b w:val="0"/>
              </w:rPr>
              <w:t>0</w:t>
            </w:r>
          </w:p>
        </w:tc>
        <w:tc>
          <w:tcPr>
            <w:tcW w:w="1710" w:type="dxa"/>
            <w:shd w:val="clear" w:color="auto" w:fill="auto"/>
          </w:tcPr>
          <w:p w14:paraId="51480FC9" w14:textId="77777777" w:rsidR="00130E55" w:rsidRPr="00755FB8" w:rsidRDefault="00130E55" w:rsidP="00BC47FF">
            <w:pPr>
              <w:pStyle w:val="Table0"/>
              <w:rPr>
                <w:b w:val="0"/>
              </w:rPr>
            </w:pPr>
            <w:r w:rsidRPr="00755FB8">
              <w:rPr>
                <w:b w:val="0"/>
              </w:rPr>
              <w:t>Common</w:t>
            </w:r>
          </w:p>
        </w:tc>
      </w:tr>
      <w:tr w:rsidR="00130E55" w:rsidRPr="000E7ED6" w14:paraId="24D4E2B7" w14:textId="77777777" w:rsidTr="00C17E5B">
        <w:tc>
          <w:tcPr>
            <w:tcW w:w="9090" w:type="dxa"/>
            <w:gridSpan w:val="7"/>
            <w:shd w:val="clear" w:color="auto" w:fill="auto"/>
          </w:tcPr>
          <w:p w14:paraId="13BBC081" w14:textId="77777777" w:rsidR="00130E55" w:rsidRPr="000E7ED6" w:rsidRDefault="00130E55" w:rsidP="00BC47FF">
            <w:pPr>
              <w:pStyle w:val="Table0"/>
            </w:pPr>
            <w:r w:rsidRPr="000E7ED6">
              <w:t>Skin and subcutaneous tissue disorders</w:t>
            </w:r>
          </w:p>
        </w:tc>
      </w:tr>
      <w:tr w:rsidR="00130E55" w:rsidRPr="000E7ED6" w14:paraId="4D1C7F1C" w14:textId="77777777" w:rsidTr="00C17E5B">
        <w:tc>
          <w:tcPr>
            <w:tcW w:w="2700" w:type="dxa"/>
            <w:shd w:val="clear" w:color="auto" w:fill="auto"/>
          </w:tcPr>
          <w:p w14:paraId="160A55C2" w14:textId="77777777" w:rsidR="00130E55" w:rsidRPr="00755FB8" w:rsidRDefault="00130E55" w:rsidP="007A396C">
            <w:pPr>
              <w:pStyle w:val="Table0"/>
              <w:rPr>
                <w:b w:val="0"/>
                <w:vertAlign w:val="superscript"/>
              </w:rPr>
            </w:pPr>
            <w:r w:rsidRPr="00755FB8">
              <w:rPr>
                <w:b w:val="0"/>
              </w:rPr>
              <w:t>Alopecia</w:t>
            </w:r>
          </w:p>
        </w:tc>
        <w:tc>
          <w:tcPr>
            <w:tcW w:w="1710" w:type="dxa"/>
            <w:gridSpan w:val="2"/>
            <w:shd w:val="clear" w:color="auto" w:fill="auto"/>
            <w:vAlign w:val="center"/>
          </w:tcPr>
          <w:p w14:paraId="2588ADB3" w14:textId="77777777" w:rsidR="00130E55" w:rsidRPr="00755FB8" w:rsidRDefault="00130E55" w:rsidP="00BC47FF">
            <w:pPr>
              <w:pStyle w:val="Table0"/>
              <w:rPr>
                <w:b w:val="0"/>
              </w:rPr>
            </w:pPr>
            <w:r w:rsidRPr="00755FB8">
              <w:rPr>
                <w:b w:val="0"/>
              </w:rPr>
              <w:t>42 (53)</w:t>
            </w:r>
          </w:p>
        </w:tc>
        <w:tc>
          <w:tcPr>
            <w:tcW w:w="1440" w:type="dxa"/>
            <w:shd w:val="clear" w:color="auto" w:fill="auto"/>
            <w:vAlign w:val="center"/>
          </w:tcPr>
          <w:p w14:paraId="077C64AD"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4A2F009D" w14:textId="77777777" w:rsidR="00130E55" w:rsidRPr="00755FB8" w:rsidRDefault="00130E55" w:rsidP="00BC47FF">
            <w:pPr>
              <w:pStyle w:val="Table0"/>
              <w:rPr>
                <w:b w:val="0"/>
              </w:rPr>
            </w:pPr>
            <w:r w:rsidRPr="00755FB8">
              <w:rPr>
                <w:b w:val="0"/>
              </w:rPr>
              <w:t>0</w:t>
            </w:r>
          </w:p>
        </w:tc>
        <w:tc>
          <w:tcPr>
            <w:tcW w:w="1710" w:type="dxa"/>
            <w:shd w:val="clear" w:color="auto" w:fill="auto"/>
          </w:tcPr>
          <w:p w14:paraId="0837509E" w14:textId="77777777" w:rsidR="00130E55" w:rsidRPr="00755FB8" w:rsidRDefault="00130E55" w:rsidP="00BC47FF">
            <w:pPr>
              <w:pStyle w:val="Table0"/>
              <w:rPr>
                <w:b w:val="0"/>
              </w:rPr>
            </w:pPr>
            <w:r w:rsidRPr="00755FB8">
              <w:rPr>
                <w:b w:val="0"/>
              </w:rPr>
              <w:t>Very common</w:t>
            </w:r>
          </w:p>
        </w:tc>
      </w:tr>
      <w:tr w:rsidR="00130E55" w:rsidRPr="000E7ED6" w14:paraId="4D16AB78" w14:textId="77777777" w:rsidTr="00C17E5B">
        <w:tc>
          <w:tcPr>
            <w:tcW w:w="2700" w:type="dxa"/>
            <w:shd w:val="clear" w:color="auto" w:fill="auto"/>
          </w:tcPr>
          <w:p w14:paraId="59453A79" w14:textId="77777777" w:rsidR="00130E55" w:rsidRPr="00755FB8" w:rsidRDefault="00130E55" w:rsidP="007A396C">
            <w:pPr>
              <w:pStyle w:val="Table0"/>
              <w:rPr>
                <w:b w:val="0"/>
                <w:vertAlign w:val="superscript"/>
              </w:rPr>
            </w:pPr>
            <w:r w:rsidRPr="00755FB8">
              <w:rPr>
                <w:b w:val="0"/>
              </w:rPr>
              <w:t>Pruritus</w:t>
            </w:r>
          </w:p>
        </w:tc>
        <w:tc>
          <w:tcPr>
            <w:tcW w:w="1710" w:type="dxa"/>
            <w:gridSpan w:val="2"/>
            <w:shd w:val="clear" w:color="auto" w:fill="auto"/>
            <w:vAlign w:val="center"/>
          </w:tcPr>
          <w:p w14:paraId="4FE123F9" w14:textId="50584546" w:rsidR="00130E55" w:rsidRPr="00755FB8" w:rsidRDefault="00130E55" w:rsidP="00BC47FF">
            <w:pPr>
              <w:pStyle w:val="Table0"/>
              <w:rPr>
                <w:b w:val="0"/>
              </w:rPr>
            </w:pPr>
            <w:r w:rsidRPr="00755FB8">
              <w:rPr>
                <w:b w:val="0"/>
              </w:rPr>
              <w:t>8 (10)</w:t>
            </w:r>
          </w:p>
        </w:tc>
        <w:tc>
          <w:tcPr>
            <w:tcW w:w="1440" w:type="dxa"/>
            <w:shd w:val="clear" w:color="auto" w:fill="auto"/>
            <w:vAlign w:val="center"/>
          </w:tcPr>
          <w:p w14:paraId="0B2DF681"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7D566DAE" w14:textId="77777777" w:rsidR="00130E55" w:rsidRPr="00755FB8" w:rsidRDefault="00130E55" w:rsidP="00BC47FF">
            <w:pPr>
              <w:pStyle w:val="Table0"/>
              <w:rPr>
                <w:b w:val="0"/>
              </w:rPr>
            </w:pPr>
            <w:r w:rsidRPr="00755FB8">
              <w:rPr>
                <w:b w:val="0"/>
              </w:rPr>
              <w:t>0</w:t>
            </w:r>
          </w:p>
        </w:tc>
        <w:tc>
          <w:tcPr>
            <w:tcW w:w="1710" w:type="dxa"/>
            <w:shd w:val="clear" w:color="auto" w:fill="auto"/>
          </w:tcPr>
          <w:p w14:paraId="77BA9C9A" w14:textId="6566674B" w:rsidR="00130E55" w:rsidRPr="00755FB8" w:rsidRDefault="00130E55" w:rsidP="00BC47FF">
            <w:pPr>
              <w:pStyle w:val="Table0"/>
              <w:rPr>
                <w:b w:val="0"/>
              </w:rPr>
            </w:pPr>
            <w:r w:rsidRPr="00755FB8">
              <w:rPr>
                <w:b w:val="0"/>
              </w:rPr>
              <w:t>Very common</w:t>
            </w:r>
          </w:p>
        </w:tc>
      </w:tr>
      <w:tr w:rsidR="00130E55" w:rsidRPr="000E7ED6" w14:paraId="60EFC43B" w14:textId="77777777" w:rsidTr="00C17E5B">
        <w:tc>
          <w:tcPr>
            <w:tcW w:w="2700" w:type="dxa"/>
            <w:shd w:val="clear" w:color="auto" w:fill="auto"/>
          </w:tcPr>
          <w:p w14:paraId="79BCE73E" w14:textId="77777777" w:rsidR="00130E55" w:rsidRPr="00755FB8" w:rsidRDefault="00130E55" w:rsidP="007A396C">
            <w:pPr>
              <w:pStyle w:val="Table0"/>
              <w:rPr>
                <w:b w:val="0"/>
                <w:vertAlign w:val="superscript"/>
              </w:rPr>
            </w:pPr>
            <w:r w:rsidRPr="00755FB8">
              <w:rPr>
                <w:b w:val="0"/>
              </w:rPr>
              <w:t>Rash</w:t>
            </w:r>
          </w:p>
        </w:tc>
        <w:tc>
          <w:tcPr>
            <w:tcW w:w="1710" w:type="dxa"/>
            <w:gridSpan w:val="2"/>
            <w:shd w:val="clear" w:color="auto" w:fill="auto"/>
            <w:vAlign w:val="center"/>
          </w:tcPr>
          <w:p w14:paraId="5F002EC1" w14:textId="77777777" w:rsidR="00130E55" w:rsidRPr="00755FB8" w:rsidRDefault="00130E55" w:rsidP="00BC47FF">
            <w:pPr>
              <w:pStyle w:val="Table0"/>
              <w:rPr>
                <w:b w:val="0"/>
              </w:rPr>
            </w:pPr>
            <w:r w:rsidRPr="00755FB8">
              <w:rPr>
                <w:b w:val="0"/>
              </w:rPr>
              <w:t>5 (6)</w:t>
            </w:r>
          </w:p>
        </w:tc>
        <w:tc>
          <w:tcPr>
            <w:tcW w:w="1440" w:type="dxa"/>
            <w:shd w:val="clear" w:color="auto" w:fill="auto"/>
            <w:vAlign w:val="center"/>
          </w:tcPr>
          <w:p w14:paraId="250E9E45"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3CDA9615" w14:textId="77777777" w:rsidR="00130E55" w:rsidRPr="00755FB8" w:rsidRDefault="00130E55" w:rsidP="00BC47FF">
            <w:pPr>
              <w:pStyle w:val="Table0"/>
              <w:rPr>
                <w:b w:val="0"/>
              </w:rPr>
            </w:pPr>
            <w:r w:rsidRPr="00755FB8">
              <w:rPr>
                <w:b w:val="0"/>
              </w:rPr>
              <w:t>0</w:t>
            </w:r>
          </w:p>
        </w:tc>
        <w:tc>
          <w:tcPr>
            <w:tcW w:w="1710" w:type="dxa"/>
            <w:shd w:val="clear" w:color="auto" w:fill="auto"/>
          </w:tcPr>
          <w:p w14:paraId="28BC7561" w14:textId="77777777" w:rsidR="00130E55" w:rsidRPr="00755FB8" w:rsidRDefault="00130E55" w:rsidP="00BC47FF">
            <w:pPr>
              <w:pStyle w:val="Table0"/>
              <w:rPr>
                <w:b w:val="0"/>
              </w:rPr>
            </w:pPr>
            <w:r w:rsidRPr="00755FB8">
              <w:rPr>
                <w:b w:val="0"/>
              </w:rPr>
              <w:t>Common</w:t>
            </w:r>
          </w:p>
        </w:tc>
      </w:tr>
      <w:tr w:rsidR="00130E55" w:rsidRPr="000E7ED6" w14:paraId="25818C8E" w14:textId="77777777" w:rsidTr="00C17E5B">
        <w:tc>
          <w:tcPr>
            <w:tcW w:w="2700" w:type="dxa"/>
            <w:shd w:val="clear" w:color="auto" w:fill="auto"/>
          </w:tcPr>
          <w:p w14:paraId="6947FBE6" w14:textId="77777777" w:rsidR="00130E55" w:rsidRPr="00755FB8" w:rsidRDefault="00130E55" w:rsidP="007A396C">
            <w:pPr>
              <w:pStyle w:val="Table0"/>
              <w:rPr>
                <w:b w:val="0"/>
                <w:vertAlign w:val="superscript"/>
              </w:rPr>
            </w:pPr>
            <w:r w:rsidRPr="00755FB8">
              <w:rPr>
                <w:b w:val="0"/>
              </w:rPr>
              <w:t>Abnormal hair growth</w:t>
            </w:r>
          </w:p>
        </w:tc>
        <w:tc>
          <w:tcPr>
            <w:tcW w:w="1710" w:type="dxa"/>
            <w:gridSpan w:val="2"/>
            <w:shd w:val="clear" w:color="auto" w:fill="auto"/>
            <w:vAlign w:val="center"/>
          </w:tcPr>
          <w:p w14:paraId="0997990C" w14:textId="77777777" w:rsidR="00130E55" w:rsidRPr="00755FB8" w:rsidRDefault="00130E55" w:rsidP="00BC47FF">
            <w:pPr>
              <w:pStyle w:val="Table0"/>
              <w:rPr>
                <w:b w:val="0"/>
              </w:rPr>
            </w:pPr>
            <w:r w:rsidRPr="00755FB8">
              <w:rPr>
                <w:b w:val="0"/>
              </w:rPr>
              <w:t>3 (4)</w:t>
            </w:r>
          </w:p>
        </w:tc>
        <w:tc>
          <w:tcPr>
            <w:tcW w:w="1440" w:type="dxa"/>
            <w:shd w:val="clear" w:color="auto" w:fill="auto"/>
            <w:vAlign w:val="center"/>
          </w:tcPr>
          <w:p w14:paraId="17D729D1"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346C0334" w14:textId="77777777" w:rsidR="00130E55" w:rsidRPr="00755FB8" w:rsidRDefault="00130E55" w:rsidP="00BC47FF">
            <w:pPr>
              <w:pStyle w:val="Table0"/>
              <w:rPr>
                <w:b w:val="0"/>
              </w:rPr>
            </w:pPr>
            <w:r w:rsidRPr="00755FB8">
              <w:rPr>
                <w:b w:val="0"/>
              </w:rPr>
              <w:t>0</w:t>
            </w:r>
          </w:p>
        </w:tc>
        <w:tc>
          <w:tcPr>
            <w:tcW w:w="1710" w:type="dxa"/>
            <w:shd w:val="clear" w:color="auto" w:fill="auto"/>
          </w:tcPr>
          <w:p w14:paraId="2EC3B849" w14:textId="77777777" w:rsidR="00130E55" w:rsidRPr="00755FB8" w:rsidRDefault="00130E55" w:rsidP="00BC47FF">
            <w:pPr>
              <w:pStyle w:val="Table0"/>
              <w:rPr>
                <w:b w:val="0"/>
              </w:rPr>
            </w:pPr>
            <w:r w:rsidRPr="00755FB8">
              <w:rPr>
                <w:b w:val="0"/>
              </w:rPr>
              <w:t>Common</w:t>
            </w:r>
          </w:p>
        </w:tc>
      </w:tr>
      <w:tr w:rsidR="00130E55" w:rsidRPr="000E7ED6" w14:paraId="121494EE" w14:textId="77777777" w:rsidTr="00C17E5B">
        <w:tc>
          <w:tcPr>
            <w:tcW w:w="9090" w:type="dxa"/>
            <w:gridSpan w:val="7"/>
            <w:shd w:val="clear" w:color="auto" w:fill="auto"/>
          </w:tcPr>
          <w:p w14:paraId="75F9FAB9" w14:textId="77777777" w:rsidR="00130E55" w:rsidRPr="000E7ED6" w:rsidRDefault="00130E55" w:rsidP="00BC47FF">
            <w:pPr>
              <w:pStyle w:val="Table0"/>
            </w:pPr>
            <w:r w:rsidRPr="000E7ED6">
              <w:t>Musculoskeletal and connective tissue disorders</w:t>
            </w:r>
          </w:p>
        </w:tc>
      </w:tr>
      <w:tr w:rsidR="00130E55" w:rsidRPr="000E7ED6" w14:paraId="3838B302" w14:textId="77777777" w:rsidTr="00C17E5B">
        <w:tc>
          <w:tcPr>
            <w:tcW w:w="2700" w:type="dxa"/>
            <w:shd w:val="clear" w:color="auto" w:fill="auto"/>
          </w:tcPr>
          <w:p w14:paraId="3AA21C65" w14:textId="77777777" w:rsidR="00130E55" w:rsidRPr="00755FB8" w:rsidRDefault="00130E55" w:rsidP="007A396C">
            <w:pPr>
              <w:pStyle w:val="Table0"/>
              <w:rPr>
                <w:b w:val="0"/>
                <w:vertAlign w:val="superscript"/>
              </w:rPr>
            </w:pPr>
            <w:r w:rsidRPr="00755FB8">
              <w:rPr>
                <w:b w:val="0"/>
              </w:rPr>
              <w:t>Muscle spasms</w:t>
            </w:r>
          </w:p>
        </w:tc>
        <w:tc>
          <w:tcPr>
            <w:tcW w:w="1710" w:type="dxa"/>
            <w:gridSpan w:val="2"/>
            <w:shd w:val="clear" w:color="auto" w:fill="auto"/>
            <w:vAlign w:val="center"/>
          </w:tcPr>
          <w:p w14:paraId="78280F6D" w14:textId="191EFB79" w:rsidR="00130E55" w:rsidRPr="00755FB8" w:rsidRDefault="00130E55" w:rsidP="00BC47FF">
            <w:pPr>
              <w:pStyle w:val="Table0"/>
              <w:rPr>
                <w:b w:val="0"/>
              </w:rPr>
            </w:pPr>
            <w:r w:rsidRPr="00755FB8">
              <w:rPr>
                <w:b w:val="0"/>
              </w:rPr>
              <w:t>43 (54)</w:t>
            </w:r>
          </w:p>
        </w:tc>
        <w:tc>
          <w:tcPr>
            <w:tcW w:w="1440" w:type="dxa"/>
            <w:shd w:val="clear" w:color="auto" w:fill="auto"/>
            <w:vAlign w:val="center"/>
          </w:tcPr>
          <w:p w14:paraId="33E4C667" w14:textId="77777777" w:rsidR="00130E55" w:rsidRPr="00755FB8" w:rsidRDefault="00130E55" w:rsidP="00BC47FF">
            <w:pPr>
              <w:pStyle w:val="Table0"/>
              <w:rPr>
                <w:b w:val="0"/>
              </w:rPr>
            </w:pPr>
            <w:r w:rsidRPr="00755FB8">
              <w:rPr>
                <w:b w:val="0"/>
              </w:rPr>
              <w:t>2 (3)</w:t>
            </w:r>
          </w:p>
        </w:tc>
        <w:tc>
          <w:tcPr>
            <w:tcW w:w="1530" w:type="dxa"/>
            <w:gridSpan w:val="2"/>
            <w:shd w:val="clear" w:color="auto" w:fill="auto"/>
            <w:vAlign w:val="center"/>
          </w:tcPr>
          <w:p w14:paraId="6A9C365B" w14:textId="77777777" w:rsidR="00130E55" w:rsidRPr="00755FB8" w:rsidRDefault="00130E55" w:rsidP="00BC47FF">
            <w:pPr>
              <w:pStyle w:val="Table0"/>
              <w:rPr>
                <w:b w:val="0"/>
              </w:rPr>
            </w:pPr>
            <w:r w:rsidRPr="00755FB8">
              <w:rPr>
                <w:b w:val="0"/>
              </w:rPr>
              <w:t>0</w:t>
            </w:r>
          </w:p>
        </w:tc>
        <w:tc>
          <w:tcPr>
            <w:tcW w:w="1710" w:type="dxa"/>
            <w:shd w:val="clear" w:color="auto" w:fill="auto"/>
          </w:tcPr>
          <w:p w14:paraId="05DE3234" w14:textId="77777777" w:rsidR="00130E55" w:rsidRPr="00755FB8" w:rsidRDefault="00130E55" w:rsidP="00BC47FF">
            <w:pPr>
              <w:pStyle w:val="Table0"/>
              <w:rPr>
                <w:b w:val="0"/>
              </w:rPr>
            </w:pPr>
            <w:r w:rsidRPr="00755FB8">
              <w:rPr>
                <w:b w:val="0"/>
              </w:rPr>
              <w:t>Very common</w:t>
            </w:r>
          </w:p>
        </w:tc>
      </w:tr>
      <w:tr w:rsidR="00130E55" w:rsidRPr="000E7ED6" w14:paraId="4A132974" w14:textId="77777777" w:rsidTr="00C17E5B">
        <w:tc>
          <w:tcPr>
            <w:tcW w:w="2700" w:type="dxa"/>
            <w:shd w:val="clear" w:color="auto" w:fill="auto"/>
          </w:tcPr>
          <w:p w14:paraId="72381D74" w14:textId="77777777" w:rsidR="00130E55" w:rsidRPr="00755FB8" w:rsidRDefault="00130E55" w:rsidP="007A396C">
            <w:pPr>
              <w:pStyle w:val="Table0"/>
              <w:rPr>
                <w:b w:val="0"/>
              </w:rPr>
            </w:pPr>
            <w:r w:rsidRPr="00755FB8">
              <w:rPr>
                <w:b w:val="0"/>
              </w:rPr>
              <w:t>Musculoskeletal pain</w:t>
            </w:r>
          </w:p>
        </w:tc>
        <w:tc>
          <w:tcPr>
            <w:tcW w:w="1710" w:type="dxa"/>
            <w:gridSpan w:val="2"/>
            <w:shd w:val="clear" w:color="auto" w:fill="auto"/>
            <w:vAlign w:val="center"/>
          </w:tcPr>
          <w:p w14:paraId="6DCEE126" w14:textId="69D8423B" w:rsidR="00130E55" w:rsidRPr="00755FB8" w:rsidRDefault="00130E55" w:rsidP="00BC47FF">
            <w:pPr>
              <w:pStyle w:val="Table0"/>
              <w:rPr>
                <w:b w:val="0"/>
              </w:rPr>
            </w:pPr>
            <w:r w:rsidRPr="00755FB8">
              <w:rPr>
                <w:b w:val="0"/>
              </w:rPr>
              <w:t>25 (32)</w:t>
            </w:r>
          </w:p>
        </w:tc>
        <w:tc>
          <w:tcPr>
            <w:tcW w:w="1440" w:type="dxa"/>
            <w:shd w:val="clear" w:color="auto" w:fill="auto"/>
            <w:vAlign w:val="center"/>
          </w:tcPr>
          <w:p w14:paraId="34A0724E" w14:textId="77777777"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0A4DEBC9" w14:textId="77777777" w:rsidR="00130E55" w:rsidRPr="00755FB8" w:rsidRDefault="00130E55" w:rsidP="00BC47FF">
            <w:pPr>
              <w:pStyle w:val="Table0"/>
              <w:rPr>
                <w:b w:val="0"/>
              </w:rPr>
            </w:pPr>
            <w:r w:rsidRPr="00755FB8">
              <w:rPr>
                <w:b w:val="0"/>
              </w:rPr>
              <w:t>0</w:t>
            </w:r>
          </w:p>
        </w:tc>
        <w:tc>
          <w:tcPr>
            <w:tcW w:w="1710" w:type="dxa"/>
            <w:shd w:val="clear" w:color="auto" w:fill="auto"/>
          </w:tcPr>
          <w:p w14:paraId="6A5B4280" w14:textId="77777777" w:rsidR="00130E55" w:rsidRPr="00755FB8" w:rsidRDefault="00130E55" w:rsidP="00BC47FF">
            <w:pPr>
              <w:pStyle w:val="Table0"/>
              <w:rPr>
                <w:b w:val="0"/>
              </w:rPr>
            </w:pPr>
            <w:r w:rsidRPr="00755FB8">
              <w:rPr>
                <w:b w:val="0"/>
              </w:rPr>
              <w:t>Very common</w:t>
            </w:r>
          </w:p>
        </w:tc>
      </w:tr>
      <w:tr w:rsidR="00130E55" w:rsidRPr="000E7ED6" w14:paraId="5D17C35E" w14:textId="77777777" w:rsidTr="00C17E5B">
        <w:tc>
          <w:tcPr>
            <w:tcW w:w="2700" w:type="dxa"/>
            <w:shd w:val="clear" w:color="auto" w:fill="auto"/>
          </w:tcPr>
          <w:p w14:paraId="5C2A11C5" w14:textId="77777777" w:rsidR="00130E55" w:rsidRPr="00755FB8" w:rsidRDefault="00130E55" w:rsidP="007A396C">
            <w:pPr>
              <w:pStyle w:val="Table0"/>
              <w:rPr>
                <w:b w:val="0"/>
                <w:vertAlign w:val="superscript"/>
              </w:rPr>
            </w:pPr>
            <w:r w:rsidRPr="00755FB8">
              <w:rPr>
                <w:b w:val="0"/>
              </w:rPr>
              <w:t>Myalgia</w:t>
            </w:r>
          </w:p>
        </w:tc>
        <w:tc>
          <w:tcPr>
            <w:tcW w:w="1710" w:type="dxa"/>
            <w:gridSpan w:val="2"/>
            <w:shd w:val="clear" w:color="auto" w:fill="auto"/>
            <w:vAlign w:val="center"/>
          </w:tcPr>
          <w:p w14:paraId="54F8891C" w14:textId="77777777" w:rsidR="00130E55" w:rsidRPr="00755FB8" w:rsidRDefault="00130E55" w:rsidP="00BC47FF">
            <w:pPr>
              <w:pStyle w:val="Table0"/>
              <w:rPr>
                <w:b w:val="0"/>
              </w:rPr>
            </w:pPr>
            <w:r w:rsidRPr="00755FB8">
              <w:rPr>
                <w:b w:val="0"/>
              </w:rPr>
              <w:t>15 (19)</w:t>
            </w:r>
          </w:p>
        </w:tc>
        <w:tc>
          <w:tcPr>
            <w:tcW w:w="1440" w:type="dxa"/>
            <w:shd w:val="clear" w:color="auto" w:fill="auto"/>
            <w:vAlign w:val="center"/>
          </w:tcPr>
          <w:p w14:paraId="5DB0C924"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62215F57" w14:textId="77777777" w:rsidR="00130E55" w:rsidRPr="00755FB8" w:rsidRDefault="00130E55" w:rsidP="00BC47FF">
            <w:pPr>
              <w:pStyle w:val="Table0"/>
              <w:rPr>
                <w:b w:val="0"/>
              </w:rPr>
            </w:pPr>
            <w:r w:rsidRPr="00755FB8">
              <w:rPr>
                <w:b w:val="0"/>
              </w:rPr>
              <w:t>0</w:t>
            </w:r>
          </w:p>
        </w:tc>
        <w:tc>
          <w:tcPr>
            <w:tcW w:w="1710" w:type="dxa"/>
            <w:shd w:val="clear" w:color="auto" w:fill="auto"/>
          </w:tcPr>
          <w:p w14:paraId="355370B6" w14:textId="77777777" w:rsidR="00130E55" w:rsidRPr="00755FB8" w:rsidRDefault="00130E55" w:rsidP="00BC47FF">
            <w:pPr>
              <w:pStyle w:val="Table0"/>
              <w:rPr>
                <w:b w:val="0"/>
              </w:rPr>
            </w:pPr>
            <w:r w:rsidRPr="00755FB8">
              <w:rPr>
                <w:b w:val="0"/>
              </w:rPr>
              <w:t>Very common</w:t>
            </w:r>
          </w:p>
        </w:tc>
      </w:tr>
      <w:tr w:rsidR="00130E55" w:rsidRPr="000E7ED6" w14:paraId="51E833CB" w14:textId="77777777" w:rsidTr="00C17E5B">
        <w:tc>
          <w:tcPr>
            <w:tcW w:w="2700" w:type="dxa"/>
            <w:shd w:val="clear" w:color="auto" w:fill="auto"/>
          </w:tcPr>
          <w:p w14:paraId="73AED166" w14:textId="77777777" w:rsidR="00130E55" w:rsidRPr="00755FB8" w:rsidRDefault="00130E55" w:rsidP="007A396C">
            <w:pPr>
              <w:pStyle w:val="Table0"/>
              <w:rPr>
                <w:b w:val="0"/>
              </w:rPr>
            </w:pPr>
            <w:r w:rsidRPr="00755FB8">
              <w:rPr>
                <w:b w:val="0"/>
              </w:rPr>
              <w:t xml:space="preserve">Myopathy </w:t>
            </w:r>
          </w:p>
          <w:p w14:paraId="14A4379C" w14:textId="77777777" w:rsidR="00130E55" w:rsidRPr="00755FB8" w:rsidRDefault="00130E55" w:rsidP="007A396C">
            <w:pPr>
              <w:pStyle w:val="Table0"/>
              <w:rPr>
                <w:b w:val="0"/>
                <w:vertAlign w:val="superscript"/>
              </w:rPr>
            </w:pPr>
            <w:r w:rsidRPr="00755FB8">
              <w:rPr>
                <w:b w:val="0"/>
              </w:rPr>
              <w:t>[muscular fatigue and muscular weakness]</w:t>
            </w:r>
          </w:p>
        </w:tc>
        <w:tc>
          <w:tcPr>
            <w:tcW w:w="1710" w:type="dxa"/>
            <w:gridSpan w:val="2"/>
            <w:shd w:val="clear" w:color="auto" w:fill="auto"/>
            <w:vAlign w:val="center"/>
          </w:tcPr>
          <w:p w14:paraId="7AF61164" w14:textId="77777777" w:rsidR="00130E55" w:rsidRPr="00755FB8" w:rsidRDefault="00130E55" w:rsidP="00BC47FF">
            <w:pPr>
              <w:pStyle w:val="Table0"/>
              <w:rPr>
                <w:b w:val="0"/>
              </w:rPr>
            </w:pPr>
            <w:r w:rsidRPr="00755FB8">
              <w:rPr>
                <w:b w:val="0"/>
              </w:rPr>
              <w:t>3 (4)</w:t>
            </w:r>
          </w:p>
        </w:tc>
        <w:tc>
          <w:tcPr>
            <w:tcW w:w="1440" w:type="dxa"/>
            <w:shd w:val="clear" w:color="auto" w:fill="auto"/>
            <w:vAlign w:val="center"/>
          </w:tcPr>
          <w:p w14:paraId="4D063299" w14:textId="77777777" w:rsidR="00130E55" w:rsidRPr="00755FB8" w:rsidRDefault="00130E55" w:rsidP="00BC47FF">
            <w:pPr>
              <w:pStyle w:val="Table0"/>
              <w:rPr>
                <w:b w:val="0"/>
              </w:rPr>
            </w:pPr>
            <w:r w:rsidRPr="00755FB8">
              <w:rPr>
                <w:b w:val="0"/>
              </w:rPr>
              <w:t>0</w:t>
            </w:r>
          </w:p>
        </w:tc>
        <w:tc>
          <w:tcPr>
            <w:tcW w:w="1530" w:type="dxa"/>
            <w:gridSpan w:val="2"/>
            <w:shd w:val="clear" w:color="auto" w:fill="auto"/>
            <w:vAlign w:val="center"/>
          </w:tcPr>
          <w:p w14:paraId="01CFE86F" w14:textId="77777777" w:rsidR="00130E55" w:rsidRPr="00755FB8" w:rsidRDefault="00130E55" w:rsidP="00BC47FF">
            <w:pPr>
              <w:pStyle w:val="Table0"/>
              <w:rPr>
                <w:b w:val="0"/>
              </w:rPr>
            </w:pPr>
            <w:r w:rsidRPr="00755FB8">
              <w:rPr>
                <w:b w:val="0"/>
              </w:rPr>
              <w:t>0</w:t>
            </w:r>
          </w:p>
        </w:tc>
        <w:tc>
          <w:tcPr>
            <w:tcW w:w="1710" w:type="dxa"/>
            <w:shd w:val="clear" w:color="auto" w:fill="auto"/>
          </w:tcPr>
          <w:p w14:paraId="20149D6D" w14:textId="77777777" w:rsidR="00130E55" w:rsidRPr="00755FB8" w:rsidRDefault="00130E55" w:rsidP="00BC47FF">
            <w:pPr>
              <w:pStyle w:val="Table0"/>
              <w:rPr>
                <w:b w:val="0"/>
              </w:rPr>
            </w:pPr>
            <w:r w:rsidRPr="00755FB8">
              <w:rPr>
                <w:b w:val="0"/>
              </w:rPr>
              <w:t>Common</w:t>
            </w:r>
          </w:p>
        </w:tc>
      </w:tr>
      <w:tr w:rsidR="00130E55" w:rsidRPr="000E7ED6" w14:paraId="30C85FE3" w14:textId="77777777" w:rsidTr="00C17E5B">
        <w:tc>
          <w:tcPr>
            <w:tcW w:w="9090" w:type="dxa"/>
            <w:gridSpan w:val="7"/>
            <w:shd w:val="clear" w:color="auto" w:fill="auto"/>
          </w:tcPr>
          <w:p w14:paraId="5417D161" w14:textId="77777777" w:rsidR="00130E55" w:rsidRPr="000E7ED6" w:rsidRDefault="00130E55" w:rsidP="00BC47FF">
            <w:pPr>
              <w:pStyle w:val="Table0"/>
            </w:pPr>
            <w:r w:rsidRPr="000E7ED6">
              <w:t>General disorders and administration site conditions</w:t>
            </w:r>
          </w:p>
        </w:tc>
      </w:tr>
      <w:tr w:rsidR="00130E55" w:rsidRPr="000E7ED6" w14:paraId="2CF17ADE" w14:textId="77777777" w:rsidTr="00C17E5B">
        <w:tc>
          <w:tcPr>
            <w:tcW w:w="2700" w:type="dxa"/>
            <w:shd w:val="clear" w:color="auto" w:fill="auto"/>
          </w:tcPr>
          <w:p w14:paraId="121365A7" w14:textId="77777777" w:rsidR="00130E55" w:rsidRPr="00755FB8" w:rsidRDefault="00130E55" w:rsidP="007A396C">
            <w:pPr>
              <w:pStyle w:val="Table0"/>
              <w:rPr>
                <w:b w:val="0"/>
              </w:rPr>
            </w:pPr>
            <w:r w:rsidRPr="00755FB8">
              <w:rPr>
                <w:b w:val="0"/>
              </w:rPr>
              <w:t>Fatigue</w:t>
            </w:r>
          </w:p>
        </w:tc>
        <w:tc>
          <w:tcPr>
            <w:tcW w:w="1710" w:type="dxa"/>
            <w:gridSpan w:val="2"/>
            <w:shd w:val="clear" w:color="auto" w:fill="auto"/>
            <w:vAlign w:val="center"/>
          </w:tcPr>
          <w:p w14:paraId="0D2F7783" w14:textId="2F5684FA" w:rsidR="00130E55" w:rsidRPr="00755FB8" w:rsidRDefault="00130E55" w:rsidP="00BC47FF">
            <w:pPr>
              <w:pStyle w:val="Table0"/>
              <w:rPr>
                <w:b w:val="0"/>
              </w:rPr>
            </w:pPr>
            <w:r w:rsidRPr="00755FB8">
              <w:rPr>
                <w:b w:val="0"/>
              </w:rPr>
              <w:t>32 (41)</w:t>
            </w:r>
          </w:p>
        </w:tc>
        <w:tc>
          <w:tcPr>
            <w:tcW w:w="1440" w:type="dxa"/>
            <w:shd w:val="clear" w:color="auto" w:fill="auto"/>
            <w:vAlign w:val="center"/>
          </w:tcPr>
          <w:p w14:paraId="710886C6" w14:textId="77777777" w:rsidR="00130E55" w:rsidRPr="00755FB8" w:rsidRDefault="00130E55" w:rsidP="00BC47FF">
            <w:pPr>
              <w:pStyle w:val="Table0"/>
              <w:rPr>
                <w:b w:val="0"/>
              </w:rPr>
            </w:pPr>
            <w:r w:rsidRPr="00755FB8">
              <w:rPr>
                <w:b w:val="0"/>
              </w:rPr>
              <w:t>3 (4)</w:t>
            </w:r>
          </w:p>
        </w:tc>
        <w:tc>
          <w:tcPr>
            <w:tcW w:w="1530" w:type="dxa"/>
            <w:gridSpan w:val="2"/>
            <w:shd w:val="clear" w:color="auto" w:fill="auto"/>
            <w:vAlign w:val="center"/>
          </w:tcPr>
          <w:p w14:paraId="6F273DE2" w14:textId="77777777" w:rsidR="00130E55" w:rsidRPr="00755FB8" w:rsidRDefault="00130E55" w:rsidP="00BC47FF">
            <w:pPr>
              <w:pStyle w:val="Table0"/>
              <w:rPr>
                <w:b w:val="0"/>
              </w:rPr>
            </w:pPr>
            <w:r w:rsidRPr="00755FB8">
              <w:rPr>
                <w:b w:val="0"/>
              </w:rPr>
              <w:t>0</w:t>
            </w:r>
          </w:p>
        </w:tc>
        <w:tc>
          <w:tcPr>
            <w:tcW w:w="1710" w:type="dxa"/>
            <w:shd w:val="clear" w:color="auto" w:fill="auto"/>
          </w:tcPr>
          <w:p w14:paraId="4F7DECC7" w14:textId="77777777" w:rsidR="00130E55" w:rsidRPr="00755FB8" w:rsidRDefault="00130E55" w:rsidP="00BC47FF">
            <w:pPr>
              <w:pStyle w:val="Table0"/>
              <w:rPr>
                <w:b w:val="0"/>
              </w:rPr>
            </w:pPr>
            <w:r w:rsidRPr="00755FB8">
              <w:rPr>
                <w:b w:val="0"/>
              </w:rPr>
              <w:t>Very common</w:t>
            </w:r>
          </w:p>
        </w:tc>
      </w:tr>
      <w:tr w:rsidR="00130E55" w:rsidRPr="000E7ED6" w14:paraId="17F25A0E" w14:textId="77777777" w:rsidTr="00C17E5B">
        <w:tc>
          <w:tcPr>
            <w:tcW w:w="2700" w:type="dxa"/>
            <w:shd w:val="clear" w:color="auto" w:fill="auto"/>
          </w:tcPr>
          <w:p w14:paraId="470351B1" w14:textId="77777777" w:rsidR="00130E55" w:rsidRPr="00755FB8" w:rsidRDefault="00130E55" w:rsidP="007A396C">
            <w:pPr>
              <w:pStyle w:val="Table0"/>
              <w:rPr>
                <w:b w:val="0"/>
                <w:vertAlign w:val="superscript"/>
              </w:rPr>
            </w:pPr>
            <w:r w:rsidRPr="00755FB8">
              <w:rPr>
                <w:b w:val="0"/>
              </w:rPr>
              <w:t>Pain</w:t>
            </w:r>
          </w:p>
        </w:tc>
        <w:tc>
          <w:tcPr>
            <w:tcW w:w="1710" w:type="dxa"/>
            <w:gridSpan w:val="2"/>
            <w:shd w:val="clear" w:color="auto" w:fill="auto"/>
            <w:vAlign w:val="center"/>
          </w:tcPr>
          <w:p w14:paraId="6561D23C" w14:textId="79B1E472" w:rsidR="00130E55" w:rsidRPr="00755FB8" w:rsidRDefault="00130E55" w:rsidP="00BC47FF">
            <w:pPr>
              <w:pStyle w:val="Table0"/>
              <w:rPr>
                <w:b w:val="0"/>
              </w:rPr>
            </w:pPr>
            <w:r w:rsidRPr="00755FB8">
              <w:rPr>
                <w:b w:val="0"/>
              </w:rPr>
              <w:t>11 (14)</w:t>
            </w:r>
          </w:p>
        </w:tc>
        <w:tc>
          <w:tcPr>
            <w:tcW w:w="1440" w:type="dxa"/>
            <w:shd w:val="clear" w:color="auto" w:fill="auto"/>
            <w:vAlign w:val="center"/>
          </w:tcPr>
          <w:p w14:paraId="74CB26F4" w14:textId="77777777" w:rsidR="00130E55" w:rsidRPr="00755FB8" w:rsidRDefault="00130E55" w:rsidP="00BC47FF">
            <w:pPr>
              <w:pStyle w:val="Table0"/>
              <w:rPr>
                <w:b w:val="0"/>
              </w:rPr>
            </w:pPr>
            <w:r w:rsidRPr="00755FB8">
              <w:rPr>
                <w:b w:val="0"/>
              </w:rPr>
              <w:t>1 (1)</w:t>
            </w:r>
          </w:p>
        </w:tc>
        <w:tc>
          <w:tcPr>
            <w:tcW w:w="1530" w:type="dxa"/>
            <w:gridSpan w:val="2"/>
            <w:shd w:val="clear" w:color="auto" w:fill="auto"/>
            <w:vAlign w:val="center"/>
          </w:tcPr>
          <w:p w14:paraId="30A252B5" w14:textId="77777777" w:rsidR="00130E55" w:rsidRPr="00755FB8" w:rsidRDefault="00130E55" w:rsidP="00BC47FF">
            <w:pPr>
              <w:pStyle w:val="Table0"/>
              <w:rPr>
                <w:b w:val="0"/>
              </w:rPr>
            </w:pPr>
            <w:r w:rsidRPr="00755FB8">
              <w:rPr>
                <w:b w:val="0"/>
              </w:rPr>
              <w:t>0</w:t>
            </w:r>
          </w:p>
        </w:tc>
        <w:tc>
          <w:tcPr>
            <w:tcW w:w="1710" w:type="dxa"/>
            <w:shd w:val="clear" w:color="auto" w:fill="auto"/>
          </w:tcPr>
          <w:p w14:paraId="5E4BAB2A" w14:textId="77777777" w:rsidR="00130E55" w:rsidRPr="00755FB8" w:rsidRDefault="00130E55" w:rsidP="00BC47FF">
            <w:pPr>
              <w:pStyle w:val="Table0"/>
              <w:rPr>
                <w:b w:val="0"/>
              </w:rPr>
            </w:pPr>
            <w:r w:rsidRPr="00755FB8">
              <w:rPr>
                <w:b w:val="0"/>
              </w:rPr>
              <w:t>Very common</w:t>
            </w:r>
          </w:p>
        </w:tc>
      </w:tr>
      <w:tr w:rsidR="00130E55" w:rsidRPr="000E7ED6" w14:paraId="0190AB79" w14:textId="77777777" w:rsidTr="00C17E5B">
        <w:tc>
          <w:tcPr>
            <w:tcW w:w="9090" w:type="dxa"/>
            <w:gridSpan w:val="7"/>
            <w:shd w:val="clear" w:color="auto" w:fill="auto"/>
          </w:tcPr>
          <w:p w14:paraId="47757EDC" w14:textId="77777777" w:rsidR="00130E55" w:rsidRPr="00755FB8" w:rsidRDefault="00130E55" w:rsidP="00BC47FF">
            <w:pPr>
              <w:pStyle w:val="Table0"/>
              <w:rPr>
                <w:b w:val="0"/>
              </w:rPr>
            </w:pPr>
            <w:r w:rsidRPr="00755FB8">
              <w:rPr>
                <w:b w:val="0"/>
              </w:rPr>
              <w:t>Investigations</w:t>
            </w:r>
          </w:p>
        </w:tc>
      </w:tr>
      <w:tr w:rsidR="00130E55" w:rsidRPr="000E7ED6" w14:paraId="372439F9" w14:textId="77777777" w:rsidTr="00C17E5B">
        <w:tc>
          <w:tcPr>
            <w:tcW w:w="2700" w:type="dxa"/>
            <w:shd w:val="clear" w:color="auto" w:fill="auto"/>
          </w:tcPr>
          <w:p w14:paraId="260EE380" w14:textId="77777777" w:rsidR="00130E55" w:rsidRPr="00755FB8" w:rsidRDefault="00130E55" w:rsidP="007A396C">
            <w:pPr>
              <w:pStyle w:val="Table0"/>
              <w:rPr>
                <w:b w:val="0"/>
              </w:rPr>
            </w:pPr>
            <w:r w:rsidRPr="00755FB8">
              <w:rPr>
                <w:b w:val="0"/>
              </w:rPr>
              <w:t>Weight decreased</w:t>
            </w:r>
          </w:p>
        </w:tc>
        <w:tc>
          <w:tcPr>
            <w:tcW w:w="1710" w:type="dxa"/>
            <w:gridSpan w:val="2"/>
            <w:shd w:val="clear" w:color="auto" w:fill="auto"/>
            <w:vAlign w:val="center"/>
          </w:tcPr>
          <w:p w14:paraId="243A753A" w14:textId="66FA0921" w:rsidR="00130E55" w:rsidRPr="00755FB8" w:rsidRDefault="00130E55" w:rsidP="00BC47FF">
            <w:pPr>
              <w:pStyle w:val="Table0"/>
              <w:rPr>
                <w:b w:val="0"/>
              </w:rPr>
            </w:pPr>
            <w:r w:rsidRPr="00755FB8">
              <w:rPr>
                <w:b w:val="0"/>
              </w:rPr>
              <w:t>24 (30)</w:t>
            </w:r>
          </w:p>
        </w:tc>
        <w:tc>
          <w:tcPr>
            <w:tcW w:w="1440" w:type="dxa"/>
            <w:shd w:val="clear" w:color="auto" w:fill="auto"/>
            <w:vAlign w:val="center"/>
          </w:tcPr>
          <w:p w14:paraId="71AFFB3C" w14:textId="77777777" w:rsidR="00130E55" w:rsidRPr="00755FB8" w:rsidRDefault="00130E55" w:rsidP="00BC47FF">
            <w:pPr>
              <w:pStyle w:val="Table0"/>
              <w:rPr>
                <w:b w:val="0"/>
              </w:rPr>
            </w:pPr>
            <w:r w:rsidRPr="00755FB8">
              <w:rPr>
                <w:b w:val="0"/>
              </w:rPr>
              <w:t>2 (3)</w:t>
            </w:r>
          </w:p>
        </w:tc>
        <w:tc>
          <w:tcPr>
            <w:tcW w:w="1530" w:type="dxa"/>
            <w:gridSpan w:val="2"/>
            <w:shd w:val="clear" w:color="auto" w:fill="auto"/>
            <w:vAlign w:val="center"/>
          </w:tcPr>
          <w:p w14:paraId="07462818" w14:textId="77777777" w:rsidR="00130E55" w:rsidRPr="00755FB8" w:rsidRDefault="00130E55" w:rsidP="00BC47FF">
            <w:pPr>
              <w:pStyle w:val="Table0"/>
              <w:rPr>
                <w:b w:val="0"/>
              </w:rPr>
            </w:pPr>
            <w:r w:rsidRPr="00755FB8">
              <w:rPr>
                <w:b w:val="0"/>
              </w:rPr>
              <w:t>0</w:t>
            </w:r>
          </w:p>
        </w:tc>
        <w:tc>
          <w:tcPr>
            <w:tcW w:w="1710" w:type="dxa"/>
            <w:shd w:val="clear" w:color="auto" w:fill="auto"/>
          </w:tcPr>
          <w:p w14:paraId="297CE32F" w14:textId="77777777" w:rsidR="00130E55" w:rsidRPr="00755FB8" w:rsidRDefault="00130E55" w:rsidP="00BC47FF">
            <w:pPr>
              <w:pStyle w:val="Table0"/>
              <w:rPr>
                <w:b w:val="0"/>
              </w:rPr>
            </w:pPr>
            <w:r w:rsidRPr="00755FB8">
              <w:rPr>
                <w:b w:val="0"/>
              </w:rPr>
              <w:t>Very common</w:t>
            </w:r>
          </w:p>
        </w:tc>
      </w:tr>
    </w:tbl>
    <w:p w14:paraId="3585EB51" w14:textId="77777777" w:rsidR="00130E55" w:rsidRDefault="00130E55">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p>
    <w:p w14:paraId="6DA164A8" w14:textId="77777777" w:rsidR="00130E55" w:rsidRPr="00130E55" w:rsidRDefault="00130E55" w:rsidP="00130E55">
      <w:pPr>
        <w:pStyle w:val="Nottoc-headings0"/>
        <w:rPr>
          <w:rFonts w:ascii="Times New Roman" w:hAnsi="Times New Roman"/>
          <w:sz w:val="24"/>
        </w:rPr>
      </w:pPr>
      <w:r w:rsidRPr="00130E55">
        <w:rPr>
          <w:rFonts w:ascii="Times New Roman" w:hAnsi="Times New Roman"/>
          <w:sz w:val="24"/>
        </w:rPr>
        <w:t>Clinically relevant laboratory abnormalities</w:t>
      </w:r>
    </w:p>
    <w:p w14:paraId="35A14A09" w14:textId="5D3BBCE9" w:rsidR="00585574" w:rsidRDefault="00130E55" w:rsidP="00130E55">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r w:rsidRPr="00130E55">
        <w:rPr>
          <w:b w:val="0"/>
        </w:rPr>
        <w:t>The most commonly reported Grade 3/4 laboratory abnormalities with an incidence of ≥5% occurring in patients treated with Odomzo 200 mg were lipase increase and blood CK increase (Table</w:t>
      </w:r>
      <w:r w:rsidRPr="000E7ED6">
        <w:t xml:space="preserve"> </w:t>
      </w:r>
      <w:r w:rsidRPr="00130E55">
        <w:rPr>
          <w:b w:val="0"/>
        </w:rPr>
        <w:t>3)</w:t>
      </w:r>
      <w:r>
        <w:t>.</w:t>
      </w:r>
      <w:r w:rsidR="00585574">
        <w:br w:type="page"/>
      </w:r>
    </w:p>
    <w:p w14:paraId="3BA14B8D" w14:textId="439B3DDE" w:rsidR="00FA3C64" w:rsidRDefault="00FA3C64" w:rsidP="00FA3C64">
      <w:pPr>
        <w:pStyle w:val="Heading6"/>
        <w:rPr>
          <w:rFonts w:eastAsia="MS Gothic"/>
          <w:sz w:val="22"/>
          <w:szCs w:val="20"/>
        </w:rPr>
      </w:pPr>
      <w:r w:rsidRPr="00FA3C64">
        <w:rPr>
          <w:rFonts w:ascii="Times New Roman" w:hAnsi="Times New Roman"/>
        </w:rPr>
        <w:lastRenderedPageBreak/>
        <w:t>Table 3:</w:t>
      </w:r>
      <w:r w:rsidRPr="00FA3C64">
        <w:rPr>
          <w:rFonts w:ascii="Times New Roman" w:hAnsi="Times New Roman"/>
        </w:rPr>
        <w:tab/>
        <w:t>Laboratory abnormalities*</w:t>
      </w:r>
      <w:r>
        <w:t xml:space="preserve"> </w:t>
      </w:r>
      <w:bookmarkEnd w:id="98"/>
    </w:p>
    <w:tbl>
      <w:tblPr>
        <w:tblW w:w="9210" w:type="dxa"/>
        <w:tblInd w:w="108" w:type="dxa"/>
        <w:tblBorders>
          <w:top w:val="single" w:sz="4" w:space="0" w:color="auto"/>
          <w:bottom w:val="single" w:sz="4" w:space="0" w:color="auto"/>
        </w:tblBorders>
        <w:tblLayout w:type="fixed"/>
        <w:tblLook w:val="04A0" w:firstRow="1" w:lastRow="0" w:firstColumn="1" w:lastColumn="0" w:noHBand="0" w:noVBand="1"/>
      </w:tblPr>
      <w:tblGrid>
        <w:gridCol w:w="2405"/>
        <w:gridCol w:w="1277"/>
        <w:gridCol w:w="16"/>
        <w:gridCol w:w="1264"/>
        <w:gridCol w:w="46"/>
        <w:gridCol w:w="1370"/>
        <w:gridCol w:w="1274"/>
        <w:gridCol w:w="10"/>
        <w:gridCol w:w="1548"/>
      </w:tblGrid>
      <w:tr w:rsidR="00FA3C64" w:rsidRPr="00CB5977" w14:paraId="182655CA" w14:textId="77777777" w:rsidTr="00FA3C64">
        <w:trPr>
          <w:tblHeader/>
        </w:trPr>
        <w:tc>
          <w:tcPr>
            <w:tcW w:w="2408" w:type="dxa"/>
            <w:vMerge w:val="restart"/>
            <w:tcBorders>
              <w:top w:val="single" w:sz="4" w:space="0" w:color="auto"/>
              <w:left w:val="nil"/>
              <w:bottom w:val="single" w:sz="4" w:space="0" w:color="auto"/>
              <w:right w:val="nil"/>
            </w:tcBorders>
            <w:vAlign w:val="center"/>
            <w:hideMark/>
          </w:tcPr>
          <w:p w14:paraId="35DC3AE3" w14:textId="77777777" w:rsidR="00FA3C64" w:rsidRPr="001F287A" w:rsidRDefault="00FA3C64" w:rsidP="00BC47FF">
            <w:pPr>
              <w:pStyle w:val="Table0"/>
            </w:pPr>
            <w:r w:rsidRPr="001F287A">
              <w:t>Laboratory test</w:t>
            </w:r>
          </w:p>
        </w:tc>
        <w:tc>
          <w:tcPr>
            <w:tcW w:w="5256" w:type="dxa"/>
            <w:gridSpan w:val="7"/>
            <w:tcBorders>
              <w:top w:val="single" w:sz="4" w:space="0" w:color="auto"/>
              <w:left w:val="nil"/>
              <w:bottom w:val="nil"/>
              <w:right w:val="nil"/>
            </w:tcBorders>
            <w:vAlign w:val="center"/>
            <w:hideMark/>
          </w:tcPr>
          <w:p w14:paraId="5CCBE80F" w14:textId="77777777" w:rsidR="00FA3C64" w:rsidRPr="00CB5977" w:rsidRDefault="00FA3C64" w:rsidP="00BC47FF">
            <w:pPr>
              <w:pStyle w:val="Table0"/>
            </w:pPr>
            <w:r w:rsidRPr="001F287A">
              <w:t>Odomzo 200 mg</w:t>
            </w:r>
          </w:p>
        </w:tc>
        <w:tc>
          <w:tcPr>
            <w:tcW w:w="1550" w:type="dxa"/>
            <w:vMerge w:val="restart"/>
            <w:tcBorders>
              <w:top w:val="single" w:sz="4" w:space="0" w:color="auto"/>
              <w:left w:val="nil"/>
              <w:bottom w:val="single" w:sz="4" w:space="0" w:color="auto"/>
              <w:right w:val="nil"/>
            </w:tcBorders>
            <w:hideMark/>
          </w:tcPr>
          <w:p w14:paraId="1592803D" w14:textId="666A014C" w:rsidR="00FA3C64" w:rsidRPr="007A396C" w:rsidRDefault="00FA3C64" w:rsidP="00BC47FF">
            <w:pPr>
              <w:pStyle w:val="Table0"/>
              <w:rPr>
                <w:rFonts w:eastAsia="MS Mincho"/>
                <w:sz w:val="22"/>
              </w:rPr>
            </w:pPr>
            <w:r w:rsidRPr="00CB5977">
              <w:t>Frequency</w:t>
            </w:r>
          </w:p>
          <w:p w14:paraId="304E5025" w14:textId="77777777" w:rsidR="00FA3C64" w:rsidRPr="001F287A" w:rsidRDefault="00FA3C64" w:rsidP="00BC47FF">
            <w:pPr>
              <w:pStyle w:val="Table0"/>
            </w:pPr>
            <w:r w:rsidRPr="001F287A">
              <w:t>200 mg</w:t>
            </w:r>
          </w:p>
          <w:p w14:paraId="476566D2" w14:textId="77777777" w:rsidR="00FA3C64" w:rsidRPr="00CB5977" w:rsidRDefault="00FA3C64" w:rsidP="00BC47FF">
            <w:pPr>
              <w:pStyle w:val="Table0"/>
            </w:pPr>
            <w:r w:rsidRPr="001F287A">
              <w:t>all grades</w:t>
            </w:r>
          </w:p>
        </w:tc>
      </w:tr>
      <w:tr w:rsidR="00FA3C64" w:rsidRPr="00CB5977" w14:paraId="5DA8C556" w14:textId="77777777" w:rsidTr="00FA3C64">
        <w:trPr>
          <w:tblHeader/>
        </w:trPr>
        <w:tc>
          <w:tcPr>
            <w:tcW w:w="9214" w:type="dxa"/>
            <w:vMerge/>
            <w:tcBorders>
              <w:top w:val="single" w:sz="4" w:space="0" w:color="auto"/>
              <w:left w:val="nil"/>
              <w:bottom w:val="single" w:sz="4" w:space="0" w:color="auto"/>
              <w:right w:val="nil"/>
            </w:tcBorders>
            <w:vAlign w:val="center"/>
            <w:hideMark/>
          </w:tcPr>
          <w:p w14:paraId="11B5F583" w14:textId="77777777" w:rsidR="00FA3C64" w:rsidRPr="007A396C" w:rsidRDefault="00FA3C64">
            <w:pPr>
              <w:spacing w:before="0"/>
              <w:rPr>
                <w:rFonts w:ascii="Arial" w:eastAsia="MS Mincho" w:hAnsi="Arial" w:cs="Arial"/>
                <w:sz w:val="18"/>
                <w:szCs w:val="18"/>
                <w:lang w:eastAsia="zh-CN"/>
              </w:rPr>
            </w:pPr>
          </w:p>
        </w:tc>
        <w:tc>
          <w:tcPr>
            <w:tcW w:w="1273" w:type="dxa"/>
            <w:tcBorders>
              <w:top w:val="nil"/>
              <w:left w:val="nil"/>
              <w:bottom w:val="single" w:sz="4" w:space="0" w:color="auto"/>
              <w:right w:val="nil"/>
            </w:tcBorders>
            <w:vAlign w:val="center"/>
            <w:hideMark/>
          </w:tcPr>
          <w:p w14:paraId="0C984EE0" w14:textId="213D3312" w:rsidR="00FA3C64" w:rsidRPr="007A396C" w:rsidRDefault="00A27F22" w:rsidP="00BC47FF">
            <w:pPr>
              <w:pStyle w:val="Table0"/>
              <w:rPr>
                <w:rFonts w:eastAsia="MS Mincho"/>
                <w:sz w:val="22"/>
              </w:rPr>
            </w:pPr>
            <w:r w:rsidRPr="001F287A">
              <w:t>G</w:t>
            </w:r>
            <w:r w:rsidR="00FA3C64" w:rsidRPr="001F287A">
              <w:t>rade 1</w:t>
            </w:r>
          </w:p>
          <w:p w14:paraId="4A16A843" w14:textId="77777777" w:rsidR="00FA3C64" w:rsidRPr="007A396C" w:rsidRDefault="00FA3C64" w:rsidP="00BC47FF">
            <w:pPr>
              <w:pStyle w:val="Table0"/>
              <w:rPr>
                <w:sz w:val="22"/>
                <w:szCs w:val="22"/>
              </w:rPr>
            </w:pPr>
            <w:r w:rsidRPr="001F287A">
              <w:t>n (%)</w:t>
            </w:r>
          </w:p>
        </w:tc>
        <w:tc>
          <w:tcPr>
            <w:tcW w:w="1327" w:type="dxa"/>
            <w:gridSpan w:val="3"/>
            <w:tcBorders>
              <w:top w:val="nil"/>
              <w:left w:val="nil"/>
              <w:bottom w:val="single" w:sz="4" w:space="0" w:color="auto"/>
              <w:right w:val="nil"/>
            </w:tcBorders>
            <w:vAlign w:val="center"/>
            <w:hideMark/>
          </w:tcPr>
          <w:p w14:paraId="6241F7B7" w14:textId="43DD0B96" w:rsidR="00FA3C64" w:rsidRPr="007A396C" w:rsidRDefault="00A27F22" w:rsidP="00BC47FF">
            <w:pPr>
              <w:pStyle w:val="Table0"/>
              <w:rPr>
                <w:rFonts w:eastAsia="MS Mincho"/>
                <w:sz w:val="22"/>
              </w:rPr>
            </w:pPr>
            <w:r w:rsidRPr="001F287A">
              <w:t>G</w:t>
            </w:r>
            <w:r w:rsidR="00FA3C64" w:rsidRPr="001F287A">
              <w:t>rade 2</w:t>
            </w:r>
          </w:p>
          <w:p w14:paraId="17C91E78" w14:textId="77777777" w:rsidR="00FA3C64" w:rsidRPr="007A396C" w:rsidRDefault="00FA3C64" w:rsidP="00BC47FF">
            <w:pPr>
              <w:pStyle w:val="Table0"/>
              <w:rPr>
                <w:sz w:val="22"/>
                <w:szCs w:val="22"/>
              </w:rPr>
            </w:pPr>
            <w:r w:rsidRPr="001F287A">
              <w:t>n (%)</w:t>
            </w:r>
          </w:p>
        </w:tc>
        <w:tc>
          <w:tcPr>
            <w:tcW w:w="1371" w:type="dxa"/>
            <w:tcBorders>
              <w:top w:val="nil"/>
              <w:left w:val="nil"/>
              <w:bottom w:val="single" w:sz="4" w:space="0" w:color="auto"/>
              <w:right w:val="nil"/>
            </w:tcBorders>
            <w:vAlign w:val="center"/>
            <w:hideMark/>
          </w:tcPr>
          <w:p w14:paraId="19A2A628" w14:textId="12124F5D" w:rsidR="00FA3C64" w:rsidRPr="007A396C" w:rsidRDefault="00A27F22" w:rsidP="00BC47FF">
            <w:pPr>
              <w:pStyle w:val="Table0"/>
              <w:rPr>
                <w:rFonts w:eastAsia="MS Mincho"/>
                <w:sz w:val="22"/>
              </w:rPr>
            </w:pPr>
            <w:r w:rsidRPr="001F287A">
              <w:t>G</w:t>
            </w:r>
            <w:r w:rsidR="00FA3C64" w:rsidRPr="001F287A">
              <w:t>rade 3</w:t>
            </w:r>
          </w:p>
          <w:p w14:paraId="0FCD07BA" w14:textId="77777777" w:rsidR="00FA3C64" w:rsidRPr="001F287A" w:rsidRDefault="00FA3C64" w:rsidP="00BC47FF">
            <w:pPr>
              <w:pStyle w:val="Table0"/>
            </w:pPr>
            <w:r w:rsidRPr="001F287A">
              <w:t>n (%)</w:t>
            </w:r>
          </w:p>
        </w:tc>
        <w:tc>
          <w:tcPr>
            <w:tcW w:w="1285" w:type="dxa"/>
            <w:gridSpan w:val="2"/>
            <w:tcBorders>
              <w:top w:val="nil"/>
              <w:left w:val="nil"/>
              <w:bottom w:val="single" w:sz="4" w:space="0" w:color="auto"/>
              <w:right w:val="nil"/>
            </w:tcBorders>
            <w:vAlign w:val="center"/>
            <w:hideMark/>
          </w:tcPr>
          <w:p w14:paraId="47AE3114" w14:textId="637B5C67" w:rsidR="00FA3C64" w:rsidRPr="007A396C" w:rsidRDefault="00CB5977" w:rsidP="00BC47FF">
            <w:pPr>
              <w:pStyle w:val="Table0"/>
              <w:rPr>
                <w:rFonts w:eastAsia="MS Mincho"/>
                <w:sz w:val="22"/>
              </w:rPr>
            </w:pPr>
            <w:r w:rsidRPr="00CB5977">
              <w:t>G</w:t>
            </w:r>
            <w:r w:rsidR="00FA3C64" w:rsidRPr="00CB5977">
              <w:t>rade 4</w:t>
            </w:r>
          </w:p>
          <w:p w14:paraId="009DA330" w14:textId="77777777" w:rsidR="00FA3C64" w:rsidRPr="001F287A" w:rsidRDefault="00FA3C64" w:rsidP="007624D5">
            <w:pPr>
              <w:pStyle w:val="Table0"/>
            </w:pPr>
            <w:r w:rsidRPr="001F287A">
              <w:t>n (%)</w:t>
            </w:r>
          </w:p>
        </w:tc>
        <w:tc>
          <w:tcPr>
            <w:tcW w:w="1550" w:type="dxa"/>
            <w:vMerge/>
            <w:tcBorders>
              <w:top w:val="single" w:sz="4" w:space="0" w:color="auto"/>
              <w:left w:val="nil"/>
              <w:bottom w:val="single" w:sz="4" w:space="0" w:color="auto"/>
              <w:right w:val="nil"/>
            </w:tcBorders>
            <w:vAlign w:val="center"/>
            <w:hideMark/>
          </w:tcPr>
          <w:p w14:paraId="3A8A1086" w14:textId="77777777" w:rsidR="00FA3C64" w:rsidRPr="007A396C" w:rsidRDefault="00FA3C64" w:rsidP="007A396C">
            <w:pPr>
              <w:spacing w:before="0"/>
              <w:jc w:val="center"/>
              <w:rPr>
                <w:rFonts w:ascii="Arial" w:eastAsia="MS Mincho" w:hAnsi="Arial" w:cs="Arial"/>
                <w:sz w:val="18"/>
                <w:szCs w:val="18"/>
                <w:lang w:eastAsia="zh-CN"/>
              </w:rPr>
            </w:pPr>
          </w:p>
        </w:tc>
      </w:tr>
      <w:tr w:rsidR="00FA3C64" w:rsidRPr="00CB5977" w14:paraId="66F4C490" w14:textId="77777777" w:rsidTr="00FA3C64">
        <w:trPr>
          <w:trHeight w:val="353"/>
        </w:trPr>
        <w:tc>
          <w:tcPr>
            <w:tcW w:w="9214" w:type="dxa"/>
            <w:gridSpan w:val="9"/>
            <w:tcBorders>
              <w:top w:val="single" w:sz="4" w:space="0" w:color="auto"/>
              <w:left w:val="nil"/>
              <w:bottom w:val="nil"/>
              <w:right w:val="nil"/>
            </w:tcBorders>
            <w:vAlign w:val="center"/>
            <w:hideMark/>
          </w:tcPr>
          <w:p w14:paraId="2EA765AF" w14:textId="77777777" w:rsidR="00FA3C64" w:rsidRPr="001F287A" w:rsidRDefault="00FA3C64" w:rsidP="00BC47FF">
            <w:pPr>
              <w:pStyle w:val="Table0"/>
            </w:pPr>
            <w:r w:rsidRPr="001F287A">
              <w:t>Hematological parameters</w:t>
            </w:r>
          </w:p>
        </w:tc>
      </w:tr>
      <w:tr w:rsidR="00FA3C64" w:rsidRPr="00CB5977" w14:paraId="0806C3D7" w14:textId="77777777" w:rsidTr="00FA3C64">
        <w:tc>
          <w:tcPr>
            <w:tcW w:w="2408" w:type="dxa"/>
            <w:tcBorders>
              <w:top w:val="nil"/>
              <w:left w:val="nil"/>
              <w:bottom w:val="nil"/>
              <w:right w:val="nil"/>
            </w:tcBorders>
            <w:hideMark/>
          </w:tcPr>
          <w:p w14:paraId="5725A7EB" w14:textId="77777777" w:rsidR="00FA3C64" w:rsidRPr="00BC47FF" w:rsidRDefault="00FA3C64" w:rsidP="00BC47FF">
            <w:pPr>
              <w:pStyle w:val="Table0"/>
              <w:rPr>
                <w:b w:val="0"/>
              </w:rPr>
            </w:pPr>
            <w:r w:rsidRPr="00BC47FF">
              <w:rPr>
                <w:b w:val="0"/>
              </w:rPr>
              <w:t>Hemoglobin decreased</w:t>
            </w:r>
          </w:p>
        </w:tc>
        <w:tc>
          <w:tcPr>
            <w:tcW w:w="1294" w:type="dxa"/>
            <w:gridSpan w:val="2"/>
            <w:tcBorders>
              <w:top w:val="nil"/>
              <w:left w:val="nil"/>
              <w:bottom w:val="nil"/>
              <w:right w:val="nil"/>
            </w:tcBorders>
            <w:vAlign w:val="center"/>
            <w:hideMark/>
          </w:tcPr>
          <w:p w14:paraId="5AA7D9E1" w14:textId="7DE5A983" w:rsidR="00FA3C64" w:rsidRPr="00BC47FF" w:rsidRDefault="00B712D6" w:rsidP="00BC47FF">
            <w:pPr>
              <w:pStyle w:val="Table0"/>
              <w:rPr>
                <w:b w:val="0"/>
              </w:rPr>
            </w:pPr>
            <w:r w:rsidRPr="00BC47FF">
              <w:rPr>
                <w:b w:val="0"/>
              </w:rPr>
              <w:t>19</w:t>
            </w:r>
            <w:r w:rsidR="00FA3C64" w:rsidRPr="00BC47FF">
              <w:rPr>
                <w:b w:val="0"/>
              </w:rPr>
              <w:t xml:space="preserve"> (2</w:t>
            </w:r>
            <w:r w:rsidRPr="00BC47FF">
              <w:rPr>
                <w:b w:val="0"/>
              </w:rPr>
              <w:t>4</w:t>
            </w:r>
            <w:r w:rsidR="00FA3C64" w:rsidRPr="00BC47FF">
              <w:rPr>
                <w:b w:val="0"/>
              </w:rPr>
              <w:t>)</w:t>
            </w:r>
          </w:p>
        </w:tc>
        <w:tc>
          <w:tcPr>
            <w:tcW w:w="1260" w:type="dxa"/>
            <w:tcBorders>
              <w:top w:val="nil"/>
              <w:left w:val="nil"/>
              <w:bottom w:val="nil"/>
              <w:right w:val="nil"/>
            </w:tcBorders>
            <w:vAlign w:val="center"/>
            <w:hideMark/>
          </w:tcPr>
          <w:p w14:paraId="745E8213" w14:textId="491FACA8" w:rsidR="00FA3C64" w:rsidRPr="00BC47FF" w:rsidRDefault="00B712D6" w:rsidP="00BC47FF">
            <w:pPr>
              <w:pStyle w:val="Table0"/>
              <w:rPr>
                <w:b w:val="0"/>
              </w:rPr>
            </w:pPr>
            <w:r w:rsidRPr="00BC47FF">
              <w:rPr>
                <w:b w:val="0"/>
              </w:rPr>
              <w:t>6</w:t>
            </w:r>
            <w:r w:rsidR="00FA3C64" w:rsidRPr="00BC47FF">
              <w:rPr>
                <w:b w:val="0"/>
              </w:rPr>
              <w:t xml:space="preserve"> (</w:t>
            </w:r>
            <w:r w:rsidRPr="00BC47FF">
              <w:rPr>
                <w:b w:val="0"/>
              </w:rPr>
              <w:t>8</w:t>
            </w:r>
            <w:r w:rsidR="00FA3C64" w:rsidRPr="00BC47FF">
              <w:rPr>
                <w:b w:val="0"/>
              </w:rPr>
              <w:t>)</w:t>
            </w:r>
          </w:p>
        </w:tc>
        <w:tc>
          <w:tcPr>
            <w:tcW w:w="1417" w:type="dxa"/>
            <w:gridSpan w:val="2"/>
            <w:tcBorders>
              <w:top w:val="nil"/>
              <w:left w:val="nil"/>
              <w:bottom w:val="nil"/>
              <w:right w:val="nil"/>
            </w:tcBorders>
            <w:vAlign w:val="center"/>
            <w:hideMark/>
          </w:tcPr>
          <w:p w14:paraId="68B0FDF9" w14:textId="77777777" w:rsidR="00FA3C64" w:rsidRPr="00BC47FF" w:rsidRDefault="00FA3C64" w:rsidP="00BC47FF">
            <w:pPr>
              <w:pStyle w:val="Table0"/>
              <w:rPr>
                <w:b w:val="0"/>
              </w:rPr>
            </w:pPr>
            <w:r w:rsidRPr="00BC47FF">
              <w:rPr>
                <w:b w:val="0"/>
              </w:rPr>
              <w:t>0</w:t>
            </w:r>
          </w:p>
        </w:tc>
        <w:tc>
          <w:tcPr>
            <w:tcW w:w="1285" w:type="dxa"/>
            <w:gridSpan w:val="2"/>
            <w:tcBorders>
              <w:top w:val="nil"/>
              <w:left w:val="nil"/>
              <w:bottom w:val="nil"/>
              <w:right w:val="nil"/>
            </w:tcBorders>
            <w:vAlign w:val="center"/>
            <w:hideMark/>
          </w:tcPr>
          <w:p w14:paraId="690C2906" w14:textId="77777777" w:rsidR="00FA3C64" w:rsidRPr="00BC47FF" w:rsidRDefault="00FA3C64" w:rsidP="00BC47FF">
            <w:pPr>
              <w:pStyle w:val="Table0"/>
              <w:rPr>
                <w:b w:val="0"/>
              </w:rPr>
            </w:pPr>
            <w:r w:rsidRPr="00BC47FF">
              <w:rPr>
                <w:b w:val="0"/>
              </w:rPr>
              <w:t>0</w:t>
            </w:r>
          </w:p>
        </w:tc>
        <w:tc>
          <w:tcPr>
            <w:tcW w:w="1550" w:type="dxa"/>
            <w:tcBorders>
              <w:top w:val="nil"/>
              <w:left w:val="nil"/>
              <w:bottom w:val="nil"/>
              <w:right w:val="nil"/>
            </w:tcBorders>
            <w:vAlign w:val="center"/>
            <w:hideMark/>
          </w:tcPr>
          <w:p w14:paraId="128EB6C8" w14:textId="454D13CE"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CB5977" w14:paraId="7CBA82A7" w14:textId="77777777" w:rsidTr="00FA3C64">
        <w:tc>
          <w:tcPr>
            <w:tcW w:w="2408" w:type="dxa"/>
            <w:tcBorders>
              <w:top w:val="nil"/>
              <w:left w:val="nil"/>
              <w:bottom w:val="nil"/>
              <w:right w:val="nil"/>
            </w:tcBorders>
            <w:hideMark/>
          </w:tcPr>
          <w:p w14:paraId="0693D6E4" w14:textId="77777777" w:rsidR="00FA3C64" w:rsidRPr="00BC47FF" w:rsidRDefault="00FA3C64" w:rsidP="00BC47FF">
            <w:pPr>
              <w:pStyle w:val="Table0"/>
              <w:rPr>
                <w:b w:val="0"/>
              </w:rPr>
            </w:pPr>
            <w:r w:rsidRPr="00BC47FF">
              <w:rPr>
                <w:b w:val="0"/>
              </w:rPr>
              <w:t xml:space="preserve">Lymphocyte count decreased </w:t>
            </w:r>
          </w:p>
        </w:tc>
        <w:tc>
          <w:tcPr>
            <w:tcW w:w="1294" w:type="dxa"/>
            <w:gridSpan w:val="2"/>
            <w:tcBorders>
              <w:top w:val="nil"/>
              <w:left w:val="nil"/>
              <w:bottom w:val="nil"/>
              <w:right w:val="nil"/>
            </w:tcBorders>
            <w:vAlign w:val="center"/>
            <w:hideMark/>
          </w:tcPr>
          <w:p w14:paraId="70A79CC0" w14:textId="3A6C5153" w:rsidR="00FA3C64" w:rsidRPr="00BC47FF" w:rsidRDefault="00FA3C64" w:rsidP="00BC47FF">
            <w:pPr>
              <w:pStyle w:val="Table0"/>
              <w:rPr>
                <w:b w:val="0"/>
              </w:rPr>
            </w:pPr>
            <w:r w:rsidRPr="00BC47FF">
              <w:rPr>
                <w:b w:val="0"/>
              </w:rPr>
              <w:t>1</w:t>
            </w:r>
            <w:r w:rsidR="00B712D6" w:rsidRPr="00BC47FF">
              <w:rPr>
                <w:b w:val="0"/>
              </w:rPr>
              <w:t>4</w:t>
            </w:r>
            <w:r w:rsidRPr="00BC47FF">
              <w:rPr>
                <w:b w:val="0"/>
              </w:rPr>
              <w:t xml:space="preserve"> (1</w:t>
            </w:r>
            <w:r w:rsidR="00B712D6" w:rsidRPr="00BC47FF">
              <w:rPr>
                <w:b w:val="0"/>
              </w:rPr>
              <w:t>8</w:t>
            </w:r>
            <w:r w:rsidRPr="00BC47FF">
              <w:rPr>
                <w:b w:val="0"/>
              </w:rPr>
              <w:t>)</w:t>
            </w:r>
          </w:p>
        </w:tc>
        <w:tc>
          <w:tcPr>
            <w:tcW w:w="1260" w:type="dxa"/>
            <w:tcBorders>
              <w:top w:val="nil"/>
              <w:left w:val="nil"/>
              <w:bottom w:val="nil"/>
              <w:right w:val="nil"/>
            </w:tcBorders>
            <w:vAlign w:val="center"/>
            <w:hideMark/>
          </w:tcPr>
          <w:p w14:paraId="69356D3B" w14:textId="7ABD782F" w:rsidR="00FA3C64" w:rsidRPr="00BC47FF" w:rsidRDefault="00B712D6" w:rsidP="00BC47FF">
            <w:pPr>
              <w:pStyle w:val="Table0"/>
              <w:rPr>
                <w:b w:val="0"/>
              </w:rPr>
            </w:pPr>
            <w:r w:rsidRPr="00BC47FF">
              <w:rPr>
                <w:b w:val="0"/>
              </w:rPr>
              <w:t>6</w:t>
            </w:r>
            <w:r w:rsidR="00FA3C64" w:rsidRPr="00BC47FF">
              <w:rPr>
                <w:b w:val="0"/>
              </w:rPr>
              <w:t xml:space="preserve"> (</w:t>
            </w:r>
            <w:r w:rsidRPr="00BC47FF">
              <w:rPr>
                <w:b w:val="0"/>
              </w:rPr>
              <w:t>8</w:t>
            </w:r>
            <w:r w:rsidR="00FA3C64" w:rsidRPr="00BC47FF">
              <w:rPr>
                <w:b w:val="0"/>
              </w:rPr>
              <w:t>)</w:t>
            </w:r>
          </w:p>
        </w:tc>
        <w:tc>
          <w:tcPr>
            <w:tcW w:w="1417" w:type="dxa"/>
            <w:gridSpan w:val="2"/>
            <w:tcBorders>
              <w:top w:val="nil"/>
              <w:left w:val="nil"/>
              <w:bottom w:val="nil"/>
              <w:right w:val="nil"/>
            </w:tcBorders>
            <w:vAlign w:val="center"/>
            <w:hideMark/>
          </w:tcPr>
          <w:p w14:paraId="41AC5776" w14:textId="30BC0ACE" w:rsidR="00FA3C64" w:rsidRPr="00BC47FF" w:rsidRDefault="00B712D6" w:rsidP="00BC47FF">
            <w:pPr>
              <w:pStyle w:val="Table0"/>
              <w:rPr>
                <w:b w:val="0"/>
              </w:rPr>
            </w:pPr>
            <w:r w:rsidRPr="00BC47FF">
              <w:rPr>
                <w:b w:val="0"/>
              </w:rPr>
              <w:t>2</w:t>
            </w:r>
            <w:r w:rsidR="00FA3C64" w:rsidRPr="00BC47FF">
              <w:rPr>
                <w:b w:val="0"/>
              </w:rPr>
              <w:t xml:space="preserve"> (</w:t>
            </w:r>
            <w:r w:rsidRPr="00BC47FF">
              <w:rPr>
                <w:b w:val="0"/>
              </w:rPr>
              <w:t>3</w:t>
            </w:r>
            <w:r w:rsidR="00FA3C64" w:rsidRPr="00BC47FF">
              <w:rPr>
                <w:b w:val="0"/>
              </w:rPr>
              <w:t>)</w:t>
            </w:r>
          </w:p>
        </w:tc>
        <w:tc>
          <w:tcPr>
            <w:tcW w:w="1285" w:type="dxa"/>
            <w:gridSpan w:val="2"/>
            <w:tcBorders>
              <w:top w:val="nil"/>
              <w:left w:val="nil"/>
              <w:bottom w:val="nil"/>
              <w:right w:val="nil"/>
            </w:tcBorders>
            <w:vAlign w:val="center"/>
            <w:hideMark/>
          </w:tcPr>
          <w:p w14:paraId="0BA41A58" w14:textId="77777777" w:rsidR="00FA3C64" w:rsidRPr="00BC47FF" w:rsidRDefault="00FA3C64" w:rsidP="00BC47FF">
            <w:pPr>
              <w:pStyle w:val="Table0"/>
              <w:rPr>
                <w:b w:val="0"/>
              </w:rPr>
            </w:pPr>
            <w:r w:rsidRPr="00BC47FF">
              <w:rPr>
                <w:b w:val="0"/>
              </w:rPr>
              <w:t>0</w:t>
            </w:r>
          </w:p>
        </w:tc>
        <w:tc>
          <w:tcPr>
            <w:tcW w:w="1550" w:type="dxa"/>
            <w:tcBorders>
              <w:top w:val="nil"/>
              <w:left w:val="nil"/>
              <w:bottom w:val="nil"/>
              <w:right w:val="nil"/>
            </w:tcBorders>
            <w:vAlign w:val="center"/>
            <w:hideMark/>
          </w:tcPr>
          <w:p w14:paraId="31935898" w14:textId="38FDA5D2"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CB5977" w14:paraId="384A1F6B" w14:textId="77777777" w:rsidTr="00FA3C64">
        <w:tc>
          <w:tcPr>
            <w:tcW w:w="9214" w:type="dxa"/>
            <w:gridSpan w:val="9"/>
            <w:tcBorders>
              <w:top w:val="nil"/>
              <w:left w:val="nil"/>
              <w:bottom w:val="nil"/>
              <w:right w:val="nil"/>
            </w:tcBorders>
            <w:vAlign w:val="center"/>
            <w:hideMark/>
          </w:tcPr>
          <w:p w14:paraId="1A332CCB" w14:textId="77777777" w:rsidR="00FA3C64" w:rsidRPr="00BC47FF" w:rsidRDefault="00FA3C64" w:rsidP="00BC47FF">
            <w:pPr>
              <w:pStyle w:val="Table0"/>
            </w:pPr>
            <w:r w:rsidRPr="00BC47FF">
              <w:t>Biochemistry parameters</w:t>
            </w:r>
          </w:p>
        </w:tc>
      </w:tr>
      <w:tr w:rsidR="00FA3C64" w:rsidRPr="00041076" w14:paraId="7F58D3C6" w14:textId="77777777" w:rsidTr="00FA3C64">
        <w:tc>
          <w:tcPr>
            <w:tcW w:w="2408" w:type="dxa"/>
            <w:tcBorders>
              <w:top w:val="nil"/>
              <w:left w:val="nil"/>
              <w:bottom w:val="nil"/>
              <w:right w:val="nil"/>
            </w:tcBorders>
            <w:vAlign w:val="center"/>
            <w:hideMark/>
          </w:tcPr>
          <w:p w14:paraId="0EA42424" w14:textId="77777777" w:rsidR="00FA3C64" w:rsidRPr="00BC47FF" w:rsidRDefault="00FA3C64" w:rsidP="00BC47FF">
            <w:pPr>
              <w:pStyle w:val="Table0"/>
              <w:rPr>
                <w:b w:val="0"/>
              </w:rPr>
            </w:pPr>
            <w:r w:rsidRPr="00BC47FF">
              <w:rPr>
                <w:b w:val="0"/>
              </w:rPr>
              <w:t>Serum creatinine increased</w:t>
            </w:r>
          </w:p>
        </w:tc>
        <w:tc>
          <w:tcPr>
            <w:tcW w:w="1278" w:type="dxa"/>
            <w:tcBorders>
              <w:top w:val="nil"/>
              <w:left w:val="nil"/>
              <w:bottom w:val="nil"/>
              <w:right w:val="nil"/>
            </w:tcBorders>
            <w:vAlign w:val="center"/>
            <w:hideMark/>
          </w:tcPr>
          <w:p w14:paraId="4A0B2B81" w14:textId="77777777" w:rsidR="00FA3C64" w:rsidRPr="00BC47FF" w:rsidRDefault="00FA3C64" w:rsidP="00BC47FF">
            <w:pPr>
              <w:pStyle w:val="Table0"/>
              <w:rPr>
                <w:b w:val="0"/>
              </w:rPr>
            </w:pPr>
            <w:r w:rsidRPr="00BC47FF">
              <w:rPr>
                <w:b w:val="0"/>
              </w:rPr>
              <w:t>71 (90)</w:t>
            </w:r>
          </w:p>
        </w:tc>
        <w:tc>
          <w:tcPr>
            <w:tcW w:w="1276" w:type="dxa"/>
            <w:gridSpan w:val="2"/>
            <w:tcBorders>
              <w:top w:val="nil"/>
              <w:left w:val="nil"/>
              <w:bottom w:val="nil"/>
              <w:right w:val="nil"/>
            </w:tcBorders>
            <w:vAlign w:val="center"/>
            <w:hideMark/>
          </w:tcPr>
          <w:p w14:paraId="2990D712" w14:textId="77777777" w:rsidR="00FA3C64" w:rsidRPr="00BC47FF" w:rsidRDefault="00FA3C64" w:rsidP="00BC47FF">
            <w:pPr>
              <w:pStyle w:val="Table0"/>
              <w:rPr>
                <w:b w:val="0"/>
              </w:rPr>
            </w:pPr>
            <w:r w:rsidRPr="00BC47FF">
              <w:rPr>
                <w:b w:val="0"/>
              </w:rPr>
              <w:t>2 (3)</w:t>
            </w:r>
          </w:p>
        </w:tc>
        <w:tc>
          <w:tcPr>
            <w:tcW w:w="1417" w:type="dxa"/>
            <w:gridSpan w:val="2"/>
            <w:tcBorders>
              <w:top w:val="nil"/>
              <w:left w:val="nil"/>
              <w:bottom w:val="nil"/>
              <w:right w:val="nil"/>
            </w:tcBorders>
            <w:vAlign w:val="center"/>
            <w:hideMark/>
          </w:tcPr>
          <w:p w14:paraId="349793E6" w14:textId="77777777" w:rsidR="00FA3C64" w:rsidRPr="00BC47FF" w:rsidRDefault="00FA3C64" w:rsidP="00BC47FF">
            <w:pPr>
              <w:pStyle w:val="Table0"/>
              <w:rPr>
                <w:b w:val="0"/>
              </w:rPr>
            </w:pPr>
            <w:r w:rsidRPr="00BC47FF">
              <w:rPr>
                <w:b w:val="0"/>
              </w:rPr>
              <w:t>0</w:t>
            </w:r>
          </w:p>
        </w:tc>
        <w:tc>
          <w:tcPr>
            <w:tcW w:w="1285" w:type="dxa"/>
            <w:gridSpan w:val="2"/>
            <w:tcBorders>
              <w:top w:val="nil"/>
              <w:left w:val="nil"/>
              <w:bottom w:val="nil"/>
              <w:right w:val="nil"/>
            </w:tcBorders>
            <w:vAlign w:val="center"/>
            <w:hideMark/>
          </w:tcPr>
          <w:p w14:paraId="3611A789" w14:textId="77777777" w:rsidR="00FA3C64" w:rsidRPr="00BC47FF" w:rsidRDefault="00FA3C64" w:rsidP="00BC47FF">
            <w:pPr>
              <w:pStyle w:val="Table0"/>
              <w:rPr>
                <w:b w:val="0"/>
              </w:rPr>
            </w:pPr>
            <w:r w:rsidRPr="00BC47FF">
              <w:rPr>
                <w:b w:val="0"/>
              </w:rPr>
              <w:t>0</w:t>
            </w:r>
          </w:p>
        </w:tc>
        <w:tc>
          <w:tcPr>
            <w:tcW w:w="1550" w:type="dxa"/>
            <w:tcBorders>
              <w:top w:val="nil"/>
              <w:left w:val="nil"/>
              <w:bottom w:val="nil"/>
              <w:right w:val="nil"/>
            </w:tcBorders>
            <w:vAlign w:val="center"/>
            <w:hideMark/>
          </w:tcPr>
          <w:p w14:paraId="5E550976" w14:textId="75CF36E9"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041076" w14:paraId="138FE1EF" w14:textId="77777777" w:rsidTr="00FA3C64">
        <w:tc>
          <w:tcPr>
            <w:tcW w:w="2408" w:type="dxa"/>
            <w:tcBorders>
              <w:top w:val="nil"/>
              <w:left w:val="nil"/>
              <w:bottom w:val="nil"/>
              <w:right w:val="nil"/>
            </w:tcBorders>
            <w:vAlign w:val="center"/>
            <w:hideMark/>
          </w:tcPr>
          <w:p w14:paraId="0DC13FF4" w14:textId="77777777" w:rsidR="00FA3C64" w:rsidRPr="00BC47FF" w:rsidRDefault="00FA3C64" w:rsidP="00BC47FF">
            <w:pPr>
              <w:pStyle w:val="Table0"/>
              <w:rPr>
                <w:b w:val="0"/>
              </w:rPr>
            </w:pPr>
            <w:r w:rsidRPr="00BC47FF">
              <w:rPr>
                <w:b w:val="0"/>
              </w:rPr>
              <w:t xml:space="preserve">Serum </w:t>
            </w:r>
            <w:proofErr w:type="spellStart"/>
            <w:r w:rsidRPr="00BC47FF">
              <w:rPr>
                <w:b w:val="0"/>
              </w:rPr>
              <w:t>creatine</w:t>
            </w:r>
            <w:proofErr w:type="spellEnd"/>
            <w:r w:rsidRPr="00BC47FF">
              <w:rPr>
                <w:b w:val="0"/>
              </w:rPr>
              <w:t xml:space="preserve"> phosphokinase (CK) increased </w:t>
            </w:r>
          </w:p>
        </w:tc>
        <w:tc>
          <w:tcPr>
            <w:tcW w:w="1278" w:type="dxa"/>
            <w:tcBorders>
              <w:top w:val="nil"/>
              <w:left w:val="nil"/>
              <w:bottom w:val="nil"/>
              <w:right w:val="nil"/>
            </w:tcBorders>
            <w:vAlign w:val="center"/>
            <w:hideMark/>
          </w:tcPr>
          <w:p w14:paraId="49BF3235" w14:textId="0061FE6F" w:rsidR="00FA3C64" w:rsidRPr="00BC47FF" w:rsidRDefault="00FA3C64" w:rsidP="00BC47FF">
            <w:pPr>
              <w:pStyle w:val="Table0"/>
              <w:rPr>
                <w:b w:val="0"/>
              </w:rPr>
            </w:pPr>
            <w:r w:rsidRPr="00BC47FF">
              <w:rPr>
                <w:b w:val="0"/>
              </w:rPr>
              <w:t>3</w:t>
            </w:r>
            <w:r w:rsidR="00B712D6" w:rsidRPr="00BC47FF">
              <w:rPr>
                <w:b w:val="0"/>
              </w:rPr>
              <w:t>4</w:t>
            </w:r>
            <w:r w:rsidRPr="00BC47FF">
              <w:rPr>
                <w:b w:val="0"/>
              </w:rPr>
              <w:t xml:space="preserve"> (4</w:t>
            </w:r>
            <w:r w:rsidR="00B712D6" w:rsidRPr="00BC47FF">
              <w:rPr>
                <w:b w:val="0"/>
              </w:rPr>
              <w:t>3</w:t>
            </w:r>
            <w:r w:rsidRPr="00BC47FF">
              <w:rPr>
                <w:b w:val="0"/>
              </w:rPr>
              <w:t>)</w:t>
            </w:r>
          </w:p>
        </w:tc>
        <w:tc>
          <w:tcPr>
            <w:tcW w:w="1276" w:type="dxa"/>
            <w:gridSpan w:val="2"/>
            <w:tcBorders>
              <w:top w:val="nil"/>
              <w:left w:val="nil"/>
              <w:bottom w:val="nil"/>
              <w:right w:val="nil"/>
            </w:tcBorders>
            <w:vAlign w:val="center"/>
            <w:hideMark/>
          </w:tcPr>
          <w:p w14:paraId="46F5E86E" w14:textId="77777777" w:rsidR="00FA3C64" w:rsidRPr="00BC47FF" w:rsidRDefault="00FA3C64" w:rsidP="00BC47FF">
            <w:pPr>
              <w:pStyle w:val="Table0"/>
              <w:rPr>
                <w:b w:val="0"/>
              </w:rPr>
            </w:pPr>
            <w:r w:rsidRPr="00BC47FF">
              <w:rPr>
                <w:b w:val="0"/>
              </w:rPr>
              <w:t>8 (10)</w:t>
            </w:r>
          </w:p>
        </w:tc>
        <w:tc>
          <w:tcPr>
            <w:tcW w:w="1417" w:type="dxa"/>
            <w:gridSpan w:val="2"/>
            <w:tcBorders>
              <w:top w:val="nil"/>
              <w:left w:val="nil"/>
              <w:bottom w:val="nil"/>
              <w:right w:val="nil"/>
            </w:tcBorders>
            <w:vAlign w:val="center"/>
            <w:hideMark/>
          </w:tcPr>
          <w:p w14:paraId="62E2A13F" w14:textId="779CF0FF" w:rsidR="00FA3C64" w:rsidRPr="00BC47FF" w:rsidRDefault="00B712D6" w:rsidP="00BC47FF">
            <w:pPr>
              <w:pStyle w:val="Table0"/>
              <w:rPr>
                <w:b w:val="0"/>
              </w:rPr>
            </w:pPr>
            <w:r w:rsidRPr="00BC47FF">
              <w:rPr>
                <w:b w:val="0"/>
              </w:rPr>
              <w:t>4</w:t>
            </w:r>
            <w:r w:rsidR="00FA3C64" w:rsidRPr="00BC47FF">
              <w:rPr>
                <w:b w:val="0"/>
              </w:rPr>
              <w:t xml:space="preserve"> (</w:t>
            </w:r>
            <w:r w:rsidRPr="00BC47FF">
              <w:rPr>
                <w:b w:val="0"/>
              </w:rPr>
              <w:t>5</w:t>
            </w:r>
            <w:r w:rsidR="00FA3C64" w:rsidRPr="00BC47FF">
              <w:rPr>
                <w:b w:val="0"/>
              </w:rPr>
              <w:t>)</w:t>
            </w:r>
          </w:p>
        </w:tc>
        <w:tc>
          <w:tcPr>
            <w:tcW w:w="1285" w:type="dxa"/>
            <w:gridSpan w:val="2"/>
            <w:tcBorders>
              <w:top w:val="nil"/>
              <w:left w:val="nil"/>
              <w:bottom w:val="nil"/>
              <w:right w:val="nil"/>
            </w:tcBorders>
            <w:vAlign w:val="center"/>
            <w:hideMark/>
          </w:tcPr>
          <w:p w14:paraId="2B50CD32" w14:textId="77777777" w:rsidR="00FA3C64" w:rsidRPr="00BC47FF" w:rsidRDefault="00FA3C64" w:rsidP="00BC47FF">
            <w:pPr>
              <w:pStyle w:val="Table0"/>
              <w:rPr>
                <w:b w:val="0"/>
              </w:rPr>
            </w:pPr>
            <w:r w:rsidRPr="00BC47FF">
              <w:rPr>
                <w:b w:val="0"/>
              </w:rPr>
              <w:t>2 (3)</w:t>
            </w:r>
          </w:p>
        </w:tc>
        <w:tc>
          <w:tcPr>
            <w:tcW w:w="1550" w:type="dxa"/>
            <w:tcBorders>
              <w:top w:val="nil"/>
              <w:left w:val="nil"/>
              <w:bottom w:val="nil"/>
              <w:right w:val="nil"/>
            </w:tcBorders>
            <w:vAlign w:val="center"/>
            <w:hideMark/>
          </w:tcPr>
          <w:p w14:paraId="55DCD2CD" w14:textId="297A8FBE"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041076" w14:paraId="4F519933" w14:textId="77777777" w:rsidTr="00FA3C64">
        <w:tc>
          <w:tcPr>
            <w:tcW w:w="2408" w:type="dxa"/>
            <w:tcBorders>
              <w:top w:val="nil"/>
              <w:left w:val="nil"/>
              <w:bottom w:val="nil"/>
              <w:right w:val="nil"/>
            </w:tcBorders>
            <w:vAlign w:val="center"/>
            <w:hideMark/>
          </w:tcPr>
          <w:p w14:paraId="11DB510A" w14:textId="77777777" w:rsidR="00FA3C64" w:rsidRPr="00BC47FF" w:rsidRDefault="00FA3C64" w:rsidP="00BC47FF">
            <w:pPr>
              <w:pStyle w:val="Table0"/>
              <w:rPr>
                <w:b w:val="0"/>
              </w:rPr>
            </w:pPr>
            <w:r w:rsidRPr="00BC47FF">
              <w:rPr>
                <w:b w:val="0"/>
              </w:rPr>
              <w:t xml:space="preserve">Blood glucose increased </w:t>
            </w:r>
          </w:p>
        </w:tc>
        <w:tc>
          <w:tcPr>
            <w:tcW w:w="1278" w:type="dxa"/>
            <w:tcBorders>
              <w:top w:val="nil"/>
              <w:left w:val="nil"/>
              <w:bottom w:val="nil"/>
              <w:right w:val="nil"/>
            </w:tcBorders>
            <w:vAlign w:val="center"/>
            <w:hideMark/>
          </w:tcPr>
          <w:p w14:paraId="25C09D7D" w14:textId="6BE1128C" w:rsidR="00FA3C64" w:rsidRPr="00BC47FF" w:rsidRDefault="00B712D6" w:rsidP="00BC47FF">
            <w:pPr>
              <w:pStyle w:val="Table0"/>
              <w:rPr>
                <w:b w:val="0"/>
              </w:rPr>
            </w:pPr>
            <w:r w:rsidRPr="00BC47FF">
              <w:rPr>
                <w:b w:val="0"/>
              </w:rPr>
              <w:t>31</w:t>
            </w:r>
            <w:r w:rsidR="00FA3C64" w:rsidRPr="00BC47FF">
              <w:rPr>
                <w:b w:val="0"/>
              </w:rPr>
              <w:t xml:space="preserve"> (3</w:t>
            </w:r>
            <w:r w:rsidRPr="00BC47FF">
              <w:rPr>
                <w:b w:val="0"/>
              </w:rPr>
              <w:t>9</w:t>
            </w:r>
            <w:r w:rsidR="00FA3C64" w:rsidRPr="00BC47FF">
              <w:rPr>
                <w:b w:val="0"/>
              </w:rPr>
              <w:t>)</w:t>
            </w:r>
          </w:p>
        </w:tc>
        <w:tc>
          <w:tcPr>
            <w:tcW w:w="1276" w:type="dxa"/>
            <w:gridSpan w:val="2"/>
            <w:tcBorders>
              <w:top w:val="nil"/>
              <w:left w:val="nil"/>
              <w:bottom w:val="nil"/>
              <w:right w:val="nil"/>
            </w:tcBorders>
            <w:vAlign w:val="center"/>
            <w:hideMark/>
          </w:tcPr>
          <w:p w14:paraId="6966885E" w14:textId="49355BD4" w:rsidR="00FA3C64" w:rsidRPr="00BC47FF" w:rsidRDefault="00B712D6" w:rsidP="00BC47FF">
            <w:pPr>
              <w:pStyle w:val="Table0"/>
              <w:rPr>
                <w:b w:val="0"/>
              </w:rPr>
            </w:pPr>
            <w:r w:rsidRPr="00BC47FF">
              <w:rPr>
                <w:b w:val="0"/>
              </w:rPr>
              <w:t>6</w:t>
            </w:r>
            <w:r w:rsidR="00FA3C64" w:rsidRPr="00BC47FF">
              <w:rPr>
                <w:b w:val="0"/>
              </w:rPr>
              <w:t xml:space="preserve"> (</w:t>
            </w:r>
            <w:r w:rsidRPr="00BC47FF">
              <w:rPr>
                <w:b w:val="0"/>
              </w:rPr>
              <w:t>8</w:t>
            </w:r>
            <w:r w:rsidR="00FA3C64" w:rsidRPr="00BC47FF">
              <w:rPr>
                <w:b w:val="0"/>
              </w:rPr>
              <w:t>)</w:t>
            </w:r>
          </w:p>
        </w:tc>
        <w:tc>
          <w:tcPr>
            <w:tcW w:w="1417" w:type="dxa"/>
            <w:gridSpan w:val="2"/>
            <w:tcBorders>
              <w:top w:val="nil"/>
              <w:left w:val="nil"/>
              <w:bottom w:val="nil"/>
              <w:right w:val="nil"/>
            </w:tcBorders>
            <w:vAlign w:val="center"/>
            <w:hideMark/>
          </w:tcPr>
          <w:p w14:paraId="1D8A74B0" w14:textId="77777777" w:rsidR="00FA3C64" w:rsidRPr="00BC47FF" w:rsidRDefault="00FA3C64" w:rsidP="00BC47FF">
            <w:pPr>
              <w:pStyle w:val="Table0"/>
              <w:rPr>
                <w:b w:val="0"/>
              </w:rPr>
            </w:pPr>
            <w:r w:rsidRPr="00BC47FF">
              <w:rPr>
                <w:b w:val="0"/>
              </w:rPr>
              <w:t>3 (4)</w:t>
            </w:r>
          </w:p>
        </w:tc>
        <w:tc>
          <w:tcPr>
            <w:tcW w:w="1285" w:type="dxa"/>
            <w:gridSpan w:val="2"/>
            <w:tcBorders>
              <w:top w:val="nil"/>
              <w:left w:val="nil"/>
              <w:bottom w:val="nil"/>
              <w:right w:val="nil"/>
            </w:tcBorders>
            <w:vAlign w:val="center"/>
            <w:hideMark/>
          </w:tcPr>
          <w:p w14:paraId="63AB450C" w14:textId="77777777" w:rsidR="00FA3C64" w:rsidRPr="00BC47FF" w:rsidRDefault="00FA3C64" w:rsidP="00BC47FF">
            <w:pPr>
              <w:pStyle w:val="Table0"/>
              <w:rPr>
                <w:b w:val="0"/>
              </w:rPr>
            </w:pPr>
            <w:r w:rsidRPr="00BC47FF">
              <w:rPr>
                <w:b w:val="0"/>
              </w:rPr>
              <w:t>0</w:t>
            </w:r>
          </w:p>
        </w:tc>
        <w:tc>
          <w:tcPr>
            <w:tcW w:w="1550" w:type="dxa"/>
            <w:tcBorders>
              <w:top w:val="nil"/>
              <w:left w:val="nil"/>
              <w:bottom w:val="nil"/>
              <w:right w:val="nil"/>
            </w:tcBorders>
            <w:vAlign w:val="center"/>
            <w:hideMark/>
          </w:tcPr>
          <w:p w14:paraId="3C84D7A5" w14:textId="5DE932AE"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041076" w14:paraId="79371BD9" w14:textId="77777777" w:rsidTr="00FA3C64">
        <w:tc>
          <w:tcPr>
            <w:tcW w:w="2408" w:type="dxa"/>
            <w:tcBorders>
              <w:top w:val="nil"/>
              <w:left w:val="nil"/>
              <w:bottom w:val="nil"/>
              <w:right w:val="nil"/>
            </w:tcBorders>
            <w:vAlign w:val="center"/>
            <w:hideMark/>
          </w:tcPr>
          <w:p w14:paraId="086F2594" w14:textId="77777777" w:rsidR="00FA3C64" w:rsidRPr="00BC47FF" w:rsidRDefault="00FA3C64" w:rsidP="00BC47FF">
            <w:pPr>
              <w:pStyle w:val="Table0"/>
              <w:rPr>
                <w:b w:val="0"/>
              </w:rPr>
            </w:pPr>
            <w:r w:rsidRPr="00BC47FF">
              <w:rPr>
                <w:b w:val="0"/>
              </w:rPr>
              <w:t xml:space="preserve">Lipase increased </w:t>
            </w:r>
          </w:p>
        </w:tc>
        <w:tc>
          <w:tcPr>
            <w:tcW w:w="1273" w:type="dxa"/>
            <w:tcBorders>
              <w:top w:val="nil"/>
              <w:left w:val="nil"/>
              <w:bottom w:val="nil"/>
              <w:right w:val="nil"/>
            </w:tcBorders>
            <w:vAlign w:val="center"/>
            <w:hideMark/>
          </w:tcPr>
          <w:p w14:paraId="2B014F65" w14:textId="5BD0F46A" w:rsidR="00FA3C64" w:rsidRPr="00BC47FF" w:rsidRDefault="00FA3C64" w:rsidP="00BC47FF">
            <w:pPr>
              <w:pStyle w:val="Table0"/>
              <w:rPr>
                <w:b w:val="0"/>
              </w:rPr>
            </w:pPr>
            <w:r w:rsidRPr="00BC47FF">
              <w:rPr>
                <w:b w:val="0"/>
              </w:rPr>
              <w:t>1</w:t>
            </w:r>
            <w:r w:rsidR="00B712D6" w:rsidRPr="00BC47FF">
              <w:rPr>
                <w:b w:val="0"/>
              </w:rPr>
              <w:t>8</w:t>
            </w:r>
            <w:r w:rsidRPr="00BC47FF">
              <w:rPr>
                <w:b w:val="0"/>
              </w:rPr>
              <w:t xml:space="preserve"> (2</w:t>
            </w:r>
            <w:r w:rsidR="00B712D6" w:rsidRPr="00BC47FF">
              <w:rPr>
                <w:b w:val="0"/>
              </w:rPr>
              <w:t>3</w:t>
            </w:r>
            <w:r w:rsidRPr="00BC47FF">
              <w:rPr>
                <w:b w:val="0"/>
              </w:rPr>
              <w:t>)</w:t>
            </w:r>
          </w:p>
        </w:tc>
        <w:tc>
          <w:tcPr>
            <w:tcW w:w="1281" w:type="dxa"/>
            <w:gridSpan w:val="2"/>
            <w:tcBorders>
              <w:top w:val="nil"/>
              <w:left w:val="nil"/>
              <w:bottom w:val="nil"/>
              <w:right w:val="nil"/>
            </w:tcBorders>
            <w:vAlign w:val="center"/>
            <w:hideMark/>
          </w:tcPr>
          <w:p w14:paraId="6C4FAB1B" w14:textId="77777777" w:rsidR="00FA3C64" w:rsidRPr="00BC47FF" w:rsidRDefault="00FA3C64" w:rsidP="00BC47FF">
            <w:pPr>
              <w:pStyle w:val="Table0"/>
              <w:rPr>
                <w:b w:val="0"/>
              </w:rPr>
            </w:pPr>
            <w:r w:rsidRPr="00BC47FF">
              <w:rPr>
                <w:b w:val="0"/>
              </w:rPr>
              <w:t>6 (8)</w:t>
            </w:r>
          </w:p>
        </w:tc>
        <w:tc>
          <w:tcPr>
            <w:tcW w:w="1417" w:type="dxa"/>
            <w:gridSpan w:val="2"/>
            <w:tcBorders>
              <w:top w:val="nil"/>
              <w:left w:val="nil"/>
              <w:bottom w:val="nil"/>
              <w:right w:val="nil"/>
            </w:tcBorders>
            <w:vAlign w:val="center"/>
            <w:hideMark/>
          </w:tcPr>
          <w:p w14:paraId="47642DB5" w14:textId="201622F6" w:rsidR="00FA3C64" w:rsidRPr="00BC47FF" w:rsidRDefault="00B712D6" w:rsidP="00BC47FF">
            <w:pPr>
              <w:pStyle w:val="Table0"/>
              <w:rPr>
                <w:b w:val="0"/>
              </w:rPr>
            </w:pPr>
            <w:r w:rsidRPr="00BC47FF">
              <w:rPr>
                <w:b w:val="0"/>
              </w:rPr>
              <w:t>9</w:t>
            </w:r>
            <w:r w:rsidR="00FA3C64" w:rsidRPr="00BC47FF">
              <w:rPr>
                <w:b w:val="0"/>
              </w:rPr>
              <w:t xml:space="preserve"> (1</w:t>
            </w:r>
            <w:r w:rsidRPr="00BC47FF">
              <w:rPr>
                <w:b w:val="0"/>
              </w:rPr>
              <w:t>1</w:t>
            </w:r>
            <w:r w:rsidR="00FA3C64" w:rsidRPr="00BC47FF">
              <w:rPr>
                <w:b w:val="0"/>
              </w:rPr>
              <w:t>)</w:t>
            </w:r>
          </w:p>
        </w:tc>
        <w:tc>
          <w:tcPr>
            <w:tcW w:w="1275" w:type="dxa"/>
            <w:tcBorders>
              <w:top w:val="nil"/>
              <w:left w:val="nil"/>
              <w:bottom w:val="nil"/>
              <w:right w:val="nil"/>
            </w:tcBorders>
            <w:vAlign w:val="center"/>
            <w:hideMark/>
          </w:tcPr>
          <w:p w14:paraId="693A5F2E" w14:textId="77777777" w:rsidR="00FA3C64" w:rsidRPr="00BC47FF" w:rsidRDefault="00FA3C64" w:rsidP="00BC47FF">
            <w:pPr>
              <w:pStyle w:val="Table0"/>
              <w:rPr>
                <w:b w:val="0"/>
              </w:rPr>
            </w:pPr>
            <w:r w:rsidRPr="00BC47FF">
              <w:rPr>
                <w:b w:val="0"/>
              </w:rPr>
              <w:t>1 (1)</w:t>
            </w:r>
          </w:p>
        </w:tc>
        <w:tc>
          <w:tcPr>
            <w:tcW w:w="1560" w:type="dxa"/>
            <w:gridSpan w:val="2"/>
            <w:tcBorders>
              <w:top w:val="nil"/>
              <w:left w:val="nil"/>
              <w:bottom w:val="nil"/>
              <w:right w:val="nil"/>
            </w:tcBorders>
            <w:vAlign w:val="center"/>
            <w:hideMark/>
          </w:tcPr>
          <w:p w14:paraId="7F624D29" w14:textId="564A2210"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041076" w14:paraId="52E41BE6" w14:textId="77777777" w:rsidTr="00FA3C64">
        <w:tc>
          <w:tcPr>
            <w:tcW w:w="2408" w:type="dxa"/>
            <w:tcBorders>
              <w:top w:val="nil"/>
              <w:left w:val="nil"/>
              <w:bottom w:val="nil"/>
              <w:right w:val="nil"/>
            </w:tcBorders>
            <w:vAlign w:val="center"/>
            <w:hideMark/>
          </w:tcPr>
          <w:p w14:paraId="52343AB5" w14:textId="77777777" w:rsidR="00FA3C64" w:rsidRPr="00BC47FF" w:rsidRDefault="00FA3C64" w:rsidP="00BC47FF">
            <w:pPr>
              <w:pStyle w:val="Table0"/>
              <w:rPr>
                <w:b w:val="0"/>
              </w:rPr>
            </w:pPr>
            <w:r w:rsidRPr="00BC47FF">
              <w:rPr>
                <w:b w:val="0"/>
              </w:rPr>
              <w:t xml:space="preserve">Alanine amino transaminase (ALT) increased </w:t>
            </w:r>
          </w:p>
        </w:tc>
        <w:tc>
          <w:tcPr>
            <w:tcW w:w="1273" w:type="dxa"/>
            <w:tcBorders>
              <w:top w:val="nil"/>
              <w:left w:val="nil"/>
              <w:bottom w:val="nil"/>
              <w:right w:val="nil"/>
            </w:tcBorders>
            <w:vAlign w:val="center"/>
            <w:hideMark/>
          </w:tcPr>
          <w:p w14:paraId="38BD1ABB" w14:textId="77777777" w:rsidR="00FA3C64" w:rsidRPr="00BC47FF" w:rsidRDefault="00FA3C64" w:rsidP="00BC47FF">
            <w:pPr>
              <w:pStyle w:val="Table0"/>
              <w:rPr>
                <w:b w:val="0"/>
              </w:rPr>
            </w:pPr>
            <w:r w:rsidRPr="00BC47FF">
              <w:rPr>
                <w:b w:val="0"/>
              </w:rPr>
              <w:t>12 (15)</w:t>
            </w:r>
          </w:p>
        </w:tc>
        <w:tc>
          <w:tcPr>
            <w:tcW w:w="1281" w:type="dxa"/>
            <w:gridSpan w:val="2"/>
            <w:tcBorders>
              <w:top w:val="nil"/>
              <w:left w:val="nil"/>
              <w:bottom w:val="nil"/>
              <w:right w:val="nil"/>
            </w:tcBorders>
            <w:vAlign w:val="center"/>
            <w:hideMark/>
          </w:tcPr>
          <w:p w14:paraId="49B73DC4" w14:textId="77777777" w:rsidR="00FA3C64" w:rsidRPr="00BC47FF" w:rsidRDefault="00FA3C64" w:rsidP="00BC47FF">
            <w:pPr>
              <w:pStyle w:val="Table0"/>
              <w:rPr>
                <w:b w:val="0"/>
              </w:rPr>
            </w:pPr>
            <w:r w:rsidRPr="00BC47FF">
              <w:rPr>
                <w:b w:val="0"/>
              </w:rPr>
              <w:t>0</w:t>
            </w:r>
          </w:p>
        </w:tc>
        <w:tc>
          <w:tcPr>
            <w:tcW w:w="1417" w:type="dxa"/>
            <w:gridSpan w:val="2"/>
            <w:tcBorders>
              <w:top w:val="nil"/>
              <w:left w:val="nil"/>
              <w:bottom w:val="nil"/>
              <w:right w:val="nil"/>
            </w:tcBorders>
            <w:vAlign w:val="center"/>
            <w:hideMark/>
          </w:tcPr>
          <w:p w14:paraId="15C96D22" w14:textId="42A3BD1E" w:rsidR="00FA3C64" w:rsidRPr="00BC47FF" w:rsidRDefault="00B712D6" w:rsidP="00BC47FF">
            <w:pPr>
              <w:pStyle w:val="Table0"/>
              <w:rPr>
                <w:b w:val="0"/>
              </w:rPr>
            </w:pPr>
            <w:r w:rsidRPr="00BC47FF">
              <w:rPr>
                <w:b w:val="0"/>
              </w:rPr>
              <w:t>3</w:t>
            </w:r>
            <w:r w:rsidR="00FA3C64" w:rsidRPr="00BC47FF">
              <w:rPr>
                <w:b w:val="0"/>
              </w:rPr>
              <w:t xml:space="preserve"> (</w:t>
            </w:r>
            <w:r w:rsidRPr="00BC47FF">
              <w:rPr>
                <w:b w:val="0"/>
              </w:rPr>
              <w:t>4</w:t>
            </w:r>
            <w:r w:rsidR="00FA3C64" w:rsidRPr="00BC47FF">
              <w:rPr>
                <w:b w:val="0"/>
              </w:rPr>
              <w:t>)</w:t>
            </w:r>
          </w:p>
        </w:tc>
        <w:tc>
          <w:tcPr>
            <w:tcW w:w="1275" w:type="dxa"/>
            <w:tcBorders>
              <w:top w:val="nil"/>
              <w:left w:val="nil"/>
              <w:bottom w:val="nil"/>
              <w:right w:val="nil"/>
            </w:tcBorders>
            <w:vAlign w:val="center"/>
            <w:hideMark/>
          </w:tcPr>
          <w:p w14:paraId="6B6C7E86" w14:textId="77777777" w:rsidR="00FA3C64" w:rsidRPr="00BC47FF" w:rsidRDefault="00FA3C64" w:rsidP="00BC47FF">
            <w:pPr>
              <w:pStyle w:val="Table0"/>
              <w:rPr>
                <w:b w:val="0"/>
              </w:rPr>
            </w:pPr>
            <w:r w:rsidRPr="00BC47FF">
              <w:rPr>
                <w:b w:val="0"/>
              </w:rPr>
              <w:t>0</w:t>
            </w:r>
          </w:p>
        </w:tc>
        <w:tc>
          <w:tcPr>
            <w:tcW w:w="1560" w:type="dxa"/>
            <w:gridSpan w:val="2"/>
            <w:tcBorders>
              <w:top w:val="nil"/>
              <w:left w:val="nil"/>
              <w:bottom w:val="nil"/>
              <w:right w:val="nil"/>
            </w:tcBorders>
            <w:vAlign w:val="center"/>
            <w:hideMark/>
          </w:tcPr>
          <w:p w14:paraId="3C3EDE54" w14:textId="7509AC61" w:rsidR="00FA3C64" w:rsidRPr="00BC47FF" w:rsidRDefault="00FA3C64" w:rsidP="00BC47FF">
            <w:pPr>
              <w:pStyle w:val="Table0"/>
              <w:rPr>
                <w:b w:val="0"/>
              </w:rPr>
            </w:pPr>
            <w:r w:rsidRPr="00BC47FF">
              <w:rPr>
                <w:b w:val="0"/>
              </w:rPr>
              <w:t xml:space="preserve">Very </w:t>
            </w:r>
            <w:r w:rsidR="00E61691" w:rsidRPr="00BC47FF">
              <w:rPr>
                <w:b w:val="0"/>
              </w:rPr>
              <w:t>c</w:t>
            </w:r>
            <w:r w:rsidRPr="00BC47FF">
              <w:rPr>
                <w:b w:val="0"/>
              </w:rPr>
              <w:t>ommon</w:t>
            </w:r>
          </w:p>
        </w:tc>
      </w:tr>
      <w:tr w:rsidR="00FA3C64" w:rsidRPr="00041076" w14:paraId="7C94142D" w14:textId="77777777" w:rsidTr="00FA3C64">
        <w:tc>
          <w:tcPr>
            <w:tcW w:w="2408" w:type="dxa"/>
            <w:tcBorders>
              <w:top w:val="nil"/>
              <w:left w:val="nil"/>
              <w:bottom w:val="nil"/>
              <w:right w:val="nil"/>
            </w:tcBorders>
            <w:vAlign w:val="center"/>
            <w:hideMark/>
          </w:tcPr>
          <w:p w14:paraId="140F292A" w14:textId="1E9AFFA4" w:rsidR="00FA3C64" w:rsidRPr="00BC47FF" w:rsidRDefault="00FA3C64" w:rsidP="00BC47FF">
            <w:pPr>
              <w:pStyle w:val="Table0"/>
              <w:rPr>
                <w:b w:val="0"/>
              </w:rPr>
            </w:pPr>
            <w:r w:rsidRPr="00BC47FF">
              <w:rPr>
                <w:b w:val="0"/>
              </w:rPr>
              <w:t>Aspartate amino transaminase (AST) increased</w:t>
            </w:r>
          </w:p>
        </w:tc>
        <w:tc>
          <w:tcPr>
            <w:tcW w:w="1273" w:type="dxa"/>
            <w:tcBorders>
              <w:top w:val="nil"/>
              <w:left w:val="nil"/>
              <w:bottom w:val="nil"/>
              <w:right w:val="nil"/>
            </w:tcBorders>
            <w:vAlign w:val="center"/>
            <w:hideMark/>
          </w:tcPr>
          <w:p w14:paraId="24AAE53C" w14:textId="3B20DE55" w:rsidR="00FA3C64" w:rsidRPr="00BC47FF" w:rsidRDefault="00FA3C64" w:rsidP="00BC47FF">
            <w:pPr>
              <w:pStyle w:val="Table0"/>
              <w:rPr>
                <w:b w:val="0"/>
              </w:rPr>
            </w:pPr>
            <w:r w:rsidRPr="00BC47FF">
              <w:rPr>
                <w:b w:val="0"/>
              </w:rPr>
              <w:t>1</w:t>
            </w:r>
            <w:r w:rsidR="00B712D6" w:rsidRPr="00BC47FF">
              <w:rPr>
                <w:b w:val="0"/>
              </w:rPr>
              <w:t>2</w:t>
            </w:r>
            <w:r w:rsidRPr="00BC47FF">
              <w:rPr>
                <w:b w:val="0"/>
              </w:rPr>
              <w:t xml:space="preserve"> (1</w:t>
            </w:r>
            <w:r w:rsidR="00B712D6" w:rsidRPr="00BC47FF">
              <w:rPr>
                <w:b w:val="0"/>
              </w:rPr>
              <w:t>5</w:t>
            </w:r>
            <w:r w:rsidRPr="00BC47FF">
              <w:rPr>
                <w:b w:val="0"/>
              </w:rPr>
              <w:t>)</w:t>
            </w:r>
          </w:p>
        </w:tc>
        <w:tc>
          <w:tcPr>
            <w:tcW w:w="1281" w:type="dxa"/>
            <w:gridSpan w:val="2"/>
            <w:tcBorders>
              <w:top w:val="nil"/>
              <w:left w:val="nil"/>
              <w:bottom w:val="nil"/>
              <w:right w:val="nil"/>
            </w:tcBorders>
            <w:vAlign w:val="center"/>
            <w:hideMark/>
          </w:tcPr>
          <w:p w14:paraId="4B28F262" w14:textId="77777777" w:rsidR="00FA3C64" w:rsidRPr="00BC47FF" w:rsidRDefault="00FA3C64" w:rsidP="00BC47FF">
            <w:pPr>
              <w:pStyle w:val="Table0"/>
              <w:rPr>
                <w:b w:val="0"/>
              </w:rPr>
            </w:pPr>
            <w:r w:rsidRPr="00BC47FF">
              <w:rPr>
                <w:b w:val="0"/>
              </w:rPr>
              <w:t>0</w:t>
            </w:r>
          </w:p>
        </w:tc>
        <w:tc>
          <w:tcPr>
            <w:tcW w:w="1417" w:type="dxa"/>
            <w:gridSpan w:val="2"/>
            <w:tcBorders>
              <w:top w:val="nil"/>
              <w:left w:val="nil"/>
              <w:bottom w:val="nil"/>
              <w:right w:val="nil"/>
            </w:tcBorders>
            <w:vAlign w:val="center"/>
            <w:hideMark/>
          </w:tcPr>
          <w:p w14:paraId="7CE76D4B" w14:textId="77777777" w:rsidR="00FA3C64" w:rsidRPr="00BC47FF" w:rsidRDefault="00FA3C64" w:rsidP="00BC47FF">
            <w:pPr>
              <w:pStyle w:val="Table0"/>
              <w:rPr>
                <w:b w:val="0"/>
              </w:rPr>
            </w:pPr>
            <w:r w:rsidRPr="00BC47FF">
              <w:rPr>
                <w:b w:val="0"/>
              </w:rPr>
              <w:t>2 (3)</w:t>
            </w:r>
          </w:p>
        </w:tc>
        <w:tc>
          <w:tcPr>
            <w:tcW w:w="1275" w:type="dxa"/>
            <w:tcBorders>
              <w:top w:val="nil"/>
              <w:left w:val="nil"/>
              <w:bottom w:val="nil"/>
              <w:right w:val="nil"/>
            </w:tcBorders>
            <w:vAlign w:val="center"/>
            <w:hideMark/>
          </w:tcPr>
          <w:p w14:paraId="5558D254" w14:textId="76FE269C" w:rsidR="00FA3C64" w:rsidRPr="00BC47FF" w:rsidRDefault="00B712D6" w:rsidP="00BC47FF">
            <w:pPr>
              <w:pStyle w:val="Table0"/>
              <w:rPr>
                <w:b w:val="0"/>
              </w:rPr>
            </w:pPr>
            <w:r w:rsidRPr="00BC47FF">
              <w:rPr>
                <w:b w:val="0"/>
              </w:rPr>
              <w:t>1 (1)</w:t>
            </w:r>
          </w:p>
        </w:tc>
        <w:tc>
          <w:tcPr>
            <w:tcW w:w="1560" w:type="dxa"/>
            <w:gridSpan w:val="2"/>
            <w:tcBorders>
              <w:top w:val="nil"/>
              <w:left w:val="nil"/>
              <w:bottom w:val="nil"/>
              <w:right w:val="nil"/>
            </w:tcBorders>
            <w:vAlign w:val="center"/>
            <w:hideMark/>
          </w:tcPr>
          <w:p w14:paraId="4B89B290" w14:textId="77777777" w:rsidR="00FA3C64" w:rsidRPr="00BC47FF" w:rsidRDefault="00FA3C64" w:rsidP="00BC47FF">
            <w:pPr>
              <w:pStyle w:val="Table0"/>
              <w:rPr>
                <w:b w:val="0"/>
              </w:rPr>
            </w:pPr>
            <w:r w:rsidRPr="00BC47FF">
              <w:rPr>
                <w:b w:val="0"/>
              </w:rPr>
              <w:t>Very common</w:t>
            </w:r>
          </w:p>
        </w:tc>
      </w:tr>
      <w:tr w:rsidR="00FA3C64" w:rsidRPr="00041076" w14:paraId="5631A796" w14:textId="77777777" w:rsidTr="00FA3C64">
        <w:tc>
          <w:tcPr>
            <w:tcW w:w="2408" w:type="dxa"/>
            <w:tcBorders>
              <w:top w:val="nil"/>
              <w:left w:val="nil"/>
              <w:bottom w:val="single" w:sz="4" w:space="0" w:color="auto"/>
              <w:right w:val="nil"/>
            </w:tcBorders>
            <w:vAlign w:val="center"/>
            <w:hideMark/>
          </w:tcPr>
          <w:p w14:paraId="57D708B1" w14:textId="77777777" w:rsidR="00FA3C64" w:rsidRPr="00BC47FF" w:rsidRDefault="00FA3C64" w:rsidP="00BC47FF">
            <w:pPr>
              <w:pStyle w:val="Table0"/>
              <w:rPr>
                <w:b w:val="0"/>
              </w:rPr>
            </w:pPr>
            <w:r w:rsidRPr="00BC47FF">
              <w:rPr>
                <w:b w:val="0"/>
              </w:rPr>
              <w:t>Amylase increased</w:t>
            </w:r>
          </w:p>
        </w:tc>
        <w:tc>
          <w:tcPr>
            <w:tcW w:w="1273" w:type="dxa"/>
            <w:tcBorders>
              <w:top w:val="nil"/>
              <w:left w:val="nil"/>
              <w:bottom w:val="single" w:sz="4" w:space="0" w:color="auto"/>
              <w:right w:val="nil"/>
            </w:tcBorders>
            <w:vAlign w:val="center"/>
            <w:hideMark/>
          </w:tcPr>
          <w:p w14:paraId="6F75625D" w14:textId="486A0BAC" w:rsidR="00FA3C64" w:rsidRPr="00BC47FF" w:rsidRDefault="00B712D6" w:rsidP="00BC47FF">
            <w:pPr>
              <w:pStyle w:val="Table0"/>
              <w:rPr>
                <w:b w:val="0"/>
              </w:rPr>
            </w:pPr>
            <w:r w:rsidRPr="00BC47FF">
              <w:rPr>
                <w:b w:val="0"/>
              </w:rPr>
              <w:t>9</w:t>
            </w:r>
            <w:r w:rsidR="00FA3C64" w:rsidRPr="00BC47FF">
              <w:rPr>
                <w:b w:val="0"/>
              </w:rPr>
              <w:t xml:space="preserve"> (</w:t>
            </w:r>
            <w:r w:rsidRPr="00BC47FF">
              <w:rPr>
                <w:b w:val="0"/>
              </w:rPr>
              <w:t>11</w:t>
            </w:r>
            <w:r w:rsidR="00FA3C64" w:rsidRPr="00BC47FF">
              <w:rPr>
                <w:b w:val="0"/>
              </w:rPr>
              <w:t>)</w:t>
            </w:r>
          </w:p>
        </w:tc>
        <w:tc>
          <w:tcPr>
            <w:tcW w:w="1281" w:type="dxa"/>
            <w:gridSpan w:val="2"/>
            <w:tcBorders>
              <w:top w:val="nil"/>
              <w:left w:val="nil"/>
              <w:bottom w:val="single" w:sz="4" w:space="0" w:color="auto"/>
              <w:right w:val="nil"/>
            </w:tcBorders>
            <w:vAlign w:val="center"/>
            <w:hideMark/>
          </w:tcPr>
          <w:p w14:paraId="054B717D" w14:textId="77777777" w:rsidR="00FA3C64" w:rsidRPr="00BC47FF" w:rsidRDefault="00FA3C64" w:rsidP="00BC47FF">
            <w:pPr>
              <w:pStyle w:val="Table0"/>
              <w:rPr>
                <w:b w:val="0"/>
              </w:rPr>
            </w:pPr>
            <w:r w:rsidRPr="00BC47FF">
              <w:rPr>
                <w:b w:val="0"/>
              </w:rPr>
              <w:t>3 (4)</w:t>
            </w:r>
          </w:p>
        </w:tc>
        <w:tc>
          <w:tcPr>
            <w:tcW w:w="1417" w:type="dxa"/>
            <w:gridSpan w:val="2"/>
            <w:tcBorders>
              <w:top w:val="nil"/>
              <w:left w:val="nil"/>
              <w:bottom w:val="single" w:sz="4" w:space="0" w:color="auto"/>
              <w:right w:val="nil"/>
            </w:tcBorders>
            <w:vAlign w:val="center"/>
            <w:hideMark/>
          </w:tcPr>
          <w:p w14:paraId="3A4D8ADF" w14:textId="77777777" w:rsidR="00FA3C64" w:rsidRPr="00BC47FF" w:rsidRDefault="00FA3C64" w:rsidP="00BC47FF">
            <w:pPr>
              <w:pStyle w:val="Table0"/>
              <w:rPr>
                <w:b w:val="0"/>
              </w:rPr>
            </w:pPr>
            <w:r w:rsidRPr="00BC47FF">
              <w:rPr>
                <w:b w:val="0"/>
              </w:rPr>
              <w:t>1 (1)</w:t>
            </w:r>
          </w:p>
        </w:tc>
        <w:tc>
          <w:tcPr>
            <w:tcW w:w="1275" w:type="dxa"/>
            <w:tcBorders>
              <w:top w:val="nil"/>
              <w:left w:val="nil"/>
              <w:bottom w:val="single" w:sz="4" w:space="0" w:color="auto"/>
              <w:right w:val="nil"/>
            </w:tcBorders>
            <w:vAlign w:val="center"/>
            <w:hideMark/>
          </w:tcPr>
          <w:p w14:paraId="4BD56B45" w14:textId="77777777" w:rsidR="00FA3C64" w:rsidRPr="00BC47FF" w:rsidRDefault="00FA3C64" w:rsidP="00BC47FF">
            <w:pPr>
              <w:pStyle w:val="Table0"/>
              <w:rPr>
                <w:b w:val="0"/>
              </w:rPr>
            </w:pPr>
            <w:r w:rsidRPr="00BC47FF">
              <w:rPr>
                <w:b w:val="0"/>
              </w:rPr>
              <w:t>0</w:t>
            </w:r>
          </w:p>
        </w:tc>
        <w:tc>
          <w:tcPr>
            <w:tcW w:w="1560" w:type="dxa"/>
            <w:gridSpan w:val="2"/>
            <w:tcBorders>
              <w:top w:val="nil"/>
              <w:left w:val="nil"/>
              <w:bottom w:val="single" w:sz="4" w:space="0" w:color="auto"/>
              <w:right w:val="nil"/>
            </w:tcBorders>
            <w:vAlign w:val="center"/>
            <w:hideMark/>
          </w:tcPr>
          <w:p w14:paraId="5581233C" w14:textId="77777777" w:rsidR="00FA3C64" w:rsidRPr="00BC47FF" w:rsidRDefault="00FA3C64" w:rsidP="00BC47FF">
            <w:pPr>
              <w:pStyle w:val="Table0"/>
              <w:rPr>
                <w:b w:val="0"/>
              </w:rPr>
            </w:pPr>
            <w:r w:rsidRPr="00BC47FF">
              <w:rPr>
                <w:b w:val="0"/>
              </w:rPr>
              <w:t>Very common</w:t>
            </w:r>
          </w:p>
        </w:tc>
      </w:tr>
    </w:tbl>
    <w:p w14:paraId="49F709D2" w14:textId="22876B91" w:rsidR="00FA3C64" w:rsidRPr="00436402" w:rsidRDefault="00FA3C64" w:rsidP="007A396C">
      <w:pPr>
        <w:pStyle w:val="Legend0"/>
      </w:pPr>
      <w:bookmarkStart w:id="99" w:name="_2020043Clinically_relevant_labora"/>
      <w:bookmarkEnd w:id="99"/>
      <w:r w:rsidRPr="00436402">
        <w:rPr>
          <w:rStyle w:val="LegendChar"/>
          <w:rFonts w:ascii="Times New Roman" w:hAnsi="Times New Roman" w:cs="Times New Roman"/>
          <w:sz w:val="18"/>
          <w:szCs w:val="18"/>
        </w:rPr>
        <w:t>*Based on worst lab</w:t>
      </w:r>
      <w:r w:rsidR="00E61691">
        <w:rPr>
          <w:rStyle w:val="LegendChar"/>
          <w:rFonts w:ascii="Times New Roman" w:hAnsi="Times New Roman" w:cs="Times New Roman"/>
          <w:sz w:val="18"/>
          <w:szCs w:val="18"/>
        </w:rPr>
        <w:t>oratory</w:t>
      </w:r>
      <w:r w:rsidRPr="00436402">
        <w:rPr>
          <w:rStyle w:val="LegendChar"/>
          <w:rFonts w:ascii="Times New Roman" w:hAnsi="Times New Roman" w:cs="Times New Roman"/>
          <w:sz w:val="18"/>
          <w:szCs w:val="18"/>
        </w:rPr>
        <w:t xml:space="preserve"> value post-treatment regardless of baseline, grading by CTCAE version 4.03</w:t>
      </w:r>
    </w:p>
    <w:p w14:paraId="25409F72" w14:textId="77777777" w:rsidR="00FA3C64" w:rsidRPr="00436402" w:rsidRDefault="00FA3C64" w:rsidP="00FA3C64">
      <w:pPr>
        <w:pStyle w:val="Nottoc-headings0"/>
        <w:rPr>
          <w:rFonts w:ascii="Times New Roman" w:hAnsi="Times New Roman"/>
          <w:sz w:val="24"/>
        </w:rPr>
      </w:pPr>
      <w:r w:rsidRPr="00436402">
        <w:rPr>
          <w:rFonts w:ascii="Times New Roman" w:hAnsi="Times New Roman"/>
          <w:sz w:val="24"/>
        </w:rPr>
        <w:t>Description of selected adverse drug reactions</w:t>
      </w:r>
      <w:bookmarkStart w:id="100" w:name="_2120619Description_of_selected_ad"/>
      <w:bookmarkEnd w:id="100"/>
    </w:p>
    <w:p w14:paraId="3B31B04E" w14:textId="77777777" w:rsidR="00FA3C64" w:rsidRPr="00436402" w:rsidRDefault="00FA3C64" w:rsidP="00FA3C64">
      <w:pPr>
        <w:pStyle w:val="Nottoc-headings0"/>
        <w:rPr>
          <w:rFonts w:ascii="Times New Roman" w:hAnsi="Times New Roman"/>
          <w:sz w:val="24"/>
        </w:rPr>
      </w:pPr>
      <w:r w:rsidRPr="00436402">
        <w:rPr>
          <w:rFonts w:ascii="Times New Roman" w:hAnsi="Times New Roman"/>
          <w:sz w:val="24"/>
        </w:rPr>
        <w:t>Muscle-related adverse events including CK elevation</w:t>
      </w:r>
      <w:bookmarkStart w:id="101" w:name="_2220667Muscle45related_events_inc"/>
      <w:bookmarkEnd w:id="101"/>
    </w:p>
    <w:p w14:paraId="7C457CA5" w14:textId="0E4024F5" w:rsidR="00FA3C64" w:rsidRPr="00436402" w:rsidRDefault="00FA3C64" w:rsidP="00FA3C64">
      <w:pPr>
        <w:pStyle w:val="Text"/>
        <w:tabs>
          <w:tab w:val="left" w:pos="2790"/>
        </w:tabs>
        <w:rPr>
          <w:b w:val="0"/>
        </w:rPr>
      </w:pPr>
      <w:r w:rsidRPr="00436402">
        <w:rPr>
          <w:b w:val="0"/>
        </w:rPr>
        <w:t xml:space="preserve">Muscle toxicity is the most clinically relevant side effect reported in patients receiving Odomzo therapy, and is believed to be a class effect of inhibitors of the </w:t>
      </w:r>
      <w:proofErr w:type="spellStart"/>
      <w:r w:rsidRPr="00436402">
        <w:rPr>
          <w:b w:val="0"/>
        </w:rPr>
        <w:t>Hh</w:t>
      </w:r>
      <w:proofErr w:type="spellEnd"/>
      <w:r w:rsidRPr="00436402">
        <w:rPr>
          <w:b w:val="0"/>
        </w:rPr>
        <w:t xml:space="preserve"> signaling pathway. In the phase II pivotal study muscle spasms were the most common ‘muscle-related’ adverse events, </w:t>
      </w:r>
      <w:r w:rsidR="00E61691">
        <w:rPr>
          <w:b w:val="0"/>
        </w:rPr>
        <w:t>and</w:t>
      </w:r>
      <w:r w:rsidRPr="00436402">
        <w:rPr>
          <w:b w:val="0"/>
        </w:rPr>
        <w:t xml:space="preserve"> were reported in fewer patients in the Odomzo 200 mg group (</w:t>
      </w:r>
      <w:r w:rsidR="00B712D6">
        <w:rPr>
          <w:b w:val="0"/>
          <w:color w:val="000000"/>
        </w:rPr>
        <w:t>54</w:t>
      </w:r>
      <w:r w:rsidRPr="00436402">
        <w:rPr>
          <w:b w:val="0"/>
        </w:rPr>
        <w:t>%) than in the Odomzo 800 mg group (6</w:t>
      </w:r>
      <w:r w:rsidR="00B712D6">
        <w:rPr>
          <w:b w:val="0"/>
        </w:rPr>
        <w:t>9</w:t>
      </w:r>
      <w:r w:rsidRPr="00436402">
        <w:rPr>
          <w:b w:val="0"/>
        </w:rPr>
        <w:t>%</w:t>
      </w:r>
      <w:r w:rsidR="00B712D6">
        <w:rPr>
          <w:b w:val="0"/>
        </w:rPr>
        <w:t>)</w:t>
      </w:r>
      <w:r w:rsidRPr="00436402">
        <w:rPr>
          <w:b w:val="0"/>
        </w:rPr>
        <w:t>.</w:t>
      </w:r>
    </w:p>
    <w:p w14:paraId="10CBBDC1" w14:textId="643313DF" w:rsidR="00FA3C64" w:rsidRPr="00436402" w:rsidRDefault="00A37D4B" w:rsidP="00FA3C64">
      <w:pPr>
        <w:pStyle w:val="Text"/>
        <w:tabs>
          <w:tab w:val="left" w:pos="2790"/>
        </w:tabs>
        <w:rPr>
          <w:b w:val="0"/>
          <w:szCs w:val="20"/>
        </w:rPr>
      </w:pPr>
      <w:r w:rsidRPr="00A37D4B">
        <w:rPr>
          <w:b w:val="0"/>
        </w:rPr>
        <w:t>Grade 3/4 increase in blood CK was reported in 8% of patients taking Odomzo 200 mg</w:t>
      </w:r>
      <w:r>
        <w:rPr>
          <w:b w:val="0"/>
        </w:rPr>
        <w:t>.</w:t>
      </w:r>
      <w:r w:rsidRPr="00436402">
        <w:rPr>
          <w:b w:val="0"/>
        </w:rPr>
        <w:t xml:space="preserve"> </w:t>
      </w:r>
      <w:r w:rsidR="00FA3C64" w:rsidRPr="00436402">
        <w:rPr>
          <w:b w:val="0"/>
        </w:rPr>
        <w:t xml:space="preserve">The majority of patients who had </w:t>
      </w:r>
      <w:r>
        <w:rPr>
          <w:b w:val="0"/>
        </w:rPr>
        <w:t>G</w:t>
      </w:r>
      <w:r w:rsidR="00FA3C64" w:rsidRPr="00436402">
        <w:rPr>
          <w:b w:val="0"/>
        </w:rPr>
        <w:t xml:space="preserve">rade 2 or higher CK elevations developed muscle symptoms prior to the CK elevations. In these patients, increases in laboratory values of CK to </w:t>
      </w:r>
      <w:r>
        <w:rPr>
          <w:b w:val="0"/>
        </w:rPr>
        <w:t>G</w:t>
      </w:r>
      <w:r w:rsidR="00FA3C64" w:rsidRPr="00436402">
        <w:rPr>
          <w:b w:val="0"/>
        </w:rPr>
        <w:t xml:space="preserve">rade 2 and higher severity had a median time to onset of </w:t>
      </w:r>
      <w:r>
        <w:rPr>
          <w:b w:val="0"/>
        </w:rPr>
        <w:t>12.9</w:t>
      </w:r>
      <w:r w:rsidR="00FA3C64" w:rsidRPr="00436402">
        <w:rPr>
          <w:b w:val="0"/>
        </w:rPr>
        <w:t> weeks (range 2 to 3</w:t>
      </w:r>
      <w:r>
        <w:rPr>
          <w:b w:val="0"/>
        </w:rPr>
        <w:t>9</w:t>
      </w:r>
      <w:r w:rsidR="00FA3C64" w:rsidRPr="00436402">
        <w:rPr>
          <w:b w:val="0"/>
        </w:rPr>
        <w:t xml:space="preserve"> weeks) after initiating Odomzo therapy and a median time to resolution (to normalization or </w:t>
      </w:r>
      <w:r>
        <w:rPr>
          <w:b w:val="0"/>
        </w:rPr>
        <w:t>G</w:t>
      </w:r>
      <w:r w:rsidR="00FA3C64" w:rsidRPr="00436402">
        <w:rPr>
          <w:b w:val="0"/>
        </w:rPr>
        <w:t xml:space="preserve">rade 1) of </w:t>
      </w:r>
      <w:r>
        <w:rPr>
          <w:b w:val="0"/>
        </w:rPr>
        <w:t>12</w:t>
      </w:r>
      <w:r w:rsidR="00FA3C64" w:rsidRPr="00436402">
        <w:rPr>
          <w:b w:val="0"/>
        </w:rPr>
        <w:t xml:space="preserve"> days (95% co</w:t>
      </w:r>
      <w:r w:rsidR="00436402">
        <w:rPr>
          <w:b w:val="0"/>
        </w:rPr>
        <w:t>nfidence interval 8 to 14 days)</w:t>
      </w:r>
      <w:r w:rsidR="00FA3C64" w:rsidRPr="00436402">
        <w:rPr>
          <w:b w:val="0"/>
        </w:rPr>
        <w:t>.</w:t>
      </w:r>
    </w:p>
    <w:p w14:paraId="733B59AB" w14:textId="682AE4A9" w:rsidR="00FA3C64" w:rsidRPr="00436402" w:rsidRDefault="00FA3C64" w:rsidP="00FA3C64">
      <w:pPr>
        <w:pStyle w:val="Text"/>
        <w:tabs>
          <w:tab w:val="left" w:pos="2790"/>
        </w:tabs>
        <w:rPr>
          <w:b w:val="0"/>
        </w:rPr>
      </w:pPr>
      <w:r w:rsidRPr="00436402">
        <w:rPr>
          <w:b w:val="0"/>
        </w:rPr>
        <w:t>One patient receiving Odomzo 200 mg experienced muscle symptoms and CK elevations above 10x ULN and required intravenous fluids, compared to 6 patients receiving Odomzo 800 mg.</w:t>
      </w:r>
    </w:p>
    <w:p w14:paraId="46EBFD0A" w14:textId="7CE55CAC" w:rsidR="00FA3C64" w:rsidRPr="00436402" w:rsidRDefault="00A37D4B" w:rsidP="00FA3C64">
      <w:pPr>
        <w:pStyle w:val="Text"/>
        <w:rPr>
          <w:b w:val="0"/>
        </w:rPr>
      </w:pPr>
      <w:r w:rsidRPr="00A37D4B">
        <w:rPr>
          <w:b w:val="0"/>
        </w:rPr>
        <w:t xml:space="preserve">After at least </w:t>
      </w:r>
      <w:r>
        <w:rPr>
          <w:b w:val="0"/>
        </w:rPr>
        <w:t>18</w:t>
      </w:r>
      <w:r w:rsidRPr="00A37D4B">
        <w:rPr>
          <w:b w:val="0"/>
        </w:rPr>
        <w:t xml:space="preserve"> months follow up for all patients unless discontinued earlier</w:t>
      </w:r>
      <w:r>
        <w:rPr>
          <w:b w:val="0"/>
        </w:rPr>
        <w:t>,</w:t>
      </w:r>
      <w:r w:rsidRPr="00436402">
        <w:rPr>
          <w:b w:val="0"/>
        </w:rPr>
        <w:t xml:space="preserve"> </w:t>
      </w:r>
      <w:r w:rsidR="00FA3C64" w:rsidRPr="00436402">
        <w:rPr>
          <w:b w:val="0"/>
        </w:rPr>
        <w:t>the phase II pivotal study</w:t>
      </w:r>
      <w:r>
        <w:rPr>
          <w:b w:val="0"/>
        </w:rPr>
        <w:t xml:space="preserve"> had</w:t>
      </w:r>
      <w:r w:rsidR="00FA3C64" w:rsidRPr="00436402">
        <w:rPr>
          <w:b w:val="0"/>
        </w:rPr>
        <w:t xml:space="preserve"> no reported cases of rhabdomyolysis confirmed (defined as CK levels &gt;10 </w:t>
      </w:r>
      <w:r w:rsidR="00FA3C64" w:rsidRPr="00436402">
        <w:rPr>
          <w:b w:val="0"/>
        </w:rPr>
        <w:lastRenderedPageBreak/>
        <w:t>fold above the pre-treatment or baseline level or &gt;10 x ULN if no baseline level reported plus a 1.5 fold increase in serum creatinine from the pre-treatment or baseline level). However, 1 reported case in a patient treated with Odomzo 800 mg in a non-pivotal study was confirmed.</w:t>
      </w:r>
    </w:p>
    <w:p w14:paraId="66575580" w14:textId="77777777" w:rsidR="00FA3C64" w:rsidRPr="00436402" w:rsidRDefault="00FA3C64" w:rsidP="00FA3C64">
      <w:pPr>
        <w:pStyle w:val="Nottoc-headings0"/>
        <w:rPr>
          <w:rFonts w:ascii="Times New Roman" w:hAnsi="Times New Roman"/>
          <w:sz w:val="24"/>
        </w:rPr>
      </w:pPr>
      <w:bookmarkStart w:id="102" w:name="_2321946Special_populations"/>
      <w:bookmarkEnd w:id="102"/>
      <w:r w:rsidRPr="00436402">
        <w:rPr>
          <w:rFonts w:ascii="Times New Roman" w:hAnsi="Times New Roman"/>
          <w:sz w:val="24"/>
        </w:rPr>
        <w:t>Amenorrhea</w:t>
      </w:r>
    </w:p>
    <w:p w14:paraId="64981236" w14:textId="4043D6E6" w:rsidR="00C801FD" w:rsidRPr="00436402" w:rsidRDefault="00FA3C64" w:rsidP="00FA3C64">
      <w:pPr>
        <w:pStyle w:val="paragraph"/>
        <w:rPr>
          <w:b w:val="0"/>
        </w:rPr>
      </w:pPr>
      <w:bookmarkStart w:id="103" w:name="_2421966Women_of_child_bearing_pot"/>
      <w:bookmarkEnd w:id="103"/>
      <w:r w:rsidRPr="00436402">
        <w:rPr>
          <w:b w:val="0"/>
        </w:rPr>
        <w:t xml:space="preserve">In the phase II pivotal </w:t>
      </w:r>
      <w:r w:rsidR="00E61691">
        <w:rPr>
          <w:b w:val="0"/>
        </w:rPr>
        <w:t>study</w:t>
      </w:r>
      <w:r w:rsidRPr="00436402">
        <w:rPr>
          <w:b w:val="0"/>
        </w:rPr>
        <w:t xml:space="preserve">, 2 out of 14 </w:t>
      </w:r>
      <w:r w:rsidR="00A37D4B">
        <w:rPr>
          <w:b w:val="0"/>
        </w:rPr>
        <w:t xml:space="preserve">(14.3%) </w:t>
      </w:r>
      <w:r w:rsidRPr="00436402">
        <w:rPr>
          <w:b w:val="0"/>
        </w:rPr>
        <w:t>women of</w:t>
      </w:r>
      <w:r w:rsidR="00E61691">
        <w:rPr>
          <w:b w:val="0"/>
        </w:rPr>
        <w:t xml:space="preserve"> either</w:t>
      </w:r>
      <w:r w:rsidRPr="00436402">
        <w:rPr>
          <w:b w:val="0"/>
        </w:rPr>
        <w:t xml:space="preserve"> childbearing potential </w:t>
      </w:r>
      <w:r w:rsidR="00E61691">
        <w:rPr>
          <w:b w:val="0"/>
        </w:rPr>
        <w:t xml:space="preserve">or of child-bearing age </w:t>
      </w:r>
      <w:r w:rsidRPr="00436402">
        <w:rPr>
          <w:b w:val="0"/>
        </w:rPr>
        <w:t>steril</w:t>
      </w:r>
      <w:r w:rsidR="00E61691">
        <w:rPr>
          <w:b w:val="0"/>
        </w:rPr>
        <w:t>ized</w:t>
      </w:r>
      <w:r w:rsidRPr="00436402">
        <w:rPr>
          <w:b w:val="0"/>
        </w:rPr>
        <w:t xml:space="preserve"> by tubal ligation</w:t>
      </w:r>
      <w:r w:rsidR="00A37D4B">
        <w:rPr>
          <w:b w:val="0"/>
        </w:rPr>
        <w:t>,</w:t>
      </w:r>
      <w:r w:rsidRPr="00436402">
        <w:rPr>
          <w:b w:val="0"/>
        </w:rPr>
        <w:t xml:space="preserve"> developed amenorrhea while on treatment with Odomzo</w:t>
      </w:r>
      <w:r w:rsidR="00A37D4B">
        <w:rPr>
          <w:b w:val="0"/>
        </w:rPr>
        <w:t xml:space="preserve"> 200 mg or 800 mg once daily</w:t>
      </w:r>
      <w:r w:rsidR="00436402">
        <w:rPr>
          <w:b w:val="0"/>
        </w:rPr>
        <w:t>.</w:t>
      </w:r>
    </w:p>
    <w:p w14:paraId="38FF8B58" w14:textId="77777777" w:rsidR="00C801FD" w:rsidRPr="00C801FD" w:rsidRDefault="00C801FD" w:rsidP="00C801FD">
      <w:pPr>
        <w:pStyle w:val="paragraph"/>
      </w:pPr>
    </w:p>
    <w:p w14:paraId="0840EE9D" w14:textId="77777777" w:rsidR="006D0C74" w:rsidRDefault="00F22127" w:rsidP="007F46FD">
      <w:pPr>
        <w:pStyle w:val="Heading1"/>
      </w:pPr>
      <w:r w:rsidRPr="00D766FE">
        <w:t>DOSAGE AND ADMINISTRATION</w:t>
      </w:r>
    </w:p>
    <w:p w14:paraId="3DA3E865" w14:textId="77777777" w:rsidR="009E6D50" w:rsidRPr="009E6D50" w:rsidRDefault="009E6D50" w:rsidP="009E6D50">
      <w:pPr>
        <w:pStyle w:val="Nottoc-headings0"/>
        <w:rPr>
          <w:rFonts w:ascii="Times New Roman" w:hAnsi="Times New Roman"/>
          <w:sz w:val="24"/>
        </w:rPr>
      </w:pPr>
      <w:bookmarkStart w:id="104" w:name="_Toc259713080"/>
      <w:bookmarkStart w:id="105" w:name="_Toc259707139"/>
      <w:bookmarkStart w:id="106" w:name="_Toc259707076"/>
      <w:bookmarkStart w:id="107" w:name="_Toc259706907"/>
      <w:r w:rsidRPr="009E6D50">
        <w:rPr>
          <w:rFonts w:ascii="Times New Roman" w:hAnsi="Times New Roman"/>
          <w:sz w:val="24"/>
        </w:rPr>
        <w:t>Dosage</w:t>
      </w:r>
      <w:bookmarkStart w:id="108" w:name="_44182Dosage"/>
      <w:bookmarkEnd w:id="104"/>
      <w:bookmarkEnd w:id="105"/>
      <w:bookmarkEnd w:id="106"/>
      <w:bookmarkEnd w:id="107"/>
      <w:bookmarkEnd w:id="108"/>
    </w:p>
    <w:p w14:paraId="541739E4" w14:textId="33969E41" w:rsidR="009E6D50" w:rsidRPr="009E6D50" w:rsidRDefault="009E6D50" w:rsidP="009E6D50">
      <w:pPr>
        <w:pStyle w:val="Nottoc-headings0"/>
        <w:rPr>
          <w:rFonts w:ascii="Times New Roman" w:hAnsi="Times New Roman"/>
          <w:sz w:val="24"/>
        </w:rPr>
      </w:pPr>
      <w:r w:rsidRPr="009E6D50">
        <w:rPr>
          <w:rFonts w:ascii="Times New Roman" w:hAnsi="Times New Roman"/>
          <w:sz w:val="24"/>
        </w:rPr>
        <w:t xml:space="preserve">General </w:t>
      </w:r>
      <w:r w:rsidR="005C69B5">
        <w:rPr>
          <w:rFonts w:ascii="Times New Roman" w:hAnsi="Times New Roman"/>
          <w:sz w:val="24"/>
        </w:rPr>
        <w:t>t</w:t>
      </w:r>
      <w:r w:rsidRPr="009E6D50">
        <w:rPr>
          <w:rFonts w:ascii="Times New Roman" w:hAnsi="Times New Roman"/>
          <w:sz w:val="24"/>
        </w:rPr>
        <w:t xml:space="preserve">arget </w:t>
      </w:r>
      <w:r w:rsidR="005C69B5">
        <w:rPr>
          <w:rFonts w:ascii="Times New Roman" w:hAnsi="Times New Roman"/>
          <w:sz w:val="24"/>
        </w:rPr>
        <w:t>p</w:t>
      </w:r>
      <w:r w:rsidRPr="009E6D50">
        <w:rPr>
          <w:rFonts w:ascii="Times New Roman" w:hAnsi="Times New Roman"/>
          <w:sz w:val="24"/>
        </w:rPr>
        <w:t>opulation</w:t>
      </w:r>
      <w:bookmarkStart w:id="109" w:name="_54189General_Target_Population"/>
      <w:bookmarkEnd w:id="109"/>
    </w:p>
    <w:p w14:paraId="39D01563" w14:textId="61959AD7" w:rsidR="00F60D4D" w:rsidRPr="00F60D4D" w:rsidRDefault="009E6D50" w:rsidP="00F60D4D">
      <w:pPr>
        <w:pStyle w:val="Text"/>
        <w:rPr>
          <w:b w:val="0"/>
          <w:color w:val="0000FF"/>
        </w:rPr>
      </w:pPr>
      <w:r w:rsidRPr="009E6D50">
        <w:rPr>
          <w:b w:val="0"/>
        </w:rPr>
        <w:t>The recommended dose of Odomzo is 200 mg taken orally once daily on an empty stomach, at the same time each day</w:t>
      </w:r>
      <w:r w:rsidRPr="009E6D50">
        <w:rPr>
          <w:b w:val="0"/>
          <w:iCs/>
        </w:rPr>
        <w:t>.</w:t>
      </w:r>
      <w:r w:rsidR="00F60D4D">
        <w:rPr>
          <w:b w:val="0"/>
          <w:iCs/>
        </w:rPr>
        <w:t xml:space="preserve"> </w:t>
      </w:r>
      <w:r w:rsidR="00F60D4D" w:rsidRPr="00F60D4D">
        <w:rPr>
          <w:b w:val="0"/>
        </w:rPr>
        <w:t xml:space="preserve">Odomzo should be taken at least 1 hour before, or two hours after a meal. Odomzo capsules </w:t>
      </w:r>
      <w:r w:rsidR="000C0F6B">
        <w:rPr>
          <w:b w:val="0"/>
        </w:rPr>
        <w:t>must</w:t>
      </w:r>
      <w:r w:rsidR="00F60D4D" w:rsidRPr="00F60D4D">
        <w:rPr>
          <w:b w:val="0"/>
        </w:rPr>
        <w:t xml:space="preserve"> be swallowed whole. They </w:t>
      </w:r>
      <w:r w:rsidR="000C0F6B">
        <w:rPr>
          <w:b w:val="0"/>
        </w:rPr>
        <w:t>must</w:t>
      </w:r>
      <w:r w:rsidR="00F60D4D" w:rsidRPr="00F60D4D">
        <w:rPr>
          <w:b w:val="0"/>
        </w:rPr>
        <w:t xml:space="preserve"> not be chewed or crushed. </w:t>
      </w:r>
    </w:p>
    <w:p w14:paraId="1A14B972" w14:textId="7ED14D47" w:rsidR="009E6D50" w:rsidRPr="00F60D4D" w:rsidRDefault="00F60D4D" w:rsidP="00F60D4D">
      <w:pPr>
        <w:pStyle w:val="Text"/>
        <w:rPr>
          <w:b w:val="0"/>
          <w:iCs/>
        </w:rPr>
      </w:pPr>
      <w:r w:rsidRPr="00F60D4D">
        <w:rPr>
          <w:b w:val="0"/>
        </w:rPr>
        <w:t>If a dose is missed, the recommended dose of Odomzo should be taken within 6 hours after the missed dose. If more than 6 hours have passed, the patient should be instructed not to take the missed dose. The patient should continue treatment with the next prescribed dose</w:t>
      </w:r>
    </w:p>
    <w:p w14:paraId="281B072F" w14:textId="295AAE10" w:rsidR="009E6D50" w:rsidRPr="009E6D50" w:rsidRDefault="009E6D50" w:rsidP="009E6D50">
      <w:pPr>
        <w:pStyle w:val="Text"/>
        <w:rPr>
          <w:b w:val="0"/>
        </w:rPr>
      </w:pPr>
      <w:r w:rsidRPr="009E6D50">
        <w:rPr>
          <w:b w:val="0"/>
        </w:rPr>
        <w:t>Continue treatment as long as clinical benefit is observed or until unacceptable toxicity</w:t>
      </w:r>
      <w:r w:rsidR="006D2F7B">
        <w:rPr>
          <w:b w:val="0"/>
        </w:rPr>
        <w:t xml:space="preserve"> develops</w:t>
      </w:r>
      <w:r w:rsidRPr="009E6D50">
        <w:rPr>
          <w:b w:val="0"/>
        </w:rPr>
        <w:t>.</w:t>
      </w:r>
    </w:p>
    <w:p w14:paraId="2FEF5577" w14:textId="625079B4" w:rsidR="009E6D50" w:rsidRPr="009E6D50" w:rsidRDefault="009E6D50" w:rsidP="009A32FC">
      <w:pPr>
        <w:pStyle w:val="Nottoc-headings0"/>
        <w:ind w:left="0" w:firstLine="0"/>
        <w:rPr>
          <w:rFonts w:ascii="Times New Roman" w:hAnsi="Times New Roman"/>
          <w:sz w:val="24"/>
        </w:rPr>
      </w:pPr>
      <w:r w:rsidRPr="009E6D50">
        <w:rPr>
          <w:rFonts w:ascii="Times New Roman" w:hAnsi="Times New Roman"/>
          <w:sz w:val="24"/>
        </w:rPr>
        <w:t>Dose modifications</w:t>
      </w:r>
      <w:bookmarkStart w:id="110" w:name="_64500Dose_modifications"/>
      <w:bookmarkEnd w:id="110"/>
      <w:r w:rsidRPr="009E6D50">
        <w:rPr>
          <w:rFonts w:ascii="Times New Roman" w:hAnsi="Times New Roman"/>
          <w:sz w:val="24"/>
        </w:rPr>
        <w:t xml:space="preserve"> for </w:t>
      </w:r>
      <w:proofErr w:type="spellStart"/>
      <w:r w:rsidRPr="009E6D50">
        <w:rPr>
          <w:rFonts w:ascii="Times New Roman" w:hAnsi="Times New Roman"/>
          <w:sz w:val="24"/>
        </w:rPr>
        <w:t>creatine</w:t>
      </w:r>
      <w:proofErr w:type="spellEnd"/>
      <w:r w:rsidRPr="009E6D50">
        <w:rPr>
          <w:rFonts w:ascii="Times New Roman" w:hAnsi="Times New Roman"/>
          <w:sz w:val="24"/>
        </w:rPr>
        <w:t xml:space="preserve"> phosphokinase (CK) elevations and muscle related adverse events</w:t>
      </w:r>
    </w:p>
    <w:p w14:paraId="0BAE8356" w14:textId="264EBDC6" w:rsidR="009E6D50" w:rsidRPr="009E6D50" w:rsidRDefault="009E6D50" w:rsidP="009E6D50">
      <w:pPr>
        <w:pStyle w:val="Text"/>
        <w:rPr>
          <w:b w:val="0"/>
        </w:rPr>
      </w:pPr>
      <w:r w:rsidRPr="009E6D50">
        <w:rPr>
          <w:b w:val="0"/>
        </w:rPr>
        <w:t xml:space="preserve">Temporary dose interruption and/or dose reduction of Odomzo therapy may be required for CK elevations and muscle related adverse events. </w:t>
      </w:r>
    </w:p>
    <w:p w14:paraId="40F12A32" w14:textId="61AD7448" w:rsidR="009E6D50" w:rsidRPr="009E6D50" w:rsidRDefault="009E6D50" w:rsidP="009E6D50">
      <w:pPr>
        <w:pStyle w:val="Text"/>
        <w:rPr>
          <w:b w:val="0"/>
        </w:rPr>
      </w:pPr>
      <w:r w:rsidRPr="009E6D50">
        <w:rPr>
          <w:b w:val="0"/>
          <w:color w:val="000000" w:themeColor="text1"/>
        </w:rPr>
        <w:t xml:space="preserve">Table </w:t>
      </w:r>
      <w:r>
        <w:rPr>
          <w:b w:val="0"/>
          <w:color w:val="000000" w:themeColor="text1"/>
        </w:rPr>
        <w:t xml:space="preserve">4 </w:t>
      </w:r>
      <w:r w:rsidRPr="009E6D50">
        <w:rPr>
          <w:b w:val="0"/>
        </w:rPr>
        <w:t>summarizes recommendations for dose interruption and/or dose reduction of Odomzo treatment in the management of symptomatic CK elevations and muscle related adverse events (such as myalgia, myopathy, and/or spasm).</w:t>
      </w:r>
    </w:p>
    <w:p w14:paraId="68415D7A" w14:textId="77777777" w:rsidR="007A396C" w:rsidRDefault="007A396C">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bookmarkStart w:id="111" w:name="_Toc384821973"/>
      <w:r>
        <w:br w:type="page"/>
      </w:r>
    </w:p>
    <w:p w14:paraId="7EECA397" w14:textId="66AF2593" w:rsidR="009E6D50" w:rsidRPr="009E6D50" w:rsidRDefault="009E6D50" w:rsidP="004359C8">
      <w:pPr>
        <w:pStyle w:val="Heading6"/>
        <w:ind w:left="1049" w:hanging="1049"/>
        <w:rPr>
          <w:rFonts w:ascii="Times New Roman" w:hAnsi="Times New Roman"/>
        </w:rPr>
      </w:pPr>
      <w:r w:rsidRPr="009E6D50">
        <w:rPr>
          <w:rFonts w:ascii="Times New Roman" w:hAnsi="Times New Roman"/>
        </w:rPr>
        <w:lastRenderedPageBreak/>
        <w:t xml:space="preserve">Table 4: Recommended dose modifications and management for symptomatic CK elevations and muscle related </w:t>
      </w:r>
      <w:bookmarkStart w:id="112" w:name="_694974Table_44519Recommended_dose"/>
      <w:bookmarkEnd w:id="112"/>
      <w:r w:rsidRPr="009E6D50">
        <w:rPr>
          <w:rFonts w:ascii="Times New Roman" w:hAnsi="Times New Roman"/>
        </w:rPr>
        <w:t>adverse events</w:t>
      </w:r>
      <w:bookmarkEnd w:id="11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28"/>
      </w:tblGrid>
      <w:tr w:rsidR="009E6D50" w14:paraId="4A181F93" w14:textId="77777777" w:rsidTr="009E6D50">
        <w:tc>
          <w:tcPr>
            <w:tcW w:w="3652" w:type="dxa"/>
            <w:tcBorders>
              <w:top w:val="single" w:sz="4" w:space="0" w:color="auto"/>
              <w:left w:val="single" w:sz="4" w:space="0" w:color="auto"/>
              <w:bottom w:val="single" w:sz="4" w:space="0" w:color="auto"/>
              <w:right w:val="single" w:sz="4" w:space="0" w:color="auto"/>
            </w:tcBorders>
            <w:vAlign w:val="center"/>
            <w:hideMark/>
          </w:tcPr>
          <w:p w14:paraId="574CD97B" w14:textId="77777777" w:rsidR="009E6D50" w:rsidRPr="001F287A" w:rsidRDefault="009E6D50" w:rsidP="00BC47FF">
            <w:pPr>
              <w:pStyle w:val="Table0"/>
            </w:pPr>
            <w:r w:rsidRPr="001F287A">
              <w:t>Severity of CK elevation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A4026AA" w14:textId="77777777" w:rsidR="009E6D50" w:rsidRPr="001F287A" w:rsidRDefault="009E6D50" w:rsidP="00BC47FF">
            <w:pPr>
              <w:pStyle w:val="Table0"/>
            </w:pPr>
            <w:r w:rsidRPr="001F287A">
              <w:t>Dose modifications* and management recommendations</w:t>
            </w:r>
          </w:p>
        </w:tc>
      </w:tr>
      <w:tr w:rsidR="009E6D50" w14:paraId="783594A4" w14:textId="77777777" w:rsidTr="009E6D50">
        <w:tc>
          <w:tcPr>
            <w:tcW w:w="3652" w:type="dxa"/>
            <w:tcBorders>
              <w:top w:val="single" w:sz="4" w:space="0" w:color="auto"/>
              <w:left w:val="single" w:sz="4" w:space="0" w:color="auto"/>
              <w:bottom w:val="single" w:sz="4" w:space="0" w:color="auto"/>
              <w:right w:val="single" w:sz="4" w:space="0" w:color="auto"/>
            </w:tcBorders>
            <w:vAlign w:val="center"/>
            <w:hideMark/>
          </w:tcPr>
          <w:p w14:paraId="1A801FC0" w14:textId="7C8BC8BA" w:rsidR="009E6D50" w:rsidRPr="0078356F" w:rsidRDefault="009E6D50" w:rsidP="00BC47FF">
            <w:pPr>
              <w:pStyle w:val="Table0"/>
              <w:rPr>
                <w:b w:val="0"/>
                <w:lang w:val="it-IT"/>
              </w:rPr>
            </w:pPr>
            <w:r w:rsidRPr="0078356F">
              <w:rPr>
                <w:b w:val="0"/>
                <w:lang w:val="it-IT"/>
              </w:rPr>
              <w:t>Grade1</w:t>
            </w:r>
            <w:r w:rsidRPr="0078356F">
              <w:rPr>
                <w:b w:val="0"/>
                <w:lang w:val="it-IT"/>
              </w:rPr>
              <w:br/>
              <w:t>[CK elevation &gt;ULN - 2.5 x ULN)]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04EB7F5" w14:textId="77777777" w:rsidR="009E6D50" w:rsidRPr="0078356F" w:rsidRDefault="009E6D50" w:rsidP="00BC47FF">
            <w:pPr>
              <w:pStyle w:val="Table0"/>
              <w:numPr>
                <w:ilvl w:val="0"/>
                <w:numId w:val="2"/>
              </w:numPr>
              <w:rPr>
                <w:rFonts w:eastAsia="MS Mincho"/>
                <w:b w:val="0"/>
              </w:rPr>
            </w:pPr>
            <w:r w:rsidRPr="0078356F">
              <w:rPr>
                <w:b w:val="0"/>
              </w:rPr>
              <w:t xml:space="preserve">Continue treatment at the same dose and monitor CK levels weekly until resolution to baseline level and then monthly thereafter. Monitor muscle symptoms for changes until resolution to baseline. </w:t>
            </w:r>
          </w:p>
          <w:p w14:paraId="26F3F61E" w14:textId="086A365A" w:rsidR="009E6D50" w:rsidRPr="0078356F" w:rsidRDefault="009E6D50" w:rsidP="00BC47FF">
            <w:pPr>
              <w:pStyle w:val="Table0"/>
              <w:numPr>
                <w:ilvl w:val="0"/>
                <w:numId w:val="2"/>
              </w:numPr>
              <w:rPr>
                <w:b w:val="0"/>
              </w:rPr>
            </w:pPr>
            <w:r w:rsidRPr="0078356F">
              <w:rPr>
                <w:b w:val="0"/>
              </w:rPr>
              <w:t>Check renal function (serum creatinine) regularly and ensure that the patient is adequately hydrated.</w:t>
            </w:r>
          </w:p>
        </w:tc>
      </w:tr>
      <w:tr w:rsidR="009E6D50" w14:paraId="5E7BC1CB" w14:textId="77777777" w:rsidTr="009E6D50">
        <w:tc>
          <w:tcPr>
            <w:tcW w:w="3652" w:type="dxa"/>
            <w:tcBorders>
              <w:top w:val="single" w:sz="4" w:space="0" w:color="auto"/>
              <w:left w:val="single" w:sz="4" w:space="0" w:color="auto"/>
              <w:bottom w:val="single" w:sz="4" w:space="0" w:color="auto"/>
              <w:right w:val="single" w:sz="4" w:space="0" w:color="auto"/>
            </w:tcBorders>
            <w:vAlign w:val="center"/>
            <w:hideMark/>
          </w:tcPr>
          <w:p w14:paraId="3A945D2D" w14:textId="1406E055" w:rsidR="009E6D50" w:rsidRPr="007A396C" w:rsidRDefault="009E6D50" w:rsidP="00BC47FF">
            <w:pPr>
              <w:pStyle w:val="Table0"/>
              <w:rPr>
                <w:b w:val="0"/>
              </w:rPr>
            </w:pPr>
            <w:r w:rsidRPr="007A396C">
              <w:rPr>
                <w:b w:val="0"/>
              </w:rPr>
              <w:t>Grade 2</w:t>
            </w:r>
            <w:r w:rsidR="00D42127" w:rsidRPr="007A396C">
              <w:rPr>
                <w:b w:val="0"/>
              </w:rPr>
              <w:t xml:space="preserve"> without renal impairment (serum Cr </w:t>
            </w:r>
            <w:r w:rsidR="00D42127" w:rsidRPr="007A396C">
              <w:rPr>
                <w:rFonts w:hint="eastAsia"/>
                <w:b w:val="0"/>
              </w:rPr>
              <w:t>≤</w:t>
            </w:r>
            <w:r w:rsidR="00D42127" w:rsidRPr="007A396C">
              <w:rPr>
                <w:b w:val="0"/>
              </w:rPr>
              <w:t xml:space="preserve"> ULN)</w:t>
            </w:r>
            <w:r w:rsidRPr="007A396C">
              <w:rPr>
                <w:b w:val="0"/>
              </w:rPr>
              <w:br/>
              <w:t>[CK elevation &gt;2.5 x ULN - 5 x ULN]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8C75C17" w14:textId="19A070D9" w:rsidR="009E6D50" w:rsidRPr="0078356F" w:rsidRDefault="009E6D50" w:rsidP="00BC47FF">
            <w:pPr>
              <w:pStyle w:val="Table0"/>
              <w:numPr>
                <w:ilvl w:val="0"/>
                <w:numId w:val="3"/>
              </w:numPr>
              <w:rPr>
                <w:rFonts w:eastAsia="MS Mincho"/>
                <w:b w:val="0"/>
              </w:rPr>
            </w:pPr>
            <w:r w:rsidRPr="0078356F">
              <w:rPr>
                <w:b w:val="0"/>
              </w:rPr>
              <w:t>Interrupt treatment and monitor CK levels weekly until resolution to baseline</w:t>
            </w:r>
            <w:r w:rsidR="005C69B5" w:rsidRPr="0078356F">
              <w:rPr>
                <w:b w:val="0"/>
              </w:rPr>
              <w:t xml:space="preserve">. </w:t>
            </w:r>
            <w:r w:rsidR="00D42127" w:rsidRPr="0078356F">
              <w:rPr>
                <w:b w:val="0"/>
              </w:rPr>
              <w:t>Monitor muscle symptoms for changes until resolution to baseline. Upon resolution resume treatment at the same dose level and measure CK monthly thereafter.</w:t>
            </w:r>
          </w:p>
          <w:p w14:paraId="753C2AFE" w14:textId="77777777" w:rsidR="009E6D50" w:rsidRPr="007A396C" w:rsidRDefault="009E6D50" w:rsidP="00BC47FF">
            <w:pPr>
              <w:pStyle w:val="Table0"/>
              <w:numPr>
                <w:ilvl w:val="0"/>
                <w:numId w:val="3"/>
              </w:numPr>
              <w:rPr>
                <w:b w:val="0"/>
              </w:rPr>
            </w:pPr>
            <w:r w:rsidRPr="007A396C">
              <w:rPr>
                <w:b w:val="0"/>
              </w:rPr>
              <w:t>Check renal function (serum creatinine) regularly; and ensure that the patient is adequately hydrated.</w:t>
            </w:r>
          </w:p>
          <w:p w14:paraId="204A53C0" w14:textId="77777777" w:rsidR="009E6D50" w:rsidRPr="007A396C" w:rsidRDefault="009E6D50" w:rsidP="007624D5">
            <w:pPr>
              <w:pStyle w:val="Table0"/>
              <w:numPr>
                <w:ilvl w:val="0"/>
                <w:numId w:val="3"/>
              </w:numPr>
              <w:rPr>
                <w:b w:val="0"/>
              </w:rPr>
            </w:pPr>
            <w:r w:rsidRPr="007A396C">
              <w:rPr>
                <w:b w:val="0"/>
              </w:rPr>
              <w:t>If symptoms re-occur, interrupt treatment until resolution to baseline. Re-introduce Odomzo at 200 mg every other day and follow the same monitoring recommendations. If symptoms persist despite alternate day dosing, consider discontinuing treatment.</w:t>
            </w:r>
          </w:p>
        </w:tc>
      </w:tr>
      <w:tr w:rsidR="009E6D50" w14:paraId="73DAF8C8" w14:textId="77777777" w:rsidTr="009E6D50">
        <w:trPr>
          <w:trHeight w:val="1012"/>
        </w:trPr>
        <w:tc>
          <w:tcPr>
            <w:tcW w:w="3652" w:type="dxa"/>
            <w:tcBorders>
              <w:top w:val="single" w:sz="4" w:space="0" w:color="auto"/>
              <w:left w:val="single" w:sz="4" w:space="0" w:color="auto"/>
              <w:bottom w:val="single" w:sz="4" w:space="0" w:color="auto"/>
              <w:right w:val="single" w:sz="4" w:space="0" w:color="auto"/>
            </w:tcBorders>
            <w:vAlign w:val="center"/>
            <w:hideMark/>
          </w:tcPr>
          <w:p w14:paraId="4CC668CE" w14:textId="1408306B" w:rsidR="009E6D50" w:rsidRPr="0078356F" w:rsidRDefault="009E6D50" w:rsidP="007A396C">
            <w:pPr>
              <w:pStyle w:val="Table0"/>
              <w:rPr>
                <w:b w:val="0"/>
              </w:rPr>
            </w:pPr>
            <w:r w:rsidRPr="0078356F">
              <w:rPr>
                <w:b w:val="0"/>
              </w:rPr>
              <w:t xml:space="preserve">Grade 3 or 4 </w:t>
            </w:r>
            <w:r w:rsidRPr="0078356F">
              <w:t>without</w:t>
            </w:r>
            <w:r w:rsidRPr="0078356F">
              <w:rPr>
                <w:b w:val="0"/>
              </w:rPr>
              <w:t xml:space="preserve"> renal impairment</w:t>
            </w:r>
            <w:r w:rsidR="00D42127" w:rsidRPr="0078356F">
              <w:rPr>
                <w:b w:val="0"/>
              </w:rPr>
              <w:t xml:space="preserve"> (serum Cr </w:t>
            </w:r>
            <w:r w:rsidR="00D42127" w:rsidRPr="0078356F">
              <w:rPr>
                <w:rFonts w:hint="eastAsia"/>
                <w:b w:val="0"/>
              </w:rPr>
              <w:t>≤</w:t>
            </w:r>
            <w:r w:rsidR="00D42127" w:rsidRPr="0078356F">
              <w:rPr>
                <w:b w:val="0"/>
              </w:rPr>
              <w:t xml:space="preserve"> ULN)</w:t>
            </w:r>
            <w:r w:rsidRPr="0078356F">
              <w:rPr>
                <w:b w:val="0"/>
              </w:rPr>
              <w:br/>
              <w:t>[Grade 3 (CK elevation &gt;5 x ULN -</w:t>
            </w:r>
            <w:r w:rsidRPr="0078356F">
              <w:rPr>
                <w:b w:val="0"/>
              </w:rPr>
              <w:br/>
              <w:t>10 x ULN)]</w:t>
            </w:r>
            <w:r w:rsidRPr="0078356F">
              <w:rPr>
                <w:b w:val="0"/>
                <w:spacing w:val="-1"/>
              </w:rPr>
              <w:t xml:space="preserve"> </w:t>
            </w:r>
            <w:r w:rsidRPr="0078356F">
              <w:rPr>
                <w:b w:val="0"/>
                <w:spacing w:val="-1"/>
              </w:rPr>
              <w:br/>
              <w:t xml:space="preserve">[Grade </w:t>
            </w:r>
            <w:r w:rsidRPr="0078356F">
              <w:rPr>
                <w:b w:val="0"/>
                <w:w w:val="101"/>
              </w:rPr>
              <w:t>4 (CK elevation &gt;10 x ULN)]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2AF7B6D" w14:textId="77777777" w:rsidR="009E6D50" w:rsidRPr="0078356F" w:rsidRDefault="009E6D50" w:rsidP="00BC47FF">
            <w:pPr>
              <w:pStyle w:val="Table0"/>
              <w:numPr>
                <w:ilvl w:val="0"/>
                <w:numId w:val="4"/>
              </w:numPr>
              <w:rPr>
                <w:rFonts w:eastAsia="MS Mincho"/>
                <w:b w:val="0"/>
              </w:rPr>
            </w:pPr>
            <w:r w:rsidRPr="0078356F">
              <w:rPr>
                <w:b w:val="0"/>
              </w:rPr>
              <w:t xml:space="preserve">Interrupt treatment and monitor CK levels weekly until resolution to baseline. Monitor muscle symptoms for changes until resolution to baseline.  </w:t>
            </w:r>
          </w:p>
          <w:p w14:paraId="511F0792" w14:textId="77777777" w:rsidR="009E6D50" w:rsidRPr="0078356F" w:rsidRDefault="009E6D50" w:rsidP="00BC47FF">
            <w:pPr>
              <w:pStyle w:val="Table0"/>
              <w:numPr>
                <w:ilvl w:val="0"/>
                <w:numId w:val="4"/>
              </w:numPr>
              <w:rPr>
                <w:b w:val="0"/>
              </w:rPr>
            </w:pPr>
            <w:r w:rsidRPr="0078356F">
              <w:rPr>
                <w:b w:val="0"/>
              </w:rPr>
              <w:t>Check renal function (serum creatinine) regularly; and ensure that the patient is adequately hydrated.</w:t>
            </w:r>
          </w:p>
          <w:p w14:paraId="2E72595C" w14:textId="25CEB2A3" w:rsidR="009E6D50" w:rsidRPr="0078356F" w:rsidRDefault="009E6D50" w:rsidP="00BC47FF">
            <w:pPr>
              <w:pStyle w:val="Table0"/>
              <w:numPr>
                <w:ilvl w:val="0"/>
                <w:numId w:val="4"/>
              </w:numPr>
              <w:rPr>
                <w:b w:val="0"/>
              </w:rPr>
            </w:pPr>
            <w:r w:rsidRPr="0078356F">
              <w:rPr>
                <w:b w:val="0"/>
              </w:rPr>
              <w:t>If renal function is not impaired and CK resolves to baseline consider resuming treatment at 200 mg every other day. CK levels should be measured weekly for 2 months after re-administration of Odomzo and monthly thereafter.</w:t>
            </w:r>
          </w:p>
        </w:tc>
      </w:tr>
      <w:tr w:rsidR="009E6D50" w14:paraId="2C073A94" w14:textId="77777777" w:rsidTr="009E6D50">
        <w:trPr>
          <w:trHeight w:val="1012"/>
        </w:trPr>
        <w:tc>
          <w:tcPr>
            <w:tcW w:w="3652" w:type="dxa"/>
            <w:tcBorders>
              <w:top w:val="single" w:sz="4" w:space="0" w:color="auto"/>
              <w:left w:val="single" w:sz="4" w:space="0" w:color="auto"/>
              <w:bottom w:val="single" w:sz="4" w:space="0" w:color="auto"/>
              <w:right w:val="single" w:sz="4" w:space="0" w:color="auto"/>
            </w:tcBorders>
            <w:vAlign w:val="center"/>
            <w:hideMark/>
          </w:tcPr>
          <w:p w14:paraId="3287131C" w14:textId="0E913362" w:rsidR="009E6D50" w:rsidRPr="007A396C" w:rsidRDefault="009E6D50" w:rsidP="00BC47FF">
            <w:pPr>
              <w:pStyle w:val="Table0"/>
              <w:rPr>
                <w:b w:val="0"/>
              </w:rPr>
            </w:pPr>
            <w:r w:rsidRPr="007A396C">
              <w:rPr>
                <w:b w:val="0"/>
              </w:rPr>
              <w:t xml:space="preserve">Grade </w:t>
            </w:r>
            <w:r w:rsidR="00D42127" w:rsidRPr="007A396C">
              <w:rPr>
                <w:b w:val="0"/>
              </w:rPr>
              <w:t xml:space="preserve">2, </w:t>
            </w:r>
            <w:r w:rsidRPr="007A396C">
              <w:rPr>
                <w:b w:val="0"/>
              </w:rPr>
              <w:t>3 or 4 with renal impairment</w:t>
            </w:r>
            <w:r w:rsidR="00D42127" w:rsidRPr="007A396C">
              <w:rPr>
                <w:b w:val="0"/>
              </w:rPr>
              <w:t xml:space="preserve"> (serum Cr &gt; ULN)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5BA7E34" w14:textId="7DC2ACAD" w:rsidR="009E6D50" w:rsidRPr="0078356F" w:rsidRDefault="009E6D50" w:rsidP="007A396C">
            <w:pPr>
              <w:pStyle w:val="Table0"/>
              <w:numPr>
                <w:ilvl w:val="0"/>
                <w:numId w:val="6"/>
              </w:numPr>
              <w:rPr>
                <w:b w:val="0"/>
              </w:rPr>
            </w:pPr>
            <w:r w:rsidRPr="0078356F">
              <w:rPr>
                <w:b w:val="0"/>
              </w:rPr>
              <w:t>If renal function is impaired, interrupt treatment and ensure that the patient is adequately hydrated and evaluate other secondary causes</w:t>
            </w:r>
            <w:r w:rsidR="00D42127" w:rsidRPr="0078356F">
              <w:rPr>
                <w:b w:val="0"/>
              </w:rPr>
              <w:t xml:space="preserve"> of renal impairment</w:t>
            </w:r>
            <w:r w:rsidRPr="0078356F">
              <w:rPr>
                <w:b w:val="0"/>
              </w:rPr>
              <w:t>.</w:t>
            </w:r>
          </w:p>
          <w:p w14:paraId="4F52FBA6" w14:textId="470B100D" w:rsidR="00D42127" w:rsidRPr="0078356F" w:rsidRDefault="00D42127" w:rsidP="007A396C">
            <w:pPr>
              <w:pStyle w:val="Table0"/>
              <w:numPr>
                <w:ilvl w:val="0"/>
                <w:numId w:val="6"/>
              </w:numPr>
              <w:rPr>
                <w:b w:val="0"/>
              </w:rPr>
            </w:pPr>
            <w:r w:rsidRPr="0078356F">
              <w:rPr>
                <w:b w:val="0"/>
              </w:rPr>
              <w:t>Monitor CK and serum creatinine levels weekly until resolution to baseline. Monitor muscle symptoms for changes until resolution to baseline.</w:t>
            </w:r>
          </w:p>
          <w:p w14:paraId="5E883FDF" w14:textId="306755A5" w:rsidR="009E6D50" w:rsidRPr="0078356F" w:rsidRDefault="009E6D50" w:rsidP="007A396C">
            <w:pPr>
              <w:pStyle w:val="Table0"/>
              <w:numPr>
                <w:ilvl w:val="0"/>
                <w:numId w:val="6"/>
              </w:numPr>
              <w:rPr>
                <w:b w:val="0"/>
              </w:rPr>
            </w:pPr>
            <w:r w:rsidRPr="0078356F">
              <w:rPr>
                <w:b w:val="0"/>
              </w:rPr>
              <w:t>If CK and serum creatinine levels return to baseline consider resuming treatment at 200 mg every other day</w:t>
            </w:r>
            <w:r w:rsidR="00D42127" w:rsidRPr="0078356F">
              <w:rPr>
                <w:b w:val="0"/>
              </w:rPr>
              <w:t xml:space="preserve"> and measure CK levels weekly for 2 months and monthly thereafter</w:t>
            </w:r>
            <w:r w:rsidRPr="0078356F">
              <w:rPr>
                <w:b w:val="0"/>
              </w:rPr>
              <w:t>;</w:t>
            </w:r>
            <w:r w:rsidRPr="0078356F">
              <w:rPr>
                <w:b w:val="0"/>
                <w:color w:val="FF0000"/>
              </w:rPr>
              <w:t xml:space="preserve"> </w:t>
            </w:r>
            <w:r w:rsidRPr="0078356F">
              <w:rPr>
                <w:b w:val="0"/>
              </w:rPr>
              <w:t xml:space="preserve">otherwise discontinue treatment permanently. </w:t>
            </w:r>
          </w:p>
        </w:tc>
      </w:tr>
    </w:tbl>
    <w:p w14:paraId="2C5F1988" w14:textId="074D6AE5" w:rsidR="009E6D50" w:rsidRPr="0078356F" w:rsidRDefault="009E6D50" w:rsidP="00BC47FF">
      <w:pPr>
        <w:pStyle w:val="Table0"/>
        <w:rPr>
          <w:b w:val="0"/>
        </w:rPr>
      </w:pPr>
      <w:r w:rsidRPr="0078356F">
        <w:rPr>
          <w:b w:val="0"/>
        </w:rPr>
        <w:t>*Recommendations for dose modifications contained within the chart above based on the Common T</w:t>
      </w:r>
      <w:r w:rsidR="00D42127" w:rsidRPr="0078356F">
        <w:rPr>
          <w:b w:val="0"/>
        </w:rPr>
        <w:t>erminology</w:t>
      </w:r>
      <w:r w:rsidRPr="0078356F">
        <w:rPr>
          <w:b w:val="0"/>
        </w:rPr>
        <w:t xml:space="preserve"> Criteria for Adverse Events (</w:t>
      </w:r>
      <w:hyperlink r:id="rId15" w:tgtFrame="_blank" w:history="1">
        <w:r w:rsidRPr="007A396C">
          <w:rPr>
            <w:rStyle w:val="Hyperlink"/>
            <w:b w:val="0"/>
            <w:bCs w:val="0"/>
            <w:sz w:val="18"/>
          </w:rPr>
          <w:t>CTCAE</w:t>
        </w:r>
      </w:hyperlink>
      <w:r w:rsidRPr="0078356F">
        <w:rPr>
          <w:b w:val="0"/>
        </w:rPr>
        <w:t>) v4.03, developed by the National Cancer Institute (USA). The CTCAE</w:t>
      </w:r>
      <w:r w:rsidRPr="0078356F">
        <w:rPr>
          <w:b w:val="0"/>
          <w:color w:val="5A8CAD"/>
        </w:rPr>
        <w:t xml:space="preserve"> </w:t>
      </w:r>
      <w:r w:rsidRPr="0078356F">
        <w:rPr>
          <w:b w:val="0"/>
          <w:lang w:val="en"/>
        </w:rPr>
        <w:t>is a standardized classification of side effects used in assessing drugs for cancer therapy</w:t>
      </w:r>
      <w:r w:rsidRPr="0078356F">
        <w:rPr>
          <w:b w:val="0"/>
        </w:rPr>
        <w:t>.</w:t>
      </w:r>
    </w:p>
    <w:p w14:paraId="5763411C" w14:textId="6DC64C56" w:rsidR="009E6D50" w:rsidRPr="0078356F" w:rsidRDefault="00D42127" w:rsidP="007A396C">
      <w:pPr>
        <w:pStyle w:val="Table0"/>
        <w:rPr>
          <w:b w:val="0"/>
        </w:rPr>
      </w:pPr>
      <w:r w:rsidRPr="0078356F">
        <w:rPr>
          <w:b w:val="0"/>
          <w:vertAlign w:val="superscript"/>
        </w:rPr>
        <w:t xml:space="preserve"> </w:t>
      </w:r>
      <w:r w:rsidRPr="0078356F">
        <w:rPr>
          <w:b w:val="0"/>
        </w:rPr>
        <w:t xml:space="preserve">Cr: creatinine; ULN: </w:t>
      </w:r>
      <w:r w:rsidR="009E6D50" w:rsidRPr="0078356F">
        <w:rPr>
          <w:b w:val="0"/>
        </w:rPr>
        <w:t>Upper limit of normal</w:t>
      </w:r>
    </w:p>
    <w:p w14:paraId="514F0FA4" w14:textId="77777777" w:rsidR="007A396C" w:rsidRDefault="007A396C">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rPr>
          <w:u w:val="single"/>
        </w:rPr>
      </w:pPr>
      <w:r>
        <w:rPr>
          <w:u w:val="single"/>
        </w:rPr>
        <w:br w:type="page"/>
      </w:r>
    </w:p>
    <w:p w14:paraId="21D195E7" w14:textId="6AF4EDAE" w:rsidR="007A396C" w:rsidRDefault="00D42127" w:rsidP="007A396C">
      <w:pPr>
        <w:pStyle w:val="Text"/>
        <w:spacing w:before="360"/>
        <w:rPr>
          <w:b w:val="0"/>
        </w:rPr>
      </w:pPr>
      <w:r w:rsidRPr="00506DA3">
        <w:rPr>
          <w:u w:val="single"/>
        </w:rPr>
        <w:lastRenderedPageBreak/>
        <w:t>Other dose modifications</w:t>
      </w:r>
    </w:p>
    <w:p w14:paraId="02E25E8A" w14:textId="0070941E" w:rsidR="00D42127" w:rsidRPr="00506DA3" w:rsidRDefault="00D42127" w:rsidP="007A396C">
      <w:pPr>
        <w:pStyle w:val="Text"/>
        <w:spacing w:before="360"/>
        <w:rPr>
          <w:b w:val="0"/>
        </w:rPr>
      </w:pPr>
      <w:r w:rsidRPr="00506DA3">
        <w:rPr>
          <w:b w:val="0"/>
        </w:rPr>
        <w:t>If dose reduction is required due to any other adverse drug reaction, then the recommended dose of Odomzo should be reduced to 200 mg every other day. If the same adverse drug reaction occurs following the switch to alternate</w:t>
      </w:r>
      <w:r w:rsidRPr="00506DA3">
        <w:rPr>
          <w:b w:val="0"/>
        </w:rPr>
        <w:noBreakHyphen/>
        <w:t>daily dosing and does not improve, consider discontinuing treatment with Odomzo.</w:t>
      </w:r>
    </w:p>
    <w:p w14:paraId="4B99BF97" w14:textId="77777777" w:rsidR="00F60D4D" w:rsidRPr="00506DA3" w:rsidRDefault="00F60D4D" w:rsidP="001D6A62">
      <w:pPr>
        <w:pStyle w:val="Heading2"/>
        <w:rPr>
          <w:lang w:val="en-US"/>
        </w:rPr>
      </w:pPr>
    </w:p>
    <w:p w14:paraId="0840EE9E" w14:textId="77777777" w:rsidR="00B82375" w:rsidRPr="001D6A62" w:rsidRDefault="00F22127" w:rsidP="001D6A62">
      <w:pPr>
        <w:pStyle w:val="Heading2"/>
      </w:pPr>
      <w:r w:rsidRPr="001D6A62">
        <w:t>Patients with Renal Impairment</w:t>
      </w:r>
    </w:p>
    <w:p w14:paraId="6457D4DA" w14:textId="02886B08" w:rsidR="00F60D4D" w:rsidRPr="00F60D4D" w:rsidRDefault="00F60D4D" w:rsidP="00F60D4D">
      <w:pPr>
        <w:pStyle w:val="paragraph"/>
        <w:rPr>
          <w:b w:val="0"/>
          <w:lang w:val="pt-BR"/>
        </w:rPr>
      </w:pPr>
      <w:r w:rsidRPr="00F60D4D">
        <w:rPr>
          <w:b w:val="0"/>
        </w:rPr>
        <w:t xml:space="preserve">Sonidegib has not been studied in patients with renal impairment. Based on the available data, sonidegib elimination via the kidney is negligible. A population pharmacokinetic analysis did not find significant influence of renal function on the apparent clearance (CL/F) of sonidegib suggesting that dose adjustment is not necessary in patients with renal impairment (see </w:t>
      </w:r>
      <w:r>
        <w:rPr>
          <w:b w:val="0"/>
        </w:rPr>
        <w:t>P</w:t>
      </w:r>
      <w:r w:rsidRPr="00F60D4D">
        <w:rPr>
          <w:b w:val="0"/>
        </w:rPr>
        <w:t>harmacology</w:t>
      </w:r>
      <w:r>
        <w:rPr>
          <w:b w:val="0"/>
        </w:rPr>
        <w:t>).</w:t>
      </w:r>
    </w:p>
    <w:p w14:paraId="0840EE9F" w14:textId="77777777" w:rsidR="00B82375" w:rsidRDefault="00F22127" w:rsidP="001D6A62">
      <w:pPr>
        <w:pStyle w:val="Heading2"/>
      </w:pPr>
      <w:r w:rsidRPr="00D766FE">
        <w:t>Patients with Hepatic Impairment</w:t>
      </w:r>
    </w:p>
    <w:p w14:paraId="467EB8CB" w14:textId="5B37E61B" w:rsidR="00F60D4D" w:rsidRPr="00F60D4D" w:rsidRDefault="00F60D4D" w:rsidP="00F60D4D">
      <w:pPr>
        <w:pStyle w:val="paragraph"/>
        <w:rPr>
          <w:b w:val="0"/>
          <w:lang w:val="pt-BR"/>
        </w:rPr>
      </w:pPr>
      <w:r w:rsidRPr="00F60D4D">
        <w:rPr>
          <w:b w:val="0"/>
        </w:rPr>
        <w:t xml:space="preserve">Sonidegib has not been studied in patients with hepatic impairment. Based on the available data, sonidegib is primarily metabolized by the liver. It is anticipated that impaired hepatic function may impact sonidegib pharmacokinetics. Therefore, caution should be used in patients with hepatic impairment (see </w:t>
      </w:r>
      <w:r>
        <w:rPr>
          <w:b w:val="0"/>
        </w:rPr>
        <w:t>P</w:t>
      </w:r>
      <w:r w:rsidRPr="00F60D4D">
        <w:rPr>
          <w:b w:val="0"/>
        </w:rPr>
        <w:t>harmacology</w:t>
      </w:r>
      <w:r>
        <w:rPr>
          <w:b w:val="0"/>
        </w:rPr>
        <w:t>).</w:t>
      </w:r>
    </w:p>
    <w:p w14:paraId="420315BF" w14:textId="77777777" w:rsidR="007A396C" w:rsidRDefault="007A396C" w:rsidP="007F46FD">
      <w:pPr>
        <w:pStyle w:val="Heading1"/>
      </w:pPr>
    </w:p>
    <w:p w14:paraId="0840EEA1" w14:textId="77777777" w:rsidR="006D0C74" w:rsidRDefault="00F22127" w:rsidP="007F46FD">
      <w:pPr>
        <w:pStyle w:val="Heading1"/>
      </w:pPr>
      <w:r w:rsidRPr="00D766FE">
        <w:t>OVERDOSAGE</w:t>
      </w:r>
    </w:p>
    <w:p w14:paraId="174D12EE" w14:textId="72A6082D" w:rsidR="00FA3C64" w:rsidRDefault="00FA3C64" w:rsidP="00FA3C64">
      <w:pPr>
        <w:pStyle w:val="paragraph"/>
        <w:rPr>
          <w:b w:val="0"/>
        </w:rPr>
      </w:pPr>
      <w:r w:rsidRPr="00FA3C64">
        <w:rPr>
          <w:b w:val="0"/>
        </w:rPr>
        <w:t>In dose escalation studies, Odomzo was administered up to 3000 mg orally once daily. Patients should be monitored closely for adverse events and given appropriate supportive measures in all cases of overdose</w:t>
      </w:r>
      <w:r>
        <w:rPr>
          <w:b w:val="0"/>
        </w:rPr>
        <w:t>.</w:t>
      </w:r>
    </w:p>
    <w:p w14:paraId="1B40D7AC" w14:textId="77777777" w:rsidR="00FA3C64" w:rsidRDefault="00FA3C64" w:rsidP="00FA3C64">
      <w:pPr>
        <w:rPr>
          <w:b w:val="0"/>
          <w:lang w:val="en-AU"/>
        </w:rPr>
      </w:pPr>
      <w:r>
        <w:rPr>
          <w:b w:val="0"/>
          <w:lang w:val="en-AU"/>
        </w:rPr>
        <w:t>Contact the Poisons Information Centre on 13 11 26 for advice on management.</w:t>
      </w:r>
    </w:p>
    <w:p w14:paraId="6694ACD8" w14:textId="77777777" w:rsidR="00FA3C64" w:rsidRPr="00FA3C64" w:rsidRDefault="00FA3C64" w:rsidP="00FA3C64">
      <w:pPr>
        <w:pStyle w:val="paragraph"/>
        <w:rPr>
          <w:b w:val="0"/>
        </w:rPr>
      </w:pPr>
    </w:p>
    <w:p w14:paraId="0840EEA2" w14:textId="77777777" w:rsidR="006D0C74" w:rsidRDefault="00F22127" w:rsidP="007F46FD">
      <w:pPr>
        <w:pStyle w:val="Heading1"/>
      </w:pPr>
      <w:r w:rsidRPr="00D766FE">
        <w:t>PRESENTATION</w:t>
      </w:r>
      <w:r w:rsidR="00B53986">
        <w:t xml:space="preserve"> AND STORAGE CONDITIONS</w:t>
      </w:r>
    </w:p>
    <w:p w14:paraId="1F269AC2" w14:textId="44499E41" w:rsidR="009E6D50" w:rsidRDefault="009E6D50" w:rsidP="009E6D50">
      <w:pPr>
        <w:rPr>
          <w:b w:val="0"/>
        </w:rPr>
      </w:pPr>
      <w:r>
        <w:t xml:space="preserve">200 mg hard gelatin capsule: </w:t>
      </w:r>
      <w:r w:rsidR="006D2F7B" w:rsidRPr="006D2F7B">
        <w:rPr>
          <w:b w:val="0"/>
        </w:rPr>
        <w:t>200 mg: Size #00 Coni-snap, opaque pink capsule, cap imprinted in black ink with “NVR,” body imprinted in black ink with “SONIDEGIB 200MG,” containing white to practically white powder with granules</w:t>
      </w:r>
      <w:r w:rsidR="006D2F7B">
        <w:rPr>
          <w:b w:val="0"/>
        </w:rPr>
        <w:t>.</w:t>
      </w:r>
    </w:p>
    <w:p w14:paraId="2F660B6B" w14:textId="6CC28B4F" w:rsidR="009E6D50" w:rsidRPr="009E6D50" w:rsidRDefault="009E6D50" w:rsidP="007F46FD">
      <w:pPr>
        <w:rPr>
          <w:b w:val="0"/>
        </w:rPr>
      </w:pPr>
      <w:r w:rsidRPr="009E6D50">
        <w:rPr>
          <w:b w:val="0"/>
        </w:rPr>
        <w:t>Blisters containing 10, 30 capsules</w:t>
      </w:r>
    </w:p>
    <w:p w14:paraId="0840EEA3" w14:textId="77777777" w:rsidR="00B82375" w:rsidRPr="009E6D50" w:rsidRDefault="00F22127" w:rsidP="007F46FD">
      <w:pPr>
        <w:rPr>
          <w:b w:val="0"/>
        </w:rPr>
      </w:pPr>
      <w:r w:rsidRPr="00D766FE">
        <w:t xml:space="preserve">Pack sizes: </w:t>
      </w:r>
      <w:r w:rsidRPr="009E6D50">
        <w:rPr>
          <w:b w:val="0"/>
        </w:rPr>
        <w:t>Not all pack sizes may be marketed.</w:t>
      </w:r>
    </w:p>
    <w:p w14:paraId="6E37A7BF" w14:textId="5FCFD65D" w:rsidR="00FA3C64" w:rsidRPr="00FA3C64" w:rsidRDefault="00F22127" w:rsidP="00F12490">
      <w:pPr>
        <w:rPr>
          <w:b w:val="0"/>
        </w:rPr>
      </w:pPr>
      <w:r w:rsidRPr="00D766FE">
        <w:t xml:space="preserve">Storage: </w:t>
      </w:r>
      <w:r w:rsidR="00EA52C0" w:rsidRPr="00EA52C0">
        <w:rPr>
          <w:b w:val="0"/>
        </w:rPr>
        <w:t>Store</w:t>
      </w:r>
      <w:r w:rsidR="00EA52C0">
        <w:rPr>
          <w:b w:val="0"/>
        </w:rPr>
        <w:t xml:space="preserve"> below </w:t>
      </w:r>
      <w:r w:rsidR="00FA3C64">
        <w:rPr>
          <w:b w:val="0"/>
        </w:rPr>
        <w:t>25°C</w:t>
      </w:r>
      <w:r w:rsidR="006D5E9D">
        <w:rPr>
          <w:b w:val="0"/>
        </w:rPr>
        <w:t>.</w:t>
      </w:r>
      <w:r w:rsidR="00FA3C64" w:rsidRPr="00FA3C64">
        <w:rPr>
          <w:b w:val="0"/>
        </w:rPr>
        <w:t>Protect from moisture. Store in the original package.</w:t>
      </w:r>
    </w:p>
    <w:p w14:paraId="219E8F0B" w14:textId="7DAA1D7B" w:rsidR="00FA3C64" w:rsidRPr="00FA3C64" w:rsidRDefault="00FA3C64" w:rsidP="00FA3C64">
      <w:pPr>
        <w:rPr>
          <w:b w:val="0"/>
        </w:rPr>
      </w:pPr>
      <w:r w:rsidRPr="00FA3C64">
        <w:rPr>
          <w:b w:val="0"/>
        </w:rPr>
        <w:t>Odomzo capsules must be kept out of the reach and sight of children</w:t>
      </w:r>
      <w:r>
        <w:rPr>
          <w:b w:val="0"/>
        </w:rPr>
        <w:t>.</w:t>
      </w:r>
    </w:p>
    <w:p w14:paraId="54C4AC26" w14:textId="77777777" w:rsidR="009E6D50" w:rsidRDefault="009E6D50" w:rsidP="007F46FD">
      <w:pPr>
        <w:pStyle w:val="Heading1"/>
      </w:pPr>
    </w:p>
    <w:p w14:paraId="0840EEA5" w14:textId="77777777" w:rsidR="006D0C74" w:rsidRDefault="00B53986" w:rsidP="007F46FD">
      <w:pPr>
        <w:pStyle w:val="Heading1"/>
      </w:pPr>
      <w:r>
        <w:t>NAME AND ADDRESS OF THE SPONSOR</w:t>
      </w:r>
    </w:p>
    <w:p w14:paraId="0840EEA6" w14:textId="77777777" w:rsidR="00B82375" w:rsidRPr="00F12490" w:rsidRDefault="00F22127" w:rsidP="007F46FD">
      <w:pPr>
        <w:rPr>
          <w:b w:val="0"/>
        </w:rPr>
      </w:pPr>
      <w:r w:rsidRPr="00F12490">
        <w:rPr>
          <w:b w:val="0"/>
        </w:rPr>
        <w:t>Novartis Pharmaceuticals Australia Pty Limited</w:t>
      </w:r>
    </w:p>
    <w:p w14:paraId="0840EEA7" w14:textId="77777777" w:rsidR="00B82375" w:rsidRPr="00F12490" w:rsidRDefault="00F22127" w:rsidP="007F46FD">
      <w:pPr>
        <w:rPr>
          <w:b w:val="0"/>
        </w:rPr>
      </w:pPr>
      <w:r w:rsidRPr="00F12490">
        <w:rPr>
          <w:b w:val="0"/>
        </w:rPr>
        <w:t>ABN 18 004 244 160</w:t>
      </w:r>
    </w:p>
    <w:p w14:paraId="0840EEA8" w14:textId="77777777" w:rsidR="00B82375" w:rsidRPr="00F12490" w:rsidRDefault="00F22127" w:rsidP="007F46FD">
      <w:pPr>
        <w:rPr>
          <w:b w:val="0"/>
        </w:rPr>
      </w:pPr>
      <w:r w:rsidRPr="00F12490">
        <w:rPr>
          <w:b w:val="0"/>
        </w:rPr>
        <w:t>54 Waterloo Road</w:t>
      </w:r>
    </w:p>
    <w:p w14:paraId="0840EEA9" w14:textId="435F9F9A" w:rsidR="00B82375" w:rsidRPr="00F12490" w:rsidRDefault="003B1891" w:rsidP="007F46FD">
      <w:pPr>
        <w:rPr>
          <w:b w:val="0"/>
        </w:rPr>
      </w:pPr>
      <w:r>
        <w:rPr>
          <w:b w:val="0"/>
        </w:rPr>
        <w:t>Macquarie Park</w:t>
      </w:r>
      <w:r w:rsidR="00F22127" w:rsidRPr="00F12490">
        <w:rPr>
          <w:b w:val="0"/>
        </w:rPr>
        <w:t xml:space="preserve"> NSW 2113</w:t>
      </w:r>
    </w:p>
    <w:p w14:paraId="0840EEAA" w14:textId="77777777" w:rsidR="00B82375" w:rsidRPr="00F12490" w:rsidRDefault="00F22127" w:rsidP="007F46FD">
      <w:pPr>
        <w:rPr>
          <w:b w:val="0"/>
        </w:rPr>
      </w:pPr>
      <w:r w:rsidRPr="00F12490">
        <w:rPr>
          <w:b w:val="0"/>
        </w:rPr>
        <w:sym w:font="Symbol" w:char="F0D2"/>
      </w:r>
      <w:r w:rsidRPr="00F12490">
        <w:rPr>
          <w:b w:val="0"/>
        </w:rPr>
        <w:t xml:space="preserve"> = Registered Trademark</w:t>
      </w:r>
    </w:p>
    <w:p w14:paraId="2964F24F" w14:textId="77777777" w:rsidR="00F12490" w:rsidRDefault="00F12490" w:rsidP="007F46FD">
      <w:pPr>
        <w:pStyle w:val="Heading1"/>
      </w:pPr>
    </w:p>
    <w:p w14:paraId="0840EEAB" w14:textId="77777777" w:rsidR="00B53986" w:rsidRDefault="00B53986" w:rsidP="007F46FD">
      <w:pPr>
        <w:pStyle w:val="Heading1"/>
      </w:pPr>
      <w:r w:rsidRPr="00B53986">
        <w:t>POISON SCHEDULE OF THE MEDICINE</w:t>
      </w:r>
    </w:p>
    <w:p w14:paraId="0840EEAC" w14:textId="5197082C" w:rsidR="00B53986" w:rsidRPr="009E6D50" w:rsidRDefault="009E6D50" w:rsidP="007F46FD">
      <w:pPr>
        <w:rPr>
          <w:b w:val="0"/>
        </w:rPr>
      </w:pPr>
      <w:r w:rsidRPr="009E6D50">
        <w:rPr>
          <w:b w:val="0"/>
        </w:rPr>
        <w:t>Prescription Only Medicine (</w:t>
      </w:r>
      <w:r w:rsidR="00B53986" w:rsidRPr="009E6D50">
        <w:rPr>
          <w:b w:val="0"/>
        </w:rPr>
        <w:t xml:space="preserve">Schedule </w:t>
      </w:r>
      <w:r w:rsidR="00FA3C64" w:rsidRPr="009E6D50">
        <w:rPr>
          <w:b w:val="0"/>
        </w:rPr>
        <w:t>4</w:t>
      </w:r>
      <w:r w:rsidRPr="009E6D50">
        <w:rPr>
          <w:b w:val="0"/>
        </w:rPr>
        <w:t>)</w:t>
      </w:r>
    </w:p>
    <w:p w14:paraId="0840EEAD" w14:textId="77777777" w:rsidR="00B53986" w:rsidRDefault="00B53986" w:rsidP="007F46FD">
      <w:pPr>
        <w:pStyle w:val="Heading1"/>
      </w:pPr>
      <w:r w:rsidRPr="00B53986">
        <w:t>DATE OF FIRST INCLUSION IN THE AUSTRALIAN REGISTER</w:t>
      </w:r>
      <w:r>
        <w:t xml:space="preserve"> OF THERAPEUTIC GOODS </w:t>
      </w:r>
    </w:p>
    <w:p w14:paraId="0454F7BC" w14:textId="2E8224C6" w:rsidR="00FA3C64" w:rsidRPr="006622A3" w:rsidRDefault="006622A3" w:rsidP="00FA3C64">
      <w:pPr>
        <w:pStyle w:val="paragraph"/>
        <w:rPr>
          <w:b w:val="0"/>
        </w:rPr>
      </w:pPr>
      <w:r w:rsidRPr="006622A3">
        <w:rPr>
          <w:b w:val="0"/>
        </w:rPr>
        <w:t>10 August 2015</w:t>
      </w:r>
    </w:p>
    <w:p w14:paraId="0840EEB0" w14:textId="77777777" w:rsidR="00B82375" w:rsidRPr="00D766FE" w:rsidRDefault="00B82375" w:rsidP="007F46FD">
      <w:pPr>
        <w:pBdr>
          <w:bottom w:val="single" w:sz="12" w:space="1" w:color="auto"/>
        </w:pBdr>
      </w:pPr>
    </w:p>
    <w:p w14:paraId="5BFD36DF" w14:textId="77777777" w:rsidR="009E6D50" w:rsidRDefault="009E6D50" w:rsidP="009E6D50">
      <w:pPr>
        <w:tabs>
          <w:tab w:val="center" w:pos="5812"/>
          <w:tab w:val="center" w:pos="6805"/>
        </w:tabs>
        <w:rPr>
          <w:b w:val="0"/>
        </w:rPr>
      </w:pPr>
      <w:r>
        <w:rPr>
          <w:b w:val="0"/>
        </w:rPr>
        <w:t xml:space="preserve">For Internal Use Only </w:t>
      </w:r>
    </w:p>
    <w:p w14:paraId="56A8F7AA" w14:textId="51C97CC5" w:rsidR="009E6D50" w:rsidRPr="00D766FE" w:rsidRDefault="009E6D50" w:rsidP="009E6D50">
      <w:r>
        <w:rPr>
          <w:b w:val="0"/>
        </w:rPr>
        <w:t>Odo</w:t>
      </w:r>
      <w:r w:rsidR="006622A3">
        <w:rPr>
          <w:b w:val="0"/>
        </w:rPr>
        <w:t>10</w:t>
      </w:r>
      <w:r w:rsidR="00E754E0">
        <w:rPr>
          <w:b w:val="0"/>
        </w:rPr>
        <w:t>08</w:t>
      </w:r>
      <w:r w:rsidR="002202F2">
        <w:rPr>
          <w:b w:val="0"/>
        </w:rPr>
        <w:t>15</w:t>
      </w:r>
      <w:r>
        <w:rPr>
          <w:b w:val="0"/>
        </w:rPr>
        <w:t xml:space="preserve">i based on the CDS of </w:t>
      </w:r>
      <w:r w:rsidR="001F287A">
        <w:rPr>
          <w:b w:val="0"/>
        </w:rPr>
        <w:t>20 February 2015</w:t>
      </w:r>
    </w:p>
    <w:sectPr w:rsidR="009E6D50" w:rsidRPr="00D766FE" w:rsidSect="00F354E3">
      <w:headerReference w:type="even" r:id="rId16"/>
      <w:headerReference w:type="default" r:id="rId17"/>
      <w:footerReference w:type="even" r:id="rId18"/>
      <w:footerReference w:type="default" r:id="rId19"/>
      <w:headerReference w:type="first" r:id="rId20"/>
      <w:footerReference w:type="first" r:id="rId21"/>
      <w:pgSz w:w="11907" w:h="16840" w:code="9"/>
      <w:pgMar w:top="-2351"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EF3D" w14:textId="77777777" w:rsidR="00BC47FF" w:rsidRDefault="00BC47FF" w:rsidP="007F46FD">
      <w:r>
        <w:separator/>
      </w:r>
    </w:p>
    <w:p w14:paraId="0840EF3E" w14:textId="77777777" w:rsidR="00BC47FF" w:rsidRDefault="00BC47FF" w:rsidP="007F46FD"/>
    <w:p w14:paraId="0840EF3F" w14:textId="77777777" w:rsidR="00BC47FF" w:rsidRDefault="00BC47FF" w:rsidP="007F46FD"/>
    <w:p w14:paraId="0840EF40" w14:textId="77777777" w:rsidR="00BC47FF" w:rsidRDefault="00BC47FF" w:rsidP="007F46FD"/>
    <w:p w14:paraId="0840EF41" w14:textId="77777777" w:rsidR="00BC47FF" w:rsidRDefault="00BC47FF" w:rsidP="007F46FD"/>
    <w:p w14:paraId="0840EF42" w14:textId="77777777" w:rsidR="00BC47FF" w:rsidRDefault="00BC47FF" w:rsidP="007F46FD"/>
    <w:p w14:paraId="0840EF43" w14:textId="77777777" w:rsidR="00BC47FF" w:rsidRDefault="00BC47FF" w:rsidP="007F46FD"/>
    <w:p w14:paraId="0840EF44" w14:textId="77777777" w:rsidR="00BC47FF" w:rsidRDefault="00BC47FF" w:rsidP="007F46FD"/>
    <w:p w14:paraId="0840EF45" w14:textId="77777777" w:rsidR="00BC47FF" w:rsidRDefault="00BC47FF" w:rsidP="007F46FD"/>
    <w:p w14:paraId="0840EF46" w14:textId="77777777" w:rsidR="00BC47FF" w:rsidRDefault="00BC47FF" w:rsidP="007F46FD"/>
    <w:p w14:paraId="0840EF47" w14:textId="77777777" w:rsidR="00BC47FF" w:rsidRDefault="00BC47FF" w:rsidP="007F46FD"/>
    <w:p w14:paraId="0840EF48" w14:textId="77777777" w:rsidR="00BC47FF" w:rsidRDefault="00BC47FF" w:rsidP="007F46FD"/>
    <w:p w14:paraId="0840EF49" w14:textId="77777777" w:rsidR="00BC47FF" w:rsidRDefault="00BC47FF" w:rsidP="007F46FD"/>
    <w:p w14:paraId="0840EF4A" w14:textId="77777777" w:rsidR="00BC47FF" w:rsidRDefault="00BC47FF" w:rsidP="007F46FD"/>
    <w:p w14:paraId="0840EF4B" w14:textId="77777777" w:rsidR="00BC47FF" w:rsidRDefault="00BC47FF" w:rsidP="007F46FD"/>
    <w:p w14:paraId="0840EF4C" w14:textId="77777777" w:rsidR="00BC47FF" w:rsidRDefault="00BC47FF" w:rsidP="007F46FD"/>
    <w:p w14:paraId="0840EF4D" w14:textId="77777777" w:rsidR="00BC47FF" w:rsidRDefault="00BC47FF" w:rsidP="007F46FD"/>
    <w:p w14:paraId="0840EF4E" w14:textId="77777777" w:rsidR="00BC47FF" w:rsidRDefault="00BC47FF" w:rsidP="007F46FD"/>
    <w:p w14:paraId="0840EF4F" w14:textId="77777777" w:rsidR="00BC47FF" w:rsidRDefault="00BC47FF" w:rsidP="007F46FD"/>
    <w:p w14:paraId="0840EF50" w14:textId="77777777" w:rsidR="00BC47FF" w:rsidRDefault="00BC47FF" w:rsidP="007F46FD"/>
    <w:p w14:paraId="0840EF51" w14:textId="77777777" w:rsidR="00BC47FF" w:rsidRDefault="00BC47FF" w:rsidP="007F46FD"/>
    <w:p w14:paraId="0840EF52" w14:textId="77777777" w:rsidR="00BC47FF" w:rsidRDefault="00BC47FF" w:rsidP="007F46FD"/>
    <w:p w14:paraId="0840EF53" w14:textId="77777777" w:rsidR="00BC47FF" w:rsidRDefault="00BC47FF" w:rsidP="007F46FD"/>
    <w:p w14:paraId="0840EF54" w14:textId="77777777" w:rsidR="00BC47FF" w:rsidRDefault="00BC47FF" w:rsidP="007F46FD"/>
    <w:p w14:paraId="0840EF55" w14:textId="77777777" w:rsidR="00BC47FF" w:rsidRDefault="00BC47FF" w:rsidP="007F46FD"/>
    <w:p w14:paraId="0840EF56" w14:textId="77777777" w:rsidR="00BC47FF" w:rsidRDefault="00BC47FF" w:rsidP="007F46FD"/>
    <w:p w14:paraId="607B80D8" w14:textId="77777777" w:rsidR="00BC47FF" w:rsidRDefault="00BC47FF"/>
    <w:p w14:paraId="198EBAD5" w14:textId="77777777" w:rsidR="00BC47FF" w:rsidRDefault="00BC47FF"/>
    <w:p w14:paraId="59828123" w14:textId="77777777" w:rsidR="00BC47FF" w:rsidRDefault="00BC47FF" w:rsidP="009E6D50"/>
    <w:p w14:paraId="273AE2AC" w14:textId="77777777" w:rsidR="00BC47FF" w:rsidRDefault="00BC47FF"/>
    <w:p w14:paraId="5EDF62C7" w14:textId="77777777" w:rsidR="00BC47FF" w:rsidRDefault="00BC47FF"/>
    <w:p w14:paraId="1AE1690E" w14:textId="77777777" w:rsidR="00BC47FF" w:rsidRDefault="00BC47FF"/>
    <w:p w14:paraId="327D8CDB" w14:textId="77777777" w:rsidR="00337925" w:rsidRDefault="00337925"/>
  </w:endnote>
  <w:endnote w:type="continuationSeparator" w:id="0">
    <w:p w14:paraId="0840EF57" w14:textId="77777777" w:rsidR="00BC47FF" w:rsidRDefault="00BC47FF" w:rsidP="007F46FD">
      <w:r>
        <w:continuationSeparator/>
      </w:r>
    </w:p>
    <w:p w14:paraId="0840EF58" w14:textId="77777777" w:rsidR="00BC47FF" w:rsidRDefault="00BC47FF" w:rsidP="007F46FD"/>
    <w:p w14:paraId="0840EF59" w14:textId="77777777" w:rsidR="00BC47FF" w:rsidRDefault="00BC47FF" w:rsidP="007F46FD"/>
    <w:p w14:paraId="0840EF5A" w14:textId="77777777" w:rsidR="00BC47FF" w:rsidRDefault="00BC47FF" w:rsidP="007F46FD"/>
    <w:p w14:paraId="0840EF5B" w14:textId="77777777" w:rsidR="00BC47FF" w:rsidRDefault="00BC47FF" w:rsidP="007F46FD"/>
    <w:p w14:paraId="0840EF5C" w14:textId="77777777" w:rsidR="00BC47FF" w:rsidRDefault="00BC47FF" w:rsidP="007F46FD"/>
    <w:p w14:paraId="0840EF5D" w14:textId="77777777" w:rsidR="00BC47FF" w:rsidRDefault="00BC47FF" w:rsidP="007F46FD"/>
    <w:p w14:paraId="0840EF5E" w14:textId="77777777" w:rsidR="00BC47FF" w:rsidRDefault="00BC47FF" w:rsidP="007F46FD"/>
    <w:p w14:paraId="0840EF5F" w14:textId="77777777" w:rsidR="00BC47FF" w:rsidRDefault="00BC47FF" w:rsidP="007F46FD"/>
    <w:p w14:paraId="0840EF60" w14:textId="77777777" w:rsidR="00BC47FF" w:rsidRDefault="00BC47FF" w:rsidP="007F46FD"/>
    <w:p w14:paraId="0840EF61" w14:textId="77777777" w:rsidR="00BC47FF" w:rsidRDefault="00BC47FF" w:rsidP="007F46FD"/>
    <w:p w14:paraId="0840EF62" w14:textId="77777777" w:rsidR="00BC47FF" w:rsidRDefault="00BC47FF" w:rsidP="007F46FD"/>
    <w:p w14:paraId="0840EF63" w14:textId="77777777" w:rsidR="00BC47FF" w:rsidRDefault="00BC47FF" w:rsidP="007F46FD"/>
    <w:p w14:paraId="0840EF64" w14:textId="77777777" w:rsidR="00BC47FF" w:rsidRDefault="00BC47FF" w:rsidP="007F46FD"/>
    <w:p w14:paraId="0840EF65" w14:textId="77777777" w:rsidR="00BC47FF" w:rsidRDefault="00BC47FF" w:rsidP="007F46FD"/>
    <w:p w14:paraId="0840EF66" w14:textId="77777777" w:rsidR="00BC47FF" w:rsidRDefault="00BC47FF" w:rsidP="007F46FD"/>
    <w:p w14:paraId="0840EF67" w14:textId="77777777" w:rsidR="00BC47FF" w:rsidRDefault="00BC47FF" w:rsidP="007F46FD"/>
    <w:p w14:paraId="0840EF68" w14:textId="77777777" w:rsidR="00BC47FF" w:rsidRDefault="00BC47FF" w:rsidP="007F46FD"/>
    <w:p w14:paraId="0840EF69" w14:textId="77777777" w:rsidR="00BC47FF" w:rsidRDefault="00BC47FF" w:rsidP="007F46FD"/>
    <w:p w14:paraId="0840EF6A" w14:textId="77777777" w:rsidR="00BC47FF" w:rsidRDefault="00BC47FF" w:rsidP="007F46FD"/>
    <w:p w14:paraId="0840EF6B" w14:textId="77777777" w:rsidR="00BC47FF" w:rsidRDefault="00BC47FF" w:rsidP="007F46FD"/>
    <w:p w14:paraId="0840EF6C" w14:textId="77777777" w:rsidR="00BC47FF" w:rsidRDefault="00BC47FF" w:rsidP="007F46FD"/>
    <w:p w14:paraId="0840EF6D" w14:textId="77777777" w:rsidR="00BC47FF" w:rsidRDefault="00BC47FF" w:rsidP="007F46FD"/>
    <w:p w14:paraId="0840EF6E" w14:textId="77777777" w:rsidR="00BC47FF" w:rsidRDefault="00BC47FF" w:rsidP="007F46FD"/>
    <w:p w14:paraId="0840EF6F" w14:textId="77777777" w:rsidR="00BC47FF" w:rsidRDefault="00BC47FF" w:rsidP="007F46FD"/>
    <w:p w14:paraId="0840EF70" w14:textId="77777777" w:rsidR="00BC47FF" w:rsidRDefault="00BC47FF" w:rsidP="007F46FD"/>
    <w:p w14:paraId="6C24925A" w14:textId="77777777" w:rsidR="00BC47FF" w:rsidRDefault="00BC47FF"/>
    <w:p w14:paraId="72FDD7DC" w14:textId="77777777" w:rsidR="00BC47FF" w:rsidRDefault="00BC47FF"/>
    <w:p w14:paraId="26BB5009" w14:textId="77777777" w:rsidR="00BC47FF" w:rsidRDefault="00BC47FF" w:rsidP="009E6D50"/>
    <w:p w14:paraId="10CBA143" w14:textId="77777777" w:rsidR="00BC47FF" w:rsidRDefault="00BC47FF"/>
    <w:p w14:paraId="2BDF4A69" w14:textId="77777777" w:rsidR="00BC47FF" w:rsidRDefault="00BC47FF"/>
    <w:p w14:paraId="23B42E6B" w14:textId="77777777" w:rsidR="00BC47FF" w:rsidRDefault="00BC47FF"/>
    <w:p w14:paraId="149A1CBE" w14:textId="77777777" w:rsidR="00337925" w:rsidRDefault="0033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EFA7" w14:textId="77777777" w:rsidR="00BC47FF" w:rsidRDefault="00BC47FF">
    <w:pPr>
      <w:pStyle w:val="Footer"/>
    </w:pPr>
  </w:p>
  <w:p w14:paraId="2849FF8B" w14:textId="77777777" w:rsidR="00BC47FF" w:rsidRDefault="00BC47FF"/>
  <w:p w14:paraId="17214DBD" w14:textId="77777777" w:rsidR="00BC47FF" w:rsidRDefault="00BC47FF"/>
  <w:p w14:paraId="7232D97E" w14:textId="77777777" w:rsidR="00BC47FF" w:rsidRDefault="00BC47FF" w:rsidP="009E6D50"/>
  <w:p w14:paraId="16044632" w14:textId="77777777" w:rsidR="00BC47FF" w:rsidRDefault="00BC47FF"/>
  <w:p w14:paraId="2FE1EF60" w14:textId="77777777" w:rsidR="00BC47FF" w:rsidRDefault="00BC47FF"/>
  <w:p w14:paraId="567077B1" w14:textId="77777777" w:rsidR="00BC47FF" w:rsidRDefault="00BC47FF"/>
  <w:p w14:paraId="39A8F1AA" w14:textId="77777777" w:rsidR="00337925" w:rsidRDefault="003379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25631"/>
      <w:docPartObj>
        <w:docPartGallery w:val="Page Numbers (Bottom of Page)"/>
        <w:docPartUnique/>
      </w:docPartObj>
    </w:sdtPr>
    <w:sdtEndPr>
      <w:rPr>
        <w:rFonts w:ascii="Times New Roman" w:hAnsi="Times New Roman"/>
        <w:b w:val="0"/>
        <w:noProof/>
      </w:rPr>
    </w:sdtEndPr>
    <w:sdtContent>
      <w:p w14:paraId="0A349B83" w14:textId="7BDD0E36" w:rsidR="00BC47FF" w:rsidRPr="00D35783" w:rsidRDefault="00BC47FF">
        <w:pPr>
          <w:pStyle w:val="Footer"/>
          <w:jc w:val="center"/>
          <w:rPr>
            <w:rFonts w:ascii="Times New Roman" w:hAnsi="Times New Roman"/>
            <w:b w:val="0"/>
          </w:rPr>
        </w:pPr>
        <w:r w:rsidRPr="00D35783">
          <w:rPr>
            <w:rFonts w:ascii="Times New Roman" w:hAnsi="Times New Roman"/>
            <w:b w:val="0"/>
          </w:rPr>
          <w:fldChar w:fldCharType="begin"/>
        </w:r>
        <w:r w:rsidRPr="00D35783">
          <w:rPr>
            <w:rFonts w:ascii="Times New Roman" w:hAnsi="Times New Roman"/>
            <w:b w:val="0"/>
          </w:rPr>
          <w:instrText xml:space="preserve"> PAGE   \* MERGEFORMAT </w:instrText>
        </w:r>
        <w:r w:rsidRPr="00D35783">
          <w:rPr>
            <w:rFonts w:ascii="Times New Roman" w:hAnsi="Times New Roman"/>
            <w:b w:val="0"/>
          </w:rPr>
          <w:fldChar w:fldCharType="separate"/>
        </w:r>
        <w:r w:rsidR="00F354E3">
          <w:rPr>
            <w:rFonts w:ascii="Times New Roman" w:hAnsi="Times New Roman"/>
            <w:b w:val="0"/>
            <w:noProof/>
          </w:rPr>
          <w:t>21</w:t>
        </w:r>
        <w:r w:rsidRPr="00D35783">
          <w:rPr>
            <w:rFonts w:ascii="Times New Roman" w:hAnsi="Times New Roman"/>
            <w:b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102026"/>
      <w:docPartObj>
        <w:docPartGallery w:val="Page Numbers (Bottom of Page)"/>
        <w:docPartUnique/>
      </w:docPartObj>
    </w:sdtPr>
    <w:sdtEndPr>
      <w:rPr>
        <w:rFonts w:ascii="Times New Roman" w:hAnsi="Times New Roman"/>
        <w:b w:val="0"/>
        <w:noProof/>
      </w:rPr>
    </w:sdtEndPr>
    <w:sdtContent>
      <w:p w14:paraId="4E235F93" w14:textId="6206C412" w:rsidR="00BC47FF" w:rsidRPr="00D35783" w:rsidRDefault="00BC47FF">
        <w:pPr>
          <w:pStyle w:val="Footer"/>
          <w:jc w:val="center"/>
          <w:rPr>
            <w:rFonts w:ascii="Times New Roman" w:hAnsi="Times New Roman"/>
            <w:b w:val="0"/>
          </w:rPr>
        </w:pPr>
        <w:r w:rsidRPr="00D35783">
          <w:rPr>
            <w:rFonts w:ascii="Times New Roman" w:hAnsi="Times New Roman"/>
            <w:b w:val="0"/>
          </w:rPr>
          <w:fldChar w:fldCharType="begin"/>
        </w:r>
        <w:r w:rsidRPr="00D35783">
          <w:rPr>
            <w:rFonts w:ascii="Times New Roman" w:hAnsi="Times New Roman"/>
            <w:b w:val="0"/>
          </w:rPr>
          <w:instrText xml:space="preserve"> PAGE   \* MERGEFORMAT </w:instrText>
        </w:r>
        <w:r w:rsidRPr="00D35783">
          <w:rPr>
            <w:rFonts w:ascii="Times New Roman" w:hAnsi="Times New Roman"/>
            <w:b w:val="0"/>
          </w:rPr>
          <w:fldChar w:fldCharType="separate"/>
        </w:r>
        <w:r w:rsidR="00F354E3">
          <w:rPr>
            <w:rFonts w:ascii="Times New Roman" w:hAnsi="Times New Roman"/>
            <w:b w:val="0"/>
            <w:noProof/>
          </w:rPr>
          <w:t>1</w:t>
        </w:r>
        <w:r w:rsidRPr="00D35783">
          <w:rPr>
            <w:rFonts w:ascii="Times New Roman" w:hAnsi="Times New Roman"/>
            <w:b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EF09" w14:textId="77777777" w:rsidR="00BC47FF" w:rsidRDefault="00BC47FF" w:rsidP="007F46FD">
      <w:r>
        <w:separator/>
      </w:r>
    </w:p>
    <w:p w14:paraId="0840EF0A" w14:textId="77777777" w:rsidR="00BC47FF" w:rsidRDefault="00BC47FF" w:rsidP="007F46FD"/>
    <w:p w14:paraId="0840EF0B" w14:textId="77777777" w:rsidR="00BC47FF" w:rsidRDefault="00BC47FF" w:rsidP="007F46FD"/>
    <w:p w14:paraId="0840EF0C" w14:textId="77777777" w:rsidR="00BC47FF" w:rsidRDefault="00BC47FF" w:rsidP="007F46FD"/>
    <w:p w14:paraId="0840EF0D" w14:textId="77777777" w:rsidR="00BC47FF" w:rsidRDefault="00BC47FF" w:rsidP="007F46FD"/>
    <w:p w14:paraId="0840EF0E" w14:textId="77777777" w:rsidR="00BC47FF" w:rsidRDefault="00BC47FF" w:rsidP="007F46FD"/>
    <w:p w14:paraId="0840EF0F" w14:textId="77777777" w:rsidR="00BC47FF" w:rsidRDefault="00BC47FF" w:rsidP="007F46FD"/>
    <w:p w14:paraId="0840EF10" w14:textId="77777777" w:rsidR="00BC47FF" w:rsidRDefault="00BC47FF" w:rsidP="007F46FD"/>
    <w:p w14:paraId="0840EF11" w14:textId="77777777" w:rsidR="00BC47FF" w:rsidRDefault="00BC47FF" w:rsidP="007F46FD"/>
    <w:p w14:paraId="0840EF12" w14:textId="77777777" w:rsidR="00BC47FF" w:rsidRDefault="00BC47FF" w:rsidP="007F46FD"/>
    <w:p w14:paraId="0840EF13" w14:textId="77777777" w:rsidR="00BC47FF" w:rsidRDefault="00BC47FF" w:rsidP="007F46FD"/>
    <w:p w14:paraId="0840EF14" w14:textId="77777777" w:rsidR="00BC47FF" w:rsidRDefault="00BC47FF" w:rsidP="007F46FD"/>
    <w:p w14:paraId="0840EF15" w14:textId="77777777" w:rsidR="00BC47FF" w:rsidRDefault="00BC47FF" w:rsidP="007F46FD"/>
    <w:p w14:paraId="0840EF16" w14:textId="77777777" w:rsidR="00BC47FF" w:rsidRDefault="00BC47FF" w:rsidP="007F46FD"/>
    <w:p w14:paraId="0840EF17" w14:textId="77777777" w:rsidR="00BC47FF" w:rsidRDefault="00BC47FF" w:rsidP="007F46FD"/>
    <w:p w14:paraId="0840EF18" w14:textId="77777777" w:rsidR="00BC47FF" w:rsidRDefault="00BC47FF" w:rsidP="007F46FD"/>
    <w:p w14:paraId="0840EF19" w14:textId="77777777" w:rsidR="00BC47FF" w:rsidRDefault="00BC47FF" w:rsidP="007F46FD"/>
    <w:p w14:paraId="0840EF1A" w14:textId="77777777" w:rsidR="00BC47FF" w:rsidRDefault="00BC47FF" w:rsidP="007F46FD"/>
    <w:p w14:paraId="0840EF1B" w14:textId="77777777" w:rsidR="00BC47FF" w:rsidRDefault="00BC47FF" w:rsidP="007F46FD"/>
    <w:p w14:paraId="0840EF1C" w14:textId="77777777" w:rsidR="00BC47FF" w:rsidRDefault="00BC47FF" w:rsidP="007F46FD"/>
    <w:p w14:paraId="0840EF1D" w14:textId="77777777" w:rsidR="00BC47FF" w:rsidRDefault="00BC47FF" w:rsidP="007F46FD"/>
    <w:p w14:paraId="0840EF1E" w14:textId="77777777" w:rsidR="00BC47FF" w:rsidRDefault="00BC47FF" w:rsidP="007F46FD"/>
    <w:p w14:paraId="0840EF1F" w14:textId="77777777" w:rsidR="00BC47FF" w:rsidRDefault="00BC47FF" w:rsidP="007F46FD"/>
    <w:p w14:paraId="0840EF20" w14:textId="77777777" w:rsidR="00BC47FF" w:rsidRDefault="00BC47FF" w:rsidP="007F46FD"/>
    <w:p w14:paraId="0840EF21" w14:textId="77777777" w:rsidR="00BC47FF" w:rsidRDefault="00BC47FF" w:rsidP="007F46FD"/>
    <w:p w14:paraId="0840EF22" w14:textId="77777777" w:rsidR="00BC47FF" w:rsidRDefault="00BC47FF" w:rsidP="007F46FD"/>
    <w:p w14:paraId="41E3F138" w14:textId="77777777" w:rsidR="00BC47FF" w:rsidRDefault="00BC47FF"/>
    <w:p w14:paraId="04AA83DF" w14:textId="77777777" w:rsidR="00BC47FF" w:rsidRDefault="00BC47FF"/>
    <w:p w14:paraId="17C0664E" w14:textId="77777777" w:rsidR="00BC47FF" w:rsidRDefault="00BC47FF" w:rsidP="009E6D50"/>
    <w:p w14:paraId="03D5EE98" w14:textId="77777777" w:rsidR="00BC47FF" w:rsidRDefault="00BC47FF"/>
    <w:p w14:paraId="3AA30534" w14:textId="77777777" w:rsidR="00BC47FF" w:rsidRDefault="00BC47FF"/>
    <w:p w14:paraId="40E43D2A" w14:textId="77777777" w:rsidR="00BC47FF" w:rsidRDefault="00BC47FF"/>
    <w:p w14:paraId="586F4E9E" w14:textId="77777777" w:rsidR="00337925" w:rsidRDefault="00337925"/>
  </w:footnote>
  <w:footnote w:type="continuationSeparator" w:id="0">
    <w:p w14:paraId="0840EF23" w14:textId="77777777" w:rsidR="00BC47FF" w:rsidRDefault="00BC47FF" w:rsidP="007F46FD">
      <w:r>
        <w:continuationSeparator/>
      </w:r>
    </w:p>
    <w:p w14:paraId="0840EF24" w14:textId="77777777" w:rsidR="00BC47FF" w:rsidRDefault="00BC47FF" w:rsidP="007F46FD"/>
    <w:p w14:paraId="0840EF25" w14:textId="77777777" w:rsidR="00BC47FF" w:rsidRDefault="00BC47FF" w:rsidP="007F46FD"/>
    <w:p w14:paraId="0840EF26" w14:textId="77777777" w:rsidR="00BC47FF" w:rsidRDefault="00BC47FF" w:rsidP="007F46FD"/>
    <w:p w14:paraId="0840EF27" w14:textId="77777777" w:rsidR="00BC47FF" w:rsidRDefault="00BC47FF" w:rsidP="007F46FD"/>
    <w:p w14:paraId="0840EF28" w14:textId="77777777" w:rsidR="00BC47FF" w:rsidRDefault="00BC47FF" w:rsidP="007F46FD"/>
    <w:p w14:paraId="0840EF29" w14:textId="77777777" w:rsidR="00BC47FF" w:rsidRDefault="00BC47FF" w:rsidP="007F46FD"/>
    <w:p w14:paraId="0840EF2A" w14:textId="77777777" w:rsidR="00BC47FF" w:rsidRDefault="00BC47FF" w:rsidP="007F46FD"/>
    <w:p w14:paraId="0840EF2B" w14:textId="77777777" w:rsidR="00BC47FF" w:rsidRDefault="00BC47FF" w:rsidP="007F46FD"/>
    <w:p w14:paraId="0840EF2C" w14:textId="77777777" w:rsidR="00BC47FF" w:rsidRDefault="00BC47FF" w:rsidP="007F46FD"/>
    <w:p w14:paraId="0840EF2D" w14:textId="77777777" w:rsidR="00BC47FF" w:rsidRDefault="00BC47FF" w:rsidP="007F46FD"/>
    <w:p w14:paraId="0840EF2E" w14:textId="77777777" w:rsidR="00BC47FF" w:rsidRDefault="00BC47FF" w:rsidP="007F46FD"/>
    <w:p w14:paraId="0840EF2F" w14:textId="77777777" w:rsidR="00BC47FF" w:rsidRDefault="00BC47FF" w:rsidP="007F46FD"/>
    <w:p w14:paraId="0840EF30" w14:textId="77777777" w:rsidR="00BC47FF" w:rsidRDefault="00BC47FF" w:rsidP="007F46FD"/>
    <w:p w14:paraId="0840EF31" w14:textId="77777777" w:rsidR="00BC47FF" w:rsidRDefault="00BC47FF" w:rsidP="007F46FD"/>
    <w:p w14:paraId="0840EF32" w14:textId="77777777" w:rsidR="00BC47FF" w:rsidRDefault="00BC47FF" w:rsidP="007F46FD"/>
    <w:p w14:paraId="0840EF33" w14:textId="77777777" w:rsidR="00BC47FF" w:rsidRDefault="00BC47FF" w:rsidP="007F46FD"/>
    <w:p w14:paraId="0840EF34" w14:textId="77777777" w:rsidR="00BC47FF" w:rsidRDefault="00BC47FF" w:rsidP="007F46FD"/>
    <w:p w14:paraId="0840EF35" w14:textId="77777777" w:rsidR="00BC47FF" w:rsidRDefault="00BC47FF" w:rsidP="007F46FD"/>
    <w:p w14:paraId="0840EF36" w14:textId="77777777" w:rsidR="00BC47FF" w:rsidRDefault="00BC47FF" w:rsidP="007F46FD"/>
    <w:p w14:paraId="0840EF37" w14:textId="77777777" w:rsidR="00BC47FF" w:rsidRDefault="00BC47FF" w:rsidP="007F46FD"/>
    <w:p w14:paraId="0840EF38" w14:textId="77777777" w:rsidR="00BC47FF" w:rsidRDefault="00BC47FF" w:rsidP="007F46FD"/>
    <w:p w14:paraId="0840EF39" w14:textId="77777777" w:rsidR="00BC47FF" w:rsidRDefault="00BC47FF" w:rsidP="007F46FD"/>
    <w:p w14:paraId="0840EF3A" w14:textId="77777777" w:rsidR="00BC47FF" w:rsidRDefault="00BC47FF" w:rsidP="007F46FD"/>
    <w:p w14:paraId="0840EF3B" w14:textId="77777777" w:rsidR="00BC47FF" w:rsidRDefault="00BC47FF" w:rsidP="007F46FD"/>
    <w:p w14:paraId="0840EF3C" w14:textId="77777777" w:rsidR="00BC47FF" w:rsidRDefault="00BC47FF" w:rsidP="007F46FD"/>
    <w:p w14:paraId="5B9D31CF" w14:textId="77777777" w:rsidR="00BC47FF" w:rsidRDefault="00BC47FF"/>
    <w:p w14:paraId="448964A2" w14:textId="77777777" w:rsidR="00BC47FF" w:rsidRDefault="00BC47FF"/>
    <w:p w14:paraId="2BA738A0" w14:textId="77777777" w:rsidR="00BC47FF" w:rsidRDefault="00BC47FF" w:rsidP="009E6D50"/>
    <w:p w14:paraId="2EE45950" w14:textId="77777777" w:rsidR="00BC47FF" w:rsidRDefault="00BC47FF"/>
    <w:p w14:paraId="049A6BDA" w14:textId="77777777" w:rsidR="00BC47FF" w:rsidRDefault="00BC47FF"/>
    <w:p w14:paraId="4748264E" w14:textId="77777777" w:rsidR="00BC47FF" w:rsidRDefault="00BC47FF"/>
    <w:p w14:paraId="0A89DF93" w14:textId="77777777" w:rsidR="00337925" w:rsidRDefault="003379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EF71" w14:textId="77777777" w:rsidR="00BC47FF" w:rsidRDefault="00BC47FF" w:rsidP="007F46FD">
    <w:pPr>
      <w:pStyle w:val="Header"/>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end"/>
    </w:r>
  </w:p>
  <w:p w14:paraId="0840EF72" w14:textId="77777777" w:rsidR="00BC47FF" w:rsidRDefault="00BC47FF" w:rsidP="007F46FD"/>
  <w:p w14:paraId="0840EF73" w14:textId="77777777" w:rsidR="00BC47FF" w:rsidRDefault="00BC47FF" w:rsidP="007F46FD"/>
  <w:p w14:paraId="0840EF74" w14:textId="77777777" w:rsidR="00BC47FF" w:rsidRDefault="00BC47FF" w:rsidP="007F46FD"/>
  <w:p w14:paraId="0840EF75" w14:textId="77777777" w:rsidR="00BC47FF" w:rsidRDefault="00BC47FF" w:rsidP="007F46FD"/>
  <w:p w14:paraId="0840EF76" w14:textId="77777777" w:rsidR="00BC47FF" w:rsidRDefault="00BC47FF" w:rsidP="007F46FD"/>
  <w:p w14:paraId="0840EF77" w14:textId="77777777" w:rsidR="00BC47FF" w:rsidRDefault="00BC47FF" w:rsidP="007F46FD"/>
  <w:p w14:paraId="0840EF78" w14:textId="77777777" w:rsidR="00BC47FF" w:rsidRDefault="00BC47FF" w:rsidP="007F46FD"/>
  <w:p w14:paraId="0840EF79" w14:textId="77777777" w:rsidR="00BC47FF" w:rsidRDefault="00BC47FF" w:rsidP="007F46FD"/>
  <w:p w14:paraId="0840EF7A" w14:textId="77777777" w:rsidR="00BC47FF" w:rsidRDefault="00BC47FF" w:rsidP="007F46FD"/>
  <w:p w14:paraId="0840EF7B" w14:textId="77777777" w:rsidR="00BC47FF" w:rsidRDefault="00BC47FF" w:rsidP="007F46FD"/>
  <w:p w14:paraId="0840EF7C" w14:textId="77777777" w:rsidR="00BC47FF" w:rsidRDefault="00BC47FF" w:rsidP="007F46FD"/>
  <w:p w14:paraId="0840EF7D" w14:textId="77777777" w:rsidR="00BC47FF" w:rsidRDefault="00BC47FF" w:rsidP="007F46FD"/>
  <w:p w14:paraId="0840EF7E" w14:textId="77777777" w:rsidR="00BC47FF" w:rsidRDefault="00BC47FF" w:rsidP="007F46FD"/>
  <w:p w14:paraId="0840EF7F" w14:textId="77777777" w:rsidR="00BC47FF" w:rsidRDefault="00BC47FF" w:rsidP="007F46FD"/>
  <w:p w14:paraId="0840EF80" w14:textId="77777777" w:rsidR="00BC47FF" w:rsidRDefault="00BC47FF" w:rsidP="007F46FD"/>
  <w:p w14:paraId="0840EF81" w14:textId="77777777" w:rsidR="00BC47FF" w:rsidRDefault="00BC47FF" w:rsidP="007F46FD"/>
  <w:p w14:paraId="0840EF82" w14:textId="77777777" w:rsidR="00BC47FF" w:rsidRDefault="00BC47FF" w:rsidP="007F46FD"/>
  <w:p w14:paraId="0840EF83" w14:textId="77777777" w:rsidR="00BC47FF" w:rsidRDefault="00BC47FF" w:rsidP="007F46FD"/>
  <w:p w14:paraId="0840EF84" w14:textId="77777777" w:rsidR="00BC47FF" w:rsidRDefault="00BC47FF" w:rsidP="007F46FD"/>
  <w:p w14:paraId="0840EF85" w14:textId="77777777" w:rsidR="00BC47FF" w:rsidRDefault="00BC47FF" w:rsidP="007F46FD"/>
  <w:p w14:paraId="0840EF86" w14:textId="77777777" w:rsidR="00BC47FF" w:rsidRDefault="00BC47FF" w:rsidP="007F46FD"/>
  <w:p w14:paraId="0840EF87" w14:textId="77777777" w:rsidR="00BC47FF" w:rsidRDefault="00BC47FF" w:rsidP="007F46FD"/>
  <w:p w14:paraId="0840EF88" w14:textId="77777777" w:rsidR="00BC47FF" w:rsidRDefault="00BC47FF" w:rsidP="007F46FD"/>
  <w:p w14:paraId="0840EF89" w14:textId="77777777" w:rsidR="00BC47FF" w:rsidRDefault="00BC47FF" w:rsidP="007F46FD"/>
  <w:p w14:paraId="0840EF8A" w14:textId="77777777" w:rsidR="00BC47FF" w:rsidRDefault="00BC47FF" w:rsidP="007F46FD"/>
  <w:p w14:paraId="0840EF8B" w14:textId="77777777" w:rsidR="00BC47FF" w:rsidRDefault="00BC47FF" w:rsidP="007F46FD"/>
  <w:p w14:paraId="0840EF8C" w14:textId="77777777" w:rsidR="00BC47FF" w:rsidRDefault="00BC47FF" w:rsidP="007F46FD"/>
  <w:p w14:paraId="0840EF8D" w14:textId="77777777" w:rsidR="00BC47FF" w:rsidRDefault="00BC47FF" w:rsidP="007F46FD"/>
  <w:p w14:paraId="0840EF8E" w14:textId="77777777" w:rsidR="00BC47FF" w:rsidRDefault="00BC47FF" w:rsidP="007F46FD"/>
  <w:p w14:paraId="0840EF8F" w14:textId="77777777" w:rsidR="00BC47FF" w:rsidRDefault="00BC47FF" w:rsidP="007F46FD"/>
  <w:p w14:paraId="0840EF90" w14:textId="77777777" w:rsidR="00BC47FF" w:rsidRDefault="00BC47FF" w:rsidP="007F46FD"/>
  <w:p w14:paraId="0840EF91" w14:textId="77777777" w:rsidR="00BC47FF" w:rsidRDefault="00BC47FF" w:rsidP="007F46FD"/>
  <w:p w14:paraId="0840EF92" w14:textId="77777777" w:rsidR="00BC47FF" w:rsidRDefault="00BC47FF" w:rsidP="007F46FD"/>
  <w:p w14:paraId="0840EF93" w14:textId="77777777" w:rsidR="00BC47FF" w:rsidRDefault="00BC47FF" w:rsidP="007F46FD"/>
  <w:p w14:paraId="0840EF94" w14:textId="77777777" w:rsidR="00BC47FF" w:rsidRDefault="00BC47FF" w:rsidP="007F46FD"/>
  <w:p w14:paraId="0840EF95" w14:textId="77777777" w:rsidR="00BC47FF" w:rsidRDefault="00BC47FF" w:rsidP="007F46FD"/>
  <w:p w14:paraId="0840EF96" w14:textId="77777777" w:rsidR="00BC47FF" w:rsidRDefault="00BC47FF" w:rsidP="007F46FD"/>
  <w:p w14:paraId="0840EF97" w14:textId="77777777" w:rsidR="00BC47FF" w:rsidRDefault="00BC47FF" w:rsidP="007F46FD"/>
  <w:p w14:paraId="0840EF98" w14:textId="77777777" w:rsidR="00BC47FF" w:rsidRDefault="00BC47FF" w:rsidP="007F46FD"/>
  <w:p w14:paraId="0840EF99" w14:textId="77777777" w:rsidR="00BC47FF" w:rsidRDefault="00BC47FF" w:rsidP="007F46FD"/>
  <w:p w14:paraId="0840EF9A" w14:textId="77777777" w:rsidR="00BC47FF" w:rsidRDefault="00BC47FF" w:rsidP="007F46FD"/>
  <w:p w14:paraId="0840EF9B" w14:textId="77777777" w:rsidR="00BC47FF" w:rsidRDefault="00BC47FF" w:rsidP="007F46FD"/>
  <w:p w14:paraId="0840EF9C" w14:textId="77777777" w:rsidR="00BC47FF" w:rsidRDefault="00BC47FF" w:rsidP="007F46FD"/>
  <w:p w14:paraId="0840EF9D" w14:textId="77777777" w:rsidR="00BC47FF" w:rsidRDefault="00BC47FF" w:rsidP="007F46FD"/>
  <w:p w14:paraId="0840EF9E" w14:textId="77777777" w:rsidR="00BC47FF" w:rsidRDefault="00BC47FF" w:rsidP="007F46FD"/>
  <w:p w14:paraId="0840EF9F" w14:textId="77777777" w:rsidR="00BC47FF" w:rsidRDefault="00BC47FF" w:rsidP="007F46FD"/>
  <w:p w14:paraId="0840EFA0" w14:textId="77777777" w:rsidR="00BC47FF" w:rsidRDefault="00BC47FF" w:rsidP="007F46FD"/>
  <w:p w14:paraId="0840EFA1" w14:textId="77777777" w:rsidR="00BC47FF" w:rsidRDefault="00BC47FF" w:rsidP="007F46FD"/>
  <w:p w14:paraId="0840EFA2" w14:textId="77777777" w:rsidR="00BC47FF" w:rsidRDefault="00BC47FF" w:rsidP="007F46FD"/>
  <w:p w14:paraId="0840EFA3" w14:textId="77777777" w:rsidR="00BC47FF" w:rsidRDefault="00BC47FF" w:rsidP="007F46FD"/>
  <w:p w14:paraId="0840EFA4" w14:textId="77777777" w:rsidR="00BC47FF" w:rsidRDefault="00BC47FF" w:rsidP="007F46FD"/>
  <w:p w14:paraId="0840EFA5" w14:textId="77777777" w:rsidR="00BC47FF" w:rsidRDefault="00BC47FF" w:rsidP="007F46FD"/>
  <w:p w14:paraId="1C76F633" w14:textId="77777777" w:rsidR="00BC47FF" w:rsidRDefault="00BC47FF"/>
  <w:p w14:paraId="3DB46198" w14:textId="77777777" w:rsidR="00BC47FF" w:rsidRDefault="00BC47FF"/>
  <w:p w14:paraId="1692A49F" w14:textId="77777777" w:rsidR="00BC47FF" w:rsidRDefault="00BC47FF" w:rsidP="009E6D50"/>
  <w:p w14:paraId="202CEC76" w14:textId="77777777" w:rsidR="00BC47FF" w:rsidRDefault="00BC47FF"/>
  <w:p w14:paraId="691E91A9" w14:textId="77777777" w:rsidR="00BC47FF" w:rsidRDefault="00BC47FF"/>
  <w:p w14:paraId="6301C118" w14:textId="77777777" w:rsidR="00BC47FF" w:rsidRDefault="00BC47FF"/>
  <w:p w14:paraId="1F4A0604" w14:textId="77777777" w:rsidR="00337925" w:rsidRDefault="0033792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F354E3" w:rsidRPr="001C184C" w14:paraId="2611DA26" w14:textId="77777777" w:rsidTr="003A60D0">
      <w:tc>
        <w:tcPr>
          <w:tcW w:w="8720" w:type="dxa"/>
          <w:shd w:val="clear" w:color="auto" w:fill="E4F2E0"/>
        </w:tcPr>
        <w:p w14:paraId="1AE03304" w14:textId="77777777" w:rsidR="00F354E3" w:rsidRPr="001C184C" w:rsidRDefault="00F354E3" w:rsidP="00F354E3">
          <w:pPr>
            <w:pStyle w:val="Footer"/>
            <w:rPr>
              <w:b w:val="0"/>
              <w:sz w:val="18"/>
              <w:szCs w:val="18"/>
            </w:rPr>
          </w:pPr>
          <w:r w:rsidRPr="001C184C">
            <w:rPr>
              <w:sz w:val="18"/>
              <w:szCs w:val="18"/>
            </w:rPr>
            <w:t xml:space="preserve">Attachment 1: Product information </w:t>
          </w:r>
          <w:r w:rsidRPr="00B51015">
            <w:rPr>
              <w:sz w:val="18"/>
              <w:szCs w:val="18"/>
            </w:rPr>
            <w:t xml:space="preserve">AusPAR </w:t>
          </w:r>
          <w:proofErr w:type="spellStart"/>
          <w:r w:rsidRPr="00B51015">
            <w:rPr>
              <w:sz w:val="18"/>
              <w:szCs w:val="18"/>
            </w:rPr>
            <w:t>Odomzo</w:t>
          </w:r>
          <w:proofErr w:type="spellEnd"/>
          <w:r w:rsidRPr="00B51015">
            <w:rPr>
              <w:sz w:val="18"/>
              <w:szCs w:val="18"/>
            </w:rPr>
            <w:t xml:space="preserve"> </w:t>
          </w:r>
          <w:proofErr w:type="spellStart"/>
          <w:r w:rsidRPr="00B51015">
            <w:rPr>
              <w:sz w:val="18"/>
              <w:szCs w:val="18"/>
            </w:rPr>
            <w:t>sonidegib</w:t>
          </w:r>
          <w:proofErr w:type="spellEnd"/>
          <w:r w:rsidRPr="00B51015">
            <w:rPr>
              <w:sz w:val="18"/>
              <w:szCs w:val="18"/>
            </w:rPr>
            <w:t xml:space="preserve"> Novartis Pharmaceuticals Australia Pty Ltd PM-2014-01865-1-4 - FINAL 27 November 2019</w:t>
          </w:r>
          <w:r w:rsidRPr="001C184C">
            <w:rPr>
              <w:sz w:val="18"/>
              <w:szCs w:val="18"/>
            </w:rPr>
            <w:t>. This Product information was approved at the time this AusPAR was published.</w:t>
          </w:r>
        </w:p>
      </w:tc>
    </w:tr>
  </w:tbl>
  <w:p w14:paraId="06C449C0" w14:textId="77777777" w:rsidR="00337925" w:rsidRPr="00F354E3" w:rsidRDefault="00337925" w:rsidP="00F35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F354E3" w:rsidRPr="001C184C" w14:paraId="31D0C367" w14:textId="77777777" w:rsidTr="003A60D0">
      <w:tc>
        <w:tcPr>
          <w:tcW w:w="8720" w:type="dxa"/>
          <w:shd w:val="clear" w:color="auto" w:fill="E4F2E0"/>
        </w:tcPr>
        <w:p w14:paraId="100F30D3" w14:textId="77777777" w:rsidR="00F354E3" w:rsidRPr="001C184C" w:rsidRDefault="00F354E3" w:rsidP="00F354E3">
          <w:pPr>
            <w:pStyle w:val="Footer"/>
            <w:rPr>
              <w:b w:val="0"/>
              <w:sz w:val="18"/>
              <w:szCs w:val="18"/>
            </w:rPr>
          </w:pPr>
          <w:r w:rsidRPr="001C184C">
            <w:rPr>
              <w:sz w:val="18"/>
              <w:szCs w:val="18"/>
            </w:rPr>
            <w:t xml:space="preserve">Attachment 1: Product information </w:t>
          </w:r>
          <w:r w:rsidRPr="00B51015">
            <w:rPr>
              <w:sz w:val="18"/>
              <w:szCs w:val="18"/>
            </w:rPr>
            <w:t xml:space="preserve">AusPAR </w:t>
          </w:r>
          <w:proofErr w:type="spellStart"/>
          <w:r w:rsidRPr="00B51015">
            <w:rPr>
              <w:sz w:val="18"/>
              <w:szCs w:val="18"/>
            </w:rPr>
            <w:t>Odomzo</w:t>
          </w:r>
          <w:proofErr w:type="spellEnd"/>
          <w:r w:rsidRPr="00B51015">
            <w:rPr>
              <w:sz w:val="18"/>
              <w:szCs w:val="18"/>
            </w:rPr>
            <w:t xml:space="preserve"> </w:t>
          </w:r>
          <w:proofErr w:type="spellStart"/>
          <w:r w:rsidRPr="00B51015">
            <w:rPr>
              <w:sz w:val="18"/>
              <w:szCs w:val="18"/>
            </w:rPr>
            <w:t>sonidegib</w:t>
          </w:r>
          <w:proofErr w:type="spellEnd"/>
          <w:r w:rsidRPr="00B51015">
            <w:rPr>
              <w:sz w:val="18"/>
              <w:szCs w:val="18"/>
            </w:rPr>
            <w:t xml:space="preserve"> Novartis Pharmaceuticals Australia Pty Ltd PM-2014-01865-1-4 - FINAL 27 November 2019</w:t>
          </w:r>
          <w:r w:rsidRPr="001C184C">
            <w:rPr>
              <w:sz w:val="18"/>
              <w:szCs w:val="18"/>
            </w:rPr>
            <w:t>. This Product information was approved at the time this AusPAR was published.</w:t>
          </w:r>
        </w:p>
      </w:tc>
    </w:tr>
  </w:tbl>
  <w:p w14:paraId="7DE97684" w14:textId="77777777" w:rsidR="00337925" w:rsidRPr="00F354E3" w:rsidRDefault="00337925" w:rsidP="00F3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F08"/>
    <w:multiLevelType w:val="hybridMultilevel"/>
    <w:tmpl w:val="3B0A7774"/>
    <w:lvl w:ilvl="0" w:tplc="7714DE10">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834BF"/>
    <w:multiLevelType w:val="hybridMultilevel"/>
    <w:tmpl w:val="D8CEE5AA"/>
    <w:lvl w:ilvl="0" w:tplc="83408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B7710"/>
    <w:multiLevelType w:val="hybridMultilevel"/>
    <w:tmpl w:val="E0F0FB90"/>
    <w:lvl w:ilvl="0" w:tplc="7714DE10">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784846"/>
    <w:multiLevelType w:val="singleLevel"/>
    <w:tmpl w:val="83408CDA"/>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47472A8B"/>
    <w:multiLevelType w:val="hybridMultilevel"/>
    <w:tmpl w:val="9B52285A"/>
    <w:lvl w:ilvl="0" w:tplc="7714DE10">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9F7F01"/>
    <w:multiLevelType w:val="hybridMultilevel"/>
    <w:tmpl w:val="4E98A6E2"/>
    <w:lvl w:ilvl="0" w:tplc="C8C47B6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2B"/>
    <w:rsid w:val="00002F64"/>
    <w:rsid w:val="00012732"/>
    <w:rsid w:val="000207D8"/>
    <w:rsid w:val="00022F29"/>
    <w:rsid w:val="00023A34"/>
    <w:rsid w:val="00034346"/>
    <w:rsid w:val="00035C99"/>
    <w:rsid w:val="00041076"/>
    <w:rsid w:val="00055669"/>
    <w:rsid w:val="000646F9"/>
    <w:rsid w:val="000654CC"/>
    <w:rsid w:val="00071C83"/>
    <w:rsid w:val="00073A26"/>
    <w:rsid w:val="0007466E"/>
    <w:rsid w:val="000844B1"/>
    <w:rsid w:val="000A4B93"/>
    <w:rsid w:val="000C0873"/>
    <w:rsid w:val="000C0F6B"/>
    <w:rsid w:val="000C1BFB"/>
    <w:rsid w:val="000C42F0"/>
    <w:rsid w:val="000D6F80"/>
    <w:rsid w:val="000E20B4"/>
    <w:rsid w:val="000E3B39"/>
    <w:rsid w:val="000E7C38"/>
    <w:rsid w:val="000F6D80"/>
    <w:rsid w:val="001000F1"/>
    <w:rsid w:val="0010704C"/>
    <w:rsid w:val="00110C89"/>
    <w:rsid w:val="00115F35"/>
    <w:rsid w:val="00116832"/>
    <w:rsid w:val="001226E9"/>
    <w:rsid w:val="00130E55"/>
    <w:rsid w:val="00146BF6"/>
    <w:rsid w:val="00147A23"/>
    <w:rsid w:val="00153A9D"/>
    <w:rsid w:val="001A1BF2"/>
    <w:rsid w:val="001B7016"/>
    <w:rsid w:val="001D6A62"/>
    <w:rsid w:val="001F0E6D"/>
    <w:rsid w:val="001F287A"/>
    <w:rsid w:val="00203247"/>
    <w:rsid w:val="002202F2"/>
    <w:rsid w:val="00225250"/>
    <w:rsid w:val="00227DFC"/>
    <w:rsid w:val="00231B21"/>
    <w:rsid w:val="0024692A"/>
    <w:rsid w:val="00246DEA"/>
    <w:rsid w:val="00250E8E"/>
    <w:rsid w:val="0025612B"/>
    <w:rsid w:val="00267FB6"/>
    <w:rsid w:val="00272C41"/>
    <w:rsid w:val="00283FF4"/>
    <w:rsid w:val="00285815"/>
    <w:rsid w:val="0029175C"/>
    <w:rsid w:val="002917D1"/>
    <w:rsid w:val="002A6C27"/>
    <w:rsid w:val="002A784D"/>
    <w:rsid w:val="002C3565"/>
    <w:rsid w:val="002C6193"/>
    <w:rsid w:val="002D18D1"/>
    <w:rsid w:val="002D6A99"/>
    <w:rsid w:val="003032D1"/>
    <w:rsid w:val="003068EE"/>
    <w:rsid w:val="00312915"/>
    <w:rsid w:val="00326090"/>
    <w:rsid w:val="00326A0D"/>
    <w:rsid w:val="00337925"/>
    <w:rsid w:val="00345CD6"/>
    <w:rsid w:val="00353D9D"/>
    <w:rsid w:val="00357959"/>
    <w:rsid w:val="00362797"/>
    <w:rsid w:val="00376422"/>
    <w:rsid w:val="0038312F"/>
    <w:rsid w:val="0038416E"/>
    <w:rsid w:val="003856CA"/>
    <w:rsid w:val="00386F52"/>
    <w:rsid w:val="003944B2"/>
    <w:rsid w:val="003970C4"/>
    <w:rsid w:val="003A55D6"/>
    <w:rsid w:val="003A5D67"/>
    <w:rsid w:val="003B1891"/>
    <w:rsid w:val="003B59F2"/>
    <w:rsid w:val="003C2056"/>
    <w:rsid w:val="003D78D3"/>
    <w:rsid w:val="003F2CBE"/>
    <w:rsid w:val="00402903"/>
    <w:rsid w:val="004033DA"/>
    <w:rsid w:val="004055F2"/>
    <w:rsid w:val="004274CE"/>
    <w:rsid w:val="00427A45"/>
    <w:rsid w:val="00427FAE"/>
    <w:rsid w:val="0043199C"/>
    <w:rsid w:val="004359C8"/>
    <w:rsid w:val="00436402"/>
    <w:rsid w:val="0046009B"/>
    <w:rsid w:val="00484F13"/>
    <w:rsid w:val="004854CC"/>
    <w:rsid w:val="004A10FA"/>
    <w:rsid w:val="004B3D67"/>
    <w:rsid w:val="004C4056"/>
    <w:rsid w:val="004D2C9A"/>
    <w:rsid w:val="004E683F"/>
    <w:rsid w:val="00504729"/>
    <w:rsid w:val="00506DA3"/>
    <w:rsid w:val="00525402"/>
    <w:rsid w:val="00533575"/>
    <w:rsid w:val="00535531"/>
    <w:rsid w:val="00536836"/>
    <w:rsid w:val="00540381"/>
    <w:rsid w:val="00576775"/>
    <w:rsid w:val="005830E1"/>
    <w:rsid w:val="00585574"/>
    <w:rsid w:val="00591A71"/>
    <w:rsid w:val="00596739"/>
    <w:rsid w:val="005B05AF"/>
    <w:rsid w:val="005C1292"/>
    <w:rsid w:val="005C69B5"/>
    <w:rsid w:val="005E3A56"/>
    <w:rsid w:val="005E4D0A"/>
    <w:rsid w:val="00600917"/>
    <w:rsid w:val="006407E6"/>
    <w:rsid w:val="00652FB3"/>
    <w:rsid w:val="00653361"/>
    <w:rsid w:val="00661758"/>
    <w:rsid w:val="0066206E"/>
    <w:rsid w:val="006622A3"/>
    <w:rsid w:val="006624AA"/>
    <w:rsid w:val="00665A45"/>
    <w:rsid w:val="0067062C"/>
    <w:rsid w:val="00672962"/>
    <w:rsid w:val="006C13BD"/>
    <w:rsid w:val="006D0C74"/>
    <w:rsid w:val="006D2F7B"/>
    <w:rsid w:val="006D5E9D"/>
    <w:rsid w:val="006E00C8"/>
    <w:rsid w:val="006E43F2"/>
    <w:rsid w:val="006F425A"/>
    <w:rsid w:val="006F53DD"/>
    <w:rsid w:val="006F639C"/>
    <w:rsid w:val="0070266A"/>
    <w:rsid w:val="00716BEE"/>
    <w:rsid w:val="00725DC1"/>
    <w:rsid w:val="00730DC9"/>
    <w:rsid w:val="0073498A"/>
    <w:rsid w:val="00740168"/>
    <w:rsid w:val="0074487F"/>
    <w:rsid w:val="007514D4"/>
    <w:rsid w:val="00755FB8"/>
    <w:rsid w:val="00760BE7"/>
    <w:rsid w:val="007624D5"/>
    <w:rsid w:val="00764FDE"/>
    <w:rsid w:val="0078356F"/>
    <w:rsid w:val="0079445F"/>
    <w:rsid w:val="007961ED"/>
    <w:rsid w:val="007973B3"/>
    <w:rsid w:val="007A396C"/>
    <w:rsid w:val="007A7760"/>
    <w:rsid w:val="007B00E1"/>
    <w:rsid w:val="007C01C0"/>
    <w:rsid w:val="007F0C69"/>
    <w:rsid w:val="007F431D"/>
    <w:rsid w:val="007F46FD"/>
    <w:rsid w:val="007F5667"/>
    <w:rsid w:val="007F6792"/>
    <w:rsid w:val="008358F4"/>
    <w:rsid w:val="00837C52"/>
    <w:rsid w:val="0086374C"/>
    <w:rsid w:val="0088457D"/>
    <w:rsid w:val="008A6ED3"/>
    <w:rsid w:val="008B640C"/>
    <w:rsid w:val="008B7656"/>
    <w:rsid w:val="008C5506"/>
    <w:rsid w:val="008D109B"/>
    <w:rsid w:val="008D19F6"/>
    <w:rsid w:val="008D30D9"/>
    <w:rsid w:val="008F0330"/>
    <w:rsid w:val="00905C4D"/>
    <w:rsid w:val="00916687"/>
    <w:rsid w:val="00920F45"/>
    <w:rsid w:val="00924513"/>
    <w:rsid w:val="00924F26"/>
    <w:rsid w:val="00933301"/>
    <w:rsid w:val="00943631"/>
    <w:rsid w:val="00965230"/>
    <w:rsid w:val="00993576"/>
    <w:rsid w:val="009A32FC"/>
    <w:rsid w:val="009C1BFE"/>
    <w:rsid w:val="009D31C9"/>
    <w:rsid w:val="009E6D50"/>
    <w:rsid w:val="009F6756"/>
    <w:rsid w:val="00A075A2"/>
    <w:rsid w:val="00A20E22"/>
    <w:rsid w:val="00A27F22"/>
    <w:rsid w:val="00A31869"/>
    <w:rsid w:val="00A37D4B"/>
    <w:rsid w:val="00A44381"/>
    <w:rsid w:val="00A521CD"/>
    <w:rsid w:val="00A962D8"/>
    <w:rsid w:val="00AA1163"/>
    <w:rsid w:val="00AB15BE"/>
    <w:rsid w:val="00AB28B8"/>
    <w:rsid w:val="00B42838"/>
    <w:rsid w:val="00B53986"/>
    <w:rsid w:val="00B6251A"/>
    <w:rsid w:val="00B62B43"/>
    <w:rsid w:val="00B712D6"/>
    <w:rsid w:val="00B75AF0"/>
    <w:rsid w:val="00B80220"/>
    <w:rsid w:val="00B81BC9"/>
    <w:rsid w:val="00B82375"/>
    <w:rsid w:val="00B83165"/>
    <w:rsid w:val="00B91319"/>
    <w:rsid w:val="00BA253E"/>
    <w:rsid w:val="00BC36CB"/>
    <w:rsid w:val="00BC47FF"/>
    <w:rsid w:val="00BC6DA6"/>
    <w:rsid w:val="00BC6F22"/>
    <w:rsid w:val="00BE0F29"/>
    <w:rsid w:val="00BE55AD"/>
    <w:rsid w:val="00C00F87"/>
    <w:rsid w:val="00C02571"/>
    <w:rsid w:val="00C026F5"/>
    <w:rsid w:val="00C0760C"/>
    <w:rsid w:val="00C12BA7"/>
    <w:rsid w:val="00C17E5B"/>
    <w:rsid w:val="00C26D3C"/>
    <w:rsid w:val="00C324C4"/>
    <w:rsid w:val="00C34E48"/>
    <w:rsid w:val="00C801FD"/>
    <w:rsid w:val="00C84340"/>
    <w:rsid w:val="00C86BFC"/>
    <w:rsid w:val="00C96F27"/>
    <w:rsid w:val="00CA0986"/>
    <w:rsid w:val="00CB5977"/>
    <w:rsid w:val="00CB5ABF"/>
    <w:rsid w:val="00D06BFA"/>
    <w:rsid w:val="00D25E9A"/>
    <w:rsid w:val="00D35783"/>
    <w:rsid w:val="00D42127"/>
    <w:rsid w:val="00D615B3"/>
    <w:rsid w:val="00D61BAE"/>
    <w:rsid w:val="00D61CA3"/>
    <w:rsid w:val="00D766FE"/>
    <w:rsid w:val="00D87B03"/>
    <w:rsid w:val="00DA6E2E"/>
    <w:rsid w:val="00DE7E57"/>
    <w:rsid w:val="00E05DCF"/>
    <w:rsid w:val="00E15888"/>
    <w:rsid w:val="00E21B8E"/>
    <w:rsid w:val="00E47577"/>
    <w:rsid w:val="00E61691"/>
    <w:rsid w:val="00E72377"/>
    <w:rsid w:val="00E754E0"/>
    <w:rsid w:val="00E7661E"/>
    <w:rsid w:val="00E91408"/>
    <w:rsid w:val="00E91A7B"/>
    <w:rsid w:val="00E954C7"/>
    <w:rsid w:val="00EA228C"/>
    <w:rsid w:val="00EA52C0"/>
    <w:rsid w:val="00EA70C6"/>
    <w:rsid w:val="00EC0522"/>
    <w:rsid w:val="00ED3952"/>
    <w:rsid w:val="00EE6B46"/>
    <w:rsid w:val="00F12490"/>
    <w:rsid w:val="00F22127"/>
    <w:rsid w:val="00F234D1"/>
    <w:rsid w:val="00F26850"/>
    <w:rsid w:val="00F32F5B"/>
    <w:rsid w:val="00F354E3"/>
    <w:rsid w:val="00F35A25"/>
    <w:rsid w:val="00F37F98"/>
    <w:rsid w:val="00F45663"/>
    <w:rsid w:val="00F45F54"/>
    <w:rsid w:val="00F516A5"/>
    <w:rsid w:val="00F53E6F"/>
    <w:rsid w:val="00F60D4D"/>
    <w:rsid w:val="00F71F02"/>
    <w:rsid w:val="00F86677"/>
    <w:rsid w:val="00FA3C64"/>
    <w:rsid w:val="00FA4F37"/>
    <w:rsid w:val="00FC4D5A"/>
    <w:rsid w:val="00FE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0840EE79"/>
  <w15:docId w15:val="{0A39CEB4-D13C-48B2-B9EE-4A60A423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F46FD"/>
    <w:p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20" w:lineRule="atLeast"/>
      <w:jc w:val="both"/>
    </w:pPr>
    <w:rPr>
      <w:b/>
      <w:sz w:val="24"/>
      <w:szCs w:val="24"/>
    </w:rPr>
  </w:style>
  <w:style w:type="paragraph" w:styleId="Heading1">
    <w:name w:val="heading 1"/>
    <w:basedOn w:val="Normal"/>
    <w:next w:val="paragraph"/>
    <w:link w:val="Heading1Char"/>
    <w:autoRedefine/>
    <w:uiPriority w:val="99"/>
    <w:qFormat/>
    <w:rsid w:val="0038416E"/>
    <w:pPr>
      <w:keepNext/>
      <w:keepLines/>
      <w:tabs>
        <w:tab w:val="right" w:pos="9073"/>
      </w:tabs>
      <w:spacing w:after="120"/>
      <w:jc w:val="left"/>
      <w:outlineLvl w:val="0"/>
    </w:pPr>
    <w:rPr>
      <w:sz w:val="30"/>
      <w:u w:val="single"/>
    </w:rPr>
  </w:style>
  <w:style w:type="paragraph" w:styleId="Heading2">
    <w:name w:val="heading 2"/>
    <w:basedOn w:val="Normal"/>
    <w:next w:val="paragraph"/>
    <w:link w:val="Heading2Char"/>
    <w:autoRedefine/>
    <w:uiPriority w:val="99"/>
    <w:qFormat/>
    <w:rsid w:val="001D6A62"/>
    <w:pPr>
      <w:keepNext/>
      <w:keepLines/>
      <w:spacing w:after="120"/>
      <w:outlineLvl w:val="1"/>
    </w:pPr>
    <w:rPr>
      <w:bCs/>
      <w:szCs w:val="26"/>
      <w:lang w:val="pt-BR"/>
    </w:rPr>
  </w:style>
  <w:style w:type="paragraph" w:styleId="Heading3">
    <w:name w:val="heading 3"/>
    <w:basedOn w:val="Normal"/>
    <w:next w:val="paragraph"/>
    <w:link w:val="Heading3Char"/>
    <w:autoRedefine/>
    <w:uiPriority w:val="99"/>
    <w:qFormat/>
    <w:rsid w:val="00A44381"/>
    <w:pPr>
      <w:keepNext/>
      <w:keepLines/>
      <w:spacing w:before="0"/>
      <w:jc w:val="left"/>
      <w:outlineLvl w:val="2"/>
    </w:pPr>
  </w:style>
  <w:style w:type="paragraph" w:styleId="Heading4">
    <w:name w:val="heading 4"/>
    <w:basedOn w:val="Normal"/>
    <w:next w:val="paragraph"/>
    <w:link w:val="Heading4Char"/>
    <w:uiPriority w:val="99"/>
    <w:qFormat/>
    <w:rsid w:val="003944B2"/>
    <w:pPr>
      <w:keepNext/>
      <w:keepLines/>
      <w:spacing w:before="240"/>
      <w:outlineLvl w:val="3"/>
    </w:pPr>
    <w:rPr>
      <w:rFonts w:ascii="Arial" w:hAnsi="Arial"/>
      <w:sz w:val="22"/>
    </w:rPr>
  </w:style>
  <w:style w:type="paragraph" w:styleId="Heading5">
    <w:name w:val="heading 5"/>
    <w:basedOn w:val="Heading4"/>
    <w:next w:val="paragraph"/>
    <w:link w:val="Heading5Char"/>
    <w:uiPriority w:val="99"/>
    <w:qFormat/>
    <w:rsid w:val="003944B2"/>
    <w:pPr>
      <w:outlineLvl w:val="4"/>
    </w:pPr>
    <w:rPr>
      <w:b w:val="0"/>
    </w:rPr>
  </w:style>
  <w:style w:type="paragraph" w:styleId="Heading6">
    <w:name w:val="heading 6"/>
    <w:basedOn w:val="nottoc-headings"/>
    <w:next w:val="legend"/>
    <w:link w:val="Heading6Char"/>
    <w:uiPriority w:val="99"/>
    <w:qFormat/>
    <w:rsid w:val="003944B2"/>
    <w:pPr>
      <w:outlineLvl w:val="5"/>
    </w:pPr>
  </w:style>
  <w:style w:type="paragraph" w:styleId="Heading7">
    <w:name w:val="heading 7"/>
    <w:basedOn w:val="nottoc-headings"/>
    <w:next w:val="legend"/>
    <w:link w:val="Heading7Char"/>
    <w:uiPriority w:val="99"/>
    <w:qFormat/>
    <w:rsid w:val="003944B2"/>
    <w:pPr>
      <w:outlineLvl w:val="6"/>
    </w:pPr>
  </w:style>
  <w:style w:type="paragraph" w:styleId="Heading8">
    <w:name w:val="heading 8"/>
    <w:basedOn w:val="Normal"/>
    <w:link w:val="Heading8Char"/>
    <w:uiPriority w:val="99"/>
    <w:qFormat/>
    <w:rsid w:val="003944B2"/>
    <w:pPr>
      <w:ind w:left="720"/>
      <w:outlineLvl w:val="7"/>
    </w:pPr>
    <w:rPr>
      <w:i/>
      <w:sz w:val="20"/>
    </w:rPr>
  </w:style>
  <w:style w:type="paragraph" w:styleId="Heading9">
    <w:name w:val="heading 9"/>
    <w:basedOn w:val="Normal"/>
    <w:next w:val="Normal"/>
    <w:link w:val="Heading9Char"/>
    <w:uiPriority w:val="99"/>
    <w:qFormat/>
    <w:rsid w:val="003944B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416E"/>
    <w:rPr>
      <w:b/>
      <w:sz w:val="30"/>
      <w:szCs w:val="24"/>
      <w:u w:val="single"/>
    </w:rPr>
  </w:style>
  <w:style w:type="character" w:customStyle="1" w:styleId="Heading2Char">
    <w:name w:val="Heading 2 Char"/>
    <w:basedOn w:val="DefaultParagraphFont"/>
    <w:link w:val="Heading2"/>
    <w:uiPriority w:val="99"/>
    <w:rsid w:val="001D6A62"/>
    <w:rPr>
      <w:b/>
      <w:bCs/>
      <w:sz w:val="24"/>
      <w:szCs w:val="26"/>
      <w:lang w:val="pt-BR"/>
    </w:rPr>
  </w:style>
  <w:style w:type="character" w:customStyle="1" w:styleId="Heading3Char">
    <w:name w:val="Heading 3 Char"/>
    <w:basedOn w:val="DefaultParagraphFont"/>
    <w:link w:val="Heading3"/>
    <w:uiPriority w:val="99"/>
    <w:rsid w:val="00A44381"/>
    <w:rPr>
      <w:b/>
      <w:sz w:val="24"/>
      <w:szCs w:val="24"/>
    </w:rPr>
  </w:style>
  <w:style w:type="character" w:customStyle="1" w:styleId="Heading4Char">
    <w:name w:val="Heading 4 Char"/>
    <w:basedOn w:val="DefaultParagraphFont"/>
    <w:link w:val="Heading4"/>
    <w:uiPriority w:val="9"/>
    <w:semiHidden/>
    <w:rsid w:val="0025612B"/>
    <w:rPr>
      <w:rFonts w:ascii="Calibri" w:eastAsia="Times New Roman" w:hAnsi="Calibri" w:cs="Times New Roman"/>
      <w:b/>
      <w:bCs/>
      <w:sz w:val="28"/>
      <w:szCs w:val="28"/>
      <w:lang w:val="en-GB" w:eastAsia="en-US"/>
    </w:rPr>
  </w:style>
  <w:style w:type="character" w:customStyle="1" w:styleId="Heading5Char">
    <w:name w:val="Heading 5 Char"/>
    <w:basedOn w:val="DefaultParagraphFont"/>
    <w:link w:val="Heading5"/>
    <w:uiPriority w:val="9"/>
    <w:semiHidden/>
    <w:rsid w:val="0025612B"/>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uiPriority w:val="9"/>
    <w:semiHidden/>
    <w:rsid w:val="0025612B"/>
    <w:rPr>
      <w:rFonts w:ascii="Calibri" w:eastAsia="Times New Roman" w:hAnsi="Calibri" w:cs="Times New Roman"/>
      <w:b/>
      <w:bCs/>
      <w:lang w:val="en-GB" w:eastAsia="en-US"/>
    </w:rPr>
  </w:style>
  <w:style w:type="character" w:customStyle="1" w:styleId="Heading7Char">
    <w:name w:val="Heading 7 Char"/>
    <w:basedOn w:val="DefaultParagraphFont"/>
    <w:link w:val="Heading7"/>
    <w:uiPriority w:val="9"/>
    <w:semiHidden/>
    <w:rsid w:val="0025612B"/>
    <w:rPr>
      <w:rFonts w:ascii="Calibri" w:eastAsia="Times New Roman" w:hAnsi="Calibri" w:cs="Times New Roman"/>
      <w:sz w:val="24"/>
      <w:szCs w:val="24"/>
      <w:lang w:val="en-GB" w:eastAsia="en-US"/>
    </w:rPr>
  </w:style>
  <w:style w:type="character" w:customStyle="1" w:styleId="Heading8Char">
    <w:name w:val="Heading 8 Char"/>
    <w:basedOn w:val="DefaultParagraphFont"/>
    <w:link w:val="Heading8"/>
    <w:uiPriority w:val="9"/>
    <w:semiHidden/>
    <w:rsid w:val="0025612B"/>
    <w:rPr>
      <w:rFonts w:ascii="Calibri" w:eastAsia="Times New Roman" w:hAnsi="Calibri" w:cs="Times New Roman"/>
      <w:i/>
      <w:iCs/>
      <w:sz w:val="24"/>
      <w:szCs w:val="24"/>
      <w:lang w:val="en-GB" w:eastAsia="en-US"/>
    </w:rPr>
  </w:style>
  <w:style w:type="character" w:customStyle="1" w:styleId="Heading9Char">
    <w:name w:val="Heading 9 Char"/>
    <w:basedOn w:val="DefaultParagraphFont"/>
    <w:link w:val="Heading9"/>
    <w:uiPriority w:val="9"/>
    <w:semiHidden/>
    <w:rsid w:val="0025612B"/>
    <w:rPr>
      <w:rFonts w:ascii="Cambria" w:eastAsia="Times New Roman" w:hAnsi="Cambria" w:cs="Times New Roman"/>
      <w:lang w:val="en-GB" w:eastAsia="en-US"/>
    </w:rPr>
  </w:style>
  <w:style w:type="character" w:styleId="CommentReference">
    <w:name w:val="annotation reference"/>
    <w:basedOn w:val="DefaultParagraphFont"/>
    <w:uiPriority w:val="99"/>
    <w:semiHidden/>
    <w:rsid w:val="003944B2"/>
    <w:rPr>
      <w:rFonts w:cs="Times New Roman"/>
      <w:sz w:val="16"/>
    </w:rPr>
  </w:style>
  <w:style w:type="paragraph" w:styleId="CommentText">
    <w:name w:val="annotation text"/>
    <w:basedOn w:val="Normal"/>
    <w:link w:val="CommentTextChar"/>
    <w:uiPriority w:val="99"/>
    <w:semiHidden/>
    <w:rsid w:val="003944B2"/>
    <w:rPr>
      <w:sz w:val="20"/>
    </w:rPr>
  </w:style>
  <w:style w:type="character" w:customStyle="1" w:styleId="CommentTextChar">
    <w:name w:val="Comment Text Char"/>
    <w:basedOn w:val="DefaultParagraphFont"/>
    <w:link w:val="CommentText"/>
    <w:uiPriority w:val="99"/>
    <w:semiHidden/>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rsid w:val="003944B2"/>
    <w:pPr>
      <w:tabs>
        <w:tab w:val="center" w:pos="6760"/>
        <w:tab w:val="right" w:pos="13540"/>
      </w:tabs>
    </w:pPr>
    <w:rPr>
      <w:rFonts w:ascii="Arial" w:hAnsi="Arial"/>
      <w:sz w:val="20"/>
    </w:rPr>
  </w:style>
  <w:style w:type="character" w:customStyle="1" w:styleId="FooterChar">
    <w:name w:val="Footer Char"/>
    <w:basedOn w:val="DefaultParagraphFont"/>
    <w:link w:val="Footer"/>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val="0"/>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spacing w:before="0"/>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aliases w:val="Graphic,Graphic Char Char,Graphic Char Char Char Char Char,Graphic Char Char Char Char Char Char Char C"/>
    <w:basedOn w:val="Normal"/>
    <w:link w:val="TextChar"/>
    <w:qFormat/>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10 pt"/>
    <w:basedOn w:val="Nottoc-headings0"/>
    <w:link w:val="TableChar"/>
    <w:autoRedefine/>
    <w:rsid w:val="00BC47FF"/>
    <w:pPr>
      <w:keepNext w:val="0"/>
      <w:tabs>
        <w:tab w:val="clear" w:pos="-720"/>
        <w:tab w:val="clear" w:pos="0"/>
        <w:tab w:val="clear" w:pos="720"/>
        <w:tab w:val="clear" w:pos="1440"/>
        <w:tab w:val="clear" w:pos="2160"/>
        <w:tab w:val="clear" w:pos="2880"/>
        <w:tab w:val="clear" w:pos="3600"/>
        <w:tab w:val="clear" w:pos="4320"/>
      </w:tabs>
      <w:autoSpaceDE/>
      <w:autoSpaceDN/>
      <w:adjustRightInd/>
      <w:spacing w:before="40" w:after="20" w:line="240" w:lineRule="auto"/>
      <w:ind w:left="0" w:firstLine="0"/>
      <w:jc w:val="left"/>
    </w:pPr>
    <w:rPr>
      <w:rFonts w:ascii="Times New Roman" w:eastAsia="SimSun" w:hAnsi="Times New Roman"/>
      <w:bCs/>
      <w:sz w:val="20"/>
      <w:szCs w:val="20"/>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59"/>
    <w:rsid w:val="0039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
    <w:basedOn w:val="DefaultParagraphFont"/>
    <w:link w:val="Table0"/>
    <w:locked/>
    <w:rsid w:val="00BC47FF"/>
    <w:rPr>
      <w:rFonts w:eastAsia="SimSun"/>
      <w:b/>
      <w:bCs/>
      <w:lang w:eastAsia="zh-CN"/>
    </w:rPr>
  </w:style>
  <w:style w:type="character" w:customStyle="1" w:styleId="Nottoc-headingsChar">
    <w:name w:val="Not toc-headings Char"/>
    <w:basedOn w:val="DefaultParagraphFont"/>
    <w:link w:val="Nottoc-headings0"/>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D25E9A"/>
    <w:pPr>
      <w:jc w:val="left"/>
      <w:outlineLvl w:val="1"/>
    </w:pPr>
    <w:rPr>
      <w:rFonts w:cs="Arial"/>
      <w:sz w:val="28"/>
    </w:rPr>
  </w:style>
  <w:style w:type="character" w:customStyle="1" w:styleId="SubtitleChar">
    <w:name w:val="Subtitle Char"/>
    <w:basedOn w:val="DefaultParagraphFont"/>
    <w:link w:val="Subtitle"/>
    <w:uiPriority w:val="99"/>
    <w:rsid w:val="00D25E9A"/>
    <w:rPr>
      <w:rFonts w:cs="Arial"/>
      <w:b/>
      <w:sz w:val="28"/>
      <w:szCs w:val="24"/>
    </w:rPr>
  </w:style>
  <w:style w:type="paragraph" w:styleId="Title">
    <w:name w:val="Title"/>
    <w:basedOn w:val="Normal"/>
    <w:link w:val="TitleChar"/>
    <w:autoRedefine/>
    <w:uiPriority w:val="99"/>
    <w:qFormat/>
    <w:rsid w:val="00D25E9A"/>
    <w:pPr>
      <w:jc w:val="left"/>
      <w:outlineLvl w:val="0"/>
    </w:pPr>
    <w:rPr>
      <w:rFonts w:cs="Arial"/>
      <w:bCs/>
      <w:kern w:val="28"/>
      <w:sz w:val="34"/>
      <w:szCs w:val="32"/>
    </w:rPr>
  </w:style>
  <w:style w:type="character" w:customStyle="1" w:styleId="TitleChar">
    <w:name w:val="Title Char"/>
    <w:basedOn w:val="DefaultParagraphFont"/>
    <w:link w:val="Title"/>
    <w:uiPriority w:val="99"/>
    <w:rsid w:val="00D25E9A"/>
    <w:rPr>
      <w:rFonts w:cs="Arial"/>
      <w:b/>
      <w:bCs/>
      <w:kern w:val="28"/>
      <w:sz w:val="34"/>
      <w:szCs w:val="32"/>
    </w:rPr>
  </w:style>
  <w:style w:type="paragraph" w:customStyle="1" w:styleId="Synopsis">
    <w:name w:val="Synopsis"/>
    <w:basedOn w:val="Text"/>
    <w:uiPriority w:val="99"/>
    <w:rsid w:val="003944B2"/>
    <w:pPr>
      <w:spacing w:line="240" w:lineRule="auto"/>
    </w:pPr>
    <w:rPr>
      <w:rFonts w:ascii="Arial" w:eastAsia="MS Gothic" w:hAnsi="Arial"/>
      <w:sz w:val="20"/>
    </w:rPr>
  </w:style>
  <w:style w:type="paragraph" w:customStyle="1" w:styleId="TOCEntry">
    <w:name w:val="TOC Entry"/>
    <w:basedOn w:val="Heading2"/>
    <w:next w:val="Text"/>
    <w:uiPriority w:val="99"/>
    <w:rsid w:val="003944B2"/>
    <w:pPr>
      <w:spacing w:before="240" w:after="0" w:line="240" w:lineRule="auto"/>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spacing w:line="240" w:lineRule="auto"/>
      <w:ind w:right="-29"/>
    </w:pPr>
    <w:rPr>
      <w:lang w:val="en-AU"/>
    </w:r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basedOn w:val="DefaultParagraphFont"/>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spacing w:line="240" w:lineRule="auto"/>
    </w:pPr>
    <w:rPr>
      <w:rFonts w:eastAsia="MS Mincho"/>
      <w:i/>
      <w:color w:val="BF30B5"/>
    </w:rPr>
  </w:style>
  <w:style w:type="paragraph" w:customStyle="1" w:styleId="Legend0">
    <w:name w:val="Legend"/>
    <w:basedOn w:val="Table0"/>
    <w:link w:val="LegendChar"/>
    <w:rsid w:val="003944B2"/>
    <w:rPr>
      <w:rFonts w:ascii="Arial" w:eastAsia="MS Mincho" w:hAnsi="Arial"/>
      <w:b w:val="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3944B2"/>
    <w:pPr>
      <w:spacing w:line="240" w:lineRule="auto"/>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line="240" w:lineRule="auto"/>
      <w:jc w:val="left"/>
    </w:pPr>
    <w:rPr>
      <w:b w:val="0"/>
    </w:rPr>
  </w:style>
  <w:style w:type="character" w:customStyle="1" w:styleId="TextChar2">
    <w:name w:val="Text Char2"/>
    <w:rsid w:val="00BC6DA6"/>
    <w:rPr>
      <w:rFonts w:eastAsia="MS Mincho"/>
      <w:sz w:val="24"/>
      <w:lang w:eastAsia="zh-CN"/>
    </w:rPr>
  </w:style>
  <w:style w:type="character" w:customStyle="1" w:styleId="LegendChar">
    <w:name w:val="Legend Char"/>
    <w:link w:val="Legend0"/>
    <w:locked/>
    <w:rsid w:val="00034346"/>
    <w:rPr>
      <w:rFonts w:ascii="Arial" w:eastAsia="MS Mincho" w:hAnsi="Arial" w:cs="Arial"/>
      <w:bCs/>
      <w:szCs w:val="24"/>
    </w:rPr>
  </w:style>
  <w:style w:type="paragraph" w:customStyle="1" w:styleId="Listlevel1">
    <w:name w:val="List level 1"/>
    <w:basedOn w:val="Normal"/>
    <w:rsid w:val="000D6F80"/>
    <w:pPr>
      <w:keepLines/>
      <w:tabs>
        <w:tab w:val="clear" w:pos="-720"/>
        <w:tab w:val="clear" w:pos="0"/>
        <w:tab w:val="clear" w:pos="720"/>
        <w:tab w:val="clear" w:pos="1440"/>
        <w:tab w:val="clear" w:pos="2160"/>
        <w:tab w:val="clear" w:pos="2880"/>
        <w:tab w:val="clear" w:pos="3600"/>
        <w:tab w:val="clear" w:pos="4320"/>
      </w:tabs>
      <w:autoSpaceDE/>
      <w:autoSpaceDN/>
      <w:adjustRightInd/>
      <w:spacing w:before="40" w:line="240" w:lineRule="auto"/>
      <w:ind w:left="425" w:hanging="425"/>
      <w:jc w:val="left"/>
    </w:pPr>
    <w:rPr>
      <w:rFonts w:eastAsia="MS Mincho"/>
      <w:b w:val="0"/>
      <w:szCs w:val="20"/>
      <w:lang w:eastAsia="zh-CN"/>
    </w:rPr>
  </w:style>
  <w:style w:type="character" w:styleId="Hyperlink">
    <w:name w:val="Hyperlink"/>
    <w:basedOn w:val="DefaultParagraphFont"/>
    <w:uiPriority w:val="99"/>
    <w:semiHidden/>
    <w:unhideWhenUsed/>
    <w:rsid w:val="009E6D50"/>
    <w:rPr>
      <w:color w:val="0000FF"/>
      <w:u w:val="single"/>
    </w:rPr>
  </w:style>
  <w:style w:type="paragraph" w:customStyle="1" w:styleId="Non-proportional0">
    <w:name w:val="Non-proportional"/>
    <w:basedOn w:val="Normal"/>
    <w:rsid w:val="00B42838"/>
    <w:pPr>
      <w:keepLines/>
      <w:tabs>
        <w:tab w:val="clear" w:pos="-720"/>
        <w:tab w:val="clear" w:pos="0"/>
        <w:tab w:val="clear" w:pos="720"/>
        <w:tab w:val="clear" w:pos="1440"/>
        <w:tab w:val="clear" w:pos="2160"/>
        <w:tab w:val="clear" w:pos="2880"/>
        <w:tab w:val="clear" w:pos="3600"/>
        <w:tab w:val="clear" w:pos="4320"/>
      </w:tabs>
      <w:autoSpaceDE/>
      <w:autoSpaceDN/>
      <w:adjustRightInd/>
      <w:spacing w:before="40" w:line="240" w:lineRule="atLeast"/>
    </w:pPr>
    <w:rPr>
      <w:rFonts w:ascii="Courier New" w:eastAsia="MS Mincho" w:hAnsi="Courier New"/>
      <w:b w:val="0"/>
      <w:spacing w:val="-10"/>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292">
      <w:bodyDiv w:val="1"/>
      <w:marLeft w:val="0"/>
      <w:marRight w:val="0"/>
      <w:marTop w:val="0"/>
      <w:marBottom w:val="0"/>
      <w:divBdr>
        <w:top w:val="none" w:sz="0" w:space="0" w:color="auto"/>
        <w:left w:val="none" w:sz="0" w:space="0" w:color="auto"/>
        <w:bottom w:val="none" w:sz="0" w:space="0" w:color="auto"/>
        <w:right w:val="none" w:sz="0" w:space="0" w:color="auto"/>
      </w:divBdr>
    </w:div>
    <w:div w:id="58405798">
      <w:marLeft w:val="0"/>
      <w:marRight w:val="0"/>
      <w:marTop w:val="0"/>
      <w:marBottom w:val="0"/>
      <w:divBdr>
        <w:top w:val="none" w:sz="0" w:space="0" w:color="auto"/>
        <w:left w:val="none" w:sz="0" w:space="0" w:color="auto"/>
        <w:bottom w:val="none" w:sz="0" w:space="0" w:color="auto"/>
        <w:right w:val="none" w:sz="0" w:space="0" w:color="auto"/>
      </w:divBdr>
    </w:div>
    <w:div w:id="58405799">
      <w:marLeft w:val="0"/>
      <w:marRight w:val="0"/>
      <w:marTop w:val="0"/>
      <w:marBottom w:val="0"/>
      <w:divBdr>
        <w:top w:val="none" w:sz="0" w:space="0" w:color="auto"/>
        <w:left w:val="none" w:sz="0" w:space="0" w:color="auto"/>
        <w:bottom w:val="none" w:sz="0" w:space="0" w:color="auto"/>
        <w:right w:val="none" w:sz="0" w:space="0" w:color="auto"/>
      </w:divBdr>
    </w:div>
    <w:div w:id="58405800">
      <w:marLeft w:val="0"/>
      <w:marRight w:val="0"/>
      <w:marTop w:val="0"/>
      <w:marBottom w:val="0"/>
      <w:divBdr>
        <w:top w:val="none" w:sz="0" w:space="0" w:color="auto"/>
        <w:left w:val="none" w:sz="0" w:space="0" w:color="auto"/>
        <w:bottom w:val="none" w:sz="0" w:space="0" w:color="auto"/>
        <w:right w:val="none" w:sz="0" w:space="0" w:color="auto"/>
      </w:divBdr>
    </w:div>
    <w:div w:id="58405801">
      <w:marLeft w:val="0"/>
      <w:marRight w:val="0"/>
      <w:marTop w:val="0"/>
      <w:marBottom w:val="0"/>
      <w:divBdr>
        <w:top w:val="none" w:sz="0" w:space="0" w:color="auto"/>
        <w:left w:val="none" w:sz="0" w:space="0" w:color="auto"/>
        <w:bottom w:val="none" w:sz="0" w:space="0" w:color="auto"/>
        <w:right w:val="none" w:sz="0" w:space="0" w:color="auto"/>
      </w:divBdr>
    </w:div>
    <w:div w:id="58405802">
      <w:marLeft w:val="0"/>
      <w:marRight w:val="0"/>
      <w:marTop w:val="0"/>
      <w:marBottom w:val="0"/>
      <w:divBdr>
        <w:top w:val="none" w:sz="0" w:space="0" w:color="auto"/>
        <w:left w:val="none" w:sz="0" w:space="0" w:color="auto"/>
        <w:bottom w:val="none" w:sz="0" w:space="0" w:color="auto"/>
        <w:right w:val="none" w:sz="0" w:space="0" w:color="auto"/>
      </w:divBdr>
    </w:div>
    <w:div w:id="58405803">
      <w:marLeft w:val="0"/>
      <w:marRight w:val="0"/>
      <w:marTop w:val="0"/>
      <w:marBottom w:val="0"/>
      <w:divBdr>
        <w:top w:val="none" w:sz="0" w:space="0" w:color="auto"/>
        <w:left w:val="none" w:sz="0" w:space="0" w:color="auto"/>
        <w:bottom w:val="none" w:sz="0" w:space="0" w:color="auto"/>
        <w:right w:val="none" w:sz="0" w:space="0" w:color="auto"/>
      </w:divBdr>
    </w:div>
    <w:div w:id="58405804">
      <w:marLeft w:val="0"/>
      <w:marRight w:val="0"/>
      <w:marTop w:val="0"/>
      <w:marBottom w:val="0"/>
      <w:divBdr>
        <w:top w:val="none" w:sz="0" w:space="0" w:color="auto"/>
        <w:left w:val="none" w:sz="0" w:space="0" w:color="auto"/>
        <w:bottom w:val="none" w:sz="0" w:space="0" w:color="auto"/>
        <w:right w:val="none" w:sz="0" w:space="0" w:color="auto"/>
      </w:divBdr>
    </w:div>
    <w:div w:id="58405805">
      <w:marLeft w:val="0"/>
      <w:marRight w:val="0"/>
      <w:marTop w:val="0"/>
      <w:marBottom w:val="0"/>
      <w:divBdr>
        <w:top w:val="none" w:sz="0" w:space="0" w:color="auto"/>
        <w:left w:val="none" w:sz="0" w:space="0" w:color="auto"/>
        <w:bottom w:val="none" w:sz="0" w:space="0" w:color="auto"/>
        <w:right w:val="none" w:sz="0" w:space="0" w:color="auto"/>
      </w:divBdr>
    </w:div>
    <w:div w:id="58405806">
      <w:marLeft w:val="0"/>
      <w:marRight w:val="0"/>
      <w:marTop w:val="0"/>
      <w:marBottom w:val="0"/>
      <w:divBdr>
        <w:top w:val="none" w:sz="0" w:space="0" w:color="auto"/>
        <w:left w:val="none" w:sz="0" w:space="0" w:color="auto"/>
        <w:bottom w:val="none" w:sz="0" w:space="0" w:color="auto"/>
        <w:right w:val="none" w:sz="0" w:space="0" w:color="auto"/>
      </w:divBdr>
    </w:div>
    <w:div w:id="58405807">
      <w:marLeft w:val="0"/>
      <w:marRight w:val="0"/>
      <w:marTop w:val="0"/>
      <w:marBottom w:val="0"/>
      <w:divBdr>
        <w:top w:val="none" w:sz="0" w:space="0" w:color="auto"/>
        <w:left w:val="none" w:sz="0" w:space="0" w:color="auto"/>
        <w:bottom w:val="none" w:sz="0" w:space="0" w:color="auto"/>
        <w:right w:val="none" w:sz="0" w:space="0" w:color="auto"/>
      </w:divBdr>
    </w:div>
    <w:div w:id="58405808">
      <w:marLeft w:val="0"/>
      <w:marRight w:val="0"/>
      <w:marTop w:val="0"/>
      <w:marBottom w:val="0"/>
      <w:divBdr>
        <w:top w:val="none" w:sz="0" w:space="0" w:color="auto"/>
        <w:left w:val="none" w:sz="0" w:space="0" w:color="auto"/>
        <w:bottom w:val="none" w:sz="0" w:space="0" w:color="auto"/>
        <w:right w:val="none" w:sz="0" w:space="0" w:color="auto"/>
      </w:divBdr>
    </w:div>
    <w:div w:id="58405809">
      <w:marLeft w:val="0"/>
      <w:marRight w:val="0"/>
      <w:marTop w:val="0"/>
      <w:marBottom w:val="0"/>
      <w:divBdr>
        <w:top w:val="none" w:sz="0" w:space="0" w:color="auto"/>
        <w:left w:val="none" w:sz="0" w:space="0" w:color="auto"/>
        <w:bottom w:val="none" w:sz="0" w:space="0" w:color="auto"/>
        <w:right w:val="none" w:sz="0" w:space="0" w:color="auto"/>
      </w:divBdr>
    </w:div>
    <w:div w:id="58405810">
      <w:marLeft w:val="0"/>
      <w:marRight w:val="0"/>
      <w:marTop w:val="0"/>
      <w:marBottom w:val="0"/>
      <w:divBdr>
        <w:top w:val="none" w:sz="0" w:space="0" w:color="auto"/>
        <w:left w:val="none" w:sz="0" w:space="0" w:color="auto"/>
        <w:bottom w:val="none" w:sz="0" w:space="0" w:color="auto"/>
        <w:right w:val="none" w:sz="0" w:space="0" w:color="auto"/>
      </w:divBdr>
    </w:div>
    <w:div w:id="92627287">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2">
          <w:marLeft w:val="0"/>
          <w:marRight w:val="0"/>
          <w:marTop w:val="0"/>
          <w:marBottom w:val="0"/>
          <w:divBdr>
            <w:top w:val="none" w:sz="0" w:space="0" w:color="auto"/>
            <w:left w:val="none" w:sz="0" w:space="0" w:color="auto"/>
            <w:bottom w:val="none" w:sz="0" w:space="0" w:color="auto"/>
            <w:right w:val="none" w:sz="0" w:space="0" w:color="auto"/>
          </w:divBdr>
          <w:divsChild>
            <w:div w:id="1825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29">
      <w:bodyDiv w:val="1"/>
      <w:marLeft w:val="0"/>
      <w:marRight w:val="0"/>
      <w:marTop w:val="0"/>
      <w:marBottom w:val="0"/>
      <w:divBdr>
        <w:top w:val="none" w:sz="0" w:space="0" w:color="auto"/>
        <w:left w:val="none" w:sz="0" w:space="0" w:color="auto"/>
        <w:bottom w:val="none" w:sz="0" w:space="0" w:color="auto"/>
        <w:right w:val="none" w:sz="0" w:space="0" w:color="auto"/>
      </w:divBdr>
      <w:divsChild>
        <w:div w:id="1940984770">
          <w:marLeft w:val="0"/>
          <w:marRight w:val="0"/>
          <w:marTop w:val="0"/>
          <w:marBottom w:val="0"/>
          <w:divBdr>
            <w:top w:val="none" w:sz="0" w:space="0" w:color="auto"/>
            <w:left w:val="none" w:sz="0" w:space="0" w:color="auto"/>
            <w:bottom w:val="none" w:sz="0" w:space="0" w:color="auto"/>
            <w:right w:val="none" w:sz="0" w:space="0" w:color="auto"/>
          </w:divBdr>
          <w:divsChild>
            <w:div w:id="2133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223">
      <w:bodyDiv w:val="1"/>
      <w:marLeft w:val="0"/>
      <w:marRight w:val="0"/>
      <w:marTop w:val="0"/>
      <w:marBottom w:val="0"/>
      <w:divBdr>
        <w:top w:val="none" w:sz="0" w:space="0" w:color="auto"/>
        <w:left w:val="none" w:sz="0" w:space="0" w:color="auto"/>
        <w:bottom w:val="none" w:sz="0" w:space="0" w:color="auto"/>
        <w:right w:val="none" w:sz="0" w:space="0" w:color="auto"/>
      </w:divBdr>
    </w:div>
    <w:div w:id="301351653">
      <w:bodyDiv w:val="1"/>
      <w:marLeft w:val="0"/>
      <w:marRight w:val="0"/>
      <w:marTop w:val="0"/>
      <w:marBottom w:val="0"/>
      <w:divBdr>
        <w:top w:val="none" w:sz="0" w:space="0" w:color="auto"/>
        <w:left w:val="none" w:sz="0" w:space="0" w:color="auto"/>
        <w:bottom w:val="none" w:sz="0" w:space="0" w:color="auto"/>
        <w:right w:val="none" w:sz="0" w:space="0" w:color="auto"/>
      </w:divBdr>
      <w:divsChild>
        <w:div w:id="1558586538">
          <w:marLeft w:val="0"/>
          <w:marRight w:val="0"/>
          <w:marTop w:val="0"/>
          <w:marBottom w:val="0"/>
          <w:divBdr>
            <w:top w:val="none" w:sz="0" w:space="0" w:color="auto"/>
            <w:left w:val="none" w:sz="0" w:space="0" w:color="auto"/>
            <w:bottom w:val="none" w:sz="0" w:space="0" w:color="auto"/>
            <w:right w:val="none" w:sz="0" w:space="0" w:color="auto"/>
          </w:divBdr>
          <w:divsChild>
            <w:div w:id="746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620">
      <w:bodyDiv w:val="1"/>
      <w:marLeft w:val="0"/>
      <w:marRight w:val="0"/>
      <w:marTop w:val="0"/>
      <w:marBottom w:val="0"/>
      <w:divBdr>
        <w:top w:val="none" w:sz="0" w:space="0" w:color="auto"/>
        <w:left w:val="none" w:sz="0" w:space="0" w:color="auto"/>
        <w:bottom w:val="none" w:sz="0" w:space="0" w:color="auto"/>
        <w:right w:val="none" w:sz="0" w:space="0" w:color="auto"/>
      </w:divBdr>
    </w:div>
    <w:div w:id="459230152">
      <w:bodyDiv w:val="1"/>
      <w:marLeft w:val="0"/>
      <w:marRight w:val="0"/>
      <w:marTop w:val="0"/>
      <w:marBottom w:val="0"/>
      <w:divBdr>
        <w:top w:val="none" w:sz="0" w:space="0" w:color="auto"/>
        <w:left w:val="none" w:sz="0" w:space="0" w:color="auto"/>
        <w:bottom w:val="none" w:sz="0" w:space="0" w:color="auto"/>
        <w:right w:val="none" w:sz="0" w:space="0" w:color="auto"/>
      </w:divBdr>
      <w:divsChild>
        <w:div w:id="2049521829">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482">
      <w:bodyDiv w:val="1"/>
      <w:marLeft w:val="0"/>
      <w:marRight w:val="0"/>
      <w:marTop w:val="0"/>
      <w:marBottom w:val="0"/>
      <w:divBdr>
        <w:top w:val="none" w:sz="0" w:space="0" w:color="auto"/>
        <w:left w:val="none" w:sz="0" w:space="0" w:color="auto"/>
        <w:bottom w:val="none" w:sz="0" w:space="0" w:color="auto"/>
        <w:right w:val="none" w:sz="0" w:space="0" w:color="auto"/>
      </w:divBdr>
      <w:divsChild>
        <w:div w:id="777026559">
          <w:marLeft w:val="0"/>
          <w:marRight w:val="0"/>
          <w:marTop w:val="0"/>
          <w:marBottom w:val="0"/>
          <w:divBdr>
            <w:top w:val="none" w:sz="0" w:space="0" w:color="auto"/>
            <w:left w:val="none" w:sz="0" w:space="0" w:color="auto"/>
            <w:bottom w:val="none" w:sz="0" w:space="0" w:color="auto"/>
            <w:right w:val="none" w:sz="0" w:space="0" w:color="auto"/>
          </w:divBdr>
          <w:divsChild>
            <w:div w:id="27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456">
      <w:bodyDiv w:val="1"/>
      <w:marLeft w:val="0"/>
      <w:marRight w:val="0"/>
      <w:marTop w:val="0"/>
      <w:marBottom w:val="0"/>
      <w:divBdr>
        <w:top w:val="none" w:sz="0" w:space="0" w:color="auto"/>
        <w:left w:val="none" w:sz="0" w:space="0" w:color="auto"/>
        <w:bottom w:val="none" w:sz="0" w:space="0" w:color="auto"/>
        <w:right w:val="none" w:sz="0" w:space="0" w:color="auto"/>
      </w:divBdr>
      <w:divsChild>
        <w:div w:id="504439454">
          <w:marLeft w:val="0"/>
          <w:marRight w:val="0"/>
          <w:marTop w:val="0"/>
          <w:marBottom w:val="0"/>
          <w:divBdr>
            <w:top w:val="none" w:sz="0" w:space="0" w:color="auto"/>
            <w:left w:val="none" w:sz="0" w:space="0" w:color="auto"/>
            <w:bottom w:val="none" w:sz="0" w:space="0" w:color="auto"/>
            <w:right w:val="none" w:sz="0" w:space="0" w:color="auto"/>
          </w:divBdr>
          <w:divsChild>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39878">
      <w:bodyDiv w:val="1"/>
      <w:marLeft w:val="0"/>
      <w:marRight w:val="0"/>
      <w:marTop w:val="0"/>
      <w:marBottom w:val="0"/>
      <w:divBdr>
        <w:top w:val="none" w:sz="0" w:space="0" w:color="auto"/>
        <w:left w:val="none" w:sz="0" w:space="0" w:color="auto"/>
        <w:bottom w:val="none" w:sz="0" w:space="0" w:color="auto"/>
        <w:right w:val="none" w:sz="0" w:space="0" w:color="auto"/>
      </w:divBdr>
    </w:div>
    <w:div w:id="662662719">
      <w:bodyDiv w:val="1"/>
      <w:marLeft w:val="0"/>
      <w:marRight w:val="0"/>
      <w:marTop w:val="0"/>
      <w:marBottom w:val="0"/>
      <w:divBdr>
        <w:top w:val="none" w:sz="0" w:space="0" w:color="auto"/>
        <w:left w:val="none" w:sz="0" w:space="0" w:color="auto"/>
        <w:bottom w:val="none" w:sz="0" w:space="0" w:color="auto"/>
        <w:right w:val="none" w:sz="0" w:space="0" w:color="auto"/>
      </w:divBdr>
      <w:divsChild>
        <w:div w:id="221258135">
          <w:marLeft w:val="0"/>
          <w:marRight w:val="0"/>
          <w:marTop w:val="0"/>
          <w:marBottom w:val="0"/>
          <w:divBdr>
            <w:top w:val="none" w:sz="0" w:space="0" w:color="auto"/>
            <w:left w:val="none" w:sz="0" w:space="0" w:color="auto"/>
            <w:bottom w:val="none" w:sz="0" w:space="0" w:color="auto"/>
            <w:right w:val="none" w:sz="0" w:space="0" w:color="auto"/>
          </w:divBdr>
          <w:divsChild>
            <w:div w:id="1490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1141">
      <w:bodyDiv w:val="1"/>
      <w:marLeft w:val="0"/>
      <w:marRight w:val="0"/>
      <w:marTop w:val="0"/>
      <w:marBottom w:val="0"/>
      <w:divBdr>
        <w:top w:val="none" w:sz="0" w:space="0" w:color="auto"/>
        <w:left w:val="none" w:sz="0" w:space="0" w:color="auto"/>
        <w:bottom w:val="none" w:sz="0" w:space="0" w:color="auto"/>
        <w:right w:val="none" w:sz="0" w:space="0" w:color="auto"/>
      </w:divBdr>
    </w:div>
    <w:div w:id="7855424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9">
          <w:marLeft w:val="0"/>
          <w:marRight w:val="0"/>
          <w:marTop w:val="0"/>
          <w:marBottom w:val="0"/>
          <w:divBdr>
            <w:top w:val="none" w:sz="0" w:space="0" w:color="auto"/>
            <w:left w:val="none" w:sz="0" w:space="0" w:color="auto"/>
            <w:bottom w:val="none" w:sz="0" w:space="0" w:color="auto"/>
            <w:right w:val="none" w:sz="0" w:space="0" w:color="auto"/>
          </w:divBdr>
          <w:divsChild>
            <w:div w:id="4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40855">
      <w:bodyDiv w:val="1"/>
      <w:marLeft w:val="0"/>
      <w:marRight w:val="0"/>
      <w:marTop w:val="0"/>
      <w:marBottom w:val="0"/>
      <w:divBdr>
        <w:top w:val="none" w:sz="0" w:space="0" w:color="auto"/>
        <w:left w:val="none" w:sz="0" w:space="0" w:color="auto"/>
        <w:bottom w:val="none" w:sz="0" w:space="0" w:color="auto"/>
        <w:right w:val="none" w:sz="0" w:space="0" w:color="auto"/>
      </w:divBdr>
    </w:div>
    <w:div w:id="888418065">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0"/>
          <w:marRight w:val="0"/>
          <w:marTop w:val="0"/>
          <w:marBottom w:val="0"/>
          <w:divBdr>
            <w:top w:val="none" w:sz="0" w:space="0" w:color="auto"/>
            <w:left w:val="none" w:sz="0" w:space="0" w:color="auto"/>
            <w:bottom w:val="none" w:sz="0" w:space="0" w:color="auto"/>
            <w:right w:val="none" w:sz="0" w:space="0" w:color="auto"/>
          </w:divBdr>
          <w:divsChild>
            <w:div w:id="1216041865">
              <w:marLeft w:val="0"/>
              <w:marRight w:val="0"/>
              <w:marTop w:val="0"/>
              <w:marBottom w:val="0"/>
              <w:divBdr>
                <w:top w:val="none" w:sz="0" w:space="0" w:color="auto"/>
                <w:left w:val="none" w:sz="0" w:space="0" w:color="auto"/>
                <w:bottom w:val="none" w:sz="0" w:space="0" w:color="auto"/>
                <w:right w:val="none" w:sz="0" w:space="0" w:color="auto"/>
              </w:divBdr>
              <w:divsChild>
                <w:div w:id="395973336">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7322">
                  <w:blockQuote w:val="1"/>
                  <w:marLeft w:val="720"/>
                  <w:marRight w:val="0"/>
                  <w:marTop w:val="100"/>
                  <w:marBottom w:val="100"/>
                  <w:divBdr>
                    <w:top w:val="none" w:sz="0" w:space="0" w:color="auto"/>
                    <w:left w:val="none" w:sz="0" w:space="0" w:color="auto"/>
                    <w:bottom w:val="none" w:sz="0" w:space="0" w:color="auto"/>
                    <w:right w:val="none" w:sz="0" w:space="0" w:color="auto"/>
                  </w:divBdr>
                </w:div>
                <w:div w:id="15233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81470267">
      <w:bodyDiv w:val="1"/>
      <w:marLeft w:val="0"/>
      <w:marRight w:val="0"/>
      <w:marTop w:val="0"/>
      <w:marBottom w:val="0"/>
      <w:divBdr>
        <w:top w:val="none" w:sz="0" w:space="0" w:color="auto"/>
        <w:left w:val="none" w:sz="0" w:space="0" w:color="auto"/>
        <w:bottom w:val="none" w:sz="0" w:space="0" w:color="auto"/>
        <w:right w:val="none" w:sz="0" w:space="0" w:color="auto"/>
      </w:divBdr>
    </w:div>
    <w:div w:id="998849367">
      <w:bodyDiv w:val="1"/>
      <w:marLeft w:val="0"/>
      <w:marRight w:val="0"/>
      <w:marTop w:val="0"/>
      <w:marBottom w:val="0"/>
      <w:divBdr>
        <w:top w:val="none" w:sz="0" w:space="0" w:color="auto"/>
        <w:left w:val="none" w:sz="0" w:space="0" w:color="auto"/>
        <w:bottom w:val="none" w:sz="0" w:space="0" w:color="auto"/>
        <w:right w:val="none" w:sz="0" w:space="0" w:color="auto"/>
      </w:divBdr>
    </w:div>
    <w:div w:id="1035813655">
      <w:bodyDiv w:val="1"/>
      <w:marLeft w:val="0"/>
      <w:marRight w:val="0"/>
      <w:marTop w:val="0"/>
      <w:marBottom w:val="0"/>
      <w:divBdr>
        <w:top w:val="none" w:sz="0" w:space="0" w:color="auto"/>
        <w:left w:val="none" w:sz="0" w:space="0" w:color="auto"/>
        <w:bottom w:val="none" w:sz="0" w:space="0" w:color="auto"/>
        <w:right w:val="none" w:sz="0" w:space="0" w:color="auto"/>
      </w:divBdr>
    </w:div>
    <w:div w:id="10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048144765">
          <w:marLeft w:val="0"/>
          <w:marRight w:val="0"/>
          <w:marTop w:val="0"/>
          <w:marBottom w:val="0"/>
          <w:divBdr>
            <w:top w:val="none" w:sz="0" w:space="0" w:color="auto"/>
            <w:left w:val="none" w:sz="0" w:space="0" w:color="auto"/>
            <w:bottom w:val="none" w:sz="0" w:space="0" w:color="auto"/>
            <w:right w:val="none" w:sz="0" w:space="0" w:color="auto"/>
          </w:divBdr>
          <w:divsChild>
            <w:div w:id="1844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476">
      <w:bodyDiv w:val="1"/>
      <w:marLeft w:val="0"/>
      <w:marRight w:val="0"/>
      <w:marTop w:val="0"/>
      <w:marBottom w:val="0"/>
      <w:divBdr>
        <w:top w:val="none" w:sz="0" w:space="0" w:color="auto"/>
        <w:left w:val="none" w:sz="0" w:space="0" w:color="auto"/>
        <w:bottom w:val="none" w:sz="0" w:space="0" w:color="auto"/>
        <w:right w:val="none" w:sz="0" w:space="0" w:color="auto"/>
      </w:divBdr>
      <w:divsChild>
        <w:div w:id="780539594">
          <w:marLeft w:val="0"/>
          <w:marRight w:val="0"/>
          <w:marTop w:val="0"/>
          <w:marBottom w:val="0"/>
          <w:divBdr>
            <w:top w:val="none" w:sz="0" w:space="0" w:color="auto"/>
            <w:left w:val="none" w:sz="0" w:space="0" w:color="auto"/>
            <w:bottom w:val="none" w:sz="0" w:space="0" w:color="auto"/>
            <w:right w:val="none" w:sz="0" w:space="0" w:color="auto"/>
          </w:divBdr>
          <w:divsChild>
            <w:div w:id="1678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5445">
      <w:bodyDiv w:val="1"/>
      <w:marLeft w:val="0"/>
      <w:marRight w:val="0"/>
      <w:marTop w:val="0"/>
      <w:marBottom w:val="0"/>
      <w:divBdr>
        <w:top w:val="none" w:sz="0" w:space="0" w:color="auto"/>
        <w:left w:val="none" w:sz="0" w:space="0" w:color="auto"/>
        <w:bottom w:val="none" w:sz="0" w:space="0" w:color="auto"/>
        <w:right w:val="none" w:sz="0" w:space="0" w:color="auto"/>
      </w:divBdr>
    </w:div>
    <w:div w:id="1173496909">
      <w:bodyDiv w:val="1"/>
      <w:marLeft w:val="0"/>
      <w:marRight w:val="0"/>
      <w:marTop w:val="0"/>
      <w:marBottom w:val="0"/>
      <w:divBdr>
        <w:top w:val="none" w:sz="0" w:space="0" w:color="auto"/>
        <w:left w:val="none" w:sz="0" w:space="0" w:color="auto"/>
        <w:bottom w:val="none" w:sz="0" w:space="0" w:color="auto"/>
        <w:right w:val="none" w:sz="0" w:space="0" w:color="auto"/>
      </w:divBdr>
    </w:div>
    <w:div w:id="1215389297">
      <w:bodyDiv w:val="1"/>
      <w:marLeft w:val="0"/>
      <w:marRight w:val="0"/>
      <w:marTop w:val="0"/>
      <w:marBottom w:val="0"/>
      <w:divBdr>
        <w:top w:val="none" w:sz="0" w:space="0" w:color="auto"/>
        <w:left w:val="none" w:sz="0" w:space="0" w:color="auto"/>
        <w:bottom w:val="none" w:sz="0" w:space="0" w:color="auto"/>
        <w:right w:val="none" w:sz="0" w:space="0" w:color="auto"/>
      </w:divBdr>
    </w:div>
    <w:div w:id="1236210328">
      <w:bodyDiv w:val="1"/>
      <w:marLeft w:val="0"/>
      <w:marRight w:val="0"/>
      <w:marTop w:val="0"/>
      <w:marBottom w:val="0"/>
      <w:divBdr>
        <w:top w:val="none" w:sz="0" w:space="0" w:color="auto"/>
        <w:left w:val="none" w:sz="0" w:space="0" w:color="auto"/>
        <w:bottom w:val="none" w:sz="0" w:space="0" w:color="auto"/>
        <w:right w:val="none" w:sz="0" w:space="0" w:color="auto"/>
      </w:divBdr>
    </w:div>
    <w:div w:id="124553552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02">
          <w:marLeft w:val="0"/>
          <w:marRight w:val="0"/>
          <w:marTop w:val="0"/>
          <w:marBottom w:val="0"/>
          <w:divBdr>
            <w:top w:val="none" w:sz="0" w:space="0" w:color="auto"/>
            <w:left w:val="none" w:sz="0" w:space="0" w:color="auto"/>
            <w:bottom w:val="none" w:sz="0" w:space="0" w:color="auto"/>
            <w:right w:val="none" w:sz="0" w:space="0" w:color="auto"/>
          </w:divBdr>
          <w:divsChild>
            <w:div w:id="1057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3774">
      <w:bodyDiv w:val="1"/>
      <w:marLeft w:val="0"/>
      <w:marRight w:val="0"/>
      <w:marTop w:val="0"/>
      <w:marBottom w:val="0"/>
      <w:divBdr>
        <w:top w:val="none" w:sz="0" w:space="0" w:color="auto"/>
        <w:left w:val="none" w:sz="0" w:space="0" w:color="auto"/>
        <w:bottom w:val="none" w:sz="0" w:space="0" w:color="auto"/>
        <w:right w:val="none" w:sz="0" w:space="0" w:color="auto"/>
      </w:divBdr>
    </w:div>
    <w:div w:id="1273635972">
      <w:bodyDiv w:val="1"/>
      <w:marLeft w:val="0"/>
      <w:marRight w:val="0"/>
      <w:marTop w:val="0"/>
      <w:marBottom w:val="0"/>
      <w:divBdr>
        <w:top w:val="none" w:sz="0" w:space="0" w:color="auto"/>
        <w:left w:val="none" w:sz="0" w:space="0" w:color="auto"/>
        <w:bottom w:val="none" w:sz="0" w:space="0" w:color="auto"/>
        <w:right w:val="none" w:sz="0" w:space="0" w:color="auto"/>
      </w:divBdr>
    </w:div>
    <w:div w:id="1283461261">
      <w:bodyDiv w:val="1"/>
      <w:marLeft w:val="0"/>
      <w:marRight w:val="0"/>
      <w:marTop w:val="0"/>
      <w:marBottom w:val="0"/>
      <w:divBdr>
        <w:top w:val="none" w:sz="0" w:space="0" w:color="auto"/>
        <w:left w:val="none" w:sz="0" w:space="0" w:color="auto"/>
        <w:bottom w:val="none" w:sz="0" w:space="0" w:color="auto"/>
        <w:right w:val="none" w:sz="0" w:space="0" w:color="auto"/>
      </w:divBdr>
      <w:divsChild>
        <w:div w:id="269826608">
          <w:marLeft w:val="0"/>
          <w:marRight w:val="0"/>
          <w:marTop w:val="0"/>
          <w:marBottom w:val="0"/>
          <w:divBdr>
            <w:top w:val="none" w:sz="0" w:space="0" w:color="auto"/>
            <w:left w:val="none" w:sz="0" w:space="0" w:color="auto"/>
            <w:bottom w:val="none" w:sz="0" w:space="0" w:color="auto"/>
            <w:right w:val="none" w:sz="0" w:space="0" w:color="auto"/>
          </w:divBdr>
          <w:divsChild>
            <w:div w:id="631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4369">
      <w:bodyDiv w:val="1"/>
      <w:marLeft w:val="0"/>
      <w:marRight w:val="0"/>
      <w:marTop w:val="0"/>
      <w:marBottom w:val="0"/>
      <w:divBdr>
        <w:top w:val="none" w:sz="0" w:space="0" w:color="auto"/>
        <w:left w:val="none" w:sz="0" w:space="0" w:color="auto"/>
        <w:bottom w:val="none" w:sz="0" w:space="0" w:color="auto"/>
        <w:right w:val="none" w:sz="0" w:space="0" w:color="auto"/>
      </w:divBdr>
    </w:div>
    <w:div w:id="1393231017">
      <w:bodyDiv w:val="1"/>
      <w:marLeft w:val="0"/>
      <w:marRight w:val="0"/>
      <w:marTop w:val="0"/>
      <w:marBottom w:val="0"/>
      <w:divBdr>
        <w:top w:val="none" w:sz="0" w:space="0" w:color="auto"/>
        <w:left w:val="none" w:sz="0" w:space="0" w:color="auto"/>
        <w:bottom w:val="none" w:sz="0" w:space="0" w:color="auto"/>
        <w:right w:val="none" w:sz="0" w:space="0" w:color="auto"/>
      </w:divBdr>
    </w:div>
    <w:div w:id="1393701800">
      <w:bodyDiv w:val="1"/>
      <w:marLeft w:val="0"/>
      <w:marRight w:val="0"/>
      <w:marTop w:val="0"/>
      <w:marBottom w:val="0"/>
      <w:divBdr>
        <w:top w:val="none" w:sz="0" w:space="0" w:color="auto"/>
        <w:left w:val="none" w:sz="0" w:space="0" w:color="auto"/>
        <w:bottom w:val="none" w:sz="0" w:space="0" w:color="auto"/>
        <w:right w:val="none" w:sz="0" w:space="0" w:color="auto"/>
      </w:divBdr>
    </w:div>
    <w:div w:id="1515879412">
      <w:bodyDiv w:val="1"/>
      <w:marLeft w:val="0"/>
      <w:marRight w:val="0"/>
      <w:marTop w:val="0"/>
      <w:marBottom w:val="0"/>
      <w:divBdr>
        <w:top w:val="none" w:sz="0" w:space="0" w:color="auto"/>
        <w:left w:val="none" w:sz="0" w:space="0" w:color="auto"/>
        <w:bottom w:val="none" w:sz="0" w:space="0" w:color="auto"/>
        <w:right w:val="none" w:sz="0" w:space="0" w:color="auto"/>
      </w:divBdr>
    </w:div>
    <w:div w:id="1589194470">
      <w:bodyDiv w:val="1"/>
      <w:marLeft w:val="0"/>
      <w:marRight w:val="0"/>
      <w:marTop w:val="0"/>
      <w:marBottom w:val="0"/>
      <w:divBdr>
        <w:top w:val="none" w:sz="0" w:space="0" w:color="auto"/>
        <w:left w:val="none" w:sz="0" w:space="0" w:color="auto"/>
        <w:bottom w:val="none" w:sz="0" w:space="0" w:color="auto"/>
        <w:right w:val="none" w:sz="0" w:space="0" w:color="auto"/>
      </w:divBdr>
    </w:div>
    <w:div w:id="1596281310">
      <w:bodyDiv w:val="1"/>
      <w:marLeft w:val="0"/>
      <w:marRight w:val="0"/>
      <w:marTop w:val="0"/>
      <w:marBottom w:val="0"/>
      <w:divBdr>
        <w:top w:val="none" w:sz="0" w:space="0" w:color="auto"/>
        <w:left w:val="none" w:sz="0" w:space="0" w:color="auto"/>
        <w:bottom w:val="none" w:sz="0" w:space="0" w:color="auto"/>
        <w:right w:val="none" w:sz="0" w:space="0" w:color="auto"/>
      </w:divBdr>
    </w:div>
    <w:div w:id="1632832214">
      <w:bodyDiv w:val="1"/>
      <w:marLeft w:val="0"/>
      <w:marRight w:val="0"/>
      <w:marTop w:val="0"/>
      <w:marBottom w:val="0"/>
      <w:divBdr>
        <w:top w:val="none" w:sz="0" w:space="0" w:color="auto"/>
        <w:left w:val="none" w:sz="0" w:space="0" w:color="auto"/>
        <w:bottom w:val="none" w:sz="0" w:space="0" w:color="auto"/>
        <w:right w:val="none" w:sz="0" w:space="0" w:color="auto"/>
      </w:divBdr>
      <w:divsChild>
        <w:div w:id="657658954">
          <w:marLeft w:val="0"/>
          <w:marRight w:val="0"/>
          <w:marTop w:val="0"/>
          <w:marBottom w:val="0"/>
          <w:divBdr>
            <w:top w:val="none" w:sz="0" w:space="0" w:color="auto"/>
            <w:left w:val="none" w:sz="0" w:space="0" w:color="auto"/>
            <w:bottom w:val="none" w:sz="0" w:space="0" w:color="auto"/>
            <w:right w:val="none" w:sz="0" w:space="0" w:color="auto"/>
          </w:divBdr>
          <w:divsChild>
            <w:div w:id="1364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688">
      <w:bodyDiv w:val="1"/>
      <w:marLeft w:val="0"/>
      <w:marRight w:val="0"/>
      <w:marTop w:val="0"/>
      <w:marBottom w:val="0"/>
      <w:divBdr>
        <w:top w:val="none" w:sz="0" w:space="0" w:color="auto"/>
        <w:left w:val="none" w:sz="0" w:space="0" w:color="auto"/>
        <w:bottom w:val="none" w:sz="0" w:space="0" w:color="auto"/>
        <w:right w:val="none" w:sz="0" w:space="0" w:color="auto"/>
      </w:divBdr>
      <w:divsChild>
        <w:div w:id="2030644106">
          <w:marLeft w:val="0"/>
          <w:marRight w:val="0"/>
          <w:marTop w:val="0"/>
          <w:marBottom w:val="0"/>
          <w:divBdr>
            <w:top w:val="none" w:sz="0" w:space="0" w:color="auto"/>
            <w:left w:val="none" w:sz="0" w:space="0" w:color="auto"/>
            <w:bottom w:val="none" w:sz="0" w:space="0" w:color="auto"/>
            <w:right w:val="none" w:sz="0" w:space="0" w:color="auto"/>
          </w:divBdr>
          <w:divsChild>
            <w:div w:id="110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sChild>
        <w:div w:id="1024137564">
          <w:marLeft w:val="0"/>
          <w:marRight w:val="0"/>
          <w:marTop w:val="0"/>
          <w:marBottom w:val="0"/>
          <w:divBdr>
            <w:top w:val="none" w:sz="0" w:space="0" w:color="auto"/>
            <w:left w:val="none" w:sz="0" w:space="0" w:color="auto"/>
            <w:bottom w:val="none" w:sz="0" w:space="0" w:color="auto"/>
            <w:right w:val="none" w:sz="0" w:space="0" w:color="auto"/>
          </w:divBdr>
          <w:divsChild>
            <w:div w:id="1113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128">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0">
          <w:marLeft w:val="0"/>
          <w:marRight w:val="0"/>
          <w:marTop w:val="0"/>
          <w:marBottom w:val="0"/>
          <w:divBdr>
            <w:top w:val="none" w:sz="0" w:space="0" w:color="auto"/>
            <w:left w:val="none" w:sz="0" w:space="0" w:color="auto"/>
            <w:bottom w:val="none" w:sz="0" w:space="0" w:color="auto"/>
            <w:right w:val="none" w:sz="0" w:space="0" w:color="auto"/>
          </w:divBdr>
          <w:divsChild>
            <w:div w:id="499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322">
      <w:bodyDiv w:val="1"/>
      <w:marLeft w:val="0"/>
      <w:marRight w:val="0"/>
      <w:marTop w:val="0"/>
      <w:marBottom w:val="0"/>
      <w:divBdr>
        <w:top w:val="none" w:sz="0" w:space="0" w:color="auto"/>
        <w:left w:val="none" w:sz="0" w:space="0" w:color="auto"/>
        <w:bottom w:val="none" w:sz="0" w:space="0" w:color="auto"/>
        <w:right w:val="none" w:sz="0" w:space="0" w:color="auto"/>
      </w:divBdr>
    </w:div>
    <w:div w:id="2076705100">
      <w:bodyDiv w:val="1"/>
      <w:marLeft w:val="0"/>
      <w:marRight w:val="0"/>
      <w:marTop w:val="0"/>
      <w:marBottom w:val="0"/>
      <w:divBdr>
        <w:top w:val="none" w:sz="0" w:space="0" w:color="auto"/>
        <w:left w:val="none" w:sz="0" w:space="0" w:color="auto"/>
        <w:bottom w:val="none" w:sz="0" w:space="0" w:color="auto"/>
        <w:right w:val="none" w:sz="0" w:space="0" w:color="auto"/>
      </w:divBdr>
      <w:divsChild>
        <w:div w:id="327484556">
          <w:marLeft w:val="0"/>
          <w:marRight w:val="0"/>
          <w:marTop w:val="0"/>
          <w:marBottom w:val="0"/>
          <w:divBdr>
            <w:top w:val="none" w:sz="0" w:space="0" w:color="auto"/>
            <w:left w:val="none" w:sz="0" w:space="0" w:color="auto"/>
            <w:bottom w:val="none" w:sz="0" w:space="0" w:color="auto"/>
            <w:right w:val="none" w:sz="0" w:space="0" w:color="auto"/>
          </w:divBdr>
          <w:divsChild>
            <w:div w:id="508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40295">
      <w:bodyDiv w:val="1"/>
      <w:marLeft w:val="0"/>
      <w:marRight w:val="0"/>
      <w:marTop w:val="0"/>
      <w:marBottom w:val="0"/>
      <w:divBdr>
        <w:top w:val="none" w:sz="0" w:space="0" w:color="auto"/>
        <w:left w:val="none" w:sz="0" w:space="0" w:color="auto"/>
        <w:bottom w:val="none" w:sz="0" w:space="0" w:color="auto"/>
        <w:right w:val="none" w:sz="0" w:space="0" w:color="auto"/>
      </w:divBdr>
    </w:div>
    <w:div w:id="2133014739">
      <w:bodyDiv w:val="1"/>
      <w:marLeft w:val="0"/>
      <w:marRight w:val="0"/>
      <w:marTop w:val="0"/>
      <w:marBottom w:val="0"/>
      <w:divBdr>
        <w:top w:val="none" w:sz="0" w:space="0" w:color="auto"/>
        <w:left w:val="none" w:sz="0" w:space="0" w:color="auto"/>
        <w:bottom w:val="none" w:sz="0" w:space="0" w:color="auto"/>
        <w:right w:val="none" w:sz="0" w:space="0" w:color="auto"/>
      </w:divBdr>
      <w:divsChild>
        <w:div w:id="632442922">
          <w:marLeft w:val="0"/>
          <w:marRight w:val="0"/>
          <w:marTop w:val="0"/>
          <w:marBottom w:val="0"/>
          <w:divBdr>
            <w:top w:val="none" w:sz="0" w:space="0" w:color="auto"/>
            <w:left w:val="none" w:sz="0" w:space="0" w:color="auto"/>
            <w:bottom w:val="none" w:sz="0" w:space="0" w:color="auto"/>
            <w:right w:val="none" w:sz="0" w:space="0" w:color="auto"/>
          </w:divBdr>
          <w:divsChild>
            <w:div w:id="1525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vs.nci.nih.gov/ftp1/CTCAE/Abou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47854C3E5B64FAA07A3DD303626C4" ma:contentTypeVersion="0" ma:contentTypeDescription="Create a new document." ma:contentTypeScope="" ma:versionID="d71afe1866c5905b8ad4e50ffc866df0">
  <xsd:schema xmlns:xsd="http://www.w3.org/2001/XMLSchema" xmlns:p="http://schemas.microsoft.com/office/2006/metadata/properties" targetNamespace="http://schemas.microsoft.com/office/2006/metadata/properties" ma:root="true" ma:fieldsID="b76c6de509ddbe24204ac0e88fa851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aree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43C5-A687-452D-830A-FA6268CE3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FC253-3709-43EC-9B16-18C588C4BF43}">
  <ds:schemaRefs>
    <ds:schemaRef ds:uri="http://schemas.microsoft.com/sharepoint/v3/contenttype/forms"/>
  </ds:schemaRefs>
</ds:datastoreItem>
</file>

<file path=customXml/itemProps3.xml><?xml version="1.0" encoding="utf-8"?>
<ds:datastoreItem xmlns:ds="http://schemas.openxmlformats.org/officeDocument/2006/customXml" ds:itemID="{7476684F-C347-4625-9ADB-3A812461D6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DDB4D30-1314-4262-AE9C-6DC05D8D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6354</Words>
  <Characters>35198</Characters>
  <Application>Microsoft Office Word</Application>
  <DocSecurity>0</DocSecurity>
  <Lines>676</Lines>
  <Paragraphs>275</Paragraphs>
  <ScaleCrop>false</ScaleCrop>
  <HeadingPairs>
    <vt:vector size="2" baseType="variant">
      <vt:variant>
        <vt:lpstr>Title</vt:lpstr>
      </vt:variant>
      <vt:variant>
        <vt:i4>1</vt:i4>
      </vt:variant>
    </vt:vector>
  </HeadingPairs>
  <TitlesOfParts>
    <vt:vector size="1" baseType="lpstr">
      <vt:lpstr>Australian Public Assessment Report for Odomzo</vt:lpstr>
    </vt:vector>
  </TitlesOfParts>
  <Company>Novartis</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Odomzo</dc:title>
  <dc:subject>prescription medicines</dc:subject>
  <dc:creator>Sector Pharma</dc:creator>
  <cp:lastPrinted>2015-07-13T01:44:00Z</cp:lastPrinted>
  <dcterms:created xsi:type="dcterms:W3CDTF">2019-12-23T03:12:00Z</dcterms:created>
  <dcterms:modified xsi:type="dcterms:W3CDTF">2019-12-23T03:17:00Z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-483687767</vt:i4>
  </property>
  <property fmtid="{D5CDD505-2E9C-101B-9397-08002B2CF9AE}" pid="3" name="_DocHome">
    <vt:i4>303733038</vt:i4>
  </property>
  <property fmtid="{D5CDD505-2E9C-101B-9397-08002B2CF9AE}" pid="4" name="ContentTypeId">
    <vt:lpwstr>0x010100A5C47854C3E5B64FAA07A3DD303626C4</vt:lpwstr>
  </property>
  <property fmtid="{D5CDD505-2E9C-101B-9397-08002B2CF9AE}" pid="5" name="TemplateUrl">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_ReviewingToolsShownOnce">
    <vt:lpwstr/>
  </property>
</Properties>
</file>