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1672E" w14:textId="77777777" w:rsidR="001F493D" w:rsidRDefault="001F493D">
      <w:pPr>
        <w:pStyle w:val="A-StudyTitle"/>
      </w:pPr>
      <w:bookmarkStart w:id="0" w:name="_GoBack"/>
      <w:bookmarkEnd w:id="0"/>
      <w:r>
        <w:t>LYNPARZA</w:t>
      </w:r>
      <w:r>
        <w:rPr>
          <w:rFonts w:cs="Arial"/>
          <w:vertAlign w:val="superscript"/>
        </w:rPr>
        <w:t>™</w:t>
      </w:r>
      <w:r>
        <w:t xml:space="preserve"> </w:t>
      </w:r>
    </w:p>
    <w:p w14:paraId="4B805C6D" w14:textId="77777777" w:rsidR="001F493D" w:rsidRDefault="001F493D">
      <w:pPr>
        <w:pStyle w:val="A-StudyTitle"/>
        <w:rPr>
          <w:b w:val="0"/>
          <w:bCs/>
          <w:sz w:val="24"/>
        </w:rPr>
      </w:pPr>
      <w:proofErr w:type="gramStart"/>
      <w:r>
        <w:rPr>
          <w:b w:val="0"/>
          <w:bCs/>
          <w:sz w:val="24"/>
        </w:rPr>
        <w:t>olaparib</w:t>
      </w:r>
      <w:proofErr w:type="gramEnd"/>
    </w:p>
    <w:p w14:paraId="1666A03C" w14:textId="77777777" w:rsidR="001F493D" w:rsidRDefault="001F493D">
      <w:pPr>
        <w:pStyle w:val="A-StudyTitle"/>
        <w:rPr>
          <w:sz w:val="24"/>
        </w:rPr>
      </w:pPr>
      <w:r>
        <w:rPr>
          <w:sz w:val="24"/>
        </w:rPr>
        <w:t>PRODUCT INFORMATION</w:t>
      </w:r>
    </w:p>
    <w:p w14:paraId="7A1DE114" w14:textId="77777777" w:rsidR="001F493D" w:rsidRDefault="001F493D">
      <w:pPr>
        <w:pStyle w:val="A-Heading1"/>
        <w:rPr>
          <w:sz w:val="22"/>
          <w:lang w:val="en-AU"/>
        </w:rPr>
      </w:pPr>
      <w:r>
        <w:rPr>
          <w:sz w:val="22"/>
          <w:lang w:val="en-AU"/>
        </w:rPr>
        <w:t>NAME OF THE MEDICINE</w:t>
      </w:r>
    </w:p>
    <w:p w14:paraId="6750C0D0" w14:textId="77777777" w:rsidR="001F493D" w:rsidRDefault="001F493D">
      <w:pPr>
        <w:pStyle w:val="USRALblNormal"/>
        <w:ind w:left="0"/>
        <w:rPr>
          <w:rFonts w:ascii="Arial" w:hAnsi="Arial" w:cs="Arial"/>
          <w:strike/>
          <w:sz w:val="22"/>
          <w:szCs w:val="24"/>
        </w:rPr>
      </w:pPr>
      <w:r>
        <w:rPr>
          <w:rFonts w:ascii="Arial" w:hAnsi="Arial" w:cs="Arial"/>
          <w:sz w:val="22"/>
          <w:szCs w:val="24"/>
        </w:rPr>
        <w:t xml:space="preserve">The active ingredient in LYNPARZA is olaparib, an orally </w:t>
      </w:r>
      <w:r>
        <w:rPr>
          <w:rFonts w:ascii="Arial" w:hAnsi="Arial" w:cs="Arial"/>
          <w:sz w:val="22"/>
          <w:szCs w:val="22"/>
        </w:rPr>
        <w:t xml:space="preserve">active potent inhibitor of </w:t>
      </w:r>
      <w:r>
        <w:rPr>
          <w:rFonts w:ascii="Arial" w:hAnsi="Arial" w:cs="Arial"/>
          <w:sz w:val="22"/>
          <w:szCs w:val="22"/>
          <w:lang w:val="en-US"/>
        </w:rPr>
        <w:t>human poly (ADP</w:t>
      </w:r>
      <w:r>
        <w:rPr>
          <w:rFonts w:ascii="Arial" w:hAnsi="Arial" w:cs="Arial"/>
          <w:sz w:val="22"/>
          <w:szCs w:val="22"/>
          <w:lang w:val="en-US"/>
        </w:rPr>
        <w:noBreakHyphen/>
        <w:t>ribose) polymerase enzymes (PARP enzymes)</w:t>
      </w:r>
      <w:r>
        <w:rPr>
          <w:rFonts w:ascii="Arial" w:hAnsi="Arial" w:cs="Arial"/>
          <w:sz w:val="22"/>
          <w:szCs w:val="22"/>
        </w:rPr>
        <w:t>.</w:t>
      </w:r>
      <w:r>
        <w:rPr>
          <w:rFonts w:ascii="Arial" w:hAnsi="Arial" w:cs="Arial"/>
          <w:sz w:val="22"/>
          <w:szCs w:val="24"/>
        </w:rPr>
        <w:t xml:space="preserve"> </w:t>
      </w:r>
    </w:p>
    <w:p w14:paraId="2001D1D8" w14:textId="77777777" w:rsidR="001F493D" w:rsidRDefault="001F493D">
      <w:pPr>
        <w:pStyle w:val="USRALblNormal"/>
        <w:jc w:val="left"/>
        <w:rPr>
          <w:sz w:val="22"/>
          <w:szCs w:val="24"/>
        </w:rPr>
      </w:pPr>
    </w:p>
    <w:p w14:paraId="00DBFCA0" w14:textId="77777777" w:rsidR="001F493D" w:rsidRDefault="001F493D">
      <w:pPr>
        <w:rPr>
          <w:sz w:val="22"/>
        </w:rPr>
      </w:pPr>
      <w:r>
        <w:rPr>
          <w:sz w:val="22"/>
          <w:szCs w:val="24"/>
        </w:rPr>
        <w:t>The chemical name for olaparib is</w:t>
      </w:r>
      <w:r>
        <w:rPr>
          <w:sz w:val="22"/>
          <w:szCs w:val="22"/>
        </w:rPr>
        <w:t>:  4-[[3-[[4-(cyclopropylcarbonyl)-1-piperazinyl</w:t>
      </w:r>
      <w:proofErr w:type="gramStart"/>
      <w:r>
        <w:rPr>
          <w:sz w:val="22"/>
          <w:szCs w:val="22"/>
        </w:rPr>
        <w:t>]carbonyl</w:t>
      </w:r>
      <w:proofErr w:type="gramEnd"/>
      <w:r>
        <w:rPr>
          <w:sz w:val="22"/>
          <w:szCs w:val="22"/>
        </w:rPr>
        <w:t>]-4-fluorophenyl]methyl]-1(2</w:t>
      </w:r>
      <w:r>
        <w:rPr>
          <w:i/>
          <w:iCs/>
          <w:sz w:val="22"/>
          <w:szCs w:val="22"/>
        </w:rPr>
        <w:t>H</w:t>
      </w:r>
      <w:r>
        <w:rPr>
          <w:sz w:val="22"/>
          <w:szCs w:val="22"/>
        </w:rPr>
        <w:t>)-phthalazinone</w:t>
      </w:r>
    </w:p>
    <w:p w14:paraId="12773F99" w14:textId="77777777" w:rsidR="001F493D" w:rsidRDefault="001F493D">
      <w:pPr>
        <w:rPr>
          <w:sz w:val="22"/>
        </w:rPr>
      </w:pPr>
      <w:r>
        <w:rPr>
          <w:sz w:val="22"/>
        </w:rPr>
        <w:t>The chemical structure of olaparib is:</w:t>
      </w:r>
    </w:p>
    <w:p w14:paraId="03CF9047" w14:textId="77777777" w:rsidR="001F493D" w:rsidRDefault="00AA040B">
      <w:pPr>
        <w:jc w:val="center"/>
        <w:rPr>
          <w:sz w:val="22"/>
        </w:rPr>
      </w:pPr>
      <w:r>
        <w:rPr>
          <w:b/>
          <w:noProof/>
          <w:sz w:val="22"/>
          <w:lang w:eastAsia="en-AU"/>
        </w:rPr>
        <w:drawing>
          <wp:inline distT="0" distB="0" distL="0" distR="0" wp14:anchorId="751CFB84" wp14:editId="73E9F0A2">
            <wp:extent cx="3295650" cy="2143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295650" cy="2143125"/>
                    </a:xfrm>
                    <a:prstGeom prst="rect">
                      <a:avLst/>
                    </a:prstGeom>
                    <a:noFill/>
                    <a:ln w="9525">
                      <a:noFill/>
                      <a:miter lim="800000"/>
                      <a:headEnd/>
                      <a:tailEnd/>
                    </a:ln>
                  </pic:spPr>
                </pic:pic>
              </a:graphicData>
            </a:graphic>
          </wp:inline>
        </w:drawing>
      </w:r>
    </w:p>
    <w:p w14:paraId="4CDE9B8B" w14:textId="77777777" w:rsidR="001F493D" w:rsidRDefault="001F493D">
      <w:pPr>
        <w:spacing w:after="0" w:line="276" w:lineRule="auto"/>
        <w:rPr>
          <w:sz w:val="22"/>
          <w:highlight w:val="yellow"/>
        </w:rPr>
      </w:pPr>
      <w:r>
        <w:rPr>
          <w:sz w:val="22"/>
        </w:rPr>
        <w:t>CAS number</w:t>
      </w:r>
      <w:r>
        <w:rPr>
          <w:sz w:val="22"/>
          <w:szCs w:val="22"/>
        </w:rPr>
        <w:t xml:space="preserve">:  </w:t>
      </w:r>
      <w:r>
        <w:rPr>
          <w:rFonts w:cs="Arial"/>
          <w:sz w:val="22"/>
          <w:szCs w:val="22"/>
          <w:lang w:eastAsia="en-AU"/>
        </w:rPr>
        <w:t>763113-22-0</w:t>
      </w:r>
    </w:p>
    <w:p w14:paraId="1301F7FB" w14:textId="77777777" w:rsidR="001F493D" w:rsidRDefault="001F493D">
      <w:pPr>
        <w:spacing w:after="0" w:line="276" w:lineRule="auto"/>
        <w:rPr>
          <w:sz w:val="22"/>
        </w:rPr>
      </w:pPr>
      <w:r>
        <w:rPr>
          <w:sz w:val="22"/>
        </w:rPr>
        <w:t>Molecular formula:  C</w:t>
      </w:r>
      <w:r>
        <w:rPr>
          <w:sz w:val="22"/>
          <w:vertAlign w:val="subscript"/>
        </w:rPr>
        <w:t>24</w:t>
      </w:r>
      <w:r>
        <w:rPr>
          <w:sz w:val="22"/>
        </w:rPr>
        <w:t>H</w:t>
      </w:r>
      <w:r>
        <w:rPr>
          <w:sz w:val="22"/>
          <w:vertAlign w:val="subscript"/>
        </w:rPr>
        <w:t>23</w:t>
      </w:r>
      <w:r>
        <w:rPr>
          <w:sz w:val="22"/>
        </w:rPr>
        <w:t>FN</w:t>
      </w:r>
      <w:r>
        <w:rPr>
          <w:sz w:val="22"/>
          <w:vertAlign w:val="subscript"/>
        </w:rPr>
        <w:t>4</w:t>
      </w:r>
      <w:r>
        <w:rPr>
          <w:sz w:val="22"/>
        </w:rPr>
        <w:t>O</w:t>
      </w:r>
      <w:r>
        <w:rPr>
          <w:sz w:val="22"/>
          <w:vertAlign w:val="subscript"/>
        </w:rPr>
        <w:t>3</w:t>
      </w:r>
    </w:p>
    <w:p w14:paraId="4D93171F" w14:textId="77777777" w:rsidR="001F493D" w:rsidRDefault="001F493D">
      <w:pPr>
        <w:spacing w:after="0" w:line="276" w:lineRule="auto"/>
        <w:rPr>
          <w:sz w:val="22"/>
        </w:rPr>
      </w:pPr>
      <w:r>
        <w:rPr>
          <w:sz w:val="22"/>
        </w:rPr>
        <w:t>Molecular weight:  434</w:t>
      </w:r>
      <w:r w:rsidR="002B5B91">
        <w:rPr>
          <w:sz w:val="22"/>
        </w:rPr>
        <w:t>.46</w:t>
      </w:r>
    </w:p>
    <w:p w14:paraId="1EEAF048" w14:textId="77777777" w:rsidR="001F493D" w:rsidRPr="002A6F3C" w:rsidRDefault="001F493D">
      <w:pPr>
        <w:pStyle w:val="A-Heading1"/>
        <w:rPr>
          <w:sz w:val="22"/>
          <w:szCs w:val="22"/>
        </w:rPr>
      </w:pPr>
      <w:r w:rsidRPr="002A6F3C">
        <w:rPr>
          <w:sz w:val="22"/>
          <w:szCs w:val="22"/>
        </w:rPr>
        <w:t>DESCRIPTION</w:t>
      </w:r>
    </w:p>
    <w:p w14:paraId="3610C2D6" w14:textId="77777777" w:rsidR="002B5B91" w:rsidRPr="002B5B91" w:rsidRDefault="002B5B91" w:rsidP="002B5B91">
      <w:pPr>
        <w:rPr>
          <w:sz w:val="22"/>
          <w:szCs w:val="22"/>
        </w:rPr>
      </w:pPr>
      <w:r>
        <w:rPr>
          <w:sz w:val="22"/>
          <w:szCs w:val="22"/>
        </w:rPr>
        <w:t>Olaparib</w:t>
      </w:r>
      <w:r w:rsidRPr="002B5B91">
        <w:rPr>
          <w:sz w:val="22"/>
          <w:szCs w:val="22"/>
        </w:rPr>
        <w:t xml:space="preserve"> is a</w:t>
      </w:r>
      <w:r>
        <w:rPr>
          <w:sz w:val="22"/>
          <w:szCs w:val="22"/>
        </w:rPr>
        <w:t xml:space="preserve"> white to pale yellow crystalline powder</w:t>
      </w:r>
      <w:r w:rsidRPr="002B5B91">
        <w:rPr>
          <w:sz w:val="22"/>
          <w:szCs w:val="22"/>
        </w:rPr>
        <w:t xml:space="preserve">, which is </w:t>
      </w:r>
      <w:r>
        <w:rPr>
          <w:sz w:val="22"/>
          <w:szCs w:val="22"/>
        </w:rPr>
        <w:t xml:space="preserve">very slightly soluble in </w:t>
      </w:r>
      <w:r w:rsidR="00C6678E">
        <w:rPr>
          <w:sz w:val="22"/>
          <w:szCs w:val="22"/>
        </w:rPr>
        <w:t>aqueous solutions</w:t>
      </w:r>
      <w:r>
        <w:rPr>
          <w:sz w:val="22"/>
          <w:szCs w:val="22"/>
        </w:rPr>
        <w:t xml:space="preserve"> (0.1</w:t>
      </w:r>
      <w:r w:rsidR="00C6678E">
        <w:rPr>
          <w:sz w:val="22"/>
          <w:szCs w:val="22"/>
        </w:rPr>
        <w:t>0 – 0.13</w:t>
      </w:r>
      <w:r w:rsidRPr="002B5B91">
        <w:rPr>
          <w:sz w:val="22"/>
          <w:szCs w:val="22"/>
        </w:rPr>
        <w:t> mg/mL at 37</w:t>
      </w:r>
      <w:r w:rsidR="00C6678E">
        <w:rPr>
          <w:rFonts w:cs="Arial"/>
          <w:sz w:val="22"/>
          <w:szCs w:val="22"/>
        </w:rPr>
        <w:t>°</w:t>
      </w:r>
      <w:r>
        <w:rPr>
          <w:sz w:val="22"/>
          <w:szCs w:val="22"/>
        </w:rPr>
        <w:t>C)</w:t>
      </w:r>
      <w:r w:rsidR="00C6678E">
        <w:rPr>
          <w:sz w:val="22"/>
          <w:szCs w:val="22"/>
        </w:rPr>
        <w:t>, slightly soluble in ethanol (5.5 mg/mL at 37</w:t>
      </w:r>
      <w:r w:rsidR="00C6678E">
        <w:rPr>
          <w:rFonts w:cs="Arial"/>
          <w:sz w:val="22"/>
          <w:szCs w:val="22"/>
        </w:rPr>
        <w:t>°C)</w:t>
      </w:r>
      <w:r>
        <w:rPr>
          <w:sz w:val="22"/>
          <w:szCs w:val="22"/>
        </w:rPr>
        <w:t xml:space="preserve"> and has a </w:t>
      </w:r>
      <w:proofErr w:type="spellStart"/>
      <w:r>
        <w:rPr>
          <w:sz w:val="22"/>
          <w:szCs w:val="22"/>
        </w:rPr>
        <w:t>pKa</w:t>
      </w:r>
      <w:proofErr w:type="spellEnd"/>
      <w:r>
        <w:rPr>
          <w:sz w:val="22"/>
          <w:szCs w:val="22"/>
        </w:rPr>
        <w:t xml:space="preserve"> of 12.07.</w:t>
      </w:r>
    </w:p>
    <w:p w14:paraId="3C0F6CED" w14:textId="770BAD3C" w:rsidR="001F493D" w:rsidRDefault="001F493D" w:rsidP="002B5B91">
      <w:pPr>
        <w:rPr>
          <w:sz w:val="22"/>
          <w:szCs w:val="22"/>
          <w:lang w:val="en-US"/>
        </w:rPr>
      </w:pPr>
      <w:r>
        <w:rPr>
          <w:sz w:val="22"/>
          <w:szCs w:val="22"/>
        </w:rPr>
        <w:t xml:space="preserve">LYNPARZA capsules consist of 50 mg </w:t>
      </w:r>
      <w:proofErr w:type="spellStart"/>
      <w:r>
        <w:rPr>
          <w:sz w:val="22"/>
          <w:szCs w:val="22"/>
        </w:rPr>
        <w:t>olaparib</w:t>
      </w:r>
      <w:proofErr w:type="spellEnd"/>
      <w:r>
        <w:rPr>
          <w:sz w:val="22"/>
          <w:szCs w:val="22"/>
        </w:rPr>
        <w:t xml:space="preserve"> drug substance suspended in the semi-solid </w:t>
      </w:r>
      <w:proofErr w:type="spellStart"/>
      <w:r>
        <w:rPr>
          <w:sz w:val="22"/>
          <w:szCs w:val="22"/>
        </w:rPr>
        <w:t>lipidic</w:t>
      </w:r>
      <w:proofErr w:type="spellEnd"/>
      <w:r>
        <w:rPr>
          <w:sz w:val="22"/>
          <w:szCs w:val="22"/>
        </w:rPr>
        <w:t xml:space="preserve"> excipient </w:t>
      </w:r>
      <w:proofErr w:type="spellStart"/>
      <w:r>
        <w:rPr>
          <w:sz w:val="22"/>
          <w:szCs w:val="22"/>
          <w:lang w:val="en-US"/>
        </w:rPr>
        <w:t>lauroyl</w:t>
      </w:r>
      <w:proofErr w:type="spellEnd"/>
      <w:r>
        <w:rPr>
          <w:sz w:val="22"/>
          <w:szCs w:val="22"/>
          <w:lang w:val="en-US"/>
        </w:rPr>
        <w:t xml:space="preserve"> macrogol-32 glycerides, </w:t>
      </w:r>
      <w:r>
        <w:rPr>
          <w:sz w:val="22"/>
          <w:szCs w:val="22"/>
        </w:rPr>
        <w:t xml:space="preserve">within a </w:t>
      </w:r>
      <w:proofErr w:type="spellStart"/>
      <w:r>
        <w:rPr>
          <w:sz w:val="22"/>
          <w:szCs w:val="22"/>
        </w:rPr>
        <w:t>hypromellose</w:t>
      </w:r>
      <w:proofErr w:type="spellEnd"/>
      <w:r>
        <w:rPr>
          <w:sz w:val="22"/>
          <w:szCs w:val="22"/>
        </w:rPr>
        <w:t xml:space="preserve"> capsule shell</w:t>
      </w:r>
      <w:r w:rsidR="00281515">
        <w:rPr>
          <w:sz w:val="22"/>
          <w:szCs w:val="22"/>
        </w:rPr>
        <w:t xml:space="preserve"> which also contains </w:t>
      </w:r>
      <w:proofErr w:type="spellStart"/>
      <w:r w:rsidR="00281515">
        <w:rPr>
          <w:sz w:val="23"/>
          <w:szCs w:val="23"/>
        </w:rPr>
        <w:t>gellan</w:t>
      </w:r>
      <w:proofErr w:type="spellEnd"/>
      <w:r w:rsidR="00281515">
        <w:rPr>
          <w:sz w:val="23"/>
          <w:szCs w:val="23"/>
        </w:rPr>
        <w:t xml:space="preserve"> gum, titanium dioxide and potassium acetate</w:t>
      </w:r>
      <w:r>
        <w:rPr>
          <w:sz w:val="22"/>
          <w:szCs w:val="22"/>
        </w:rPr>
        <w:t>. LYNPARZA capsules are white and are marked with “OLAPARIB 50 mg” and the AstraZeneca logo printed in black ink.</w:t>
      </w:r>
    </w:p>
    <w:p w14:paraId="36D28A21" w14:textId="77777777" w:rsidR="001F493D" w:rsidRDefault="001F493D">
      <w:pPr>
        <w:pStyle w:val="A-Heading1"/>
        <w:rPr>
          <w:sz w:val="22"/>
          <w:lang w:val="en-AU"/>
        </w:rPr>
      </w:pPr>
      <w:r>
        <w:rPr>
          <w:sz w:val="22"/>
          <w:lang w:val="en-AU"/>
        </w:rPr>
        <w:lastRenderedPageBreak/>
        <w:t>PHARMACOLOGY</w:t>
      </w:r>
    </w:p>
    <w:p w14:paraId="4609D926" w14:textId="77777777" w:rsidR="001F493D" w:rsidRDefault="001F493D">
      <w:pPr>
        <w:pStyle w:val="A-Heading2"/>
        <w:rPr>
          <w:sz w:val="22"/>
        </w:rPr>
      </w:pPr>
      <w:r>
        <w:rPr>
          <w:sz w:val="22"/>
        </w:rPr>
        <w:t>Pharmacological actions</w:t>
      </w:r>
    </w:p>
    <w:p w14:paraId="02DC5363" w14:textId="7A9B2A18" w:rsidR="001F493D" w:rsidRDefault="001F493D">
      <w:pPr>
        <w:autoSpaceDE w:val="0"/>
        <w:autoSpaceDN w:val="0"/>
        <w:adjustRightInd w:val="0"/>
        <w:rPr>
          <w:sz w:val="22"/>
          <w:szCs w:val="22"/>
          <w:lang w:val="en-US"/>
        </w:rPr>
      </w:pPr>
      <w:r>
        <w:rPr>
          <w:sz w:val="22"/>
          <w:szCs w:val="22"/>
          <w:lang w:val="en-US"/>
        </w:rPr>
        <w:t>LYNPARZA is a</w:t>
      </w:r>
      <w:r w:rsidR="00515912">
        <w:rPr>
          <w:sz w:val="22"/>
          <w:szCs w:val="22"/>
          <w:lang w:val="en-US"/>
        </w:rPr>
        <w:t>n</w:t>
      </w:r>
      <w:r>
        <w:rPr>
          <w:sz w:val="22"/>
          <w:szCs w:val="22"/>
          <w:lang w:val="en-US"/>
        </w:rPr>
        <w:t xml:space="preserve"> inhibitor of human poly (ADP</w:t>
      </w:r>
      <w:r>
        <w:rPr>
          <w:sz w:val="22"/>
          <w:szCs w:val="22"/>
          <w:lang w:val="en-US"/>
        </w:rPr>
        <w:noBreakHyphen/>
        <w:t>ribose) polymerase enzymes (PARP</w:t>
      </w:r>
      <w:r>
        <w:rPr>
          <w:sz w:val="22"/>
          <w:szCs w:val="22"/>
          <w:lang w:val="en-US"/>
        </w:rPr>
        <w:noBreakHyphen/>
        <w:t>1, PARP</w:t>
      </w:r>
      <w:r>
        <w:rPr>
          <w:sz w:val="22"/>
          <w:szCs w:val="22"/>
          <w:lang w:val="en-US"/>
        </w:rPr>
        <w:noBreakHyphen/>
        <w:t>2, and PARP</w:t>
      </w:r>
      <w:r>
        <w:rPr>
          <w:sz w:val="22"/>
          <w:szCs w:val="22"/>
          <w:lang w:val="en-US"/>
        </w:rPr>
        <w:noBreakHyphen/>
        <w:t>3), and has been shown to inhibit the growth of selected</w:t>
      </w:r>
      <w:r>
        <w:rPr>
          <w:sz w:val="22"/>
          <w:szCs w:val="22"/>
        </w:rPr>
        <w:t xml:space="preserve"> tumour</w:t>
      </w:r>
      <w:r>
        <w:rPr>
          <w:sz w:val="22"/>
          <w:szCs w:val="22"/>
          <w:lang w:val="en-US"/>
        </w:rPr>
        <w:t xml:space="preserve"> cell lines </w:t>
      </w:r>
      <w:r>
        <w:rPr>
          <w:i/>
          <w:sz w:val="22"/>
          <w:szCs w:val="22"/>
          <w:lang w:val="en-US"/>
        </w:rPr>
        <w:t>in vitro</w:t>
      </w:r>
      <w:r>
        <w:rPr>
          <w:sz w:val="22"/>
          <w:szCs w:val="22"/>
          <w:lang w:val="en-US"/>
        </w:rPr>
        <w:t xml:space="preserve"> and tumour growth </w:t>
      </w:r>
      <w:r w:rsidR="00515912">
        <w:rPr>
          <w:sz w:val="22"/>
          <w:szCs w:val="22"/>
          <w:lang w:val="en-US"/>
        </w:rPr>
        <w:t xml:space="preserve">in mice </w:t>
      </w:r>
      <w:r>
        <w:rPr>
          <w:sz w:val="22"/>
          <w:szCs w:val="22"/>
          <w:lang w:val="en-US"/>
        </w:rPr>
        <w:t>either as a standalone treatment or in combination with established chemotherapies.</w:t>
      </w:r>
    </w:p>
    <w:p w14:paraId="5977A281" w14:textId="77777777" w:rsidR="001F493D" w:rsidRDefault="001F493D">
      <w:pPr>
        <w:rPr>
          <w:sz w:val="22"/>
          <w:szCs w:val="22"/>
        </w:rPr>
      </w:pPr>
      <w:r>
        <w:rPr>
          <w:sz w:val="22"/>
          <w:szCs w:val="22"/>
        </w:rPr>
        <w:t>PARP enzymes are required for the efficient repair of DNA single strand breaks and an important aspect of PARP-induced repair requires that after chromatin modification, PARP auto-modifies itself and dissociates from the DNA to facilitate access for base excision repair (BER) enzymes. When olaparib</w:t>
      </w:r>
      <w:r>
        <w:rPr>
          <w:sz w:val="22"/>
          <w:szCs w:val="22"/>
          <w:lang w:val="en-US"/>
        </w:rPr>
        <w:t xml:space="preserve"> </w:t>
      </w:r>
      <w:r>
        <w:rPr>
          <w:sz w:val="22"/>
          <w:szCs w:val="22"/>
        </w:rPr>
        <w:t>is bound to the active site of DNA-associated PARP it prevents the dissociation of PARP and traps it on the DNA, thus blocking repair. In replicating cells this leads to DNA double strand breaks (DSBs) when replication forks meet the PARP</w:t>
      </w:r>
      <w:r>
        <w:rPr>
          <w:sz w:val="22"/>
          <w:szCs w:val="22"/>
        </w:rPr>
        <w:noBreakHyphen/>
        <w:t xml:space="preserve">DNA adduct. In normal cells, homologous recombination repair (HRR), which requires functional </w:t>
      </w:r>
      <w:r>
        <w:rPr>
          <w:i/>
          <w:sz w:val="22"/>
          <w:szCs w:val="22"/>
        </w:rPr>
        <w:t>BRCA</w:t>
      </w:r>
      <w:r>
        <w:rPr>
          <w:sz w:val="22"/>
          <w:szCs w:val="22"/>
        </w:rPr>
        <w:t xml:space="preserve">1 and 2 genes, is effective at repairing these DNA double-strand breaks. In the absence of functional </w:t>
      </w:r>
      <w:r>
        <w:rPr>
          <w:i/>
          <w:sz w:val="22"/>
          <w:szCs w:val="22"/>
        </w:rPr>
        <w:t>BRCA</w:t>
      </w:r>
      <w:r>
        <w:rPr>
          <w:sz w:val="22"/>
          <w:szCs w:val="22"/>
        </w:rPr>
        <w:t xml:space="preserve">1 or 2, DNA DSBs cannot be repaired via HRR. Instead, alternative and error-prone pathways are activated, such as the non-homologous end joining (NHEJ) pathway, leading to increased genomic instability. After a number of rounds of replication, genomic instability can reach insupportable levels and result in cancer cell death, as cancer cells have a high DNA damage load relative to normal cells. Thus, olaparib induces synthetic lethality in </w:t>
      </w:r>
      <w:r>
        <w:rPr>
          <w:i/>
          <w:sz w:val="22"/>
          <w:szCs w:val="22"/>
        </w:rPr>
        <w:t>BRCA</w:t>
      </w:r>
      <w:r>
        <w:rPr>
          <w:sz w:val="22"/>
          <w:szCs w:val="22"/>
        </w:rPr>
        <w:t>1 and 2 mutated cancer cells.</w:t>
      </w:r>
    </w:p>
    <w:p w14:paraId="748D7245" w14:textId="2DAAD634" w:rsidR="002F7CD9" w:rsidRDefault="001F493D">
      <w:pPr>
        <w:rPr>
          <w:sz w:val="22"/>
          <w:szCs w:val="22"/>
          <w:lang w:val="en-US"/>
        </w:rPr>
      </w:pPr>
      <w:r>
        <w:rPr>
          <w:sz w:val="22"/>
          <w:szCs w:val="22"/>
          <w:lang w:val="en-US"/>
        </w:rPr>
        <w:t xml:space="preserve">In </w:t>
      </w:r>
      <w:r>
        <w:rPr>
          <w:i/>
          <w:sz w:val="22"/>
          <w:szCs w:val="22"/>
          <w:lang w:val="en-US"/>
        </w:rPr>
        <w:t>BRCA</w:t>
      </w:r>
      <w:r>
        <w:rPr>
          <w:sz w:val="22"/>
          <w:szCs w:val="22"/>
          <w:lang w:val="en-US"/>
        </w:rPr>
        <w:t xml:space="preserve">-deficient </w:t>
      </w:r>
      <w:r w:rsidR="00515912">
        <w:rPr>
          <w:sz w:val="22"/>
          <w:szCs w:val="22"/>
          <w:lang w:val="en-US"/>
        </w:rPr>
        <w:t xml:space="preserve">animal </w:t>
      </w:r>
      <w:r>
        <w:rPr>
          <w:sz w:val="22"/>
          <w:szCs w:val="22"/>
          <w:lang w:val="en-US"/>
        </w:rPr>
        <w:t>models, olaparib given after platinum treatment resulted in a delay in tumour progression and an increase in overall survival compared to platinum treatment alone.</w:t>
      </w:r>
    </w:p>
    <w:p w14:paraId="74B6BCD4" w14:textId="790755DA" w:rsidR="008D4157" w:rsidRPr="002F7CD9" w:rsidRDefault="008D4157">
      <w:pPr>
        <w:rPr>
          <w:sz w:val="22"/>
          <w:szCs w:val="22"/>
          <w:lang w:val="en-US"/>
        </w:rPr>
      </w:pPr>
      <w:r w:rsidRPr="008D4157">
        <w:rPr>
          <w:sz w:val="22"/>
          <w:szCs w:val="22"/>
          <w:lang w:val="en-US"/>
        </w:rPr>
        <w:t>There was no correlation between the dose and degree of PARP-1 inhibition observed in the pharmacodynamic studies, with maximal inhibition achieved at relatively low doses. Therefore, the dose selection was based upon the higher clinical response rates observed at higher doses.</w:t>
      </w:r>
    </w:p>
    <w:p w14:paraId="2C37A9F0" w14:textId="77777777" w:rsidR="001F493D" w:rsidRDefault="001F493D">
      <w:pPr>
        <w:pStyle w:val="A-Heading2"/>
        <w:rPr>
          <w:sz w:val="22"/>
          <w:szCs w:val="22"/>
        </w:rPr>
      </w:pPr>
      <w:r>
        <w:rPr>
          <w:sz w:val="22"/>
          <w:szCs w:val="22"/>
        </w:rPr>
        <w:t>Pharmacokinetics</w:t>
      </w:r>
    </w:p>
    <w:p w14:paraId="29759697" w14:textId="3333947A" w:rsidR="008D4157" w:rsidRDefault="00AA1B2F">
      <w:pPr>
        <w:rPr>
          <w:sz w:val="22"/>
          <w:szCs w:val="22"/>
          <w:lang w:val="en-US"/>
        </w:rPr>
      </w:pPr>
      <w:r>
        <w:rPr>
          <w:sz w:val="22"/>
          <w:szCs w:val="22"/>
          <w:lang w:val="en-US"/>
        </w:rPr>
        <w:t>Olaparib displays high</w:t>
      </w:r>
      <w:r w:rsidR="008D4157" w:rsidRPr="008D4157">
        <w:rPr>
          <w:sz w:val="22"/>
          <w:szCs w:val="22"/>
          <w:lang w:val="en-US"/>
        </w:rPr>
        <w:t xml:space="preserve"> inter-</w:t>
      </w:r>
      <w:r>
        <w:rPr>
          <w:sz w:val="22"/>
          <w:szCs w:val="22"/>
          <w:lang w:val="en-US"/>
        </w:rPr>
        <w:t>patient</w:t>
      </w:r>
      <w:r w:rsidR="008D4157" w:rsidRPr="008D4157">
        <w:rPr>
          <w:sz w:val="22"/>
          <w:szCs w:val="22"/>
          <w:lang w:val="en-US"/>
        </w:rPr>
        <w:t xml:space="preserve"> variability </w:t>
      </w:r>
      <w:r>
        <w:rPr>
          <w:sz w:val="22"/>
          <w:szCs w:val="22"/>
          <w:lang w:val="en-US"/>
        </w:rPr>
        <w:t>in</w:t>
      </w:r>
      <w:r w:rsidR="008D4157" w:rsidRPr="008D4157">
        <w:rPr>
          <w:sz w:val="22"/>
          <w:szCs w:val="22"/>
          <w:lang w:val="en-US"/>
        </w:rPr>
        <w:t xml:space="preserve"> PK parameters, inclu</w:t>
      </w:r>
      <w:r>
        <w:rPr>
          <w:sz w:val="22"/>
          <w:szCs w:val="22"/>
          <w:lang w:val="en-US"/>
        </w:rPr>
        <w:t xml:space="preserve">ding </w:t>
      </w:r>
      <w:proofErr w:type="spellStart"/>
      <w:r>
        <w:rPr>
          <w:sz w:val="22"/>
          <w:szCs w:val="22"/>
          <w:lang w:val="en-US"/>
        </w:rPr>
        <w:t>Cmax</w:t>
      </w:r>
      <w:proofErr w:type="spellEnd"/>
      <w:r>
        <w:rPr>
          <w:sz w:val="22"/>
          <w:szCs w:val="22"/>
          <w:lang w:val="en-US"/>
        </w:rPr>
        <w:t xml:space="preserve">, AUC, </w:t>
      </w:r>
      <w:proofErr w:type="spellStart"/>
      <w:proofErr w:type="gramStart"/>
      <w:r>
        <w:rPr>
          <w:sz w:val="22"/>
          <w:szCs w:val="22"/>
          <w:lang w:val="en-US"/>
        </w:rPr>
        <w:t>Vd</w:t>
      </w:r>
      <w:proofErr w:type="spellEnd"/>
      <w:proofErr w:type="gramEnd"/>
      <w:r>
        <w:rPr>
          <w:sz w:val="22"/>
          <w:szCs w:val="22"/>
          <w:lang w:val="en-US"/>
        </w:rPr>
        <w:t xml:space="preserve"> and CL/F</w:t>
      </w:r>
      <w:r w:rsidR="008D4157">
        <w:rPr>
          <w:sz w:val="22"/>
          <w:szCs w:val="22"/>
          <w:lang w:val="en-US"/>
        </w:rPr>
        <w:t>.</w:t>
      </w:r>
    </w:p>
    <w:p w14:paraId="6E7F2863" w14:textId="0DE8498F" w:rsidR="001F493D" w:rsidRDefault="001F493D">
      <w:pPr>
        <w:rPr>
          <w:sz w:val="22"/>
          <w:szCs w:val="22"/>
          <w:lang w:val="en-GB"/>
        </w:rPr>
      </w:pPr>
      <w:r>
        <w:rPr>
          <w:sz w:val="22"/>
          <w:szCs w:val="22"/>
          <w:lang w:val="en-US"/>
        </w:rPr>
        <w:t>The pharmacokinetics of olaparib at the 400 mg twice daily capsule dose are characterised by an apparent plasma clearance of ~8.6 L/h, an apparent volume of distribution of ~167 L and a terminal half-life of 11.9 hours.</w:t>
      </w:r>
    </w:p>
    <w:p w14:paraId="1F3D53C1" w14:textId="77777777" w:rsidR="001F493D" w:rsidRDefault="001F493D">
      <w:pPr>
        <w:pStyle w:val="A-Heading3"/>
        <w:rPr>
          <w:szCs w:val="22"/>
        </w:rPr>
      </w:pPr>
      <w:r>
        <w:rPr>
          <w:szCs w:val="22"/>
        </w:rPr>
        <w:t>Absorption</w:t>
      </w:r>
    </w:p>
    <w:p w14:paraId="0EC2DB46" w14:textId="235A9D10" w:rsidR="001F493D" w:rsidRDefault="001F493D">
      <w:pPr>
        <w:rPr>
          <w:b/>
          <w:sz w:val="22"/>
          <w:szCs w:val="22"/>
          <w:vertAlign w:val="superscript"/>
          <w:lang w:val="en-US"/>
        </w:rPr>
      </w:pPr>
      <w:r>
        <w:rPr>
          <w:sz w:val="22"/>
          <w:szCs w:val="22"/>
          <w:lang w:val="en-US"/>
        </w:rPr>
        <w:t>Following oral administration of olaparib via the capsule formulation, absorption is rapid with peak plasma concentrations typically achieved between 1 to 3 hours after dosing. On multiple dosing there is no marked accumulation, with steady state exposures achieved within ~3 to 4 days.</w:t>
      </w:r>
    </w:p>
    <w:p w14:paraId="6462BCD5" w14:textId="77777777" w:rsidR="001F493D" w:rsidRDefault="001F493D">
      <w:pPr>
        <w:pStyle w:val="A-Heading4"/>
        <w:rPr>
          <w:sz w:val="22"/>
          <w:szCs w:val="22"/>
        </w:rPr>
      </w:pPr>
      <w:r>
        <w:rPr>
          <w:sz w:val="22"/>
          <w:szCs w:val="22"/>
        </w:rPr>
        <w:lastRenderedPageBreak/>
        <w:t>Food Effects</w:t>
      </w:r>
    </w:p>
    <w:p w14:paraId="3AF31E42" w14:textId="6648256F" w:rsidR="001F493D" w:rsidRDefault="001F493D">
      <w:pPr>
        <w:rPr>
          <w:sz w:val="22"/>
          <w:szCs w:val="22"/>
          <w:lang w:val="en-GB"/>
        </w:rPr>
      </w:pPr>
      <w:r>
        <w:rPr>
          <w:bCs/>
          <w:sz w:val="22"/>
          <w:szCs w:val="22"/>
          <w:lang w:val="en-US"/>
        </w:rPr>
        <w:t>Co</w:t>
      </w:r>
      <w:r>
        <w:rPr>
          <w:bCs/>
          <w:sz w:val="22"/>
          <w:szCs w:val="22"/>
          <w:lang w:val="en-US"/>
        </w:rPr>
        <w:noBreakHyphen/>
        <w:t>administration with food slowed the rate (</w:t>
      </w:r>
      <w:proofErr w:type="spellStart"/>
      <w:r>
        <w:rPr>
          <w:bCs/>
          <w:sz w:val="22"/>
          <w:szCs w:val="22"/>
          <w:lang w:val="en-US"/>
        </w:rPr>
        <w:t>t</w:t>
      </w:r>
      <w:r>
        <w:rPr>
          <w:bCs/>
          <w:sz w:val="22"/>
          <w:szCs w:val="22"/>
          <w:vertAlign w:val="subscript"/>
          <w:lang w:val="en-US"/>
        </w:rPr>
        <w:t>max</w:t>
      </w:r>
      <w:proofErr w:type="spellEnd"/>
      <w:r>
        <w:rPr>
          <w:bCs/>
          <w:sz w:val="22"/>
          <w:szCs w:val="22"/>
          <w:lang w:val="en-US"/>
        </w:rPr>
        <w:t xml:space="preserve"> delayed by 2 hours) and increased the extent of absorption of olaparib (AUC increased by approximately 20%). Consequently, patients should take </w:t>
      </w:r>
      <w:r>
        <w:rPr>
          <w:sz w:val="22"/>
          <w:szCs w:val="22"/>
          <w:lang w:val="en-US"/>
        </w:rPr>
        <w:t>LYNPARZA</w:t>
      </w:r>
      <w:r>
        <w:rPr>
          <w:bCs/>
          <w:sz w:val="22"/>
          <w:szCs w:val="22"/>
          <w:lang w:val="en-US"/>
        </w:rPr>
        <w:t xml:space="preserve"> at least one hour after food, and should refrain from eating for 2 hours afterwards.</w:t>
      </w:r>
    </w:p>
    <w:p w14:paraId="1BDC8C84" w14:textId="77777777" w:rsidR="001F493D" w:rsidRDefault="001F493D">
      <w:pPr>
        <w:pStyle w:val="A-Heading3"/>
        <w:rPr>
          <w:szCs w:val="22"/>
        </w:rPr>
      </w:pPr>
      <w:r>
        <w:rPr>
          <w:szCs w:val="22"/>
        </w:rPr>
        <w:t>Distribution</w:t>
      </w:r>
    </w:p>
    <w:p w14:paraId="770762D1" w14:textId="6C5649BD" w:rsidR="001F493D" w:rsidRDefault="001F493D">
      <w:pPr>
        <w:rPr>
          <w:sz w:val="22"/>
          <w:szCs w:val="22"/>
          <w:lang w:val="en-GB"/>
        </w:rPr>
      </w:pPr>
      <w:r>
        <w:rPr>
          <w:sz w:val="22"/>
          <w:szCs w:val="22"/>
          <w:lang w:val="en-US"/>
        </w:rPr>
        <w:t xml:space="preserve">The </w:t>
      </w:r>
      <w:r>
        <w:rPr>
          <w:i/>
          <w:sz w:val="22"/>
          <w:szCs w:val="22"/>
          <w:lang w:val="en-US"/>
        </w:rPr>
        <w:t>in vitro</w:t>
      </w:r>
      <w:r>
        <w:rPr>
          <w:sz w:val="22"/>
          <w:szCs w:val="22"/>
          <w:lang w:val="en-US"/>
        </w:rPr>
        <w:t xml:space="preserve"> protein binding of olaparib at plasma concentrations achieved following dosing at 400 mg twice daily is ~</w:t>
      </w:r>
      <w:r w:rsidR="00F6395F">
        <w:rPr>
          <w:sz w:val="22"/>
          <w:szCs w:val="22"/>
          <w:lang w:val="en-US"/>
        </w:rPr>
        <w:t>90</w:t>
      </w:r>
      <w:r>
        <w:rPr>
          <w:sz w:val="22"/>
          <w:szCs w:val="22"/>
          <w:lang w:val="en-US"/>
        </w:rPr>
        <w:t>%.</w:t>
      </w:r>
    </w:p>
    <w:p w14:paraId="7166D4F9" w14:textId="77777777" w:rsidR="001F493D" w:rsidRDefault="001F493D">
      <w:pPr>
        <w:pStyle w:val="A-Heading3"/>
        <w:rPr>
          <w:szCs w:val="22"/>
        </w:rPr>
      </w:pPr>
      <w:r>
        <w:rPr>
          <w:szCs w:val="22"/>
        </w:rPr>
        <w:t>Metabolism</w:t>
      </w:r>
    </w:p>
    <w:p w14:paraId="110547C6" w14:textId="1BAA487C" w:rsidR="001F493D" w:rsidRDefault="001F493D">
      <w:pPr>
        <w:rPr>
          <w:sz w:val="22"/>
          <w:szCs w:val="22"/>
          <w:lang w:val="en-US"/>
        </w:rPr>
      </w:pPr>
      <w:r>
        <w:rPr>
          <w:i/>
          <w:sz w:val="22"/>
          <w:szCs w:val="22"/>
          <w:lang w:val="en-US"/>
        </w:rPr>
        <w:t>In vitro</w:t>
      </w:r>
      <w:r>
        <w:rPr>
          <w:sz w:val="22"/>
          <w:szCs w:val="22"/>
          <w:lang w:val="en-US"/>
        </w:rPr>
        <w:t xml:space="preserve">, CYP3A4 was shown to be the enzyme primarily responsible </w:t>
      </w:r>
      <w:r w:rsidR="000D64C1">
        <w:rPr>
          <w:sz w:val="22"/>
          <w:szCs w:val="22"/>
          <w:lang w:val="en-US"/>
        </w:rPr>
        <w:t>for the metabolism of olaparib.</w:t>
      </w:r>
    </w:p>
    <w:p w14:paraId="129F3F63" w14:textId="458AFF4C" w:rsidR="001F493D" w:rsidRDefault="001F493D">
      <w:pPr>
        <w:rPr>
          <w:sz w:val="22"/>
          <w:szCs w:val="22"/>
          <w:lang w:val="en-GB"/>
        </w:rPr>
      </w:pPr>
      <w:r>
        <w:rPr>
          <w:sz w:val="22"/>
          <w:szCs w:val="22"/>
        </w:rPr>
        <w:t xml:space="preserve">Following oral dosing of </w:t>
      </w:r>
      <w:r>
        <w:rPr>
          <w:sz w:val="22"/>
          <w:szCs w:val="22"/>
          <w:vertAlign w:val="superscript"/>
        </w:rPr>
        <w:t>14</w:t>
      </w:r>
      <w:r>
        <w:rPr>
          <w:sz w:val="22"/>
          <w:szCs w:val="22"/>
        </w:rPr>
        <w:t xml:space="preserve">C-olaparib to female patients, unchanged olaparib accounted for the majority of the circulating radioactivity in plasma (70%) and was the major component found in both urine and faeces (15% and 6% of the dose respectively). The metabolism of olaparib is extensive with the main site of metabolism being the </w:t>
      </w:r>
      <w:proofErr w:type="spellStart"/>
      <w:r>
        <w:rPr>
          <w:sz w:val="22"/>
          <w:szCs w:val="22"/>
        </w:rPr>
        <w:t>piperazine</w:t>
      </w:r>
      <w:proofErr w:type="spellEnd"/>
      <w:r>
        <w:rPr>
          <w:sz w:val="22"/>
          <w:szCs w:val="22"/>
        </w:rPr>
        <w:t xml:space="preserve"> </w:t>
      </w:r>
      <w:proofErr w:type="spellStart"/>
      <w:r>
        <w:rPr>
          <w:sz w:val="22"/>
          <w:szCs w:val="22"/>
        </w:rPr>
        <w:t>carboxycyclopropyl</w:t>
      </w:r>
      <w:proofErr w:type="spellEnd"/>
      <w:r>
        <w:rPr>
          <w:sz w:val="22"/>
          <w:szCs w:val="22"/>
        </w:rPr>
        <w:t xml:space="preserve"> ring structure and, to a lesser extent the </w:t>
      </w:r>
      <w:proofErr w:type="spellStart"/>
      <w:r>
        <w:rPr>
          <w:sz w:val="22"/>
          <w:szCs w:val="22"/>
        </w:rPr>
        <w:t>fluorophenyl</w:t>
      </w:r>
      <w:proofErr w:type="spellEnd"/>
      <w:r>
        <w:rPr>
          <w:sz w:val="22"/>
          <w:szCs w:val="22"/>
        </w:rPr>
        <w:t xml:space="preserve"> and the </w:t>
      </w:r>
      <w:proofErr w:type="spellStart"/>
      <w:r>
        <w:rPr>
          <w:sz w:val="22"/>
          <w:szCs w:val="22"/>
        </w:rPr>
        <w:t>phathalazinone</w:t>
      </w:r>
      <w:proofErr w:type="spellEnd"/>
      <w:r>
        <w:rPr>
          <w:sz w:val="22"/>
          <w:szCs w:val="22"/>
        </w:rPr>
        <w:t xml:space="preserve"> ring systems. The majority of the metabolism was attributable to oxidation reactions with a number of the components produced undergoing subsequent glucuronide or sulphate conjugation. Up to 20, 37 and 20 metabolites were detected in plasma, urine and faeces respectively, the majority of them representing &lt;1% of the dosed material. A ring-opened </w:t>
      </w:r>
      <w:proofErr w:type="spellStart"/>
      <w:r>
        <w:rPr>
          <w:sz w:val="22"/>
          <w:szCs w:val="22"/>
        </w:rPr>
        <w:t>hydroxycyclopropyl</w:t>
      </w:r>
      <w:proofErr w:type="spellEnd"/>
      <w:r>
        <w:rPr>
          <w:sz w:val="22"/>
          <w:szCs w:val="22"/>
        </w:rPr>
        <w:t xml:space="preserve"> moiety, and two mono-oxygenated metabolites (each~10%) were the major circulating components, with one of the mono-oxygenated metabolites also being the major metabolite in the excreta (6% and 5% of the urinary and faecal radioactivity respectively).</w:t>
      </w:r>
      <w:r w:rsidR="00E62D21">
        <w:rPr>
          <w:sz w:val="22"/>
          <w:szCs w:val="22"/>
        </w:rPr>
        <w:t xml:space="preserve"> Pharmacodynamic activity of the metabolites is unknown.</w:t>
      </w:r>
    </w:p>
    <w:p w14:paraId="024F853F" w14:textId="77777777" w:rsidR="001F493D" w:rsidRDefault="001F493D">
      <w:pPr>
        <w:pStyle w:val="A-Heading3"/>
        <w:rPr>
          <w:szCs w:val="22"/>
        </w:rPr>
      </w:pPr>
      <w:r>
        <w:rPr>
          <w:szCs w:val="22"/>
        </w:rPr>
        <w:t>Excretion</w:t>
      </w:r>
    </w:p>
    <w:p w14:paraId="3FB771EB" w14:textId="41E617E7" w:rsidR="001F493D" w:rsidRDefault="001F493D">
      <w:pPr>
        <w:rPr>
          <w:bCs/>
          <w:iCs/>
          <w:color w:val="000000"/>
          <w:sz w:val="22"/>
          <w:szCs w:val="22"/>
        </w:rPr>
      </w:pPr>
      <w:r>
        <w:rPr>
          <w:sz w:val="22"/>
          <w:szCs w:val="22"/>
          <w:lang w:val="en-US"/>
        </w:rPr>
        <w:t xml:space="preserve">Following a single dose of </w:t>
      </w:r>
      <w:r>
        <w:rPr>
          <w:sz w:val="22"/>
          <w:szCs w:val="22"/>
          <w:vertAlign w:val="superscript"/>
          <w:lang w:val="en-US"/>
        </w:rPr>
        <w:t>14</w:t>
      </w:r>
      <w:r>
        <w:rPr>
          <w:sz w:val="22"/>
          <w:szCs w:val="22"/>
          <w:lang w:val="en-US"/>
        </w:rPr>
        <w:t xml:space="preserve">C-olaparib, ~86% of the dosed radioactivity was recovered within a 7 day collection period, ~44% via the urine and ~42% via the </w:t>
      </w:r>
      <w:proofErr w:type="spellStart"/>
      <w:r>
        <w:rPr>
          <w:sz w:val="22"/>
          <w:szCs w:val="22"/>
          <w:lang w:val="en-US"/>
        </w:rPr>
        <w:t>faeces</w:t>
      </w:r>
      <w:proofErr w:type="spellEnd"/>
      <w:r>
        <w:rPr>
          <w:sz w:val="22"/>
          <w:szCs w:val="22"/>
          <w:lang w:val="en-US"/>
        </w:rPr>
        <w:t>. Majority of the material was excreted as metabolites.</w:t>
      </w:r>
    </w:p>
    <w:p w14:paraId="7B9A0868" w14:textId="77777777" w:rsidR="001F493D" w:rsidRDefault="001F493D">
      <w:pPr>
        <w:pStyle w:val="A-Heading3"/>
        <w:rPr>
          <w:szCs w:val="22"/>
        </w:rPr>
      </w:pPr>
      <w:r>
        <w:rPr>
          <w:szCs w:val="22"/>
        </w:rPr>
        <w:t>Special populations</w:t>
      </w:r>
    </w:p>
    <w:p w14:paraId="5F416BED" w14:textId="77777777" w:rsidR="001F493D" w:rsidRDefault="001F493D">
      <w:pPr>
        <w:pStyle w:val="A-Heading4"/>
        <w:rPr>
          <w:sz w:val="22"/>
          <w:szCs w:val="22"/>
        </w:rPr>
      </w:pPr>
      <w:r>
        <w:rPr>
          <w:sz w:val="22"/>
          <w:szCs w:val="22"/>
        </w:rPr>
        <w:t>Renal impairment</w:t>
      </w:r>
    </w:p>
    <w:p w14:paraId="6BD63D89" w14:textId="77777777" w:rsidR="001F493D" w:rsidRDefault="001F493D">
      <w:pPr>
        <w:autoSpaceDE w:val="0"/>
        <w:autoSpaceDN w:val="0"/>
        <w:adjustRightInd w:val="0"/>
        <w:rPr>
          <w:b/>
          <w:bCs/>
          <w:iCs/>
          <w:color w:val="000000"/>
          <w:sz w:val="22"/>
          <w:szCs w:val="22"/>
        </w:rPr>
      </w:pPr>
      <w:r>
        <w:rPr>
          <w:rFonts w:cs="Verdana"/>
          <w:iCs/>
          <w:sz w:val="22"/>
          <w:szCs w:val="22"/>
          <w:lang w:val="en-US"/>
        </w:rPr>
        <w:t xml:space="preserve">The </w:t>
      </w:r>
      <w:r>
        <w:rPr>
          <w:sz w:val="22"/>
          <w:szCs w:val="22"/>
        </w:rPr>
        <w:t xml:space="preserve">effect of renal impairment on exposure to </w:t>
      </w:r>
      <w:r>
        <w:rPr>
          <w:sz w:val="22"/>
          <w:szCs w:val="22"/>
          <w:lang w:val="en-US"/>
        </w:rPr>
        <w:t xml:space="preserve">LYNPARZA </w:t>
      </w:r>
      <w:r>
        <w:rPr>
          <w:sz w:val="22"/>
          <w:szCs w:val="22"/>
        </w:rPr>
        <w:t>has not been studied.</w:t>
      </w:r>
    </w:p>
    <w:p w14:paraId="150393D4" w14:textId="77777777" w:rsidR="001F493D" w:rsidRDefault="001F493D">
      <w:pPr>
        <w:pStyle w:val="A-Heading4"/>
        <w:rPr>
          <w:sz w:val="22"/>
          <w:szCs w:val="22"/>
        </w:rPr>
      </w:pPr>
      <w:r>
        <w:rPr>
          <w:sz w:val="22"/>
          <w:szCs w:val="22"/>
        </w:rPr>
        <w:t>Hepatic impairment</w:t>
      </w:r>
    </w:p>
    <w:p w14:paraId="454AE496" w14:textId="77777777" w:rsidR="001F493D" w:rsidRDefault="001F493D">
      <w:pPr>
        <w:keepNext/>
        <w:keepLines/>
        <w:autoSpaceDE w:val="0"/>
        <w:autoSpaceDN w:val="0"/>
        <w:adjustRightInd w:val="0"/>
        <w:rPr>
          <w:sz w:val="22"/>
          <w:szCs w:val="22"/>
        </w:rPr>
      </w:pPr>
      <w:r>
        <w:rPr>
          <w:sz w:val="22"/>
          <w:szCs w:val="22"/>
        </w:rPr>
        <w:t xml:space="preserve">The effect of hepatic impairment on exposure to </w:t>
      </w:r>
      <w:r>
        <w:rPr>
          <w:sz w:val="22"/>
          <w:szCs w:val="22"/>
          <w:lang w:val="en-US"/>
        </w:rPr>
        <w:t xml:space="preserve">LYNPARZA </w:t>
      </w:r>
      <w:r>
        <w:rPr>
          <w:sz w:val="22"/>
          <w:szCs w:val="22"/>
        </w:rPr>
        <w:t>has not been studied.</w:t>
      </w:r>
    </w:p>
    <w:p w14:paraId="65302DA6" w14:textId="77777777" w:rsidR="002E1260" w:rsidRPr="002E1260" w:rsidRDefault="002E1260" w:rsidP="002E1260">
      <w:pPr>
        <w:autoSpaceDE w:val="0"/>
        <w:autoSpaceDN w:val="0"/>
        <w:adjustRightInd w:val="0"/>
        <w:spacing w:after="120" w:line="280" w:lineRule="exact"/>
        <w:ind w:left="40" w:right="-23"/>
        <w:rPr>
          <w:rFonts w:cs="Arial"/>
          <w:sz w:val="22"/>
          <w:szCs w:val="22"/>
          <w:lang w:eastAsia="en-AU"/>
        </w:rPr>
      </w:pPr>
      <w:r w:rsidRPr="002E1260">
        <w:rPr>
          <w:rFonts w:cs="Arial"/>
          <w:i/>
          <w:iCs/>
          <w:sz w:val="22"/>
          <w:szCs w:val="22"/>
          <w:lang w:eastAsia="en-AU"/>
        </w:rPr>
        <w:t>Race</w:t>
      </w:r>
    </w:p>
    <w:p w14:paraId="2C5D56DA" w14:textId="7D3CA0E3" w:rsidR="002E1260" w:rsidRDefault="002E1260" w:rsidP="001A3B5F">
      <w:pPr>
        <w:autoSpaceDE w:val="0"/>
        <w:autoSpaceDN w:val="0"/>
        <w:adjustRightInd w:val="0"/>
        <w:spacing w:after="120"/>
        <w:ind w:left="40" w:right="153"/>
        <w:rPr>
          <w:bCs/>
          <w:iCs/>
          <w:color w:val="000000"/>
          <w:sz w:val="22"/>
          <w:szCs w:val="22"/>
        </w:rPr>
      </w:pPr>
      <w:r w:rsidRPr="002E1260">
        <w:rPr>
          <w:rFonts w:cs="Arial"/>
          <w:spacing w:val="2"/>
          <w:sz w:val="22"/>
          <w:szCs w:val="22"/>
          <w:lang w:eastAsia="en-AU"/>
        </w:rPr>
        <w:t>T</w:t>
      </w:r>
      <w:r w:rsidRPr="002E1260">
        <w:rPr>
          <w:rFonts w:cs="Arial"/>
          <w:sz w:val="22"/>
          <w:szCs w:val="22"/>
          <w:lang w:eastAsia="en-AU"/>
        </w:rPr>
        <w:t>h</w:t>
      </w:r>
      <w:r w:rsidRPr="002E1260">
        <w:rPr>
          <w:rFonts w:cs="Arial"/>
          <w:spacing w:val="-2"/>
          <w:sz w:val="22"/>
          <w:szCs w:val="22"/>
          <w:lang w:eastAsia="en-AU"/>
        </w:rPr>
        <w:t>e</w:t>
      </w:r>
      <w:r w:rsidRPr="002E1260">
        <w:rPr>
          <w:rFonts w:cs="Arial"/>
          <w:spacing w:val="1"/>
          <w:sz w:val="22"/>
          <w:szCs w:val="22"/>
          <w:lang w:eastAsia="en-AU"/>
        </w:rPr>
        <w:t>r</w:t>
      </w:r>
      <w:r w:rsidRPr="002E1260">
        <w:rPr>
          <w:rFonts w:cs="Arial"/>
          <w:sz w:val="22"/>
          <w:szCs w:val="22"/>
          <w:lang w:eastAsia="en-AU"/>
        </w:rPr>
        <w:t>e</w:t>
      </w:r>
      <w:r w:rsidRPr="002E1260">
        <w:rPr>
          <w:rFonts w:cs="Arial"/>
          <w:spacing w:val="-2"/>
          <w:sz w:val="22"/>
          <w:szCs w:val="22"/>
          <w:lang w:eastAsia="en-AU"/>
        </w:rPr>
        <w:t xml:space="preserve"> </w:t>
      </w:r>
      <w:r w:rsidRPr="002E1260">
        <w:rPr>
          <w:rFonts w:cs="Arial"/>
          <w:sz w:val="22"/>
          <w:szCs w:val="22"/>
          <w:lang w:eastAsia="en-AU"/>
        </w:rPr>
        <w:t>are</w:t>
      </w:r>
      <w:r w:rsidRPr="002E1260">
        <w:rPr>
          <w:rFonts w:cs="Arial"/>
          <w:spacing w:val="-2"/>
          <w:sz w:val="22"/>
          <w:szCs w:val="22"/>
          <w:lang w:eastAsia="en-AU"/>
        </w:rPr>
        <w:t xml:space="preserve"> </w:t>
      </w:r>
      <w:r w:rsidRPr="002E1260">
        <w:rPr>
          <w:rFonts w:cs="Arial"/>
          <w:sz w:val="22"/>
          <w:szCs w:val="22"/>
          <w:lang w:eastAsia="en-AU"/>
        </w:rPr>
        <w:t>i</w:t>
      </w:r>
      <w:r w:rsidRPr="002E1260">
        <w:rPr>
          <w:rFonts w:cs="Arial"/>
          <w:spacing w:val="-2"/>
          <w:sz w:val="22"/>
          <w:szCs w:val="22"/>
          <w:lang w:eastAsia="en-AU"/>
        </w:rPr>
        <w:t>n</w:t>
      </w:r>
      <w:r w:rsidRPr="002E1260">
        <w:rPr>
          <w:rFonts w:cs="Arial"/>
          <w:sz w:val="22"/>
          <w:szCs w:val="22"/>
          <w:lang w:eastAsia="en-AU"/>
        </w:rPr>
        <w:t>su</w:t>
      </w:r>
      <w:r w:rsidRPr="002E1260">
        <w:rPr>
          <w:rFonts w:cs="Arial"/>
          <w:spacing w:val="-2"/>
          <w:sz w:val="22"/>
          <w:szCs w:val="22"/>
          <w:lang w:eastAsia="en-AU"/>
        </w:rPr>
        <w:t>f</w:t>
      </w:r>
      <w:r w:rsidRPr="002E1260">
        <w:rPr>
          <w:rFonts w:cs="Arial"/>
          <w:spacing w:val="1"/>
          <w:sz w:val="22"/>
          <w:szCs w:val="22"/>
          <w:lang w:eastAsia="en-AU"/>
        </w:rPr>
        <w:t>f</w:t>
      </w:r>
      <w:r w:rsidRPr="002E1260">
        <w:rPr>
          <w:rFonts w:cs="Arial"/>
          <w:sz w:val="22"/>
          <w:szCs w:val="22"/>
          <w:lang w:eastAsia="en-AU"/>
        </w:rPr>
        <w:t>i</w:t>
      </w:r>
      <w:r w:rsidRPr="002E1260">
        <w:rPr>
          <w:rFonts w:cs="Arial"/>
          <w:spacing w:val="-2"/>
          <w:sz w:val="22"/>
          <w:szCs w:val="22"/>
          <w:lang w:eastAsia="en-AU"/>
        </w:rPr>
        <w:t>c</w:t>
      </w:r>
      <w:r w:rsidRPr="002E1260">
        <w:rPr>
          <w:rFonts w:cs="Arial"/>
          <w:sz w:val="22"/>
          <w:szCs w:val="22"/>
          <w:lang w:eastAsia="en-AU"/>
        </w:rPr>
        <w:t>ie</w:t>
      </w:r>
      <w:r w:rsidRPr="002E1260">
        <w:rPr>
          <w:rFonts w:cs="Arial"/>
          <w:spacing w:val="-2"/>
          <w:sz w:val="22"/>
          <w:szCs w:val="22"/>
          <w:lang w:eastAsia="en-AU"/>
        </w:rPr>
        <w:t>n</w:t>
      </w:r>
      <w:r w:rsidRPr="002E1260">
        <w:rPr>
          <w:rFonts w:cs="Arial"/>
          <w:sz w:val="22"/>
          <w:szCs w:val="22"/>
          <w:lang w:eastAsia="en-AU"/>
        </w:rPr>
        <w:t>t</w:t>
      </w:r>
      <w:r w:rsidRPr="002E1260">
        <w:rPr>
          <w:rFonts w:cs="Arial"/>
          <w:spacing w:val="1"/>
          <w:sz w:val="22"/>
          <w:szCs w:val="22"/>
          <w:lang w:eastAsia="en-AU"/>
        </w:rPr>
        <w:t xml:space="preserve"> </w:t>
      </w:r>
      <w:r w:rsidRPr="002E1260">
        <w:rPr>
          <w:rFonts w:cs="Arial"/>
          <w:spacing w:val="-2"/>
          <w:sz w:val="22"/>
          <w:szCs w:val="22"/>
          <w:lang w:eastAsia="en-AU"/>
        </w:rPr>
        <w:t>d</w:t>
      </w:r>
      <w:r w:rsidRPr="002E1260">
        <w:rPr>
          <w:rFonts w:cs="Arial"/>
          <w:sz w:val="22"/>
          <w:szCs w:val="22"/>
          <w:lang w:eastAsia="en-AU"/>
        </w:rPr>
        <w:t>ata</w:t>
      </w:r>
      <w:r w:rsidRPr="002E1260">
        <w:rPr>
          <w:rFonts w:cs="Arial"/>
          <w:spacing w:val="-2"/>
          <w:sz w:val="22"/>
          <w:szCs w:val="22"/>
          <w:lang w:eastAsia="en-AU"/>
        </w:rPr>
        <w:t xml:space="preserve"> </w:t>
      </w:r>
      <w:r w:rsidRPr="002E1260">
        <w:rPr>
          <w:rFonts w:cs="Arial"/>
          <w:spacing w:val="-1"/>
          <w:sz w:val="22"/>
          <w:szCs w:val="22"/>
          <w:lang w:eastAsia="en-AU"/>
        </w:rPr>
        <w:t>t</w:t>
      </w:r>
      <w:r w:rsidRPr="002E1260">
        <w:rPr>
          <w:rFonts w:cs="Arial"/>
          <w:sz w:val="22"/>
          <w:szCs w:val="22"/>
          <w:lang w:eastAsia="en-AU"/>
        </w:rPr>
        <w:t>o e</w:t>
      </w:r>
      <w:r w:rsidRPr="002E1260">
        <w:rPr>
          <w:rFonts w:cs="Arial"/>
          <w:spacing w:val="-2"/>
          <w:sz w:val="22"/>
          <w:szCs w:val="22"/>
          <w:lang w:eastAsia="en-AU"/>
        </w:rPr>
        <w:t>v</w:t>
      </w:r>
      <w:r w:rsidRPr="002E1260">
        <w:rPr>
          <w:rFonts w:cs="Arial"/>
          <w:sz w:val="22"/>
          <w:szCs w:val="22"/>
          <w:lang w:eastAsia="en-AU"/>
        </w:rPr>
        <w:t>alu</w:t>
      </w:r>
      <w:r w:rsidRPr="002E1260">
        <w:rPr>
          <w:rFonts w:cs="Arial"/>
          <w:spacing w:val="-2"/>
          <w:sz w:val="22"/>
          <w:szCs w:val="22"/>
          <w:lang w:eastAsia="en-AU"/>
        </w:rPr>
        <w:t>a</w:t>
      </w:r>
      <w:r w:rsidRPr="002E1260">
        <w:rPr>
          <w:rFonts w:cs="Arial"/>
          <w:sz w:val="22"/>
          <w:szCs w:val="22"/>
          <w:lang w:eastAsia="en-AU"/>
        </w:rPr>
        <w:t>te</w:t>
      </w:r>
      <w:r w:rsidRPr="002E1260">
        <w:rPr>
          <w:rFonts w:cs="Arial"/>
          <w:spacing w:val="1"/>
          <w:sz w:val="22"/>
          <w:szCs w:val="22"/>
          <w:lang w:eastAsia="en-AU"/>
        </w:rPr>
        <w:t xml:space="preserve"> </w:t>
      </w:r>
      <w:r w:rsidRPr="002E1260">
        <w:rPr>
          <w:rFonts w:cs="Arial"/>
          <w:spacing w:val="-1"/>
          <w:sz w:val="22"/>
          <w:szCs w:val="22"/>
          <w:lang w:eastAsia="en-AU"/>
        </w:rPr>
        <w:t>t</w:t>
      </w:r>
      <w:r w:rsidRPr="002E1260">
        <w:rPr>
          <w:rFonts w:cs="Arial"/>
          <w:sz w:val="22"/>
          <w:szCs w:val="22"/>
          <w:lang w:eastAsia="en-AU"/>
        </w:rPr>
        <w:t>he</w:t>
      </w:r>
      <w:r w:rsidRPr="002E1260">
        <w:rPr>
          <w:rFonts w:cs="Arial"/>
          <w:spacing w:val="1"/>
          <w:sz w:val="22"/>
          <w:szCs w:val="22"/>
          <w:lang w:eastAsia="en-AU"/>
        </w:rPr>
        <w:t xml:space="preserve"> </w:t>
      </w:r>
      <w:r w:rsidRPr="002E1260">
        <w:rPr>
          <w:rFonts w:cs="Arial"/>
          <w:sz w:val="22"/>
          <w:szCs w:val="22"/>
          <w:lang w:eastAsia="en-AU"/>
        </w:rPr>
        <w:t>p</w:t>
      </w:r>
      <w:r w:rsidRPr="002E1260">
        <w:rPr>
          <w:rFonts w:cs="Arial"/>
          <w:spacing w:val="-2"/>
          <w:sz w:val="22"/>
          <w:szCs w:val="22"/>
          <w:lang w:eastAsia="en-AU"/>
        </w:rPr>
        <w:t>o</w:t>
      </w:r>
      <w:r w:rsidRPr="002E1260">
        <w:rPr>
          <w:rFonts w:cs="Arial"/>
          <w:sz w:val="22"/>
          <w:szCs w:val="22"/>
          <w:lang w:eastAsia="en-AU"/>
        </w:rPr>
        <w:t>te</w:t>
      </w:r>
      <w:r w:rsidRPr="002E1260">
        <w:rPr>
          <w:rFonts w:cs="Arial"/>
          <w:spacing w:val="-2"/>
          <w:sz w:val="22"/>
          <w:szCs w:val="22"/>
          <w:lang w:eastAsia="en-AU"/>
        </w:rPr>
        <w:t>n</w:t>
      </w:r>
      <w:r w:rsidRPr="002E1260">
        <w:rPr>
          <w:rFonts w:cs="Arial"/>
          <w:spacing w:val="1"/>
          <w:sz w:val="22"/>
          <w:szCs w:val="22"/>
          <w:lang w:eastAsia="en-AU"/>
        </w:rPr>
        <w:t>t</w:t>
      </w:r>
      <w:r w:rsidRPr="002E1260">
        <w:rPr>
          <w:rFonts w:cs="Arial"/>
          <w:spacing w:val="-1"/>
          <w:sz w:val="22"/>
          <w:szCs w:val="22"/>
          <w:lang w:eastAsia="en-AU"/>
        </w:rPr>
        <w:t>i</w:t>
      </w:r>
      <w:r w:rsidRPr="002E1260">
        <w:rPr>
          <w:rFonts w:cs="Arial"/>
          <w:sz w:val="22"/>
          <w:szCs w:val="22"/>
          <w:lang w:eastAsia="en-AU"/>
        </w:rPr>
        <w:t>al</w:t>
      </w:r>
      <w:r w:rsidRPr="002E1260">
        <w:rPr>
          <w:rFonts w:cs="Arial"/>
          <w:spacing w:val="-2"/>
          <w:sz w:val="22"/>
          <w:szCs w:val="22"/>
          <w:lang w:eastAsia="en-AU"/>
        </w:rPr>
        <w:t xml:space="preserve"> </w:t>
      </w:r>
      <w:r w:rsidRPr="002E1260">
        <w:rPr>
          <w:rFonts w:cs="Arial"/>
          <w:sz w:val="22"/>
          <w:szCs w:val="22"/>
          <w:lang w:eastAsia="en-AU"/>
        </w:rPr>
        <w:t>e</w:t>
      </w:r>
      <w:r w:rsidRPr="002E1260">
        <w:rPr>
          <w:rFonts w:cs="Arial"/>
          <w:spacing w:val="-1"/>
          <w:sz w:val="22"/>
          <w:szCs w:val="22"/>
          <w:lang w:eastAsia="en-AU"/>
        </w:rPr>
        <w:t>f</w:t>
      </w:r>
      <w:r w:rsidRPr="002E1260">
        <w:rPr>
          <w:rFonts w:cs="Arial"/>
          <w:sz w:val="22"/>
          <w:szCs w:val="22"/>
          <w:lang w:eastAsia="en-AU"/>
        </w:rPr>
        <w:t>f</w:t>
      </w:r>
      <w:r w:rsidRPr="002E1260">
        <w:rPr>
          <w:rFonts w:cs="Arial"/>
          <w:spacing w:val="-2"/>
          <w:sz w:val="22"/>
          <w:szCs w:val="22"/>
          <w:lang w:eastAsia="en-AU"/>
        </w:rPr>
        <w:t>e</w:t>
      </w:r>
      <w:r w:rsidRPr="002E1260">
        <w:rPr>
          <w:rFonts w:cs="Arial"/>
          <w:sz w:val="22"/>
          <w:szCs w:val="22"/>
          <w:lang w:eastAsia="en-AU"/>
        </w:rPr>
        <w:t>ct</w:t>
      </w:r>
      <w:r w:rsidRPr="002E1260">
        <w:rPr>
          <w:rFonts w:cs="Arial"/>
          <w:spacing w:val="1"/>
          <w:sz w:val="22"/>
          <w:szCs w:val="22"/>
          <w:lang w:eastAsia="en-AU"/>
        </w:rPr>
        <w:t xml:space="preserve"> </w:t>
      </w:r>
      <w:r w:rsidRPr="002E1260">
        <w:rPr>
          <w:rFonts w:cs="Arial"/>
          <w:spacing w:val="-2"/>
          <w:sz w:val="22"/>
          <w:szCs w:val="22"/>
          <w:lang w:eastAsia="en-AU"/>
        </w:rPr>
        <w:t>o</w:t>
      </w:r>
      <w:r w:rsidRPr="002E1260">
        <w:rPr>
          <w:rFonts w:cs="Arial"/>
          <w:sz w:val="22"/>
          <w:szCs w:val="22"/>
          <w:lang w:eastAsia="en-AU"/>
        </w:rPr>
        <w:t>f</w:t>
      </w:r>
      <w:r w:rsidRPr="002E1260">
        <w:rPr>
          <w:rFonts w:cs="Arial"/>
          <w:spacing w:val="1"/>
          <w:sz w:val="22"/>
          <w:szCs w:val="22"/>
          <w:lang w:eastAsia="en-AU"/>
        </w:rPr>
        <w:t xml:space="preserve"> </w:t>
      </w:r>
      <w:r w:rsidRPr="002E1260">
        <w:rPr>
          <w:rFonts w:cs="Arial"/>
          <w:sz w:val="22"/>
          <w:szCs w:val="22"/>
          <w:lang w:eastAsia="en-AU"/>
        </w:rPr>
        <w:t>r</w:t>
      </w:r>
      <w:r w:rsidRPr="002E1260">
        <w:rPr>
          <w:rFonts w:cs="Arial"/>
          <w:spacing w:val="-2"/>
          <w:sz w:val="22"/>
          <w:szCs w:val="22"/>
          <w:lang w:eastAsia="en-AU"/>
        </w:rPr>
        <w:t>a</w:t>
      </w:r>
      <w:r w:rsidRPr="002E1260">
        <w:rPr>
          <w:rFonts w:cs="Arial"/>
          <w:sz w:val="22"/>
          <w:szCs w:val="22"/>
          <w:lang w:eastAsia="en-AU"/>
        </w:rPr>
        <w:t>ce</w:t>
      </w:r>
      <w:r w:rsidRPr="002E1260">
        <w:rPr>
          <w:rFonts w:cs="Arial"/>
          <w:spacing w:val="1"/>
          <w:sz w:val="22"/>
          <w:szCs w:val="22"/>
          <w:lang w:eastAsia="en-AU"/>
        </w:rPr>
        <w:t xml:space="preserve"> </w:t>
      </w:r>
      <w:r w:rsidRPr="002E1260">
        <w:rPr>
          <w:rFonts w:cs="Arial"/>
          <w:sz w:val="22"/>
          <w:szCs w:val="22"/>
          <w:lang w:eastAsia="en-AU"/>
        </w:rPr>
        <w:t>on</w:t>
      </w:r>
      <w:r w:rsidRPr="002E1260">
        <w:rPr>
          <w:rFonts w:cs="Arial"/>
          <w:spacing w:val="-2"/>
          <w:sz w:val="22"/>
          <w:szCs w:val="22"/>
          <w:lang w:eastAsia="en-AU"/>
        </w:rPr>
        <w:t xml:space="preserve"> </w:t>
      </w:r>
      <w:r w:rsidRPr="002E1260">
        <w:rPr>
          <w:rFonts w:cs="Arial"/>
          <w:sz w:val="22"/>
          <w:szCs w:val="22"/>
          <w:lang w:eastAsia="en-AU"/>
        </w:rPr>
        <w:t>o</w:t>
      </w:r>
      <w:r w:rsidRPr="002E1260">
        <w:rPr>
          <w:rFonts w:cs="Arial"/>
          <w:spacing w:val="-1"/>
          <w:sz w:val="22"/>
          <w:szCs w:val="22"/>
          <w:lang w:eastAsia="en-AU"/>
        </w:rPr>
        <w:t>l</w:t>
      </w:r>
      <w:r w:rsidRPr="002E1260">
        <w:rPr>
          <w:rFonts w:cs="Arial"/>
          <w:sz w:val="22"/>
          <w:szCs w:val="22"/>
          <w:lang w:eastAsia="en-AU"/>
        </w:rPr>
        <w:t>apa</w:t>
      </w:r>
      <w:r w:rsidRPr="002E1260">
        <w:rPr>
          <w:rFonts w:cs="Arial"/>
          <w:spacing w:val="-1"/>
          <w:sz w:val="22"/>
          <w:szCs w:val="22"/>
          <w:lang w:eastAsia="en-AU"/>
        </w:rPr>
        <w:t>r</w:t>
      </w:r>
      <w:r w:rsidRPr="002E1260">
        <w:rPr>
          <w:rFonts w:cs="Arial"/>
          <w:sz w:val="22"/>
          <w:szCs w:val="22"/>
          <w:lang w:eastAsia="en-AU"/>
        </w:rPr>
        <w:t>ib</w:t>
      </w:r>
      <w:r w:rsidRPr="002E1260">
        <w:rPr>
          <w:rFonts w:cs="Arial"/>
          <w:spacing w:val="1"/>
          <w:sz w:val="22"/>
          <w:szCs w:val="22"/>
          <w:lang w:eastAsia="en-AU"/>
        </w:rPr>
        <w:t xml:space="preserve"> </w:t>
      </w:r>
      <w:r w:rsidRPr="002E1260">
        <w:rPr>
          <w:rFonts w:cs="Arial"/>
          <w:spacing w:val="-2"/>
          <w:sz w:val="22"/>
          <w:szCs w:val="22"/>
          <w:lang w:eastAsia="en-AU"/>
        </w:rPr>
        <w:t>p</w:t>
      </w:r>
      <w:r w:rsidRPr="002E1260">
        <w:rPr>
          <w:rFonts w:cs="Arial"/>
          <w:sz w:val="22"/>
          <w:szCs w:val="22"/>
          <w:lang w:eastAsia="en-AU"/>
        </w:rPr>
        <w:t>ha</w:t>
      </w:r>
      <w:r w:rsidRPr="002E1260">
        <w:rPr>
          <w:rFonts w:cs="Arial"/>
          <w:spacing w:val="-1"/>
          <w:sz w:val="22"/>
          <w:szCs w:val="22"/>
          <w:lang w:eastAsia="en-AU"/>
        </w:rPr>
        <w:t>r</w:t>
      </w:r>
      <w:r w:rsidRPr="002E1260">
        <w:rPr>
          <w:rFonts w:cs="Arial"/>
          <w:spacing w:val="-4"/>
          <w:sz w:val="22"/>
          <w:szCs w:val="22"/>
          <w:lang w:eastAsia="en-AU"/>
        </w:rPr>
        <w:t>m</w:t>
      </w:r>
      <w:r w:rsidRPr="002E1260">
        <w:rPr>
          <w:rFonts w:cs="Arial"/>
          <w:sz w:val="22"/>
          <w:szCs w:val="22"/>
          <w:lang w:eastAsia="en-AU"/>
        </w:rPr>
        <w:t>aco</w:t>
      </w:r>
      <w:r w:rsidRPr="002E1260">
        <w:rPr>
          <w:rFonts w:cs="Arial"/>
          <w:spacing w:val="-2"/>
          <w:sz w:val="22"/>
          <w:szCs w:val="22"/>
          <w:lang w:eastAsia="en-AU"/>
        </w:rPr>
        <w:t>k</w:t>
      </w:r>
      <w:r w:rsidRPr="002E1260">
        <w:rPr>
          <w:rFonts w:cs="Arial"/>
          <w:spacing w:val="1"/>
          <w:sz w:val="22"/>
          <w:szCs w:val="22"/>
          <w:lang w:eastAsia="en-AU"/>
        </w:rPr>
        <w:t>i</w:t>
      </w:r>
      <w:r w:rsidRPr="002E1260">
        <w:rPr>
          <w:rFonts w:cs="Arial"/>
          <w:sz w:val="22"/>
          <w:szCs w:val="22"/>
          <w:lang w:eastAsia="en-AU"/>
        </w:rPr>
        <w:t>netics</w:t>
      </w:r>
      <w:r w:rsidRPr="002E1260">
        <w:rPr>
          <w:rFonts w:cs="Arial"/>
          <w:spacing w:val="-2"/>
          <w:sz w:val="22"/>
          <w:szCs w:val="22"/>
          <w:lang w:eastAsia="en-AU"/>
        </w:rPr>
        <w:t xml:space="preserve"> </w:t>
      </w:r>
      <w:r w:rsidRPr="002E1260">
        <w:rPr>
          <w:rFonts w:cs="Arial"/>
          <w:sz w:val="22"/>
          <w:szCs w:val="22"/>
          <w:lang w:eastAsia="en-AU"/>
        </w:rPr>
        <w:t>as cl</w:t>
      </w:r>
      <w:r w:rsidRPr="002E1260">
        <w:rPr>
          <w:rFonts w:cs="Arial"/>
          <w:spacing w:val="-1"/>
          <w:sz w:val="22"/>
          <w:szCs w:val="22"/>
          <w:lang w:eastAsia="en-AU"/>
        </w:rPr>
        <w:t>i</w:t>
      </w:r>
      <w:r w:rsidRPr="002E1260">
        <w:rPr>
          <w:rFonts w:cs="Arial"/>
          <w:sz w:val="22"/>
          <w:szCs w:val="22"/>
          <w:lang w:eastAsia="en-AU"/>
        </w:rPr>
        <w:t>ni</w:t>
      </w:r>
      <w:r w:rsidRPr="002E1260">
        <w:rPr>
          <w:rFonts w:cs="Arial"/>
          <w:spacing w:val="-2"/>
          <w:sz w:val="22"/>
          <w:szCs w:val="22"/>
          <w:lang w:eastAsia="en-AU"/>
        </w:rPr>
        <w:t>c</w:t>
      </w:r>
      <w:r w:rsidRPr="002E1260">
        <w:rPr>
          <w:rFonts w:cs="Arial"/>
          <w:sz w:val="22"/>
          <w:szCs w:val="22"/>
          <w:lang w:eastAsia="en-AU"/>
        </w:rPr>
        <w:t>al</w:t>
      </w:r>
      <w:r w:rsidRPr="002E1260">
        <w:rPr>
          <w:rFonts w:cs="Arial"/>
          <w:spacing w:val="-2"/>
          <w:sz w:val="22"/>
          <w:szCs w:val="22"/>
          <w:lang w:eastAsia="en-AU"/>
        </w:rPr>
        <w:t xml:space="preserve"> </w:t>
      </w:r>
      <w:r w:rsidRPr="002E1260">
        <w:rPr>
          <w:rFonts w:cs="Arial"/>
          <w:sz w:val="22"/>
          <w:szCs w:val="22"/>
          <w:lang w:eastAsia="en-AU"/>
        </w:rPr>
        <w:t>exp</w:t>
      </w:r>
      <w:r w:rsidRPr="002E1260">
        <w:rPr>
          <w:rFonts w:cs="Arial"/>
          <w:spacing w:val="-2"/>
          <w:sz w:val="22"/>
          <w:szCs w:val="22"/>
          <w:lang w:eastAsia="en-AU"/>
        </w:rPr>
        <w:t>e</w:t>
      </w:r>
      <w:r w:rsidRPr="002E1260">
        <w:rPr>
          <w:rFonts w:cs="Arial"/>
          <w:sz w:val="22"/>
          <w:szCs w:val="22"/>
          <w:lang w:eastAsia="en-AU"/>
        </w:rPr>
        <w:t>r</w:t>
      </w:r>
      <w:r w:rsidRPr="002E1260">
        <w:rPr>
          <w:rFonts w:cs="Arial"/>
          <w:spacing w:val="-1"/>
          <w:sz w:val="22"/>
          <w:szCs w:val="22"/>
          <w:lang w:eastAsia="en-AU"/>
        </w:rPr>
        <w:t>i</w:t>
      </w:r>
      <w:r w:rsidRPr="002E1260">
        <w:rPr>
          <w:rFonts w:cs="Arial"/>
          <w:sz w:val="22"/>
          <w:szCs w:val="22"/>
          <w:lang w:eastAsia="en-AU"/>
        </w:rPr>
        <w:t>ence</w:t>
      </w:r>
      <w:r w:rsidRPr="002E1260">
        <w:rPr>
          <w:rFonts w:cs="Arial"/>
          <w:spacing w:val="-2"/>
          <w:sz w:val="22"/>
          <w:szCs w:val="22"/>
          <w:lang w:eastAsia="en-AU"/>
        </w:rPr>
        <w:t xml:space="preserve"> </w:t>
      </w:r>
      <w:r w:rsidRPr="002E1260">
        <w:rPr>
          <w:rFonts w:cs="Arial"/>
          <w:sz w:val="22"/>
          <w:szCs w:val="22"/>
          <w:lang w:eastAsia="en-AU"/>
        </w:rPr>
        <w:t>is</w:t>
      </w:r>
      <w:r w:rsidRPr="002E1260">
        <w:rPr>
          <w:rFonts w:cs="Arial"/>
          <w:spacing w:val="-2"/>
          <w:sz w:val="22"/>
          <w:szCs w:val="22"/>
          <w:lang w:eastAsia="en-AU"/>
        </w:rPr>
        <w:t xml:space="preserve"> </w:t>
      </w:r>
      <w:r w:rsidRPr="002E1260">
        <w:rPr>
          <w:rFonts w:cs="Arial"/>
          <w:sz w:val="22"/>
          <w:szCs w:val="22"/>
          <w:lang w:eastAsia="en-AU"/>
        </w:rPr>
        <w:t>pre</w:t>
      </w:r>
      <w:r w:rsidRPr="002E1260">
        <w:rPr>
          <w:rFonts w:cs="Arial"/>
          <w:spacing w:val="-2"/>
          <w:sz w:val="22"/>
          <w:szCs w:val="22"/>
          <w:lang w:eastAsia="en-AU"/>
        </w:rPr>
        <w:t>do</w:t>
      </w:r>
      <w:r w:rsidRPr="002E1260">
        <w:rPr>
          <w:rFonts w:cs="Arial"/>
          <w:spacing w:val="-4"/>
          <w:sz w:val="22"/>
          <w:szCs w:val="22"/>
          <w:lang w:eastAsia="en-AU"/>
        </w:rPr>
        <w:t>m</w:t>
      </w:r>
      <w:r w:rsidRPr="002E1260">
        <w:rPr>
          <w:rFonts w:cs="Arial"/>
          <w:sz w:val="22"/>
          <w:szCs w:val="22"/>
          <w:lang w:eastAsia="en-AU"/>
        </w:rPr>
        <w:t>inantly</w:t>
      </w:r>
      <w:r w:rsidRPr="002E1260">
        <w:rPr>
          <w:rFonts w:cs="Arial"/>
          <w:spacing w:val="-2"/>
          <w:sz w:val="22"/>
          <w:szCs w:val="22"/>
          <w:lang w:eastAsia="en-AU"/>
        </w:rPr>
        <w:t xml:space="preserve"> </w:t>
      </w:r>
      <w:r w:rsidRPr="002E1260">
        <w:rPr>
          <w:rFonts w:cs="Arial"/>
          <w:sz w:val="22"/>
          <w:szCs w:val="22"/>
          <w:lang w:eastAsia="en-AU"/>
        </w:rPr>
        <w:t>in</w:t>
      </w:r>
      <w:r w:rsidRPr="002E1260">
        <w:rPr>
          <w:rFonts w:cs="Arial"/>
          <w:spacing w:val="1"/>
          <w:sz w:val="22"/>
          <w:szCs w:val="22"/>
          <w:lang w:eastAsia="en-AU"/>
        </w:rPr>
        <w:t xml:space="preserve"> </w:t>
      </w:r>
      <w:r w:rsidRPr="002E1260">
        <w:rPr>
          <w:rFonts w:cs="Arial"/>
          <w:sz w:val="22"/>
          <w:szCs w:val="22"/>
          <w:lang w:eastAsia="en-AU"/>
        </w:rPr>
        <w:t>Ca</w:t>
      </w:r>
      <w:r w:rsidRPr="002E1260">
        <w:rPr>
          <w:rFonts w:cs="Arial"/>
          <w:spacing w:val="-2"/>
          <w:sz w:val="22"/>
          <w:szCs w:val="22"/>
          <w:lang w:eastAsia="en-AU"/>
        </w:rPr>
        <w:t>u</w:t>
      </w:r>
      <w:r w:rsidRPr="002E1260">
        <w:rPr>
          <w:rFonts w:cs="Arial"/>
          <w:sz w:val="22"/>
          <w:szCs w:val="22"/>
          <w:lang w:eastAsia="en-AU"/>
        </w:rPr>
        <w:t>ca</w:t>
      </w:r>
      <w:r w:rsidRPr="002E1260">
        <w:rPr>
          <w:rFonts w:cs="Arial"/>
          <w:spacing w:val="-2"/>
          <w:sz w:val="22"/>
          <w:szCs w:val="22"/>
          <w:lang w:eastAsia="en-AU"/>
        </w:rPr>
        <w:t>s</w:t>
      </w:r>
      <w:r w:rsidRPr="002E1260">
        <w:rPr>
          <w:rFonts w:cs="Arial"/>
          <w:sz w:val="22"/>
          <w:szCs w:val="22"/>
          <w:lang w:eastAsia="en-AU"/>
        </w:rPr>
        <w:t>ia</w:t>
      </w:r>
      <w:r w:rsidRPr="002E1260">
        <w:rPr>
          <w:rFonts w:cs="Arial"/>
          <w:spacing w:val="-2"/>
          <w:sz w:val="22"/>
          <w:szCs w:val="22"/>
          <w:lang w:eastAsia="en-AU"/>
        </w:rPr>
        <w:t>n</w:t>
      </w:r>
      <w:r w:rsidRPr="002E1260">
        <w:rPr>
          <w:rFonts w:cs="Arial"/>
          <w:sz w:val="22"/>
          <w:szCs w:val="22"/>
          <w:lang w:eastAsia="en-AU"/>
        </w:rPr>
        <w:t>s</w:t>
      </w:r>
      <w:r w:rsidRPr="002E1260">
        <w:rPr>
          <w:rFonts w:cs="Arial"/>
          <w:spacing w:val="1"/>
          <w:sz w:val="22"/>
          <w:szCs w:val="22"/>
          <w:lang w:eastAsia="en-AU"/>
        </w:rPr>
        <w:t xml:space="preserve"> </w:t>
      </w:r>
      <w:r w:rsidRPr="002E1260">
        <w:rPr>
          <w:rFonts w:cs="Arial"/>
          <w:sz w:val="22"/>
          <w:szCs w:val="22"/>
          <w:lang w:eastAsia="en-AU"/>
        </w:rPr>
        <w:t>(9</w:t>
      </w:r>
      <w:r w:rsidRPr="002E1260">
        <w:rPr>
          <w:rFonts w:cs="Arial"/>
          <w:spacing w:val="-2"/>
          <w:sz w:val="22"/>
          <w:szCs w:val="22"/>
          <w:lang w:eastAsia="en-AU"/>
        </w:rPr>
        <w:t>4</w:t>
      </w:r>
      <w:r w:rsidRPr="002E1260">
        <w:rPr>
          <w:rFonts w:cs="Arial"/>
          <w:sz w:val="22"/>
          <w:szCs w:val="22"/>
          <w:lang w:eastAsia="en-AU"/>
        </w:rPr>
        <w:t>%</w:t>
      </w:r>
      <w:r w:rsidRPr="002E1260">
        <w:rPr>
          <w:rFonts w:cs="Arial"/>
          <w:spacing w:val="1"/>
          <w:sz w:val="22"/>
          <w:szCs w:val="22"/>
          <w:lang w:eastAsia="en-AU"/>
        </w:rPr>
        <w:t xml:space="preserve"> </w:t>
      </w:r>
      <w:r w:rsidRPr="002E1260">
        <w:rPr>
          <w:rFonts w:cs="Arial"/>
          <w:sz w:val="22"/>
          <w:szCs w:val="22"/>
          <w:lang w:eastAsia="en-AU"/>
        </w:rPr>
        <w:t>of</w:t>
      </w:r>
      <w:r w:rsidRPr="002E1260">
        <w:rPr>
          <w:rFonts w:cs="Arial"/>
          <w:spacing w:val="-2"/>
          <w:sz w:val="22"/>
          <w:szCs w:val="22"/>
          <w:lang w:eastAsia="en-AU"/>
        </w:rPr>
        <w:t xml:space="preserve"> </w:t>
      </w:r>
      <w:r w:rsidRPr="002E1260">
        <w:rPr>
          <w:rFonts w:cs="Arial"/>
          <w:sz w:val="22"/>
          <w:szCs w:val="22"/>
          <w:lang w:eastAsia="en-AU"/>
        </w:rPr>
        <w:t>pa</w:t>
      </w:r>
      <w:r w:rsidRPr="002E1260">
        <w:rPr>
          <w:rFonts w:cs="Arial"/>
          <w:spacing w:val="-1"/>
          <w:sz w:val="22"/>
          <w:szCs w:val="22"/>
          <w:lang w:eastAsia="en-AU"/>
        </w:rPr>
        <w:t>t</w:t>
      </w:r>
      <w:r w:rsidRPr="002E1260">
        <w:rPr>
          <w:rFonts w:cs="Arial"/>
          <w:spacing w:val="1"/>
          <w:sz w:val="22"/>
          <w:szCs w:val="22"/>
          <w:lang w:eastAsia="en-AU"/>
        </w:rPr>
        <w:t>i</w:t>
      </w:r>
      <w:r w:rsidRPr="002E1260">
        <w:rPr>
          <w:rFonts w:cs="Arial"/>
          <w:sz w:val="22"/>
          <w:szCs w:val="22"/>
          <w:lang w:eastAsia="en-AU"/>
        </w:rPr>
        <w:t>e</w:t>
      </w:r>
      <w:r w:rsidRPr="002E1260">
        <w:rPr>
          <w:rFonts w:cs="Arial"/>
          <w:spacing w:val="-2"/>
          <w:sz w:val="22"/>
          <w:szCs w:val="22"/>
          <w:lang w:eastAsia="en-AU"/>
        </w:rPr>
        <w:t>n</w:t>
      </w:r>
      <w:r w:rsidRPr="002E1260">
        <w:rPr>
          <w:rFonts w:cs="Arial"/>
          <w:sz w:val="22"/>
          <w:szCs w:val="22"/>
          <w:lang w:eastAsia="en-AU"/>
        </w:rPr>
        <w:t>ts</w:t>
      </w:r>
      <w:r w:rsidRPr="002E1260">
        <w:rPr>
          <w:rFonts w:cs="Arial"/>
          <w:spacing w:val="-2"/>
          <w:sz w:val="22"/>
          <w:szCs w:val="22"/>
          <w:lang w:eastAsia="en-AU"/>
        </w:rPr>
        <w:t xml:space="preserve"> </w:t>
      </w:r>
      <w:r w:rsidRPr="002E1260">
        <w:rPr>
          <w:rFonts w:cs="Arial"/>
          <w:sz w:val="22"/>
          <w:szCs w:val="22"/>
          <w:lang w:eastAsia="en-AU"/>
        </w:rPr>
        <w:t>in</w:t>
      </w:r>
      <w:r w:rsidRPr="002E1260">
        <w:rPr>
          <w:rFonts w:cs="Arial"/>
          <w:spacing w:val="-2"/>
          <w:sz w:val="22"/>
          <w:szCs w:val="22"/>
          <w:lang w:eastAsia="en-AU"/>
        </w:rPr>
        <w:t>c</w:t>
      </w:r>
      <w:r w:rsidRPr="002E1260">
        <w:rPr>
          <w:rFonts w:cs="Arial"/>
          <w:spacing w:val="1"/>
          <w:sz w:val="22"/>
          <w:szCs w:val="22"/>
          <w:lang w:eastAsia="en-AU"/>
        </w:rPr>
        <w:t>l</w:t>
      </w:r>
      <w:r w:rsidRPr="002E1260">
        <w:rPr>
          <w:rFonts w:cs="Arial"/>
          <w:sz w:val="22"/>
          <w:szCs w:val="22"/>
          <w:lang w:eastAsia="en-AU"/>
        </w:rPr>
        <w:t>u</w:t>
      </w:r>
      <w:r w:rsidRPr="002E1260">
        <w:rPr>
          <w:rFonts w:cs="Arial"/>
          <w:spacing w:val="-2"/>
          <w:sz w:val="22"/>
          <w:szCs w:val="22"/>
          <w:lang w:eastAsia="en-AU"/>
        </w:rPr>
        <w:t>d</w:t>
      </w:r>
      <w:r w:rsidRPr="002E1260">
        <w:rPr>
          <w:rFonts w:cs="Arial"/>
          <w:sz w:val="22"/>
          <w:szCs w:val="22"/>
          <w:lang w:eastAsia="en-AU"/>
        </w:rPr>
        <w:t>ed</w:t>
      </w:r>
      <w:r w:rsidRPr="002E1260">
        <w:rPr>
          <w:rFonts w:cs="Arial"/>
          <w:spacing w:val="1"/>
          <w:sz w:val="22"/>
          <w:szCs w:val="22"/>
          <w:lang w:eastAsia="en-AU"/>
        </w:rPr>
        <w:t xml:space="preserve"> </w:t>
      </w:r>
      <w:r w:rsidRPr="002E1260">
        <w:rPr>
          <w:rFonts w:cs="Arial"/>
          <w:sz w:val="22"/>
          <w:szCs w:val="22"/>
          <w:lang w:eastAsia="en-AU"/>
        </w:rPr>
        <w:t>in</w:t>
      </w:r>
      <w:r w:rsidRPr="002E1260">
        <w:rPr>
          <w:rFonts w:cs="Arial"/>
          <w:spacing w:val="-2"/>
          <w:sz w:val="22"/>
          <w:szCs w:val="22"/>
          <w:lang w:eastAsia="en-AU"/>
        </w:rPr>
        <w:t xml:space="preserve"> </w:t>
      </w:r>
      <w:r w:rsidRPr="002E1260">
        <w:rPr>
          <w:rFonts w:cs="Arial"/>
          <w:sz w:val="22"/>
          <w:szCs w:val="22"/>
          <w:lang w:eastAsia="en-AU"/>
        </w:rPr>
        <w:t>t</w:t>
      </w:r>
      <w:r w:rsidRPr="002E1260">
        <w:rPr>
          <w:rFonts w:cs="Arial"/>
          <w:spacing w:val="-2"/>
          <w:sz w:val="22"/>
          <w:szCs w:val="22"/>
          <w:lang w:eastAsia="en-AU"/>
        </w:rPr>
        <w:t>h</w:t>
      </w:r>
      <w:r w:rsidRPr="002E1260">
        <w:rPr>
          <w:rFonts w:cs="Arial"/>
          <w:sz w:val="22"/>
          <w:szCs w:val="22"/>
          <w:lang w:eastAsia="en-AU"/>
        </w:rPr>
        <w:t>e</w:t>
      </w:r>
      <w:r w:rsidRPr="002E1260">
        <w:rPr>
          <w:rFonts w:cs="Arial"/>
          <w:spacing w:val="1"/>
          <w:sz w:val="22"/>
          <w:szCs w:val="22"/>
          <w:lang w:eastAsia="en-AU"/>
        </w:rPr>
        <w:t xml:space="preserve"> </w:t>
      </w:r>
      <w:r w:rsidRPr="002E1260">
        <w:rPr>
          <w:rFonts w:cs="Arial"/>
          <w:sz w:val="22"/>
          <w:szCs w:val="22"/>
          <w:lang w:eastAsia="en-AU"/>
        </w:rPr>
        <w:t>pop</w:t>
      </w:r>
      <w:r w:rsidRPr="002E1260">
        <w:rPr>
          <w:rFonts w:cs="Arial"/>
          <w:spacing w:val="-2"/>
          <w:sz w:val="22"/>
          <w:szCs w:val="22"/>
          <w:lang w:eastAsia="en-AU"/>
        </w:rPr>
        <w:t>u</w:t>
      </w:r>
      <w:r w:rsidRPr="002E1260">
        <w:rPr>
          <w:rFonts w:cs="Arial"/>
          <w:sz w:val="22"/>
          <w:szCs w:val="22"/>
          <w:lang w:eastAsia="en-AU"/>
        </w:rPr>
        <w:t>la</w:t>
      </w:r>
      <w:r w:rsidRPr="002E1260">
        <w:rPr>
          <w:rFonts w:cs="Arial"/>
          <w:spacing w:val="-1"/>
          <w:sz w:val="22"/>
          <w:szCs w:val="22"/>
          <w:lang w:eastAsia="en-AU"/>
        </w:rPr>
        <w:t>t</w:t>
      </w:r>
      <w:r w:rsidRPr="002E1260">
        <w:rPr>
          <w:rFonts w:cs="Arial"/>
          <w:spacing w:val="1"/>
          <w:sz w:val="22"/>
          <w:szCs w:val="22"/>
          <w:lang w:eastAsia="en-AU"/>
        </w:rPr>
        <w:t>i</w:t>
      </w:r>
      <w:r w:rsidRPr="002E1260">
        <w:rPr>
          <w:rFonts w:cs="Arial"/>
          <w:sz w:val="22"/>
          <w:szCs w:val="22"/>
          <w:lang w:eastAsia="en-AU"/>
        </w:rPr>
        <w:t>on anal</w:t>
      </w:r>
      <w:r w:rsidRPr="002E1260">
        <w:rPr>
          <w:rFonts w:cs="Arial"/>
          <w:spacing w:val="-2"/>
          <w:sz w:val="22"/>
          <w:szCs w:val="22"/>
          <w:lang w:eastAsia="en-AU"/>
        </w:rPr>
        <w:t>y</w:t>
      </w:r>
      <w:r w:rsidRPr="002E1260">
        <w:rPr>
          <w:rFonts w:cs="Arial"/>
          <w:sz w:val="22"/>
          <w:szCs w:val="22"/>
          <w:lang w:eastAsia="en-AU"/>
        </w:rPr>
        <w:t>s</w:t>
      </w:r>
      <w:r w:rsidRPr="002E1260">
        <w:rPr>
          <w:rFonts w:cs="Arial"/>
          <w:spacing w:val="-1"/>
          <w:sz w:val="22"/>
          <w:szCs w:val="22"/>
          <w:lang w:eastAsia="en-AU"/>
        </w:rPr>
        <w:t>i</w:t>
      </w:r>
      <w:r w:rsidRPr="002E1260">
        <w:rPr>
          <w:rFonts w:cs="Arial"/>
          <w:sz w:val="22"/>
          <w:szCs w:val="22"/>
          <w:lang w:eastAsia="en-AU"/>
        </w:rPr>
        <w:t>s</w:t>
      </w:r>
      <w:r w:rsidRPr="002E1260">
        <w:rPr>
          <w:rFonts w:cs="Arial"/>
          <w:spacing w:val="1"/>
          <w:sz w:val="22"/>
          <w:szCs w:val="22"/>
          <w:lang w:eastAsia="en-AU"/>
        </w:rPr>
        <w:t xml:space="preserve"> </w:t>
      </w:r>
      <w:r w:rsidRPr="002E1260">
        <w:rPr>
          <w:rFonts w:cs="Arial"/>
          <w:spacing w:val="-1"/>
          <w:sz w:val="22"/>
          <w:szCs w:val="22"/>
          <w:lang w:eastAsia="en-AU"/>
        </w:rPr>
        <w:t>w</w:t>
      </w:r>
      <w:r w:rsidRPr="002E1260">
        <w:rPr>
          <w:rFonts w:cs="Arial"/>
          <w:sz w:val="22"/>
          <w:szCs w:val="22"/>
          <w:lang w:eastAsia="en-AU"/>
        </w:rPr>
        <w:t>e</w:t>
      </w:r>
      <w:r w:rsidRPr="002E1260">
        <w:rPr>
          <w:rFonts w:cs="Arial"/>
          <w:spacing w:val="-2"/>
          <w:sz w:val="22"/>
          <w:szCs w:val="22"/>
          <w:lang w:eastAsia="en-AU"/>
        </w:rPr>
        <w:t>r</w:t>
      </w:r>
      <w:r w:rsidRPr="002E1260">
        <w:rPr>
          <w:rFonts w:cs="Arial"/>
          <w:sz w:val="22"/>
          <w:szCs w:val="22"/>
          <w:lang w:eastAsia="en-AU"/>
        </w:rPr>
        <w:t>e</w:t>
      </w:r>
      <w:r w:rsidRPr="002E1260">
        <w:rPr>
          <w:rFonts w:cs="Arial"/>
          <w:spacing w:val="1"/>
          <w:sz w:val="22"/>
          <w:szCs w:val="22"/>
          <w:lang w:eastAsia="en-AU"/>
        </w:rPr>
        <w:t xml:space="preserve"> </w:t>
      </w:r>
      <w:r w:rsidRPr="002E1260">
        <w:rPr>
          <w:rFonts w:cs="Arial"/>
          <w:spacing w:val="-1"/>
          <w:sz w:val="22"/>
          <w:szCs w:val="22"/>
          <w:lang w:eastAsia="en-AU"/>
        </w:rPr>
        <w:t>C</w:t>
      </w:r>
      <w:r w:rsidRPr="002E1260">
        <w:rPr>
          <w:rFonts w:cs="Arial"/>
          <w:sz w:val="22"/>
          <w:szCs w:val="22"/>
          <w:lang w:eastAsia="en-AU"/>
        </w:rPr>
        <w:t>au</w:t>
      </w:r>
      <w:r w:rsidRPr="002E1260">
        <w:rPr>
          <w:rFonts w:cs="Arial"/>
          <w:spacing w:val="-2"/>
          <w:sz w:val="22"/>
          <w:szCs w:val="22"/>
          <w:lang w:eastAsia="en-AU"/>
        </w:rPr>
        <w:t>c</w:t>
      </w:r>
      <w:r w:rsidRPr="002E1260">
        <w:rPr>
          <w:rFonts w:cs="Arial"/>
          <w:sz w:val="22"/>
          <w:szCs w:val="22"/>
          <w:lang w:eastAsia="en-AU"/>
        </w:rPr>
        <w:t>a</w:t>
      </w:r>
      <w:r w:rsidRPr="002E1260">
        <w:rPr>
          <w:rFonts w:cs="Arial"/>
          <w:spacing w:val="-2"/>
          <w:sz w:val="22"/>
          <w:szCs w:val="22"/>
          <w:lang w:eastAsia="en-AU"/>
        </w:rPr>
        <w:t>s</w:t>
      </w:r>
      <w:r w:rsidRPr="002E1260">
        <w:rPr>
          <w:rFonts w:cs="Arial"/>
          <w:sz w:val="22"/>
          <w:szCs w:val="22"/>
          <w:lang w:eastAsia="en-AU"/>
        </w:rPr>
        <w:t>ian</w:t>
      </w:r>
      <w:r w:rsidRPr="002E1260">
        <w:rPr>
          <w:rFonts w:cs="Arial"/>
          <w:spacing w:val="-1"/>
          <w:sz w:val="22"/>
          <w:szCs w:val="22"/>
          <w:lang w:eastAsia="en-AU"/>
        </w:rPr>
        <w:t>)</w:t>
      </w:r>
      <w:r w:rsidRPr="002E1260">
        <w:rPr>
          <w:rFonts w:cs="Arial"/>
          <w:sz w:val="22"/>
          <w:szCs w:val="22"/>
          <w:lang w:eastAsia="en-AU"/>
        </w:rPr>
        <w:t>.</w:t>
      </w:r>
      <w:r w:rsidRPr="002E1260">
        <w:rPr>
          <w:rFonts w:cs="Arial"/>
          <w:spacing w:val="1"/>
          <w:sz w:val="22"/>
          <w:szCs w:val="22"/>
          <w:lang w:eastAsia="en-AU"/>
        </w:rPr>
        <w:t xml:space="preserve"> </w:t>
      </w:r>
      <w:r w:rsidRPr="002E1260">
        <w:rPr>
          <w:rFonts w:cs="Arial"/>
          <w:spacing w:val="-2"/>
          <w:sz w:val="22"/>
          <w:szCs w:val="22"/>
          <w:lang w:eastAsia="en-AU"/>
        </w:rPr>
        <w:t>I</w:t>
      </w:r>
      <w:r w:rsidRPr="002E1260">
        <w:rPr>
          <w:rFonts w:cs="Arial"/>
          <w:sz w:val="22"/>
          <w:szCs w:val="22"/>
          <w:lang w:eastAsia="en-AU"/>
        </w:rPr>
        <w:t>n the</w:t>
      </w:r>
      <w:r w:rsidRPr="002E1260">
        <w:rPr>
          <w:rFonts w:cs="Arial"/>
          <w:spacing w:val="-2"/>
          <w:sz w:val="22"/>
          <w:szCs w:val="22"/>
          <w:lang w:eastAsia="en-AU"/>
        </w:rPr>
        <w:t xml:space="preserve"> </w:t>
      </w:r>
      <w:r w:rsidRPr="002E1260">
        <w:rPr>
          <w:rFonts w:cs="Arial"/>
          <w:sz w:val="22"/>
          <w:szCs w:val="22"/>
          <w:lang w:eastAsia="en-AU"/>
        </w:rPr>
        <w:t>li</w:t>
      </w:r>
      <w:r w:rsidRPr="002E1260">
        <w:rPr>
          <w:rFonts w:cs="Arial"/>
          <w:spacing w:val="-4"/>
          <w:sz w:val="22"/>
          <w:szCs w:val="22"/>
          <w:lang w:eastAsia="en-AU"/>
        </w:rPr>
        <w:t>m</w:t>
      </w:r>
      <w:r w:rsidRPr="002E1260">
        <w:rPr>
          <w:rFonts w:cs="Arial"/>
          <w:sz w:val="22"/>
          <w:szCs w:val="22"/>
          <w:lang w:eastAsia="en-AU"/>
        </w:rPr>
        <w:t>it</w:t>
      </w:r>
      <w:r w:rsidRPr="002E1260">
        <w:rPr>
          <w:rFonts w:cs="Arial"/>
          <w:spacing w:val="-2"/>
          <w:sz w:val="22"/>
          <w:szCs w:val="22"/>
          <w:lang w:eastAsia="en-AU"/>
        </w:rPr>
        <w:t>e</w:t>
      </w:r>
      <w:r w:rsidRPr="002E1260">
        <w:rPr>
          <w:rFonts w:cs="Arial"/>
          <w:sz w:val="22"/>
          <w:szCs w:val="22"/>
          <w:lang w:eastAsia="en-AU"/>
        </w:rPr>
        <w:t>d</w:t>
      </w:r>
      <w:r w:rsidRPr="002E1260">
        <w:rPr>
          <w:rFonts w:cs="Arial"/>
          <w:spacing w:val="1"/>
          <w:sz w:val="22"/>
          <w:szCs w:val="22"/>
          <w:lang w:eastAsia="en-AU"/>
        </w:rPr>
        <w:t xml:space="preserve"> </w:t>
      </w:r>
      <w:r w:rsidRPr="002E1260">
        <w:rPr>
          <w:rFonts w:cs="Arial"/>
          <w:sz w:val="22"/>
          <w:szCs w:val="22"/>
          <w:lang w:eastAsia="en-AU"/>
        </w:rPr>
        <w:t>d</w:t>
      </w:r>
      <w:r w:rsidRPr="002E1260">
        <w:rPr>
          <w:rFonts w:cs="Arial"/>
          <w:spacing w:val="-2"/>
          <w:sz w:val="22"/>
          <w:szCs w:val="22"/>
          <w:lang w:eastAsia="en-AU"/>
        </w:rPr>
        <w:t>a</w:t>
      </w:r>
      <w:r w:rsidRPr="002E1260">
        <w:rPr>
          <w:rFonts w:cs="Arial"/>
          <w:sz w:val="22"/>
          <w:szCs w:val="22"/>
          <w:lang w:eastAsia="en-AU"/>
        </w:rPr>
        <w:t>ta</w:t>
      </w:r>
      <w:r w:rsidRPr="002E1260">
        <w:rPr>
          <w:rFonts w:cs="Arial"/>
          <w:spacing w:val="1"/>
          <w:sz w:val="22"/>
          <w:szCs w:val="22"/>
          <w:lang w:eastAsia="en-AU"/>
        </w:rPr>
        <w:t xml:space="preserve"> </w:t>
      </w:r>
      <w:r w:rsidRPr="002E1260">
        <w:rPr>
          <w:rFonts w:cs="Arial"/>
          <w:sz w:val="22"/>
          <w:szCs w:val="22"/>
          <w:lang w:eastAsia="en-AU"/>
        </w:rPr>
        <w:t>a</w:t>
      </w:r>
      <w:r w:rsidRPr="002E1260">
        <w:rPr>
          <w:rFonts w:cs="Arial"/>
          <w:spacing w:val="-2"/>
          <w:sz w:val="22"/>
          <w:szCs w:val="22"/>
          <w:lang w:eastAsia="en-AU"/>
        </w:rPr>
        <w:t>v</w:t>
      </w:r>
      <w:r w:rsidRPr="002E1260">
        <w:rPr>
          <w:rFonts w:cs="Arial"/>
          <w:sz w:val="22"/>
          <w:szCs w:val="22"/>
          <w:lang w:eastAsia="en-AU"/>
        </w:rPr>
        <w:t>a</w:t>
      </w:r>
      <w:r w:rsidRPr="002E1260">
        <w:rPr>
          <w:rFonts w:cs="Arial"/>
          <w:spacing w:val="-1"/>
          <w:sz w:val="22"/>
          <w:szCs w:val="22"/>
          <w:lang w:eastAsia="en-AU"/>
        </w:rPr>
        <w:t>i</w:t>
      </w:r>
      <w:r w:rsidRPr="002E1260">
        <w:rPr>
          <w:rFonts w:cs="Arial"/>
          <w:sz w:val="22"/>
          <w:szCs w:val="22"/>
          <w:lang w:eastAsia="en-AU"/>
        </w:rPr>
        <w:t>la</w:t>
      </w:r>
      <w:r w:rsidRPr="002E1260">
        <w:rPr>
          <w:rFonts w:cs="Arial"/>
          <w:spacing w:val="-2"/>
          <w:sz w:val="22"/>
          <w:szCs w:val="22"/>
          <w:lang w:eastAsia="en-AU"/>
        </w:rPr>
        <w:t>b</w:t>
      </w:r>
      <w:r w:rsidRPr="002E1260">
        <w:rPr>
          <w:rFonts w:cs="Arial"/>
          <w:spacing w:val="1"/>
          <w:sz w:val="22"/>
          <w:szCs w:val="22"/>
          <w:lang w:eastAsia="en-AU"/>
        </w:rPr>
        <w:t>l</w:t>
      </w:r>
      <w:r w:rsidRPr="002E1260">
        <w:rPr>
          <w:rFonts w:cs="Arial"/>
          <w:sz w:val="22"/>
          <w:szCs w:val="22"/>
          <w:lang w:eastAsia="en-AU"/>
        </w:rPr>
        <w:t>e,</w:t>
      </w:r>
      <w:r w:rsidRPr="002E1260">
        <w:rPr>
          <w:rFonts w:cs="Arial"/>
          <w:spacing w:val="-2"/>
          <w:sz w:val="22"/>
          <w:szCs w:val="22"/>
          <w:lang w:eastAsia="en-AU"/>
        </w:rPr>
        <w:t xml:space="preserve"> </w:t>
      </w:r>
      <w:r w:rsidRPr="002E1260">
        <w:rPr>
          <w:rFonts w:cs="Arial"/>
          <w:sz w:val="22"/>
          <w:szCs w:val="22"/>
          <w:lang w:eastAsia="en-AU"/>
        </w:rPr>
        <w:t>th</w:t>
      </w:r>
      <w:r w:rsidRPr="002E1260">
        <w:rPr>
          <w:rFonts w:cs="Arial"/>
          <w:spacing w:val="-2"/>
          <w:sz w:val="22"/>
          <w:szCs w:val="22"/>
          <w:lang w:eastAsia="en-AU"/>
        </w:rPr>
        <w:t>e</w:t>
      </w:r>
      <w:r w:rsidRPr="002E1260">
        <w:rPr>
          <w:rFonts w:cs="Arial"/>
          <w:spacing w:val="1"/>
          <w:sz w:val="22"/>
          <w:szCs w:val="22"/>
          <w:lang w:eastAsia="en-AU"/>
        </w:rPr>
        <w:t>r</w:t>
      </w:r>
      <w:r w:rsidRPr="002E1260">
        <w:rPr>
          <w:rFonts w:cs="Arial"/>
          <w:sz w:val="22"/>
          <w:szCs w:val="22"/>
          <w:lang w:eastAsia="en-AU"/>
        </w:rPr>
        <w:t>e</w:t>
      </w:r>
      <w:r w:rsidRPr="002E1260">
        <w:rPr>
          <w:rFonts w:cs="Arial"/>
          <w:spacing w:val="1"/>
          <w:sz w:val="22"/>
          <w:szCs w:val="22"/>
          <w:lang w:eastAsia="en-AU"/>
        </w:rPr>
        <w:t xml:space="preserve"> </w:t>
      </w:r>
      <w:r w:rsidRPr="002E1260">
        <w:rPr>
          <w:rFonts w:cs="Arial"/>
          <w:spacing w:val="-1"/>
          <w:sz w:val="22"/>
          <w:szCs w:val="22"/>
          <w:lang w:eastAsia="en-AU"/>
        </w:rPr>
        <w:lastRenderedPageBreak/>
        <w:t>w</w:t>
      </w:r>
      <w:r w:rsidRPr="002E1260">
        <w:rPr>
          <w:rFonts w:cs="Arial"/>
          <w:sz w:val="22"/>
          <w:szCs w:val="22"/>
          <w:lang w:eastAsia="en-AU"/>
        </w:rPr>
        <w:t>as</w:t>
      </w:r>
      <w:r w:rsidRPr="002E1260">
        <w:rPr>
          <w:rFonts w:cs="Arial"/>
          <w:spacing w:val="-2"/>
          <w:sz w:val="22"/>
          <w:szCs w:val="22"/>
          <w:lang w:eastAsia="en-AU"/>
        </w:rPr>
        <w:t xml:space="preserve"> </w:t>
      </w:r>
      <w:r w:rsidRPr="002E1260">
        <w:rPr>
          <w:rFonts w:cs="Arial"/>
          <w:sz w:val="22"/>
          <w:szCs w:val="22"/>
          <w:lang w:eastAsia="en-AU"/>
        </w:rPr>
        <w:t>no</w:t>
      </w:r>
      <w:r w:rsidRPr="002E1260">
        <w:rPr>
          <w:rFonts w:cs="Arial"/>
          <w:spacing w:val="1"/>
          <w:sz w:val="22"/>
          <w:szCs w:val="22"/>
          <w:lang w:eastAsia="en-AU"/>
        </w:rPr>
        <w:t xml:space="preserve"> </w:t>
      </w:r>
      <w:r w:rsidRPr="002E1260">
        <w:rPr>
          <w:rFonts w:cs="Arial"/>
          <w:sz w:val="22"/>
          <w:szCs w:val="22"/>
          <w:lang w:eastAsia="en-AU"/>
        </w:rPr>
        <w:t>e</w:t>
      </w:r>
      <w:r w:rsidRPr="002E1260">
        <w:rPr>
          <w:rFonts w:cs="Arial"/>
          <w:spacing w:val="-2"/>
          <w:sz w:val="22"/>
          <w:szCs w:val="22"/>
          <w:lang w:eastAsia="en-AU"/>
        </w:rPr>
        <w:t>v</w:t>
      </w:r>
      <w:r w:rsidRPr="002E1260">
        <w:rPr>
          <w:rFonts w:cs="Arial"/>
          <w:sz w:val="22"/>
          <w:szCs w:val="22"/>
          <w:lang w:eastAsia="en-AU"/>
        </w:rPr>
        <w:t>id</w:t>
      </w:r>
      <w:r w:rsidRPr="002E1260">
        <w:rPr>
          <w:rFonts w:cs="Arial"/>
          <w:spacing w:val="-2"/>
          <w:sz w:val="22"/>
          <w:szCs w:val="22"/>
          <w:lang w:eastAsia="en-AU"/>
        </w:rPr>
        <w:t>e</w:t>
      </w:r>
      <w:r w:rsidRPr="002E1260">
        <w:rPr>
          <w:rFonts w:cs="Arial"/>
          <w:sz w:val="22"/>
          <w:szCs w:val="22"/>
          <w:lang w:eastAsia="en-AU"/>
        </w:rPr>
        <w:t>nce</w:t>
      </w:r>
      <w:r w:rsidRPr="002E1260">
        <w:rPr>
          <w:rFonts w:cs="Arial"/>
          <w:spacing w:val="1"/>
          <w:sz w:val="22"/>
          <w:szCs w:val="22"/>
          <w:lang w:eastAsia="en-AU"/>
        </w:rPr>
        <w:t xml:space="preserve"> </w:t>
      </w:r>
      <w:r w:rsidRPr="002E1260">
        <w:rPr>
          <w:rFonts w:cs="Arial"/>
          <w:spacing w:val="-2"/>
          <w:sz w:val="22"/>
          <w:szCs w:val="22"/>
          <w:lang w:eastAsia="en-AU"/>
        </w:rPr>
        <w:t>o</w:t>
      </w:r>
      <w:r w:rsidRPr="002E1260">
        <w:rPr>
          <w:rFonts w:cs="Arial"/>
          <w:sz w:val="22"/>
          <w:szCs w:val="22"/>
          <w:lang w:eastAsia="en-AU"/>
        </w:rPr>
        <w:t>f</w:t>
      </w:r>
      <w:r w:rsidRPr="002E1260">
        <w:rPr>
          <w:rFonts w:cs="Arial"/>
          <w:spacing w:val="1"/>
          <w:sz w:val="22"/>
          <w:szCs w:val="22"/>
          <w:lang w:eastAsia="en-AU"/>
        </w:rPr>
        <w:t xml:space="preserve"> </w:t>
      </w:r>
      <w:r w:rsidRPr="002E1260">
        <w:rPr>
          <w:rFonts w:cs="Arial"/>
          <w:sz w:val="22"/>
          <w:szCs w:val="22"/>
          <w:lang w:eastAsia="en-AU"/>
        </w:rPr>
        <w:t>a</w:t>
      </w:r>
      <w:r w:rsidRPr="002E1260">
        <w:rPr>
          <w:rFonts w:cs="Arial"/>
          <w:spacing w:val="-2"/>
          <w:sz w:val="22"/>
          <w:szCs w:val="22"/>
          <w:lang w:eastAsia="en-AU"/>
        </w:rPr>
        <w:t xml:space="preserve"> </w:t>
      </w:r>
      <w:r w:rsidRPr="002E1260">
        <w:rPr>
          <w:rFonts w:cs="Arial"/>
          <w:spacing w:val="-4"/>
          <w:sz w:val="22"/>
          <w:szCs w:val="22"/>
          <w:lang w:eastAsia="en-AU"/>
        </w:rPr>
        <w:t>m</w:t>
      </w:r>
      <w:r w:rsidRPr="002E1260">
        <w:rPr>
          <w:rFonts w:cs="Arial"/>
          <w:sz w:val="22"/>
          <w:szCs w:val="22"/>
          <w:lang w:eastAsia="en-AU"/>
        </w:rPr>
        <w:t>ar</w:t>
      </w:r>
      <w:r w:rsidRPr="002E1260">
        <w:rPr>
          <w:rFonts w:cs="Arial"/>
          <w:spacing w:val="-2"/>
          <w:sz w:val="22"/>
          <w:szCs w:val="22"/>
          <w:lang w:eastAsia="en-AU"/>
        </w:rPr>
        <w:t>k</w:t>
      </w:r>
      <w:r w:rsidRPr="002E1260">
        <w:rPr>
          <w:rFonts w:cs="Arial"/>
          <w:sz w:val="22"/>
          <w:szCs w:val="22"/>
          <w:lang w:eastAsia="en-AU"/>
        </w:rPr>
        <w:t>ed</w:t>
      </w:r>
      <w:r w:rsidRPr="002E1260">
        <w:rPr>
          <w:rFonts w:cs="Arial"/>
          <w:spacing w:val="1"/>
          <w:sz w:val="22"/>
          <w:szCs w:val="22"/>
          <w:lang w:eastAsia="en-AU"/>
        </w:rPr>
        <w:t xml:space="preserve"> </w:t>
      </w:r>
      <w:r w:rsidRPr="002E1260">
        <w:rPr>
          <w:rFonts w:cs="Arial"/>
          <w:sz w:val="22"/>
          <w:szCs w:val="22"/>
          <w:lang w:eastAsia="en-AU"/>
        </w:rPr>
        <w:t>ethnic</w:t>
      </w:r>
      <w:r>
        <w:rPr>
          <w:rFonts w:cs="Arial"/>
          <w:sz w:val="22"/>
          <w:szCs w:val="22"/>
          <w:lang w:eastAsia="en-AU"/>
        </w:rPr>
        <w:t xml:space="preserve"> </w:t>
      </w:r>
      <w:r w:rsidRPr="002E1260">
        <w:rPr>
          <w:rFonts w:cs="Arial"/>
          <w:sz w:val="22"/>
          <w:szCs w:val="22"/>
          <w:lang w:eastAsia="en-AU"/>
        </w:rPr>
        <w:t>di</w:t>
      </w:r>
      <w:r w:rsidRPr="002E1260">
        <w:rPr>
          <w:rFonts w:cs="Arial"/>
          <w:spacing w:val="-1"/>
          <w:sz w:val="22"/>
          <w:szCs w:val="22"/>
          <w:lang w:eastAsia="en-AU"/>
        </w:rPr>
        <w:t>f</w:t>
      </w:r>
      <w:r w:rsidRPr="002E1260">
        <w:rPr>
          <w:rFonts w:cs="Arial"/>
          <w:spacing w:val="1"/>
          <w:sz w:val="22"/>
          <w:szCs w:val="22"/>
          <w:lang w:eastAsia="en-AU"/>
        </w:rPr>
        <w:t>f</w:t>
      </w:r>
      <w:r w:rsidRPr="002E1260">
        <w:rPr>
          <w:rFonts w:cs="Arial"/>
          <w:sz w:val="22"/>
          <w:szCs w:val="22"/>
          <w:lang w:eastAsia="en-AU"/>
        </w:rPr>
        <w:t>e</w:t>
      </w:r>
      <w:r w:rsidRPr="002E1260">
        <w:rPr>
          <w:rFonts w:cs="Arial"/>
          <w:spacing w:val="-1"/>
          <w:sz w:val="22"/>
          <w:szCs w:val="22"/>
          <w:lang w:eastAsia="en-AU"/>
        </w:rPr>
        <w:t>r</w:t>
      </w:r>
      <w:r w:rsidRPr="002E1260">
        <w:rPr>
          <w:rFonts w:cs="Arial"/>
          <w:sz w:val="22"/>
          <w:szCs w:val="22"/>
          <w:lang w:eastAsia="en-AU"/>
        </w:rPr>
        <w:t>en</w:t>
      </w:r>
      <w:r w:rsidRPr="002E1260">
        <w:rPr>
          <w:rFonts w:cs="Arial"/>
          <w:spacing w:val="-2"/>
          <w:sz w:val="22"/>
          <w:szCs w:val="22"/>
          <w:lang w:eastAsia="en-AU"/>
        </w:rPr>
        <w:t>c</w:t>
      </w:r>
      <w:r w:rsidRPr="002E1260">
        <w:rPr>
          <w:rFonts w:cs="Arial"/>
          <w:sz w:val="22"/>
          <w:szCs w:val="22"/>
          <w:lang w:eastAsia="en-AU"/>
        </w:rPr>
        <w:t>e</w:t>
      </w:r>
      <w:r w:rsidRPr="002E1260">
        <w:rPr>
          <w:rFonts w:cs="Arial"/>
          <w:spacing w:val="1"/>
          <w:sz w:val="22"/>
          <w:szCs w:val="22"/>
          <w:lang w:eastAsia="en-AU"/>
        </w:rPr>
        <w:t xml:space="preserve"> </w:t>
      </w:r>
      <w:r w:rsidRPr="002E1260">
        <w:rPr>
          <w:rFonts w:cs="Arial"/>
          <w:sz w:val="22"/>
          <w:szCs w:val="22"/>
          <w:lang w:eastAsia="en-AU"/>
        </w:rPr>
        <w:t>in</w:t>
      </w:r>
      <w:r w:rsidRPr="002E1260">
        <w:rPr>
          <w:rFonts w:cs="Arial"/>
          <w:spacing w:val="-2"/>
          <w:sz w:val="22"/>
          <w:szCs w:val="22"/>
          <w:lang w:eastAsia="en-AU"/>
        </w:rPr>
        <w:t xml:space="preserve"> </w:t>
      </w:r>
      <w:r w:rsidRPr="002E1260">
        <w:rPr>
          <w:rFonts w:cs="Arial"/>
          <w:sz w:val="22"/>
          <w:szCs w:val="22"/>
          <w:lang w:eastAsia="en-AU"/>
        </w:rPr>
        <w:t>the</w:t>
      </w:r>
      <w:r w:rsidRPr="002E1260">
        <w:rPr>
          <w:rFonts w:cs="Arial"/>
          <w:spacing w:val="1"/>
          <w:sz w:val="22"/>
          <w:szCs w:val="22"/>
          <w:lang w:eastAsia="en-AU"/>
        </w:rPr>
        <w:t xml:space="preserve"> </w:t>
      </w:r>
      <w:r w:rsidRPr="002E1260">
        <w:rPr>
          <w:rFonts w:cs="Arial"/>
          <w:spacing w:val="-3"/>
          <w:sz w:val="22"/>
          <w:szCs w:val="22"/>
          <w:lang w:eastAsia="en-AU"/>
        </w:rPr>
        <w:t>P</w:t>
      </w:r>
      <w:r w:rsidRPr="002E1260">
        <w:rPr>
          <w:rFonts w:cs="Arial"/>
          <w:sz w:val="22"/>
          <w:szCs w:val="22"/>
          <w:lang w:eastAsia="en-AU"/>
        </w:rPr>
        <w:t>K</w:t>
      </w:r>
      <w:r w:rsidRPr="002E1260">
        <w:rPr>
          <w:rFonts w:cs="Arial"/>
          <w:spacing w:val="-1"/>
          <w:sz w:val="22"/>
          <w:szCs w:val="22"/>
          <w:lang w:eastAsia="en-AU"/>
        </w:rPr>
        <w:t xml:space="preserve"> </w:t>
      </w:r>
      <w:r w:rsidRPr="002E1260">
        <w:rPr>
          <w:rFonts w:cs="Arial"/>
          <w:sz w:val="22"/>
          <w:szCs w:val="22"/>
          <w:lang w:eastAsia="en-AU"/>
        </w:rPr>
        <w:t xml:space="preserve">of </w:t>
      </w:r>
      <w:r w:rsidRPr="002E1260">
        <w:rPr>
          <w:rFonts w:cs="Arial"/>
          <w:spacing w:val="-2"/>
          <w:sz w:val="22"/>
          <w:szCs w:val="22"/>
          <w:lang w:eastAsia="en-AU"/>
        </w:rPr>
        <w:t>o</w:t>
      </w:r>
      <w:r w:rsidRPr="002E1260">
        <w:rPr>
          <w:rFonts w:cs="Arial"/>
          <w:spacing w:val="1"/>
          <w:sz w:val="22"/>
          <w:szCs w:val="22"/>
          <w:lang w:eastAsia="en-AU"/>
        </w:rPr>
        <w:t>l</w:t>
      </w:r>
      <w:r w:rsidRPr="002E1260">
        <w:rPr>
          <w:rFonts w:cs="Arial"/>
          <w:sz w:val="22"/>
          <w:szCs w:val="22"/>
          <w:lang w:eastAsia="en-AU"/>
        </w:rPr>
        <w:t>a</w:t>
      </w:r>
      <w:r w:rsidRPr="002E1260">
        <w:rPr>
          <w:rFonts w:cs="Arial"/>
          <w:spacing w:val="-2"/>
          <w:sz w:val="22"/>
          <w:szCs w:val="22"/>
          <w:lang w:eastAsia="en-AU"/>
        </w:rPr>
        <w:t>p</w:t>
      </w:r>
      <w:r w:rsidRPr="002E1260">
        <w:rPr>
          <w:rFonts w:cs="Arial"/>
          <w:sz w:val="22"/>
          <w:szCs w:val="22"/>
          <w:lang w:eastAsia="en-AU"/>
        </w:rPr>
        <w:t>arib</w:t>
      </w:r>
      <w:r w:rsidRPr="002E1260">
        <w:rPr>
          <w:rFonts w:cs="Arial"/>
          <w:spacing w:val="-2"/>
          <w:sz w:val="22"/>
          <w:szCs w:val="22"/>
          <w:lang w:eastAsia="en-AU"/>
        </w:rPr>
        <w:t xml:space="preserve"> </w:t>
      </w:r>
      <w:r w:rsidRPr="002E1260">
        <w:rPr>
          <w:rFonts w:cs="Arial"/>
          <w:sz w:val="22"/>
          <w:szCs w:val="22"/>
          <w:lang w:eastAsia="en-AU"/>
        </w:rPr>
        <w:t>b</w:t>
      </w:r>
      <w:r w:rsidRPr="002E1260">
        <w:rPr>
          <w:rFonts w:cs="Arial"/>
          <w:spacing w:val="-2"/>
          <w:sz w:val="22"/>
          <w:szCs w:val="22"/>
          <w:lang w:eastAsia="en-AU"/>
        </w:rPr>
        <w:t>e</w:t>
      </w:r>
      <w:r w:rsidRPr="002E1260">
        <w:rPr>
          <w:rFonts w:cs="Arial"/>
          <w:sz w:val="22"/>
          <w:szCs w:val="22"/>
          <w:lang w:eastAsia="en-AU"/>
        </w:rPr>
        <w:t>tween</w:t>
      </w:r>
      <w:r w:rsidRPr="002E1260">
        <w:rPr>
          <w:rFonts w:cs="Arial"/>
          <w:spacing w:val="-2"/>
          <w:sz w:val="22"/>
          <w:szCs w:val="22"/>
          <w:lang w:eastAsia="en-AU"/>
        </w:rPr>
        <w:t xml:space="preserve"> </w:t>
      </w:r>
      <w:r w:rsidRPr="002E1260">
        <w:rPr>
          <w:rFonts w:cs="Arial"/>
          <w:sz w:val="22"/>
          <w:szCs w:val="22"/>
          <w:lang w:eastAsia="en-AU"/>
        </w:rPr>
        <w:t>Japa</w:t>
      </w:r>
      <w:r w:rsidRPr="002E1260">
        <w:rPr>
          <w:rFonts w:cs="Arial"/>
          <w:spacing w:val="-2"/>
          <w:sz w:val="22"/>
          <w:szCs w:val="22"/>
          <w:lang w:eastAsia="en-AU"/>
        </w:rPr>
        <w:t>n</w:t>
      </w:r>
      <w:r w:rsidRPr="002E1260">
        <w:rPr>
          <w:rFonts w:cs="Arial"/>
          <w:sz w:val="22"/>
          <w:szCs w:val="22"/>
          <w:lang w:eastAsia="en-AU"/>
        </w:rPr>
        <w:t>ese</w:t>
      </w:r>
      <w:r w:rsidRPr="002E1260">
        <w:rPr>
          <w:rFonts w:cs="Arial"/>
          <w:spacing w:val="-2"/>
          <w:sz w:val="22"/>
          <w:szCs w:val="22"/>
          <w:lang w:eastAsia="en-AU"/>
        </w:rPr>
        <w:t xml:space="preserve"> </w:t>
      </w:r>
      <w:r w:rsidRPr="002E1260">
        <w:rPr>
          <w:rFonts w:cs="Arial"/>
          <w:sz w:val="22"/>
          <w:szCs w:val="22"/>
          <w:lang w:eastAsia="en-AU"/>
        </w:rPr>
        <w:t>and</w:t>
      </w:r>
      <w:r w:rsidRPr="002E1260">
        <w:rPr>
          <w:rFonts w:cs="Arial"/>
          <w:spacing w:val="-2"/>
          <w:sz w:val="22"/>
          <w:szCs w:val="22"/>
          <w:lang w:eastAsia="en-AU"/>
        </w:rPr>
        <w:t xml:space="preserve"> </w:t>
      </w:r>
      <w:r w:rsidRPr="002E1260">
        <w:rPr>
          <w:rFonts w:cs="Arial"/>
          <w:sz w:val="22"/>
          <w:szCs w:val="22"/>
          <w:lang w:eastAsia="en-AU"/>
        </w:rPr>
        <w:t>Cauca</w:t>
      </w:r>
      <w:r w:rsidRPr="002E1260">
        <w:rPr>
          <w:rFonts w:cs="Arial"/>
          <w:spacing w:val="-2"/>
          <w:sz w:val="22"/>
          <w:szCs w:val="22"/>
          <w:lang w:eastAsia="en-AU"/>
        </w:rPr>
        <w:t>s</w:t>
      </w:r>
      <w:r w:rsidRPr="002E1260">
        <w:rPr>
          <w:rFonts w:cs="Arial"/>
          <w:sz w:val="22"/>
          <w:szCs w:val="22"/>
          <w:lang w:eastAsia="en-AU"/>
        </w:rPr>
        <w:t>ian</w:t>
      </w:r>
      <w:r w:rsidRPr="002E1260">
        <w:rPr>
          <w:rFonts w:cs="Arial"/>
          <w:spacing w:val="-2"/>
          <w:sz w:val="22"/>
          <w:szCs w:val="22"/>
          <w:lang w:eastAsia="en-AU"/>
        </w:rPr>
        <w:t xml:space="preserve"> </w:t>
      </w:r>
      <w:r w:rsidRPr="002E1260">
        <w:rPr>
          <w:rFonts w:cs="Arial"/>
          <w:sz w:val="22"/>
          <w:szCs w:val="22"/>
          <w:lang w:eastAsia="en-AU"/>
        </w:rPr>
        <w:t>pa</w:t>
      </w:r>
      <w:r w:rsidRPr="002E1260">
        <w:rPr>
          <w:rFonts w:cs="Arial"/>
          <w:spacing w:val="-1"/>
          <w:sz w:val="22"/>
          <w:szCs w:val="22"/>
          <w:lang w:eastAsia="en-AU"/>
        </w:rPr>
        <w:t>t</w:t>
      </w:r>
      <w:r w:rsidRPr="002E1260">
        <w:rPr>
          <w:rFonts w:cs="Arial"/>
          <w:spacing w:val="1"/>
          <w:sz w:val="22"/>
          <w:szCs w:val="22"/>
          <w:lang w:eastAsia="en-AU"/>
        </w:rPr>
        <w:t>i</w:t>
      </w:r>
      <w:r w:rsidRPr="002E1260">
        <w:rPr>
          <w:rFonts w:cs="Arial"/>
          <w:sz w:val="22"/>
          <w:szCs w:val="22"/>
          <w:lang w:eastAsia="en-AU"/>
        </w:rPr>
        <w:t>e</w:t>
      </w:r>
      <w:r w:rsidRPr="002E1260">
        <w:rPr>
          <w:rFonts w:cs="Arial"/>
          <w:spacing w:val="-2"/>
          <w:sz w:val="22"/>
          <w:szCs w:val="22"/>
          <w:lang w:eastAsia="en-AU"/>
        </w:rPr>
        <w:t>n</w:t>
      </w:r>
      <w:r w:rsidRPr="002E1260">
        <w:rPr>
          <w:rFonts w:cs="Arial"/>
          <w:sz w:val="22"/>
          <w:szCs w:val="22"/>
          <w:lang w:eastAsia="en-AU"/>
        </w:rPr>
        <w:t>ts.</w:t>
      </w:r>
    </w:p>
    <w:p w14:paraId="13D9ABA9" w14:textId="77777777" w:rsidR="001F493D" w:rsidRDefault="001F493D">
      <w:pPr>
        <w:pStyle w:val="A-Heading1"/>
        <w:rPr>
          <w:sz w:val="22"/>
          <w:lang w:val="en-AU"/>
        </w:rPr>
      </w:pPr>
      <w:r>
        <w:rPr>
          <w:sz w:val="22"/>
          <w:lang w:val="en-AU"/>
        </w:rPr>
        <w:t>CLINICAL TRIALS</w:t>
      </w:r>
    </w:p>
    <w:p w14:paraId="209B2A4B" w14:textId="77777777" w:rsidR="001F493D" w:rsidRDefault="001F493D">
      <w:pPr>
        <w:pStyle w:val="BodyText"/>
        <w:rPr>
          <w:b/>
          <w:sz w:val="22"/>
          <w:szCs w:val="22"/>
        </w:rPr>
      </w:pPr>
      <w:r>
        <w:rPr>
          <w:b/>
          <w:sz w:val="22"/>
          <w:szCs w:val="22"/>
        </w:rPr>
        <w:t>Platinum sensitive relapsed (PSR) ovarian cancer</w:t>
      </w:r>
    </w:p>
    <w:p w14:paraId="7BB2460D" w14:textId="77777777" w:rsidR="001F493D" w:rsidRDefault="001F493D">
      <w:pPr>
        <w:pStyle w:val="BodyText"/>
      </w:pPr>
    </w:p>
    <w:p w14:paraId="01365384" w14:textId="515F4DAD" w:rsidR="001F493D" w:rsidRDefault="001F493D">
      <w:pPr>
        <w:autoSpaceDE w:val="0"/>
        <w:autoSpaceDN w:val="0"/>
        <w:adjustRightInd w:val="0"/>
        <w:rPr>
          <w:sz w:val="22"/>
          <w:szCs w:val="22"/>
          <w:lang w:val="en-US"/>
        </w:rPr>
      </w:pPr>
      <w:r>
        <w:rPr>
          <w:sz w:val="22"/>
          <w:szCs w:val="22"/>
          <w:lang w:val="en-US"/>
        </w:rPr>
        <w:t>The safety and efficacy of LYNPARZA as a maintenance therapy in the treatment of patients with PSR ovarian, fallopian tube or primary peritoneal cancer</w:t>
      </w:r>
      <w:r>
        <w:rPr>
          <w:sz w:val="22"/>
          <w:szCs w:val="22"/>
          <w:lang w:val="en-GB"/>
        </w:rPr>
        <w:t xml:space="preserve"> with a histology type of serous, or a serous component</w:t>
      </w:r>
      <w:r>
        <w:rPr>
          <w:sz w:val="22"/>
          <w:szCs w:val="22"/>
          <w:lang w:val="en-US"/>
        </w:rPr>
        <w:t xml:space="preserve">, following  treatment with two or more platinum containing regimens, was studied in a Phase II </w:t>
      </w:r>
      <w:r>
        <w:rPr>
          <w:sz w:val="22"/>
          <w:szCs w:val="22"/>
        </w:rPr>
        <w:t>randomised</w:t>
      </w:r>
      <w:r>
        <w:rPr>
          <w:sz w:val="22"/>
          <w:szCs w:val="22"/>
          <w:lang w:val="en-US"/>
        </w:rPr>
        <w:t xml:space="preserve">, double blind placebo controlled trial (Study 19). The study compared the efficacy of LYNPARZA maintenance treatment taken to progression with no maintenance treatment in 265 (136 LYNPARZA and 129 placebo) PSR patients who were in response (CR [complete response] or PR [partial response]) following completion of platinum containing chemotherapy. The primary endpoint was PFS based on investigator assessment using RECIST 1.0. Secondary efficacy endpoints included OS (overall survival), DCR (disease control rate) defined as confirmed CR/PR + SD (stable disease), </w:t>
      </w:r>
      <w:proofErr w:type="spellStart"/>
      <w:r>
        <w:rPr>
          <w:sz w:val="22"/>
          <w:szCs w:val="22"/>
          <w:lang w:val="en-US"/>
        </w:rPr>
        <w:t>HRQoL</w:t>
      </w:r>
      <w:proofErr w:type="spellEnd"/>
      <w:r>
        <w:rPr>
          <w:sz w:val="22"/>
          <w:szCs w:val="22"/>
          <w:lang w:val="en-US"/>
        </w:rPr>
        <w:t xml:space="preserve"> (health related quality of life)</w:t>
      </w:r>
      <w:r w:rsidR="00090AC2">
        <w:rPr>
          <w:sz w:val="22"/>
          <w:szCs w:val="22"/>
          <w:lang w:val="en-US"/>
        </w:rPr>
        <w:t>, and disease related symptoms.</w:t>
      </w:r>
    </w:p>
    <w:p w14:paraId="1C2EACEC" w14:textId="77777777" w:rsidR="001F493D" w:rsidRDefault="001F493D">
      <w:pPr>
        <w:autoSpaceDE w:val="0"/>
        <w:autoSpaceDN w:val="0"/>
        <w:adjustRightInd w:val="0"/>
        <w:rPr>
          <w:sz w:val="22"/>
          <w:szCs w:val="22"/>
          <w:lang w:val="en-US"/>
        </w:rPr>
      </w:pPr>
      <w:r>
        <w:rPr>
          <w:sz w:val="22"/>
          <w:szCs w:val="22"/>
          <w:lang w:val="en-US"/>
        </w:rPr>
        <w:t xml:space="preserve">Only PSR patients who were in </w:t>
      </w:r>
      <w:r>
        <w:rPr>
          <w:sz w:val="22"/>
          <w:szCs w:val="22"/>
        </w:rPr>
        <w:t>response</w:t>
      </w:r>
      <w:r>
        <w:rPr>
          <w:sz w:val="22"/>
          <w:szCs w:val="22"/>
          <w:lang w:val="en-US"/>
        </w:rPr>
        <w:t xml:space="preserve"> following completion of platinum based chemotherapy and whose disease had recurred &gt;6 months after completion of prior penultimate platinum based chemotherapy were enrolled. Patients could not have received prior LYNPARZA or other PARP inhibitor treatment. Patients could have received prior</w:t>
      </w:r>
      <w:r>
        <w:rPr>
          <w:sz w:val="22"/>
          <w:szCs w:val="22"/>
        </w:rPr>
        <w:t xml:space="preserve"> bevacizumab</w:t>
      </w:r>
      <w:r>
        <w:rPr>
          <w:sz w:val="22"/>
          <w:szCs w:val="22"/>
          <w:lang w:val="en-US"/>
        </w:rPr>
        <w:t xml:space="preserve">, except in the regimen immediately prior to </w:t>
      </w:r>
      <w:proofErr w:type="spellStart"/>
      <w:r>
        <w:rPr>
          <w:sz w:val="22"/>
          <w:szCs w:val="22"/>
          <w:lang w:val="en-US"/>
        </w:rPr>
        <w:t>randomisation</w:t>
      </w:r>
      <w:proofErr w:type="spellEnd"/>
      <w:r>
        <w:rPr>
          <w:sz w:val="22"/>
          <w:szCs w:val="22"/>
          <w:lang w:val="en-US"/>
        </w:rPr>
        <w:t>.</w:t>
      </w:r>
    </w:p>
    <w:p w14:paraId="45AC9587" w14:textId="77777777" w:rsidR="001F493D" w:rsidRDefault="001F493D">
      <w:pPr>
        <w:pStyle w:val="CommentText"/>
        <w:rPr>
          <w:sz w:val="22"/>
          <w:szCs w:val="22"/>
        </w:rPr>
      </w:pPr>
      <w:r>
        <w:rPr>
          <w:sz w:val="22"/>
          <w:szCs w:val="22"/>
          <w:lang w:val="en-US"/>
        </w:rPr>
        <w:t xml:space="preserve">The study met its primary objective of statistically significantly improved PFS for LYNPARZA maintenance monotherapy compared with placebo in the overall population (HR 0.35; 95% CI 0.25-0.49; p&lt;0.00001), moreover, preplanned subgroup analysis identified patients with </w:t>
      </w:r>
      <w:r>
        <w:rPr>
          <w:i/>
          <w:sz w:val="22"/>
          <w:szCs w:val="22"/>
          <w:lang w:val="en-US"/>
        </w:rPr>
        <w:t>BRCA-</w:t>
      </w:r>
      <w:r>
        <w:rPr>
          <w:sz w:val="22"/>
          <w:szCs w:val="22"/>
          <w:lang w:val="en-US"/>
        </w:rPr>
        <w:t>mutated ovarian cancer (n=136, 51.3%) as the subgroup that derived the greatest clinical benefit from LYNPARZA maintenance monotherapy.</w:t>
      </w:r>
    </w:p>
    <w:p w14:paraId="08F13F70" w14:textId="3954312E" w:rsidR="001F493D" w:rsidRDefault="001F493D">
      <w:pPr>
        <w:autoSpaceDE w:val="0"/>
        <w:autoSpaceDN w:val="0"/>
        <w:adjustRightInd w:val="0"/>
        <w:rPr>
          <w:sz w:val="22"/>
          <w:szCs w:val="22"/>
          <w:lang w:val="en-US"/>
        </w:rPr>
      </w:pPr>
      <w:r>
        <w:rPr>
          <w:sz w:val="22"/>
          <w:szCs w:val="22"/>
          <w:lang w:val="en-US"/>
        </w:rPr>
        <w:t xml:space="preserve">In </w:t>
      </w:r>
      <w:r>
        <w:rPr>
          <w:i/>
          <w:sz w:val="22"/>
          <w:szCs w:val="22"/>
          <w:lang w:val="en-US"/>
        </w:rPr>
        <w:t>BRCA</w:t>
      </w:r>
      <w:r>
        <w:rPr>
          <w:sz w:val="22"/>
          <w:szCs w:val="22"/>
          <w:lang w:val="en-US"/>
        </w:rPr>
        <w:t>-mutated patients (n=136) there was a statistically significant improvement in PFS. The median PFS improvement was 6.9 months over placebo (HR 0.18; 95% CI 0. 10-0.31; p&lt;0.00001; median 11.2 vs 4.3). The investigator assessment of PFS was consistent with a blinded independent central radiological review of PFS.</w:t>
      </w:r>
      <w:r>
        <w:rPr>
          <w:color w:val="FF0000"/>
          <w:sz w:val="22"/>
          <w:szCs w:val="22"/>
          <w:lang w:val="en-US"/>
        </w:rPr>
        <w:t xml:space="preserve"> </w:t>
      </w:r>
      <w:r>
        <w:rPr>
          <w:sz w:val="22"/>
          <w:szCs w:val="22"/>
          <w:lang w:val="en-US"/>
        </w:rPr>
        <w:t xml:space="preserve">There was no statistically significant difference in OS (HR 0.73; 95% CI 0.45- 1.17; p=.0.19; median 34.9 months versus 31.9 months). </w:t>
      </w:r>
    </w:p>
    <w:p w14:paraId="2A1B7053" w14:textId="4378CCB7" w:rsidR="001F493D" w:rsidRDefault="001F493D">
      <w:pPr>
        <w:rPr>
          <w:sz w:val="22"/>
          <w:szCs w:val="22"/>
          <w:lang w:val="en-US"/>
        </w:rPr>
      </w:pPr>
      <w:r>
        <w:rPr>
          <w:sz w:val="22"/>
          <w:szCs w:val="22"/>
          <w:lang w:val="en-US"/>
        </w:rPr>
        <w:t xml:space="preserve">In the </w:t>
      </w:r>
      <w:proofErr w:type="spellStart"/>
      <w:r>
        <w:rPr>
          <w:i/>
          <w:iCs/>
          <w:sz w:val="22"/>
          <w:szCs w:val="22"/>
          <w:lang w:val="en-US"/>
        </w:rPr>
        <w:t>g</w:t>
      </w:r>
      <w:r>
        <w:rPr>
          <w:i/>
          <w:sz w:val="22"/>
          <w:szCs w:val="22"/>
          <w:lang w:val="en-US"/>
        </w:rPr>
        <w:t>BRCA</w:t>
      </w:r>
      <w:proofErr w:type="spellEnd"/>
      <w:r>
        <w:rPr>
          <w:sz w:val="22"/>
          <w:szCs w:val="22"/>
          <w:lang w:val="en-US"/>
        </w:rPr>
        <w:t>-mutated subgroup (n=96) there was a statistically significant improvement in PFS. The median PFS improvement was 7.1 months over placebo (HR 0.17; 95% CI 0.09-0.31; p&lt;0.00001; median 11.2 vs 4.1). There was no statistically significant difference in OS (HR 0.85; 95% CI 0.48- 1.52; p= 0.58; median 32.9 months versus 30.2 months).</w:t>
      </w:r>
    </w:p>
    <w:p w14:paraId="79B0E250" w14:textId="77777777" w:rsidR="001F493D" w:rsidRDefault="001F493D">
      <w:pPr>
        <w:autoSpaceDE w:val="0"/>
        <w:autoSpaceDN w:val="0"/>
        <w:adjustRightInd w:val="0"/>
        <w:spacing w:line="240" w:lineRule="auto"/>
        <w:rPr>
          <w:sz w:val="22"/>
          <w:szCs w:val="22"/>
          <w:vertAlign w:val="superscript"/>
        </w:rPr>
      </w:pPr>
      <w:r>
        <w:rPr>
          <w:sz w:val="22"/>
          <w:szCs w:val="22"/>
          <w:lang w:val="en-US"/>
        </w:rPr>
        <w:t xml:space="preserve">Within the </w:t>
      </w:r>
      <w:r>
        <w:rPr>
          <w:i/>
          <w:sz w:val="22"/>
          <w:szCs w:val="22"/>
          <w:lang w:val="en-US"/>
        </w:rPr>
        <w:t>BRCA</w:t>
      </w:r>
      <w:r>
        <w:rPr>
          <w:sz w:val="22"/>
          <w:szCs w:val="22"/>
          <w:lang w:val="en-US"/>
        </w:rPr>
        <w:t>-mutated population the disease control rate at 24 weeks was 57% and 24% for patients in the LYNPARZA and placebo groups, respectively.</w:t>
      </w:r>
    </w:p>
    <w:p w14:paraId="11E6FFD1" w14:textId="77777777" w:rsidR="001F493D" w:rsidRDefault="001F493D">
      <w:pPr>
        <w:spacing w:before="120" w:after="120"/>
        <w:rPr>
          <w:sz w:val="22"/>
          <w:szCs w:val="22"/>
        </w:rPr>
      </w:pPr>
      <w:r>
        <w:rPr>
          <w:sz w:val="22"/>
          <w:szCs w:val="22"/>
        </w:rPr>
        <w:t xml:space="preserve">No statistically significant differences were observed between treatment groups in patient reported symptoms or </w:t>
      </w:r>
      <w:proofErr w:type="spellStart"/>
      <w:r>
        <w:rPr>
          <w:sz w:val="22"/>
          <w:szCs w:val="22"/>
          <w:lang w:val="en-US"/>
        </w:rPr>
        <w:t>HRQoL</w:t>
      </w:r>
      <w:proofErr w:type="spellEnd"/>
      <w:r>
        <w:rPr>
          <w:sz w:val="22"/>
          <w:szCs w:val="22"/>
          <w:lang w:val="en-US"/>
        </w:rPr>
        <w:t>.</w:t>
      </w:r>
    </w:p>
    <w:p w14:paraId="65F0A600" w14:textId="77777777" w:rsidR="001F493D" w:rsidRDefault="001F493D">
      <w:pPr>
        <w:pStyle w:val="BodyText"/>
        <w:spacing w:line="280" w:lineRule="atLeast"/>
        <w:rPr>
          <w:sz w:val="22"/>
          <w:szCs w:val="22"/>
          <w:lang w:val="en-US"/>
        </w:rPr>
      </w:pPr>
      <w:r>
        <w:rPr>
          <w:sz w:val="22"/>
          <w:szCs w:val="22"/>
          <w:lang w:val="en-US"/>
        </w:rPr>
        <w:lastRenderedPageBreak/>
        <w:t xml:space="preserve">A summary of efficacy findings for </w:t>
      </w:r>
      <w:r>
        <w:rPr>
          <w:color w:val="000000"/>
          <w:sz w:val="22"/>
          <w:szCs w:val="22"/>
          <w:lang w:val="en-US"/>
        </w:rPr>
        <w:t xml:space="preserve">patients with </w:t>
      </w:r>
      <w:r>
        <w:rPr>
          <w:i/>
          <w:color w:val="000000"/>
          <w:sz w:val="22"/>
          <w:szCs w:val="22"/>
          <w:lang w:val="en-US"/>
        </w:rPr>
        <w:t>BRCA</w:t>
      </w:r>
      <w:r>
        <w:rPr>
          <w:color w:val="000000"/>
          <w:sz w:val="22"/>
          <w:szCs w:val="22"/>
          <w:lang w:val="en-US"/>
        </w:rPr>
        <w:t xml:space="preserve">-mutated and </w:t>
      </w:r>
      <w:proofErr w:type="spellStart"/>
      <w:r>
        <w:rPr>
          <w:i/>
          <w:iCs/>
          <w:color w:val="000000"/>
          <w:sz w:val="22"/>
          <w:szCs w:val="22"/>
          <w:lang w:val="en-US"/>
        </w:rPr>
        <w:t>g</w:t>
      </w:r>
      <w:r>
        <w:rPr>
          <w:i/>
          <w:color w:val="000000"/>
          <w:sz w:val="22"/>
          <w:szCs w:val="22"/>
          <w:lang w:val="en-US"/>
        </w:rPr>
        <w:t>BRCA</w:t>
      </w:r>
      <w:proofErr w:type="spellEnd"/>
      <w:r>
        <w:rPr>
          <w:color w:val="000000"/>
          <w:sz w:val="22"/>
          <w:szCs w:val="22"/>
          <w:lang w:val="en-US"/>
        </w:rPr>
        <w:t>-mutated PSR ovarian cancer in Study 19 is presented in</w:t>
      </w:r>
      <w:r>
        <w:rPr>
          <w:sz w:val="22"/>
          <w:szCs w:val="22"/>
          <w:lang w:val="en-US"/>
        </w:rPr>
        <w:t xml:space="preserve"> Table 1 and Figures 1 and 2.</w:t>
      </w:r>
    </w:p>
    <w:p w14:paraId="5C1D4D3A" w14:textId="77777777" w:rsidR="001F493D" w:rsidRDefault="001F493D">
      <w:pPr>
        <w:pStyle w:val="BodyText"/>
        <w:rPr>
          <w:lang w:val="en-US"/>
        </w:rPr>
      </w:pPr>
    </w:p>
    <w:p w14:paraId="6B28943E" w14:textId="77777777" w:rsidR="001F493D" w:rsidRDefault="001F493D">
      <w:pPr>
        <w:pStyle w:val="A-TableTitle"/>
        <w:rPr>
          <w:sz w:val="22"/>
          <w:szCs w:val="22"/>
        </w:rPr>
      </w:pPr>
      <w:r>
        <w:rPr>
          <w:sz w:val="22"/>
          <w:szCs w:val="22"/>
        </w:rPr>
        <w:t>Table 1</w:t>
      </w:r>
      <w:r>
        <w:rPr>
          <w:sz w:val="22"/>
          <w:szCs w:val="22"/>
        </w:rPr>
        <w:tab/>
      </w:r>
      <w:r>
        <w:rPr>
          <w:color w:val="000000"/>
          <w:sz w:val="22"/>
          <w:szCs w:val="22"/>
        </w:rPr>
        <w:t xml:space="preserve">Summary of key efficacy findings for patients with </w:t>
      </w:r>
      <w:r>
        <w:rPr>
          <w:i/>
          <w:iCs/>
          <w:color w:val="000000"/>
          <w:sz w:val="22"/>
          <w:szCs w:val="22"/>
        </w:rPr>
        <w:t>BRCA</w:t>
      </w:r>
      <w:r>
        <w:rPr>
          <w:color w:val="000000"/>
          <w:sz w:val="22"/>
          <w:szCs w:val="22"/>
        </w:rPr>
        <w:t xml:space="preserve">-mutated </w:t>
      </w:r>
      <w:r>
        <w:rPr>
          <w:sz w:val="22"/>
          <w:szCs w:val="22"/>
        </w:rPr>
        <w:t xml:space="preserve">and </w:t>
      </w:r>
      <w:proofErr w:type="spellStart"/>
      <w:r>
        <w:rPr>
          <w:i/>
          <w:iCs/>
          <w:sz w:val="22"/>
          <w:szCs w:val="22"/>
        </w:rPr>
        <w:t>gBRCA</w:t>
      </w:r>
      <w:proofErr w:type="spellEnd"/>
      <w:r>
        <w:rPr>
          <w:sz w:val="22"/>
          <w:szCs w:val="22"/>
        </w:rPr>
        <w:t>-mutated PSR ovarian cancer in Study 19</w:t>
      </w:r>
      <w:r>
        <w:rPr>
          <w:b w:val="0"/>
          <w:bCs/>
          <w:sz w:val="22"/>
          <w:szCs w:val="22"/>
        </w:rPr>
        <w:t xml:space="preserve"> </w:t>
      </w:r>
    </w:p>
    <w:tbl>
      <w:tblPr>
        <w:tblW w:w="9197" w:type="dxa"/>
        <w:tblCellMar>
          <w:left w:w="0" w:type="dxa"/>
          <w:right w:w="0" w:type="dxa"/>
        </w:tblCellMar>
        <w:tblLook w:val="04A0" w:firstRow="1" w:lastRow="0" w:firstColumn="1" w:lastColumn="0" w:noHBand="0" w:noVBand="1"/>
      </w:tblPr>
      <w:tblGrid>
        <w:gridCol w:w="2616"/>
        <w:gridCol w:w="1196"/>
        <w:gridCol w:w="90"/>
        <w:gridCol w:w="1884"/>
        <w:gridCol w:w="1349"/>
        <w:gridCol w:w="2062"/>
      </w:tblGrid>
      <w:tr w:rsidR="001F493D" w14:paraId="5812255C" w14:textId="77777777" w:rsidTr="0010067D">
        <w:trPr>
          <w:cantSplit/>
          <w:tblHeader/>
        </w:trPr>
        <w:tc>
          <w:tcPr>
            <w:tcW w:w="2616" w:type="dxa"/>
            <w:tcBorders>
              <w:top w:val="single" w:sz="12" w:space="0" w:color="auto"/>
              <w:left w:val="nil"/>
              <w:bottom w:val="nil"/>
              <w:right w:val="nil"/>
            </w:tcBorders>
            <w:tcMar>
              <w:top w:w="0" w:type="dxa"/>
              <w:left w:w="108" w:type="dxa"/>
              <w:bottom w:w="0" w:type="dxa"/>
              <w:right w:w="108" w:type="dxa"/>
            </w:tcMar>
          </w:tcPr>
          <w:p w14:paraId="0ECBF720" w14:textId="77777777" w:rsidR="001F493D" w:rsidRDefault="001F493D">
            <w:pPr>
              <w:pStyle w:val="A-TableHeader"/>
              <w:rPr>
                <w:rFonts w:cs="Arial"/>
                <w:sz w:val="18"/>
                <w:szCs w:val="18"/>
              </w:rPr>
            </w:pPr>
          </w:p>
        </w:tc>
        <w:tc>
          <w:tcPr>
            <w:tcW w:w="3170" w:type="dxa"/>
            <w:gridSpan w:val="3"/>
            <w:tcBorders>
              <w:top w:val="single" w:sz="12" w:space="0" w:color="auto"/>
              <w:left w:val="nil"/>
              <w:bottom w:val="nil"/>
              <w:right w:val="nil"/>
            </w:tcBorders>
            <w:tcMar>
              <w:top w:w="0" w:type="dxa"/>
              <w:left w:w="108" w:type="dxa"/>
              <w:bottom w:w="0" w:type="dxa"/>
              <w:right w:w="108" w:type="dxa"/>
            </w:tcMar>
            <w:hideMark/>
          </w:tcPr>
          <w:p w14:paraId="41D44FFB" w14:textId="77777777" w:rsidR="001F493D" w:rsidRDefault="001F493D">
            <w:pPr>
              <w:pStyle w:val="A-TableHeader"/>
              <w:rPr>
                <w:rFonts w:cs="Arial"/>
                <w:sz w:val="18"/>
                <w:szCs w:val="18"/>
              </w:rPr>
            </w:pPr>
            <w:r>
              <w:rPr>
                <w:rFonts w:cs="Arial"/>
                <w:i/>
                <w:iCs/>
                <w:sz w:val="18"/>
                <w:szCs w:val="18"/>
              </w:rPr>
              <w:t>BRCA</w:t>
            </w:r>
            <w:r>
              <w:rPr>
                <w:rFonts w:cs="Arial"/>
                <w:sz w:val="18"/>
                <w:szCs w:val="18"/>
              </w:rPr>
              <w:t>-mutated</w:t>
            </w:r>
          </w:p>
        </w:tc>
        <w:tc>
          <w:tcPr>
            <w:tcW w:w="3411" w:type="dxa"/>
            <w:gridSpan w:val="2"/>
            <w:tcBorders>
              <w:top w:val="single" w:sz="12" w:space="0" w:color="auto"/>
              <w:left w:val="nil"/>
              <w:bottom w:val="nil"/>
              <w:right w:val="nil"/>
            </w:tcBorders>
            <w:tcMar>
              <w:top w:w="0" w:type="dxa"/>
              <w:left w:w="108" w:type="dxa"/>
              <w:bottom w:w="0" w:type="dxa"/>
              <w:right w:w="108" w:type="dxa"/>
            </w:tcMar>
            <w:hideMark/>
          </w:tcPr>
          <w:p w14:paraId="090D235C" w14:textId="77777777" w:rsidR="001F493D" w:rsidRDefault="001F493D">
            <w:pPr>
              <w:pStyle w:val="A-TableHeader"/>
              <w:rPr>
                <w:rFonts w:cs="Arial"/>
                <w:sz w:val="18"/>
                <w:szCs w:val="18"/>
              </w:rPr>
            </w:pPr>
            <w:proofErr w:type="spellStart"/>
            <w:r>
              <w:rPr>
                <w:rFonts w:cs="Arial"/>
                <w:i/>
                <w:iCs/>
                <w:sz w:val="18"/>
                <w:szCs w:val="18"/>
              </w:rPr>
              <w:t>gBRCA</w:t>
            </w:r>
            <w:proofErr w:type="spellEnd"/>
            <w:r>
              <w:rPr>
                <w:rFonts w:cs="Arial"/>
                <w:sz w:val="18"/>
                <w:szCs w:val="18"/>
              </w:rPr>
              <w:t>-mutated</w:t>
            </w:r>
          </w:p>
        </w:tc>
      </w:tr>
      <w:tr w:rsidR="001F493D" w14:paraId="18915E32" w14:textId="77777777" w:rsidTr="0010067D">
        <w:trPr>
          <w:cantSplit/>
          <w:tblHeader/>
        </w:trPr>
        <w:tc>
          <w:tcPr>
            <w:tcW w:w="2616" w:type="dxa"/>
            <w:tcBorders>
              <w:top w:val="nil"/>
              <w:left w:val="nil"/>
              <w:bottom w:val="single" w:sz="8" w:space="0" w:color="auto"/>
              <w:right w:val="nil"/>
            </w:tcBorders>
            <w:tcMar>
              <w:top w:w="0" w:type="dxa"/>
              <w:left w:w="108" w:type="dxa"/>
              <w:bottom w:w="0" w:type="dxa"/>
              <w:right w:w="108" w:type="dxa"/>
            </w:tcMar>
          </w:tcPr>
          <w:p w14:paraId="4B302951" w14:textId="77777777" w:rsidR="001F493D" w:rsidRDefault="001F493D">
            <w:pPr>
              <w:pStyle w:val="A-TableHeader"/>
              <w:rPr>
                <w:rFonts w:cs="Arial"/>
                <w:sz w:val="18"/>
                <w:szCs w:val="18"/>
              </w:rPr>
            </w:pPr>
          </w:p>
        </w:tc>
        <w:tc>
          <w:tcPr>
            <w:tcW w:w="1286" w:type="dxa"/>
            <w:gridSpan w:val="2"/>
            <w:tcBorders>
              <w:top w:val="nil"/>
              <w:left w:val="nil"/>
              <w:bottom w:val="single" w:sz="8" w:space="0" w:color="auto"/>
              <w:right w:val="nil"/>
            </w:tcBorders>
            <w:tcMar>
              <w:top w:w="0" w:type="dxa"/>
              <w:left w:w="108" w:type="dxa"/>
              <w:bottom w:w="0" w:type="dxa"/>
              <w:right w:w="108" w:type="dxa"/>
            </w:tcMar>
            <w:hideMark/>
          </w:tcPr>
          <w:p w14:paraId="2635982A" w14:textId="77777777" w:rsidR="009944FD" w:rsidRPr="009944FD" w:rsidRDefault="001F493D" w:rsidP="009944FD">
            <w:pPr>
              <w:pStyle w:val="A-TableHeader"/>
              <w:rPr>
                <w:rFonts w:cs="Arial"/>
                <w:sz w:val="18"/>
                <w:szCs w:val="18"/>
              </w:rPr>
            </w:pPr>
            <w:r w:rsidRPr="009944FD">
              <w:rPr>
                <w:rFonts w:cs="Arial"/>
                <w:sz w:val="18"/>
                <w:szCs w:val="18"/>
              </w:rPr>
              <w:t>LYNPARZA 400 mg bid</w:t>
            </w:r>
          </w:p>
          <w:p w14:paraId="11ADDBAD" w14:textId="403912B0" w:rsidR="009944FD" w:rsidRPr="009944FD" w:rsidRDefault="009944FD" w:rsidP="009944FD">
            <w:pPr>
              <w:pStyle w:val="A-TableText"/>
              <w:rPr>
                <w:sz w:val="18"/>
                <w:szCs w:val="18"/>
              </w:rPr>
            </w:pPr>
            <w:r w:rsidRPr="009944FD">
              <w:rPr>
                <w:sz w:val="18"/>
                <w:szCs w:val="18"/>
              </w:rPr>
              <w:t>n = 74</w:t>
            </w:r>
          </w:p>
        </w:tc>
        <w:tc>
          <w:tcPr>
            <w:tcW w:w="1884" w:type="dxa"/>
            <w:tcBorders>
              <w:top w:val="nil"/>
              <w:left w:val="nil"/>
              <w:bottom w:val="single" w:sz="8" w:space="0" w:color="auto"/>
              <w:right w:val="nil"/>
            </w:tcBorders>
            <w:tcMar>
              <w:top w:w="0" w:type="dxa"/>
              <w:left w:w="108" w:type="dxa"/>
              <w:bottom w:w="0" w:type="dxa"/>
              <w:right w:w="108" w:type="dxa"/>
            </w:tcMar>
            <w:hideMark/>
          </w:tcPr>
          <w:p w14:paraId="30CC32C7" w14:textId="77777777" w:rsidR="001F493D" w:rsidRDefault="001F493D">
            <w:pPr>
              <w:pStyle w:val="A-TableHeader"/>
              <w:rPr>
                <w:rFonts w:cs="Arial"/>
                <w:sz w:val="18"/>
                <w:szCs w:val="18"/>
              </w:rPr>
            </w:pPr>
            <w:r>
              <w:rPr>
                <w:rFonts w:cs="Arial"/>
                <w:sz w:val="18"/>
                <w:szCs w:val="18"/>
              </w:rPr>
              <w:t>Placebo</w:t>
            </w:r>
          </w:p>
          <w:p w14:paraId="24C4BD7C" w14:textId="77777777" w:rsidR="009944FD" w:rsidRPr="009944FD" w:rsidRDefault="009944FD" w:rsidP="00A745C9">
            <w:pPr>
              <w:pStyle w:val="A-TableText"/>
              <w:spacing w:before="0" w:after="0"/>
              <w:rPr>
                <w:sz w:val="18"/>
                <w:szCs w:val="18"/>
              </w:rPr>
            </w:pPr>
          </w:p>
          <w:p w14:paraId="55D127C1" w14:textId="39694D06" w:rsidR="009944FD" w:rsidRPr="009944FD" w:rsidRDefault="009944FD" w:rsidP="00A745C9">
            <w:pPr>
              <w:pStyle w:val="A-TableText"/>
              <w:spacing w:before="0" w:after="0"/>
              <w:rPr>
                <w:sz w:val="18"/>
                <w:szCs w:val="18"/>
              </w:rPr>
            </w:pPr>
            <w:r>
              <w:rPr>
                <w:sz w:val="18"/>
                <w:szCs w:val="18"/>
              </w:rPr>
              <w:t>n = 62</w:t>
            </w:r>
          </w:p>
        </w:tc>
        <w:tc>
          <w:tcPr>
            <w:tcW w:w="1349" w:type="dxa"/>
            <w:tcBorders>
              <w:top w:val="nil"/>
              <w:left w:val="nil"/>
              <w:bottom w:val="single" w:sz="8" w:space="0" w:color="auto"/>
              <w:right w:val="nil"/>
            </w:tcBorders>
            <w:tcMar>
              <w:top w:w="0" w:type="dxa"/>
              <w:left w:w="108" w:type="dxa"/>
              <w:bottom w:w="0" w:type="dxa"/>
              <w:right w:w="108" w:type="dxa"/>
            </w:tcMar>
            <w:hideMark/>
          </w:tcPr>
          <w:p w14:paraId="7B3210DD" w14:textId="77777777" w:rsidR="001F493D" w:rsidRDefault="001F493D">
            <w:pPr>
              <w:pStyle w:val="A-TableHeader"/>
              <w:rPr>
                <w:rFonts w:cs="Arial"/>
                <w:sz w:val="18"/>
                <w:szCs w:val="18"/>
              </w:rPr>
            </w:pPr>
            <w:r>
              <w:rPr>
                <w:rFonts w:cs="Arial"/>
                <w:sz w:val="18"/>
                <w:szCs w:val="18"/>
              </w:rPr>
              <w:t>LYNPARZA 400 mg bid</w:t>
            </w:r>
          </w:p>
          <w:p w14:paraId="13283516" w14:textId="6365E4E1" w:rsidR="00A745C9" w:rsidRPr="00A745C9" w:rsidRDefault="00A745C9" w:rsidP="00A745C9">
            <w:pPr>
              <w:pStyle w:val="A-TableText"/>
              <w:rPr>
                <w:sz w:val="18"/>
                <w:szCs w:val="18"/>
              </w:rPr>
            </w:pPr>
            <w:r w:rsidRPr="00A745C9">
              <w:rPr>
                <w:sz w:val="18"/>
                <w:szCs w:val="18"/>
              </w:rPr>
              <w:t>n = 53</w:t>
            </w:r>
          </w:p>
        </w:tc>
        <w:tc>
          <w:tcPr>
            <w:tcW w:w="2062" w:type="dxa"/>
            <w:tcBorders>
              <w:top w:val="nil"/>
              <w:left w:val="nil"/>
              <w:bottom w:val="single" w:sz="8" w:space="0" w:color="auto"/>
              <w:right w:val="nil"/>
            </w:tcBorders>
            <w:tcMar>
              <w:top w:w="0" w:type="dxa"/>
              <w:left w:w="108" w:type="dxa"/>
              <w:bottom w:w="0" w:type="dxa"/>
              <w:right w:w="108" w:type="dxa"/>
            </w:tcMar>
            <w:hideMark/>
          </w:tcPr>
          <w:p w14:paraId="7D0C5202" w14:textId="77777777" w:rsidR="001F493D" w:rsidRDefault="001F493D">
            <w:pPr>
              <w:pStyle w:val="A-TableHeader"/>
              <w:rPr>
                <w:rFonts w:cs="Arial"/>
                <w:sz w:val="18"/>
                <w:szCs w:val="18"/>
              </w:rPr>
            </w:pPr>
            <w:r>
              <w:rPr>
                <w:rFonts w:cs="Arial"/>
                <w:sz w:val="18"/>
                <w:szCs w:val="18"/>
              </w:rPr>
              <w:t>Placebo</w:t>
            </w:r>
          </w:p>
          <w:p w14:paraId="5CB2FF40" w14:textId="77777777" w:rsidR="00A745C9" w:rsidRPr="00A745C9" w:rsidRDefault="00A745C9" w:rsidP="0010067D">
            <w:pPr>
              <w:pStyle w:val="A-TableText"/>
              <w:spacing w:before="0" w:after="0" w:line="240" w:lineRule="auto"/>
              <w:rPr>
                <w:sz w:val="18"/>
                <w:szCs w:val="18"/>
              </w:rPr>
            </w:pPr>
          </w:p>
          <w:p w14:paraId="08895BBF" w14:textId="16AA015A" w:rsidR="00A745C9" w:rsidRPr="00A745C9" w:rsidRDefault="00A745C9" w:rsidP="00A745C9">
            <w:pPr>
              <w:pStyle w:val="A-TableText"/>
            </w:pPr>
            <w:r w:rsidRPr="00A745C9">
              <w:rPr>
                <w:sz w:val="18"/>
                <w:szCs w:val="18"/>
              </w:rPr>
              <w:t>n = 43</w:t>
            </w:r>
          </w:p>
        </w:tc>
      </w:tr>
      <w:tr w:rsidR="001F493D" w14:paraId="2EA347C1" w14:textId="77777777" w:rsidTr="0010067D">
        <w:trPr>
          <w:cantSplit/>
        </w:trPr>
        <w:tc>
          <w:tcPr>
            <w:tcW w:w="9197" w:type="dxa"/>
            <w:gridSpan w:val="6"/>
            <w:tcBorders>
              <w:top w:val="nil"/>
              <w:left w:val="nil"/>
              <w:bottom w:val="single" w:sz="8" w:space="0" w:color="auto"/>
              <w:right w:val="nil"/>
            </w:tcBorders>
            <w:shd w:val="clear" w:color="auto" w:fill="E0E0E0"/>
            <w:tcMar>
              <w:top w:w="0" w:type="dxa"/>
              <w:left w:w="108" w:type="dxa"/>
              <w:bottom w:w="0" w:type="dxa"/>
              <w:right w:w="108" w:type="dxa"/>
            </w:tcMar>
            <w:hideMark/>
          </w:tcPr>
          <w:p w14:paraId="1BD7534C" w14:textId="77777777" w:rsidR="001F493D" w:rsidRDefault="001F493D">
            <w:pPr>
              <w:pStyle w:val="A-TableText"/>
              <w:rPr>
                <w:rFonts w:cs="Arial"/>
                <w:b/>
                <w:bCs/>
                <w:sz w:val="18"/>
                <w:szCs w:val="18"/>
              </w:rPr>
            </w:pPr>
            <w:r>
              <w:rPr>
                <w:rFonts w:cs="Arial"/>
                <w:b/>
                <w:bCs/>
                <w:sz w:val="18"/>
                <w:szCs w:val="18"/>
              </w:rPr>
              <w:t>PFS</w:t>
            </w:r>
          </w:p>
        </w:tc>
      </w:tr>
      <w:tr w:rsidR="001F493D" w14:paraId="2B18CC52" w14:textId="77777777" w:rsidTr="0010067D">
        <w:trPr>
          <w:cantSplit/>
        </w:trPr>
        <w:tc>
          <w:tcPr>
            <w:tcW w:w="2616" w:type="dxa"/>
            <w:tcMar>
              <w:top w:w="0" w:type="dxa"/>
              <w:left w:w="108" w:type="dxa"/>
              <w:bottom w:w="0" w:type="dxa"/>
              <w:right w:w="108" w:type="dxa"/>
            </w:tcMar>
            <w:hideMark/>
          </w:tcPr>
          <w:p w14:paraId="490472FB" w14:textId="77777777" w:rsidR="001F493D" w:rsidRDefault="001F493D">
            <w:pPr>
              <w:pStyle w:val="A-TableText"/>
              <w:rPr>
                <w:rFonts w:cs="Arial"/>
                <w:sz w:val="18"/>
                <w:szCs w:val="18"/>
              </w:rPr>
            </w:pPr>
            <w:r>
              <w:rPr>
                <w:rFonts w:cs="Arial"/>
                <w:sz w:val="18"/>
                <w:szCs w:val="18"/>
              </w:rPr>
              <w:t>Number of events: Total number of patients (%)</w:t>
            </w:r>
          </w:p>
        </w:tc>
        <w:tc>
          <w:tcPr>
            <w:tcW w:w="1286" w:type="dxa"/>
            <w:gridSpan w:val="2"/>
            <w:tcMar>
              <w:top w:w="0" w:type="dxa"/>
              <w:left w:w="108" w:type="dxa"/>
              <w:bottom w:w="0" w:type="dxa"/>
              <w:right w:w="108" w:type="dxa"/>
            </w:tcMar>
            <w:hideMark/>
          </w:tcPr>
          <w:p w14:paraId="4ABBE60B" w14:textId="77777777" w:rsidR="001F493D" w:rsidRDefault="001F493D">
            <w:pPr>
              <w:pStyle w:val="A-TableText"/>
              <w:rPr>
                <w:rFonts w:cs="Arial"/>
                <w:sz w:val="18"/>
                <w:szCs w:val="18"/>
              </w:rPr>
            </w:pPr>
            <w:r>
              <w:rPr>
                <w:rFonts w:cs="Arial"/>
                <w:sz w:val="18"/>
                <w:szCs w:val="18"/>
              </w:rPr>
              <w:t>26:74 (35%)</w:t>
            </w:r>
          </w:p>
        </w:tc>
        <w:tc>
          <w:tcPr>
            <w:tcW w:w="1884" w:type="dxa"/>
            <w:tcMar>
              <w:top w:w="0" w:type="dxa"/>
              <w:left w:w="108" w:type="dxa"/>
              <w:bottom w:w="0" w:type="dxa"/>
              <w:right w:w="108" w:type="dxa"/>
            </w:tcMar>
            <w:hideMark/>
          </w:tcPr>
          <w:p w14:paraId="25750C30" w14:textId="77777777" w:rsidR="001F493D" w:rsidRDefault="001F493D">
            <w:pPr>
              <w:pStyle w:val="A-TableText"/>
              <w:rPr>
                <w:rFonts w:cs="Arial"/>
                <w:sz w:val="18"/>
                <w:szCs w:val="18"/>
              </w:rPr>
            </w:pPr>
            <w:r>
              <w:rPr>
                <w:rFonts w:cs="Arial"/>
                <w:sz w:val="18"/>
                <w:szCs w:val="18"/>
              </w:rPr>
              <w:t xml:space="preserve">46:62 (74%) </w:t>
            </w:r>
          </w:p>
        </w:tc>
        <w:tc>
          <w:tcPr>
            <w:tcW w:w="1349" w:type="dxa"/>
            <w:tcMar>
              <w:top w:w="0" w:type="dxa"/>
              <w:left w:w="108" w:type="dxa"/>
              <w:bottom w:w="0" w:type="dxa"/>
              <w:right w:w="108" w:type="dxa"/>
            </w:tcMar>
            <w:hideMark/>
          </w:tcPr>
          <w:p w14:paraId="16615F43" w14:textId="77777777" w:rsidR="001F493D" w:rsidRDefault="001F493D">
            <w:pPr>
              <w:pStyle w:val="A-TableText"/>
              <w:rPr>
                <w:rFonts w:cs="Arial"/>
                <w:sz w:val="18"/>
                <w:szCs w:val="18"/>
              </w:rPr>
            </w:pPr>
            <w:r>
              <w:rPr>
                <w:rFonts w:cs="Arial"/>
                <w:sz w:val="18"/>
                <w:szCs w:val="18"/>
              </w:rPr>
              <w:t>17:53 (32%)</w:t>
            </w:r>
          </w:p>
        </w:tc>
        <w:tc>
          <w:tcPr>
            <w:tcW w:w="2062" w:type="dxa"/>
            <w:tcMar>
              <w:top w:w="0" w:type="dxa"/>
              <w:left w:w="108" w:type="dxa"/>
              <w:bottom w:w="0" w:type="dxa"/>
              <w:right w:w="108" w:type="dxa"/>
            </w:tcMar>
            <w:hideMark/>
          </w:tcPr>
          <w:p w14:paraId="30904E4E" w14:textId="77777777" w:rsidR="001F493D" w:rsidRDefault="001F493D">
            <w:pPr>
              <w:pStyle w:val="A-TableText"/>
              <w:rPr>
                <w:rFonts w:cs="Arial"/>
                <w:sz w:val="18"/>
                <w:szCs w:val="18"/>
              </w:rPr>
            </w:pPr>
            <w:r>
              <w:rPr>
                <w:rFonts w:cs="Arial"/>
                <w:sz w:val="18"/>
                <w:szCs w:val="18"/>
              </w:rPr>
              <w:t>33:43 (77%)</w:t>
            </w:r>
          </w:p>
        </w:tc>
      </w:tr>
      <w:tr w:rsidR="001F493D" w14:paraId="024B93B7" w14:textId="77777777" w:rsidTr="0010067D">
        <w:trPr>
          <w:cantSplit/>
        </w:trPr>
        <w:tc>
          <w:tcPr>
            <w:tcW w:w="2616" w:type="dxa"/>
            <w:tcMar>
              <w:top w:w="0" w:type="dxa"/>
              <w:left w:w="108" w:type="dxa"/>
              <w:bottom w:w="0" w:type="dxa"/>
              <w:right w:w="108" w:type="dxa"/>
            </w:tcMar>
            <w:hideMark/>
          </w:tcPr>
          <w:p w14:paraId="7163324A" w14:textId="77777777" w:rsidR="001F493D" w:rsidRDefault="001F493D">
            <w:pPr>
              <w:pStyle w:val="A-TableText"/>
              <w:rPr>
                <w:rFonts w:cs="Arial"/>
                <w:sz w:val="18"/>
                <w:szCs w:val="18"/>
              </w:rPr>
            </w:pPr>
            <w:r>
              <w:rPr>
                <w:rFonts w:cs="Arial"/>
                <w:sz w:val="18"/>
                <w:szCs w:val="18"/>
              </w:rPr>
              <w:t xml:space="preserve">Median time (months) </w:t>
            </w:r>
          </w:p>
        </w:tc>
        <w:tc>
          <w:tcPr>
            <w:tcW w:w="1286" w:type="dxa"/>
            <w:gridSpan w:val="2"/>
            <w:tcMar>
              <w:top w:w="0" w:type="dxa"/>
              <w:left w:w="108" w:type="dxa"/>
              <w:bottom w:w="0" w:type="dxa"/>
              <w:right w:w="108" w:type="dxa"/>
            </w:tcMar>
            <w:hideMark/>
          </w:tcPr>
          <w:p w14:paraId="058D2C2F" w14:textId="77777777" w:rsidR="001F493D" w:rsidRDefault="001F493D">
            <w:pPr>
              <w:pStyle w:val="A-TableText"/>
              <w:rPr>
                <w:rFonts w:cs="Arial"/>
                <w:sz w:val="18"/>
                <w:szCs w:val="18"/>
              </w:rPr>
            </w:pPr>
            <w:r>
              <w:rPr>
                <w:rFonts w:cs="Arial"/>
                <w:sz w:val="18"/>
                <w:szCs w:val="18"/>
              </w:rPr>
              <w:t xml:space="preserve">11.2 </w:t>
            </w:r>
          </w:p>
        </w:tc>
        <w:tc>
          <w:tcPr>
            <w:tcW w:w="1884" w:type="dxa"/>
            <w:tcMar>
              <w:top w:w="0" w:type="dxa"/>
              <w:left w:w="108" w:type="dxa"/>
              <w:bottom w:w="0" w:type="dxa"/>
              <w:right w:w="108" w:type="dxa"/>
            </w:tcMar>
            <w:hideMark/>
          </w:tcPr>
          <w:p w14:paraId="13E4BEC0" w14:textId="77777777" w:rsidR="001F493D" w:rsidRDefault="001F493D">
            <w:pPr>
              <w:pStyle w:val="A-TableText"/>
              <w:rPr>
                <w:rFonts w:cs="Arial"/>
                <w:sz w:val="18"/>
                <w:szCs w:val="18"/>
              </w:rPr>
            </w:pPr>
            <w:r>
              <w:rPr>
                <w:rFonts w:cs="Arial"/>
                <w:sz w:val="18"/>
                <w:szCs w:val="18"/>
              </w:rPr>
              <w:t xml:space="preserve">4.3 </w:t>
            </w:r>
          </w:p>
        </w:tc>
        <w:tc>
          <w:tcPr>
            <w:tcW w:w="1349" w:type="dxa"/>
            <w:tcMar>
              <w:top w:w="0" w:type="dxa"/>
              <w:left w:w="108" w:type="dxa"/>
              <w:bottom w:w="0" w:type="dxa"/>
              <w:right w:w="108" w:type="dxa"/>
            </w:tcMar>
            <w:hideMark/>
          </w:tcPr>
          <w:p w14:paraId="49767DA7" w14:textId="77777777" w:rsidR="001F493D" w:rsidRDefault="001F493D">
            <w:pPr>
              <w:pStyle w:val="A-TableText"/>
              <w:rPr>
                <w:rFonts w:cs="Arial"/>
                <w:sz w:val="18"/>
                <w:szCs w:val="18"/>
              </w:rPr>
            </w:pPr>
            <w:r>
              <w:rPr>
                <w:rFonts w:cs="Arial"/>
                <w:sz w:val="18"/>
                <w:szCs w:val="18"/>
              </w:rPr>
              <w:t xml:space="preserve">11.2 </w:t>
            </w:r>
          </w:p>
        </w:tc>
        <w:tc>
          <w:tcPr>
            <w:tcW w:w="2062" w:type="dxa"/>
            <w:tcMar>
              <w:top w:w="0" w:type="dxa"/>
              <w:left w:w="108" w:type="dxa"/>
              <w:bottom w:w="0" w:type="dxa"/>
              <w:right w:w="108" w:type="dxa"/>
            </w:tcMar>
            <w:hideMark/>
          </w:tcPr>
          <w:p w14:paraId="61BF4875" w14:textId="77777777" w:rsidR="001F493D" w:rsidRDefault="001F493D">
            <w:pPr>
              <w:pStyle w:val="A-TableText"/>
              <w:rPr>
                <w:rFonts w:cs="Arial"/>
                <w:sz w:val="18"/>
                <w:szCs w:val="18"/>
              </w:rPr>
            </w:pPr>
            <w:r>
              <w:rPr>
                <w:rFonts w:cs="Arial"/>
                <w:sz w:val="18"/>
                <w:szCs w:val="18"/>
              </w:rPr>
              <w:t xml:space="preserve">4.1 </w:t>
            </w:r>
          </w:p>
        </w:tc>
      </w:tr>
      <w:tr w:rsidR="001F493D" w14:paraId="5BA549F6" w14:textId="77777777" w:rsidTr="0010067D">
        <w:trPr>
          <w:cantSplit/>
        </w:trPr>
        <w:tc>
          <w:tcPr>
            <w:tcW w:w="2616" w:type="dxa"/>
            <w:tcMar>
              <w:top w:w="0" w:type="dxa"/>
              <w:left w:w="108" w:type="dxa"/>
              <w:bottom w:w="0" w:type="dxa"/>
              <w:right w:w="108" w:type="dxa"/>
            </w:tcMar>
            <w:hideMark/>
          </w:tcPr>
          <w:p w14:paraId="286E737A" w14:textId="77777777" w:rsidR="001F493D" w:rsidRDefault="001F493D">
            <w:pPr>
              <w:pStyle w:val="A-TableText"/>
              <w:rPr>
                <w:rFonts w:cs="Arial"/>
                <w:sz w:val="18"/>
                <w:szCs w:val="18"/>
              </w:rPr>
            </w:pPr>
            <w:r>
              <w:rPr>
                <w:rFonts w:cs="Arial"/>
                <w:sz w:val="18"/>
                <w:szCs w:val="18"/>
              </w:rPr>
              <w:t xml:space="preserve">HR (95% CI) </w:t>
            </w:r>
            <w:r>
              <w:rPr>
                <w:rFonts w:cs="Arial"/>
                <w:sz w:val="18"/>
                <w:szCs w:val="18"/>
                <w:vertAlign w:val="superscript"/>
              </w:rPr>
              <w:t>a</w:t>
            </w:r>
          </w:p>
        </w:tc>
        <w:tc>
          <w:tcPr>
            <w:tcW w:w="3170" w:type="dxa"/>
            <w:gridSpan w:val="3"/>
            <w:tcMar>
              <w:top w:w="0" w:type="dxa"/>
              <w:left w:w="108" w:type="dxa"/>
              <w:bottom w:w="0" w:type="dxa"/>
              <w:right w:w="108" w:type="dxa"/>
            </w:tcMar>
            <w:hideMark/>
          </w:tcPr>
          <w:p w14:paraId="3050D84E" w14:textId="77777777" w:rsidR="001F493D" w:rsidRDefault="001F493D">
            <w:pPr>
              <w:pStyle w:val="A-TableText"/>
              <w:rPr>
                <w:rFonts w:cs="Arial"/>
                <w:sz w:val="18"/>
                <w:szCs w:val="18"/>
              </w:rPr>
            </w:pPr>
            <w:r>
              <w:rPr>
                <w:rFonts w:cs="Arial"/>
                <w:sz w:val="18"/>
                <w:szCs w:val="18"/>
              </w:rPr>
              <w:t>0.18 (95% CI 0.10–0.31)</w:t>
            </w:r>
          </w:p>
        </w:tc>
        <w:tc>
          <w:tcPr>
            <w:tcW w:w="3411" w:type="dxa"/>
            <w:gridSpan w:val="2"/>
            <w:tcMar>
              <w:top w:w="0" w:type="dxa"/>
              <w:left w:w="108" w:type="dxa"/>
              <w:bottom w:w="0" w:type="dxa"/>
              <w:right w:w="108" w:type="dxa"/>
            </w:tcMar>
            <w:hideMark/>
          </w:tcPr>
          <w:p w14:paraId="2886EFAB" w14:textId="77777777" w:rsidR="001F493D" w:rsidRDefault="001F493D">
            <w:pPr>
              <w:pStyle w:val="A-TableText"/>
              <w:rPr>
                <w:rFonts w:cs="Arial"/>
                <w:sz w:val="18"/>
                <w:szCs w:val="18"/>
              </w:rPr>
            </w:pPr>
            <w:r>
              <w:rPr>
                <w:rFonts w:cs="Arial"/>
                <w:sz w:val="18"/>
                <w:szCs w:val="18"/>
              </w:rPr>
              <w:t>0.17 (95% CI 0.09-0.31)</w:t>
            </w:r>
          </w:p>
        </w:tc>
      </w:tr>
      <w:tr w:rsidR="001F493D" w14:paraId="14E056A6" w14:textId="77777777" w:rsidTr="0010067D">
        <w:trPr>
          <w:cantSplit/>
        </w:trPr>
        <w:tc>
          <w:tcPr>
            <w:tcW w:w="2616" w:type="dxa"/>
            <w:tcMar>
              <w:top w:w="0" w:type="dxa"/>
              <w:left w:w="108" w:type="dxa"/>
              <w:bottom w:w="0" w:type="dxa"/>
              <w:right w:w="108" w:type="dxa"/>
            </w:tcMar>
            <w:hideMark/>
          </w:tcPr>
          <w:p w14:paraId="6F135036" w14:textId="77777777" w:rsidR="001F493D" w:rsidRDefault="001F493D">
            <w:pPr>
              <w:pStyle w:val="A-TableText"/>
              <w:rPr>
                <w:rFonts w:cs="Arial"/>
                <w:sz w:val="18"/>
                <w:szCs w:val="18"/>
              </w:rPr>
            </w:pPr>
            <w:r>
              <w:rPr>
                <w:rFonts w:cs="Arial"/>
                <w:sz w:val="18"/>
                <w:szCs w:val="18"/>
              </w:rPr>
              <w:t xml:space="preserve">P value (2-sided) </w:t>
            </w:r>
          </w:p>
        </w:tc>
        <w:tc>
          <w:tcPr>
            <w:tcW w:w="3170" w:type="dxa"/>
            <w:gridSpan w:val="3"/>
            <w:tcMar>
              <w:top w:w="0" w:type="dxa"/>
              <w:left w:w="108" w:type="dxa"/>
              <w:bottom w:w="0" w:type="dxa"/>
              <w:right w:w="108" w:type="dxa"/>
            </w:tcMar>
            <w:hideMark/>
          </w:tcPr>
          <w:p w14:paraId="52F90C65" w14:textId="77777777" w:rsidR="001F493D" w:rsidRDefault="001F493D">
            <w:pPr>
              <w:pStyle w:val="A-TableText"/>
              <w:rPr>
                <w:rFonts w:cs="Arial"/>
                <w:sz w:val="18"/>
                <w:szCs w:val="18"/>
              </w:rPr>
            </w:pPr>
            <w:r>
              <w:rPr>
                <w:rFonts w:cs="Arial"/>
                <w:sz w:val="18"/>
                <w:szCs w:val="18"/>
              </w:rPr>
              <w:t>p&lt;0.00001</w:t>
            </w:r>
          </w:p>
        </w:tc>
        <w:tc>
          <w:tcPr>
            <w:tcW w:w="3411" w:type="dxa"/>
            <w:gridSpan w:val="2"/>
            <w:tcMar>
              <w:top w:w="0" w:type="dxa"/>
              <w:left w:w="108" w:type="dxa"/>
              <w:bottom w:w="0" w:type="dxa"/>
              <w:right w:w="108" w:type="dxa"/>
            </w:tcMar>
            <w:hideMark/>
          </w:tcPr>
          <w:p w14:paraId="375D645F" w14:textId="77777777" w:rsidR="001F493D" w:rsidRDefault="001F493D">
            <w:pPr>
              <w:pStyle w:val="A-TableText"/>
              <w:rPr>
                <w:rFonts w:cs="Arial"/>
                <w:sz w:val="18"/>
                <w:szCs w:val="18"/>
              </w:rPr>
            </w:pPr>
            <w:r>
              <w:rPr>
                <w:rFonts w:cs="Arial"/>
                <w:sz w:val="18"/>
                <w:szCs w:val="18"/>
              </w:rPr>
              <w:t>p&lt;0.00001</w:t>
            </w:r>
          </w:p>
        </w:tc>
      </w:tr>
      <w:tr w:rsidR="001F493D" w14:paraId="7C30AE03" w14:textId="77777777" w:rsidTr="0010067D">
        <w:trPr>
          <w:cantSplit/>
        </w:trPr>
        <w:tc>
          <w:tcPr>
            <w:tcW w:w="9197" w:type="dxa"/>
            <w:gridSpan w:val="6"/>
            <w:tcBorders>
              <w:top w:val="single" w:sz="8" w:space="0" w:color="auto"/>
              <w:left w:val="nil"/>
              <w:bottom w:val="single" w:sz="8" w:space="0" w:color="auto"/>
              <w:right w:val="nil"/>
            </w:tcBorders>
            <w:shd w:val="clear" w:color="auto" w:fill="E0E0E0"/>
            <w:tcMar>
              <w:top w:w="0" w:type="dxa"/>
              <w:left w:w="108" w:type="dxa"/>
              <w:bottom w:w="0" w:type="dxa"/>
              <w:right w:w="108" w:type="dxa"/>
            </w:tcMar>
            <w:hideMark/>
          </w:tcPr>
          <w:p w14:paraId="75348DCB" w14:textId="77777777" w:rsidR="001F493D" w:rsidRDefault="001F493D">
            <w:pPr>
              <w:pStyle w:val="A-TableText"/>
              <w:rPr>
                <w:rFonts w:cs="Arial"/>
                <w:b/>
                <w:bCs/>
                <w:sz w:val="18"/>
                <w:szCs w:val="18"/>
              </w:rPr>
            </w:pPr>
            <w:r>
              <w:rPr>
                <w:rFonts w:cs="Arial"/>
                <w:b/>
                <w:bCs/>
                <w:sz w:val="18"/>
                <w:szCs w:val="18"/>
              </w:rPr>
              <w:t>Interim OS (52% maturity)</w:t>
            </w:r>
          </w:p>
        </w:tc>
      </w:tr>
      <w:tr w:rsidR="001F493D" w14:paraId="5F938E3C" w14:textId="77777777" w:rsidTr="0010067D">
        <w:trPr>
          <w:cantSplit/>
        </w:trPr>
        <w:tc>
          <w:tcPr>
            <w:tcW w:w="2616" w:type="dxa"/>
            <w:tcMar>
              <w:top w:w="0" w:type="dxa"/>
              <w:left w:w="108" w:type="dxa"/>
              <w:bottom w:w="0" w:type="dxa"/>
              <w:right w:w="108" w:type="dxa"/>
            </w:tcMar>
            <w:hideMark/>
          </w:tcPr>
          <w:p w14:paraId="7290A04C" w14:textId="77777777" w:rsidR="001F493D" w:rsidRDefault="001F493D">
            <w:pPr>
              <w:pStyle w:val="A-TableText"/>
              <w:rPr>
                <w:rFonts w:cs="Arial"/>
                <w:sz w:val="18"/>
                <w:szCs w:val="18"/>
              </w:rPr>
            </w:pPr>
            <w:r>
              <w:rPr>
                <w:rFonts w:cs="Arial"/>
                <w:sz w:val="18"/>
                <w:szCs w:val="18"/>
              </w:rPr>
              <w:t>Number of events: Total number of patients (%)</w:t>
            </w:r>
          </w:p>
        </w:tc>
        <w:tc>
          <w:tcPr>
            <w:tcW w:w="1196" w:type="dxa"/>
            <w:tcMar>
              <w:top w:w="0" w:type="dxa"/>
              <w:left w:w="108" w:type="dxa"/>
              <w:bottom w:w="0" w:type="dxa"/>
              <w:right w:w="108" w:type="dxa"/>
            </w:tcMar>
            <w:hideMark/>
          </w:tcPr>
          <w:p w14:paraId="31628383" w14:textId="77777777" w:rsidR="001F493D" w:rsidRDefault="001F493D">
            <w:pPr>
              <w:pStyle w:val="A-TableText"/>
              <w:rPr>
                <w:rFonts w:cs="Arial"/>
                <w:sz w:val="18"/>
                <w:szCs w:val="18"/>
              </w:rPr>
            </w:pPr>
            <w:r>
              <w:rPr>
                <w:rFonts w:cs="Arial"/>
                <w:sz w:val="18"/>
                <w:szCs w:val="18"/>
              </w:rPr>
              <w:t xml:space="preserve">37:74 (50%) </w:t>
            </w:r>
          </w:p>
        </w:tc>
        <w:tc>
          <w:tcPr>
            <w:tcW w:w="1974" w:type="dxa"/>
            <w:gridSpan w:val="2"/>
            <w:tcMar>
              <w:top w:w="0" w:type="dxa"/>
              <w:left w:w="108" w:type="dxa"/>
              <w:bottom w:w="0" w:type="dxa"/>
              <w:right w:w="108" w:type="dxa"/>
            </w:tcMar>
            <w:hideMark/>
          </w:tcPr>
          <w:p w14:paraId="2B5C14D4" w14:textId="77777777" w:rsidR="001F493D" w:rsidRDefault="001F493D">
            <w:pPr>
              <w:pStyle w:val="A-TableText"/>
              <w:rPr>
                <w:rFonts w:cs="Arial"/>
                <w:sz w:val="18"/>
                <w:szCs w:val="18"/>
              </w:rPr>
            </w:pPr>
            <w:r>
              <w:rPr>
                <w:rFonts w:cs="Arial"/>
                <w:sz w:val="18"/>
                <w:szCs w:val="18"/>
              </w:rPr>
              <w:t xml:space="preserve">34:62 (55%) </w:t>
            </w:r>
            <w:r>
              <w:rPr>
                <w:rFonts w:cs="Arial"/>
                <w:b/>
                <w:bCs/>
                <w:sz w:val="18"/>
                <w:szCs w:val="18"/>
                <w:vertAlign w:val="superscript"/>
              </w:rPr>
              <w:t>b</w:t>
            </w:r>
          </w:p>
        </w:tc>
        <w:tc>
          <w:tcPr>
            <w:tcW w:w="1349" w:type="dxa"/>
            <w:tcMar>
              <w:top w:w="0" w:type="dxa"/>
              <w:left w:w="108" w:type="dxa"/>
              <w:bottom w:w="0" w:type="dxa"/>
              <w:right w:w="108" w:type="dxa"/>
            </w:tcMar>
            <w:hideMark/>
          </w:tcPr>
          <w:p w14:paraId="0697D380" w14:textId="77777777" w:rsidR="001F493D" w:rsidRDefault="001F493D">
            <w:pPr>
              <w:pStyle w:val="A-TableText"/>
              <w:rPr>
                <w:rFonts w:cs="Arial"/>
                <w:sz w:val="18"/>
                <w:szCs w:val="18"/>
              </w:rPr>
            </w:pPr>
            <w:r>
              <w:rPr>
                <w:rFonts w:cs="Arial"/>
                <w:sz w:val="18"/>
                <w:szCs w:val="18"/>
              </w:rPr>
              <w:t xml:space="preserve">27:53 (51%) </w:t>
            </w:r>
          </w:p>
        </w:tc>
        <w:tc>
          <w:tcPr>
            <w:tcW w:w="2062" w:type="dxa"/>
            <w:tcMar>
              <w:top w:w="0" w:type="dxa"/>
              <w:left w:w="108" w:type="dxa"/>
              <w:bottom w:w="0" w:type="dxa"/>
              <w:right w:w="108" w:type="dxa"/>
            </w:tcMar>
            <w:hideMark/>
          </w:tcPr>
          <w:p w14:paraId="099977BF" w14:textId="77777777" w:rsidR="001F493D" w:rsidRDefault="001F493D">
            <w:pPr>
              <w:pStyle w:val="A-TableText"/>
              <w:rPr>
                <w:rFonts w:cs="Arial"/>
                <w:sz w:val="18"/>
                <w:szCs w:val="18"/>
              </w:rPr>
            </w:pPr>
            <w:r>
              <w:rPr>
                <w:rFonts w:cs="Arial"/>
                <w:sz w:val="18"/>
                <w:szCs w:val="18"/>
              </w:rPr>
              <w:t xml:space="preserve">22:43 (51%) </w:t>
            </w:r>
            <w:r>
              <w:rPr>
                <w:rFonts w:cs="Arial"/>
                <w:b/>
                <w:bCs/>
                <w:sz w:val="18"/>
                <w:szCs w:val="18"/>
                <w:vertAlign w:val="superscript"/>
              </w:rPr>
              <w:t>b</w:t>
            </w:r>
          </w:p>
        </w:tc>
      </w:tr>
      <w:tr w:rsidR="001F493D" w14:paraId="1BB8339A" w14:textId="77777777" w:rsidTr="0010067D">
        <w:trPr>
          <w:cantSplit/>
        </w:trPr>
        <w:tc>
          <w:tcPr>
            <w:tcW w:w="2616" w:type="dxa"/>
            <w:tcMar>
              <w:top w:w="0" w:type="dxa"/>
              <w:left w:w="108" w:type="dxa"/>
              <w:bottom w:w="0" w:type="dxa"/>
              <w:right w:w="108" w:type="dxa"/>
            </w:tcMar>
            <w:hideMark/>
          </w:tcPr>
          <w:p w14:paraId="3AC48850" w14:textId="77777777" w:rsidR="001F493D" w:rsidRDefault="001F493D">
            <w:pPr>
              <w:pStyle w:val="A-TableText"/>
              <w:rPr>
                <w:rFonts w:cs="Arial"/>
                <w:sz w:val="18"/>
                <w:szCs w:val="18"/>
              </w:rPr>
            </w:pPr>
            <w:r>
              <w:rPr>
                <w:rFonts w:cs="Arial"/>
                <w:sz w:val="18"/>
                <w:szCs w:val="18"/>
              </w:rPr>
              <w:t xml:space="preserve">Median time (months) </w:t>
            </w:r>
          </w:p>
        </w:tc>
        <w:tc>
          <w:tcPr>
            <w:tcW w:w="1196" w:type="dxa"/>
            <w:tcMar>
              <w:top w:w="0" w:type="dxa"/>
              <w:left w:w="108" w:type="dxa"/>
              <w:bottom w:w="0" w:type="dxa"/>
              <w:right w:w="108" w:type="dxa"/>
            </w:tcMar>
            <w:hideMark/>
          </w:tcPr>
          <w:p w14:paraId="20AE29D9" w14:textId="77777777" w:rsidR="001F493D" w:rsidRDefault="001F493D">
            <w:pPr>
              <w:pStyle w:val="A-TableText"/>
              <w:rPr>
                <w:rFonts w:cs="Arial"/>
                <w:sz w:val="18"/>
                <w:szCs w:val="18"/>
              </w:rPr>
            </w:pPr>
            <w:r>
              <w:rPr>
                <w:rFonts w:cs="Arial"/>
                <w:sz w:val="18"/>
                <w:szCs w:val="18"/>
              </w:rPr>
              <w:t xml:space="preserve">34.9 </w:t>
            </w:r>
          </w:p>
        </w:tc>
        <w:tc>
          <w:tcPr>
            <w:tcW w:w="1974" w:type="dxa"/>
            <w:gridSpan w:val="2"/>
            <w:tcMar>
              <w:top w:w="0" w:type="dxa"/>
              <w:left w:w="108" w:type="dxa"/>
              <w:bottom w:w="0" w:type="dxa"/>
              <w:right w:w="108" w:type="dxa"/>
            </w:tcMar>
            <w:hideMark/>
          </w:tcPr>
          <w:p w14:paraId="548839EE" w14:textId="77777777" w:rsidR="001F493D" w:rsidRDefault="001F493D">
            <w:pPr>
              <w:pStyle w:val="A-TableText"/>
              <w:rPr>
                <w:rFonts w:cs="Arial"/>
                <w:sz w:val="18"/>
                <w:szCs w:val="18"/>
              </w:rPr>
            </w:pPr>
            <w:r>
              <w:rPr>
                <w:rFonts w:cs="Arial"/>
                <w:sz w:val="18"/>
                <w:szCs w:val="18"/>
              </w:rPr>
              <w:t xml:space="preserve">31.9 </w:t>
            </w:r>
          </w:p>
        </w:tc>
        <w:tc>
          <w:tcPr>
            <w:tcW w:w="1349" w:type="dxa"/>
            <w:tcMar>
              <w:top w:w="0" w:type="dxa"/>
              <w:left w:w="108" w:type="dxa"/>
              <w:bottom w:w="0" w:type="dxa"/>
              <w:right w:w="108" w:type="dxa"/>
            </w:tcMar>
            <w:hideMark/>
          </w:tcPr>
          <w:p w14:paraId="09233FF9" w14:textId="77777777" w:rsidR="001F493D" w:rsidRDefault="001F493D">
            <w:pPr>
              <w:pStyle w:val="A-TableText"/>
              <w:rPr>
                <w:rFonts w:cs="Arial"/>
                <w:sz w:val="18"/>
                <w:szCs w:val="18"/>
              </w:rPr>
            </w:pPr>
            <w:r>
              <w:rPr>
                <w:rFonts w:cs="Arial"/>
                <w:sz w:val="18"/>
                <w:szCs w:val="18"/>
              </w:rPr>
              <w:t xml:space="preserve">32.9 </w:t>
            </w:r>
          </w:p>
        </w:tc>
        <w:tc>
          <w:tcPr>
            <w:tcW w:w="2062" w:type="dxa"/>
            <w:tcMar>
              <w:top w:w="0" w:type="dxa"/>
              <w:left w:w="108" w:type="dxa"/>
              <w:bottom w:w="0" w:type="dxa"/>
              <w:right w:w="108" w:type="dxa"/>
            </w:tcMar>
            <w:hideMark/>
          </w:tcPr>
          <w:p w14:paraId="2859E523" w14:textId="77777777" w:rsidR="001F493D" w:rsidRDefault="001F493D">
            <w:pPr>
              <w:pStyle w:val="A-TableText"/>
              <w:rPr>
                <w:rFonts w:cs="Arial"/>
                <w:sz w:val="18"/>
                <w:szCs w:val="18"/>
              </w:rPr>
            </w:pPr>
            <w:r>
              <w:rPr>
                <w:rFonts w:cs="Arial"/>
                <w:sz w:val="18"/>
                <w:szCs w:val="18"/>
              </w:rPr>
              <w:t xml:space="preserve">30.2 </w:t>
            </w:r>
          </w:p>
        </w:tc>
      </w:tr>
      <w:tr w:rsidR="001F493D" w14:paraId="1A09FE84" w14:textId="77777777" w:rsidTr="0010067D">
        <w:trPr>
          <w:cantSplit/>
        </w:trPr>
        <w:tc>
          <w:tcPr>
            <w:tcW w:w="2616" w:type="dxa"/>
            <w:tcMar>
              <w:top w:w="0" w:type="dxa"/>
              <w:left w:w="108" w:type="dxa"/>
              <w:bottom w:w="0" w:type="dxa"/>
              <w:right w:w="108" w:type="dxa"/>
            </w:tcMar>
            <w:hideMark/>
          </w:tcPr>
          <w:p w14:paraId="04A06427" w14:textId="77777777" w:rsidR="001F493D" w:rsidRDefault="001F493D">
            <w:pPr>
              <w:pStyle w:val="A-TableText"/>
              <w:rPr>
                <w:rFonts w:cs="Arial"/>
                <w:sz w:val="18"/>
                <w:szCs w:val="18"/>
              </w:rPr>
            </w:pPr>
            <w:r>
              <w:rPr>
                <w:rFonts w:cs="Arial"/>
                <w:sz w:val="18"/>
                <w:szCs w:val="18"/>
              </w:rPr>
              <w:t>HR (95% CI)</w:t>
            </w:r>
            <w:r>
              <w:rPr>
                <w:rFonts w:cs="Arial"/>
                <w:sz w:val="18"/>
                <w:szCs w:val="18"/>
                <w:vertAlign w:val="superscript"/>
              </w:rPr>
              <w:t xml:space="preserve"> a</w:t>
            </w:r>
          </w:p>
        </w:tc>
        <w:tc>
          <w:tcPr>
            <w:tcW w:w="3170" w:type="dxa"/>
            <w:gridSpan w:val="3"/>
            <w:tcMar>
              <w:top w:w="0" w:type="dxa"/>
              <w:left w:w="108" w:type="dxa"/>
              <w:bottom w:w="0" w:type="dxa"/>
              <w:right w:w="108" w:type="dxa"/>
            </w:tcMar>
            <w:hideMark/>
          </w:tcPr>
          <w:p w14:paraId="182EF168" w14:textId="77777777" w:rsidR="001F493D" w:rsidRDefault="001F493D">
            <w:pPr>
              <w:pStyle w:val="A-TableText"/>
              <w:rPr>
                <w:rFonts w:cs="Arial"/>
                <w:sz w:val="18"/>
                <w:szCs w:val="18"/>
              </w:rPr>
            </w:pPr>
            <w:r>
              <w:rPr>
                <w:rFonts w:cs="Arial"/>
                <w:sz w:val="18"/>
                <w:szCs w:val="18"/>
              </w:rPr>
              <w:t xml:space="preserve">0.73 (95% CI 0.45–1.17) </w:t>
            </w:r>
          </w:p>
        </w:tc>
        <w:tc>
          <w:tcPr>
            <w:tcW w:w="3411" w:type="dxa"/>
            <w:gridSpan w:val="2"/>
            <w:tcMar>
              <w:top w:w="0" w:type="dxa"/>
              <w:left w:w="108" w:type="dxa"/>
              <w:bottom w:w="0" w:type="dxa"/>
              <w:right w:w="108" w:type="dxa"/>
            </w:tcMar>
            <w:hideMark/>
          </w:tcPr>
          <w:p w14:paraId="5BEFCFF6" w14:textId="77777777" w:rsidR="001F493D" w:rsidRDefault="001F493D">
            <w:pPr>
              <w:pStyle w:val="A-TableText"/>
              <w:rPr>
                <w:rFonts w:cs="Arial"/>
                <w:sz w:val="18"/>
                <w:szCs w:val="18"/>
              </w:rPr>
            </w:pPr>
            <w:r>
              <w:rPr>
                <w:rFonts w:cs="Arial"/>
                <w:sz w:val="18"/>
                <w:szCs w:val="18"/>
              </w:rPr>
              <w:t xml:space="preserve">0.85 (95% CI 0.48-1.52) </w:t>
            </w:r>
          </w:p>
        </w:tc>
      </w:tr>
      <w:tr w:rsidR="001F493D" w14:paraId="3D0BD3F7" w14:textId="77777777" w:rsidTr="0010067D">
        <w:trPr>
          <w:cantSplit/>
        </w:trPr>
        <w:tc>
          <w:tcPr>
            <w:tcW w:w="2616" w:type="dxa"/>
            <w:tcBorders>
              <w:top w:val="nil"/>
              <w:left w:val="nil"/>
              <w:bottom w:val="single" w:sz="12" w:space="0" w:color="auto"/>
              <w:right w:val="nil"/>
            </w:tcBorders>
            <w:tcMar>
              <w:top w:w="0" w:type="dxa"/>
              <w:left w:w="108" w:type="dxa"/>
              <w:bottom w:w="0" w:type="dxa"/>
              <w:right w:w="108" w:type="dxa"/>
            </w:tcMar>
            <w:hideMark/>
          </w:tcPr>
          <w:p w14:paraId="0C75C1E2" w14:textId="77777777" w:rsidR="001F493D" w:rsidRDefault="001F493D">
            <w:pPr>
              <w:pStyle w:val="A-TableText"/>
              <w:rPr>
                <w:rFonts w:cs="Arial"/>
                <w:sz w:val="18"/>
                <w:szCs w:val="18"/>
              </w:rPr>
            </w:pPr>
            <w:r>
              <w:rPr>
                <w:rFonts w:cs="Arial"/>
                <w:sz w:val="18"/>
                <w:szCs w:val="18"/>
              </w:rPr>
              <w:t>P value (2-sided)</w:t>
            </w:r>
          </w:p>
        </w:tc>
        <w:tc>
          <w:tcPr>
            <w:tcW w:w="3170" w:type="dxa"/>
            <w:gridSpan w:val="3"/>
            <w:tcBorders>
              <w:top w:val="nil"/>
              <w:left w:val="nil"/>
              <w:bottom w:val="single" w:sz="12" w:space="0" w:color="auto"/>
              <w:right w:val="nil"/>
            </w:tcBorders>
            <w:tcMar>
              <w:top w:w="0" w:type="dxa"/>
              <w:left w:w="108" w:type="dxa"/>
              <w:bottom w:w="0" w:type="dxa"/>
              <w:right w:w="108" w:type="dxa"/>
            </w:tcMar>
            <w:hideMark/>
          </w:tcPr>
          <w:p w14:paraId="1C9BA9DC" w14:textId="77777777" w:rsidR="001F493D" w:rsidRDefault="001F493D">
            <w:pPr>
              <w:pStyle w:val="A-TableText"/>
              <w:rPr>
                <w:rFonts w:cs="Arial"/>
                <w:sz w:val="18"/>
                <w:szCs w:val="18"/>
              </w:rPr>
            </w:pPr>
            <w:r>
              <w:rPr>
                <w:rFonts w:cs="Arial"/>
                <w:sz w:val="18"/>
                <w:szCs w:val="18"/>
              </w:rPr>
              <w:t>p=0.19</w:t>
            </w:r>
          </w:p>
        </w:tc>
        <w:tc>
          <w:tcPr>
            <w:tcW w:w="3411" w:type="dxa"/>
            <w:gridSpan w:val="2"/>
            <w:tcBorders>
              <w:top w:val="nil"/>
              <w:left w:val="nil"/>
              <w:bottom w:val="single" w:sz="12" w:space="0" w:color="auto"/>
              <w:right w:val="nil"/>
            </w:tcBorders>
            <w:tcMar>
              <w:top w:w="0" w:type="dxa"/>
              <w:left w:w="108" w:type="dxa"/>
              <w:bottom w:w="0" w:type="dxa"/>
              <w:right w:w="108" w:type="dxa"/>
            </w:tcMar>
            <w:hideMark/>
          </w:tcPr>
          <w:p w14:paraId="1AD01D96" w14:textId="77777777" w:rsidR="001F493D" w:rsidRDefault="001F493D">
            <w:pPr>
              <w:pStyle w:val="A-TableText"/>
              <w:rPr>
                <w:rFonts w:cs="Arial"/>
                <w:sz w:val="18"/>
                <w:szCs w:val="18"/>
              </w:rPr>
            </w:pPr>
            <w:r>
              <w:rPr>
                <w:rFonts w:cs="Arial"/>
                <w:sz w:val="18"/>
                <w:szCs w:val="18"/>
              </w:rPr>
              <w:t xml:space="preserve">p=0.58 </w:t>
            </w:r>
          </w:p>
        </w:tc>
      </w:tr>
    </w:tbl>
    <w:p w14:paraId="09CF87B8" w14:textId="77777777" w:rsidR="001F493D" w:rsidRDefault="001F493D">
      <w:pPr>
        <w:pStyle w:val="A-TableFootnoteText"/>
        <w:spacing w:after="120"/>
        <w:rPr>
          <w:i/>
          <w:iCs/>
          <w:szCs w:val="18"/>
          <w:lang w:val="en-US"/>
        </w:rPr>
      </w:pPr>
      <w:proofErr w:type="gramStart"/>
      <w:r>
        <w:rPr>
          <w:szCs w:val="18"/>
          <w:vertAlign w:val="superscript"/>
        </w:rPr>
        <w:t>a</w:t>
      </w:r>
      <w:proofErr w:type="gramEnd"/>
      <w:r>
        <w:rPr>
          <w:szCs w:val="18"/>
        </w:rPr>
        <w:tab/>
        <w:t xml:space="preserve">HR= Hazard Ratio. A value &lt;1 favours LYNPARZA. The analysis was performed using a Cox proportional hazards model with factors for treatment, time to disease progression on prior platinum therapy, objective response to prior platinum therapy and Jewish decent. </w:t>
      </w:r>
    </w:p>
    <w:p w14:paraId="79966147" w14:textId="77777777" w:rsidR="001F493D" w:rsidRDefault="001F493D">
      <w:pPr>
        <w:pStyle w:val="A-TableFootnoteText"/>
        <w:keepNext/>
        <w:spacing w:after="120"/>
        <w:ind w:left="450" w:hanging="450"/>
        <w:rPr>
          <w:szCs w:val="18"/>
        </w:rPr>
      </w:pPr>
      <w:proofErr w:type="gramStart"/>
      <w:r>
        <w:rPr>
          <w:szCs w:val="18"/>
          <w:vertAlign w:val="superscript"/>
        </w:rPr>
        <w:t>b</w:t>
      </w:r>
      <w:proofErr w:type="gramEnd"/>
      <w:r>
        <w:rPr>
          <w:szCs w:val="18"/>
        </w:rPr>
        <w:tab/>
        <w:t xml:space="preserve">Approximately a quarter of placebo-treated patients in the </w:t>
      </w:r>
      <w:r>
        <w:rPr>
          <w:i/>
          <w:iCs/>
          <w:szCs w:val="18"/>
        </w:rPr>
        <w:t>BRCA</w:t>
      </w:r>
      <w:r>
        <w:rPr>
          <w:szCs w:val="18"/>
        </w:rPr>
        <w:t>-mutated subgroup (14/62; 22.6%)</w:t>
      </w:r>
      <w:r>
        <w:rPr>
          <w:b/>
          <w:bCs/>
          <w:szCs w:val="18"/>
          <w:vertAlign w:val="superscript"/>
        </w:rPr>
        <w:t>60</w:t>
      </w:r>
      <w:r>
        <w:rPr>
          <w:szCs w:val="18"/>
        </w:rPr>
        <w:t xml:space="preserve"> received a subsequent PARP inhibitor. Approximately a third of placebo-treated patients in the </w:t>
      </w:r>
      <w:proofErr w:type="spellStart"/>
      <w:r>
        <w:rPr>
          <w:szCs w:val="18"/>
        </w:rPr>
        <w:t>g</w:t>
      </w:r>
      <w:r>
        <w:rPr>
          <w:i/>
          <w:szCs w:val="18"/>
        </w:rPr>
        <w:t>BRCA</w:t>
      </w:r>
      <w:proofErr w:type="spellEnd"/>
      <w:r>
        <w:rPr>
          <w:szCs w:val="18"/>
        </w:rPr>
        <w:t>-mutated subgroup (13/40; 32.5%) received a subsequent PARP inhibitor.</w:t>
      </w:r>
    </w:p>
    <w:p w14:paraId="191ECCEB" w14:textId="701674B4" w:rsidR="001F493D" w:rsidRDefault="001F493D">
      <w:pPr>
        <w:pStyle w:val="BodyText"/>
        <w:spacing w:after="120"/>
        <w:ind w:left="450"/>
      </w:pPr>
      <w:r>
        <w:t>OS overall survival; PFS progression-free survival; CI confidence interval</w:t>
      </w:r>
      <w:r>
        <w:fldChar w:fldCharType="begin"/>
      </w:r>
      <w:r>
        <w:instrText xml:space="preserve"> LINK Word.Document.12 "\\\\americas.astrazeneca.net\\us\\Wilmington\\Users 05\\Sherakn1\\Documents\\- - Olaparib\\CDS\\July 19 Olaparib CDS - references.doc" OLE_LINK1 \a \r  \* MERGEFORMAT </w:instrText>
      </w:r>
      <w:r>
        <w:fldChar w:fldCharType="end"/>
      </w:r>
    </w:p>
    <w:p w14:paraId="4DA80B0B" w14:textId="77777777" w:rsidR="001F493D" w:rsidRDefault="001F493D">
      <w:pPr>
        <w:pStyle w:val="BodyText"/>
        <w:spacing w:after="120"/>
        <w:ind w:left="450"/>
      </w:pPr>
    </w:p>
    <w:p w14:paraId="42BC7D43" w14:textId="77777777" w:rsidR="001F493D" w:rsidRDefault="001F493D">
      <w:pPr>
        <w:pStyle w:val="BodyText"/>
        <w:rPr>
          <w:sz w:val="24"/>
          <w:szCs w:val="24"/>
          <w:lang w:val="en-US"/>
        </w:rPr>
      </w:pPr>
    </w:p>
    <w:p w14:paraId="08D8A27D" w14:textId="77777777" w:rsidR="0010067D" w:rsidRDefault="0010067D">
      <w:pPr>
        <w:spacing w:after="0" w:line="240" w:lineRule="auto"/>
        <w:rPr>
          <w:b/>
          <w:sz w:val="22"/>
          <w:szCs w:val="22"/>
          <w:lang w:val="en-US"/>
        </w:rPr>
      </w:pPr>
      <w:r>
        <w:rPr>
          <w:sz w:val="22"/>
          <w:szCs w:val="22"/>
          <w:lang w:val="en-US"/>
        </w:rPr>
        <w:br w:type="page"/>
      </w:r>
    </w:p>
    <w:p w14:paraId="541E4C21" w14:textId="28881D4C" w:rsidR="001F493D" w:rsidRDefault="001F493D">
      <w:pPr>
        <w:pStyle w:val="A-TableHeader"/>
        <w:keepNext w:val="0"/>
        <w:spacing w:before="0" w:after="0" w:line="260" w:lineRule="exact"/>
        <w:ind w:left="1418" w:hanging="1418"/>
        <w:rPr>
          <w:sz w:val="22"/>
          <w:szCs w:val="22"/>
          <w:lang w:val="en-US"/>
        </w:rPr>
      </w:pPr>
      <w:r>
        <w:rPr>
          <w:sz w:val="22"/>
          <w:szCs w:val="22"/>
          <w:lang w:val="en-US"/>
        </w:rPr>
        <w:lastRenderedPageBreak/>
        <w:t>Figure 1</w:t>
      </w:r>
      <w:r>
        <w:rPr>
          <w:sz w:val="22"/>
          <w:szCs w:val="22"/>
          <w:lang w:val="en-US"/>
        </w:rPr>
        <w:tab/>
        <w:t>Study 19: Kaplan</w:t>
      </w:r>
      <w:r>
        <w:rPr>
          <w:sz w:val="22"/>
          <w:szCs w:val="22"/>
          <w:lang w:val="en-US"/>
        </w:rPr>
        <w:noBreakHyphen/>
        <w:t>Meier plot of PFS in BRCA</w:t>
      </w:r>
      <w:r>
        <w:rPr>
          <w:sz w:val="22"/>
          <w:szCs w:val="22"/>
          <w:lang w:val="en-US"/>
        </w:rPr>
        <w:noBreakHyphen/>
        <w:t>mutated patients (53% maturity</w:t>
      </w:r>
      <w:r>
        <w:rPr>
          <w:sz w:val="22"/>
          <w:szCs w:val="22"/>
          <w:lang w:val="en-US"/>
        </w:rPr>
        <w:noBreakHyphen/>
        <w:t xml:space="preserve">investigator assessment) </w:t>
      </w:r>
    </w:p>
    <w:p w14:paraId="295B7132" w14:textId="77777777" w:rsidR="001F493D" w:rsidRDefault="001F493D">
      <w:pPr>
        <w:pStyle w:val="A-TableText"/>
        <w:rPr>
          <w:lang w:val="en-US"/>
        </w:rPr>
      </w:pPr>
    </w:p>
    <w:p w14:paraId="34125186" w14:textId="77777777" w:rsidR="001F493D" w:rsidRDefault="00AA040B">
      <w:pPr>
        <w:pStyle w:val="A-TableText"/>
        <w:rPr>
          <w:lang w:val="en-US"/>
        </w:rPr>
      </w:pPr>
      <w:r>
        <w:rPr>
          <w:noProof/>
          <w:lang w:val="en-AU" w:eastAsia="en-AU"/>
        </w:rPr>
        <w:drawing>
          <wp:inline distT="0" distB="0" distL="0" distR="0" wp14:anchorId="70C17674" wp14:editId="48EA26DE">
            <wp:extent cx="5667375" cy="2647950"/>
            <wp:effectExtent l="19050" t="0" r="9525" b="0"/>
            <wp:docPr id="2" name="Picture 2" descr="FC1102010201_figure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1102010201_figurePK"/>
                    <pic:cNvPicPr>
                      <a:picLocks noChangeAspect="1" noChangeArrowheads="1"/>
                    </pic:cNvPicPr>
                  </pic:nvPicPr>
                  <pic:blipFill>
                    <a:blip r:embed="rId10" cstate="print"/>
                    <a:srcRect/>
                    <a:stretch>
                      <a:fillRect/>
                    </a:stretch>
                  </pic:blipFill>
                  <pic:spPr bwMode="auto">
                    <a:xfrm>
                      <a:off x="0" y="0"/>
                      <a:ext cx="5667375" cy="2647950"/>
                    </a:xfrm>
                    <a:prstGeom prst="rect">
                      <a:avLst/>
                    </a:prstGeom>
                    <a:noFill/>
                    <a:ln w="9525">
                      <a:noFill/>
                      <a:miter lim="800000"/>
                      <a:headEnd/>
                      <a:tailEnd/>
                    </a:ln>
                  </pic:spPr>
                </pic:pic>
              </a:graphicData>
            </a:graphic>
          </wp:inline>
        </w:drawing>
      </w:r>
    </w:p>
    <w:p w14:paraId="3DCE4AA9" w14:textId="77777777" w:rsidR="001F493D" w:rsidRDefault="001F493D">
      <w:pPr>
        <w:pStyle w:val="A-TableText"/>
        <w:rPr>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68"/>
        <w:gridCol w:w="1295"/>
        <w:gridCol w:w="1296"/>
        <w:gridCol w:w="1296"/>
        <w:gridCol w:w="1296"/>
        <w:gridCol w:w="1297"/>
        <w:gridCol w:w="1297"/>
      </w:tblGrid>
      <w:tr w:rsidR="001F493D" w14:paraId="5AEADC51" w14:textId="77777777">
        <w:tc>
          <w:tcPr>
            <w:tcW w:w="1320" w:type="dxa"/>
            <w:tcBorders>
              <w:top w:val="single" w:sz="4" w:space="0" w:color="auto"/>
              <w:left w:val="single" w:sz="4" w:space="0" w:color="auto"/>
            </w:tcBorders>
          </w:tcPr>
          <w:p w14:paraId="2E130C17" w14:textId="77777777" w:rsidR="001F493D" w:rsidRDefault="001F493D">
            <w:pPr>
              <w:jc w:val="center"/>
              <w:rPr>
                <w:sz w:val="22"/>
                <w:szCs w:val="22"/>
              </w:rPr>
            </w:pPr>
            <w:r>
              <w:rPr>
                <w:sz w:val="22"/>
                <w:szCs w:val="22"/>
              </w:rPr>
              <w:t>months</w:t>
            </w:r>
          </w:p>
        </w:tc>
        <w:tc>
          <w:tcPr>
            <w:tcW w:w="1320" w:type="dxa"/>
            <w:tcBorders>
              <w:top w:val="single" w:sz="4" w:space="0" w:color="auto"/>
            </w:tcBorders>
          </w:tcPr>
          <w:p w14:paraId="2BC387E7" w14:textId="77777777" w:rsidR="001F493D" w:rsidRDefault="001F493D">
            <w:pPr>
              <w:jc w:val="center"/>
              <w:rPr>
                <w:sz w:val="22"/>
                <w:szCs w:val="22"/>
              </w:rPr>
            </w:pPr>
            <w:r>
              <w:rPr>
                <w:sz w:val="22"/>
                <w:szCs w:val="22"/>
              </w:rPr>
              <w:t>0</w:t>
            </w:r>
          </w:p>
        </w:tc>
        <w:tc>
          <w:tcPr>
            <w:tcW w:w="1320" w:type="dxa"/>
            <w:tcBorders>
              <w:top w:val="single" w:sz="4" w:space="0" w:color="auto"/>
            </w:tcBorders>
          </w:tcPr>
          <w:p w14:paraId="07416F94" w14:textId="77777777" w:rsidR="001F493D" w:rsidRDefault="001F493D">
            <w:pPr>
              <w:jc w:val="center"/>
              <w:rPr>
                <w:sz w:val="22"/>
                <w:szCs w:val="22"/>
              </w:rPr>
            </w:pPr>
            <w:r>
              <w:rPr>
                <w:sz w:val="22"/>
                <w:szCs w:val="22"/>
              </w:rPr>
              <w:t>3</w:t>
            </w:r>
          </w:p>
        </w:tc>
        <w:tc>
          <w:tcPr>
            <w:tcW w:w="1320" w:type="dxa"/>
            <w:tcBorders>
              <w:top w:val="single" w:sz="4" w:space="0" w:color="auto"/>
            </w:tcBorders>
          </w:tcPr>
          <w:p w14:paraId="74623F41" w14:textId="77777777" w:rsidR="001F493D" w:rsidRDefault="001F493D">
            <w:pPr>
              <w:jc w:val="center"/>
              <w:rPr>
                <w:sz w:val="22"/>
                <w:szCs w:val="22"/>
              </w:rPr>
            </w:pPr>
            <w:r>
              <w:rPr>
                <w:sz w:val="22"/>
                <w:szCs w:val="22"/>
              </w:rPr>
              <w:t>6</w:t>
            </w:r>
          </w:p>
        </w:tc>
        <w:tc>
          <w:tcPr>
            <w:tcW w:w="1320" w:type="dxa"/>
            <w:tcBorders>
              <w:top w:val="single" w:sz="4" w:space="0" w:color="auto"/>
            </w:tcBorders>
          </w:tcPr>
          <w:p w14:paraId="78218D2E" w14:textId="77777777" w:rsidR="001F493D" w:rsidRDefault="001F493D">
            <w:pPr>
              <w:jc w:val="center"/>
              <w:rPr>
                <w:sz w:val="22"/>
                <w:szCs w:val="22"/>
              </w:rPr>
            </w:pPr>
            <w:r>
              <w:rPr>
                <w:sz w:val="22"/>
                <w:szCs w:val="22"/>
              </w:rPr>
              <w:t>9</w:t>
            </w:r>
          </w:p>
        </w:tc>
        <w:tc>
          <w:tcPr>
            <w:tcW w:w="1321" w:type="dxa"/>
            <w:tcBorders>
              <w:top w:val="single" w:sz="4" w:space="0" w:color="auto"/>
            </w:tcBorders>
          </w:tcPr>
          <w:p w14:paraId="3A32258E" w14:textId="77777777" w:rsidR="001F493D" w:rsidRDefault="001F493D">
            <w:pPr>
              <w:jc w:val="center"/>
              <w:rPr>
                <w:sz w:val="22"/>
                <w:szCs w:val="22"/>
              </w:rPr>
            </w:pPr>
            <w:r>
              <w:rPr>
                <w:sz w:val="22"/>
                <w:szCs w:val="22"/>
              </w:rPr>
              <w:t>12</w:t>
            </w:r>
          </w:p>
        </w:tc>
        <w:tc>
          <w:tcPr>
            <w:tcW w:w="1321" w:type="dxa"/>
            <w:tcBorders>
              <w:top w:val="single" w:sz="4" w:space="0" w:color="auto"/>
              <w:right w:val="single" w:sz="4" w:space="0" w:color="auto"/>
            </w:tcBorders>
          </w:tcPr>
          <w:p w14:paraId="30D79E91" w14:textId="77777777" w:rsidR="001F493D" w:rsidRDefault="001F493D">
            <w:pPr>
              <w:jc w:val="center"/>
              <w:rPr>
                <w:sz w:val="22"/>
                <w:szCs w:val="22"/>
              </w:rPr>
            </w:pPr>
            <w:r>
              <w:rPr>
                <w:sz w:val="22"/>
                <w:szCs w:val="22"/>
              </w:rPr>
              <w:t>15</w:t>
            </w:r>
          </w:p>
        </w:tc>
      </w:tr>
      <w:tr w:rsidR="001F493D" w14:paraId="29A476BB" w14:textId="77777777">
        <w:tc>
          <w:tcPr>
            <w:tcW w:w="1320" w:type="dxa"/>
            <w:tcBorders>
              <w:left w:val="single" w:sz="4" w:space="0" w:color="auto"/>
            </w:tcBorders>
          </w:tcPr>
          <w:p w14:paraId="7F12FFBD" w14:textId="77777777" w:rsidR="001F493D" w:rsidRDefault="001F493D">
            <w:pPr>
              <w:jc w:val="center"/>
              <w:rPr>
                <w:sz w:val="22"/>
                <w:szCs w:val="22"/>
              </w:rPr>
            </w:pPr>
            <w:r>
              <w:rPr>
                <w:sz w:val="22"/>
                <w:szCs w:val="22"/>
              </w:rPr>
              <w:t>n</w:t>
            </w:r>
            <w:r>
              <w:rPr>
                <w:sz w:val="22"/>
                <w:szCs w:val="22"/>
              </w:rPr>
              <w:noBreakHyphen/>
            </w:r>
            <w:r>
              <w:rPr>
                <w:sz w:val="20"/>
              </w:rPr>
              <w:t>LYNPARZA</w:t>
            </w:r>
          </w:p>
        </w:tc>
        <w:tc>
          <w:tcPr>
            <w:tcW w:w="1320" w:type="dxa"/>
          </w:tcPr>
          <w:p w14:paraId="16EA0094" w14:textId="77777777" w:rsidR="001F493D" w:rsidRDefault="001F493D">
            <w:pPr>
              <w:jc w:val="center"/>
              <w:rPr>
                <w:sz w:val="22"/>
                <w:szCs w:val="22"/>
              </w:rPr>
            </w:pPr>
            <w:r>
              <w:rPr>
                <w:sz w:val="22"/>
                <w:szCs w:val="22"/>
              </w:rPr>
              <w:t>74</w:t>
            </w:r>
          </w:p>
        </w:tc>
        <w:tc>
          <w:tcPr>
            <w:tcW w:w="1320" w:type="dxa"/>
          </w:tcPr>
          <w:p w14:paraId="2A24FE9D" w14:textId="77777777" w:rsidR="001F493D" w:rsidRDefault="001F493D">
            <w:pPr>
              <w:jc w:val="center"/>
              <w:rPr>
                <w:sz w:val="22"/>
                <w:szCs w:val="22"/>
              </w:rPr>
            </w:pPr>
            <w:r>
              <w:rPr>
                <w:sz w:val="22"/>
                <w:szCs w:val="22"/>
              </w:rPr>
              <w:t>59</w:t>
            </w:r>
          </w:p>
        </w:tc>
        <w:tc>
          <w:tcPr>
            <w:tcW w:w="1320" w:type="dxa"/>
          </w:tcPr>
          <w:p w14:paraId="6848A67F" w14:textId="77777777" w:rsidR="001F493D" w:rsidRDefault="001F493D">
            <w:pPr>
              <w:jc w:val="center"/>
              <w:rPr>
                <w:sz w:val="22"/>
                <w:szCs w:val="22"/>
              </w:rPr>
            </w:pPr>
            <w:r>
              <w:rPr>
                <w:sz w:val="22"/>
                <w:szCs w:val="22"/>
              </w:rPr>
              <w:t>34</w:t>
            </w:r>
          </w:p>
        </w:tc>
        <w:tc>
          <w:tcPr>
            <w:tcW w:w="1320" w:type="dxa"/>
          </w:tcPr>
          <w:p w14:paraId="462851B2" w14:textId="77777777" w:rsidR="001F493D" w:rsidRDefault="001F493D">
            <w:pPr>
              <w:jc w:val="center"/>
              <w:rPr>
                <w:sz w:val="22"/>
                <w:szCs w:val="22"/>
              </w:rPr>
            </w:pPr>
            <w:r>
              <w:rPr>
                <w:sz w:val="22"/>
                <w:szCs w:val="22"/>
              </w:rPr>
              <w:t>15</w:t>
            </w:r>
          </w:p>
        </w:tc>
        <w:tc>
          <w:tcPr>
            <w:tcW w:w="1321" w:type="dxa"/>
          </w:tcPr>
          <w:p w14:paraId="13D2E14C" w14:textId="77777777" w:rsidR="001F493D" w:rsidRDefault="001F493D">
            <w:pPr>
              <w:jc w:val="center"/>
              <w:rPr>
                <w:sz w:val="22"/>
                <w:szCs w:val="22"/>
              </w:rPr>
            </w:pPr>
            <w:r>
              <w:rPr>
                <w:sz w:val="22"/>
                <w:szCs w:val="22"/>
              </w:rPr>
              <w:t>5</w:t>
            </w:r>
          </w:p>
        </w:tc>
        <w:tc>
          <w:tcPr>
            <w:tcW w:w="1321" w:type="dxa"/>
            <w:tcBorders>
              <w:right w:val="single" w:sz="4" w:space="0" w:color="auto"/>
            </w:tcBorders>
          </w:tcPr>
          <w:p w14:paraId="1C19ECF7" w14:textId="77777777" w:rsidR="001F493D" w:rsidRDefault="001F493D">
            <w:pPr>
              <w:jc w:val="center"/>
              <w:rPr>
                <w:sz w:val="22"/>
                <w:szCs w:val="22"/>
              </w:rPr>
            </w:pPr>
            <w:r>
              <w:rPr>
                <w:sz w:val="22"/>
                <w:szCs w:val="22"/>
              </w:rPr>
              <w:t>0</w:t>
            </w:r>
          </w:p>
        </w:tc>
      </w:tr>
      <w:tr w:rsidR="001F493D" w14:paraId="3F6D8B25" w14:textId="77777777">
        <w:tc>
          <w:tcPr>
            <w:tcW w:w="1320" w:type="dxa"/>
            <w:tcBorders>
              <w:left w:val="single" w:sz="4" w:space="0" w:color="auto"/>
              <w:bottom w:val="single" w:sz="4" w:space="0" w:color="auto"/>
            </w:tcBorders>
          </w:tcPr>
          <w:p w14:paraId="256BA3D9" w14:textId="77777777" w:rsidR="001F493D" w:rsidRDefault="001F493D">
            <w:pPr>
              <w:jc w:val="center"/>
              <w:rPr>
                <w:sz w:val="22"/>
                <w:szCs w:val="22"/>
              </w:rPr>
            </w:pPr>
            <w:r>
              <w:rPr>
                <w:sz w:val="22"/>
                <w:szCs w:val="22"/>
              </w:rPr>
              <w:t>n</w:t>
            </w:r>
            <w:r>
              <w:rPr>
                <w:sz w:val="22"/>
                <w:szCs w:val="22"/>
              </w:rPr>
              <w:noBreakHyphen/>
              <w:t>placebo</w:t>
            </w:r>
          </w:p>
        </w:tc>
        <w:tc>
          <w:tcPr>
            <w:tcW w:w="1320" w:type="dxa"/>
            <w:tcBorders>
              <w:bottom w:val="single" w:sz="4" w:space="0" w:color="auto"/>
            </w:tcBorders>
          </w:tcPr>
          <w:p w14:paraId="2D79935A" w14:textId="77777777" w:rsidR="001F493D" w:rsidRDefault="001F493D">
            <w:pPr>
              <w:jc w:val="center"/>
              <w:rPr>
                <w:sz w:val="22"/>
                <w:szCs w:val="22"/>
              </w:rPr>
            </w:pPr>
            <w:r>
              <w:rPr>
                <w:sz w:val="22"/>
                <w:szCs w:val="22"/>
              </w:rPr>
              <w:t>62</w:t>
            </w:r>
          </w:p>
        </w:tc>
        <w:tc>
          <w:tcPr>
            <w:tcW w:w="1320" w:type="dxa"/>
            <w:tcBorders>
              <w:bottom w:val="single" w:sz="4" w:space="0" w:color="auto"/>
            </w:tcBorders>
          </w:tcPr>
          <w:p w14:paraId="2C169D2B" w14:textId="77777777" w:rsidR="001F493D" w:rsidRDefault="001F493D">
            <w:pPr>
              <w:jc w:val="center"/>
              <w:rPr>
                <w:sz w:val="22"/>
                <w:szCs w:val="22"/>
              </w:rPr>
            </w:pPr>
            <w:r>
              <w:rPr>
                <w:sz w:val="22"/>
                <w:szCs w:val="22"/>
              </w:rPr>
              <w:t>35</w:t>
            </w:r>
          </w:p>
        </w:tc>
        <w:tc>
          <w:tcPr>
            <w:tcW w:w="1320" w:type="dxa"/>
            <w:tcBorders>
              <w:bottom w:val="single" w:sz="4" w:space="0" w:color="auto"/>
            </w:tcBorders>
          </w:tcPr>
          <w:p w14:paraId="7A983A4F" w14:textId="77777777" w:rsidR="001F493D" w:rsidRDefault="001F493D">
            <w:pPr>
              <w:jc w:val="center"/>
              <w:rPr>
                <w:sz w:val="22"/>
                <w:szCs w:val="22"/>
              </w:rPr>
            </w:pPr>
            <w:r>
              <w:rPr>
                <w:sz w:val="22"/>
                <w:szCs w:val="22"/>
              </w:rPr>
              <w:t>13</w:t>
            </w:r>
          </w:p>
        </w:tc>
        <w:tc>
          <w:tcPr>
            <w:tcW w:w="1320" w:type="dxa"/>
            <w:tcBorders>
              <w:bottom w:val="single" w:sz="4" w:space="0" w:color="auto"/>
            </w:tcBorders>
          </w:tcPr>
          <w:p w14:paraId="3D01D1AD" w14:textId="77777777" w:rsidR="001F493D" w:rsidRDefault="001F493D">
            <w:pPr>
              <w:jc w:val="center"/>
              <w:rPr>
                <w:sz w:val="22"/>
                <w:szCs w:val="22"/>
              </w:rPr>
            </w:pPr>
            <w:r>
              <w:rPr>
                <w:sz w:val="22"/>
                <w:szCs w:val="22"/>
              </w:rPr>
              <w:t>2</w:t>
            </w:r>
          </w:p>
        </w:tc>
        <w:tc>
          <w:tcPr>
            <w:tcW w:w="1321" w:type="dxa"/>
            <w:tcBorders>
              <w:bottom w:val="single" w:sz="4" w:space="0" w:color="auto"/>
            </w:tcBorders>
          </w:tcPr>
          <w:p w14:paraId="09D59FC2" w14:textId="77777777" w:rsidR="001F493D" w:rsidRDefault="001F493D">
            <w:pPr>
              <w:jc w:val="center"/>
              <w:rPr>
                <w:sz w:val="22"/>
                <w:szCs w:val="22"/>
              </w:rPr>
            </w:pPr>
            <w:r>
              <w:rPr>
                <w:sz w:val="22"/>
                <w:szCs w:val="22"/>
              </w:rPr>
              <w:t>0</w:t>
            </w:r>
          </w:p>
        </w:tc>
        <w:tc>
          <w:tcPr>
            <w:tcW w:w="1321" w:type="dxa"/>
            <w:tcBorders>
              <w:bottom w:val="single" w:sz="4" w:space="0" w:color="auto"/>
              <w:right w:val="single" w:sz="4" w:space="0" w:color="auto"/>
            </w:tcBorders>
          </w:tcPr>
          <w:p w14:paraId="635E9B02" w14:textId="77777777" w:rsidR="001F493D" w:rsidRDefault="001F493D">
            <w:pPr>
              <w:jc w:val="center"/>
              <w:rPr>
                <w:sz w:val="22"/>
                <w:szCs w:val="22"/>
              </w:rPr>
            </w:pPr>
            <w:r>
              <w:rPr>
                <w:sz w:val="22"/>
                <w:szCs w:val="22"/>
              </w:rPr>
              <w:t>0</w:t>
            </w:r>
          </w:p>
        </w:tc>
      </w:tr>
    </w:tbl>
    <w:p w14:paraId="687FE81A" w14:textId="0E689AEA" w:rsidR="001F493D" w:rsidRDefault="001F493D">
      <w:pPr>
        <w:spacing w:before="120" w:after="120"/>
        <w:rPr>
          <w:sz w:val="22"/>
          <w:szCs w:val="22"/>
        </w:rPr>
      </w:pPr>
      <w:r>
        <w:rPr>
          <w:sz w:val="22"/>
          <w:szCs w:val="22"/>
        </w:rPr>
        <w:t>-----</w:t>
      </w:r>
      <w:r w:rsidR="00FE105A">
        <w:rPr>
          <w:sz w:val="22"/>
          <w:szCs w:val="22"/>
        </w:rPr>
        <w:t xml:space="preserve"> </w:t>
      </w:r>
      <w:proofErr w:type="spellStart"/>
      <w:proofErr w:type="gramStart"/>
      <w:r>
        <w:rPr>
          <w:sz w:val="22"/>
          <w:szCs w:val="22"/>
        </w:rPr>
        <w:t>olaparib</w:t>
      </w:r>
      <w:proofErr w:type="spellEnd"/>
      <w:proofErr w:type="gramEnd"/>
      <w:r>
        <w:rPr>
          <w:sz w:val="22"/>
          <w:szCs w:val="22"/>
        </w:rPr>
        <w:t xml:space="preserve"> 400 mg </w:t>
      </w:r>
      <w:proofErr w:type="spellStart"/>
      <w:r>
        <w:rPr>
          <w:sz w:val="22"/>
          <w:szCs w:val="22"/>
        </w:rPr>
        <w:t>bd</w:t>
      </w:r>
      <w:proofErr w:type="spellEnd"/>
      <w:r>
        <w:rPr>
          <w:sz w:val="22"/>
          <w:szCs w:val="22"/>
        </w:rPr>
        <w:t xml:space="preserve"> twice daily, </w:t>
      </w:r>
      <w:r>
        <w:rPr>
          <w:sz w:val="22"/>
          <w:szCs w:val="22"/>
          <w:vertAlign w:val="superscript"/>
        </w:rPr>
        <w:t>_____</w:t>
      </w:r>
      <w:r w:rsidR="00FE105A">
        <w:rPr>
          <w:sz w:val="22"/>
          <w:szCs w:val="22"/>
          <w:vertAlign w:val="superscript"/>
        </w:rPr>
        <w:t xml:space="preserve"> </w:t>
      </w:r>
      <w:r>
        <w:rPr>
          <w:sz w:val="22"/>
          <w:szCs w:val="22"/>
        </w:rPr>
        <w:t>placebo, x-axis=time from randomisation in months, y-axis</w:t>
      </w:r>
      <w:r w:rsidR="00FE105A">
        <w:rPr>
          <w:sz w:val="22"/>
          <w:szCs w:val="22"/>
        </w:rPr>
        <w:t xml:space="preserve"> </w:t>
      </w:r>
      <w:r>
        <w:rPr>
          <w:sz w:val="22"/>
          <w:szCs w:val="22"/>
        </w:rPr>
        <w:t>=</w:t>
      </w:r>
      <w:r w:rsidR="00FE105A">
        <w:rPr>
          <w:sz w:val="22"/>
          <w:szCs w:val="22"/>
        </w:rPr>
        <w:t xml:space="preserve"> </w:t>
      </w:r>
      <w:r>
        <w:rPr>
          <w:sz w:val="22"/>
          <w:szCs w:val="22"/>
        </w:rPr>
        <w:t>PFS (progression-free survival), n-LYNPARZA</w:t>
      </w:r>
      <w:r w:rsidR="00FE105A">
        <w:rPr>
          <w:sz w:val="22"/>
          <w:szCs w:val="22"/>
        </w:rPr>
        <w:t xml:space="preserve"> </w:t>
      </w:r>
      <w:r>
        <w:rPr>
          <w:sz w:val="22"/>
          <w:szCs w:val="22"/>
        </w:rPr>
        <w:t>= number of patients at risk-LYNPARZA, n-placebo</w:t>
      </w:r>
      <w:r w:rsidR="00FE105A">
        <w:rPr>
          <w:sz w:val="22"/>
          <w:szCs w:val="22"/>
        </w:rPr>
        <w:t xml:space="preserve"> </w:t>
      </w:r>
      <w:r>
        <w:rPr>
          <w:sz w:val="22"/>
          <w:szCs w:val="22"/>
        </w:rPr>
        <w:t>=</w:t>
      </w:r>
      <w:r w:rsidR="00FE105A">
        <w:rPr>
          <w:sz w:val="22"/>
          <w:szCs w:val="22"/>
        </w:rPr>
        <w:t xml:space="preserve"> </w:t>
      </w:r>
      <w:r>
        <w:rPr>
          <w:sz w:val="22"/>
          <w:szCs w:val="22"/>
        </w:rPr>
        <w:t>number of patients at risk</w:t>
      </w:r>
      <w:r>
        <w:rPr>
          <w:sz w:val="22"/>
          <w:szCs w:val="22"/>
        </w:rPr>
        <w:noBreakHyphen/>
        <w:t>placebo</w:t>
      </w:r>
    </w:p>
    <w:p w14:paraId="0DF8093C" w14:textId="77777777" w:rsidR="001F493D" w:rsidRDefault="001F493D">
      <w:pPr>
        <w:rPr>
          <w:b/>
          <w:bCs/>
          <w:lang w:val="en-US"/>
        </w:rPr>
      </w:pPr>
    </w:p>
    <w:p w14:paraId="66B56DFD" w14:textId="77777777" w:rsidR="0010067D" w:rsidRDefault="0010067D">
      <w:pPr>
        <w:spacing w:after="0" w:line="240" w:lineRule="auto"/>
        <w:rPr>
          <w:b/>
          <w:sz w:val="22"/>
          <w:szCs w:val="22"/>
          <w:lang w:val="en-US"/>
        </w:rPr>
      </w:pPr>
      <w:r>
        <w:rPr>
          <w:b/>
          <w:sz w:val="22"/>
          <w:szCs w:val="22"/>
          <w:lang w:val="en-US"/>
        </w:rPr>
        <w:br w:type="page"/>
      </w:r>
    </w:p>
    <w:p w14:paraId="7F8709D3" w14:textId="245EDF9E" w:rsidR="001F493D" w:rsidRDefault="001F493D">
      <w:pPr>
        <w:ind w:left="1418" w:hanging="1418"/>
      </w:pPr>
      <w:r>
        <w:rPr>
          <w:b/>
          <w:sz w:val="22"/>
          <w:szCs w:val="22"/>
          <w:lang w:val="en-US"/>
        </w:rPr>
        <w:lastRenderedPageBreak/>
        <w:t>Figure 2</w:t>
      </w:r>
      <w:r>
        <w:rPr>
          <w:b/>
          <w:sz w:val="22"/>
          <w:szCs w:val="22"/>
          <w:lang w:val="en-US"/>
        </w:rPr>
        <w:tab/>
        <w:t>Study 19: Kaplan</w:t>
      </w:r>
      <w:r>
        <w:rPr>
          <w:b/>
          <w:sz w:val="22"/>
          <w:szCs w:val="22"/>
          <w:lang w:val="en-US"/>
        </w:rPr>
        <w:noBreakHyphen/>
        <w:t xml:space="preserve">Meier plot of OS in </w:t>
      </w:r>
      <w:r>
        <w:rPr>
          <w:b/>
          <w:i/>
          <w:iCs/>
          <w:sz w:val="22"/>
          <w:szCs w:val="22"/>
          <w:lang w:val="en-US"/>
        </w:rPr>
        <w:t>BRCA</w:t>
      </w:r>
      <w:r>
        <w:rPr>
          <w:b/>
          <w:i/>
          <w:iCs/>
          <w:sz w:val="22"/>
          <w:szCs w:val="22"/>
          <w:lang w:val="en-US"/>
        </w:rPr>
        <w:noBreakHyphen/>
      </w:r>
      <w:r>
        <w:rPr>
          <w:b/>
          <w:iCs/>
          <w:sz w:val="22"/>
          <w:szCs w:val="22"/>
          <w:lang w:val="en-US"/>
        </w:rPr>
        <w:t>m</w:t>
      </w:r>
      <w:r>
        <w:rPr>
          <w:b/>
          <w:sz w:val="22"/>
          <w:szCs w:val="22"/>
          <w:lang w:val="en-US"/>
        </w:rPr>
        <w:t xml:space="preserve">utated patients (52% maturity) </w:t>
      </w:r>
    </w:p>
    <w:p w14:paraId="7A90EB58" w14:textId="77777777" w:rsidR="001F493D" w:rsidRDefault="00AA040B">
      <w:pPr>
        <w:tabs>
          <w:tab w:val="left" w:pos="720"/>
        </w:tabs>
        <w:autoSpaceDE w:val="0"/>
        <w:autoSpaceDN w:val="0"/>
        <w:adjustRightInd w:val="0"/>
        <w:spacing w:line="240" w:lineRule="auto"/>
        <w:ind w:left="1260" w:hanging="540"/>
      </w:pPr>
      <w:r>
        <w:rPr>
          <w:b/>
          <w:bCs/>
          <w:noProof/>
          <w:lang w:eastAsia="en-AU"/>
        </w:rPr>
        <w:drawing>
          <wp:inline distT="0" distB="0" distL="0" distR="0" wp14:anchorId="59E1EDAF" wp14:editId="4B684703">
            <wp:extent cx="5095875" cy="2314575"/>
            <wp:effectExtent l="19050" t="0" r="9525" b="0"/>
            <wp:docPr id="3" name="Picture 3" descr="FC1102020201_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1102020201_figure"/>
                    <pic:cNvPicPr>
                      <a:picLocks noChangeAspect="1" noChangeArrowheads="1"/>
                    </pic:cNvPicPr>
                  </pic:nvPicPr>
                  <pic:blipFill>
                    <a:blip r:embed="rId11" cstate="print"/>
                    <a:srcRect/>
                    <a:stretch>
                      <a:fillRect/>
                    </a:stretch>
                  </pic:blipFill>
                  <pic:spPr bwMode="auto">
                    <a:xfrm>
                      <a:off x="0" y="0"/>
                      <a:ext cx="5095875" cy="2314575"/>
                    </a:xfrm>
                    <a:prstGeom prst="rect">
                      <a:avLst/>
                    </a:prstGeom>
                    <a:noFill/>
                    <a:ln w="9525">
                      <a:noFill/>
                      <a:miter lim="800000"/>
                      <a:headEnd/>
                      <a:tailEnd/>
                    </a:ln>
                  </pic:spPr>
                </pic:pic>
              </a:graphicData>
            </a:graphic>
          </wp:inline>
        </w:drawing>
      </w:r>
    </w:p>
    <w:tbl>
      <w:tblPr>
        <w:tblW w:w="9656"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40"/>
        <w:gridCol w:w="462"/>
        <w:gridCol w:w="462"/>
        <w:gridCol w:w="462"/>
        <w:gridCol w:w="462"/>
        <w:gridCol w:w="462"/>
        <w:gridCol w:w="462"/>
        <w:gridCol w:w="462"/>
        <w:gridCol w:w="462"/>
        <w:gridCol w:w="462"/>
        <w:gridCol w:w="462"/>
        <w:gridCol w:w="462"/>
        <w:gridCol w:w="462"/>
        <w:gridCol w:w="462"/>
        <w:gridCol w:w="462"/>
        <w:gridCol w:w="462"/>
        <w:gridCol w:w="462"/>
        <w:gridCol w:w="462"/>
        <w:gridCol w:w="462"/>
      </w:tblGrid>
      <w:tr w:rsidR="001F493D" w14:paraId="30704A79" w14:textId="77777777">
        <w:tc>
          <w:tcPr>
            <w:tcW w:w="1049" w:type="dxa"/>
            <w:tcBorders>
              <w:top w:val="single" w:sz="4" w:space="0" w:color="auto"/>
              <w:left w:val="single" w:sz="4" w:space="0" w:color="auto"/>
              <w:bottom w:val="nil"/>
              <w:right w:val="nil"/>
            </w:tcBorders>
          </w:tcPr>
          <w:p w14:paraId="24A18D60" w14:textId="77777777" w:rsidR="001F493D" w:rsidRDefault="001F493D">
            <w:pPr>
              <w:spacing w:after="0"/>
              <w:jc w:val="center"/>
              <w:rPr>
                <w:rFonts w:cs="Arial"/>
                <w:sz w:val="20"/>
              </w:rPr>
            </w:pPr>
            <w:r>
              <w:rPr>
                <w:rFonts w:cs="Arial"/>
                <w:sz w:val="20"/>
              </w:rPr>
              <w:t>months</w:t>
            </w:r>
          </w:p>
        </w:tc>
        <w:tc>
          <w:tcPr>
            <w:tcW w:w="284" w:type="dxa"/>
            <w:tcBorders>
              <w:top w:val="single" w:sz="4" w:space="0" w:color="auto"/>
              <w:left w:val="nil"/>
              <w:bottom w:val="nil"/>
              <w:right w:val="nil"/>
            </w:tcBorders>
          </w:tcPr>
          <w:p w14:paraId="64B95FD5" w14:textId="77777777" w:rsidR="001F493D" w:rsidRDefault="001F493D">
            <w:pPr>
              <w:spacing w:after="0"/>
              <w:jc w:val="center"/>
              <w:rPr>
                <w:rFonts w:cs="Arial"/>
                <w:sz w:val="20"/>
              </w:rPr>
            </w:pPr>
            <w:r>
              <w:rPr>
                <w:rFonts w:cs="Arial"/>
                <w:sz w:val="20"/>
              </w:rPr>
              <w:t>0</w:t>
            </w:r>
          </w:p>
        </w:tc>
        <w:tc>
          <w:tcPr>
            <w:tcW w:w="284" w:type="dxa"/>
            <w:tcBorders>
              <w:top w:val="single" w:sz="4" w:space="0" w:color="auto"/>
              <w:left w:val="nil"/>
              <w:bottom w:val="nil"/>
              <w:right w:val="nil"/>
            </w:tcBorders>
          </w:tcPr>
          <w:p w14:paraId="369E64EB" w14:textId="77777777" w:rsidR="001F493D" w:rsidRDefault="001F493D">
            <w:pPr>
              <w:spacing w:after="0"/>
              <w:jc w:val="center"/>
              <w:rPr>
                <w:rFonts w:cs="Arial"/>
                <w:sz w:val="20"/>
              </w:rPr>
            </w:pPr>
            <w:r>
              <w:rPr>
                <w:rFonts w:cs="Arial"/>
                <w:sz w:val="20"/>
              </w:rPr>
              <w:t>3</w:t>
            </w:r>
          </w:p>
        </w:tc>
        <w:tc>
          <w:tcPr>
            <w:tcW w:w="284" w:type="dxa"/>
            <w:tcBorders>
              <w:top w:val="single" w:sz="4" w:space="0" w:color="auto"/>
              <w:left w:val="nil"/>
              <w:bottom w:val="nil"/>
              <w:right w:val="nil"/>
            </w:tcBorders>
          </w:tcPr>
          <w:p w14:paraId="75924C7B" w14:textId="77777777" w:rsidR="001F493D" w:rsidRDefault="001F493D">
            <w:pPr>
              <w:spacing w:after="0"/>
              <w:jc w:val="center"/>
              <w:rPr>
                <w:rFonts w:cs="Arial"/>
                <w:sz w:val="20"/>
              </w:rPr>
            </w:pPr>
            <w:r>
              <w:rPr>
                <w:rFonts w:cs="Arial"/>
                <w:sz w:val="20"/>
              </w:rPr>
              <w:t>6</w:t>
            </w:r>
          </w:p>
        </w:tc>
        <w:tc>
          <w:tcPr>
            <w:tcW w:w="284" w:type="dxa"/>
            <w:tcBorders>
              <w:top w:val="single" w:sz="4" w:space="0" w:color="auto"/>
              <w:left w:val="nil"/>
              <w:bottom w:val="nil"/>
              <w:right w:val="nil"/>
            </w:tcBorders>
          </w:tcPr>
          <w:p w14:paraId="088D04F8" w14:textId="77777777" w:rsidR="001F493D" w:rsidRDefault="001F493D">
            <w:pPr>
              <w:spacing w:after="0"/>
              <w:jc w:val="center"/>
              <w:rPr>
                <w:rFonts w:cs="Arial"/>
                <w:sz w:val="20"/>
              </w:rPr>
            </w:pPr>
            <w:r>
              <w:rPr>
                <w:rFonts w:cs="Arial"/>
                <w:sz w:val="20"/>
              </w:rPr>
              <w:t>9</w:t>
            </w:r>
          </w:p>
        </w:tc>
        <w:tc>
          <w:tcPr>
            <w:tcW w:w="284" w:type="dxa"/>
            <w:tcBorders>
              <w:top w:val="single" w:sz="4" w:space="0" w:color="auto"/>
              <w:left w:val="nil"/>
              <w:bottom w:val="nil"/>
              <w:right w:val="nil"/>
            </w:tcBorders>
          </w:tcPr>
          <w:p w14:paraId="2504625B" w14:textId="77777777" w:rsidR="001F493D" w:rsidRDefault="001F493D">
            <w:pPr>
              <w:spacing w:after="0"/>
              <w:jc w:val="center"/>
              <w:rPr>
                <w:rFonts w:cs="Arial"/>
                <w:sz w:val="20"/>
              </w:rPr>
            </w:pPr>
            <w:r>
              <w:rPr>
                <w:rFonts w:cs="Arial"/>
                <w:sz w:val="20"/>
              </w:rPr>
              <w:t>12</w:t>
            </w:r>
          </w:p>
        </w:tc>
        <w:tc>
          <w:tcPr>
            <w:tcW w:w="284" w:type="dxa"/>
            <w:tcBorders>
              <w:top w:val="single" w:sz="4" w:space="0" w:color="auto"/>
              <w:left w:val="nil"/>
              <w:bottom w:val="nil"/>
              <w:right w:val="nil"/>
            </w:tcBorders>
          </w:tcPr>
          <w:p w14:paraId="343E02BE" w14:textId="77777777" w:rsidR="001F493D" w:rsidRDefault="001F493D">
            <w:pPr>
              <w:spacing w:after="0"/>
              <w:jc w:val="center"/>
              <w:rPr>
                <w:rFonts w:cs="Arial"/>
                <w:sz w:val="20"/>
              </w:rPr>
            </w:pPr>
            <w:r>
              <w:rPr>
                <w:rFonts w:cs="Arial"/>
                <w:sz w:val="20"/>
              </w:rPr>
              <w:t>15</w:t>
            </w:r>
          </w:p>
        </w:tc>
        <w:tc>
          <w:tcPr>
            <w:tcW w:w="284" w:type="dxa"/>
            <w:tcBorders>
              <w:top w:val="single" w:sz="4" w:space="0" w:color="auto"/>
              <w:left w:val="nil"/>
              <w:bottom w:val="nil"/>
              <w:right w:val="nil"/>
            </w:tcBorders>
          </w:tcPr>
          <w:p w14:paraId="49FC0A04" w14:textId="77777777" w:rsidR="001F493D" w:rsidRDefault="001F493D">
            <w:pPr>
              <w:spacing w:after="0"/>
              <w:jc w:val="center"/>
              <w:rPr>
                <w:rFonts w:cs="Arial"/>
                <w:sz w:val="20"/>
              </w:rPr>
            </w:pPr>
            <w:r>
              <w:rPr>
                <w:rFonts w:cs="Arial"/>
                <w:sz w:val="20"/>
              </w:rPr>
              <w:t>18</w:t>
            </w:r>
          </w:p>
        </w:tc>
        <w:tc>
          <w:tcPr>
            <w:tcW w:w="284" w:type="dxa"/>
            <w:tcBorders>
              <w:top w:val="single" w:sz="4" w:space="0" w:color="auto"/>
              <w:left w:val="nil"/>
              <w:bottom w:val="nil"/>
              <w:right w:val="nil"/>
            </w:tcBorders>
          </w:tcPr>
          <w:p w14:paraId="651910DF" w14:textId="77777777" w:rsidR="001F493D" w:rsidRDefault="001F493D">
            <w:pPr>
              <w:spacing w:after="0"/>
              <w:jc w:val="center"/>
              <w:rPr>
                <w:rFonts w:cs="Arial"/>
                <w:sz w:val="20"/>
              </w:rPr>
            </w:pPr>
            <w:r>
              <w:rPr>
                <w:rFonts w:cs="Arial"/>
                <w:sz w:val="20"/>
              </w:rPr>
              <w:t>21</w:t>
            </w:r>
          </w:p>
        </w:tc>
        <w:tc>
          <w:tcPr>
            <w:tcW w:w="284" w:type="dxa"/>
            <w:tcBorders>
              <w:top w:val="single" w:sz="4" w:space="0" w:color="auto"/>
              <w:left w:val="nil"/>
              <w:bottom w:val="nil"/>
              <w:right w:val="nil"/>
            </w:tcBorders>
          </w:tcPr>
          <w:p w14:paraId="0DA9178D" w14:textId="77777777" w:rsidR="001F493D" w:rsidRDefault="001F493D">
            <w:pPr>
              <w:spacing w:after="0"/>
              <w:jc w:val="center"/>
              <w:rPr>
                <w:rFonts w:cs="Arial"/>
                <w:sz w:val="20"/>
              </w:rPr>
            </w:pPr>
            <w:r>
              <w:rPr>
                <w:rFonts w:cs="Arial"/>
                <w:sz w:val="20"/>
              </w:rPr>
              <w:t>24</w:t>
            </w:r>
          </w:p>
        </w:tc>
        <w:tc>
          <w:tcPr>
            <w:tcW w:w="284" w:type="dxa"/>
            <w:tcBorders>
              <w:top w:val="single" w:sz="4" w:space="0" w:color="auto"/>
              <w:left w:val="nil"/>
              <w:bottom w:val="nil"/>
              <w:right w:val="nil"/>
            </w:tcBorders>
          </w:tcPr>
          <w:p w14:paraId="2AF93C37" w14:textId="77777777" w:rsidR="001F493D" w:rsidRDefault="001F493D">
            <w:pPr>
              <w:spacing w:after="0"/>
              <w:jc w:val="center"/>
              <w:rPr>
                <w:rFonts w:cs="Arial"/>
                <w:sz w:val="20"/>
              </w:rPr>
            </w:pPr>
            <w:r>
              <w:rPr>
                <w:rFonts w:cs="Arial"/>
                <w:sz w:val="20"/>
              </w:rPr>
              <w:t>27</w:t>
            </w:r>
          </w:p>
        </w:tc>
        <w:tc>
          <w:tcPr>
            <w:tcW w:w="284" w:type="dxa"/>
            <w:tcBorders>
              <w:top w:val="single" w:sz="4" w:space="0" w:color="auto"/>
              <w:left w:val="nil"/>
              <w:bottom w:val="nil"/>
              <w:right w:val="nil"/>
            </w:tcBorders>
          </w:tcPr>
          <w:p w14:paraId="3687C21A" w14:textId="77777777" w:rsidR="001F493D" w:rsidRDefault="001F493D">
            <w:pPr>
              <w:spacing w:after="0"/>
              <w:jc w:val="center"/>
              <w:rPr>
                <w:rFonts w:cs="Arial"/>
                <w:sz w:val="20"/>
              </w:rPr>
            </w:pPr>
            <w:r>
              <w:rPr>
                <w:rFonts w:cs="Arial"/>
                <w:sz w:val="20"/>
              </w:rPr>
              <w:t>30</w:t>
            </w:r>
          </w:p>
        </w:tc>
        <w:tc>
          <w:tcPr>
            <w:tcW w:w="284" w:type="dxa"/>
            <w:tcBorders>
              <w:top w:val="single" w:sz="4" w:space="0" w:color="auto"/>
              <w:left w:val="nil"/>
              <w:bottom w:val="nil"/>
              <w:right w:val="nil"/>
            </w:tcBorders>
          </w:tcPr>
          <w:p w14:paraId="112E3B29" w14:textId="77777777" w:rsidR="001F493D" w:rsidRDefault="001F493D">
            <w:pPr>
              <w:spacing w:after="0"/>
              <w:jc w:val="center"/>
              <w:rPr>
                <w:rFonts w:cs="Arial"/>
                <w:sz w:val="20"/>
              </w:rPr>
            </w:pPr>
            <w:r>
              <w:rPr>
                <w:rFonts w:cs="Arial"/>
                <w:sz w:val="20"/>
              </w:rPr>
              <w:t>33</w:t>
            </w:r>
          </w:p>
        </w:tc>
        <w:tc>
          <w:tcPr>
            <w:tcW w:w="284" w:type="dxa"/>
            <w:tcBorders>
              <w:top w:val="single" w:sz="4" w:space="0" w:color="auto"/>
              <w:left w:val="nil"/>
              <w:bottom w:val="nil"/>
              <w:right w:val="nil"/>
            </w:tcBorders>
          </w:tcPr>
          <w:p w14:paraId="35A053F6" w14:textId="77777777" w:rsidR="001F493D" w:rsidRDefault="001F493D">
            <w:pPr>
              <w:spacing w:after="0"/>
              <w:jc w:val="center"/>
              <w:rPr>
                <w:rFonts w:cs="Arial"/>
                <w:sz w:val="20"/>
              </w:rPr>
            </w:pPr>
            <w:r>
              <w:rPr>
                <w:rFonts w:cs="Arial"/>
                <w:sz w:val="20"/>
              </w:rPr>
              <w:t>36</w:t>
            </w:r>
          </w:p>
        </w:tc>
        <w:tc>
          <w:tcPr>
            <w:tcW w:w="284" w:type="dxa"/>
            <w:tcBorders>
              <w:top w:val="single" w:sz="4" w:space="0" w:color="auto"/>
              <w:left w:val="nil"/>
              <w:bottom w:val="nil"/>
              <w:right w:val="nil"/>
            </w:tcBorders>
          </w:tcPr>
          <w:p w14:paraId="62C1C374" w14:textId="77777777" w:rsidR="001F493D" w:rsidRDefault="001F493D">
            <w:pPr>
              <w:spacing w:after="0"/>
              <w:jc w:val="center"/>
              <w:rPr>
                <w:rFonts w:cs="Arial"/>
                <w:sz w:val="20"/>
              </w:rPr>
            </w:pPr>
            <w:r>
              <w:rPr>
                <w:rFonts w:cs="Arial"/>
                <w:sz w:val="20"/>
              </w:rPr>
              <w:t>39</w:t>
            </w:r>
          </w:p>
        </w:tc>
        <w:tc>
          <w:tcPr>
            <w:tcW w:w="284" w:type="dxa"/>
            <w:tcBorders>
              <w:top w:val="single" w:sz="4" w:space="0" w:color="auto"/>
              <w:left w:val="nil"/>
              <w:bottom w:val="nil"/>
              <w:right w:val="nil"/>
            </w:tcBorders>
          </w:tcPr>
          <w:p w14:paraId="3E743718" w14:textId="77777777" w:rsidR="001F493D" w:rsidRDefault="001F493D">
            <w:pPr>
              <w:spacing w:after="0"/>
              <w:jc w:val="center"/>
              <w:rPr>
                <w:rFonts w:cs="Arial"/>
                <w:sz w:val="20"/>
              </w:rPr>
            </w:pPr>
            <w:r>
              <w:rPr>
                <w:rFonts w:cs="Arial"/>
                <w:sz w:val="20"/>
              </w:rPr>
              <w:t>42</w:t>
            </w:r>
          </w:p>
        </w:tc>
        <w:tc>
          <w:tcPr>
            <w:tcW w:w="284" w:type="dxa"/>
            <w:tcBorders>
              <w:top w:val="single" w:sz="4" w:space="0" w:color="auto"/>
              <w:left w:val="nil"/>
              <w:bottom w:val="nil"/>
              <w:right w:val="nil"/>
            </w:tcBorders>
          </w:tcPr>
          <w:p w14:paraId="0B727A86" w14:textId="77777777" w:rsidR="001F493D" w:rsidRDefault="001F493D">
            <w:pPr>
              <w:spacing w:after="0"/>
              <w:jc w:val="center"/>
              <w:rPr>
                <w:rFonts w:cs="Arial"/>
                <w:sz w:val="20"/>
              </w:rPr>
            </w:pPr>
            <w:r>
              <w:rPr>
                <w:rFonts w:cs="Arial"/>
                <w:sz w:val="20"/>
              </w:rPr>
              <w:t>45</w:t>
            </w:r>
          </w:p>
        </w:tc>
        <w:tc>
          <w:tcPr>
            <w:tcW w:w="284" w:type="dxa"/>
            <w:tcBorders>
              <w:top w:val="single" w:sz="4" w:space="0" w:color="auto"/>
              <w:left w:val="nil"/>
              <w:bottom w:val="nil"/>
              <w:right w:val="nil"/>
            </w:tcBorders>
          </w:tcPr>
          <w:p w14:paraId="41D3223F" w14:textId="77777777" w:rsidR="001F493D" w:rsidRDefault="001F493D">
            <w:pPr>
              <w:spacing w:after="0"/>
              <w:jc w:val="center"/>
              <w:rPr>
                <w:rFonts w:cs="Arial"/>
                <w:sz w:val="20"/>
              </w:rPr>
            </w:pPr>
            <w:r>
              <w:rPr>
                <w:rFonts w:cs="Arial"/>
                <w:sz w:val="20"/>
              </w:rPr>
              <w:t>48</w:t>
            </w:r>
          </w:p>
        </w:tc>
        <w:tc>
          <w:tcPr>
            <w:tcW w:w="284" w:type="dxa"/>
            <w:tcBorders>
              <w:top w:val="single" w:sz="4" w:space="0" w:color="auto"/>
              <w:left w:val="nil"/>
              <w:bottom w:val="nil"/>
              <w:right w:val="single" w:sz="4" w:space="0" w:color="auto"/>
            </w:tcBorders>
          </w:tcPr>
          <w:p w14:paraId="5BD5B43C" w14:textId="77777777" w:rsidR="001F493D" w:rsidRDefault="001F493D">
            <w:pPr>
              <w:spacing w:after="0"/>
              <w:jc w:val="center"/>
              <w:rPr>
                <w:rFonts w:cs="Arial"/>
                <w:sz w:val="20"/>
              </w:rPr>
            </w:pPr>
            <w:r>
              <w:rPr>
                <w:rFonts w:cs="Arial"/>
                <w:sz w:val="20"/>
              </w:rPr>
              <w:t>51</w:t>
            </w:r>
          </w:p>
        </w:tc>
      </w:tr>
      <w:tr w:rsidR="001F493D" w14:paraId="2EE99875" w14:textId="77777777">
        <w:tc>
          <w:tcPr>
            <w:tcW w:w="1049" w:type="dxa"/>
            <w:tcBorders>
              <w:top w:val="nil"/>
              <w:left w:val="single" w:sz="4" w:space="0" w:color="auto"/>
              <w:bottom w:val="nil"/>
              <w:right w:val="nil"/>
            </w:tcBorders>
          </w:tcPr>
          <w:p w14:paraId="5EE5D447" w14:textId="77777777" w:rsidR="001F493D" w:rsidRDefault="001F493D">
            <w:pPr>
              <w:spacing w:after="0"/>
              <w:jc w:val="center"/>
              <w:rPr>
                <w:rFonts w:cs="Arial"/>
                <w:sz w:val="20"/>
              </w:rPr>
            </w:pPr>
            <w:r>
              <w:rPr>
                <w:rFonts w:cs="Arial"/>
                <w:sz w:val="20"/>
              </w:rPr>
              <w:t>n</w:t>
            </w:r>
            <w:r>
              <w:rPr>
                <w:rFonts w:cs="Arial"/>
                <w:sz w:val="20"/>
              </w:rPr>
              <w:noBreakHyphen/>
            </w:r>
          </w:p>
          <w:p w14:paraId="320D9D35" w14:textId="77777777" w:rsidR="001F493D" w:rsidRDefault="001F493D">
            <w:pPr>
              <w:spacing w:after="0"/>
              <w:jc w:val="center"/>
              <w:rPr>
                <w:rFonts w:cs="Arial"/>
                <w:sz w:val="20"/>
              </w:rPr>
            </w:pPr>
            <w:r>
              <w:rPr>
                <w:rFonts w:cs="Arial"/>
                <w:sz w:val="20"/>
              </w:rPr>
              <w:t>LYNPARZA</w:t>
            </w:r>
          </w:p>
        </w:tc>
        <w:tc>
          <w:tcPr>
            <w:tcW w:w="284" w:type="dxa"/>
            <w:tcBorders>
              <w:top w:val="nil"/>
              <w:left w:val="nil"/>
              <w:bottom w:val="nil"/>
              <w:right w:val="nil"/>
            </w:tcBorders>
          </w:tcPr>
          <w:p w14:paraId="4F54C5EE" w14:textId="77777777" w:rsidR="001F493D" w:rsidRDefault="001F493D">
            <w:pPr>
              <w:spacing w:after="0"/>
              <w:jc w:val="center"/>
              <w:rPr>
                <w:rFonts w:cs="Arial"/>
                <w:sz w:val="20"/>
              </w:rPr>
            </w:pPr>
            <w:r>
              <w:rPr>
                <w:rFonts w:cs="Arial"/>
                <w:sz w:val="20"/>
              </w:rPr>
              <w:t>74</w:t>
            </w:r>
          </w:p>
        </w:tc>
        <w:tc>
          <w:tcPr>
            <w:tcW w:w="284" w:type="dxa"/>
            <w:tcBorders>
              <w:top w:val="nil"/>
              <w:left w:val="nil"/>
              <w:bottom w:val="nil"/>
              <w:right w:val="nil"/>
            </w:tcBorders>
          </w:tcPr>
          <w:p w14:paraId="023A26D6" w14:textId="77777777" w:rsidR="001F493D" w:rsidRDefault="001F493D">
            <w:pPr>
              <w:spacing w:after="0"/>
              <w:jc w:val="center"/>
              <w:rPr>
                <w:rFonts w:cs="Arial"/>
                <w:sz w:val="20"/>
              </w:rPr>
            </w:pPr>
            <w:r>
              <w:rPr>
                <w:rFonts w:cs="Arial"/>
                <w:sz w:val="20"/>
              </w:rPr>
              <w:t>71</w:t>
            </w:r>
          </w:p>
        </w:tc>
        <w:tc>
          <w:tcPr>
            <w:tcW w:w="284" w:type="dxa"/>
            <w:tcBorders>
              <w:top w:val="nil"/>
              <w:left w:val="nil"/>
              <w:bottom w:val="nil"/>
              <w:right w:val="nil"/>
            </w:tcBorders>
          </w:tcPr>
          <w:p w14:paraId="0BF09E63" w14:textId="77777777" w:rsidR="001F493D" w:rsidRDefault="001F493D">
            <w:pPr>
              <w:spacing w:after="0"/>
              <w:jc w:val="center"/>
              <w:rPr>
                <w:rFonts w:cs="Arial"/>
                <w:sz w:val="20"/>
              </w:rPr>
            </w:pPr>
            <w:r>
              <w:rPr>
                <w:rFonts w:cs="Arial"/>
                <w:sz w:val="20"/>
              </w:rPr>
              <w:t>69</w:t>
            </w:r>
          </w:p>
        </w:tc>
        <w:tc>
          <w:tcPr>
            <w:tcW w:w="284" w:type="dxa"/>
            <w:tcBorders>
              <w:top w:val="nil"/>
              <w:left w:val="nil"/>
              <w:bottom w:val="nil"/>
              <w:right w:val="nil"/>
            </w:tcBorders>
          </w:tcPr>
          <w:p w14:paraId="28F8E9C0" w14:textId="77777777" w:rsidR="001F493D" w:rsidRDefault="001F493D">
            <w:pPr>
              <w:spacing w:after="0"/>
              <w:jc w:val="center"/>
              <w:rPr>
                <w:rFonts w:cs="Arial"/>
                <w:sz w:val="20"/>
              </w:rPr>
            </w:pPr>
            <w:r>
              <w:rPr>
                <w:rFonts w:cs="Arial"/>
                <w:sz w:val="20"/>
              </w:rPr>
              <w:t>67</w:t>
            </w:r>
          </w:p>
        </w:tc>
        <w:tc>
          <w:tcPr>
            <w:tcW w:w="284" w:type="dxa"/>
            <w:tcBorders>
              <w:top w:val="nil"/>
              <w:left w:val="nil"/>
              <w:bottom w:val="nil"/>
              <w:right w:val="nil"/>
            </w:tcBorders>
          </w:tcPr>
          <w:p w14:paraId="702C348B" w14:textId="77777777" w:rsidR="001F493D" w:rsidRDefault="001F493D">
            <w:pPr>
              <w:spacing w:after="0"/>
              <w:jc w:val="center"/>
              <w:rPr>
                <w:rFonts w:cs="Arial"/>
                <w:sz w:val="20"/>
              </w:rPr>
            </w:pPr>
            <w:r>
              <w:rPr>
                <w:rFonts w:cs="Arial"/>
                <w:sz w:val="20"/>
              </w:rPr>
              <w:t>65</w:t>
            </w:r>
          </w:p>
        </w:tc>
        <w:tc>
          <w:tcPr>
            <w:tcW w:w="284" w:type="dxa"/>
            <w:tcBorders>
              <w:top w:val="nil"/>
              <w:left w:val="nil"/>
              <w:bottom w:val="nil"/>
              <w:right w:val="nil"/>
            </w:tcBorders>
          </w:tcPr>
          <w:p w14:paraId="6AE8A63A" w14:textId="77777777" w:rsidR="001F493D" w:rsidRDefault="001F493D">
            <w:pPr>
              <w:spacing w:after="0"/>
              <w:jc w:val="center"/>
              <w:rPr>
                <w:rFonts w:cs="Arial"/>
                <w:sz w:val="20"/>
              </w:rPr>
            </w:pPr>
            <w:r>
              <w:rPr>
                <w:rFonts w:cs="Arial"/>
                <w:sz w:val="20"/>
              </w:rPr>
              <w:t>62</w:t>
            </w:r>
          </w:p>
        </w:tc>
        <w:tc>
          <w:tcPr>
            <w:tcW w:w="284" w:type="dxa"/>
            <w:tcBorders>
              <w:top w:val="nil"/>
              <w:left w:val="nil"/>
              <w:bottom w:val="nil"/>
              <w:right w:val="nil"/>
            </w:tcBorders>
          </w:tcPr>
          <w:p w14:paraId="7A3DECB0" w14:textId="77777777" w:rsidR="001F493D" w:rsidRDefault="001F493D">
            <w:pPr>
              <w:spacing w:after="0"/>
              <w:jc w:val="center"/>
              <w:rPr>
                <w:rFonts w:cs="Arial"/>
                <w:sz w:val="20"/>
              </w:rPr>
            </w:pPr>
            <w:r>
              <w:rPr>
                <w:rFonts w:cs="Arial"/>
                <w:sz w:val="20"/>
              </w:rPr>
              <w:t>56</w:t>
            </w:r>
          </w:p>
        </w:tc>
        <w:tc>
          <w:tcPr>
            <w:tcW w:w="284" w:type="dxa"/>
            <w:tcBorders>
              <w:top w:val="nil"/>
              <w:left w:val="nil"/>
              <w:bottom w:val="nil"/>
              <w:right w:val="nil"/>
            </w:tcBorders>
          </w:tcPr>
          <w:p w14:paraId="34AE1240" w14:textId="77777777" w:rsidR="001F493D" w:rsidRDefault="001F493D">
            <w:pPr>
              <w:spacing w:after="0"/>
              <w:jc w:val="center"/>
              <w:rPr>
                <w:rFonts w:cs="Arial"/>
                <w:sz w:val="20"/>
              </w:rPr>
            </w:pPr>
            <w:r>
              <w:rPr>
                <w:rFonts w:cs="Arial"/>
                <w:sz w:val="20"/>
              </w:rPr>
              <w:t>53</w:t>
            </w:r>
          </w:p>
        </w:tc>
        <w:tc>
          <w:tcPr>
            <w:tcW w:w="284" w:type="dxa"/>
            <w:tcBorders>
              <w:top w:val="nil"/>
              <w:left w:val="nil"/>
              <w:bottom w:val="nil"/>
              <w:right w:val="nil"/>
            </w:tcBorders>
          </w:tcPr>
          <w:p w14:paraId="14FEF3E6" w14:textId="77777777" w:rsidR="001F493D" w:rsidRDefault="001F493D">
            <w:pPr>
              <w:spacing w:after="0"/>
              <w:jc w:val="center"/>
              <w:rPr>
                <w:rFonts w:cs="Arial"/>
                <w:sz w:val="20"/>
              </w:rPr>
            </w:pPr>
            <w:r>
              <w:rPr>
                <w:rFonts w:cs="Arial"/>
                <w:sz w:val="20"/>
              </w:rPr>
              <w:t>50</w:t>
            </w:r>
          </w:p>
        </w:tc>
        <w:tc>
          <w:tcPr>
            <w:tcW w:w="284" w:type="dxa"/>
            <w:tcBorders>
              <w:top w:val="nil"/>
              <w:left w:val="nil"/>
              <w:bottom w:val="nil"/>
              <w:right w:val="nil"/>
            </w:tcBorders>
          </w:tcPr>
          <w:p w14:paraId="13DF7F72" w14:textId="77777777" w:rsidR="001F493D" w:rsidRDefault="001F493D">
            <w:pPr>
              <w:spacing w:after="0"/>
              <w:jc w:val="center"/>
              <w:rPr>
                <w:rFonts w:cs="Arial"/>
                <w:sz w:val="20"/>
              </w:rPr>
            </w:pPr>
            <w:r>
              <w:rPr>
                <w:rFonts w:cs="Arial"/>
                <w:sz w:val="20"/>
              </w:rPr>
              <w:t>48</w:t>
            </w:r>
          </w:p>
        </w:tc>
        <w:tc>
          <w:tcPr>
            <w:tcW w:w="284" w:type="dxa"/>
            <w:tcBorders>
              <w:top w:val="nil"/>
              <w:left w:val="nil"/>
              <w:bottom w:val="nil"/>
              <w:right w:val="nil"/>
            </w:tcBorders>
          </w:tcPr>
          <w:p w14:paraId="0028F76F" w14:textId="77777777" w:rsidR="001F493D" w:rsidRDefault="001F493D">
            <w:pPr>
              <w:spacing w:after="0"/>
              <w:jc w:val="center"/>
              <w:rPr>
                <w:rFonts w:cs="Arial"/>
                <w:sz w:val="20"/>
              </w:rPr>
            </w:pPr>
            <w:r>
              <w:rPr>
                <w:rFonts w:cs="Arial"/>
                <w:sz w:val="20"/>
              </w:rPr>
              <w:t>39</w:t>
            </w:r>
          </w:p>
        </w:tc>
        <w:tc>
          <w:tcPr>
            <w:tcW w:w="284" w:type="dxa"/>
            <w:tcBorders>
              <w:top w:val="nil"/>
              <w:left w:val="nil"/>
              <w:bottom w:val="nil"/>
              <w:right w:val="nil"/>
            </w:tcBorders>
          </w:tcPr>
          <w:p w14:paraId="3EA90796" w14:textId="77777777" w:rsidR="001F493D" w:rsidRDefault="001F493D">
            <w:pPr>
              <w:spacing w:after="0"/>
              <w:jc w:val="center"/>
              <w:rPr>
                <w:rFonts w:cs="Arial"/>
                <w:sz w:val="20"/>
              </w:rPr>
            </w:pPr>
            <w:r>
              <w:rPr>
                <w:rFonts w:cs="Arial"/>
                <w:sz w:val="20"/>
              </w:rPr>
              <w:t>36</w:t>
            </w:r>
          </w:p>
        </w:tc>
        <w:tc>
          <w:tcPr>
            <w:tcW w:w="284" w:type="dxa"/>
            <w:tcBorders>
              <w:top w:val="nil"/>
              <w:left w:val="nil"/>
              <w:bottom w:val="nil"/>
              <w:right w:val="nil"/>
            </w:tcBorders>
          </w:tcPr>
          <w:p w14:paraId="7594CA0D" w14:textId="77777777" w:rsidR="001F493D" w:rsidRDefault="001F493D">
            <w:pPr>
              <w:spacing w:after="0"/>
              <w:jc w:val="center"/>
              <w:rPr>
                <w:rFonts w:cs="Arial"/>
                <w:sz w:val="20"/>
              </w:rPr>
            </w:pPr>
            <w:r>
              <w:rPr>
                <w:rFonts w:cs="Arial"/>
                <w:sz w:val="20"/>
              </w:rPr>
              <w:t>26</w:t>
            </w:r>
          </w:p>
        </w:tc>
        <w:tc>
          <w:tcPr>
            <w:tcW w:w="284" w:type="dxa"/>
            <w:tcBorders>
              <w:top w:val="nil"/>
              <w:left w:val="nil"/>
              <w:bottom w:val="nil"/>
              <w:right w:val="nil"/>
            </w:tcBorders>
          </w:tcPr>
          <w:p w14:paraId="681844AA" w14:textId="77777777" w:rsidR="001F493D" w:rsidRDefault="001F493D">
            <w:pPr>
              <w:spacing w:after="0"/>
              <w:jc w:val="center"/>
              <w:rPr>
                <w:rFonts w:cs="Arial"/>
                <w:sz w:val="20"/>
              </w:rPr>
            </w:pPr>
            <w:r>
              <w:rPr>
                <w:rFonts w:cs="Arial"/>
                <w:sz w:val="20"/>
              </w:rPr>
              <w:t>12</w:t>
            </w:r>
          </w:p>
        </w:tc>
        <w:tc>
          <w:tcPr>
            <w:tcW w:w="284" w:type="dxa"/>
            <w:tcBorders>
              <w:top w:val="nil"/>
              <w:left w:val="nil"/>
              <w:bottom w:val="nil"/>
              <w:right w:val="nil"/>
            </w:tcBorders>
          </w:tcPr>
          <w:p w14:paraId="060F15FD" w14:textId="77777777" w:rsidR="001F493D" w:rsidRDefault="001F493D">
            <w:pPr>
              <w:spacing w:after="0"/>
              <w:jc w:val="center"/>
              <w:rPr>
                <w:rFonts w:cs="Arial"/>
                <w:sz w:val="20"/>
              </w:rPr>
            </w:pPr>
            <w:r>
              <w:rPr>
                <w:rFonts w:cs="Arial"/>
                <w:sz w:val="20"/>
              </w:rPr>
              <w:t>7</w:t>
            </w:r>
          </w:p>
        </w:tc>
        <w:tc>
          <w:tcPr>
            <w:tcW w:w="284" w:type="dxa"/>
            <w:tcBorders>
              <w:top w:val="nil"/>
              <w:left w:val="nil"/>
              <w:bottom w:val="nil"/>
              <w:right w:val="nil"/>
            </w:tcBorders>
          </w:tcPr>
          <w:p w14:paraId="0BCB316D" w14:textId="77777777" w:rsidR="001F493D" w:rsidRDefault="001F493D">
            <w:pPr>
              <w:spacing w:after="0"/>
              <w:jc w:val="center"/>
              <w:rPr>
                <w:rFonts w:cs="Arial"/>
                <w:sz w:val="20"/>
              </w:rPr>
            </w:pPr>
            <w:r>
              <w:rPr>
                <w:rFonts w:cs="Arial"/>
                <w:sz w:val="20"/>
              </w:rPr>
              <w:t>0</w:t>
            </w:r>
          </w:p>
        </w:tc>
        <w:tc>
          <w:tcPr>
            <w:tcW w:w="284" w:type="dxa"/>
            <w:tcBorders>
              <w:top w:val="nil"/>
              <w:left w:val="nil"/>
              <w:bottom w:val="nil"/>
              <w:right w:val="nil"/>
            </w:tcBorders>
          </w:tcPr>
          <w:p w14:paraId="0D33E403" w14:textId="77777777" w:rsidR="001F493D" w:rsidRDefault="001F493D">
            <w:pPr>
              <w:spacing w:after="0"/>
              <w:jc w:val="center"/>
              <w:rPr>
                <w:rFonts w:cs="Arial"/>
                <w:sz w:val="20"/>
              </w:rPr>
            </w:pPr>
            <w:r>
              <w:rPr>
                <w:rFonts w:cs="Arial"/>
                <w:sz w:val="20"/>
              </w:rPr>
              <w:t>0</w:t>
            </w:r>
          </w:p>
        </w:tc>
        <w:tc>
          <w:tcPr>
            <w:tcW w:w="284" w:type="dxa"/>
            <w:tcBorders>
              <w:top w:val="nil"/>
              <w:left w:val="nil"/>
              <w:bottom w:val="nil"/>
              <w:right w:val="single" w:sz="4" w:space="0" w:color="auto"/>
            </w:tcBorders>
          </w:tcPr>
          <w:p w14:paraId="1ABF1086" w14:textId="77777777" w:rsidR="001F493D" w:rsidRDefault="001F493D">
            <w:pPr>
              <w:spacing w:after="0"/>
              <w:jc w:val="center"/>
              <w:rPr>
                <w:rFonts w:cs="Arial"/>
                <w:sz w:val="20"/>
              </w:rPr>
            </w:pPr>
            <w:r>
              <w:rPr>
                <w:rFonts w:cs="Arial"/>
                <w:sz w:val="20"/>
              </w:rPr>
              <w:t>0</w:t>
            </w:r>
          </w:p>
        </w:tc>
      </w:tr>
      <w:tr w:rsidR="001F493D" w14:paraId="7DE6CD1F" w14:textId="77777777">
        <w:tc>
          <w:tcPr>
            <w:tcW w:w="1049" w:type="dxa"/>
            <w:tcBorders>
              <w:top w:val="nil"/>
              <w:left w:val="single" w:sz="4" w:space="0" w:color="auto"/>
              <w:bottom w:val="single" w:sz="4" w:space="0" w:color="auto"/>
              <w:right w:val="nil"/>
            </w:tcBorders>
          </w:tcPr>
          <w:p w14:paraId="528A87AF" w14:textId="77777777" w:rsidR="001F493D" w:rsidRDefault="001F493D">
            <w:pPr>
              <w:spacing w:after="0"/>
              <w:jc w:val="center"/>
              <w:rPr>
                <w:rFonts w:cs="Arial"/>
                <w:sz w:val="20"/>
              </w:rPr>
            </w:pPr>
            <w:r>
              <w:rPr>
                <w:rFonts w:cs="Arial"/>
                <w:sz w:val="20"/>
              </w:rPr>
              <w:t>n</w:t>
            </w:r>
            <w:r>
              <w:rPr>
                <w:rFonts w:cs="Arial"/>
                <w:sz w:val="20"/>
              </w:rPr>
              <w:noBreakHyphen/>
            </w:r>
          </w:p>
          <w:p w14:paraId="278433D8" w14:textId="77777777" w:rsidR="001F493D" w:rsidRDefault="001F493D">
            <w:pPr>
              <w:spacing w:after="0"/>
              <w:jc w:val="center"/>
              <w:rPr>
                <w:rFonts w:cs="Arial"/>
                <w:sz w:val="20"/>
              </w:rPr>
            </w:pPr>
            <w:r>
              <w:rPr>
                <w:rFonts w:cs="Arial"/>
                <w:sz w:val="20"/>
              </w:rPr>
              <w:t>placebo</w:t>
            </w:r>
          </w:p>
        </w:tc>
        <w:tc>
          <w:tcPr>
            <w:tcW w:w="284" w:type="dxa"/>
            <w:tcBorders>
              <w:top w:val="nil"/>
              <w:left w:val="nil"/>
              <w:bottom w:val="single" w:sz="4" w:space="0" w:color="auto"/>
              <w:right w:val="nil"/>
            </w:tcBorders>
          </w:tcPr>
          <w:p w14:paraId="15C5B532" w14:textId="77777777" w:rsidR="001F493D" w:rsidRDefault="001F493D">
            <w:pPr>
              <w:spacing w:after="0"/>
              <w:jc w:val="center"/>
              <w:rPr>
                <w:rFonts w:cs="Arial"/>
                <w:sz w:val="20"/>
              </w:rPr>
            </w:pPr>
            <w:r>
              <w:rPr>
                <w:rFonts w:cs="Arial"/>
                <w:sz w:val="20"/>
              </w:rPr>
              <w:t>62</w:t>
            </w:r>
          </w:p>
        </w:tc>
        <w:tc>
          <w:tcPr>
            <w:tcW w:w="284" w:type="dxa"/>
            <w:tcBorders>
              <w:top w:val="nil"/>
              <w:left w:val="nil"/>
              <w:bottom w:val="single" w:sz="4" w:space="0" w:color="auto"/>
              <w:right w:val="nil"/>
            </w:tcBorders>
          </w:tcPr>
          <w:p w14:paraId="5CC4FCD4" w14:textId="77777777" w:rsidR="001F493D" w:rsidRDefault="001F493D">
            <w:pPr>
              <w:spacing w:after="0"/>
              <w:jc w:val="center"/>
              <w:rPr>
                <w:rFonts w:cs="Arial"/>
                <w:sz w:val="20"/>
              </w:rPr>
            </w:pPr>
            <w:r>
              <w:rPr>
                <w:rFonts w:cs="Arial"/>
                <w:sz w:val="20"/>
              </w:rPr>
              <w:t>62</w:t>
            </w:r>
          </w:p>
        </w:tc>
        <w:tc>
          <w:tcPr>
            <w:tcW w:w="284" w:type="dxa"/>
            <w:tcBorders>
              <w:top w:val="nil"/>
              <w:left w:val="nil"/>
              <w:bottom w:val="single" w:sz="4" w:space="0" w:color="auto"/>
              <w:right w:val="nil"/>
            </w:tcBorders>
          </w:tcPr>
          <w:p w14:paraId="0C243DAA" w14:textId="77777777" w:rsidR="001F493D" w:rsidRDefault="001F493D">
            <w:pPr>
              <w:spacing w:after="0"/>
              <w:jc w:val="center"/>
              <w:rPr>
                <w:rFonts w:cs="Arial"/>
                <w:sz w:val="20"/>
              </w:rPr>
            </w:pPr>
            <w:r>
              <w:rPr>
                <w:rFonts w:cs="Arial"/>
                <w:sz w:val="20"/>
              </w:rPr>
              <w:t>58</w:t>
            </w:r>
          </w:p>
        </w:tc>
        <w:tc>
          <w:tcPr>
            <w:tcW w:w="284" w:type="dxa"/>
            <w:tcBorders>
              <w:top w:val="nil"/>
              <w:left w:val="nil"/>
              <w:bottom w:val="single" w:sz="4" w:space="0" w:color="auto"/>
              <w:right w:val="nil"/>
            </w:tcBorders>
          </w:tcPr>
          <w:p w14:paraId="655E64C5" w14:textId="77777777" w:rsidR="001F493D" w:rsidRDefault="001F493D">
            <w:pPr>
              <w:spacing w:after="0"/>
              <w:jc w:val="center"/>
              <w:rPr>
                <w:rFonts w:cs="Arial"/>
                <w:sz w:val="20"/>
              </w:rPr>
            </w:pPr>
            <w:r>
              <w:rPr>
                <w:rFonts w:cs="Arial"/>
                <w:sz w:val="20"/>
              </w:rPr>
              <w:t>52</w:t>
            </w:r>
          </w:p>
        </w:tc>
        <w:tc>
          <w:tcPr>
            <w:tcW w:w="284" w:type="dxa"/>
            <w:tcBorders>
              <w:top w:val="nil"/>
              <w:left w:val="nil"/>
              <w:bottom w:val="single" w:sz="4" w:space="0" w:color="auto"/>
              <w:right w:val="nil"/>
            </w:tcBorders>
          </w:tcPr>
          <w:p w14:paraId="714CB460" w14:textId="77777777" w:rsidR="001F493D" w:rsidRDefault="001F493D">
            <w:pPr>
              <w:spacing w:after="0"/>
              <w:jc w:val="center"/>
              <w:rPr>
                <w:rFonts w:cs="Arial"/>
                <w:sz w:val="20"/>
              </w:rPr>
            </w:pPr>
            <w:r>
              <w:rPr>
                <w:rFonts w:cs="Arial"/>
                <w:sz w:val="20"/>
              </w:rPr>
              <w:t>50</w:t>
            </w:r>
          </w:p>
        </w:tc>
        <w:tc>
          <w:tcPr>
            <w:tcW w:w="284" w:type="dxa"/>
            <w:tcBorders>
              <w:top w:val="nil"/>
              <w:left w:val="nil"/>
              <w:bottom w:val="single" w:sz="4" w:space="0" w:color="auto"/>
              <w:right w:val="nil"/>
            </w:tcBorders>
          </w:tcPr>
          <w:p w14:paraId="26B0CCC6" w14:textId="77777777" w:rsidR="001F493D" w:rsidRDefault="001F493D">
            <w:pPr>
              <w:spacing w:after="0"/>
              <w:jc w:val="center"/>
              <w:rPr>
                <w:rFonts w:cs="Arial"/>
                <w:sz w:val="20"/>
              </w:rPr>
            </w:pPr>
            <w:r>
              <w:rPr>
                <w:rFonts w:cs="Arial"/>
                <w:sz w:val="20"/>
              </w:rPr>
              <w:t>46</w:t>
            </w:r>
          </w:p>
        </w:tc>
        <w:tc>
          <w:tcPr>
            <w:tcW w:w="284" w:type="dxa"/>
            <w:tcBorders>
              <w:top w:val="nil"/>
              <w:left w:val="nil"/>
              <w:bottom w:val="single" w:sz="4" w:space="0" w:color="auto"/>
              <w:right w:val="nil"/>
            </w:tcBorders>
          </w:tcPr>
          <w:p w14:paraId="67AC922E" w14:textId="77777777" w:rsidR="001F493D" w:rsidRDefault="001F493D">
            <w:pPr>
              <w:spacing w:after="0"/>
              <w:jc w:val="center"/>
              <w:rPr>
                <w:rFonts w:cs="Arial"/>
                <w:sz w:val="20"/>
              </w:rPr>
            </w:pPr>
            <w:r>
              <w:rPr>
                <w:rFonts w:cs="Arial"/>
                <w:sz w:val="20"/>
              </w:rPr>
              <w:t>39</w:t>
            </w:r>
          </w:p>
        </w:tc>
        <w:tc>
          <w:tcPr>
            <w:tcW w:w="284" w:type="dxa"/>
            <w:tcBorders>
              <w:top w:val="nil"/>
              <w:left w:val="nil"/>
              <w:bottom w:val="single" w:sz="4" w:space="0" w:color="auto"/>
              <w:right w:val="nil"/>
            </w:tcBorders>
          </w:tcPr>
          <w:p w14:paraId="6270EF23" w14:textId="77777777" w:rsidR="001F493D" w:rsidRDefault="001F493D">
            <w:pPr>
              <w:spacing w:after="0"/>
              <w:jc w:val="center"/>
              <w:rPr>
                <w:rFonts w:cs="Arial"/>
                <w:sz w:val="20"/>
              </w:rPr>
            </w:pPr>
            <w:r>
              <w:rPr>
                <w:rFonts w:cs="Arial"/>
                <w:sz w:val="20"/>
              </w:rPr>
              <w:t>36</w:t>
            </w:r>
          </w:p>
        </w:tc>
        <w:tc>
          <w:tcPr>
            <w:tcW w:w="284" w:type="dxa"/>
            <w:tcBorders>
              <w:top w:val="nil"/>
              <w:left w:val="nil"/>
              <w:bottom w:val="single" w:sz="4" w:space="0" w:color="auto"/>
              <w:right w:val="nil"/>
            </w:tcBorders>
          </w:tcPr>
          <w:p w14:paraId="2192F84B" w14:textId="77777777" w:rsidR="001F493D" w:rsidRDefault="001F493D">
            <w:pPr>
              <w:spacing w:after="0"/>
              <w:jc w:val="center"/>
              <w:rPr>
                <w:rFonts w:cs="Arial"/>
                <w:sz w:val="20"/>
              </w:rPr>
            </w:pPr>
            <w:r>
              <w:rPr>
                <w:rFonts w:cs="Arial"/>
                <w:sz w:val="20"/>
              </w:rPr>
              <w:t>33</w:t>
            </w:r>
          </w:p>
        </w:tc>
        <w:tc>
          <w:tcPr>
            <w:tcW w:w="284" w:type="dxa"/>
            <w:tcBorders>
              <w:top w:val="nil"/>
              <w:left w:val="nil"/>
              <w:bottom w:val="single" w:sz="4" w:space="0" w:color="auto"/>
              <w:right w:val="nil"/>
            </w:tcBorders>
          </w:tcPr>
          <w:p w14:paraId="1E4C2246" w14:textId="77777777" w:rsidR="001F493D" w:rsidRDefault="001F493D">
            <w:pPr>
              <w:spacing w:after="0"/>
              <w:jc w:val="center"/>
              <w:rPr>
                <w:rFonts w:cs="Arial"/>
                <w:sz w:val="20"/>
              </w:rPr>
            </w:pPr>
            <w:r>
              <w:rPr>
                <w:rFonts w:cs="Arial"/>
                <w:sz w:val="20"/>
              </w:rPr>
              <w:t>29</w:t>
            </w:r>
          </w:p>
        </w:tc>
        <w:tc>
          <w:tcPr>
            <w:tcW w:w="284" w:type="dxa"/>
            <w:tcBorders>
              <w:top w:val="nil"/>
              <w:left w:val="nil"/>
              <w:bottom w:val="single" w:sz="4" w:space="0" w:color="auto"/>
              <w:right w:val="nil"/>
            </w:tcBorders>
          </w:tcPr>
          <w:p w14:paraId="69CBA6C7" w14:textId="77777777" w:rsidR="001F493D" w:rsidRDefault="001F493D">
            <w:pPr>
              <w:spacing w:after="0"/>
              <w:jc w:val="center"/>
              <w:rPr>
                <w:rFonts w:cs="Arial"/>
                <w:sz w:val="20"/>
              </w:rPr>
            </w:pPr>
            <w:r>
              <w:rPr>
                <w:rFonts w:cs="Arial"/>
                <w:sz w:val="20"/>
              </w:rPr>
              <w:t>29</w:t>
            </w:r>
          </w:p>
        </w:tc>
        <w:tc>
          <w:tcPr>
            <w:tcW w:w="284" w:type="dxa"/>
            <w:tcBorders>
              <w:top w:val="nil"/>
              <w:left w:val="nil"/>
              <w:bottom w:val="single" w:sz="4" w:space="0" w:color="auto"/>
              <w:right w:val="nil"/>
            </w:tcBorders>
          </w:tcPr>
          <w:p w14:paraId="44CA07D8" w14:textId="77777777" w:rsidR="001F493D" w:rsidRDefault="001F493D">
            <w:pPr>
              <w:spacing w:after="0"/>
              <w:jc w:val="center"/>
              <w:rPr>
                <w:rFonts w:cs="Arial"/>
                <w:sz w:val="20"/>
              </w:rPr>
            </w:pPr>
            <w:r>
              <w:rPr>
                <w:rFonts w:cs="Arial"/>
                <w:sz w:val="20"/>
              </w:rPr>
              <w:t>27</w:t>
            </w:r>
          </w:p>
        </w:tc>
        <w:tc>
          <w:tcPr>
            <w:tcW w:w="284" w:type="dxa"/>
            <w:tcBorders>
              <w:top w:val="nil"/>
              <w:left w:val="nil"/>
              <w:bottom w:val="single" w:sz="4" w:space="0" w:color="auto"/>
              <w:right w:val="nil"/>
            </w:tcBorders>
          </w:tcPr>
          <w:p w14:paraId="159BC45C" w14:textId="77777777" w:rsidR="001F493D" w:rsidRDefault="001F493D">
            <w:pPr>
              <w:spacing w:after="0"/>
              <w:jc w:val="center"/>
              <w:rPr>
                <w:rFonts w:cs="Arial"/>
                <w:sz w:val="20"/>
              </w:rPr>
            </w:pPr>
            <w:r>
              <w:rPr>
                <w:rFonts w:cs="Arial"/>
                <w:sz w:val="20"/>
              </w:rPr>
              <w:t>21</w:t>
            </w:r>
          </w:p>
        </w:tc>
        <w:tc>
          <w:tcPr>
            <w:tcW w:w="284" w:type="dxa"/>
            <w:tcBorders>
              <w:top w:val="nil"/>
              <w:left w:val="nil"/>
              <w:bottom w:val="single" w:sz="4" w:space="0" w:color="auto"/>
              <w:right w:val="nil"/>
            </w:tcBorders>
          </w:tcPr>
          <w:p w14:paraId="13C8BD90" w14:textId="77777777" w:rsidR="001F493D" w:rsidRDefault="001F493D">
            <w:pPr>
              <w:spacing w:after="0"/>
              <w:jc w:val="center"/>
              <w:rPr>
                <w:rFonts w:cs="Arial"/>
                <w:sz w:val="20"/>
              </w:rPr>
            </w:pPr>
            <w:r>
              <w:rPr>
                <w:rFonts w:cs="Arial"/>
                <w:sz w:val="20"/>
              </w:rPr>
              <w:t>10</w:t>
            </w:r>
          </w:p>
        </w:tc>
        <w:tc>
          <w:tcPr>
            <w:tcW w:w="284" w:type="dxa"/>
            <w:tcBorders>
              <w:top w:val="nil"/>
              <w:left w:val="nil"/>
              <w:bottom w:val="single" w:sz="4" w:space="0" w:color="auto"/>
              <w:right w:val="nil"/>
            </w:tcBorders>
          </w:tcPr>
          <w:p w14:paraId="171D0360" w14:textId="77777777" w:rsidR="001F493D" w:rsidRDefault="001F493D">
            <w:pPr>
              <w:spacing w:after="0"/>
              <w:jc w:val="center"/>
              <w:rPr>
                <w:rFonts w:cs="Arial"/>
                <w:sz w:val="20"/>
              </w:rPr>
            </w:pPr>
            <w:r>
              <w:rPr>
                <w:rFonts w:cs="Arial"/>
                <w:sz w:val="20"/>
              </w:rPr>
              <w:t>4</w:t>
            </w:r>
          </w:p>
        </w:tc>
        <w:tc>
          <w:tcPr>
            <w:tcW w:w="284" w:type="dxa"/>
            <w:tcBorders>
              <w:top w:val="nil"/>
              <w:left w:val="nil"/>
              <w:bottom w:val="single" w:sz="4" w:space="0" w:color="auto"/>
              <w:right w:val="nil"/>
            </w:tcBorders>
          </w:tcPr>
          <w:p w14:paraId="4F1726FB" w14:textId="77777777" w:rsidR="001F493D" w:rsidRDefault="001F493D">
            <w:pPr>
              <w:spacing w:after="0"/>
              <w:jc w:val="center"/>
              <w:rPr>
                <w:rFonts w:cs="Arial"/>
                <w:sz w:val="20"/>
              </w:rPr>
            </w:pPr>
            <w:r>
              <w:rPr>
                <w:rFonts w:cs="Arial"/>
                <w:sz w:val="20"/>
              </w:rPr>
              <w:t>0</w:t>
            </w:r>
          </w:p>
        </w:tc>
        <w:tc>
          <w:tcPr>
            <w:tcW w:w="284" w:type="dxa"/>
            <w:tcBorders>
              <w:top w:val="nil"/>
              <w:left w:val="nil"/>
              <w:bottom w:val="single" w:sz="4" w:space="0" w:color="auto"/>
              <w:right w:val="nil"/>
            </w:tcBorders>
          </w:tcPr>
          <w:p w14:paraId="463F525C" w14:textId="77777777" w:rsidR="001F493D" w:rsidRDefault="001F493D">
            <w:pPr>
              <w:spacing w:after="0"/>
              <w:jc w:val="center"/>
              <w:rPr>
                <w:rFonts w:cs="Arial"/>
                <w:sz w:val="20"/>
              </w:rPr>
            </w:pPr>
            <w:r>
              <w:rPr>
                <w:rFonts w:cs="Arial"/>
                <w:sz w:val="20"/>
              </w:rPr>
              <w:t>0</w:t>
            </w:r>
          </w:p>
        </w:tc>
        <w:tc>
          <w:tcPr>
            <w:tcW w:w="284" w:type="dxa"/>
            <w:tcBorders>
              <w:top w:val="nil"/>
              <w:left w:val="nil"/>
              <w:bottom w:val="single" w:sz="4" w:space="0" w:color="auto"/>
              <w:right w:val="single" w:sz="4" w:space="0" w:color="auto"/>
            </w:tcBorders>
          </w:tcPr>
          <w:p w14:paraId="064771D6" w14:textId="77777777" w:rsidR="001F493D" w:rsidRDefault="001F493D">
            <w:pPr>
              <w:spacing w:after="0"/>
              <w:jc w:val="center"/>
              <w:rPr>
                <w:rFonts w:cs="Arial"/>
                <w:sz w:val="20"/>
              </w:rPr>
            </w:pPr>
            <w:r>
              <w:rPr>
                <w:rFonts w:cs="Arial"/>
                <w:sz w:val="20"/>
              </w:rPr>
              <w:t>0</w:t>
            </w:r>
          </w:p>
        </w:tc>
      </w:tr>
    </w:tbl>
    <w:p w14:paraId="1A5808D0" w14:textId="4E3DDB39" w:rsidR="001F493D" w:rsidRDefault="001F493D">
      <w:pPr>
        <w:spacing w:before="120" w:after="120"/>
        <w:rPr>
          <w:sz w:val="22"/>
          <w:szCs w:val="22"/>
        </w:rPr>
      </w:pPr>
      <w:r>
        <w:rPr>
          <w:sz w:val="22"/>
          <w:szCs w:val="22"/>
        </w:rPr>
        <w:t>-----</w:t>
      </w:r>
      <w:r w:rsidR="00FE105A">
        <w:rPr>
          <w:sz w:val="22"/>
          <w:szCs w:val="22"/>
        </w:rPr>
        <w:t xml:space="preserve"> </w:t>
      </w:r>
      <w:proofErr w:type="spellStart"/>
      <w:proofErr w:type="gramStart"/>
      <w:r>
        <w:rPr>
          <w:sz w:val="22"/>
          <w:szCs w:val="22"/>
        </w:rPr>
        <w:t>olaparib</w:t>
      </w:r>
      <w:proofErr w:type="spellEnd"/>
      <w:proofErr w:type="gramEnd"/>
      <w:r>
        <w:rPr>
          <w:sz w:val="22"/>
          <w:szCs w:val="22"/>
        </w:rPr>
        <w:t xml:space="preserve"> 400 mg </w:t>
      </w:r>
      <w:proofErr w:type="spellStart"/>
      <w:r>
        <w:rPr>
          <w:sz w:val="22"/>
          <w:szCs w:val="22"/>
        </w:rPr>
        <w:t>bd</w:t>
      </w:r>
      <w:proofErr w:type="spellEnd"/>
      <w:r>
        <w:rPr>
          <w:sz w:val="22"/>
          <w:szCs w:val="22"/>
        </w:rPr>
        <w:t xml:space="preserve"> twice daily, </w:t>
      </w:r>
      <w:r>
        <w:rPr>
          <w:sz w:val="22"/>
          <w:szCs w:val="22"/>
          <w:vertAlign w:val="superscript"/>
        </w:rPr>
        <w:t>______</w:t>
      </w:r>
      <w:r w:rsidR="00FE105A">
        <w:rPr>
          <w:sz w:val="22"/>
          <w:szCs w:val="22"/>
          <w:vertAlign w:val="superscript"/>
        </w:rPr>
        <w:t xml:space="preserve"> </w:t>
      </w:r>
      <w:r>
        <w:rPr>
          <w:sz w:val="22"/>
          <w:szCs w:val="22"/>
        </w:rPr>
        <w:t>placebo, x-axis</w:t>
      </w:r>
      <w:r w:rsidR="00FE105A">
        <w:rPr>
          <w:sz w:val="22"/>
          <w:szCs w:val="22"/>
        </w:rPr>
        <w:t xml:space="preserve"> </w:t>
      </w:r>
      <w:r>
        <w:rPr>
          <w:sz w:val="22"/>
          <w:szCs w:val="22"/>
        </w:rPr>
        <w:t>=</w:t>
      </w:r>
      <w:r w:rsidR="00FE105A">
        <w:rPr>
          <w:sz w:val="22"/>
          <w:szCs w:val="22"/>
        </w:rPr>
        <w:t xml:space="preserve"> </w:t>
      </w:r>
      <w:r>
        <w:rPr>
          <w:sz w:val="22"/>
          <w:szCs w:val="22"/>
        </w:rPr>
        <w:t>time from randomisation in months, y-axis</w:t>
      </w:r>
      <w:r w:rsidR="00FE105A">
        <w:rPr>
          <w:sz w:val="22"/>
          <w:szCs w:val="22"/>
        </w:rPr>
        <w:t xml:space="preserve"> </w:t>
      </w:r>
      <w:r>
        <w:rPr>
          <w:sz w:val="22"/>
          <w:szCs w:val="22"/>
        </w:rPr>
        <w:t>=</w:t>
      </w:r>
      <w:r w:rsidR="00FE105A">
        <w:rPr>
          <w:sz w:val="22"/>
          <w:szCs w:val="22"/>
        </w:rPr>
        <w:t xml:space="preserve"> </w:t>
      </w:r>
      <w:r>
        <w:rPr>
          <w:sz w:val="22"/>
          <w:szCs w:val="22"/>
        </w:rPr>
        <w:t>OS (overall survival), n-LYNPARZA</w:t>
      </w:r>
      <w:r w:rsidR="00FE105A">
        <w:rPr>
          <w:sz w:val="22"/>
          <w:szCs w:val="22"/>
        </w:rPr>
        <w:t xml:space="preserve"> </w:t>
      </w:r>
      <w:r>
        <w:rPr>
          <w:sz w:val="22"/>
          <w:szCs w:val="22"/>
        </w:rPr>
        <w:t>= number of patients at risk-LYNPARZA, n-placebo</w:t>
      </w:r>
      <w:r w:rsidR="00FE105A">
        <w:rPr>
          <w:sz w:val="22"/>
          <w:szCs w:val="22"/>
        </w:rPr>
        <w:t xml:space="preserve"> </w:t>
      </w:r>
      <w:r>
        <w:rPr>
          <w:sz w:val="22"/>
          <w:szCs w:val="22"/>
        </w:rPr>
        <w:t>=</w:t>
      </w:r>
      <w:r w:rsidR="00FE105A">
        <w:rPr>
          <w:sz w:val="22"/>
          <w:szCs w:val="22"/>
        </w:rPr>
        <w:t xml:space="preserve"> </w:t>
      </w:r>
      <w:r>
        <w:rPr>
          <w:sz w:val="22"/>
          <w:szCs w:val="22"/>
        </w:rPr>
        <w:t>number of patients at risk</w:t>
      </w:r>
      <w:r>
        <w:rPr>
          <w:sz w:val="22"/>
          <w:szCs w:val="22"/>
        </w:rPr>
        <w:noBreakHyphen/>
        <w:t>placebo</w:t>
      </w:r>
    </w:p>
    <w:p w14:paraId="3E56D26E" w14:textId="77777777" w:rsidR="001F493D" w:rsidRDefault="001F493D">
      <w:pPr>
        <w:spacing w:before="120" w:after="120"/>
        <w:rPr>
          <w:sz w:val="22"/>
          <w:szCs w:val="22"/>
        </w:rPr>
      </w:pPr>
    </w:p>
    <w:p w14:paraId="23D388A6" w14:textId="77777777" w:rsidR="001F493D" w:rsidRDefault="001F493D">
      <w:pPr>
        <w:pStyle w:val="A-Single"/>
        <w:rPr>
          <w:b/>
          <w:sz w:val="22"/>
          <w:szCs w:val="22"/>
        </w:rPr>
      </w:pPr>
      <w:r>
        <w:rPr>
          <w:b/>
          <w:sz w:val="22"/>
          <w:szCs w:val="22"/>
        </w:rPr>
        <w:t>Effect on the QT interval</w:t>
      </w:r>
    </w:p>
    <w:p w14:paraId="052E151C" w14:textId="7BE2249A" w:rsidR="001F493D" w:rsidRDefault="001F493D" w:rsidP="001A3B5F">
      <w:pPr>
        <w:spacing w:before="120"/>
        <w:rPr>
          <w:sz w:val="22"/>
          <w:szCs w:val="22"/>
        </w:rPr>
      </w:pPr>
      <w:r>
        <w:rPr>
          <w:sz w:val="22"/>
          <w:szCs w:val="22"/>
        </w:rPr>
        <w:t xml:space="preserve">There is no clinically relevant effect of olaparib on cardiac repolarisation (as evaluated by an effect on the QT interval) following 300 mg </w:t>
      </w:r>
      <w:proofErr w:type="spellStart"/>
      <w:r>
        <w:rPr>
          <w:sz w:val="22"/>
          <w:szCs w:val="22"/>
        </w:rPr>
        <w:t>bd</w:t>
      </w:r>
      <w:proofErr w:type="spellEnd"/>
      <w:r>
        <w:rPr>
          <w:sz w:val="22"/>
          <w:szCs w:val="22"/>
        </w:rPr>
        <w:t xml:space="preserve"> multiple dosing of the olaparib tablet formulation.</w:t>
      </w:r>
    </w:p>
    <w:p w14:paraId="77AA275F" w14:textId="550F6474" w:rsidR="001A3B5F" w:rsidRPr="00AA1B2F" w:rsidRDefault="00E83311" w:rsidP="00AA1B2F">
      <w:pPr>
        <w:spacing w:before="120"/>
        <w:rPr>
          <w:b/>
          <w:sz w:val="22"/>
          <w:szCs w:val="22"/>
        </w:rPr>
      </w:pPr>
      <w:r w:rsidRPr="00AA1B2F">
        <w:rPr>
          <w:b/>
          <w:sz w:val="22"/>
          <w:szCs w:val="22"/>
        </w:rPr>
        <w:t>Retreatment on relapse</w:t>
      </w:r>
    </w:p>
    <w:p w14:paraId="22DED9B3" w14:textId="32BB7519" w:rsidR="001A3B5F" w:rsidRDefault="001A3B5F" w:rsidP="00AA1B2F">
      <w:pPr>
        <w:spacing w:before="120"/>
        <w:rPr>
          <w:sz w:val="22"/>
          <w:szCs w:val="22"/>
        </w:rPr>
      </w:pPr>
      <w:r>
        <w:rPr>
          <w:sz w:val="22"/>
          <w:szCs w:val="22"/>
        </w:rPr>
        <w:t>There are no data to support retreatment with olaparib as maintenance following subsequent relapse.</w:t>
      </w:r>
    </w:p>
    <w:p w14:paraId="53EC8D9D" w14:textId="246E277B" w:rsidR="001F493D" w:rsidRDefault="001F493D">
      <w:pPr>
        <w:pStyle w:val="A-Heading1"/>
        <w:rPr>
          <w:sz w:val="22"/>
          <w:lang w:val="en-AU"/>
        </w:rPr>
      </w:pPr>
      <w:r>
        <w:rPr>
          <w:sz w:val="22"/>
          <w:lang w:val="en-AU"/>
        </w:rPr>
        <w:t>INDICATIONS</w:t>
      </w:r>
    </w:p>
    <w:p w14:paraId="3501B3F3" w14:textId="262049D9" w:rsidR="001F493D" w:rsidRDefault="00A745C9">
      <w:pPr>
        <w:rPr>
          <w:sz w:val="22"/>
          <w:szCs w:val="22"/>
        </w:rPr>
      </w:pPr>
      <w:r>
        <w:rPr>
          <w:sz w:val="22"/>
          <w:szCs w:val="22"/>
          <w:lang w:val="en-US"/>
        </w:rPr>
        <w:t>Olaparib</w:t>
      </w:r>
      <w:r w:rsidR="001F493D">
        <w:rPr>
          <w:sz w:val="22"/>
          <w:szCs w:val="22"/>
          <w:lang w:val="en-US"/>
        </w:rPr>
        <w:t xml:space="preserve"> is indicated as monotherapy for the maintenance treatment of patients with platinum-sensitive relapsed </w:t>
      </w:r>
      <w:r w:rsidR="001F493D">
        <w:rPr>
          <w:i/>
          <w:sz w:val="22"/>
          <w:szCs w:val="22"/>
          <w:lang w:val="en-US"/>
        </w:rPr>
        <w:t>BRCA-</w:t>
      </w:r>
      <w:r w:rsidR="001F493D">
        <w:rPr>
          <w:sz w:val="22"/>
          <w:szCs w:val="22"/>
          <w:lang w:val="en-US"/>
        </w:rPr>
        <w:t>mutated</w:t>
      </w:r>
      <w:r>
        <w:rPr>
          <w:sz w:val="22"/>
          <w:szCs w:val="22"/>
          <w:lang w:val="en-US"/>
        </w:rPr>
        <w:t xml:space="preserve"> (germline or somatic)</w:t>
      </w:r>
      <w:r w:rsidR="001F493D">
        <w:rPr>
          <w:sz w:val="22"/>
          <w:szCs w:val="22"/>
          <w:lang w:val="en-US"/>
        </w:rPr>
        <w:t xml:space="preserve"> high grade serous </w:t>
      </w:r>
      <w:r>
        <w:rPr>
          <w:sz w:val="22"/>
          <w:szCs w:val="22"/>
          <w:lang w:val="en-US"/>
        </w:rPr>
        <w:t xml:space="preserve">epithelial </w:t>
      </w:r>
      <w:r w:rsidR="001F493D">
        <w:rPr>
          <w:sz w:val="22"/>
          <w:szCs w:val="22"/>
          <w:lang w:val="en-US"/>
        </w:rPr>
        <w:t>ovarian</w:t>
      </w:r>
      <w:r w:rsidR="000D64C1">
        <w:rPr>
          <w:sz w:val="22"/>
          <w:szCs w:val="22"/>
          <w:lang w:val="en-US"/>
        </w:rPr>
        <w:t>,</w:t>
      </w:r>
      <w:r w:rsidR="001F493D">
        <w:rPr>
          <w:sz w:val="22"/>
          <w:szCs w:val="22"/>
          <w:lang w:val="en-US"/>
        </w:rPr>
        <w:t xml:space="preserve"> fallopian tube or primary peritoneal</w:t>
      </w:r>
      <w:r w:rsidR="000D64C1">
        <w:rPr>
          <w:sz w:val="22"/>
          <w:szCs w:val="22"/>
          <w:lang w:val="en-US"/>
        </w:rPr>
        <w:t xml:space="preserve"> cancer</w:t>
      </w:r>
      <w:r w:rsidR="001F493D">
        <w:rPr>
          <w:sz w:val="22"/>
          <w:szCs w:val="22"/>
          <w:lang w:val="en-US"/>
        </w:rPr>
        <w:t xml:space="preserve"> who are in response (complete response or partial response) </w:t>
      </w:r>
      <w:r w:rsidR="000D64C1">
        <w:rPr>
          <w:sz w:val="22"/>
          <w:szCs w:val="22"/>
          <w:lang w:val="en-US"/>
        </w:rPr>
        <w:t xml:space="preserve">after </w:t>
      </w:r>
      <w:r w:rsidR="001F493D">
        <w:rPr>
          <w:sz w:val="22"/>
          <w:szCs w:val="22"/>
          <w:lang w:val="en-US"/>
        </w:rPr>
        <w:t>platinum-based chemotherapy.</w:t>
      </w:r>
      <w:r w:rsidR="000D64C1">
        <w:rPr>
          <w:sz w:val="22"/>
          <w:szCs w:val="22"/>
          <w:lang w:val="en-US"/>
        </w:rPr>
        <w:t xml:space="preserve"> </w:t>
      </w:r>
      <w:r w:rsidR="000D64C1" w:rsidRPr="000D64C1">
        <w:rPr>
          <w:sz w:val="22"/>
          <w:szCs w:val="22"/>
          <w:lang w:val="en-US"/>
        </w:rPr>
        <w:t>Prior treatment must have included at least 2 courses of platinum-based regimens</w:t>
      </w:r>
      <w:r w:rsidR="000D64C1">
        <w:rPr>
          <w:sz w:val="22"/>
          <w:szCs w:val="22"/>
          <w:lang w:val="en-US"/>
        </w:rPr>
        <w:t>.</w:t>
      </w:r>
    </w:p>
    <w:p w14:paraId="1D614B0B" w14:textId="77777777" w:rsidR="001F493D" w:rsidRDefault="001F493D">
      <w:pPr>
        <w:pStyle w:val="A-Heading1"/>
        <w:rPr>
          <w:sz w:val="22"/>
          <w:lang w:val="en-AU"/>
        </w:rPr>
      </w:pPr>
      <w:r>
        <w:rPr>
          <w:sz w:val="22"/>
          <w:lang w:val="en-AU"/>
        </w:rPr>
        <w:lastRenderedPageBreak/>
        <w:t>CONTRAINDICATIONS</w:t>
      </w:r>
    </w:p>
    <w:p w14:paraId="3888AFB3" w14:textId="77777777" w:rsidR="002C39A1" w:rsidRPr="002C39A1" w:rsidRDefault="002C39A1" w:rsidP="002C39A1">
      <w:pPr>
        <w:autoSpaceDE w:val="0"/>
        <w:autoSpaceDN w:val="0"/>
        <w:adjustRightInd w:val="0"/>
        <w:spacing w:line="280" w:lineRule="exact"/>
        <w:rPr>
          <w:rFonts w:cs="Arial"/>
          <w:sz w:val="22"/>
          <w:szCs w:val="22"/>
          <w:lang w:eastAsia="en-AU"/>
        </w:rPr>
      </w:pPr>
      <w:r w:rsidRPr="002C39A1">
        <w:rPr>
          <w:rFonts w:cs="Arial"/>
          <w:sz w:val="22"/>
          <w:szCs w:val="22"/>
          <w:lang w:eastAsia="en-AU"/>
        </w:rPr>
        <w:t>Hypersensitivity to the active substance</w:t>
      </w:r>
      <w:r w:rsidR="00726D44">
        <w:rPr>
          <w:rFonts w:cs="Arial"/>
          <w:sz w:val="22"/>
          <w:szCs w:val="22"/>
          <w:lang w:eastAsia="en-AU"/>
        </w:rPr>
        <w:t xml:space="preserve"> (olaparib)</w:t>
      </w:r>
      <w:r w:rsidRPr="002C39A1">
        <w:rPr>
          <w:rFonts w:cs="Arial"/>
          <w:sz w:val="22"/>
          <w:szCs w:val="22"/>
          <w:lang w:eastAsia="en-AU"/>
        </w:rPr>
        <w:t xml:space="preserve"> or to any of the excipients.</w:t>
      </w:r>
    </w:p>
    <w:p w14:paraId="3A30D2FC" w14:textId="77777777" w:rsidR="001F493D" w:rsidRDefault="001F493D">
      <w:pPr>
        <w:pStyle w:val="A-Heading1"/>
        <w:rPr>
          <w:sz w:val="22"/>
        </w:rPr>
      </w:pPr>
      <w:r>
        <w:rPr>
          <w:sz w:val="22"/>
        </w:rPr>
        <w:t>Precautions</w:t>
      </w:r>
    </w:p>
    <w:p w14:paraId="7E1ADCE4" w14:textId="3EB781A9" w:rsidR="001F493D" w:rsidRDefault="001F493D">
      <w:pPr>
        <w:pStyle w:val="A-Heading2"/>
        <w:rPr>
          <w:sz w:val="22"/>
        </w:rPr>
      </w:pPr>
      <w:r>
        <w:rPr>
          <w:sz w:val="22"/>
        </w:rPr>
        <w:t>Haematological toxicity</w:t>
      </w:r>
    </w:p>
    <w:p w14:paraId="679924BD" w14:textId="6ED1DD53" w:rsidR="001F493D" w:rsidRDefault="005634A2">
      <w:pPr>
        <w:rPr>
          <w:rFonts w:cs="Arial"/>
          <w:sz w:val="22"/>
          <w:szCs w:val="22"/>
        </w:rPr>
      </w:pPr>
      <w:r>
        <w:rPr>
          <w:sz w:val="22"/>
          <w:szCs w:val="22"/>
        </w:rPr>
        <w:t>Haematological toxicity occurs commonly in patients treated with olaparib. While the majority were generally mild or moderate (CTCAE Grade 1 or 2), Grade 3 or higher events of anaemia</w:t>
      </w:r>
      <w:r w:rsidR="0010584F">
        <w:rPr>
          <w:sz w:val="22"/>
          <w:szCs w:val="22"/>
        </w:rPr>
        <w:t xml:space="preserve"> (decrease in haemoglobin)</w:t>
      </w:r>
      <w:r>
        <w:rPr>
          <w:sz w:val="22"/>
          <w:szCs w:val="22"/>
        </w:rPr>
        <w:t xml:space="preserve"> occurred in </w:t>
      </w:r>
      <w:r w:rsidR="00A20744">
        <w:rPr>
          <w:sz w:val="22"/>
          <w:szCs w:val="22"/>
        </w:rPr>
        <w:t>7.4</w:t>
      </w:r>
      <w:r>
        <w:rPr>
          <w:sz w:val="22"/>
          <w:szCs w:val="22"/>
        </w:rPr>
        <w:t>% of patients in Study 19, and one</w:t>
      </w:r>
      <w:r w:rsidR="00A20744">
        <w:rPr>
          <w:sz w:val="22"/>
          <w:szCs w:val="22"/>
        </w:rPr>
        <w:t xml:space="preserve"> patient died from a haemorrhagic stroke</w:t>
      </w:r>
      <w:r>
        <w:rPr>
          <w:sz w:val="22"/>
          <w:szCs w:val="22"/>
        </w:rPr>
        <w:t xml:space="preserve"> associated with thrombocytopenia.</w:t>
      </w:r>
      <w:r w:rsidR="001F493D">
        <w:rPr>
          <w:rFonts w:cs="Arial"/>
          <w:sz w:val="22"/>
          <w:szCs w:val="22"/>
        </w:rPr>
        <w:t xml:space="preserve">. Patients should not start treatment with </w:t>
      </w:r>
      <w:r w:rsidR="001F493D">
        <w:rPr>
          <w:rFonts w:cs="Arial"/>
          <w:sz w:val="22"/>
          <w:szCs w:val="22"/>
          <w:lang w:val="en-US"/>
        </w:rPr>
        <w:t xml:space="preserve">LYNPARZA </w:t>
      </w:r>
      <w:r w:rsidR="001F493D">
        <w:rPr>
          <w:rFonts w:cs="Arial"/>
          <w:sz w:val="22"/>
          <w:szCs w:val="22"/>
        </w:rPr>
        <w:t>until they have recovered from haematological toxicity caused by previous anti-cancer therapy (haemoglobin, platelet, and neutrophil levels should be within normal range or CTCAE grade 1). Baseline testing, followed by monthly monitoring, of complete blood counts is recommended for the first 12 months of treatment and periodically after this time to monitor for clinically significant changes in any parameter during treatment.</w:t>
      </w:r>
    </w:p>
    <w:p w14:paraId="7923680F" w14:textId="77777777" w:rsidR="001F493D" w:rsidRDefault="001F493D">
      <w:pPr>
        <w:rPr>
          <w:rFonts w:cs="Arial"/>
          <w:sz w:val="22"/>
          <w:szCs w:val="22"/>
          <w:lang w:val="en-GB"/>
        </w:rPr>
      </w:pPr>
      <w:r>
        <w:rPr>
          <w:rFonts w:cs="Arial"/>
          <w:sz w:val="22"/>
          <w:szCs w:val="22"/>
        </w:rPr>
        <w:t xml:space="preserve">If a patient develops severe haematological toxicity or blood transfusion dependence, treatment with </w:t>
      </w:r>
      <w:r>
        <w:rPr>
          <w:rFonts w:cs="Arial"/>
          <w:sz w:val="22"/>
          <w:szCs w:val="22"/>
          <w:lang w:val="en-US"/>
        </w:rPr>
        <w:t>LYNPARZA</w:t>
      </w:r>
      <w:r>
        <w:rPr>
          <w:rFonts w:cs="Arial"/>
          <w:sz w:val="22"/>
          <w:szCs w:val="22"/>
        </w:rPr>
        <w:t xml:space="preserve"> should be interrupted and appropriate haematological testing should be initiated. If the blood parameters remain clinically abnormal after 4 weeks of </w:t>
      </w:r>
      <w:r>
        <w:rPr>
          <w:rFonts w:cs="Arial"/>
          <w:sz w:val="22"/>
          <w:szCs w:val="22"/>
          <w:lang w:val="en-US"/>
        </w:rPr>
        <w:t xml:space="preserve">LYNPARZA </w:t>
      </w:r>
      <w:r>
        <w:rPr>
          <w:rFonts w:cs="Arial"/>
          <w:sz w:val="22"/>
          <w:szCs w:val="22"/>
        </w:rPr>
        <w:t>dose interruption, bone marrow analysis and/or blood cytogenetic analysis are recommended.</w:t>
      </w:r>
    </w:p>
    <w:p w14:paraId="5E5BFBE3" w14:textId="77777777" w:rsidR="001F493D" w:rsidRDefault="001F493D">
      <w:pPr>
        <w:pStyle w:val="A-Heading2"/>
        <w:rPr>
          <w:rFonts w:cs="Arial"/>
          <w:i/>
          <w:sz w:val="22"/>
          <w:szCs w:val="22"/>
        </w:rPr>
      </w:pPr>
      <w:r>
        <w:rPr>
          <w:rFonts w:cs="Arial"/>
          <w:sz w:val="22"/>
          <w:szCs w:val="22"/>
        </w:rPr>
        <w:t>Myelodysplastic syndrome/Acute Myeloid Leukaemia</w:t>
      </w:r>
    </w:p>
    <w:p w14:paraId="09DB17CC" w14:textId="3E290B64" w:rsidR="001F493D" w:rsidRDefault="001F493D">
      <w:pPr>
        <w:rPr>
          <w:rFonts w:cs="Arial"/>
          <w:sz w:val="22"/>
          <w:szCs w:val="22"/>
        </w:rPr>
      </w:pPr>
      <w:r>
        <w:rPr>
          <w:rFonts w:cs="Arial"/>
          <w:sz w:val="22"/>
          <w:szCs w:val="22"/>
        </w:rPr>
        <w:t>Myelodysplastic syndrome/Acute Myeloid Leukaemia (MDS/AML) have been reported in a small number of patients</w:t>
      </w:r>
      <w:r w:rsidR="00E21E8C">
        <w:rPr>
          <w:rFonts w:cs="Arial"/>
          <w:sz w:val="22"/>
          <w:szCs w:val="22"/>
        </w:rPr>
        <w:t xml:space="preserve"> (</w:t>
      </w:r>
      <w:r w:rsidR="00D41737">
        <w:rPr>
          <w:rFonts w:cs="Arial"/>
          <w:sz w:val="22"/>
          <w:szCs w:val="22"/>
        </w:rPr>
        <w:t>&lt;1%</w:t>
      </w:r>
      <w:r w:rsidR="00E21E8C">
        <w:rPr>
          <w:rFonts w:cs="Arial"/>
          <w:sz w:val="22"/>
          <w:szCs w:val="22"/>
        </w:rPr>
        <w:t>)</w:t>
      </w:r>
      <w:r>
        <w:rPr>
          <w:rFonts w:cs="Arial"/>
          <w:sz w:val="22"/>
          <w:szCs w:val="22"/>
        </w:rPr>
        <w:t xml:space="preserve"> and </w:t>
      </w:r>
      <w:r w:rsidR="00D41737">
        <w:rPr>
          <w:rFonts w:cs="Arial"/>
          <w:sz w:val="22"/>
          <w:szCs w:val="22"/>
        </w:rPr>
        <w:t>the majority of reports</w:t>
      </w:r>
      <w:r>
        <w:rPr>
          <w:rFonts w:cs="Arial"/>
          <w:sz w:val="22"/>
          <w:szCs w:val="22"/>
        </w:rPr>
        <w:t xml:space="preserve"> have been fatal. The </w:t>
      </w:r>
      <w:r w:rsidR="00D41737">
        <w:rPr>
          <w:rFonts w:cs="Arial"/>
          <w:sz w:val="22"/>
          <w:szCs w:val="22"/>
        </w:rPr>
        <w:t>reports</w:t>
      </w:r>
      <w:r>
        <w:rPr>
          <w:rFonts w:cs="Arial"/>
          <w:sz w:val="22"/>
          <w:szCs w:val="22"/>
        </w:rPr>
        <w:t xml:space="preserve"> were typical of secondary MDS/cancer therapy-related AML. The duration of therapy with olaparib in patients who developed secondary MDS/AML varied from &lt;6 months to &gt;2 years.</w:t>
      </w:r>
      <w:r w:rsidR="00E21E8C">
        <w:rPr>
          <w:rFonts w:cs="Arial"/>
          <w:sz w:val="22"/>
          <w:szCs w:val="22"/>
        </w:rPr>
        <w:t xml:space="preserve"> </w:t>
      </w:r>
      <w:r w:rsidR="00D41737">
        <w:rPr>
          <w:rFonts w:cs="Arial"/>
          <w:sz w:val="22"/>
          <w:szCs w:val="22"/>
        </w:rPr>
        <w:t>The majority of reports were</w:t>
      </w:r>
      <w:r w:rsidR="00E21E8C">
        <w:rPr>
          <w:rFonts w:cs="Arial"/>
          <w:sz w:val="22"/>
          <w:szCs w:val="22"/>
        </w:rPr>
        <w:t xml:space="preserve"> in patients with a germline BRCA mutation.</w:t>
      </w:r>
      <w:r>
        <w:rPr>
          <w:rFonts w:cs="Arial"/>
          <w:sz w:val="22"/>
          <w:szCs w:val="22"/>
        </w:rPr>
        <w:t xml:space="preserve"> All patients had potential contributing factors for the development of MDS/AML, having received extensive previous chemotherapy with platinum agents. Many had also received other DNA damaging agents. If MDS and/or AML are confirmed while on treatment with</w:t>
      </w:r>
      <w:r>
        <w:rPr>
          <w:rFonts w:cs="Arial"/>
          <w:sz w:val="22"/>
          <w:szCs w:val="22"/>
          <w:lang w:val="en-US"/>
        </w:rPr>
        <w:t xml:space="preserve"> LYNPARZA</w:t>
      </w:r>
      <w:r>
        <w:rPr>
          <w:rFonts w:cs="Arial"/>
          <w:sz w:val="22"/>
          <w:szCs w:val="22"/>
        </w:rPr>
        <w:t xml:space="preserve">, it is recommended that the patient be treated appropriately. If additional anticancer therapy is recommended, </w:t>
      </w:r>
      <w:r>
        <w:rPr>
          <w:rFonts w:cs="Arial"/>
          <w:sz w:val="22"/>
          <w:szCs w:val="22"/>
          <w:lang w:val="en-US"/>
        </w:rPr>
        <w:t xml:space="preserve">LYNPARZA </w:t>
      </w:r>
      <w:r>
        <w:rPr>
          <w:rFonts w:cs="Arial"/>
          <w:sz w:val="22"/>
          <w:szCs w:val="22"/>
        </w:rPr>
        <w:t>should be discontinued.</w:t>
      </w:r>
    </w:p>
    <w:p w14:paraId="352CA8E7" w14:textId="77777777" w:rsidR="001F493D" w:rsidRDefault="001F493D">
      <w:pPr>
        <w:rPr>
          <w:rFonts w:cs="Arial"/>
          <w:b/>
          <w:bCs/>
          <w:sz w:val="22"/>
          <w:szCs w:val="22"/>
        </w:rPr>
      </w:pPr>
      <w:r>
        <w:rPr>
          <w:rFonts w:cs="Arial"/>
          <w:b/>
          <w:sz w:val="22"/>
          <w:szCs w:val="22"/>
        </w:rPr>
        <w:t xml:space="preserve">Pneumonitis </w:t>
      </w:r>
    </w:p>
    <w:p w14:paraId="0D587DD0" w14:textId="196977AE" w:rsidR="001F493D" w:rsidRDefault="001F493D">
      <w:pPr>
        <w:rPr>
          <w:rFonts w:cs="Arial"/>
          <w:sz w:val="22"/>
          <w:szCs w:val="22"/>
          <w:lang w:val="en-US"/>
        </w:rPr>
      </w:pPr>
      <w:r>
        <w:rPr>
          <w:rFonts w:cs="Arial"/>
          <w:sz w:val="22"/>
          <w:szCs w:val="22"/>
        </w:rPr>
        <w:t xml:space="preserve">Pneumonitis has been reported in a small number of patients receiving olaparib, and some reports have been fatal. The reports of pneumonitis had no consistent clinical pattern and were confounded by a number of pre-disposing factors (cancer and/or metastases in lungs, underlying pulmonary disease, smoking history, and/or previous chemotherapy and radiotherapy). If patients present with new or worsening respiratory symptoms such as dyspnoea, cough and fever, or a radiological abnormality occurs, </w:t>
      </w:r>
      <w:r>
        <w:rPr>
          <w:rFonts w:cs="Arial"/>
          <w:sz w:val="22"/>
          <w:szCs w:val="22"/>
          <w:lang w:val="en-US"/>
        </w:rPr>
        <w:t xml:space="preserve">LYNPARZA </w:t>
      </w:r>
      <w:r>
        <w:rPr>
          <w:rFonts w:cs="Arial"/>
          <w:sz w:val="22"/>
          <w:szCs w:val="22"/>
        </w:rPr>
        <w:t xml:space="preserve">treatment should be interrupted and prompt investigation initiated. If pneumonitis is confirmed, </w:t>
      </w:r>
      <w:r>
        <w:rPr>
          <w:rFonts w:cs="Arial"/>
          <w:sz w:val="22"/>
          <w:szCs w:val="22"/>
          <w:lang w:val="en-US"/>
        </w:rPr>
        <w:t>LYNPARZA</w:t>
      </w:r>
      <w:r>
        <w:rPr>
          <w:rFonts w:cs="Arial"/>
          <w:sz w:val="22"/>
          <w:szCs w:val="22"/>
        </w:rPr>
        <w:t xml:space="preserve"> treatment should be discontinued and the patient treated appropriately.</w:t>
      </w:r>
    </w:p>
    <w:p w14:paraId="16DF4A84" w14:textId="77777777" w:rsidR="001F493D" w:rsidRDefault="001F493D">
      <w:pPr>
        <w:pStyle w:val="A-Heading2"/>
        <w:rPr>
          <w:rFonts w:cs="Arial"/>
          <w:sz w:val="22"/>
          <w:szCs w:val="22"/>
          <w:lang w:val="en-AU"/>
        </w:rPr>
      </w:pPr>
      <w:r>
        <w:rPr>
          <w:rFonts w:cs="Arial"/>
          <w:sz w:val="22"/>
          <w:szCs w:val="22"/>
          <w:lang w:val="en-AU"/>
        </w:rPr>
        <w:lastRenderedPageBreak/>
        <w:t>Effects on fertility</w:t>
      </w:r>
    </w:p>
    <w:p w14:paraId="0F3A550A" w14:textId="1B4BCD93" w:rsidR="001F493D" w:rsidRDefault="001F493D">
      <w:pPr>
        <w:outlineLvl w:val="0"/>
        <w:rPr>
          <w:rFonts w:cs="Arial"/>
          <w:sz w:val="22"/>
          <w:szCs w:val="22"/>
          <w:lang w:val="en-US"/>
        </w:rPr>
      </w:pPr>
      <w:r>
        <w:rPr>
          <w:rFonts w:cs="Arial"/>
          <w:sz w:val="22"/>
          <w:szCs w:val="22"/>
          <w:lang w:val="en-US"/>
        </w:rPr>
        <w:t xml:space="preserve">Olaparib had no effect on fertility in male rats. In a female fertility study in rats, extended </w:t>
      </w:r>
      <w:proofErr w:type="spellStart"/>
      <w:r>
        <w:rPr>
          <w:rFonts w:cs="Arial"/>
          <w:sz w:val="22"/>
          <w:szCs w:val="22"/>
          <w:lang w:val="en-US"/>
        </w:rPr>
        <w:t>oestrus</w:t>
      </w:r>
      <w:proofErr w:type="spellEnd"/>
      <w:r>
        <w:rPr>
          <w:rFonts w:cs="Arial"/>
          <w:sz w:val="22"/>
          <w:szCs w:val="22"/>
          <w:lang w:val="en-US"/>
        </w:rPr>
        <w:t xml:space="preserve"> was observed in some animals although mating performance and fertility was not affected. Embryof</w:t>
      </w:r>
      <w:r w:rsidR="008B1112">
        <w:rPr>
          <w:rFonts w:cs="Arial"/>
          <w:sz w:val="22"/>
          <w:szCs w:val="22"/>
          <w:lang w:val="en-US"/>
        </w:rPr>
        <w:t>o</w:t>
      </w:r>
      <w:r>
        <w:rPr>
          <w:rFonts w:cs="Arial"/>
          <w:sz w:val="22"/>
          <w:szCs w:val="22"/>
          <w:lang w:val="en-US"/>
        </w:rPr>
        <w:t xml:space="preserve">etal survival was reduced in this study. </w:t>
      </w:r>
      <w:r w:rsidR="00515912">
        <w:rPr>
          <w:sz w:val="22"/>
          <w:szCs w:val="22"/>
        </w:rPr>
        <w:t>Exposures achieved in these studies were subclinical and the full effects on fertility may not have been revealed.</w:t>
      </w:r>
    </w:p>
    <w:p w14:paraId="4BDD251E" w14:textId="541F450A" w:rsidR="001F493D" w:rsidRDefault="001F493D">
      <w:pPr>
        <w:pStyle w:val="A-Heading2"/>
        <w:rPr>
          <w:rFonts w:cs="Arial"/>
          <w:sz w:val="22"/>
          <w:szCs w:val="22"/>
        </w:rPr>
      </w:pPr>
      <w:r>
        <w:rPr>
          <w:rFonts w:cs="Arial"/>
          <w:sz w:val="22"/>
          <w:szCs w:val="22"/>
        </w:rPr>
        <w:t>Use in pregnancy – Category D</w:t>
      </w:r>
    </w:p>
    <w:p w14:paraId="7DE5CA7C" w14:textId="180C6DD7" w:rsidR="001F493D" w:rsidRDefault="001F493D">
      <w:pPr>
        <w:spacing w:after="0"/>
        <w:rPr>
          <w:rFonts w:cs="Arial"/>
          <w:sz w:val="22"/>
          <w:szCs w:val="22"/>
          <w:lang w:val="en-US"/>
        </w:rPr>
      </w:pPr>
      <w:r>
        <w:rPr>
          <w:rFonts w:cs="Arial"/>
          <w:sz w:val="22"/>
          <w:szCs w:val="22"/>
        </w:rPr>
        <w:t xml:space="preserve">Based on its mechanism of action (PARP inhibition), </w:t>
      </w:r>
      <w:r>
        <w:rPr>
          <w:rFonts w:cs="Arial"/>
          <w:sz w:val="22"/>
          <w:szCs w:val="22"/>
          <w:lang w:val="en-US"/>
        </w:rPr>
        <w:t xml:space="preserve">LYNPARZA </w:t>
      </w:r>
      <w:r>
        <w:rPr>
          <w:rFonts w:cs="Arial"/>
          <w:sz w:val="22"/>
          <w:szCs w:val="22"/>
        </w:rPr>
        <w:t>could cause</w:t>
      </w:r>
      <w:r>
        <w:rPr>
          <w:rFonts w:cs="Arial"/>
          <w:sz w:val="22"/>
          <w:szCs w:val="22"/>
          <w:lang w:val="en-US"/>
        </w:rPr>
        <w:t xml:space="preserve"> </w:t>
      </w:r>
      <w:proofErr w:type="spellStart"/>
      <w:r>
        <w:rPr>
          <w:rFonts w:cs="Arial"/>
          <w:sz w:val="22"/>
          <w:szCs w:val="22"/>
          <w:lang w:val="en-US"/>
        </w:rPr>
        <w:t>foetal</w:t>
      </w:r>
      <w:proofErr w:type="spellEnd"/>
      <w:r>
        <w:rPr>
          <w:rFonts w:cs="Arial"/>
          <w:sz w:val="22"/>
          <w:szCs w:val="22"/>
        </w:rPr>
        <w:t xml:space="preserve"> harm when administered to a pregnant woman.  </w:t>
      </w:r>
      <w:r w:rsidR="00515912">
        <w:rPr>
          <w:rFonts w:cs="Arial"/>
          <w:color w:val="000000"/>
          <w:sz w:val="22"/>
          <w:szCs w:val="22"/>
        </w:rPr>
        <w:t>S</w:t>
      </w:r>
      <w:r>
        <w:rPr>
          <w:rFonts w:cs="Arial"/>
          <w:color w:val="000000"/>
          <w:sz w:val="22"/>
          <w:szCs w:val="22"/>
        </w:rPr>
        <w:t xml:space="preserve">tudies in rats have shown that olaparib causes </w:t>
      </w:r>
      <w:r>
        <w:rPr>
          <w:rFonts w:cs="Arial"/>
          <w:sz w:val="22"/>
          <w:szCs w:val="22"/>
        </w:rPr>
        <w:t xml:space="preserve">embryofetal </w:t>
      </w:r>
      <w:r w:rsidR="00515912">
        <w:rPr>
          <w:rFonts w:cs="Arial"/>
          <w:sz w:val="22"/>
          <w:szCs w:val="22"/>
        </w:rPr>
        <w:t>lethality</w:t>
      </w:r>
      <w:r>
        <w:rPr>
          <w:rFonts w:cs="Arial"/>
          <w:sz w:val="22"/>
          <w:szCs w:val="22"/>
        </w:rPr>
        <w:t xml:space="preserve"> and induces major</w:t>
      </w:r>
      <w:r>
        <w:rPr>
          <w:rFonts w:cs="Arial"/>
          <w:sz w:val="22"/>
          <w:szCs w:val="22"/>
          <w:lang w:val="en-US"/>
        </w:rPr>
        <w:t xml:space="preserve"> fetal</w:t>
      </w:r>
      <w:r>
        <w:rPr>
          <w:rFonts w:cs="Arial"/>
          <w:sz w:val="22"/>
          <w:szCs w:val="22"/>
        </w:rPr>
        <w:t xml:space="preserve"> malformations </w:t>
      </w:r>
      <w:r w:rsidR="00515912">
        <w:rPr>
          <w:sz w:val="22"/>
          <w:szCs w:val="22"/>
        </w:rPr>
        <w:t xml:space="preserve">(major eye and vertebral/rib malformations) </w:t>
      </w:r>
      <w:r>
        <w:rPr>
          <w:rFonts w:cs="Arial"/>
          <w:sz w:val="22"/>
          <w:szCs w:val="22"/>
        </w:rPr>
        <w:t>at exposures below those expected at the recommended human dose of 400 mg twice daily.</w:t>
      </w:r>
    </w:p>
    <w:p w14:paraId="1507F666" w14:textId="77777777" w:rsidR="001F493D" w:rsidRDefault="001F493D">
      <w:pPr>
        <w:spacing w:after="0"/>
        <w:rPr>
          <w:rFonts w:cs="Arial"/>
          <w:sz w:val="22"/>
          <w:szCs w:val="22"/>
        </w:rPr>
      </w:pPr>
    </w:p>
    <w:p w14:paraId="6D84568F" w14:textId="77777777" w:rsidR="001F493D" w:rsidRDefault="001F493D">
      <w:pPr>
        <w:rPr>
          <w:rFonts w:cs="Arial"/>
          <w:sz w:val="22"/>
          <w:szCs w:val="22"/>
        </w:rPr>
      </w:pPr>
      <w:r>
        <w:rPr>
          <w:rFonts w:cs="Arial"/>
          <w:sz w:val="22"/>
          <w:szCs w:val="22"/>
          <w:lang w:val="en-US"/>
        </w:rPr>
        <w:t>LYNPARZA should not be used during pregnancy due</w:t>
      </w:r>
      <w:r>
        <w:rPr>
          <w:rFonts w:cs="Arial"/>
          <w:sz w:val="22"/>
          <w:szCs w:val="22"/>
        </w:rPr>
        <w:t xml:space="preserve"> to the teratogenic and genotoxic potential of olaparib. No studies have been conducted in pregnant women.</w:t>
      </w:r>
    </w:p>
    <w:p w14:paraId="08F98BF0" w14:textId="77777777" w:rsidR="001F493D" w:rsidRDefault="001F493D">
      <w:pPr>
        <w:rPr>
          <w:rFonts w:cs="Arial"/>
          <w:sz w:val="22"/>
          <w:szCs w:val="22"/>
        </w:rPr>
      </w:pPr>
      <w:r>
        <w:rPr>
          <w:rFonts w:cs="Arial"/>
          <w:sz w:val="22"/>
          <w:szCs w:val="22"/>
        </w:rPr>
        <w:t>If a patient becomes pregnant while receiving</w:t>
      </w:r>
      <w:r>
        <w:rPr>
          <w:rFonts w:cs="Arial"/>
          <w:sz w:val="22"/>
          <w:szCs w:val="22"/>
          <w:lang w:val="en-US"/>
        </w:rPr>
        <w:t xml:space="preserve"> LYNPARZA</w:t>
      </w:r>
      <w:r>
        <w:rPr>
          <w:rFonts w:cs="Arial"/>
          <w:sz w:val="22"/>
          <w:szCs w:val="22"/>
        </w:rPr>
        <w:t>, she should be informed of the potential hazard to the foetus or potential risk of loss of the pregnancy</w:t>
      </w:r>
      <w:r>
        <w:rPr>
          <w:rFonts w:cs="Arial"/>
          <w:i/>
          <w:sz w:val="22"/>
          <w:szCs w:val="22"/>
        </w:rPr>
        <w:t>.</w:t>
      </w:r>
    </w:p>
    <w:p w14:paraId="687A1D86" w14:textId="4CF83FAC" w:rsidR="001F493D" w:rsidRDefault="001F493D">
      <w:pPr>
        <w:spacing w:after="0"/>
        <w:rPr>
          <w:rFonts w:cs="Arial"/>
          <w:sz w:val="22"/>
          <w:szCs w:val="22"/>
        </w:rPr>
      </w:pPr>
      <w:r>
        <w:rPr>
          <w:rFonts w:cs="Arial"/>
          <w:sz w:val="22"/>
          <w:szCs w:val="22"/>
        </w:rPr>
        <w:t>Women of child-bearing potential must use effective contraception during therapy and for 1 month after receiving the last dose of</w:t>
      </w:r>
      <w:r>
        <w:rPr>
          <w:rFonts w:cs="Arial"/>
          <w:sz w:val="22"/>
          <w:szCs w:val="22"/>
          <w:lang w:val="en-US"/>
        </w:rPr>
        <w:t xml:space="preserve"> LYNPARZA</w:t>
      </w:r>
      <w:r>
        <w:rPr>
          <w:rFonts w:cs="Arial"/>
          <w:sz w:val="22"/>
          <w:szCs w:val="22"/>
        </w:rPr>
        <w:t xml:space="preserve">. </w:t>
      </w:r>
      <w:r>
        <w:rPr>
          <w:iCs/>
          <w:sz w:val="22"/>
          <w:szCs w:val="22"/>
          <w:lang w:val="en-US"/>
        </w:rPr>
        <w:t>Since it cannot be excluded that olaparib may reduce exposure to substrates of CYP3A through enzyme induction, the efficacy of hormonal contraceptives may be reduced if co-administered with LYNPARZA (see INTERACTIONS).</w:t>
      </w:r>
      <w:r>
        <w:rPr>
          <w:rFonts w:cs="Arial"/>
          <w:sz w:val="22"/>
          <w:szCs w:val="22"/>
        </w:rPr>
        <w:t xml:space="preserve">  A pregnancy test should be performed on all pre</w:t>
      </w:r>
      <w:r>
        <w:rPr>
          <w:rFonts w:cs="Arial"/>
          <w:sz w:val="22"/>
          <w:szCs w:val="22"/>
        </w:rPr>
        <w:noBreakHyphen/>
        <w:t xml:space="preserve">menopausal women prior to treatment, and pregnancy tests should be </w:t>
      </w:r>
      <w:r w:rsidR="008B1112">
        <w:rPr>
          <w:rFonts w:cs="Arial"/>
          <w:sz w:val="22"/>
          <w:szCs w:val="22"/>
        </w:rPr>
        <w:t>performed</w:t>
      </w:r>
      <w:r>
        <w:rPr>
          <w:rFonts w:cs="Arial"/>
          <w:sz w:val="22"/>
          <w:szCs w:val="22"/>
        </w:rPr>
        <w:t xml:space="preserve"> at regular intervals during treatment and at one month after receiving the last dose.</w:t>
      </w:r>
    </w:p>
    <w:p w14:paraId="2FCB8562" w14:textId="77777777" w:rsidR="001F493D" w:rsidRDefault="001F493D">
      <w:pPr>
        <w:pStyle w:val="A-Heading2"/>
        <w:rPr>
          <w:rFonts w:cs="Arial"/>
          <w:sz w:val="22"/>
          <w:szCs w:val="22"/>
          <w:lang w:val="en-AU"/>
        </w:rPr>
      </w:pPr>
      <w:r>
        <w:rPr>
          <w:rFonts w:cs="Arial"/>
          <w:sz w:val="22"/>
          <w:szCs w:val="22"/>
          <w:lang w:val="en-AU"/>
        </w:rPr>
        <w:t>Use in lactation</w:t>
      </w:r>
    </w:p>
    <w:p w14:paraId="2DC8C310" w14:textId="77777777" w:rsidR="001F493D" w:rsidRDefault="001F493D">
      <w:pPr>
        <w:rPr>
          <w:rFonts w:cs="Arial"/>
          <w:sz w:val="22"/>
          <w:szCs w:val="22"/>
        </w:rPr>
      </w:pPr>
      <w:r>
        <w:rPr>
          <w:rFonts w:cs="Arial"/>
          <w:sz w:val="22"/>
          <w:szCs w:val="22"/>
          <w:lang w:val="en-US"/>
        </w:rPr>
        <w:t xml:space="preserve">There are no data on the use of LYNPARZA in breast-feeding women. </w:t>
      </w:r>
      <w:r>
        <w:rPr>
          <w:rFonts w:cs="Arial"/>
          <w:sz w:val="22"/>
          <w:szCs w:val="22"/>
        </w:rPr>
        <w:t>The excretion of olaparib in milk has not been studied in animals</w:t>
      </w:r>
      <w:r>
        <w:rPr>
          <w:rFonts w:cs="Arial"/>
          <w:sz w:val="22"/>
          <w:szCs w:val="22"/>
          <w:lang w:val="en-US"/>
        </w:rPr>
        <w:t xml:space="preserve"> or in breast-feeding mothers</w:t>
      </w:r>
      <w:r>
        <w:rPr>
          <w:rFonts w:cs="Arial"/>
          <w:sz w:val="22"/>
          <w:szCs w:val="22"/>
        </w:rPr>
        <w:t xml:space="preserve">. A risk to the newborn breast-feeding child cannot be excluded. </w:t>
      </w:r>
      <w:r>
        <w:rPr>
          <w:rFonts w:cs="Arial"/>
          <w:sz w:val="22"/>
          <w:szCs w:val="22"/>
          <w:lang w:val="en-US"/>
        </w:rPr>
        <w:t>Breast-feeding mothers are advised not to breast-feed during treatment with LYNPARZA and for one month after receiving the last dose.</w:t>
      </w:r>
    </w:p>
    <w:p w14:paraId="09F01B13" w14:textId="77777777" w:rsidR="001F493D" w:rsidRDefault="001F493D">
      <w:pPr>
        <w:pStyle w:val="A-Heading2"/>
        <w:rPr>
          <w:rFonts w:cs="Arial"/>
          <w:sz w:val="22"/>
          <w:szCs w:val="22"/>
          <w:lang w:val="en-AU"/>
        </w:rPr>
      </w:pPr>
      <w:r>
        <w:rPr>
          <w:rFonts w:cs="Arial"/>
          <w:sz w:val="22"/>
          <w:szCs w:val="22"/>
          <w:lang w:val="en-AU"/>
        </w:rPr>
        <w:t>Paediatric use</w:t>
      </w:r>
    </w:p>
    <w:p w14:paraId="5BCBA0D3" w14:textId="4665B6E3" w:rsidR="001F493D" w:rsidRDefault="00CE7358">
      <w:pPr>
        <w:rPr>
          <w:rFonts w:cs="Arial"/>
          <w:sz w:val="22"/>
          <w:szCs w:val="22"/>
          <w:lang w:val="en-US"/>
        </w:rPr>
      </w:pPr>
      <w:r>
        <w:rPr>
          <w:rFonts w:cs="Arial"/>
          <w:sz w:val="22"/>
          <w:szCs w:val="22"/>
          <w:lang w:val="en-US"/>
        </w:rPr>
        <w:t xml:space="preserve">The safety and efficacy of </w:t>
      </w:r>
      <w:r w:rsidR="001F493D">
        <w:rPr>
          <w:rFonts w:cs="Arial"/>
          <w:sz w:val="22"/>
          <w:szCs w:val="22"/>
          <w:lang w:val="en-US"/>
        </w:rPr>
        <w:t>LYNPARZA in children and adolescents have not been established.</w:t>
      </w:r>
    </w:p>
    <w:p w14:paraId="57798219" w14:textId="6B3BCA66" w:rsidR="00E21E8C" w:rsidRDefault="00281515" w:rsidP="00E21E8C">
      <w:pPr>
        <w:pStyle w:val="A-Heading2"/>
        <w:rPr>
          <w:rFonts w:cs="Arial"/>
          <w:sz w:val="22"/>
          <w:szCs w:val="22"/>
          <w:lang w:val="en-AU"/>
        </w:rPr>
      </w:pPr>
      <w:r>
        <w:rPr>
          <w:rFonts w:cs="Arial"/>
          <w:sz w:val="22"/>
          <w:szCs w:val="22"/>
          <w:lang w:val="en-AU"/>
        </w:rPr>
        <w:t>Use in men</w:t>
      </w:r>
    </w:p>
    <w:p w14:paraId="7B0F0E8E" w14:textId="3083B48A" w:rsidR="00E21E8C" w:rsidRDefault="00E21E8C" w:rsidP="00E21E8C">
      <w:pPr>
        <w:rPr>
          <w:rFonts w:cs="Arial"/>
          <w:sz w:val="22"/>
          <w:szCs w:val="22"/>
        </w:rPr>
      </w:pPr>
      <w:r>
        <w:rPr>
          <w:rFonts w:cs="Arial"/>
          <w:sz w:val="22"/>
          <w:szCs w:val="22"/>
          <w:lang w:val="en-US"/>
        </w:rPr>
        <w:t xml:space="preserve">The safety and efficacy of LYNPARZA in </w:t>
      </w:r>
      <w:r w:rsidR="00281515">
        <w:rPr>
          <w:rFonts w:cs="Arial"/>
          <w:sz w:val="22"/>
          <w:szCs w:val="22"/>
          <w:lang w:val="en-US"/>
        </w:rPr>
        <w:t>men</w:t>
      </w:r>
      <w:r>
        <w:rPr>
          <w:rFonts w:cs="Arial"/>
          <w:sz w:val="22"/>
          <w:szCs w:val="22"/>
          <w:lang w:val="en-US"/>
        </w:rPr>
        <w:t xml:space="preserve"> have not been established.</w:t>
      </w:r>
    </w:p>
    <w:p w14:paraId="2DE5A0E2" w14:textId="77777777" w:rsidR="001F493D" w:rsidRDefault="001F493D">
      <w:pPr>
        <w:pStyle w:val="A-Heading2"/>
        <w:rPr>
          <w:rFonts w:cs="Arial"/>
          <w:sz w:val="22"/>
          <w:szCs w:val="22"/>
          <w:lang w:val="en-AU"/>
        </w:rPr>
      </w:pPr>
      <w:r>
        <w:rPr>
          <w:rFonts w:cs="Arial"/>
          <w:sz w:val="22"/>
          <w:szCs w:val="22"/>
          <w:lang w:val="en-AU"/>
        </w:rPr>
        <w:t>Genotoxicity</w:t>
      </w:r>
    </w:p>
    <w:p w14:paraId="5D59DCF6" w14:textId="4EA86BF8" w:rsidR="001F493D" w:rsidRDefault="001F493D">
      <w:pPr>
        <w:rPr>
          <w:rFonts w:cs="Arial"/>
          <w:sz w:val="22"/>
          <w:szCs w:val="22"/>
          <w:lang w:val="en-US"/>
        </w:rPr>
      </w:pPr>
      <w:r>
        <w:rPr>
          <w:rFonts w:cs="Arial"/>
          <w:sz w:val="22"/>
          <w:szCs w:val="22"/>
          <w:lang w:val="en-US"/>
        </w:rPr>
        <w:t>Olaparib showed no mutagenic potential</w:t>
      </w:r>
      <w:r w:rsidR="00515912">
        <w:rPr>
          <w:rFonts w:cs="Arial"/>
          <w:sz w:val="22"/>
          <w:szCs w:val="22"/>
          <w:lang w:val="en-US"/>
        </w:rPr>
        <w:t xml:space="preserve"> in bacterial cells</w:t>
      </w:r>
      <w:r>
        <w:rPr>
          <w:rFonts w:cs="Arial"/>
          <w:sz w:val="22"/>
          <w:szCs w:val="22"/>
          <w:lang w:val="en-US"/>
        </w:rPr>
        <w:t xml:space="preserve">, but was clastogenic in mammalian cells </w:t>
      </w:r>
      <w:r>
        <w:rPr>
          <w:rFonts w:cs="Arial"/>
          <w:i/>
          <w:sz w:val="22"/>
          <w:szCs w:val="22"/>
          <w:lang w:val="en-US"/>
        </w:rPr>
        <w:t>in vitro</w:t>
      </w:r>
      <w:r>
        <w:rPr>
          <w:rFonts w:cs="Arial"/>
          <w:sz w:val="22"/>
          <w:szCs w:val="22"/>
          <w:lang w:val="en-US"/>
        </w:rPr>
        <w:t>. When dosed orally to rats, olaparib induced micronuclei in bone marrow. This clastogenicity is consistent with the primary pharmacology of olaparib and indicates potential for genotoxicity in man.</w:t>
      </w:r>
    </w:p>
    <w:p w14:paraId="5B7EA18E" w14:textId="4725FC01" w:rsidR="00515912" w:rsidRDefault="00515912" w:rsidP="00CE7358">
      <w:pPr>
        <w:pStyle w:val="A-Heading2"/>
        <w:tabs>
          <w:tab w:val="left" w:pos="2085"/>
        </w:tabs>
        <w:rPr>
          <w:rFonts w:cs="Arial"/>
          <w:sz w:val="22"/>
          <w:szCs w:val="22"/>
          <w:lang w:val="en-AU"/>
        </w:rPr>
      </w:pPr>
      <w:r>
        <w:rPr>
          <w:rFonts w:cs="Arial"/>
          <w:sz w:val="22"/>
          <w:szCs w:val="22"/>
          <w:lang w:val="en-AU"/>
        </w:rPr>
        <w:lastRenderedPageBreak/>
        <w:t>Carcinogenicity</w:t>
      </w:r>
      <w:r w:rsidR="00CE7358">
        <w:rPr>
          <w:rFonts w:cs="Arial"/>
          <w:sz w:val="22"/>
          <w:szCs w:val="22"/>
          <w:lang w:val="en-AU"/>
        </w:rPr>
        <w:tab/>
      </w:r>
    </w:p>
    <w:p w14:paraId="2408BCC6" w14:textId="77777777" w:rsidR="00515912" w:rsidRDefault="00515912" w:rsidP="00515912">
      <w:pPr>
        <w:rPr>
          <w:rFonts w:cs="Arial"/>
          <w:sz w:val="22"/>
          <w:szCs w:val="22"/>
          <w:lang w:val="en-US"/>
        </w:rPr>
      </w:pPr>
      <w:r>
        <w:rPr>
          <w:rFonts w:cs="Arial"/>
          <w:sz w:val="22"/>
          <w:szCs w:val="22"/>
          <w:lang w:val="en-US"/>
        </w:rPr>
        <w:t>Carcinogenicity studies have not been conducted with olaparib.</w:t>
      </w:r>
    </w:p>
    <w:p w14:paraId="7E3EB8E4" w14:textId="77777777" w:rsidR="001F493D" w:rsidRDefault="001F493D">
      <w:pPr>
        <w:autoSpaceDE w:val="0"/>
        <w:autoSpaceDN w:val="0"/>
        <w:adjustRightInd w:val="0"/>
        <w:spacing w:after="120"/>
        <w:rPr>
          <w:rFonts w:cs="Arial"/>
          <w:sz w:val="22"/>
          <w:szCs w:val="22"/>
        </w:rPr>
      </w:pPr>
      <w:r>
        <w:rPr>
          <w:rFonts w:cs="Arial"/>
          <w:b/>
          <w:bCs/>
          <w:sz w:val="22"/>
          <w:szCs w:val="22"/>
        </w:rPr>
        <w:t>Interactions with other medicinal products</w:t>
      </w:r>
      <w:r>
        <w:rPr>
          <w:rFonts w:cs="Arial"/>
          <w:sz w:val="22"/>
          <w:szCs w:val="22"/>
        </w:rPr>
        <w:t xml:space="preserve"> </w:t>
      </w:r>
    </w:p>
    <w:p w14:paraId="4747EF2D" w14:textId="77777777" w:rsidR="001F493D" w:rsidRPr="00205AF5" w:rsidRDefault="001F493D">
      <w:pPr>
        <w:spacing w:after="120"/>
        <w:rPr>
          <w:rFonts w:cs="Arial"/>
          <w:sz w:val="22"/>
          <w:szCs w:val="22"/>
        </w:rPr>
      </w:pPr>
      <w:r w:rsidRPr="00205AF5">
        <w:rPr>
          <w:rFonts w:cs="Arial"/>
          <w:sz w:val="22"/>
          <w:szCs w:val="22"/>
        </w:rPr>
        <w:t>LYNPARZA co</w:t>
      </w:r>
      <w:r w:rsidRPr="00205AF5">
        <w:rPr>
          <w:rFonts w:cs="Arial"/>
          <w:sz w:val="22"/>
          <w:szCs w:val="22"/>
        </w:rPr>
        <w:noBreakHyphen/>
        <w:t>administration with strong CYP3A inducers or inhibitors should be avoided (see INTERACTIONS WITH OTHER MEDICINES).</w:t>
      </w:r>
    </w:p>
    <w:p w14:paraId="2DAF5E00" w14:textId="77777777" w:rsidR="001F493D" w:rsidRPr="00205AF5" w:rsidRDefault="001F493D">
      <w:pPr>
        <w:spacing w:after="120"/>
        <w:rPr>
          <w:rFonts w:cs="Arial"/>
          <w:sz w:val="22"/>
          <w:szCs w:val="22"/>
        </w:rPr>
      </w:pPr>
    </w:p>
    <w:p w14:paraId="3BB5F8DF" w14:textId="77777777" w:rsidR="001F493D" w:rsidRPr="00205AF5" w:rsidRDefault="001F493D">
      <w:pPr>
        <w:pStyle w:val="A-Heading2"/>
        <w:rPr>
          <w:rFonts w:cs="Arial"/>
          <w:sz w:val="22"/>
          <w:szCs w:val="22"/>
          <w:lang w:val="en-AU"/>
        </w:rPr>
      </w:pPr>
      <w:r w:rsidRPr="00205AF5">
        <w:rPr>
          <w:rFonts w:cs="Arial"/>
          <w:sz w:val="22"/>
          <w:szCs w:val="22"/>
          <w:lang w:val="en-AU"/>
        </w:rPr>
        <w:t>INTERACTIONS WITH OTHER MEDICINES</w:t>
      </w:r>
    </w:p>
    <w:p w14:paraId="08AEBE6A" w14:textId="2E42F30B" w:rsidR="00205AF5" w:rsidRDefault="001F493D" w:rsidP="00205AF5">
      <w:pPr>
        <w:widowControl w:val="0"/>
        <w:rPr>
          <w:rFonts w:cs="Arial"/>
          <w:sz w:val="22"/>
          <w:szCs w:val="22"/>
        </w:rPr>
      </w:pPr>
      <w:r w:rsidRPr="00205AF5">
        <w:rPr>
          <w:rFonts w:cs="Arial"/>
          <w:sz w:val="22"/>
          <w:szCs w:val="22"/>
        </w:rPr>
        <w:t xml:space="preserve">Clinical studies of olaparib in combination with other anticancer agents, including DNA damaging agents, indicate a potentiation and prolongation of </w:t>
      </w:r>
      <w:proofErr w:type="spellStart"/>
      <w:r w:rsidRPr="00205AF5">
        <w:rPr>
          <w:rFonts w:cs="Arial"/>
          <w:sz w:val="22"/>
          <w:szCs w:val="22"/>
        </w:rPr>
        <w:t>myelosuppressive</w:t>
      </w:r>
      <w:proofErr w:type="spellEnd"/>
      <w:r w:rsidRPr="00205AF5">
        <w:rPr>
          <w:rFonts w:cs="Arial"/>
          <w:sz w:val="22"/>
          <w:szCs w:val="22"/>
        </w:rPr>
        <w:t xml:space="preserve"> toxicity. The recommended LYNPARZA</w:t>
      </w:r>
      <w:r w:rsidRPr="00205AF5">
        <w:rPr>
          <w:rFonts w:cs="Arial"/>
          <w:sz w:val="22"/>
          <w:szCs w:val="22"/>
          <w:lang w:val="en-US"/>
        </w:rPr>
        <w:t xml:space="preserve"> </w:t>
      </w:r>
      <w:r w:rsidRPr="00205AF5">
        <w:rPr>
          <w:rFonts w:cs="Arial"/>
          <w:sz w:val="22"/>
          <w:szCs w:val="22"/>
        </w:rPr>
        <w:t>monotherapy dose is not suitable for combination with other anticancer agents.</w:t>
      </w:r>
    </w:p>
    <w:p w14:paraId="0784A0EF" w14:textId="742B1D4F" w:rsidR="005634A2" w:rsidRPr="00205AF5" w:rsidRDefault="005634A2" w:rsidP="00B722BA">
      <w:pPr>
        <w:widowControl w:val="0"/>
        <w:rPr>
          <w:rFonts w:cs="Arial"/>
          <w:sz w:val="22"/>
          <w:szCs w:val="22"/>
        </w:rPr>
      </w:pPr>
      <w:r w:rsidRPr="00205AF5">
        <w:rPr>
          <w:rFonts w:cs="Arial"/>
          <w:sz w:val="22"/>
          <w:szCs w:val="22"/>
        </w:rPr>
        <w:t>CYP3A4/5 are the isozymes predominantly responsible for the metabolic clearance of olaparib.  Clinical studies [conducted with a tablet formulation]</w:t>
      </w:r>
      <w:r>
        <w:rPr>
          <w:rFonts w:cs="Arial"/>
          <w:sz w:val="22"/>
          <w:szCs w:val="22"/>
        </w:rPr>
        <w:t xml:space="preserve"> </w:t>
      </w:r>
      <w:r w:rsidRPr="00205AF5">
        <w:rPr>
          <w:rFonts w:cs="Arial"/>
          <w:sz w:val="22"/>
          <w:szCs w:val="22"/>
        </w:rPr>
        <w:t xml:space="preserve">to evaluate the impact of known CYP3A inhibitors and inducers have shown that co-administration of a potent CYP3A inhibitor increased </w:t>
      </w:r>
      <w:proofErr w:type="spellStart"/>
      <w:r w:rsidRPr="00205AF5">
        <w:rPr>
          <w:rFonts w:cs="Arial"/>
          <w:sz w:val="22"/>
          <w:szCs w:val="22"/>
        </w:rPr>
        <w:t>olaparib</w:t>
      </w:r>
      <w:proofErr w:type="spellEnd"/>
      <w:r w:rsidRPr="00205AF5">
        <w:rPr>
          <w:rFonts w:cs="Arial"/>
          <w:sz w:val="22"/>
          <w:szCs w:val="22"/>
        </w:rPr>
        <w:t xml:space="preserve"> </w:t>
      </w:r>
      <w:proofErr w:type="spellStart"/>
      <w:r w:rsidRPr="00205AF5">
        <w:rPr>
          <w:rFonts w:cs="Arial"/>
          <w:sz w:val="22"/>
          <w:szCs w:val="22"/>
        </w:rPr>
        <w:t>C</w:t>
      </w:r>
      <w:r w:rsidRPr="00205AF5">
        <w:rPr>
          <w:rFonts w:cs="Arial"/>
          <w:sz w:val="22"/>
          <w:szCs w:val="22"/>
          <w:vertAlign w:val="subscript"/>
        </w:rPr>
        <w:t>max</w:t>
      </w:r>
      <w:proofErr w:type="spellEnd"/>
      <w:r w:rsidRPr="00205AF5">
        <w:rPr>
          <w:rFonts w:cs="Arial"/>
          <w:sz w:val="22"/>
          <w:szCs w:val="22"/>
          <w:vertAlign w:val="subscript"/>
        </w:rPr>
        <w:t xml:space="preserve"> </w:t>
      </w:r>
      <w:r w:rsidRPr="00205AF5">
        <w:rPr>
          <w:rFonts w:cs="Arial"/>
          <w:sz w:val="22"/>
          <w:szCs w:val="22"/>
        </w:rPr>
        <w:t xml:space="preserve">1.42-fold (90% CI: 1.33-1.52) and increased mean AUC 2.70-fold (90% CI: 2.44-2.97) and that co-administration of a potent CYP inducer decreased </w:t>
      </w:r>
      <w:proofErr w:type="spellStart"/>
      <w:r w:rsidRPr="00205AF5">
        <w:rPr>
          <w:rFonts w:cs="Arial"/>
          <w:sz w:val="22"/>
          <w:szCs w:val="22"/>
        </w:rPr>
        <w:t>C</w:t>
      </w:r>
      <w:r w:rsidRPr="00205AF5">
        <w:rPr>
          <w:rFonts w:cs="Arial"/>
          <w:sz w:val="22"/>
          <w:szCs w:val="22"/>
          <w:vertAlign w:val="subscript"/>
        </w:rPr>
        <w:t>max</w:t>
      </w:r>
      <w:proofErr w:type="spellEnd"/>
      <w:r w:rsidRPr="00205AF5">
        <w:rPr>
          <w:rFonts w:cs="Arial"/>
          <w:sz w:val="22"/>
          <w:szCs w:val="22"/>
        </w:rPr>
        <w:t xml:space="preserve"> by 71% (Treatment ratio: 0.29; 90% CI: 0.24-0.33) and mean AUC by 87% (Treatment ratio: 0.13; 90% CI: 0.11-0.16.</w:t>
      </w:r>
      <w:r w:rsidRPr="00205AF5">
        <w:rPr>
          <w:rFonts w:cs="Arial"/>
          <w:b/>
          <w:bCs/>
          <w:sz w:val="22"/>
          <w:szCs w:val="22"/>
        </w:rPr>
        <w:t xml:space="preserve">  </w:t>
      </w:r>
      <w:r w:rsidRPr="00205AF5">
        <w:rPr>
          <w:rFonts w:cs="Arial"/>
          <w:sz w:val="22"/>
          <w:szCs w:val="22"/>
        </w:rPr>
        <w:t>It is therefore recommended that known potent inhibitors/inducers of these isozymes are not co-administered with olaparib.</w:t>
      </w:r>
      <w:r>
        <w:rPr>
          <w:rFonts w:cs="Arial"/>
          <w:sz w:val="22"/>
          <w:szCs w:val="22"/>
        </w:rPr>
        <w:t xml:space="preserve"> These include but are not limited to</w:t>
      </w:r>
      <w:r w:rsidR="00B722BA" w:rsidRPr="00B722BA">
        <w:rPr>
          <w:rFonts w:eastAsiaTheme="minorHAnsi" w:cstheme="minorBidi"/>
          <w:color w:val="000000"/>
          <w:sz w:val="22"/>
          <w:szCs w:val="22"/>
          <w:lang w:val="sv-SE"/>
        </w:rPr>
        <w:t xml:space="preserve"> </w:t>
      </w:r>
      <w:r w:rsidR="00B722BA">
        <w:rPr>
          <w:rFonts w:eastAsiaTheme="minorHAnsi" w:cstheme="minorBidi"/>
          <w:color w:val="000000"/>
          <w:sz w:val="22"/>
          <w:szCs w:val="22"/>
          <w:lang w:val="sv-SE"/>
        </w:rPr>
        <w:t xml:space="preserve">inducers such as </w:t>
      </w:r>
      <w:r w:rsidR="00B722BA" w:rsidRPr="00B722BA">
        <w:rPr>
          <w:rFonts w:cs="Arial"/>
          <w:sz w:val="22"/>
          <w:szCs w:val="22"/>
          <w:lang w:val="sv-SE"/>
        </w:rPr>
        <w:t>phenytoin, rifampicin, rifabutin, carbamazepine, nevirapine, St John’s Wort</w:t>
      </w:r>
      <w:r w:rsidR="00B722BA">
        <w:rPr>
          <w:rFonts w:cs="Arial"/>
          <w:sz w:val="22"/>
          <w:szCs w:val="22"/>
          <w:lang w:val="sv-SE"/>
        </w:rPr>
        <w:t xml:space="preserve">; and inhibitors such as </w:t>
      </w:r>
      <w:r w:rsidR="00B722BA" w:rsidRPr="00B722BA">
        <w:rPr>
          <w:rFonts w:cs="Arial"/>
          <w:sz w:val="22"/>
          <w:szCs w:val="22"/>
          <w:lang w:val="sv-SE"/>
        </w:rPr>
        <w:t xml:space="preserve">itraconazole, </w:t>
      </w:r>
      <w:r w:rsidR="00B722BA">
        <w:rPr>
          <w:rFonts w:cs="Arial"/>
          <w:sz w:val="22"/>
          <w:szCs w:val="22"/>
          <w:lang w:val="sv-SE"/>
        </w:rPr>
        <w:t>c</w:t>
      </w:r>
      <w:r w:rsidR="00B722BA" w:rsidRPr="00B722BA">
        <w:rPr>
          <w:rFonts w:cs="Arial"/>
          <w:sz w:val="22"/>
          <w:szCs w:val="22"/>
          <w:lang w:val="sv-SE"/>
        </w:rPr>
        <w:t>larithromycin, boosted protease inhibitor</w:t>
      </w:r>
      <w:r w:rsidR="007D0E43">
        <w:rPr>
          <w:rFonts w:cs="Arial"/>
          <w:sz w:val="22"/>
          <w:szCs w:val="22"/>
          <w:lang w:val="sv-SE"/>
        </w:rPr>
        <w:t>s with ritonavir or cobicistat,</w:t>
      </w:r>
      <w:r w:rsidR="00B722BA" w:rsidRPr="00B722BA">
        <w:rPr>
          <w:rFonts w:cs="Arial"/>
          <w:sz w:val="22"/>
          <w:szCs w:val="22"/>
          <w:lang w:val="sv-SE"/>
        </w:rPr>
        <w:t xml:space="preserve"> indinavir, saquinavir, boceprevir, </w:t>
      </w:r>
      <w:r w:rsidR="00B722BA">
        <w:rPr>
          <w:rFonts w:cs="Arial"/>
          <w:sz w:val="22"/>
          <w:szCs w:val="22"/>
          <w:lang w:val="sv-SE"/>
        </w:rPr>
        <w:t>a</w:t>
      </w:r>
      <w:r w:rsidR="00B722BA" w:rsidRPr="00B722BA">
        <w:rPr>
          <w:rFonts w:cs="Arial"/>
          <w:sz w:val="22"/>
          <w:szCs w:val="22"/>
          <w:lang w:val="sv-SE"/>
        </w:rPr>
        <w:t>ciprofloxacin, erthyromycin, diltiazem, fluconazole, verapamil)</w:t>
      </w:r>
      <w:r>
        <w:rPr>
          <w:rFonts w:cs="Arial"/>
          <w:sz w:val="22"/>
          <w:szCs w:val="22"/>
        </w:rPr>
        <w:t xml:space="preserve"> </w:t>
      </w:r>
      <w:r w:rsidR="00B722BA">
        <w:rPr>
          <w:rFonts w:cs="Arial"/>
          <w:sz w:val="22"/>
          <w:szCs w:val="22"/>
        </w:rPr>
        <w:t>a</w:t>
      </w:r>
      <w:r>
        <w:rPr>
          <w:rFonts w:cs="Arial"/>
          <w:sz w:val="22"/>
          <w:szCs w:val="22"/>
        </w:rPr>
        <w:t>nd also grapefruit, star fruit and Seville oranges.</w:t>
      </w:r>
    </w:p>
    <w:p w14:paraId="738F6B73" w14:textId="69DEE101" w:rsidR="00205AF5" w:rsidRPr="00205AF5" w:rsidRDefault="001F493D" w:rsidP="00205AF5">
      <w:pPr>
        <w:widowControl w:val="0"/>
        <w:rPr>
          <w:sz w:val="22"/>
          <w:szCs w:val="22"/>
        </w:rPr>
      </w:pPr>
      <w:r w:rsidRPr="00205AF5">
        <w:rPr>
          <w:sz w:val="22"/>
          <w:szCs w:val="22"/>
        </w:rPr>
        <w:t xml:space="preserve">Modest inhibition of CYP3A4 was seen when olaparib was tested at concentrations up to 100 </w:t>
      </w:r>
      <w:proofErr w:type="spellStart"/>
      <w:r w:rsidRPr="00205AF5">
        <w:rPr>
          <w:sz w:val="22"/>
          <w:szCs w:val="22"/>
        </w:rPr>
        <w:t>uM</w:t>
      </w:r>
      <w:proofErr w:type="spellEnd"/>
      <w:r w:rsidRPr="00205AF5">
        <w:rPr>
          <w:sz w:val="22"/>
          <w:szCs w:val="22"/>
        </w:rPr>
        <w:t xml:space="preserve"> and greater inhibition when tested at 500 </w:t>
      </w:r>
      <w:proofErr w:type="spellStart"/>
      <w:r w:rsidRPr="00205AF5">
        <w:rPr>
          <w:sz w:val="22"/>
          <w:szCs w:val="22"/>
        </w:rPr>
        <w:t>uM</w:t>
      </w:r>
      <w:proofErr w:type="spellEnd"/>
      <w:r w:rsidRPr="00205AF5">
        <w:rPr>
          <w:sz w:val="22"/>
          <w:szCs w:val="22"/>
        </w:rPr>
        <w:t xml:space="preserve">.  These findings suggest that olaparib has the potential to cause clinically relevant interactions with other CYP3A4 substrates in the liver or gastrointestinal tract.  </w:t>
      </w:r>
      <w:r w:rsidR="00E83311">
        <w:rPr>
          <w:sz w:val="22"/>
          <w:szCs w:val="22"/>
        </w:rPr>
        <w:t>Olaparib</w:t>
      </w:r>
      <w:r w:rsidRPr="00205AF5">
        <w:rPr>
          <w:sz w:val="22"/>
          <w:szCs w:val="22"/>
        </w:rPr>
        <w:t xml:space="preserve"> show</w:t>
      </w:r>
      <w:r w:rsidR="00E83311">
        <w:rPr>
          <w:sz w:val="22"/>
          <w:szCs w:val="22"/>
        </w:rPr>
        <w:t>ed</w:t>
      </w:r>
      <w:r w:rsidRPr="00205AF5">
        <w:rPr>
          <w:sz w:val="22"/>
          <w:szCs w:val="22"/>
        </w:rPr>
        <w:t xml:space="preserve"> time dependent inhibition of CYP3A</w:t>
      </w:r>
      <w:r w:rsidR="001A3B5F">
        <w:rPr>
          <w:sz w:val="22"/>
          <w:szCs w:val="22"/>
        </w:rPr>
        <w:t>.</w:t>
      </w:r>
      <w:r w:rsidRPr="00205AF5">
        <w:rPr>
          <w:sz w:val="22"/>
          <w:szCs w:val="22"/>
        </w:rPr>
        <w:t xml:space="preserve"> </w:t>
      </w:r>
      <w:r w:rsidR="006D3CE0" w:rsidRPr="00205AF5">
        <w:rPr>
          <w:sz w:val="22"/>
          <w:szCs w:val="22"/>
        </w:rPr>
        <w:t xml:space="preserve">The clinical relevance of this is unknown. </w:t>
      </w:r>
      <w:r w:rsidRPr="00205AF5">
        <w:rPr>
          <w:sz w:val="22"/>
          <w:szCs w:val="22"/>
        </w:rPr>
        <w:t xml:space="preserve">Induction of CYP1A2, 2B6 and 3A4 has been shown </w:t>
      </w:r>
      <w:r w:rsidRPr="00205AF5">
        <w:rPr>
          <w:i/>
          <w:iCs/>
          <w:sz w:val="22"/>
          <w:szCs w:val="22"/>
        </w:rPr>
        <w:t>in vitro</w:t>
      </w:r>
      <w:r w:rsidRPr="00205AF5">
        <w:rPr>
          <w:sz w:val="22"/>
          <w:szCs w:val="22"/>
        </w:rPr>
        <w:t xml:space="preserve"> with CYP3A4 being most likely to be induced to a clinically relevant extent.</w:t>
      </w:r>
    </w:p>
    <w:p w14:paraId="3FCB70E9" w14:textId="5E4716D0" w:rsidR="001F493D" w:rsidRPr="00205AF5" w:rsidRDefault="001F493D" w:rsidP="00205AF5">
      <w:pPr>
        <w:widowControl w:val="0"/>
        <w:rPr>
          <w:rFonts w:cs="Arial"/>
          <w:sz w:val="22"/>
          <w:szCs w:val="22"/>
          <w:lang w:val="en-US"/>
        </w:rPr>
      </w:pPr>
      <w:r w:rsidRPr="00205AF5">
        <w:rPr>
          <w:rFonts w:eastAsia="Arial Unicode MS" w:cs="Arial"/>
          <w:color w:val="000000"/>
          <w:sz w:val="22"/>
          <w:szCs w:val="22"/>
          <w:lang w:val="en-US"/>
        </w:rPr>
        <w:t xml:space="preserve">Olaparib is a substrate for MDR1, but </w:t>
      </w:r>
      <w:r w:rsidRPr="00205AF5">
        <w:rPr>
          <w:rFonts w:eastAsia="Arial Unicode MS" w:cs="Arial"/>
          <w:sz w:val="22"/>
          <w:szCs w:val="22"/>
          <w:lang w:val="en-US"/>
        </w:rPr>
        <w:t xml:space="preserve">not for BCRP or MRP2.  </w:t>
      </w:r>
      <w:r w:rsidRPr="00205AF5">
        <w:rPr>
          <w:rFonts w:cs="Arial"/>
          <w:i/>
          <w:iCs/>
          <w:sz w:val="22"/>
          <w:szCs w:val="22"/>
        </w:rPr>
        <w:t xml:space="preserve">In vitro </w:t>
      </w:r>
      <w:r w:rsidRPr="00205AF5">
        <w:rPr>
          <w:rFonts w:cs="Arial"/>
          <w:sz w:val="22"/>
          <w:szCs w:val="22"/>
        </w:rPr>
        <w:t>studies suggest it is an inhibitor of MDR1, is a weak inhibitor of BCRP but not an inhibitor of MRP2.</w:t>
      </w:r>
      <w:r w:rsidRPr="00205AF5">
        <w:rPr>
          <w:rFonts w:cs="Arial"/>
          <w:i/>
          <w:iCs/>
          <w:sz w:val="22"/>
          <w:szCs w:val="22"/>
        </w:rPr>
        <w:t xml:space="preserve"> </w:t>
      </w:r>
      <w:r w:rsidRPr="00205AF5">
        <w:rPr>
          <w:rFonts w:eastAsia="Arial Unicode MS" w:cs="Arial"/>
          <w:sz w:val="22"/>
          <w:szCs w:val="22"/>
          <w:lang w:val="en-US"/>
        </w:rPr>
        <w:t>It is possible that olaparib may cause clinically relevant drug interactions with substrates of MDR1</w:t>
      </w:r>
      <w:r w:rsidR="005634A2">
        <w:rPr>
          <w:rFonts w:eastAsia="Arial Unicode MS" w:cs="Arial"/>
          <w:sz w:val="22"/>
          <w:szCs w:val="22"/>
          <w:lang w:val="en-US"/>
        </w:rPr>
        <w:t xml:space="preserve"> such as</w:t>
      </w:r>
      <w:r w:rsidR="003A0064">
        <w:rPr>
          <w:rFonts w:eastAsia="Arial Unicode MS" w:cs="Arial"/>
          <w:sz w:val="22"/>
          <w:szCs w:val="22"/>
          <w:lang w:val="en-US"/>
        </w:rPr>
        <w:t xml:space="preserve"> statins, digoxin, dabigatran</w:t>
      </w:r>
      <w:r w:rsidR="0064545E">
        <w:rPr>
          <w:rFonts w:eastAsia="Arial Unicode MS" w:cs="Arial"/>
          <w:sz w:val="22"/>
          <w:szCs w:val="22"/>
          <w:lang w:val="en-US"/>
        </w:rPr>
        <w:t xml:space="preserve"> and colchicine</w:t>
      </w:r>
      <w:r w:rsidRPr="00205AF5">
        <w:rPr>
          <w:rFonts w:eastAsia="Arial Unicode MS" w:cs="Arial"/>
          <w:sz w:val="22"/>
          <w:szCs w:val="22"/>
          <w:lang w:val="en-US"/>
        </w:rPr>
        <w:t>.</w:t>
      </w:r>
    </w:p>
    <w:p w14:paraId="7AB764E5" w14:textId="3565CC70" w:rsidR="001F493D" w:rsidRDefault="001F493D">
      <w:pPr>
        <w:rPr>
          <w:rFonts w:cs="Arial"/>
          <w:bCs/>
          <w:sz w:val="22"/>
          <w:szCs w:val="22"/>
          <w:lang w:val="en-US"/>
        </w:rPr>
      </w:pPr>
      <w:r w:rsidRPr="00205AF5">
        <w:rPr>
          <w:rFonts w:eastAsia="Arial Unicode MS" w:cs="Arial"/>
          <w:sz w:val="22"/>
          <w:szCs w:val="22"/>
          <w:lang w:val="en-US"/>
        </w:rPr>
        <w:t xml:space="preserve">Olaparib has also been shown to be an inhibitor of OATP1B1, </w:t>
      </w:r>
      <w:proofErr w:type="gramStart"/>
      <w:r w:rsidR="00205AF5">
        <w:rPr>
          <w:rFonts w:eastAsia="Arial Unicode MS" w:cs="Arial"/>
          <w:sz w:val="22"/>
          <w:szCs w:val="22"/>
          <w:lang w:val="en-US"/>
        </w:rPr>
        <w:t>OCT2</w:t>
      </w:r>
      <w:r w:rsidRPr="00205AF5">
        <w:rPr>
          <w:rFonts w:eastAsia="Arial Unicode MS" w:cs="Arial"/>
          <w:sz w:val="22"/>
          <w:szCs w:val="22"/>
          <w:vertAlign w:val="superscript"/>
          <w:lang w:val="en-US"/>
        </w:rPr>
        <w:t xml:space="preserve"> </w:t>
      </w:r>
      <w:r w:rsidRPr="00205AF5">
        <w:rPr>
          <w:rFonts w:eastAsia="Arial Unicode MS" w:cs="Arial"/>
          <w:sz w:val="22"/>
          <w:szCs w:val="22"/>
          <w:lang w:val="en-US"/>
        </w:rPr>
        <w:t>,</w:t>
      </w:r>
      <w:proofErr w:type="gramEnd"/>
      <w:r w:rsidRPr="00205AF5">
        <w:rPr>
          <w:rFonts w:eastAsia="Arial Unicode MS" w:cs="Arial"/>
          <w:sz w:val="22"/>
          <w:szCs w:val="22"/>
          <w:lang w:val="en-US"/>
        </w:rPr>
        <w:t xml:space="preserve"> OAT3,</w:t>
      </w:r>
      <w:r w:rsidRPr="00205AF5">
        <w:rPr>
          <w:rFonts w:eastAsia="Arial Unicode MS" w:cs="Arial"/>
          <w:sz w:val="22"/>
          <w:szCs w:val="22"/>
          <w:vertAlign w:val="superscript"/>
          <w:lang w:val="en-US"/>
        </w:rPr>
        <w:t xml:space="preserve"> </w:t>
      </w:r>
      <w:r w:rsidRPr="00205AF5">
        <w:rPr>
          <w:rFonts w:eastAsia="Arial Unicode MS" w:cs="Arial"/>
          <w:sz w:val="22"/>
          <w:szCs w:val="22"/>
          <w:lang w:val="en-US"/>
        </w:rPr>
        <w:t>MATE1 and MATE2K.</w:t>
      </w:r>
      <w:r w:rsidRPr="00205AF5">
        <w:rPr>
          <w:rFonts w:eastAsia="Arial Unicode MS" w:cs="Arial"/>
          <w:i/>
          <w:sz w:val="22"/>
          <w:szCs w:val="22"/>
          <w:lang w:val="en-US"/>
        </w:rPr>
        <w:t xml:space="preserve"> </w:t>
      </w:r>
      <w:r w:rsidRPr="00205AF5">
        <w:rPr>
          <w:rFonts w:cs="Arial"/>
          <w:sz w:val="22"/>
          <w:szCs w:val="22"/>
          <w:lang w:val="en-US"/>
        </w:rPr>
        <w:t>The clinical relevance of these findings is currently unknown.</w:t>
      </w:r>
      <w:r w:rsidRPr="00205AF5">
        <w:rPr>
          <w:rFonts w:cs="Arial"/>
          <w:b/>
          <w:sz w:val="22"/>
          <w:szCs w:val="22"/>
          <w:vertAlign w:val="superscript"/>
          <w:lang w:val="en-US"/>
        </w:rPr>
        <w:t xml:space="preserve"> </w:t>
      </w:r>
      <w:r w:rsidRPr="00205AF5">
        <w:rPr>
          <w:rFonts w:cs="Arial"/>
          <w:b/>
          <w:sz w:val="22"/>
          <w:szCs w:val="22"/>
          <w:lang w:val="en-US"/>
        </w:rPr>
        <w:t xml:space="preserve">  </w:t>
      </w:r>
      <w:r w:rsidRPr="00205AF5">
        <w:rPr>
          <w:rFonts w:cs="Arial"/>
          <w:bCs/>
          <w:sz w:val="22"/>
          <w:szCs w:val="22"/>
          <w:lang w:val="en-US"/>
        </w:rPr>
        <w:t xml:space="preserve">Olaparib is unlikely to inhibit </w:t>
      </w:r>
      <w:r w:rsidR="006D3CE0" w:rsidRPr="00205AF5">
        <w:rPr>
          <w:rFonts w:cs="Arial"/>
          <w:bCs/>
          <w:sz w:val="22"/>
          <w:szCs w:val="22"/>
          <w:lang w:val="en-US"/>
        </w:rPr>
        <w:t xml:space="preserve">OCT1, </w:t>
      </w:r>
      <w:r w:rsidRPr="00205AF5">
        <w:rPr>
          <w:rFonts w:cs="Arial"/>
          <w:bCs/>
          <w:sz w:val="22"/>
          <w:szCs w:val="22"/>
          <w:lang w:val="en-US"/>
        </w:rPr>
        <w:t>OATP1B3 or OAT1.</w:t>
      </w:r>
    </w:p>
    <w:p w14:paraId="274739FF" w14:textId="434BEDDC" w:rsidR="00E83311" w:rsidRPr="00205AF5" w:rsidRDefault="00E83311">
      <w:pPr>
        <w:rPr>
          <w:rFonts w:cs="Arial"/>
          <w:sz w:val="22"/>
          <w:szCs w:val="22"/>
          <w:lang w:val="en-US"/>
        </w:rPr>
      </w:pPr>
      <w:r w:rsidRPr="00E83311">
        <w:rPr>
          <w:rFonts w:cs="Arial"/>
          <w:sz w:val="22"/>
          <w:szCs w:val="22"/>
        </w:rPr>
        <w:t xml:space="preserve">Olaparib produced little/no direct inhibition </w:t>
      </w:r>
      <w:r w:rsidRPr="00E83311">
        <w:rPr>
          <w:rFonts w:cs="Arial"/>
          <w:i/>
          <w:sz w:val="22"/>
          <w:szCs w:val="22"/>
        </w:rPr>
        <w:t>in vitro</w:t>
      </w:r>
      <w:r w:rsidRPr="00E83311">
        <w:rPr>
          <w:rFonts w:cs="Arial"/>
          <w:sz w:val="22"/>
          <w:szCs w:val="22"/>
        </w:rPr>
        <w:t xml:space="preserve"> of CYPs 1A2, 2A6, 2B6, 2C8, 2C9, 2C19, 2D6 or 2E1.</w:t>
      </w:r>
      <w:r>
        <w:rPr>
          <w:rFonts w:cs="Arial"/>
          <w:sz w:val="22"/>
          <w:szCs w:val="22"/>
        </w:rPr>
        <w:t xml:space="preserve"> </w:t>
      </w:r>
      <w:r w:rsidRPr="00E83311">
        <w:rPr>
          <w:rFonts w:cs="Arial"/>
          <w:sz w:val="22"/>
          <w:szCs w:val="22"/>
        </w:rPr>
        <w:t>Olaparib was not a time dependent inhibitor of CYPs 1A2, 2A6, 2B6, 2C8, 2C9, 2D6 or 2E1.</w:t>
      </w:r>
    </w:p>
    <w:p w14:paraId="68A6A59E" w14:textId="77777777" w:rsidR="001F493D" w:rsidRPr="00205AF5" w:rsidRDefault="001F493D">
      <w:pPr>
        <w:pStyle w:val="A-Heading1"/>
        <w:rPr>
          <w:sz w:val="22"/>
          <w:szCs w:val="22"/>
          <w:lang w:val="en-AU"/>
        </w:rPr>
      </w:pPr>
      <w:r w:rsidRPr="00205AF5">
        <w:rPr>
          <w:sz w:val="22"/>
          <w:szCs w:val="22"/>
          <w:lang w:val="en-AU"/>
        </w:rPr>
        <w:lastRenderedPageBreak/>
        <w:t>ADVERSE EFFECTS</w:t>
      </w:r>
    </w:p>
    <w:p w14:paraId="5C2C8520" w14:textId="77777777" w:rsidR="001F493D" w:rsidRDefault="001F493D">
      <w:pPr>
        <w:pStyle w:val="Heading4"/>
        <w:numPr>
          <w:ilvl w:val="0"/>
          <w:numId w:val="0"/>
        </w:numPr>
        <w:spacing w:line="280" w:lineRule="atLeast"/>
        <w:rPr>
          <w:rFonts w:ascii="Arial" w:hAnsi="Arial" w:cs="Arial"/>
          <w:b/>
          <w:i w:val="0"/>
          <w:sz w:val="22"/>
          <w:szCs w:val="22"/>
        </w:rPr>
      </w:pPr>
      <w:r>
        <w:rPr>
          <w:rFonts w:ascii="Arial" w:hAnsi="Arial" w:cs="Arial"/>
          <w:b/>
          <w:i w:val="0"/>
          <w:sz w:val="22"/>
          <w:szCs w:val="22"/>
        </w:rPr>
        <w:t>Overall Summary of Adverse Drug Reactions</w:t>
      </w:r>
    </w:p>
    <w:p w14:paraId="32FBF797" w14:textId="77777777" w:rsidR="001F493D" w:rsidRDefault="001F493D">
      <w:pPr>
        <w:rPr>
          <w:sz w:val="22"/>
          <w:szCs w:val="22"/>
        </w:rPr>
      </w:pPr>
      <w:r>
        <w:rPr>
          <w:color w:val="000000"/>
          <w:sz w:val="22"/>
          <w:szCs w:val="22"/>
        </w:rPr>
        <w:t>LYNPARZA monotherapy has been associated with laboratory findings and/or clinical diagnoses generally of mild or moderate severity (CTCAE 1 or 2) and generally not requiring treatment discontinuation.</w:t>
      </w:r>
    </w:p>
    <w:p w14:paraId="075622F7" w14:textId="1D60BA7C" w:rsidR="001F493D" w:rsidRDefault="001F493D">
      <w:pPr>
        <w:pStyle w:val="Heading4"/>
        <w:numPr>
          <w:ilvl w:val="0"/>
          <w:numId w:val="0"/>
        </w:numPr>
        <w:spacing w:line="280" w:lineRule="atLeast"/>
        <w:rPr>
          <w:rFonts w:ascii="Arial" w:hAnsi="Arial" w:cs="Arial"/>
          <w:b/>
          <w:i w:val="0"/>
          <w:sz w:val="22"/>
          <w:szCs w:val="22"/>
        </w:rPr>
      </w:pPr>
      <w:r>
        <w:rPr>
          <w:rFonts w:ascii="Arial" w:hAnsi="Arial" w:cs="Arial"/>
          <w:b/>
          <w:i w:val="0"/>
          <w:sz w:val="22"/>
          <w:szCs w:val="22"/>
        </w:rPr>
        <w:t>Adverse Drug Reactions during Clinical Trials</w:t>
      </w:r>
    </w:p>
    <w:p w14:paraId="0E881FAC" w14:textId="77777777" w:rsidR="001F493D" w:rsidRDefault="001F493D">
      <w:pPr>
        <w:rPr>
          <w:sz w:val="22"/>
          <w:szCs w:val="22"/>
          <w:lang w:val="en-US"/>
        </w:rPr>
      </w:pPr>
      <w:r>
        <w:rPr>
          <w:sz w:val="22"/>
          <w:szCs w:val="22"/>
          <w:lang w:val="en-US"/>
        </w:rPr>
        <w:t>The following adverse reactions have been identified in clinical studies with patients receiving LYNPARZA monotherapy</w:t>
      </w:r>
      <w:r>
        <w:rPr>
          <w:i/>
          <w:sz w:val="22"/>
          <w:szCs w:val="22"/>
        </w:rPr>
        <w:t>.</w:t>
      </w:r>
      <w:r>
        <w:rPr>
          <w:sz w:val="22"/>
          <w:szCs w:val="22"/>
        </w:rPr>
        <w:t xml:space="preserve"> T</w:t>
      </w:r>
      <w:r>
        <w:rPr>
          <w:sz w:val="22"/>
          <w:szCs w:val="22"/>
          <w:lang w:val="en-US"/>
        </w:rPr>
        <w:t xml:space="preserve">heir frequency is presented in Table 1 Adverse Drug Reactions using CIOMS III frequency classification and then listed by </w:t>
      </w:r>
      <w:proofErr w:type="spellStart"/>
      <w:r>
        <w:rPr>
          <w:sz w:val="22"/>
          <w:szCs w:val="22"/>
          <w:lang w:val="en-US"/>
        </w:rPr>
        <w:t>MedDRA</w:t>
      </w:r>
      <w:proofErr w:type="spellEnd"/>
      <w:r>
        <w:rPr>
          <w:sz w:val="22"/>
          <w:szCs w:val="22"/>
          <w:lang w:val="en-US"/>
        </w:rPr>
        <w:t xml:space="preserve"> SOC and at the preferred term level. Frequencies of occurrence of undesirable effects are defined as: very common (≥1/10); common (</w:t>
      </w:r>
      <w:r>
        <w:rPr>
          <w:sz w:val="22"/>
          <w:szCs w:val="22"/>
          <w:lang w:val="en-US"/>
        </w:rPr>
        <w:sym w:font="Symbol" w:char="F0B3"/>
      </w:r>
      <w:r>
        <w:rPr>
          <w:sz w:val="22"/>
          <w:szCs w:val="22"/>
          <w:lang w:val="en-US"/>
        </w:rPr>
        <w:t xml:space="preserve">1/100 to &lt;1/10); uncommon (≥1/1,000 to &lt;1/100); rare (≥1/10,000 to &lt;1/1000); very rare (&lt;1/10,000) including isolated reports. This section includes only data derived from completed monotherapy studies where patient exposure is known. </w:t>
      </w:r>
    </w:p>
    <w:p w14:paraId="1733B6F8" w14:textId="77777777" w:rsidR="001F493D" w:rsidRDefault="001F493D">
      <w:pPr>
        <w:tabs>
          <w:tab w:val="left" w:pos="1800"/>
        </w:tabs>
        <w:spacing w:after="120"/>
        <w:ind w:left="1800" w:right="-169" w:hanging="1800"/>
        <w:rPr>
          <w:rFonts w:cs="Arial"/>
          <w:b/>
          <w:bCs/>
          <w:sz w:val="22"/>
          <w:szCs w:val="22"/>
        </w:rPr>
      </w:pPr>
      <w:r>
        <w:rPr>
          <w:rFonts w:cs="Arial"/>
          <w:b/>
          <w:bCs/>
          <w:sz w:val="22"/>
          <w:szCs w:val="22"/>
        </w:rPr>
        <w:t xml:space="preserve">Table </w:t>
      </w:r>
      <w:r>
        <w:rPr>
          <w:rFonts w:cs="Arial"/>
          <w:b/>
          <w:bCs/>
          <w:sz w:val="22"/>
          <w:szCs w:val="22"/>
        </w:rPr>
        <w:fldChar w:fldCharType="begin"/>
      </w:r>
      <w:r>
        <w:rPr>
          <w:rFonts w:cs="Arial"/>
          <w:b/>
          <w:bCs/>
          <w:sz w:val="22"/>
          <w:szCs w:val="22"/>
        </w:rPr>
        <w:instrText xml:space="preserve"> SEQ Table \* ARABIC </w:instrText>
      </w:r>
      <w:r>
        <w:rPr>
          <w:rFonts w:cs="Arial"/>
          <w:b/>
          <w:bCs/>
          <w:sz w:val="22"/>
          <w:szCs w:val="22"/>
        </w:rPr>
        <w:fldChar w:fldCharType="separate"/>
      </w:r>
      <w:r w:rsidR="00DA12EF">
        <w:rPr>
          <w:rFonts w:cs="Arial"/>
          <w:b/>
          <w:bCs/>
          <w:noProof/>
          <w:sz w:val="22"/>
          <w:szCs w:val="22"/>
        </w:rPr>
        <w:t>1</w:t>
      </w:r>
      <w:r>
        <w:rPr>
          <w:rFonts w:cs="Arial"/>
          <w:b/>
          <w:bCs/>
          <w:sz w:val="22"/>
          <w:szCs w:val="22"/>
        </w:rPr>
        <w:fldChar w:fldCharType="end"/>
      </w:r>
      <w:r>
        <w:rPr>
          <w:rFonts w:cs="Arial"/>
          <w:b/>
          <w:bCs/>
          <w:sz w:val="22"/>
          <w:szCs w:val="22"/>
        </w:rPr>
        <w:tab/>
        <w:t xml:space="preserve">Adverse Drug Reactions during Clinical Trials </w:t>
      </w:r>
    </w:p>
    <w:tbl>
      <w:tblPr>
        <w:tblW w:w="5000" w:type="pct"/>
        <w:tblLayout w:type="fixed"/>
        <w:tblLook w:val="0000" w:firstRow="0" w:lastRow="0" w:firstColumn="0" w:lastColumn="0" w:noHBand="0" w:noVBand="0"/>
      </w:tblPr>
      <w:tblGrid>
        <w:gridCol w:w="2073"/>
        <w:gridCol w:w="2143"/>
        <w:gridCol w:w="2500"/>
        <w:gridCol w:w="2529"/>
      </w:tblGrid>
      <w:tr w:rsidR="001F493D" w14:paraId="1C45A44F" w14:textId="77777777">
        <w:trPr>
          <w:cantSplit/>
          <w:tblHeader/>
        </w:trPr>
        <w:tc>
          <w:tcPr>
            <w:tcW w:w="1121" w:type="pct"/>
            <w:tcBorders>
              <w:top w:val="single" w:sz="12" w:space="0" w:color="auto"/>
              <w:left w:val="nil"/>
              <w:bottom w:val="single" w:sz="6" w:space="0" w:color="auto"/>
              <w:right w:val="nil"/>
            </w:tcBorders>
          </w:tcPr>
          <w:p w14:paraId="35FF0563" w14:textId="77777777" w:rsidR="001F493D" w:rsidRDefault="001F493D">
            <w:pPr>
              <w:spacing w:before="60" w:after="60"/>
              <w:rPr>
                <w:rFonts w:cs="Arial"/>
                <w:b/>
                <w:bCs/>
                <w:sz w:val="22"/>
                <w:szCs w:val="22"/>
              </w:rPr>
            </w:pPr>
            <w:proofErr w:type="spellStart"/>
            <w:r>
              <w:rPr>
                <w:rFonts w:cs="Arial"/>
                <w:b/>
                <w:bCs/>
                <w:sz w:val="22"/>
                <w:szCs w:val="22"/>
              </w:rPr>
              <w:t>MedDRA</w:t>
            </w:r>
            <w:proofErr w:type="spellEnd"/>
            <w:r>
              <w:rPr>
                <w:rFonts w:cs="Arial"/>
                <w:b/>
                <w:bCs/>
                <w:sz w:val="22"/>
                <w:szCs w:val="22"/>
              </w:rPr>
              <w:t xml:space="preserve"> SOC</w:t>
            </w:r>
          </w:p>
        </w:tc>
        <w:tc>
          <w:tcPr>
            <w:tcW w:w="1159" w:type="pct"/>
            <w:tcBorders>
              <w:top w:val="single" w:sz="12" w:space="0" w:color="auto"/>
              <w:left w:val="nil"/>
              <w:bottom w:val="single" w:sz="6" w:space="0" w:color="auto"/>
              <w:right w:val="nil"/>
            </w:tcBorders>
          </w:tcPr>
          <w:p w14:paraId="137E70C6" w14:textId="77777777" w:rsidR="001F493D" w:rsidRDefault="001F493D">
            <w:pPr>
              <w:spacing w:before="60" w:after="60"/>
              <w:rPr>
                <w:rFonts w:cs="Arial"/>
                <w:b/>
                <w:bCs/>
                <w:sz w:val="22"/>
                <w:szCs w:val="22"/>
              </w:rPr>
            </w:pPr>
            <w:proofErr w:type="spellStart"/>
            <w:r>
              <w:rPr>
                <w:rFonts w:cs="Arial"/>
                <w:b/>
                <w:bCs/>
                <w:sz w:val="22"/>
                <w:szCs w:val="22"/>
              </w:rPr>
              <w:t>MedDRA</w:t>
            </w:r>
            <w:proofErr w:type="spellEnd"/>
            <w:r>
              <w:rPr>
                <w:rFonts w:cs="Arial"/>
                <w:b/>
                <w:bCs/>
                <w:sz w:val="22"/>
                <w:szCs w:val="22"/>
              </w:rPr>
              <w:t xml:space="preserve"> Term</w:t>
            </w:r>
          </w:p>
        </w:tc>
        <w:tc>
          <w:tcPr>
            <w:tcW w:w="1352" w:type="pct"/>
            <w:tcBorders>
              <w:top w:val="single" w:sz="12" w:space="0" w:color="auto"/>
              <w:left w:val="nil"/>
              <w:bottom w:val="single" w:sz="6" w:space="0" w:color="auto"/>
              <w:right w:val="nil"/>
            </w:tcBorders>
          </w:tcPr>
          <w:p w14:paraId="74B90C2E" w14:textId="77777777" w:rsidR="001F493D" w:rsidRDefault="001F493D">
            <w:pPr>
              <w:spacing w:before="60" w:after="60"/>
              <w:rPr>
                <w:rFonts w:cs="Arial"/>
                <w:b/>
                <w:bCs/>
                <w:sz w:val="22"/>
                <w:szCs w:val="22"/>
              </w:rPr>
            </w:pPr>
            <w:r>
              <w:rPr>
                <w:rFonts w:cs="Arial"/>
                <w:b/>
                <w:bCs/>
                <w:sz w:val="22"/>
                <w:szCs w:val="22"/>
              </w:rPr>
              <w:t xml:space="preserve">CIOMS descriptor/ Overall Frequency </w:t>
            </w:r>
            <w:r>
              <w:rPr>
                <w:rFonts w:cs="Arial"/>
                <w:b/>
                <w:bCs/>
                <w:sz w:val="22"/>
                <w:szCs w:val="22"/>
              </w:rPr>
              <w:br/>
              <w:t>(All CTCAE grades)</w:t>
            </w:r>
          </w:p>
        </w:tc>
        <w:tc>
          <w:tcPr>
            <w:tcW w:w="1368" w:type="pct"/>
            <w:tcBorders>
              <w:top w:val="single" w:sz="12" w:space="0" w:color="auto"/>
              <w:left w:val="nil"/>
              <w:bottom w:val="single" w:sz="6" w:space="0" w:color="auto"/>
              <w:right w:val="nil"/>
            </w:tcBorders>
          </w:tcPr>
          <w:p w14:paraId="7A154003" w14:textId="77777777" w:rsidR="001F493D" w:rsidRDefault="001F493D">
            <w:pPr>
              <w:spacing w:before="60" w:after="60"/>
              <w:rPr>
                <w:rFonts w:cs="Arial"/>
                <w:b/>
                <w:bCs/>
                <w:sz w:val="22"/>
                <w:szCs w:val="22"/>
              </w:rPr>
            </w:pPr>
            <w:r>
              <w:rPr>
                <w:rFonts w:cs="Arial"/>
                <w:b/>
                <w:bCs/>
                <w:sz w:val="22"/>
                <w:szCs w:val="22"/>
              </w:rPr>
              <w:t>Frequency of CTCAE grade 3 and above</w:t>
            </w:r>
          </w:p>
        </w:tc>
      </w:tr>
      <w:tr w:rsidR="001F493D" w14:paraId="18449786" w14:textId="77777777">
        <w:trPr>
          <w:cantSplit/>
        </w:trPr>
        <w:tc>
          <w:tcPr>
            <w:tcW w:w="1121" w:type="pct"/>
            <w:tcBorders>
              <w:top w:val="nil"/>
              <w:left w:val="nil"/>
              <w:bottom w:val="single" w:sz="4" w:space="0" w:color="auto"/>
              <w:right w:val="nil"/>
            </w:tcBorders>
          </w:tcPr>
          <w:p w14:paraId="36BD2FDC" w14:textId="77777777" w:rsidR="001F493D" w:rsidRDefault="001F493D">
            <w:pPr>
              <w:spacing w:before="60" w:after="60"/>
              <w:rPr>
                <w:rFonts w:cs="Arial"/>
                <w:sz w:val="22"/>
                <w:szCs w:val="22"/>
              </w:rPr>
            </w:pPr>
            <w:r>
              <w:rPr>
                <w:rFonts w:cs="Arial"/>
                <w:sz w:val="22"/>
                <w:szCs w:val="22"/>
              </w:rPr>
              <w:t>Metabolism and nutrition disorders</w:t>
            </w:r>
          </w:p>
        </w:tc>
        <w:tc>
          <w:tcPr>
            <w:tcW w:w="1159" w:type="pct"/>
            <w:tcBorders>
              <w:top w:val="nil"/>
              <w:left w:val="nil"/>
              <w:bottom w:val="single" w:sz="4" w:space="0" w:color="auto"/>
              <w:right w:val="nil"/>
            </w:tcBorders>
          </w:tcPr>
          <w:p w14:paraId="12E1D780" w14:textId="77777777" w:rsidR="001F493D" w:rsidRDefault="001F493D">
            <w:pPr>
              <w:spacing w:before="60" w:after="60"/>
              <w:rPr>
                <w:rFonts w:cs="Arial"/>
                <w:sz w:val="22"/>
                <w:szCs w:val="22"/>
              </w:rPr>
            </w:pPr>
            <w:r>
              <w:rPr>
                <w:rFonts w:cs="Arial"/>
                <w:sz w:val="22"/>
                <w:szCs w:val="22"/>
              </w:rPr>
              <w:t>Decreased appetite</w:t>
            </w:r>
          </w:p>
        </w:tc>
        <w:tc>
          <w:tcPr>
            <w:tcW w:w="1352" w:type="pct"/>
            <w:tcBorders>
              <w:top w:val="nil"/>
              <w:left w:val="nil"/>
              <w:bottom w:val="single" w:sz="4" w:space="0" w:color="auto"/>
              <w:right w:val="nil"/>
            </w:tcBorders>
          </w:tcPr>
          <w:p w14:paraId="7D151566"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single" w:sz="4" w:space="0" w:color="auto"/>
              <w:right w:val="nil"/>
            </w:tcBorders>
          </w:tcPr>
          <w:p w14:paraId="2CE2EA55" w14:textId="77777777" w:rsidR="001F493D" w:rsidRDefault="001F493D">
            <w:pPr>
              <w:spacing w:before="60" w:after="60"/>
              <w:rPr>
                <w:rFonts w:cs="Arial"/>
                <w:sz w:val="22"/>
                <w:szCs w:val="22"/>
              </w:rPr>
            </w:pPr>
            <w:r>
              <w:rPr>
                <w:rFonts w:cs="Arial"/>
                <w:sz w:val="22"/>
                <w:szCs w:val="22"/>
              </w:rPr>
              <w:t xml:space="preserve">Uncommon </w:t>
            </w:r>
          </w:p>
        </w:tc>
      </w:tr>
      <w:tr w:rsidR="001F493D" w14:paraId="33B048D9" w14:textId="77777777">
        <w:trPr>
          <w:cantSplit/>
        </w:trPr>
        <w:tc>
          <w:tcPr>
            <w:tcW w:w="1121" w:type="pct"/>
            <w:tcBorders>
              <w:top w:val="single" w:sz="4" w:space="0" w:color="auto"/>
              <w:left w:val="nil"/>
              <w:bottom w:val="nil"/>
              <w:right w:val="nil"/>
            </w:tcBorders>
          </w:tcPr>
          <w:p w14:paraId="1A759E96" w14:textId="77777777" w:rsidR="001F493D" w:rsidRDefault="001F493D">
            <w:pPr>
              <w:spacing w:before="60" w:after="60"/>
              <w:rPr>
                <w:rFonts w:cs="Arial"/>
                <w:sz w:val="22"/>
                <w:szCs w:val="22"/>
              </w:rPr>
            </w:pPr>
            <w:r>
              <w:rPr>
                <w:rFonts w:cs="Arial"/>
                <w:sz w:val="22"/>
                <w:szCs w:val="22"/>
              </w:rPr>
              <w:t>Nervous system disorders</w:t>
            </w:r>
          </w:p>
        </w:tc>
        <w:tc>
          <w:tcPr>
            <w:tcW w:w="1159" w:type="pct"/>
            <w:tcBorders>
              <w:top w:val="single" w:sz="4" w:space="0" w:color="auto"/>
              <w:left w:val="nil"/>
              <w:bottom w:val="nil"/>
              <w:right w:val="nil"/>
            </w:tcBorders>
          </w:tcPr>
          <w:p w14:paraId="2D51AF18" w14:textId="77777777" w:rsidR="001F493D" w:rsidRDefault="001F493D">
            <w:pPr>
              <w:spacing w:before="60" w:after="60"/>
              <w:rPr>
                <w:rFonts w:cs="Arial"/>
                <w:sz w:val="22"/>
                <w:szCs w:val="22"/>
              </w:rPr>
            </w:pPr>
            <w:r>
              <w:rPr>
                <w:rFonts w:cs="Arial"/>
                <w:sz w:val="22"/>
                <w:szCs w:val="22"/>
              </w:rPr>
              <w:t>Headache</w:t>
            </w:r>
          </w:p>
        </w:tc>
        <w:tc>
          <w:tcPr>
            <w:tcW w:w="1352" w:type="pct"/>
            <w:tcBorders>
              <w:top w:val="single" w:sz="4" w:space="0" w:color="auto"/>
              <w:left w:val="nil"/>
              <w:bottom w:val="nil"/>
              <w:right w:val="nil"/>
            </w:tcBorders>
          </w:tcPr>
          <w:p w14:paraId="31B6F3F3" w14:textId="77777777" w:rsidR="001F493D" w:rsidRDefault="001F493D">
            <w:pPr>
              <w:spacing w:before="60" w:after="60"/>
              <w:rPr>
                <w:rFonts w:cs="Arial"/>
                <w:sz w:val="22"/>
                <w:szCs w:val="22"/>
              </w:rPr>
            </w:pPr>
            <w:r>
              <w:rPr>
                <w:rFonts w:cs="Arial"/>
                <w:sz w:val="22"/>
                <w:szCs w:val="22"/>
              </w:rPr>
              <w:t>Very common</w:t>
            </w:r>
          </w:p>
        </w:tc>
        <w:tc>
          <w:tcPr>
            <w:tcW w:w="1368" w:type="pct"/>
            <w:tcBorders>
              <w:top w:val="single" w:sz="4" w:space="0" w:color="auto"/>
              <w:left w:val="nil"/>
              <w:bottom w:val="nil"/>
              <w:right w:val="nil"/>
            </w:tcBorders>
          </w:tcPr>
          <w:p w14:paraId="52B98F03" w14:textId="77777777" w:rsidR="001F493D" w:rsidRDefault="001F493D">
            <w:pPr>
              <w:spacing w:before="60" w:after="60"/>
              <w:rPr>
                <w:rFonts w:cs="Arial"/>
                <w:sz w:val="22"/>
                <w:szCs w:val="22"/>
              </w:rPr>
            </w:pPr>
            <w:r>
              <w:rPr>
                <w:rFonts w:cs="Arial"/>
                <w:sz w:val="22"/>
                <w:szCs w:val="22"/>
              </w:rPr>
              <w:t xml:space="preserve">Uncommon </w:t>
            </w:r>
          </w:p>
        </w:tc>
      </w:tr>
      <w:tr w:rsidR="001F493D" w14:paraId="2FC7065C" w14:textId="77777777">
        <w:trPr>
          <w:cantSplit/>
        </w:trPr>
        <w:tc>
          <w:tcPr>
            <w:tcW w:w="1121" w:type="pct"/>
            <w:tcBorders>
              <w:top w:val="nil"/>
              <w:left w:val="nil"/>
              <w:right w:val="nil"/>
            </w:tcBorders>
          </w:tcPr>
          <w:p w14:paraId="0CE76FBF" w14:textId="77777777" w:rsidR="001F493D" w:rsidRDefault="001F493D">
            <w:pPr>
              <w:spacing w:before="60" w:after="60"/>
              <w:rPr>
                <w:rFonts w:cs="Arial"/>
                <w:sz w:val="22"/>
                <w:szCs w:val="22"/>
              </w:rPr>
            </w:pPr>
          </w:p>
        </w:tc>
        <w:tc>
          <w:tcPr>
            <w:tcW w:w="1159" w:type="pct"/>
            <w:tcBorders>
              <w:top w:val="nil"/>
              <w:left w:val="nil"/>
              <w:right w:val="nil"/>
            </w:tcBorders>
          </w:tcPr>
          <w:p w14:paraId="25B6ADBB" w14:textId="77777777" w:rsidR="001F493D" w:rsidRDefault="001F493D">
            <w:pPr>
              <w:spacing w:before="60" w:after="60"/>
              <w:rPr>
                <w:rFonts w:cs="Arial"/>
                <w:sz w:val="22"/>
                <w:szCs w:val="22"/>
              </w:rPr>
            </w:pPr>
            <w:proofErr w:type="spellStart"/>
            <w:r>
              <w:rPr>
                <w:rFonts w:cs="Arial"/>
                <w:sz w:val="22"/>
                <w:szCs w:val="22"/>
              </w:rPr>
              <w:t>Dysgeusia</w:t>
            </w:r>
            <w:proofErr w:type="spellEnd"/>
          </w:p>
        </w:tc>
        <w:tc>
          <w:tcPr>
            <w:tcW w:w="1352" w:type="pct"/>
            <w:tcBorders>
              <w:top w:val="nil"/>
              <w:left w:val="nil"/>
              <w:right w:val="nil"/>
            </w:tcBorders>
          </w:tcPr>
          <w:p w14:paraId="6C33B360"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right w:val="nil"/>
            </w:tcBorders>
          </w:tcPr>
          <w:p w14:paraId="16755EEA" w14:textId="77777777" w:rsidR="001F493D" w:rsidRDefault="001F493D">
            <w:pPr>
              <w:spacing w:before="60" w:after="60"/>
              <w:rPr>
                <w:rFonts w:cs="Arial"/>
                <w:sz w:val="22"/>
                <w:szCs w:val="22"/>
              </w:rPr>
            </w:pPr>
            <w:r>
              <w:rPr>
                <w:rFonts w:cs="Arial"/>
                <w:sz w:val="22"/>
                <w:szCs w:val="22"/>
              </w:rPr>
              <w:t>N/A</w:t>
            </w:r>
          </w:p>
        </w:tc>
      </w:tr>
      <w:tr w:rsidR="001F493D" w14:paraId="3F4F1F36" w14:textId="77777777">
        <w:trPr>
          <w:cantSplit/>
        </w:trPr>
        <w:tc>
          <w:tcPr>
            <w:tcW w:w="1121" w:type="pct"/>
            <w:tcBorders>
              <w:top w:val="nil"/>
              <w:left w:val="nil"/>
              <w:bottom w:val="single" w:sz="4" w:space="0" w:color="auto"/>
              <w:right w:val="nil"/>
            </w:tcBorders>
          </w:tcPr>
          <w:p w14:paraId="014BB89D" w14:textId="77777777" w:rsidR="001F493D" w:rsidRDefault="001F493D">
            <w:pPr>
              <w:spacing w:before="60" w:after="60"/>
              <w:rPr>
                <w:rFonts w:cs="Arial"/>
                <w:sz w:val="22"/>
                <w:szCs w:val="22"/>
              </w:rPr>
            </w:pPr>
          </w:p>
        </w:tc>
        <w:tc>
          <w:tcPr>
            <w:tcW w:w="1159" w:type="pct"/>
            <w:tcBorders>
              <w:top w:val="nil"/>
              <w:left w:val="nil"/>
              <w:bottom w:val="single" w:sz="4" w:space="0" w:color="auto"/>
              <w:right w:val="nil"/>
            </w:tcBorders>
          </w:tcPr>
          <w:p w14:paraId="50F6138F" w14:textId="77777777" w:rsidR="001F493D" w:rsidRDefault="001F493D">
            <w:pPr>
              <w:spacing w:before="60" w:after="60"/>
              <w:rPr>
                <w:rFonts w:cs="Arial"/>
                <w:sz w:val="22"/>
                <w:szCs w:val="22"/>
              </w:rPr>
            </w:pPr>
            <w:r>
              <w:rPr>
                <w:rFonts w:cs="Arial"/>
                <w:sz w:val="22"/>
                <w:szCs w:val="22"/>
              </w:rPr>
              <w:t>Dizziness</w:t>
            </w:r>
          </w:p>
        </w:tc>
        <w:tc>
          <w:tcPr>
            <w:tcW w:w="1352" w:type="pct"/>
            <w:tcBorders>
              <w:top w:val="nil"/>
              <w:left w:val="nil"/>
              <w:bottom w:val="single" w:sz="4" w:space="0" w:color="auto"/>
              <w:right w:val="nil"/>
            </w:tcBorders>
          </w:tcPr>
          <w:p w14:paraId="0B593B75"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single" w:sz="4" w:space="0" w:color="auto"/>
              <w:right w:val="nil"/>
            </w:tcBorders>
          </w:tcPr>
          <w:p w14:paraId="794AA2A9" w14:textId="77777777" w:rsidR="001F493D" w:rsidRDefault="001F493D">
            <w:pPr>
              <w:spacing w:before="60" w:after="60"/>
              <w:rPr>
                <w:rFonts w:cs="Arial"/>
                <w:sz w:val="22"/>
                <w:szCs w:val="22"/>
              </w:rPr>
            </w:pPr>
            <w:r>
              <w:rPr>
                <w:rFonts w:cs="Arial"/>
                <w:sz w:val="22"/>
                <w:szCs w:val="22"/>
              </w:rPr>
              <w:t xml:space="preserve">Uncommon </w:t>
            </w:r>
          </w:p>
        </w:tc>
      </w:tr>
      <w:tr w:rsidR="001F493D" w14:paraId="301230FC" w14:textId="77777777">
        <w:trPr>
          <w:cantSplit/>
        </w:trPr>
        <w:tc>
          <w:tcPr>
            <w:tcW w:w="1121" w:type="pct"/>
            <w:tcBorders>
              <w:top w:val="nil"/>
              <w:left w:val="nil"/>
              <w:bottom w:val="nil"/>
              <w:right w:val="nil"/>
            </w:tcBorders>
          </w:tcPr>
          <w:p w14:paraId="596D3128" w14:textId="77777777" w:rsidR="001F493D" w:rsidRDefault="001F493D">
            <w:pPr>
              <w:spacing w:before="60" w:after="60"/>
              <w:rPr>
                <w:rFonts w:cs="Arial"/>
                <w:sz w:val="22"/>
                <w:szCs w:val="22"/>
              </w:rPr>
            </w:pPr>
            <w:r>
              <w:rPr>
                <w:rFonts w:cs="Arial"/>
                <w:sz w:val="22"/>
                <w:szCs w:val="22"/>
              </w:rPr>
              <w:t>Gastrointestinal disorders</w:t>
            </w:r>
          </w:p>
        </w:tc>
        <w:tc>
          <w:tcPr>
            <w:tcW w:w="1159" w:type="pct"/>
            <w:tcBorders>
              <w:top w:val="nil"/>
              <w:left w:val="nil"/>
              <w:bottom w:val="nil"/>
              <w:right w:val="nil"/>
            </w:tcBorders>
          </w:tcPr>
          <w:p w14:paraId="4D03C3DE" w14:textId="77777777" w:rsidR="001F493D" w:rsidRDefault="001F493D">
            <w:pPr>
              <w:spacing w:before="60" w:after="60"/>
              <w:rPr>
                <w:rFonts w:cs="Arial"/>
                <w:sz w:val="22"/>
                <w:szCs w:val="22"/>
              </w:rPr>
            </w:pPr>
            <w:r>
              <w:rPr>
                <w:rFonts w:cs="Arial"/>
                <w:sz w:val="22"/>
                <w:szCs w:val="22"/>
              </w:rPr>
              <w:t xml:space="preserve">Nausea </w:t>
            </w:r>
          </w:p>
        </w:tc>
        <w:tc>
          <w:tcPr>
            <w:tcW w:w="1352" w:type="pct"/>
            <w:tcBorders>
              <w:top w:val="nil"/>
              <w:left w:val="nil"/>
              <w:bottom w:val="nil"/>
              <w:right w:val="nil"/>
            </w:tcBorders>
          </w:tcPr>
          <w:p w14:paraId="247DEA8D" w14:textId="77777777" w:rsidR="001F493D" w:rsidRDefault="001F493D">
            <w:pPr>
              <w:spacing w:before="60" w:after="60"/>
              <w:rPr>
                <w:rFonts w:cs="Arial"/>
                <w:sz w:val="22"/>
                <w:szCs w:val="22"/>
              </w:rPr>
            </w:pPr>
            <w:r>
              <w:rPr>
                <w:rFonts w:cs="Arial"/>
                <w:sz w:val="22"/>
                <w:szCs w:val="22"/>
              </w:rPr>
              <w:t xml:space="preserve">Very common </w:t>
            </w:r>
          </w:p>
        </w:tc>
        <w:tc>
          <w:tcPr>
            <w:tcW w:w="1368" w:type="pct"/>
            <w:tcBorders>
              <w:top w:val="nil"/>
              <w:left w:val="nil"/>
              <w:bottom w:val="nil"/>
              <w:right w:val="nil"/>
            </w:tcBorders>
          </w:tcPr>
          <w:p w14:paraId="0D9BE0F8" w14:textId="77777777" w:rsidR="001F493D" w:rsidRDefault="001F493D">
            <w:pPr>
              <w:spacing w:before="60" w:after="60"/>
              <w:rPr>
                <w:rFonts w:cs="Arial"/>
                <w:sz w:val="22"/>
                <w:szCs w:val="22"/>
              </w:rPr>
            </w:pPr>
            <w:r>
              <w:rPr>
                <w:rFonts w:cs="Arial"/>
                <w:sz w:val="22"/>
                <w:szCs w:val="22"/>
              </w:rPr>
              <w:t xml:space="preserve">Common </w:t>
            </w:r>
          </w:p>
        </w:tc>
      </w:tr>
      <w:tr w:rsidR="001F493D" w14:paraId="2B9644F7" w14:textId="77777777">
        <w:trPr>
          <w:cantSplit/>
        </w:trPr>
        <w:tc>
          <w:tcPr>
            <w:tcW w:w="1121" w:type="pct"/>
            <w:tcBorders>
              <w:top w:val="nil"/>
              <w:left w:val="nil"/>
              <w:bottom w:val="nil"/>
              <w:right w:val="nil"/>
            </w:tcBorders>
          </w:tcPr>
          <w:p w14:paraId="44EDF170"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775430DF" w14:textId="77777777" w:rsidR="001F493D" w:rsidRDefault="001F493D">
            <w:pPr>
              <w:spacing w:before="60" w:after="60"/>
              <w:rPr>
                <w:rFonts w:cs="Arial"/>
                <w:sz w:val="22"/>
                <w:szCs w:val="22"/>
              </w:rPr>
            </w:pPr>
            <w:r>
              <w:rPr>
                <w:rFonts w:cs="Arial"/>
                <w:sz w:val="22"/>
                <w:szCs w:val="22"/>
              </w:rPr>
              <w:t xml:space="preserve">Vomiting </w:t>
            </w:r>
          </w:p>
        </w:tc>
        <w:tc>
          <w:tcPr>
            <w:tcW w:w="1352" w:type="pct"/>
            <w:tcBorders>
              <w:top w:val="nil"/>
              <w:left w:val="nil"/>
              <w:bottom w:val="nil"/>
              <w:right w:val="nil"/>
            </w:tcBorders>
          </w:tcPr>
          <w:p w14:paraId="73E3DD62" w14:textId="77777777" w:rsidR="001F493D" w:rsidRDefault="001F493D">
            <w:pPr>
              <w:spacing w:before="60" w:after="60"/>
              <w:rPr>
                <w:rFonts w:cs="Arial"/>
                <w:sz w:val="22"/>
                <w:szCs w:val="22"/>
              </w:rPr>
            </w:pPr>
            <w:r>
              <w:rPr>
                <w:rFonts w:cs="Arial"/>
                <w:sz w:val="22"/>
                <w:szCs w:val="22"/>
              </w:rPr>
              <w:t xml:space="preserve">Very common </w:t>
            </w:r>
          </w:p>
        </w:tc>
        <w:tc>
          <w:tcPr>
            <w:tcW w:w="1368" w:type="pct"/>
            <w:tcBorders>
              <w:top w:val="nil"/>
              <w:left w:val="nil"/>
              <w:bottom w:val="nil"/>
              <w:right w:val="nil"/>
            </w:tcBorders>
          </w:tcPr>
          <w:p w14:paraId="07B0FAE8" w14:textId="77777777" w:rsidR="001F493D" w:rsidRDefault="001F493D">
            <w:pPr>
              <w:spacing w:before="60" w:after="60"/>
              <w:rPr>
                <w:rFonts w:cs="Arial"/>
                <w:sz w:val="22"/>
                <w:szCs w:val="22"/>
              </w:rPr>
            </w:pPr>
            <w:r>
              <w:rPr>
                <w:rFonts w:cs="Arial"/>
                <w:sz w:val="22"/>
                <w:szCs w:val="22"/>
              </w:rPr>
              <w:t xml:space="preserve">Common </w:t>
            </w:r>
          </w:p>
        </w:tc>
      </w:tr>
      <w:tr w:rsidR="001F493D" w14:paraId="5FF3FB98" w14:textId="77777777">
        <w:trPr>
          <w:cantSplit/>
        </w:trPr>
        <w:tc>
          <w:tcPr>
            <w:tcW w:w="1121" w:type="pct"/>
            <w:tcBorders>
              <w:top w:val="nil"/>
              <w:left w:val="nil"/>
              <w:bottom w:val="nil"/>
              <w:right w:val="nil"/>
            </w:tcBorders>
          </w:tcPr>
          <w:p w14:paraId="3EE0716D"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436C3731" w14:textId="77777777" w:rsidR="001F493D" w:rsidRDefault="001F493D">
            <w:pPr>
              <w:spacing w:before="60" w:after="60"/>
              <w:rPr>
                <w:rFonts w:cs="Arial"/>
                <w:sz w:val="22"/>
                <w:szCs w:val="22"/>
              </w:rPr>
            </w:pPr>
            <w:r>
              <w:rPr>
                <w:rFonts w:cs="Arial"/>
                <w:sz w:val="22"/>
                <w:szCs w:val="22"/>
              </w:rPr>
              <w:t xml:space="preserve">Diarrhoea </w:t>
            </w:r>
          </w:p>
        </w:tc>
        <w:tc>
          <w:tcPr>
            <w:tcW w:w="1352" w:type="pct"/>
            <w:tcBorders>
              <w:top w:val="nil"/>
              <w:left w:val="nil"/>
              <w:bottom w:val="nil"/>
              <w:right w:val="nil"/>
            </w:tcBorders>
          </w:tcPr>
          <w:p w14:paraId="298E2F6A" w14:textId="77777777" w:rsidR="001F493D" w:rsidRDefault="001F493D">
            <w:pPr>
              <w:spacing w:before="60" w:after="60"/>
              <w:rPr>
                <w:rFonts w:cs="Arial"/>
                <w:sz w:val="22"/>
                <w:szCs w:val="22"/>
              </w:rPr>
            </w:pPr>
            <w:r>
              <w:rPr>
                <w:rFonts w:cs="Arial"/>
                <w:sz w:val="22"/>
                <w:szCs w:val="22"/>
              </w:rPr>
              <w:t xml:space="preserve">Very common </w:t>
            </w:r>
          </w:p>
        </w:tc>
        <w:tc>
          <w:tcPr>
            <w:tcW w:w="1368" w:type="pct"/>
            <w:tcBorders>
              <w:top w:val="nil"/>
              <w:left w:val="nil"/>
              <w:bottom w:val="nil"/>
              <w:right w:val="nil"/>
            </w:tcBorders>
          </w:tcPr>
          <w:p w14:paraId="4EBDBC77" w14:textId="77777777" w:rsidR="001F493D" w:rsidRDefault="001F493D">
            <w:pPr>
              <w:spacing w:before="60" w:after="60"/>
              <w:rPr>
                <w:rFonts w:cs="Arial"/>
                <w:sz w:val="22"/>
                <w:szCs w:val="22"/>
              </w:rPr>
            </w:pPr>
            <w:r>
              <w:rPr>
                <w:rFonts w:cs="Arial"/>
                <w:sz w:val="22"/>
                <w:szCs w:val="22"/>
              </w:rPr>
              <w:t xml:space="preserve">Common </w:t>
            </w:r>
          </w:p>
        </w:tc>
      </w:tr>
      <w:tr w:rsidR="001F493D" w14:paraId="11A750E3" w14:textId="77777777">
        <w:trPr>
          <w:cantSplit/>
        </w:trPr>
        <w:tc>
          <w:tcPr>
            <w:tcW w:w="1121" w:type="pct"/>
            <w:tcBorders>
              <w:top w:val="nil"/>
              <w:left w:val="nil"/>
              <w:bottom w:val="nil"/>
              <w:right w:val="nil"/>
            </w:tcBorders>
          </w:tcPr>
          <w:p w14:paraId="2E07D24F"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7D1BDD3D" w14:textId="77777777" w:rsidR="001F493D" w:rsidRDefault="001F493D">
            <w:pPr>
              <w:spacing w:before="60" w:after="60"/>
              <w:rPr>
                <w:rFonts w:cs="Arial"/>
                <w:sz w:val="22"/>
                <w:szCs w:val="22"/>
              </w:rPr>
            </w:pPr>
            <w:r>
              <w:rPr>
                <w:rFonts w:cs="Arial"/>
                <w:sz w:val="22"/>
                <w:szCs w:val="22"/>
              </w:rPr>
              <w:t>Dyspepsia</w:t>
            </w:r>
          </w:p>
        </w:tc>
        <w:tc>
          <w:tcPr>
            <w:tcW w:w="1352" w:type="pct"/>
            <w:tcBorders>
              <w:top w:val="nil"/>
              <w:left w:val="nil"/>
              <w:bottom w:val="nil"/>
              <w:right w:val="nil"/>
            </w:tcBorders>
          </w:tcPr>
          <w:p w14:paraId="3103645F"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nil"/>
              <w:right w:val="nil"/>
            </w:tcBorders>
          </w:tcPr>
          <w:p w14:paraId="6A2E6A0C" w14:textId="77777777" w:rsidR="001F493D" w:rsidRDefault="001F493D">
            <w:pPr>
              <w:spacing w:before="60" w:after="60"/>
              <w:rPr>
                <w:rFonts w:cs="Arial"/>
                <w:sz w:val="22"/>
                <w:szCs w:val="22"/>
              </w:rPr>
            </w:pPr>
            <w:r>
              <w:rPr>
                <w:rFonts w:cs="Arial"/>
                <w:sz w:val="22"/>
                <w:szCs w:val="22"/>
              </w:rPr>
              <w:t>Not reported</w:t>
            </w:r>
          </w:p>
        </w:tc>
      </w:tr>
      <w:tr w:rsidR="001F493D" w14:paraId="4D366A49" w14:textId="77777777">
        <w:trPr>
          <w:cantSplit/>
        </w:trPr>
        <w:tc>
          <w:tcPr>
            <w:tcW w:w="1121" w:type="pct"/>
            <w:tcBorders>
              <w:top w:val="nil"/>
              <w:left w:val="nil"/>
              <w:bottom w:val="single" w:sz="4" w:space="0" w:color="auto"/>
              <w:right w:val="nil"/>
            </w:tcBorders>
          </w:tcPr>
          <w:p w14:paraId="5AD6D7F9" w14:textId="77777777" w:rsidR="001F493D" w:rsidRDefault="001F493D">
            <w:pPr>
              <w:spacing w:before="60" w:after="60"/>
              <w:rPr>
                <w:rFonts w:cs="Arial"/>
                <w:sz w:val="22"/>
                <w:szCs w:val="22"/>
              </w:rPr>
            </w:pPr>
          </w:p>
        </w:tc>
        <w:tc>
          <w:tcPr>
            <w:tcW w:w="1159" w:type="pct"/>
            <w:tcBorders>
              <w:top w:val="nil"/>
              <w:left w:val="nil"/>
              <w:bottom w:val="single" w:sz="4" w:space="0" w:color="auto"/>
              <w:right w:val="nil"/>
            </w:tcBorders>
          </w:tcPr>
          <w:p w14:paraId="7F285E8B" w14:textId="77777777" w:rsidR="001F493D" w:rsidRDefault="001F493D">
            <w:pPr>
              <w:spacing w:before="60" w:after="60"/>
              <w:rPr>
                <w:rFonts w:cs="Arial"/>
                <w:sz w:val="22"/>
                <w:szCs w:val="22"/>
              </w:rPr>
            </w:pPr>
            <w:r>
              <w:rPr>
                <w:rFonts w:cs="Arial"/>
                <w:sz w:val="22"/>
                <w:szCs w:val="22"/>
              </w:rPr>
              <w:t>Stomatitis</w:t>
            </w:r>
          </w:p>
        </w:tc>
        <w:tc>
          <w:tcPr>
            <w:tcW w:w="1352" w:type="pct"/>
            <w:tcBorders>
              <w:top w:val="nil"/>
              <w:left w:val="nil"/>
              <w:bottom w:val="single" w:sz="4" w:space="0" w:color="auto"/>
              <w:right w:val="nil"/>
            </w:tcBorders>
          </w:tcPr>
          <w:p w14:paraId="4ABFFAB3" w14:textId="77777777" w:rsidR="001F493D" w:rsidRDefault="001F493D">
            <w:pPr>
              <w:spacing w:before="60" w:after="60"/>
              <w:rPr>
                <w:rFonts w:cs="Arial"/>
                <w:sz w:val="22"/>
                <w:szCs w:val="22"/>
              </w:rPr>
            </w:pPr>
            <w:r>
              <w:rPr>
                <w:rFonts w:cs="Arial"/>
                <w:sz w:val="22"/>
                <w:szCs w:val="22"/>
              </w:rPr>
              <w:t>Common</w:t>
            </w:r>
          </w:p>
        </w:tc>
        <w:tc>
          <w:tcPr>
            <w:tcW w:w="1368" w:type="pct"/>
            <w:tcBorders>
              <w:top w:val="nil"/>
              <w:left w:val="nil"/>
              <w:bottom w:val="single" w:sz="4" w:space="0" w:color="auto"/>
              <w:right w:val="nil"/>
            </w:tcBorders>
          </w:tcPr>
          <w:p w14:paraId="420176C6" w14:textId="77777777" w:rsidR="001F493D" w:rsidRDefault="001F493D">
            <w:pPr>
              <w:spacing w:before="60" w:after="60"/>
              <w:rPr>
                <w:rFonts w:cs="Arial"/>
                <w:sz w:val="22"/>
                <w:szCs w:val="22"/>
              </w:rPr>
            </w:pPr>
            <w:r>
              <w:rPr>
                <w:rFonts w:cs="Arial"/>
                <w:sz w:val="22"/>
                <w:szCs w:val="22"/>
              </w:rPr>
              <w:t>Uncommon</w:t>
            </w:r>
          </w:p>
        </w:tc>
      </w:tr>
      <w:tr w:rsidR="001F493D" w14:paraId="39A1BB65" w14:textId="77777777">
        <w:trPr>
          <w:cantSplit/>
        </w:trPr>
        <w:tc>
          <w:tcPr>
            <w:tcW w:w="1121" w:type="pct"/>
            <w:tcBorders>
              <w:top w:val="nil"/>
              <w:left w:val="nil"/>
              <w:bottom w:val="single" w:sz="4" w:space="0" w:color="auto"/>
              <w:right w:val="nil"/>
            </w:tcBorders>
          </w:tcPr>
          <w:p w14:paraId="3B9862FD" w14:textId="77777777" w:rsidR="001F493D" w:rsidRDefault="001F493D">
            <w:pPr>
              <w:spacing w:before="60" w:after="60"/>
              <w:rPr>
                <w:rFonts w:cs="Arial"/>
                <w:sz w:val="22"/>
                <w:szCs w:val="22"/>
              </w:rPr>
            </w:pPr>
          </w:p>
        </w:tc>
        <w:tc>
          <w:tcPr>
            <w:tcW w:w="1159" w:type="pct"/>
            <w:tcBorders>
              <w:top w:val="nil"/>
              <w:left w:val="nil"/>
              <w:bottom w:val="single" w:sz="4" w:space="0" w:color="auto"/>
              <w:right w:val="nil"/>
            </w:tcBorders>
          </w:tcPr>
          <w:p w14:paraId="601A5009" w14:textId="77777777" w:rsidR="001F493D" w:rsidRDefault="001F493D">
            <w:pPr>
              <w:spacing w:before="60" w:after="60"/>
              <w:rPr>
                <w:rFonts w:cs="Arial"/>
                <w:sz w:val="22"/>
                <w:szCs w:val="22"/>
                <w:highlight w:val="yellow"/>
              </w:rPr>
            </w:pPr>
            <w:r>
              <w:rPr>
                <w:rFonts w:cs="Arial"/>
                <w:sz w:val="22"/>
                <w:szCs w:val="22"/>
              </w:rPr>
              <w:t>Upper abdominal pain</w:t>
            </w:r>
          </w:p>
        </w:tc>
        <w:tc>
          <w:tcPr>
            <w:tcW w:w="1352" w:type="pct"/>
            <w:tcBorders>
              <w:top w:val="nil"/>
              <w:left w:val="nil"/>
              <w:bottom w:val="single" w:sz="4" w:space="0" w:color="auto"/>
              <w:right w:val="nil"/>
            </w:tcBorders>
          </w:tcPr>
          <w:p w14:paraId="6C7D5816" w14:textId="77777777" w:rsidR="001F493D" w:rsidRDefault="001F493D">
            <w:pPr>
              <w:spacing w:before="60" w:after="60"/>
              <w:rPr>
                <w:rFonts w:cs="Arial"/>
                <w:sz w:val="22"/>
                <w:szCs w:val="22"/>
              </w:rPr>
            </w:pPr>
            <w:r>
              <w:rPr>
                <w:rFonts w:cs="Arial"/>
                <w:sz w:val="22"/>
                <w:szCs w:val="22"/>
              </w:rPr>
              <w:t>Common</w:t>
            </w:r>
          </w:p>
        </w:tc>
        <w:tc>
          <w:tcPr>
            <w:tcW w:w="1368" w:type="pct"/>
            <w:tcBorders>
              <w:top w:val="nil"/>
              <w:left w:val="nil"/>
              <w:bottom w:val="single" w:sz="4" w:space="0" w:color="auto"/>
              <w:right w:val="nil"/>
            </w:tcBorders>
          </w:tcPr>
          <w:p w14:paraId="1FA936A3" w14:textId="77777777" w:rsidR="001F493D" w:rsidRDefault="001F493D">
            <w:pPr>
              <w:spacing w:before="60" w:after="60"/>
              <w:rPr>
                <w:rFonts w:cs="Arial"/>
                <w:sz w:val="22"/>
                <w:szCs w:val="22"/>
              </w:rPr>
            </w:pPr>
            <w:r>
              <w:rPr>
                <w:rFonts w:cs="Arial"/>
                <w:sz w:val="22"/>
                <w:szCs w:val="22"/>
              </w:rPr>
              <w:t xml:space="preserve">Uncommon </w:t>
            </w:r>
          </w:p>
        </w:tc>
      </w:tr>
      <w:tr w:rsidR="001F493D" w14:paraId="1BDDFAFD" w14:textId="77777777">
        <w:trPr>
          <w:cantSplit/>
        </w:trPr>
        <w:tc>
          <w:tcPr>
            <w:tcW w:w="1121" w:type="pct"/>
            <w:tcBorders>
              <w:top w:val="single" w:sz="4" w:space="0" w:color="auto"/>
              <w:left w:val="nil"/>
              <w:bottom w:val="single" w:sz="4" w:space="0" w:color="auto"/>
              <w:right w:val="nil"/>
            </w:tcBorders>
          </w:tcPr>
          <w:p w14:paraId="0C9EE3AB" w14:textId="77777777" w:rsidR="001F493D" w:rsidRDefault="001F493D">
            <w:pPr>
              <w:spacing w:before="60" w:after="60"/>
              <w:rPr>
                <w:rFonts w:cs="Arial"/>
                <w:sz w:val="22"/>
                <w:szCs w:val="22"/>
              </w:rPr>
            </w:pPr>
            <w:r>
              <w:rPr>
                <w:rFonts w:cs="Arial"/>
                <w:sz w:val="22"/>
                <w:szCs w:val="22"/>
              </w:rPr>
              <w:t>General disorders</w:t>
            </w:r>
          </w:p>
        </w:tc>
        <w:tc>
          <w:tcPr>
            <w:tcW w:w="1159" w:type="pct"/>
            <w:tcBorders>
              <w:top w:val="single" w:sz="4" w:space="0" w:color="auto"/>
              <w:left w:val="nil"/>
              <w:bottom w:val="single" w:sz="4" w:space="0" w:color="auto"/>
              <w:right w:val="nil"/>
            </w:tcBorders>
          </w:tcPr>
          <w:p w14:paraId="4690BFA8" w14:textId="77777777" w:rsidR="001F493D" w:rsidRDefault="001F493D">
            <w:pPr>
              <w:spacing w:before="60" w:after="60"/>
              <w:rPr>
                <w:rFonts w:cs="Arial"/>
                <w:sz w:val="22"/>
                <w:szCs w:val="22"/>
              </w:rPr>
            </w:pPr>
            <w:r>
              <w:rPr>
                <w:rFonts w:cs="Arial"/>
                <w:sz w:val="22"/>
                <w:szCs w:val="22"/>
              </w:rPr>
              <w:t xml:space="preserve">Fatigue (including asthenia) </w:t>
            </w:r>
          </w:p>
        </w:tc>
        <w:tc>
          <w:tcPr>
            <w:tcW w:w="1352" w:type="pct"/>
            <w:tcBorders>
              <w:top w:val="single" w:sz="4" w:space="0" w:color="auto"/>
              <w:left w:val="nil"/>
              <w:bottom w:val="single" w:sz="4" w:space="0" w:color="auto"/>
              <w:right w:val="nil"/>
            </w:tcBorders>
          </w:tcPr>
          <w:p w14:paraId="3A157423" w14:textId="77777777" w:rsidR="001F493D" w:rsidRDefault="001F493D">
            <w:pPr>
              <w:spacing w:before="60" w:after="60"/>
              <w:rPr>
                <w:rFonts w:cs="Arial"/>
                <w:sz w:val="22"/>
                <w:szCs w:val="22"/>
              </w:rPr>
            </w:pPr>
            <w:r>
              <w:rPr>
                <w:rFonts w:cs="Arial"/>
                <w:sz w:val="22"/>
                <w:szCs w:val="22"/>
              </w:rPr>
              <w:t xml:space="preserve">Very common </w:t>
            </w:r>
          </w:p>
        </w:tc>
        <w:tc>
          <w:tcPr>
            <w:tcW w:w="1368" w:type="pct"/>
            <w:tcBorders>
              <w:top w:val="single" w:sz="4" w:space="0" w:color="auto"/>
              <w:left w:val="nil"/>
              <w:bottom w:val="single" w:sz="4" w:space="0" w:color="auto"/>
              <w:right w:val="nil"/>
            </w:tcBorders>
          </w:tcPr>
          <w:p w14:paraId="64152FF7" w14:textId="77777777" w:rsidR="001F493D" w:rsidRDefault="001F493D">
            <w:pPr>
              <w:spacing w:before="60" w:after="60"/>
              <w:rPr>
                <w:rFonts w:cs="Arial"/>
                <w:sz w:val="22"/>
                <w:szCs w:val="22"/>
              </w:rPr>
            </w:pPr>
            <w:r>
              <w:rPr>
                <w:rFonts w:cs="Arial"/>
                <w:sz w:val="22"/>
                <w:szCs w:val="22"/>
              </w:rPr>
              <w:t xml:space="preserve">Common </w:t>
            </w:r>
          </w:p>
        </w:tc>
      </w:tr>
      <w:tr w:rsidR="001F493D" w14:paraId="0B41382B" w14:textId="77777777">
        <w:trPr>
          <w:cantSplit/>
        </w:trPr>
        <w:tc>
          <w:tcPr>
            <w:tcW w:w="1121" w:type="pct"/>
            <w:tcBorders>
              <w:top w:val="single" w:sz="4" w:space="0" w:color="auto"/>
              <w:left w:val="nil"/>
              <w:bottom w:val="nil"/>
              <w:right w:val="nil"/>
            </w:tcBorders>
          </w:tcPr>
          <w:p w14:paraId="2DF270BC" w14:textId="77777777" w:rsidR="001F493D" w:rsidRDefault="001F493D">
            <w:pPr>
              <w:spacing w:before="60" w:after="60"/>
              <w:rPr>
                <w:rFonts w:cs="Arial"/>
                <w:sz w:val="22"/>
                <w:szCs w:val="22"/>
              </w:rPr>
            </w:pPr>
            <w:r>
              <w:rPr>
                <w:rFonts w:cs="Arial"/>
                <w:sz w:val="22"/>
                <w:szCs w:val="22"/>
              </w:rPr>
              <w:t>Investigations</w:t>
            </w:r>
          </w:p>
        </w:tc>
        <w:tc>
          <w:tcPr>
            <w:tcW w:w="1159" w:type="pct"/>
            <w:tcBorders>
              <w:top w:val="single" w:sz="4" w:space="0" w:color="auto"/>
              <w:left w:val="nil"/>
              <w:bottom w:val="nil"/>
              <w:right w:val="nil"/>
            </w:tcBorders>
          </w:tcPr>
          <w:p w14:paraId="48DBB84F" w14:textId="77777777" w:rsidR="001F493D" w:rsidRDefault="001F493D">
            <w:pPr>
              <w:spacing w:before="60" w:after="60"/>
              <w:rPr>
                <w:rFonts w:cs="Arial"/>
                <w:sz w:val="22"/>
                <w:szCs w:val="22"/>
              </w:rPr>
            </w:pPr>
            <w:r>
              <w:rPr>
                <w:rFonts w:cs="Arial"/>
                <w:sz w:val="22"/>
                <w:szCs w:val="22"/>
              </w:rPr>
              <w:t>Anaemia (decrease in haemoglobin)</w:t>
            </w:r>
            <w:r>
              <w:rPr>
                <w:rFonts w:cs="Arial"/>
                <w:sz w:val="22"/>
                <w:szCs w:val="22"/>
                <w:vertAlign w:val="superscript"/>
              </w:rPr>
              <w:t>a, b</w:t>
            </w:r>
          </w:p>
        </w:tc>
        <w:tc>
          <w:tcPr>
            <w:tcW w:w="1352" w:type="pct"/>
            <w:tcBorders>
              <w:top w:val="single" w:sz="4" w:space="0" w:color="auto"/>
              <w:left w:val="nil"/>
              <w:bottom w:val="nil"/>
              <w:right w:val="nil"/>
            </w:tcBorders>
          </w:tcPr>
          <w:p w14:paraId="303A8AA3" w14:textId="77777777" w:rsidR="001F493D" w:rsidRDefault="001F493D">
            <w:pPr>
              <w:spacing w:before="60" w:after="60"/>
              <w:rPr>
                <w:rFonts w:cs="Arial"/>
                <w:sz w:val="22"/>
                <w:szCs w:val="22"/>
              </w:rPr>
            </w:pPr>
            <w:r>
              <w:rPr>
                <w:rFonts w:cs="Arial"/>
                <w:sz w:val="22"/>
                <w:szCs w:val="22"/>
              </w:rPr>
              <w:t>Very common</w:t>
            </w:r>
          </w:p>
        </w:tc>
        <w:tc>
          <w:tcPr>
            <w:tcW w:w="1368" w:type="pct"/>
            <w:tcBorders>
              <w:top w:val="single" w:sz="4" w:space="0" w:color="auto"/>
              <w:left w:val="nil"/>
              <w:bottom w:val="nil"/>
              <w:right w:val="nil"/>
            </w:tcBorders>
          </w:tcPr>
          <w:p w14:paraId="50E5642F" w14:textId="77777777" w:rsidR="001F493D" w:rsidRDefault="001F493D">
            <w:pPr>
              <w:spacing w:before="60" w:after="60"/>
              <w:rPr>
                <w:rFonts w:cs="Arial"/>
                <w:sz w:val="22"/>
                <w:szCs w:val="22"/>
              </w:rPr>
            </w:pPr>
            <w:r>
              <w:rPr>
                <w:rFonts w:cs="Arial"/>
                <w:sz w:val="22"/>
                <w:szCs w:val="22"/>
              </w:rPr>
              <w:t>Very common</w:t>
            </w:r>
          </w:p>
        </w:tc>
      </w:tr>
      <w:tr w:rsidR="001F493D" w14:paraId="7396E092" w14:textId="77777777">
        <w:trPr>
          <w:cantSplit/>
        </w:trPr>
        <w:tc>
          <w:tcPr>
            <w:tcW w:w="1121" w:type="pct"/>
            <w:tcBorders>
              <w:top w:val="nil"/>
              <w:left w:val="nil"/>
              <w:bottom w:val="nil"/>
              <w:right w:val="nil"/>
            </w:tcBorders>
          </w:tcPr>
          <w:p w14:paraId="60147BF9"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0CE4DBB2" w14:textId="77777777" w:rsidR="001F493D" w:rsidRDefault="001F493D">
            <w:pPr>
              <w:spacing w:before="60" w:after="60"/>
              <w:rPr>
                <w:rFonts w:cs="Arial"/>
                <w:sz w:val="22"/>
                <w:szCs w:val="22"/>
              </w:rPr>
            </w:pPr>
            <w:r>
              <w:rPr>
                <w:rFonts w:cs="Arial"/>
                <w:sz w:val="22"/>
                <w:szCs w:val="22"/>
              </w:rPr>
              <w:t>Neutropenia (decrease in absolute neutrophil count)</w:t>
            </w:r>
            <w:r>
              <w:rPr>
                <w:rFonts w:cs="Arial"/>
                <w:sz w:val="22"/>
                <w:szCs w:val="22"/>
                <w:vertAlign w:val="superscript"/>
              </w:rPr>
              <w:t xml:space="preserve"> a, b</w:t>
            </w:r>
          </w:p>
        </w:tc>
        <w:tc>
          <w:tcPr>
            <w:tcW w:w="1352" w:type="pct"/>
            <w:tcBorders>
              <w:top w:val="nil"/>
              <w:left w:val="nil"/>
              <w:bottom w:val="nil"/>
              <w:right w:val="nil"/>
            </w:tcBorders>
          </w:tcPr>
          <w:p w14:paraId="42CD0625"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nil"/>
              <w:right w:val="nil"/>
            </w:tcBorders>
          </w:tcPr>
          <w:p w14:paraId="4E71820C" w14:textId="77777777" w:rsidR="001F493D" w:rsidRDefault="001F493D">
            <w:pPr>
              <w:spacing w:before="60" w:after="60"/>
              <w:rPr>
                <w:rFonts w:cs="Arial"/>
                <w:sz w:val="22"/>
                <w:szCs w:val="22"/>
              </w:rPr>
            </w:pPr>
            <w:r>
              <w:rPr>
                <w:rFonts w:cs="Arial"/>
                <w:sz w:val="22"/>
                <w:szCs w:val="22"/>
              </w:rPr>
              <w:t xml:space="preserve">Common </w:t>
            </w:r>
          </w:p>
        </w:tc>
      </w:tr>
      <w:tr w:rsidR="001F493D" w14:paraId="5DEB00D8" w14:textId="77777777">
        <w:trPr>
          <w:cantSplit/>
        </w:trPr>
        <w:tc>
          <w:tcPr>
            <w:tcW w:w="1121" w:type="pct"/>
            <w:tcBorders>
              <w:top w:val="nil"/>
              <w:left w:val="nil"/>
              <w:bottom w:val="nil"/>
              <w:right w:val="nil"/>
            </w:tcBorders>
          </w:tcPr>
          <w:p w14:paraId="7E32358D"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673D4D71" w14:textId="77777777" w:rsidR="001F493D" w:rsidRDefault="001F493D">
            <w:pPr>
              <w:spacing w:before="60" w:after="60"/>
              <w:rPr>
                <w:rFonts w:cs="Arial"/>
                <w:sz w:val="22"/>
                <w:szCs w:val="22"/>
              </w:rPr>
            </w:pPr>
            <w:r>
              <w:rPr>
                <w:rFonts w:cs="Arial"/>
                <w:sz w:val="22"/>
                <w:szCs w:val="22"/>
              </w:rPr>
              <w:t>Thrombocytopenia (decrease in platelets)</w:t>
            </w:r>
            <w:r>
              <w:rPr>
                <w:rFonts w:cs="Arial"/>
                <w:sz w:val="22"/>
                <w:szCs w:val="22"/>
                <w:vertAlign w:val="superscript"/>
              </w:rPr>
              <w:t xml:space="preserve"> a, b</w:t>
            </w:r>
          </w:p>
        </w:tc>
        <w:tc>
          <w:tcPr>
            <w:tcW w:w="1352" w:type="pct"/>
            <w:tcBorders>
              <w:top w:val="nil"/>
              <w:left w:val="nil"/>
              <w:bottom w:val="nil"/>
              <w:right w:val="nil"/>
            </w:tcBorders>
          </w:tcPr>
          <w:p w14:paraId="35D0E58E" w14:textId="77777777" w:rsidR="001F493D" w:rsidRDefault="001F493D">
            <w:pPr>
              <w:spacing w:before="60" w:after="60"/>
              <w:rPr>
                <w:rFonts w:cs="Arial"/>
                <w:sz w:val="22"/>
                <w:szCs w:val="22"/>
              </w:rPr>
            </w:pPr>
            <w:r>
              <w:rPr>
                <w:rFonts w:cs="Arial"/>
                <w:sz w:val="22"/>
                <w:szCs w:val="22"/>
              </w:rPr>
              <w:t>Common</w:t>
            </w:r>
          </w:p>
        </w:tc>
        <w:tc>
          <w:tcPr>
            <w:tcW w:w="1368" w:type="pct"/>
            <w:tcBorders>
              <w:top w:val="nil"/>
              <w:left w:val="nil"/>
              <w:bottom w:val="nil"/>
              <w:right w:val="nil"/>
            </w:tcBorders>
          </w:tcPr>
          <w:p w14:paraId="2A035BF1" w14:textId="77777777" w:rsidR="001F493D" w:rsidRDefault="001F493D">
            <w:pPr>
              <w:spacing w:before="60" w:after="60"/>
              <w:rPr>
                <w:rFonts w:cs="Arial"/>
                <w:sz w:val="22"/>
                <w:szCs w:val="22"/>
              </w:rPr>
            </w:pPr>
            <w:r>
              <w:rPr>
                <w:rFonts w:cs="Arial"/>
                <w:sz w:val="22"/>
                <w:szCs w:val="22"/>
              </w:rPr>
              <w:t xml:space="preserve">Common </w:t>
            </w:r>
          </w:p>
        </w:tc>
      </w:tr>
      <w:tr w:rsidR="001F493D" w14:paraId="3710B840" w14:textId="77777777">
        <w:trPr>
          <w:cantSplit/>
        </w:trPr>
        <w:tc>
          <w:tcPr>
            <w:tcW w:w="1121" w:type="pct"/>
            <w:tcBorders>
              <w:top w:val="nil"/>
              <w:left w:val="nil"/>
              <w:right w:val="nil"/>
            </w:tcBorders>
          </w:tcPr>
          <w:p w14:paraId="1B8C4593" w14:textId="77777777" w:rsidR="001F493D" w:rsidRDefault="001F493D">
            <w:pPr>
              <w:spacing w:before="60" w:after="60"/>
              <w:rPr>
                <w:rFonts w:cs="Arial"/>
                <w:sz w:val="22"/>
                <w:szCs w:val="22"/>
              </w:rPr>
            </w:pPr>
          </w:p>
        </w:tc>
        <w:tc>
          <w:tcPr>
            <w:tcW w:w="1159" w:type="pct"/>
            <w:tcBorders>
              <w:top w:val="nil"/>
              <w:left w:val="nil"/>
              <w:right w:val="nil"/>
            </w:tcBorders>
          </w:tcPr>
          <w:p w14:paraId="6F55C97A" w14:textId="77777777" w:rsidR="001F493D" w:rsidRDefault="001F493D">
            <w:pPr>
              <w:spacing w:before="60" w:after="60"/>
              <w:rPr>
                <w:rFonts w:cs="Arial"/>
                <w:sz w:val="22"/>
                <w:szCs w:val="22"/>
              </w:rPr>
            </w:pPr>
            <w:r>
              <w:rPr>
                <w:rFonts w:cs="Arial"/>
                <w:sz w:val="22"/>
                <w:szCs w:val="22"/>
              </w:rPr>
              <w:t>Lymphopenia (decrease in lymphocytes)</w:t>
            </w:r>
            <w:r>
              <w:rPr>
                <w:rFonts w:cs="Arial"/>
                <w:sz w:val="22"/>
                <w:szCs w:val="22"/>
                <w:vertAlign w:val="superscript"/>
              </w:rPr>
              <w:t xml:space="preserve"> a, b</w:t>
            </w:r>
          </w:p>
        </w:tc>
        <w:tc>
          <w:tcPr>
            <w:tcW w:w="1352" w:type="pct"/>
            <w:tcBorders>
              <w:top w:val="nil"/>
              <w:left w:val="nil"/>
              <w:right w:val="nil"/>
            </w:tcBorders>
          </w:tcPr>
          <w:p w14:paraId="491F4C8C"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right w:val="nil"/>
            </w:tcBorders>
          </w:tcPr>
          <w:p w14:paraId="50C8812F" w14:textId="77777777" w:rsidR="001F493D" w:rsidRDefault="001F493D">
            <w:pPr>
              <w:spacing w:before="60" w:after="60"/>
              <w:rPr>
                <w:rFonts w:cs="Arial"/>
                <w:sz w:val="22"/>
                <w:szCs w:val="22"/>
              </w:rPr>
            </w:pPr>
            <w:r>
              <w:rPr>
                <w:rFonts w:cs="Arial"/>
                <w:sz w:val="22"/>
                <w:szCs w:val="22"/>
              </w:rPr>
              <w:t xml:space="preserve">Very common </w:t>
            </w:r>
          </w:p>
        </w:tc>
      </w:tr>
      <w:tr w:rsidR="001F493D" w14:paraId="61CB9BB4" w14:textId="77777777">
        <w:trPr>
          <w:cantSplit/>
        </w:trPr>
        <w:tc>
          <w:tcPr>
            <w:tcW w:w="1121" w:type="pct"/>
            <w:tcBorders>
              <w:top w:val="nil"/>
              <w:left w:val="nil"/>
              <w:bottom w:val="nil"/>
              <w:right w:val="nil"/>
            </w:tcBorders>
          </w:tcPr>
          <w:p w14:paraId="1779305E" w14:textId="77777777" w:rsidR="001F493D" w:rsidRDefault="001F493D">
            <w:pPr>
              <w:spacing w:before="60" w:after="60"/>
              <w:rPr>
                <w:rFonts w:cs="Arial"/>
                <w:sz w:val="22"/>
                <w:szCs w:val="22"/>
              </w:rPr>
            </w:pPr>
          </w:p>
        </w:tc>
        <w:tc>
          <w:tcPr>
            <w:tcW w:w="1159" w:type="pct"/>
            <w:tcBorders>
              <w:top w:val="nil"/>
              <w:left w:val="nil"/>
              <w:bottom w:val="nil"/>
              <w:right w:val="nil"/>
            </w:tcBorders>
          </w:tcPr>
          <w:p w14:paraId="1F4133B5" w14:textId="77777777" w:rsidR="001F493D" w:rsidRDefault="001F493D">
            <w:pPr>
              <w:spacing w:before="60" w:after="60"/>
              <w:rPr>
                <w:rFonts w:cs="Arial"/>
                <w:sz w:val="22"/>
                <w:szCs w:val="22"/>
              </w:rPr>
            </w:pPr>
            <w:r>
              <w:rPr>
                <w:rFonts w:cs="Arial"/>
                <w:sz w:val="22"/>
                <w:szCs w:val="22"/>
              </w:rPr>
              <w:t>Mean corpuscular volume elevation</w:t>
            </w:r>
            <w:r>
              <w:rPr>
                <w:rFonts w:cs="Arial"/>
                <w:sz w:val="22"/>
                <w:szCs w:val="22"/>
                <w:vertAlign w:val="superscript"/>
              </w:rPr>
              <w:t xml:space="preserve"> a, c</w:t>
            </w:r>
          </w:p>
        </w:tc>
        <w:tc>
          <w:tcPr>
            <w:tcW w:w="1352" w:type="pct"/>
            <w:tcBorders>
              <w:top w:val="nil"/>
              <w:left w:val="nil"/>
              <w:bottom w:val="nil"/>
              <w:right w:val="nil"/>
            </w:tcBorders>
          </w:tcPr>
          <w:p w14:paraId="23696B04"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nil"/>
              <w:right w:val="nil"/>
            </w:tcBorders>
          </w:tcPr>
          <w:p w14:paraId="1E3B3E24" w14:textId="77777777" w:rsidR="001F493D" w:rsidRDefault="001F493D">
            <w:pPr>
              <w:spacing w:before="60" w:after="60"/>
              <w:rPr>
                <w:rFonts w:cs="Arial"/>
                <w:sz w:val="22"/>
                <w:szCs w:val="22"/>
              </w:rPr>
            </w:pPr>
            <w:r>
              <w:rPr>
                <w:rFonts w:cs="Arial"/>
                <w:sz w:val="22"/>
                <w:szCs w:val="22"/>
              </w:rPr>
              <w:t>N/A</w:t>
            </w:r>
          </w:p>
        </w:tc>
      </w:tr>
      <w:tr w:rsidR="001F493D" w14:paraId="02A41806" w14:textId="77777777">
        <w:trPr>
          <w:cantSplit/>
        </w:trPr>
        <w:tc>
          <w:tcPr>
            <w:tcW w:w="1121" w:type="pct"/>
            <w:tcBorders>
              <w:top w:val="nil"/>
              <w:left w:val="nil"/>
              <w:bottom w:val="single" w:sz="4" w:space="0" w:color="auto"/>
              <w:right w:val="nil"/>
            </w:tcBorders>
          </w:tcPr>
          <w:p w14:paraId="5B21442C" w14:textId="77777777" w:rsidR="001F493D" w:rsidRDefault="001F493D">
            <w:pPr>
              <w:spacing w:before="60" w:after="60"/>
              <w:rPr>
                <w:rFonts w:cs="Arial"/>
                <w:sz w:val="22"/>
                <w:szCs w:val="22"/>
              </w:rPr>
            </w:pPr>
          </w:p>
        </w:tc>
        <w:tc>
          <w:tcPr>
            <w:tcW w:w="1159" w:type="pct"/>
            <w:tcBorders>
              <w:top w:val="nil"/>
              <w:left w:val="nil"/>
              <w:bottom w:val="single" w:sz="4" w:space="0" w:color="auto"/>
              <w:right w:val="nil"/>
            </w:tcBorders>
          </w:tcPr>
          <w:p w14:paraId="26412886" w14:textId="77777777" w:rsidR="001F493D" w:rsidRDefault="001F493D">
            <w:pPr>
              <w:spacing w:before="60" w:after="60"/>
              <w:rPr>
                <w:rFonts w:cs="Arial"/>
                <w:sz w:val="22"/>
                <w:szCs w:val="22"/>
              </w:rPr>
            </w:pPr>
            <w:r>
              <w:rPr>
                <w:rFonts w:cs="Arial"/>
                <w:sz w:val="22"/>
                <w:szCs w:val="22"/>
              </w:rPr>
              <w:t xml:space="preserve">Increase in creatinine </w:t>
            </w:r>
            <w:r>
              <w:rPr>
                <w:rFonts w:cs="Arial"/>
                <w:sz w:val="22"/>
                <w:szCs w:val="22"/>
                <w:vertAlign w:val="superscript"/>
              </w:rPr>
              <w:t>a, d</w:t>
            </w:r>
          </w:p>
        </w:tc>
        <w:tc>
          <w:tcPr>
            <w:tcW w:w="1352" w:type="pct"/>
            <w:tcBorders>
              <w:top w:val="nil"/>
              <w:left w:val="nil"/>
              <w:bottom w:val="single" w:sz="4" w:space="0" w:color="auto"/>
              <w:right w:val="nil"/>
            </w:tcBorders>
          </w:tcPr>
          <w:p w14:paraId="2CBC5CAC" w14:textId="77777777" w:rsidR="001F493D" w:rsidRDefault="001F493D">
            <w:pPr>
              <w:spacing w:before="60" w:after="60"/>
              <w:rPr>
                <w:rFonts w:cs="Arial"/>
                <w:sz w:val="22"/>
                <w:szCs w:val="22"/>
              </w:rPr>
            </w:pPr>
            <w:r>
              <w:rPr>
                <w:rFonts w:cs="Arial"/>
                <w:sz w:val="22"/>
                <w:szCs w:val="22"/>
              </w:rPr>
              <w:t>Very Common</w:t>
            </w:r>
          </w:p>
        </w:tc>
        <w:tc>
          <w:tcPr>
            <w:tcW w:w="1368" w:type="pct"/>
            <w:tcBorders>
              <w:top w:val="nil"/>
              <w:left w:val="nil"/>
              <w:bottom w:val="single" w:sz="4" w:space="0" w:color="auto"/>
              <w:right w:val="nil"/>
            </w:tcBorders>
          </w:tcPr>
          <w:p w14:paraId="513BEA9B" w14:textId="77777777" w:rsidR="001F493D" w:rsidRDefault="001F493D">
            <w:pPr>
              <w:spacing w:before="60" w:after="60"/>
              <w:rPr>
                <w:rFonts w:cs="Arial"/>
                <w:sz w:val="22"/>
                <w:szCs w:val="22"/>
              </w:rPr>
            </w:pPr>
            <w:r>
              <w:rPr>
                <w:rFonts w:cs="Arial"/>
                <w:sz w:val="22"/>
                <w:szCs w:val="22"/>
              </w:rPr>
              <w:t>Uncommon</w:t>
            </w:r>
          </w:p>
        </w:tc>
      </w:tr>
    </w:tbl>
    <w:p w14:paraId="6C3A5E3E" w14:textId="77777777" w:rsidR="001F493D" w:rsidRDefault="001F493D">
      <w:pPr>
        <w:spacing w:before="60" w:after="60" w:line="240" w:lineRule="auto"/>
        <w:ind w:left="720" w:hanging="720"/>
        <w:rPr>
          <w:sz w:val="18"/>
          <w:szCs w:val="18"/>
        </w:rPr>
      </w:pPr>
      <w:proofErr w:type="gramStart"/>
      <w:r>
        <w:rPr>
          <w:sz w:val="18"/>
          <w:szCs w:val="18"/>
          <w:vertAlign w:val="superscript"/>
        </w:rPr>
        <w:t>a</w:t>
      </w:r>
      <w:proofErr w:type="gramEnd"/>
      <w:r>
        <w:rPr>
          <w:sz w:val="18"/>
          <w:szCs w:val="18"/>
        </w:rPr>
        <w:tab/>
        <w:t xml:space="preserve">Represents the incidence of laboratory findings, not of reported adverse events. </w:t>
      </w:r>
    </w:p>
    <w:p w14:paraId="163E55FB" w14:textId="77777777" w:rsidR="001F493D" w:rsidRDefault="001F493D">
      <w:pPr>
        <w:spacing w:before="60" w:after="60" w:line="240" w:lineRule="auto"/>
        <w:ind w:left="709" w:hanging="709"/>
        <w:rPr>
          <w:sz w:val="18"/>
          <w:szCs w:val="18"/>
        </w:rPr>
      </w:pPr>
      <w:proofErr w:type="gramStart"/>
      <w:r>
        <w:rPr>
          <w:sz w:val="18"/>
          <w:szCs w:val="18"/>
          <w:vertAlign w:val="superscript"/>
        </w:rPr>
        <w:t>b</w:t>
      </w:r>
      <w:proofErr w:type="gramEnd"/>
      <w:r>
        <w:rPr>
          <w:sz w:val="18"/>
          <w:szCs w:val="18"/>
        </w:rPr>
        <w:tab/>
        <w:t>Decreases were CTCAE grade 2 or greater for haemoglobin, absolute neutrophils, platelets and lymphocytes.</w:t>
      </w:r>
    </w:p>
    <w:p w14:paraId="7075467D" w14:textId="77777777" w:rsidR="001F493D" w:rsidRDefault="001F493D">
      <w:pPr>
        <w:tabs>
          <w:tab w:val="left" w:pos="720"/>
        </w:tabs>
        <w:spacing w:before="60" w:after="60" w:line="240" w:lineRule="auto"/>
        <w:ind w:left="709" w:hanging="709"/>
        <w:rPr>
          <w:sz w:val="18"/>
          <w:szCs w:val="18"/>
        </w:rPr>
      </w:pPr>
      <w:proofErr w:type="gramStart"/>
      <w:r>
        <w:rPr>
          <w:sz w:val="18"/>
          <w:szCs w:val="18"/>
          <w:vertAlign w:val="superscript"/>
        </w:rPr>
        <w:t>c</w:t>
      </w:r>
      <w:proofErr w:type="gramEnd"/>
      <w:r>
        <w:rPr>
          <w:sz w:val="18"/>
          <w:szCs w:val="18"/>
        </w:rPr>
        <w:tab/>
        <w:t xml:space="preserve">Elevation in mean corpuscular volume from baseline to above the ULN (upper limit of normal). Levels appeared to return to normal after treatment discontinuation and did not appear to have any clinical consequences. </w:t>
      </w:r>
    </w:p>
    <w:p w14:paraId="5E1E0E1D" w14:textId="77777777" w:rsidR="001F493D" w:rsidRDefault="001F493D">
      <w:pPr>
        <w:spacing w:before="60" w:after="60" w:line="240" w:lineRule="auto"/>
        <w:ind w:left="709" w:hanging="709"/>
        <w:rPr>
          <w:sz w:val="22"/>
          <w:szCs w:val="22"/>
        </w:rPr>
      </w:pPr>
      <w:r>
        <w:rPr>
          <w:sz w:val="18"/>
          <w:szCs w:val="18"/>
          <w:vertAlign w:val="superscript"/>
        </w:rPr>
        <w:t>d</w:t>
      </w:r>
      <w:r>
        <w:rPr>
          <w:rFonts w:ascii="TimesNewRoman" w:hAnsi="TimesNewRoman" w:cs="TimesNewRoman"/>
          <w:sz w:val="18"/>
          <w:szCs w:val="18"/>
          <w:lang w:eastAsia="en-GB"/>
        </w:rPr>
        <w:tab/>
      </w:r>
      <w:r>
        <w:rPr>
          <w:sz w:val="18"/>
          <w:szCs w:val="18"/>
        </w:rPr>
        <w:t>Data from a double blind placebo controlled study showed median increase up to 23% from baseline remaining consistent over time and returning to baseline after treatment discontinuation, with no apparent clinical sequelae. 90% of patients had creatinine values of CTCAE grade 0 at baseline and 10% were CTCAE grade 1 at baseline.</w:t>
      </w:r>
    </w:p>
    <w:p w14:paraId="42104D2B" w14:textId="77777777" w:rsidR="001F493D" w:rsidRDefault="001F493D">
      <w:pPr>
        <w:pStyle w:val="A-Heading1"/>
        <w:rPr>
          <w:sz w:val="22"/>
          <w:szCs w:val="22"/>
          <w:lang w:val="en-AU"/>
        </w:rPr>
      </w:pPr>
      <w:r>
        <w:rPr>
          <w:sz w:val="22"/>
          <w:szCs w:val="22"/>
          <w:lang w:val="en-AU"/>
        </w:rPr>
        <w:t>DOSAGE AND ADMINISTRATION</w:t>
      </w:r>
    </w:p>
    <w:p w14:paraId="066D5446" w14:textId="77777777" w:rsidR="001F493D" w:rsidRDefault="001F493D">
      <w:pPr>
        <w:rPr>
          <w:sz w:val="22"/>
          <w:szCs w:val="22"/>
          <w:lang w:val="en-US"/>
        </w:rPr>
      </w:pPr>
      <w:r>
        <w:rPr>
          <w:sz w:val="22"/>
          <w:szCs w:val="22"/>
          <w:lang w:val="en-US"/>
        </w:rPr>
        <w:t xml:space="preserve">Treatment with LYNPARZA should be initiated and supervised by a physician experienced in the use of anticancer medicinal products.  </w:t>
      </w:r>
    </w:p>
    <w:p w14:paraId="2B46B941" w14:textId="77777777" w:rsidR="001F493D" w:rsidRDefault="001F493D">
      <w:pPr>
        <w:pStyle w:val="CommentText"/>
        <w:rPr>
          <w:sz w:val="22"/>
          <w:szCs w:val="22"/>
        </w:rPr>
      </w:pPr>
      <w:r>
        <w:rPr>
          <w:sz w:val="22"/>
          <w:szCs w:val="22"/>
        </w:rPr>
        <w:t>Patients must have confirmation of a breast cancer susceptibility gene (</w:t>
      </w:r>
      <w:r>
        <w:rPr>
          <w:i/>
          <w:sz w:val="22"/>
          <w:szCs w:val="22"/>
        </w:rPr>
        <w:t>BRCA</w:t>
      </w:r>
      <w:r>
        <w:rPr>
          <w:sz w:val="22"/>
          <w:szCs w:val="22"/>
        </w:rPr>
        <w:t xml:space="preserve">) mutation (germline or tumour) before </w:t>
      </w:r>
      <w:r>
        <w:rPr>
          <w:sz w:val="22"/>
          <w:szCs w:val="22"/>
          <w:lang w:val="en-US"/>
        </w:rPr>
        <w:t xml:space="preserve">LYNPARZA </w:t>
      </w:r>
      <w:r>
        <w:rPr>
          <w:sz w:val="22"/>
          <w:szCs w:val="22"/>
        </w:rPr>
        <w:t xml:space="preserve">treatment is initiated. </w:t>
      </w:r>
      <w:r>
        <w:rPr>
          <w:i/>
          <w:sz w:val="22"/>
          <w:szCs w:val="22"/>
        </w:rPr>
        <w:t>BRCA</w:t>
      </w:r>
      <w:r>
        <w:rPr>
          <w:sz w:val="22"/>
          <w:szCs w:val="22"/>
        </w:rPr>
        <w:t xml:space="preserve"> mutation status should be determined by an experienced laboratory using a validated test method.</w:t>
      </w:r>
    </w:p>
    <w:p w14:paraId="533DB274" w14:textId="77777777" w:rsidR="001F493D" w:rsidRDefault="001F493D">
      <w:pPr>
        <w:pStyle w:val="Heading5"/>
        <w:rPr>
          <w:b/>
          <w:bCs/>
          <w:sz w:val="22"/>
          <w:szCs w:val="22"/>
          <w:u w:val="none"/>
          <w:lang w:val="en-US"/>
        </w:rPr>
      </w:pPr>
      <w:r>
        <w:rPr>
          <w:b/>
          <w:bCs/>
          <w:sz w:val="22"/>
          <w:szCs w:val="22"/>
          <w:u w:val="none"/>
          <w:lang w:val="en-US"/>
        </w:rPr>
        <w:t>Dosage in adults</w:t>
      </w:r>
    </w:p>
    <w:p w14:paraId="00F3DCB1" w14:textId="77777777" w:rsidR="001F493D" w:rsidRDefault="001F493D">
      <w:pPr>
        <w:rPr>
          <w:sz w:val="22"/>
          <w:szCs w:val="22"/>
          <w:lang w:val="en-US"/>
        </w:rPr>
      </w:pPr>
      <w:r>
        <w:rPr>
          <w:sz w:val="22"/>
          <w:szCs w:val="22"/>
          <w:lang w:val="en-US"/>
        </w:rPr>
        <w:t xml:space="preserve">The recommended dose of LYNPARZA is 400 mg (eight 50 mg capsules) taken twice daily, equivalent to a total daily dose of 800 mg.  </w:t>
      </w:r>
    </w:p>
    <w:p w14:paraId="26662FE5" w14:textId="7C6FB9AA" w:rsidR="001F493D" w:rsidRDefault="001F493D">
      <w:pPr>
        <w:rPr>
          <w:sz w:val="22"/>
          <w:szCs w:val="22"/>
          <w:lang w:val="en-US"/>
        </w:rPr>
      </w:pPr>
      <w:r>
        <w:rPr>
          <w:sz w:val="22"/>
          <w:szCs w:val="22"/>
          <w:lang w:val="en-US"/>
        </w:rPr>
        <w:t xml:space="preserve">LYNPARZA should be taken on an empty stomach (at least 1 hour after a meal). </w:t>
      </w:r>
      <w:r w:rsidR="002C39A1">
        <w:rPr>
          <w:sz w:val="22"/>
          <w:szCs w:val="22"/>
          <w:lang w:val="en-US"/>
        </w:rPr>
        <w:t xml:space="preserve">The capsules should not be opened. </w:t>
      </w:r>
      <w:r>
        <w:rPr>
          <w:sz w:val="22"/>
          <w:szCs w:val="22"/>
          <w:lang w:val="en-US"/>
        </w:rPr>
        <w:t>Once LYNPARZA is taken, refrain from eating for 2 hours.</w:t>
      </w:r>
    </w:p>
    <w:p w14:paraId="39482382" w14:textId="75B9E252" w:rsidR="001F493D" w:rsidRDefault="001F493D">
      <w:pPr>
        <w:rPr>
          <w:sz w:val="22"/>
          <w:szCs w:val="22"/>
        </w:rPr>
      </w:pPr>
      <w:r>
        <w:rPr>
          <w:sz w:val="22"/>
          <w:szCs w:val="22"/>
        </w:rPr>
        <w:lastRenderedPageBreak/>
        <w:t>It is recommended that treatment be continued until progression of the underlying disease.</w:t>
      </w:r>
      <w:r w:rsidR="00F746A0" w:rsidRPr="00F746A0">
        <w:rPr>
          <w:sz w:val="22"/>
          <w:szCs w:val="22"/>
        </w:rPr>
        <w:t xml:space="preserve"> </w:t>
      </w:r>
      <w:r w:rsidR="00F746A0">
        <w:rPr>
          <w:sz w:val="22"/>
          <w:szCs w:val="22"/>
        </w:rPr>
        <w:t>There are no data to support retreatment with olaparib as maintenance following subsequent relapse.</w:t>
      </w:r>
    </w:p>
    <w:p w14:paraId="1F8703DD" w14:textId="77777777" w:rsidR="001F493D" w:rsidRDefault="001F493D">
      <w:pPr>
        <w:pStyle w:val="Heading5"/>
        <w:keepLines/>
        <w:rPr>
          <w:b/>
          <w:bCs/>
          <w:sz w:val="22"/>
          <w:szCs w:val="22"/>
          <w:u w:val="none"/>
          <w:lang w:val="en-US"/>
        </w:rPr>
      </w:pPr>
      <w:r>
        <w:rPr>
          <w:b/>
          <w:bCs/>
          <w:sz w:val="22"/>
          <w:szCs w:val="22"/>
          <w:u w:val="none"/>
          <w:lang w:val="en-US"/>
        </w:rPr>
        <w:t xml:space="preserve">Missing dose  </w:t>
      </w:r>
    </w:p>
    <w:p w14:paraId="19ABF7F9" w14:textId="77777777" w:rsidR="001F493D" w:rsidRDefault="001F493D">
      <w:pPr>
        <w:pStyle w:val="BodyText"/>
        <w:spacing w:line="280" w:lineRule="atLeast"/>
        <w:rPr>
          <w:sz w:val="22"/>
          <w:szCs w:val="22"/>
          <w:lang w:val="en-US"/>
        </w:rPr>
      </w:pPr>
      <w:r>
        <w:rPr>
          <w:sz w:val="22"/>
          <w:szCs w:val="22"/>
          <w:lang w:val="en-US"/>
        </w:rPr>
        <w:t xml:space="preserve">If a patient misses a dose of LYNPARZA, they should take their next normal dose at its scheduled time.  </w:t>
      </w:r>
    </w:p>
    <w:p w14:paraId="7554D841" w14:textId="77777777" w:rsidR="001F493D" w:rsidRDefault="001F493D">
      <w:pPr>
        <w:pStyle w:val="BodyText"/>
        <w:spacing w:line="280" w:lineRule="atLeast"/>
        <w:rPr>
          <w:sz w:val="22"/>
          <w:szCs w:val="22"/>
          <w:lang w:val="en-US"/>
        </w:rPr>
      </w:pPr>
    </w:p>
    <w:p w14:paraId="52F93CC8" w14:textId="77777777" w:rsidR="001F493D" w:rsidRDefault="001F493D">
      <w:pPr>
        <w:keepNext/>
        <w:keepLines/>
        <w:autoSpaceDE w:val="0"/>
        <w:autoSpaceDN w:val="0"/>
        <w:adjustRightInd w:val="0"/>
        <w:spacing w:after="120"/>
        <w:rPr>
          <w:b/>
          <w:sz w:val="22"/>
          <w:szCs w:val="22"/>
          <w:lang w:val="en-US"/>
        </w:rPr>
      </w:pPr>
      <w:r>
        <w:rPr>
          <w:b/>
          <w:sz w:val="22"/>
          <w:szCs w:val="22"/>
          <w:lang w:val="en-US"/>
        </w:rPr>
        <w:t xml:space="preserve">Dose adjustments </w:t>
      </w:r>
    </w:p>
    <w:p w14:paraId="3E9DB892" w14:textId="29D8ABA6" w:rsidR="002A6F3C" w:rsidRDefault="00C467AE" w:rsidP="00BA43BF">
      <w:pPr>
        <w:autoSpaceDE w:val="0"/>
        <w:autoSpaceDN w:val="0"/>
        <w:adjustRightInd w:val="0"/>
        <w:spacing w:after="0"/>
        <w:ind w:left="40" w:right="-20"/>
        <w:rPr>
          <w:rFonts w:cs="Arial"/>
          <w:sz w:val="22"/>
          <w:szCs w:val="22"/>
          <w:lang w:eastAsia="en-AU"/>
        </w:rPr>
      </w:pPr>
      <w:r w:rsidRPr="00BA43BF">
        <w:rPr>
          <w:rFonts w:cs="Arial"/>
          <w:sz w:val="22"/>
          <w:szCs w:val="22"/>
          <w:lang w:eastAsia="en-AU"/>
        </w:rPr>
        <w:t xml:space="preserve">Treatment may be interrupted to manage adverse reactions such as nausea, vomiting, diarrhoea, and anaemia and dose reduction can be considered. </w:t>
      </w:r>
    </w:p>
    <w:p w14:paraId="43BE92CE" w14:textId="77777777" w:rsidR="002A6F3C" w:rsidRDefault="002A6F3C" w:rsidP="00BA43BF">
      <w:pPr>
        <w:autoSpaceDE w:val="0"/>
        <w:autoSpaceDN w:val="0"/>
        <w:adjustRightInd w:val="0"/>
        <w:spacing w:after="0"/>
        <w:ind w:left="40" w:right="-20"/>
        <w:rPr>
          <w:rFonts w:cs="Arial"/>
          <w:sz w:val="22"/>
          <w:szCs w:val="22"/>
          <w:lang w:eastAsia="en-AU"/>
        </w:rPr>
      </w:pPr>
    </w:p>
    <w:p w14:paraId="0112B38B" w14:textId="77777777" w:rsidR="00C467AE" w:rsidRPr="00C467AE" w:rsidRDefault="00BA43BF" w:rsidP="00BA43BF">
      <w:pPr>
        <w:autoSpaceDE w:val="0"/>
        <w:autoSpaceDN w:val="0"/>
        <w:adjustRightInd w:val="0"/>
        <w:spacing w:after="0"/>
        <w:ind w:left="40" w:right="-20"/>
        <w:rPr>
          <w:rFonts w:cs="Arial"/>
          <w:sz w:val="22"/>
          <w:szCs w:val="22"/>
          <w:lang w:eastAsia="en-AU"/>
        </w:rPr>
      </w:pPr>
      <w:r w:rsidRPr="00BA43BF">
        <w:rPr>
          <w:rFonts w:cs="Arial"/>
          <w:spacing w:val="-1"/>
          <w:sz w:val="22"/>
          <w:szCs w:val="22"/>
          <w:lang w:eastAsia="en-AU"/>
        </w:rPr>
        <w:t>G</w:t>
      </w:r>
      <w:r w:rsidRPr="00BA43BF">
        <w:rPr>
          <w:rFonts w:cs="Arial"/>
          <w:sz w:val="22"/>
          <w:szCs w:val="22"/>
          <w:lang w:eastAsia="en-AU"/>
        </w:rPr>
        <w:t>ast</w:t>
      </w:r>
      <w:r w:rsidRPr="00BA43BF">
        <w:rPr>
          <w:rFonts w:cs="Arial"/>
          <w:spacing w:val="-2"/>
          <w:sz w:val="22"/>
          <w:szCs w:val="22"/>
          <w:lang w:eastAsia="en-AU"/>
        </w:rPr>
        <w:t>r</w:t>
      </w:r>
      <w:r w:rsidRPr="00BA43BF">
        <w:rPr>
          <w:rFonts w:cs="Arial"/>
          <w:sz w:val="22"/>
          <w:szCs w:val="22"/>
          <w:lang w:eastAsia="en-AU"/>
        </w:rPr>
        <w:t>oi</w:t>
      </w:r>
      <w:r w:rsidRPr="00BA43BF">
        <w:rPr>
          <w:rFonts w:cs="Arial"/>
          <w:spacing w:val="-2"/>
          <w:sz w:val="22"/>
          <w:szCs w:val="22"/>
          <w:lang w:eastAsia="en-AU"/>
        </w:rPr>
        <w:t>n</w:t>
      </w:r>
      <w:r w:rsidRPr="00BA43BF">
        <w:rPr>
          <w:rFonts w:cs="Arial"/>
          <w:sz w:val="22"/>
          <w:szCs w:val="22"/>
          <w:lang w:eastAsia="en-AU"/>
        </w:rPr>
        <w:t>te</w:t>
      </w:r>
      <w:r w:rsidRPr="00BA43BF">
        <w:rPr>
          <w:rFonts w:cs="Arial"/>
          <w:spacing w:val="-2"/>
          <w:sz w:val="22"/>
          <w:szCs w:val="22"/>
          <w:lang w:eastAsia="en-AU"/>
        </w:rPr>
        <w:t>s</w:t>
      </w:r>
      <w:r w:rsidRPr="00BA43BF">
        <w:rPr>
          <w:rFonts w:cs="Arial"/>
          <w:spacing w:val="-1"/>
          <w:sz w:val="22"/>
          <w:szCs w:val="22"/>
          <w:lang w:eastAsia="en-AU"/>
        </w:rPr>
        <w:t>t</w:t>
      </w:r>
      <w:r w:rsidRPr="00BA43BF">
        <w:rPr>
          <w:rFonts w:cs="Arial"/>
          <w:sz w:val="22"/>
          <w:szCs w:val="22"/>
          <w:lang w:eastAsia="en-AU"/>
        </w:rPr>
        <w:t>in</w:t>
      </w:r>
      <w:r w:rsidRPr="00BA43BF">
        <w:rPr>
          <w:rFonts w:cs="Arial"/>
          <w:spacing w:val="-2"/>
          <w:sz w:val="22"/>
          <w:szCs w:val="22"/>
          <w:lang w:eastAsia="en-AU"/>
        </w:rPr>
        <w:t>a</w:t>
      </w:r>
      <w:r w:rsidRPr="00BA43BF">
        <w:rPr>
          <w:rFonts w:cs="Arial"/>
          <w:sz w:val="22"/>
          <w:szCs w:val="22"/>
          <w:lang w:eastAsia="en-AU"/>
        </w:rPr>
        <w:t>l</w:t>
      </w:r>
      <w:r w:rsidRPr="00BA43BF">
        <w:rPr>
          <w:rFonts w:cs="Arial"/>
          <w:spacing w:val="1"/>
          <w:sz w:val="22"/>
          <w:szCs w:val="22"/>
          <w:lang w:eastAsia="en-AU"/>
        </w:rPr>
        <w:t xml:space="preserve"> </w:t>
      </w:r>
      <w:r w:rsidRPr="00BA43BF">
        <w:rPr>
          <w:rFonts w:cs="Arial"/>
          <w:sz w:val="22"/>
          <w:szCs w:val="22"/>
          <w:lang w:eastAsia="en-AU"/>
        </w:rPr>
        <w:t>to</w:t>
      </w:r>
      <w:r w:rsidRPr="00BA43BF">
        <w:rPr>
          <w:rFonts w:cs="Arial"/>
          <w:spacing w:val="-2"/>
          <w:sz w:val="22"/>
          <w:szCs w:val="22"/>
          <w:lang w:eastAsia="en-AU"/>
        </w:rPr>
        <w:t>x</w:t>
      </w:r>
      <w:r w:rsidRPr="00BA43BF">
        <w:rPr>
          <w:rFonts w:cs="Arial"/>
          <w:spacing w:val="1"/>
          <w:sz w:val="22"/>
          <w:szCs w:val="22"/>
          <w:lang w:eastAsia="en-AU"/>
        </w:rPr>
        <w:t>i</w:t>
      </w:r>
      <w:r w:rsidRPr="00BA43BF">
        <w:rPr>
          <w:rFonts w:cs="Arial"/>
          <w:spacing w:val="-2"/>
          <w:sz w:val="22"/>
          <w:szCs w:val="22"/>
          <w:lang w:eastAsia="en-AU"/>
        </w:rPr>
        <w:t>c</w:t>
      </w:r>
      <w:r w:rsidRPr="00BA43BF">
        <w:rPr>
          <w:rFonts w:cs="Arial"/>
          <w:spacing w:val="1"/>
          <w:sz w:val="22"/>
          <w:szCs w:val="22"/>
          <w:lang w:eastAsia="en-AU"/>
        </w:rPr>
        <w:t>i</w:t>
      </w:r>
      <w:r w:rsidRPr="00BA43BF">
        <w:rPr>
          <w:rFonts w:cs="Arial"/>
          <w:spacing w:val="-1"/>
          <w:sz w:val="22"/>
          <w:szCs w:val="22"/>
          <w:lang w:eastAsia="en-AU"/>
        </w:rPr>
        <w:t>t</w:t>
      </w:r>
      <w:r w:rsidRPr="00BA43BF">
        <w:rPr>
          <w:rFonts w:cs="Arial"/>
          <w:spacing w:val="1"/>
          <w:sz w:val="22"/>
          <w:szCs w:val="22"/>
          <w:lang w:eastAsia="en-AU"/>
        </w:rPr>
        <w:t>i</w:t>
      </w:r>
      <w:r w:rsidRPr="00BA43BF">
        <w:rPr>
          <w:rFonts w:cs="Arial"/>
          <w:spacing w:val="-2"/>
          <w:sz w:val="22"/>
          <w:szCs w:val="22"/>
          <w:lang w:eastAsia="en-AU"/>
        </w:rPr>
        <w:t>e</w:t>
      </w:r>
      <w:r w:rsidRPr="00BA43BF">
        <w:rPr>
          <w:rFonts w:cs="Arial"/>
          <w:sz w:val="22"/>
          <w:szCs w:val="22"/>
          <w:lang w:eastAsia="en-AU"/>
        </w:rPr>
        <w:t>s</w:t>
      </w:r>
      <w:r w:rsidRPr="00BA43BF">
        <w:rPr>
          <w:rFonts w:cs="Arial"/>
          <w:spacing w:val="1"/>
          <w:sz w:val="22"/>
          <w:szCs w:val="22"/>
          <w:lang w:eastAsia="en-AU"/>
        </w:rPr>
        <w:t xml:space="preserve"> </w:t>
      </w:r>
      <w:r w:rsidRPr="00BA43BF">
        <w:rPr>
          <w:rFonts w:cs="Arial"/>
          <w:spacing w:val="-2"/>
          <w:sz w:val="22"/>
          <w:szCs w:val="22"/>
          <w:lang w:eastAsia="en-AU"/>
        </w:rPr>
        <w:t>a</w:t>
      </w:r>
      <w:r w:rsidRPr="00BA43BF">
        <w:rPr>
          <w:rFonts w:cs="Arial"/>
          <w:spacing w:val="1"/>
          <w:sz w:val="22"/>
          <w:szCs w:val="22"/>
          <w:lang w:eastAsia="en-AU"/>
        </w:rPr>
        <w:t>r</w:t>
      </w:r>
      <w:r w:rsidRPr="00BA43BF">
        <w:rPr>
          <w:rFonts w:cs="Arial"/>
          <w:sz w:val="22"/>
          <w:szCs w:val="22"/>
          <w:lang w:eastAsia="en-AU"/>
        </w:rPr>
        <w:t>e</w:t>
      </w:r>
      <w:r w:rsidRPr="00BA43BF">
        <w:rPr>
          <w:rFonts w:cs="Arial"/>
          <w:spacing w:val="1"/>
          <w:sz w:val="22"/>
          <w:szCs w:val="22"/>
          <w:lang w:eastAsia="en-AU"/>
        </w:rPr>
        <w:t xml:space="preserve"> </w:t>
      </w:r>
      <w:r w:rsidRPr="00BA43BF">
        <w:rPr>
          <w:rFonts w:cs="Arial"/>
          <w:spacing w:val="-2"/>
          <w:sz w:val="22"/>
          <w:szCs w:val="22"/>
          <w:lang w:eastAsia="en-AU"/>
        </w:rPr>
        <w:t>f</w:t>
      </w:r>
      <w:r w:rsidRPr="00BA43BF">
        <w:rPr>
          <w:rFonts w:cs="Arial"/>
          <w:spacing w:val="1"/>
          <w:sz w:val="22"/>
          <w:szCs w:val="22"/>
          <w:lang w:eastAsia="en-AU"/>
        </w:rPr>
        <w:t>r</w:t>
      </w:r>
      <w:r w:rsidRPr="00BA43BF">
        <w:rPr>
          <w:rFonts w:cs="Arial"/>
          <w:sz w:val="22"/>
          <w:szCs w:val="22"/>
          <w:lang w:eastAsia="en-AU"/>
        </w:rPr>
        <w:t>eq</w:t>
      </w:r>
      <w:r w:rsidRPr="00BA43BF">
        <w:rPr>
          <w:rFonts w:cs="Arial"/>
          <w:spacing w:val="-2"/>
          <w:sz w:val="22"/>
          <w:szCs w:val="22"/>
          <w:lang w:eastAsia="en-AU"/>
        </w:rPr>
        <w:t>u</w:t>
      </w:r>
      <w:r w:rsidRPr="00BA43BF">
        <w:rPr>
          <w:rFonts w:cs="Arial"/>
          <w:sz w:val="22"/>
          <w:szCs w:val="22"/>
          <w:lang w:eastAsia="en-AU"/>
        </w:rPr>
        <w:t>en</w:t>
      </w:r>
      <w:r w:rsidRPr="00BA43BF">
        <w:rPr>
          <w:rFonts w:cs="Arial"/>
          <w:spacing w:val="-1"/>
          <w:sz w:val="22"/>
          <w:szCs w:val="22"/>
          <w:lang w:eastAsia="en-AU"/>
        </w:rPr>
        <w:t>t</w:t>
      </w:r>
      <w:r w:rsidRPr="00BA43BF">
        <w:rPr>
          <w:rFonts w:cs="Arial"/>
          <w:sz w:val="22"/>
          <w:szCs w:val="22"/>
          <w:lang w:eastAsia="en-AU"/>
        </w:rPr>
        <w:t>ly</w:t>
      </w:r>
      <w:r w:rsidRPr="00BA43BF">
        <w:rPr>
          <w:rFonts w:cs="Arial"/>
          <w:spacing w:val="-2"/>
          <w:sz w:val="22"/>
          <w:szCs w:val="22"/>
          <w:lang w:eastAsia="en-AU"/>
        </w:rPr>
        <w:t xml:space="preserve"> </w:t>
      </w:r>
      <w:r w:rsidRPr="00BA43BF">
        <w:rPr>
          <w:rFonts w:cs="Arial"/>
          <w:sz w:val="22"/>
          <w:szCs w:val="22"/>
          <w:lang w:eastAsia="en-AU"/>
        </w:rPr>
        <w:t>rep</w:t>
      </w:r>
      <w:r w:rsidRPr="00BA43BF">
        <w:rPr>
          <w:rFonts w:cs="Arial"/>
          <w:spacing w:val="-2"/>
          <w:sz w:val="22"/>
          <w:szCs w:val="22"/>
          <w:lang w:eastAsia="en-AU"/>
        </w:rPr>
        <w:t>o</w:t>
      </w:r>
      <w:r w:rsidRPr="00BA43BF">
        <w:rPr>
          <w:rFonts w:cs="Arial"/>
          <w:sz w:val="22"/>
          <w:szCs w:val="22"/>
          <w:lang w:eastAsia="en-AU"/>
        </w:rPr>
        <w:t>r</w:t>
      </w:r>
      <w:r w:rsidRPr="00BA43BF">
        <w:rPr>
          <w:rFonts w:cs="Arial"/>
          <w:spacing w:val="-1"/>
          <w:sz w:val="22"/>
          <w:szCs w:val="22"/>
          <w:lang w:eastAsia="en-AU"/>
        </w:rPr>
        <w:t>t</w:t>
      </w:r>
      <w:r w:rsidRPr="00BA43BF">
        <w:rPr>
          <w:rFonts w:cs="Arial"/>
          <w:sz w:val="22"/>
          <w:szCs w:val="22"/>
          <w:lang w:eastAsia="en-AU"/>
        </w:rPr>
        <w:t>ed</w:t>
      </w:r>
      <w:r w:rsidRPr="00BA43BF">
        <w:rPr>
          <w:rFonts w:cs="Arial"/>
          <w:spacing w:val="1"/>
          <w:sz w:val="22"/>
          <w:szCs w:val="22"/>
          <w:lang w:eastAsia="en-AU"/>
        </w:rPr>
        <w:t xml:space="preserve"> </w:t>
      </w:r>
      <w:r w:rsidRPr="00BA43BF">
        <w:rPr>
          <w:rFonts w:cs="Arial"/>
          <w:spacing w:val="-1"/>
          <w:sz w:val="22"/>
          <w:szCs w:val="22"/>
          <w:lang w:eastAsia="en-AU"/>
        </w:rPr>
        <w:t>wi</w:t>
      </w:r>
      <w:r w:rsidRPr="00BA43BF">
        <w:rPr>
          <w:rFonts w:cs="Arial"/>
          <w:sz w:val="22"/>
          <w:szCs w:val="22"/>
          <w:lang w:eastAsia="en-AU"/>
        </w:rPr>
        <w:t>th</w:t>
      </w:r>
      <w:r w:rsidRPr="00BA43BF">
        <w:rPr>
          <w:rFonts w:cs="Arial"/>
          <w:spacing w:val="-2"/>
          <w:sz w:val="22"/>
          <w:szCs w:val="22"/>
          <w:lang w:eastAsia="en-AU"/>
        </w:rPr>
        <w:t xml:space="preserve"> </w:t>
      </w:r>
      <w:r w:rsidRPr="00BA43BF">
        <w:rPr>
          <w:rFonts w:cs="Arial"/>
          <w:sz w:val="22"/>
          <w:szCs w:val="22"/>
          <w:lang w:eastAsia="en-AU"/>
        </w:rPr>
        <w:t>olap</w:t>
      </w:r>
      <w:r w:rsidRPr="00BA43BF">
        <w:rPr>
          <w:rFonts w:cs="Arial"/>
          <w:spacing w:val="-2"/>
          <w:sz w:val="22"/>
          <w:szCs w:val="22"/>
          <w:lang w:eastAsia="en-AU"/>
        </w:rPr>
        <w:t>a</w:t>
      </w:r>
      <w:r w:rsidRPr="00BA43BF">
        <w:rPr>
          <w:rFonts w:cs="Arial"/>
          <w:spacing w:val="1"/>
          <w:sz w:val="22"/>
          <w:szCs w:val="22"/>
          <w:lang w:eastAsia="en-AU"/>
        </w:rPr>
        <w:t>r</w:t>
      </w:r>
      <w:r w:rsidRPr="00BA43BF">
        <w:rPr>
          <w:rFonts w:cs="Arial"/>
          <w:spacing w:val="-1"/>
          <w:sz w:val="22"/>
          <w:szCs w:val="22"/>
          <w:lang w:eastAsia="en-AU"/>
        </w:rPr>
        <w:t>i</w:t>
      </w:r>
      <w:r w:rsidRPr="00BA43BF">
        <w:rPr>
          <w:rFonts w:cs="Arial"/>
          <w:sz w:val="22"/>
          <w:szCs w:val="22"/>
          <w:lang w:eastAsia="en-AU"/>
        </w:rPr>
        <w:t>b t</w:t>
      </w:r>
      <w:r w:rsidRPr="00BA43BF">
        <w:rPr>
          <w:rFonts w:cs="Arial"/>
          <w:spacing w:val="-2"/>
          <w:sz w:val="22"/>
          <w:szCs w:val="22"/>
          <w:lang w:eastAsia="en-AU"/>
        </w:rPr>
        <w:t>h</w:t>
      </w:r>
      <w:r w:rsidRPr="00BA43BF">
        <w:rPr>
          <w:rFonts w:cs="Arial"/>
          <w:sz w:val="22"/>
          <w:szCs w:val="22"/>
          <w:lang w:eastAsia="en-AU"/>
        </w:rPr>
        <w:t>e</w:t>
      </w:r>
      <w:r w:rsidRPr="00BA43BF">
        <w:rPr>
          <w:rFonts w:cs="Arial"/>
          <w:spacing w:val="-1"/>
          <w:sz w:val="22"/>
          <w:szCs w:val="22"/>
          <w:lang w:eastAsia="en-AU"/>
        </w:rPr>
        <w:t>r</w:t>
      </w:r>
      <w:r w:rsidRPr="00BA43BF">
        <w:rPr>
          <w:rFonts w:cs="Arial"/>
          <w:sz w:val="22"/>
          <w:szCs w:val="22"/>
          <w:lang w:eastAsia="en-AU"/>
        </w:rPr>
        <w:t>apy</w:t>
      </w:r>
      <w:r w:rsidR="002A6F3C">
        <w:rPr>
          <w:rFonts w:cs="Arial"/>
          <w:sz w:val="22"/>
          <w:szCs w:val="22"/>
          <w:lang w:eastAsia="en-AU"/>
        </w:rPr>
        <w:t xml:space="preserve"> (see ADVERSE EFFECTS)</w:t>
      </w:r>
      <w:r w:rsidRPr="00BA43BF">
        <w:rPr>
          <w:rFonts w:cs="Arial"/>
          <w:spacing w:val="-2"/>
          <w:sz w:val="22"/>
          <w:szCs w:val="22"/>
          <w:lang w:eastAsia="en-AU"/>
        </w:rPr>
        <w:t xml:space="preserve"> </w:t>
      </w:r>
      <w:r w:rsidRPr="00BA43BF">
        <w:rPr>
          <w:rFonts w:cs="Arial"/>
          <w:sz w:val="22"/>
          <w:szCs w:val="22"/>
          <w:lang w:eastAsia="en-AU"/>
        </w:rPr>
        <w:t>and</w:t>
      </w:r>
      <w:r w:rsidRPr="00BA43BF">
        <w:rPr>
          <w:rFonts w:cs="Arial"/>
          <w:spacing w:val="1"/>
          <w:sz w:val="22"/>
          <w:szCs w:val="22"/>
          <w:lang w:eastAsia="en-AU"/>
        </w:rPr>
        <w:t xml:space="preserve"> </w:t>
      </w:r>
      <w:r w:rsidRPr="00BA43BF">
        <w:rPr>
          <w:rFonts w:cs="Arial"/>
          <w:sz w:val="22"/>
          <w:szCs w:val="22"/>
          <w:lang w:eastAsia="en-AU"/>
        </w:rPr>
        <w:t>a</w:t>
      </w:r>
      <w:r w:rsidRPr="00BA43BF">
        <w:rPr>
          <w:rFonts w:cs="Arial"/>
          <w:spacing w:val="-1"/>
          <w:sz w:val="22"/>
          <w:szCs w:val="22"/>
          <w:lang w:eastAsia="en-AU"/>
        </w:rPr>
        <w:t>r</w:t>
      </w:r>
      <w:r w:rsidRPr="00BA43BF">
        <w:rPr>
          <w:rFonts w:cs="Arial"/>
          <w:sz w:val="22"/>
          <w:szCs w:val="22"/>
          <w:lang w:eastAsia="en-AU"/>
        </w:rPr>
        <w:t>e</w:t>
      </w:r>
      <w:r w:rsidRPr="00BA43BF">
        <w:rPr>
          <w:rFonts w:cs="Arial"/>
          <w:spacing w:val="1"/>
          <w:sz w:val="22"/>
          <w:szCs w:val="22"/>
          <w:lang w:eastAsia="en-AU"/>
        </w:rPr>
        <w:t xml:space="preserve"> </w:t>
      </w:r>
      <w:r w:rsidRPr="00BA43BF">
        <w:rPr>
          <w:rFonts w:cs="Arial"/>
          <w:spacing w:val="-2"/>
          <w:sz w:val="22"/>
          <w:szCs w:val="22"/>
          <w:lang w:eastAsia="en-AU"/>
        </w:rPr>
        <w:t>g</w:t>
      </w:r>
      <w:r w:rsidRPr="00BA43BF">
        <w:rPr>
          <w:rFonts w:cs="Arial"/>
          <w:sz w:val="22"/>
          <w:szCs w:val="22"/>
          <w:lang w:eastAsia="en-AU"/>
        </w:rPr>
        <w:t>ener</w:t>
      </w:r>
      <w:r w:rsidRPr="00BA43BF">
        <w:rPr>
          <w:rFonts w:cs="Arial"/>
          <w:spacing w:val="-2"/>
          <w:sz w:val="22"/>
          <w:szCs w:val="22"/>
          <w:lang w:eastAsia="en-AU"/>
        </w:rPr>
        <w:t>a</w:t>
      </w:r>
      <w:r w:rsidRPr="00BA43BF">
        <w:rPr>
          <w:rFonts w:cs="Arial"/>
          <w:sz w:val="22"/>
          <w:szCs w:val="22"/>
          <w:lang w:eastAsia="en-AU"/>
        </w:rPr>
        <w:t>lly</w:t>
      </w:r>
      <w:r w:rsidRPr="00BA43BF">
        <w:rPr>
          <w:rFonts w:cs="Arial"/>
          <w:spacing w:val="-2"/>
          <w:sz w:val="22"/>
          <w:szCs w:val="22"/>
          <w:lang w:eastAsia="en-AU"/>
        </w:rPr>
        <w:t xml:space="preserve"> </w:t>
      </w:r>
      <w:r w:rsidRPr="00BA43BF">
        <w:rPr>
          <w:rFonts w:cs="Arial"/>
          <w:sz w:val="22"/>
          <w:szCs w:val="22"/>
          <w:lang w:eastAsia="en-AU"/>
        </w:rPr>
        <w:t>low</w:t>
      </w:r>
      <w:r w:rsidRPr="00BA43BF">
        <w:rPr>
          <w:rFonts w:cs="Arial"/>
          <w:spacing w:val="-1"/>
          <w:sz w:val="22"/>
          <w:szCs w:val="22"/>
          <w:lang w:eastAsia="en-AU"/>
        </w:rPr>
        <w:t xml:space="preserve"> </w:t>
      </w:r>
      <w:r w:rsidRPr="00BA43BF">
        <w:rPr>
          <w:rFonts w:cs="Arial"/>
          <w:spacing w:val="-2"/>
          <w:sz w:val="22"/>
          <w:szCs w:val="22"/>
          <w:lang w:eastAsia="en-AU"/>
        </w:rPr>
        <w:t>g</w:t>
      </w:r>
      <w:r w:rsidRPr="00BA43BF">
        <w:rPr>
          <w:rFonts w:cs="Arial"/>
          <w:spacing w:val="1"/>
          <w:sz w:val="22"/>
          <w:szCs w:val="22"/>
          <w:lang w:eastAsia="en-AU"/>
        </w:rPr>
        <w:t>r</w:t>
      </w:r>
      <w:r w:rsidRPr="00BA43BF">
        <w:rPr>
          <w:rFonts w:cs="Arial"/>
          <w:sz w:val="22"/>
          <w:szCs w:val="22"/>
          <w:lang w:eastAsia="en-AU"/>
        </w:rPr>
        <w:t>a</w:t>
      </w:r>
      <w:r w:rsidRPr="00BA43BF">
        <w:rPr>
          <w:rFonts w:cs="Arial"/>
          <w:spacing w:val="-2"/>
          <w:sz w:val="22"/>
          <w:szCs w:val="22"/>
          <w:lang w:eastAsia="en-AU"/>
        </w:rPr>
        <w:t>d</w:t>
      </w:r>
      <w:r w:rsidRPr="00BA43BF">
        <w:rPr>
          <w:rFonts w:cs="Arial"/>
          <w:sz w:val="22"/>
          <w:szCs w:val="22"/>
          <w:lang w:eastAsia="en-AU"/>
        </w:rPr>
        <w:t>e</w:t>
      </w:r>
      <w:r>
        <w:rPr>
          <w:rFonts w:cs="Arial"/>
          <w:sz w:val="22"/>
          <w:szCs w:val="22"/>
          <w:lang w:eastAsia="en-AU"/>
        </w:rPr>
        <w:t xml:space="preserve"> </w:t>
      </w:r>
      <w:r w:rsidRPr="00BA43BF">
        <w:rPr>
          <w:rFonts w:cs="Arial"/>
          <w:sz w:val="22"/>
          <w:szCs w:val="22"/>
          <w:lang w:eastAsia="en-AU"/>
        </w:rPr>
        <w:t>(C</w:t>
      </w:r>
      <w:r w:rsidRPr="00BA43BF">
        <w:rPr>
          <w:rFonts w:cs="Arial"/>
          <w:spacing w:val="2"/>
          <w:sz w:val="22"/>
          <w:szCs w:val="22"/>
          <w:lang w:eastAsia="en-AU"/>
        </w:rPr>
        <w:t>T</w:t>
      </w:r>
      <w:r w:rsidRPr="00BA43BF">
        <w:rPr>
          <w:rFonts w:cs="Arial"/>
          <w:spacing w:val="-1"/>
          <w:sz w:val="22"/>
          <w:szCs w:val="22"/>
          <w:lang w:eastAsia="en-AU"/>
        </w:rPr>
        <w:t>C</w:t>
      </w:r>
      <w:r w:rsidRPr="00BA43BF">
        <w:rPr>
          <w:rFonts w:cs="Arial"/>
          <w:sz w:val="22"/>
          <w:szCs w:val="22"/>
          <w:lang w:eastAsia="en-AU"/>
        </w:rPr>
        <w:t xml:space="preserve">AE </w:t>
      </w:r>
      <w:r w:rsidRPr="00BA43BF">
        <w:rPr>
          <w:rFonts w:cs="Arial"/>
          <w:spacing w:val="-2"/>
          <w:sz w:val="22"/>
          <w:szCs w:val="22"/>
          <w:lang w:eastAsia="en-AU"/>
        </w:rPr>
        <w:t>g</w:t>
      </w:r>
      <w:r w:rsidRPr="00BA43BF">
        <w:rPr>
          <w:rFonts w:cs="Arial"/>
          <w:spacing w:val="1"/>
          <w:sz w:val="22"/>
          <w:szCs w:val="22"/>
          <w:lang w:eastAsia="en-AU"/>
        </w:rPr>
        <w:t>r</w:t>
      </w:r>
      <w:r w:rsidRPr="00BA43BF">
        <w:rPr>
          <w:rFonts w:cs="Arial"/>
          <w:sz w:val="22"/>
          <w:szCs w:val="22"/>
          <w:lang w:eastAsia="en-AU"/>
        </w:rPr>
        <w:t>ade</w:t>
      </w:r>
      <w:r w:rsidRPr="00BA43BF">
        <w:rPr>
          <w:rFonts w:cs="Arial"/>
          <w:spacing w:val="-2"/>
          <w:sz w:val="22"/>
          <w:szCs w:val="22"/>
          <w:lang w:eastAsia="en-AU"/>
        </w:rPr>
        <w:t xml:space="preserve"> </w:t>
      </w:r>
      <w:r w:rsidRPr="00BA43BF">
        <w:rPr>
          <w:rFonts w:cs="Arial"/>
          <w:sz w:val="22"/>
          <w:szCs w:val="22"/>
          <w:lang w:eastAsia="en-AU"/>
        </w:rPr>
        <w:t>1 or</w:t>
      </w:r>
      <w:r w:rsidRPr="00BA43BF">
        <w:rPr>
          <w:rFonts w:cs="Arial"/>
          <w:spacing w:val="-1"/>
          <w:sz w:val="22"/>
          <w:szCs w:val="22"/>
          <w:lang w:eastAsia="en-AU"/>
        </w:rPr>
        <w:t xml:space="preserve"> </w:t>
      </w:r>
      <w:r w:rsidRPr="00BA43BF">
        <w:rPr>
          <w:rFonts w:cs="Arial"/>
          <w:sz w:val="22"/>
          <w:szCs w:val="22"/>
          <w:lang w:eastAsia="en-AU"/>
        </w:rPr>
        <w:t>2)</w:t>
      </w:r>
      <w:r w:rsidRPr="00BA43BF">
        <w:rPr>
          <w:rFonts w:cs="Arial"/>
          <w:spacing w:val="-2"/>
          <w:sz w:val="22"/>
          <w:szCs w:val="22"/>
          <w:lang w:eastAsia="en-AU"/>
        </w:rPr>
        <w:t xml:space="preserve"> </w:t>
      </w:r>
      <w:r w:rsidRPr="00BA43BF">
        <w:rPr>
          <w:rFonts w:cs="Arial"/>
          <w:sz w:val="22"/>
          <w:szCs w:val="22"/>
          <w:lang w:eastAsia="en-AU"/>
        </w:rPr>
        <w:t>and</w:t>
      </w:r>
      <w:r w:rsidRPr="00BA43BF">
        <w:rPr>
          <w:rFonts w:cs="Arial"/>
          <w:spacing w:val="-2"/>
          <w:sz w:val="22"/>
          <w:szCs w:val="22"/>
          <w:lang w:eastAsia="en-AU"/>
        </w:rPr>
        <w:t xml:space="preserve"> </w:t>
      </w:r>
      <w:r w:rsidRPr="00BA43BF">
        <w:rPr>
          <w:rFonts w:cs="Arial"/>
          <w:sz w:val="22"/>
          <w:szCs w:val="22"/>
          <w:lang w:eastAsia="en-AU"/>
        </w:rPr>
        <w:t>in</w:t>
      </w:r>
      <w:r w:rsidRPr="00BA43BF">
        <w:rPr>
          <w:rFonts w:cs="Arial"/>
          <w:spacing w:val="-1"/>
          <w:sz w:val="22"/>
          <w:szCs w:val="22"/>
          <w:lang w:eastAsia="en-AU"/>
        </w:rPr>
        <w:t>t</w:t>
      </w:r>
      <w:r w:rsidRPr="00BA43BF">
        <w:rPr>
          <w:rFonts w:cs="Arial"/>
          <w:sz w:val="22"/>
          <w:szCs w:val="22"/>
          <w:lang w:eastAsia="en-AU"/>
        </w:rPr>
        <w:t>er</w:t>
      </w:r>
      <w:r w:rsidRPr="00BA43BF">
        <w:rPr>
          <w:rFonts w:cs="Arial"/>
          <w:spacing w:val="-4"/>
          <w:sz w:val="22"/>
          <w:szCs w:val="22"/>
          <w:lang w:eastAsia="en-AU"/>
        </w:rPr>
        <w:t>m</w:t>
      </w:r>
      <w:r w:rsidRPr="00BA43BF">
        <w:rPr>
          <w:rFonts w:cs="Arial"/>
          <w:sz w:val="22"/>
          <w:szCs w:val="22"/>
          <w:lang w:eastAsia="en-AU"/>
        </w:rPr>
        <w:t>it</w:t>
      </w:r>
      <w:r w:rsidRPr="00BA43BF">
        <w:rPr>
          <w:rFonts w:cs="Arial"/>
          <w:spacing w:val="-1"/>
          <w:sz w:val="22"/>
          <w:szCs w:val="22"/>
          <w:lang w:eastAsia="en-AU"/>
        </w:rPr>
        <w:t>t</w:t>
      </w:r>
      <w:r w:rsidRPr="00BA43BF">
        <w:rPr>
          <w:rFonts w:cs="Arial"/>
          <w:sz w:val="22"/>
          <w:szCs w:val="22"/>
          <w:lang w:eastAsia="en-AU"/>
        </w:rPr>
        <w:t>ent</w:t>
      </w:r>
      <w:r w:rsidR="00444DF7">
        <w:rPr>
          <w:rFonts w:cs="Arial"/>
          <w:sz w:val="22"/>
          <w:szCs w:val="22"/>
          <w:lang w:eastAsia="en-AU"/>
        </w:rPr>
        <w:t>. In addition to</w:t>
      </w:r>
      <w:r w:rsidRPr="00BA43BF">
        <w:rPr>
          <w:rFonts w:cs="Arial"/>
          <w:spacing w:val="-2"/>
          <w:sz w:val="22"/>
          <w:szCs w:val="22"/>
          <w:lang w:eastAsia="en-AU"/>
        </w:rPr>
        <w:t xml:space="preserve"> </w:t>
      </w:r>
      <w:r w:rsidRPr="00BA43BF">
        <w:rPr>
          <w:rFonts w:cs="Arial"/>
          <w:sz w:val="22"/>
          <w:szCs w:val="22"/>
          <w:lang w:eastAsia="en-AU"/>
        </w:rPr>
        <w:t>dose i</w:t>
      </w:r>
      <w:r w:rsidRPr="00BA43BF">
        <w:rPr>
          <w:rFonts w:cs="Arial"/>
          <w:spacing w:val="-2"/>
          <w:sz w:val="22"/>
          <w:szCs w:val="22"/>
          <w:lang w:eastAsia="en-AU"/>
        </w:rPr>
        <w:t>n</w:t>
      </w:r>
      <w:r w:rsidRPr="00BA43BF">
        <w:rPr>
          <w:rFonts w:cs="Arial"/>
          <w:sz w:val="22"/>
          <w:szCs w:val="22"/>
          <w:lang w:eastAsia="en-AU"/>
        </w:rPr>
        <w:t>te</w:t>
      </w:r>
      <w:r w:rsidRPr="00BA43BF">
        <w:rPr>
          <w:rFonts w:cs="Arial"/>
          <w:spacing w:val="-1"/>
          <w:sz w:val="22"/>
          <w:szCs w:val="22"/>
          <w:lang w:eastAsia="en-AU"/>
        </w:rPr>
        <w:t>r</w:t>
      </w:r>
      <w:r w:rsidRPr="00BA43BF">
        <w:rPr>
          <w:rFonts w:cs="Arial"/>
          <w:spacing w:val="1"/>
          <w:sz w:val="22"/>
          <w:szCs w:val="22"/>
          <w:lang w:eastAsia="en-AU"/>
        </w:rPr>
        <w:t>r</w:t>
      </w:r>
      <w:r w:rsidRPr="00BA43BF">
        <w:rPr>
          <w:rFonts w:cs="Arial"/>
          <w:sz w:val="22"/>
          <w:szCs w:val="22"/>
          <w:lang w:eastAsia="en-AU"/>
        </w:rPr>
        <w:t>u</w:t>
      </w:r>
      <w:r w:rsidRPr="00BA43BF">
        <w:rPr>
          <w:rFonts w:cs="Arial"/>
          <w:spacing w:val="-2"/>
          <w:sz w:val="22"/>
          <w:szCs w:val="22"/>
          <w:lang w:eastAsia="en-AU"/>
        </w:rPr>
        <w:t>p</w:t>
      </w:r>
      <w:r w:rsidRPr="00BA43BF">
        <w:rPr>
          <w:rFonts w:cs="Arial"/>
          <w:sz w:val="22"/>
          <w:szCs w:val="22"/>
          <w:lang w:eastAsia="en-AU"/>
        </w:rPr>
        <w:t>t</w:t>
      </w:r>
      <w:r w:rsidRPr="00BA43BF">
        <w:rPr>
          <w:rFonts w:cs="Arial"/>
          <w:spacing w:val="-1"/>
          <w:sz w:val="22"/>
          <w:szCs w:val="22"/>
          <w:lang w:eastAsia="en-AU"/>
        </w:rPr>
        <w:t>i</w:t>
      </w:r>
      <w:r w:rsidRPr="00BA43BF">
        <w:rPr>
          <w:rFonts w:cs="Arial"/>
          <w:sz w:val="22"/>
          <w:szCs w:val="22"/>
          <w:lang w:eastAsia="en-AU"/>
        </w:rPr>
        <w:t>on</w:t>
      </w:r>
      <w:r w:rsidR="00444DF7">
        <w:rPr>
          <w:rFonts w:cs="Arial"/>
          <w:sz w:val="22"/>
          <w:szCs w:val="22"/>
          <w:lang w:eastAsia="en-AU"/>
        </w:rPr>
        <w:t xml:space="preserve"> or </w:t>
      </w:r>
      <w:r w:rsidRPr="00BA43BF">
        <w:rPr>
          <w:rFonts w:cs="Arial"/>
          <w:sz w:val="22"/>
          <w:szCs w:val="22"/>
          <w:lang w:eastAsia="en-AU"/>
        </w:rPr>
        <w:t>redu</w:t>
      </w:r>
      <w:r w:rsidRPr="00BA43BF">
        <w:rPr>
          <w:rFonts w:cs="Arial"/>
          <w:spacing w:val="-2"/>
          <w:sz w:val="22"/>
          <w:szCs w:val="22"/>
          <w:lang w:eastAsia="en-AU"/>
        </w:rPr>
        <w:t>c</w:t>
      </w:r>
      <w:r w:rsidRPr="00BA43BF">
        <w:rPr>
          <w:rFonts w:cs="Arial"/>
          <w:spacing w:val="-1"/>
          <w:sz w:val="22"/>
          <w:szCs w:val="22"/>
          <w:lang w:eastAsia="en-AU"/>
        </w:rPr>
        <w:t>t</w:t>
      </w:r>
      <w:r w:rsidRPr="00BA43BF">
        <w:rPr>
          <w:rFonts w:cs="Arial"/>
          <w:spacing w:val="1"/>
          <w:sz w:val="22"/>
          <w:szCs w:val="22"/>
          <w:lang w:eastAsia="en-AU"/>
        </w:rPr>
        <w:t>i</w:t>
      </w:r>
      <w:r w:rsidRPr="00BA43BF">
        <w:rPr>
          <w:rFonts w:cs="Arial"/>
          <w:sz w:val="22"/>
          <w:szCs w:val="22"/>
          <w:lang w:eastAsia="en-AU"/>
        </w:rPr>
        <w:t>on</w:t>
      </w:r>
      <w:r w:rsidR="00444DF7">
        <w:rPr>
          <w:rFonts w:cs="Arial"/>
          <w:sz w:val="22"/>
          <w:szCs w:val="22"/>
          <w:lang w:eastAsia="en-AU"/>
        </w:rPr>
        <w:t>,</w:t>
      </w:r>
      <w:r w:rsidRPr="00BA43BF">
        <w:rPr>
          <w:rFonts w:cs="Arial"/>
          <w:sz w:val="22"/>
          <w:szCs w:val="22"/>
          <w:lang w:eastAsia="en-AU"/>
        </w:rPr>
        <w:t xml:space="preserve"> c</w:t>
      </w:r>
      <w:r w:rsidRPr="00BA43BF">
        <w:rPr>
          <w:rFonts w:cs="Arial"/>
          <w:spacing w:val="-2"/>
          <w:sz w:val="22"/>
          <w:szCs w:val="22"/>
          <w:lang w:eastAsia="en-AU"/>
        </w:rPr>
        <w:t>o</w:t>
      </w:r>
      <w:r w:rsidRPr="00BA43BF">
        <w:rPr>
          <w:rFonts w:cs="Arial"/>
          <w:sz w:val="22"/>
          <w:szCs w:val="22"/>
          <w:lang w:eastAsia="en-AU"/>
        </w:rPr>
        <w:t>nco</w:t>
      </w:r>
      <w:r w:rsidRPr="00BA43BF">
        <w:rPr>
          <w:rFonts w:cs="Arial"/>
          <w:spacing w:val="-4"/>
          <w:sz w:val="22"/>
          <w:szCs w:val="22"/>
          <w:lang w:eastAsia="en-AU"/>
        </w:rPr>
        <w:t>m</w:t>
      </w:r>
      <w:r w:rsidRPr="00BA43BF">
        <w:rPr>
          <w:rFonts w:cs="Arial"/>
          <w:sz w:val="22"/>
          <w:szCs w:val="22"/>
          <w:lang w:eastAsia="en-AU"/>
        </w:rPr>
        <w:t>ita</w:t>
      </w:r>
      <w:r w:rsidRPr="00BA43BF">
        <w:rPr>
          <w:rFonts w:cs="Arial"/>
          <w:spacing w:val="-2"/>
          <w:sz w:val="22"/>
          <w:szCs w:val="22"/>
          <w:lang w:eastAsia="en-AU"/>
        </w:rPr>
        <w:t>n</w:t>
      </w:r>
      <w:r w:rsidRPr="00BA43BF">
        <w:rPr>
          <w:rFonts w:cs="Arial"/>
          <w:sz w:val="22"/>
          <w:szCs w:val="22"/>
          <w:lang w:eastAsia="en-AU"/>
        </w:rPr>
        <w:t>t</w:t>
      </w:r>
      <w:r w:rsidRPr="00BA43BF">
        <w:rPr>
          <w:rFonts w:cs="Arial"/>
          <w:spacing w:val="1"/>
          <w:sz w:val="22"/>
          <w:szCs w:val="22"/>
          <w:lang w:eastAsia="en-AU"/>
        </w:rPr>
        <w:t xml:space="preserve"> </w:t>
      </w:r>
      <w:r w:rsidRPr="00BA43BF">
        <w:rPr>
          <w:rFonts w:cs="Arial"/>
          <w:spacing w:val="-4"/>
          <w:sz w:val="22"/>
          <w:szCs w:val="22"/>
          <w:lang w:eastAsia="en-AU"/>
        </w:rPr>
        <w:t>m</w:t>
      </w:r>
      <w:r w:rsidRPr="00BA43BF">
        <w:rPr>
          <w:rFonts w:cs="Arial"/>
          <w:sz w:val="22"/>
          <w:szCs w:val="22"/>
          <w:lang w:eastAsia="en-AU"/>
        </w:rPr>
        <w:t>edic</w:t>
      </w:r>
      <w:r w:rsidRPr="00BA43BF">
        <w:rPr>
          <w:rFonts w:cs="Arial"/>
          <w:spacing w:val="-1"/>
          <w:sz w:val="22"/>
          <w:szCs w:val="22"/>
          <w:lang w:eastAsia="en-AU"/>
        </w:rPr>
        <w:t>i</w:t>
      </w:r>
      <w:r w:rsidRPr="00BA43BF">
        <w:rPr>
          <w:rFonts w:cs="Arial"/>
          <w:sz w:val="22"/>
          <w:szCs w:val="22"/>
          <w:lang w:eastAsia="en-AU"/>
        </w:rPr>
        <w:t>nal</w:t>
      </w:r>
      <w:r w:rsidRPr="00BA43BF">
        <w:rPr>
          <w:rFonts w:cs="Arial"/>
          <w:spacing w:val="1"/>
          <w:sz w:val="22"/>
          <w:szCs w:val="22"/>
          <w:lang w:eastAsia="en-AU"/>
        </w:rPr>
        <w:t xml:space="preserve"> </w:t>
      </w:r>
      <w:r w:rsidRPr="00BA43BF">
        <w:rPr>
          <w:rFonts w:cs="Arial"/>
          <w:spacing w:val="-2"/>
          <w:sz w:val="22"/>
          <w:szCs w:val="22"/>
          <w:lang w:eastAsia="en-AU"/>
        </w:rPr>
        <w:t>p</w:t>
      </w:r>
      <w:r w:rsidRPr="00BA43BF">
        <w:rPr>
          <w:rFonts w:cs="Arial"/>
          <w:spacing w:val="1"/>
          <w:sz w:val="22"/>
          <w:szCs w:val="22"/>
          <w:lang w:eastAsia="en-AU"/>
        </w:rPr>
        <w:t>r</w:t>
      </w:r>
      <w:r w:rsidRPr="00BA43BF">
        <w:rPr>
          <w:rFonts w:cs="Arial"/>
          <w:sz w:val="22"/>
          <w:szCs w:val="22"/>
          <w:lang w:eastAsia="en-AU"/>
        </w:rPr>
        <w:t>od</w:t>
      </w:r>
      <w:r w:rsidRPr="00BA43BF">
        <w:rPr>
          <w:rFonts w:cs="Arial"/>
          <w:spacing w:val="-2"/>
          <w:sz w:val="22"/>
          <w:szCs w:val="22"/>
          <w:lang w:eastAsia="en-AU"/>
        </w:rPr>
        <w:t>u</w:t>
      </w:r>
      <w:r w:rsidRPr="00BA43BF">
        <w:rPr>
          <w:rFonts w:cs="Arial"/>
          <w:sz w:val="22"/>
          <w:szCs w:val="22"/>
          <w:lang w:eastAsia="en-AU"/>
        </w:rPr>
        <w:t>cts</w:t>
      </w:r>
      <w:r w:rsidRPr="00BA43BF">
        <w:rPr>
          <w:rFonts w:cs="Arial"/>
          <w:spacing w:val="-2"/>
          <w:sz w:val="22"/>
          <w:szCs w:val="22"/>
          <w:lang w:eastAsia="en-AU"/>
        </w:rPr>
        <w:t xml:space="preserve"> </w:t>
      </w:r>
      <w:r w:rsidRPr="00BA43BF">
        <w:rPr>
          <w:rFonts w:cs="Arial"/>
          <w:sz w:val="22"/>
          <w:szCs w:val="22"/>
          <w:lang w:eastAsia="en-AU"/>
        </w:rPr>
        <w:t>(e.</w:t>
      </w:r>
      <w:r w:rsidRPr="00BA43BF">
        <w:rPr>
          <w:rFonts w:cs="Arial"/>
          <w:spacing w:val="-2"/>
          <w:sz w:val="22"/>
          <w:szCs w:val="22"/>
          <w:lang w:eastAsia="en-AU"/>
        </w:rPr>
        <w:t>g</w:t>
      </w:r>
      <w:r w:rsidRPr="00BA43BF">
        <w:rPr>
          <w:rFonts w:cs="Arial"/>
          <w:sz w:val="22"/>
          <w:szCs w:val="22"/>
          <w:lang w:eastAsia="en-AU"/>
        </w:rPr>
        <w:t>.</w:t>
      </w:r>
      <w:r w:rsidRPr="00BA43BF">
        <w:rPr>
          <w:rFonts w:cs="Arial"/>
          <w:spacing w:val="1"/>
          <w:sz w:val="22"/>
          <w:szCs w:val="22"/>
          <w:lang w:eastAsia="en-AU"/>
        </w:rPr>
        <w:t xml:space="preserve"> </w:t>
      </w:r>
      <w:r w:rsidRPr="00BA43BF">
        <w:rPr>
          <w:rFonts w:cs="Arial"/>
          <w:sz w:val="22"/>
          <w:szCs w:val="22"/>
          <w:lang w:eastAsia="en-AU"/>
        </w:rPr>
        <w:t>a</w:t>
      </w:r>
      <w:r w:rsidRPr="00BA43BF">
        <w:rPr>
          <w:rFonts w:cs="Arial"/>
          <w:spacing w:val="-2"/>
          <w:sz w:val="22"/>
          <w:szCs w:val="22"/>
          <w:lang w:eastAsia="en-AU"/>
        </w:rPr>
        <w:t>n</w:t>
      </w:r>
      <w:r w:rsidRPr="00BA43BF">
        <w:rPr>
          <w:rFonts w:cs="Arial"/>
          <w:sz w:val="22"/>
          <w:szCs w:val="22"/>
          <w:lang w:eastAsia="en-AU"/>
        </w:rPr>
        <w:t>tie</w:t>
      </w:r>
      <w:r w:rsidRPr="00BA43BF">
        <w:rPr>
          <w:rFonts w:cs="Arial"/>
          <w:spacing w:val="-4"/>
          <w:sz w:val="22"/>
          <w:szCs w:val="22"/>
          <w:lang w:eastAsia="en-AU"/>
        </w:rPr>
        <w:t>m</w:t>
      </w:r>
      <w:r w:rsidRPr="00BA43BF">
        <w:rPr>
          <w:rFonts w:cs="Arial"/>
          <w:sz w:val="22"/>
          <w:szCs w:val="22"/>
          <w:lang w:eastAsia="en-AU"/>
        </w:rPr>
        <w:t>e</w:t>
      </w:r>
      <w:r w:rsidRPr="00BA43BF">
        <w:rPr>
          <w:rFonts w:cs="Arial"/>
          <w:spacing w:val="-1"/>
          <w:sz w:val="22"/>
          <w:szCs w:val="22"/>
          <w:lang w:eastAsia="en-AU"/>
        </w:rPr>
        <w:t>ti</w:t>
      </w:r>
      <w:r w:rsidRPr="00BA43BF">
        <w:rPr>
          <w:rFonts w:cs="Arial"/>
          <w:sz w:val="22"/>
          <w:szCs w:val="22"/>
          <w:lang w:eastAsia="en-AU"/>
        </w:rPr>
        <w:t>c</w:t>
      </w:r>
      <w:r w:rsidRPr="00BA43BF">
        <w:rPr>
          <w:rFonts w:cs="Arial"/>
          <w:spacing w:val="1"/>
          <w:sz w:val="22"/>
          <w:szCs w:val="22"/>
          <w:lang w:eastAsia="en-AU"/>
        </w:rPr>
        <w:t xml:space="preserve"> </w:t>
      </w:r>
      <w:r w:rsidRPr="00BA43BF">
        <w:rPr>
          <w:rFonts w:cs="Arial"/>
          <w:sz w:val="22"/>
          <w:szCs w:val="22"/>
          <w:lang w:eastAsia="en-AU"/>
        </w:rPr>
        <w:t>th</w:t>
      </w:r>
      <w:r w:rsidRPr="00BA43BF">
        <w:rPr>
          <w:rFonts w:cs="Arial"/>
          <w:spacing w:val="-2"/>
          <w:sz w:val="22"/>
          <w:szCs w:val="22"/>
          <w:lang w:eastAsia="en-AU"/>
        </w:rPr>
        <w:t>e</w:t>
      </w:r>
      <w:r w:rsidRPr="00BA43BF">
        <w:rPr>
          <w:rFonts w:cs="Arial"/>
          <w:spacing w:val="1"/>
          <w:sz w:val="22"/>
          <w:szCs w:val="22"/>
          <w:lang w:eastAsia="en-AU"/>
        </w:rPr>
        <w:t>r</w:t>
      </w:r>
      <w:r w:rsidRPr="00BA43BF">
        <w:rPr>
          <w:rFonts w:cs="Arial"/>
          <w:sz w:val="22"/>
          <w:szCs w:val="22"/>
          <w:lang w:eastAsia="en-AU"/>
        </w:rPr>
        <w:t>ap</w:t>
      </w:r>
      <w:r w:rsidRPr="00BA43BF">
        <w:rPr>
          <w:rFonts w:cs="Arial"/>
          <w:spacing w:val="-2"/>
          <w:sz w:val="22"/>
          <w:szCs w:val="22"/>
          <w:lang w:eastAsia="en-AU"/>
        </w:rPr>
        <w:t>y</w:t>
      </w:r>
      <w:r w:rsidRPr="00BA43BF">
        <w:rPr>
          <w:rFonts w:cs="Arial"/>
          <w:spacing w:val="1"/>
          <w:sz w:val="22"/>
          <w:szCs w:val="22"/>
          <w:lang w:eastAsia="en-AU"/>
        </w:rPr>
        <w:t>)</w:t>
      </w:r>
      <w:r w:rsidR="00444DF7">
        <w:rPr>
          <w:rFonts w:cs="Arial"/>
          <w:spacing w:val="1"/>
          <w:sz w:val="22"/>
          <w:szCs w:val="22"/>
          <w:lang w:eastAsia="en-AU"/>
        </w:rPr>
        <w:t xml:space="preserve"> may also be considered</w:t>
      </w:r>
      <w:r w:rsidRPr="00BA43BF">
        <w:rPr>
          <w:rFonts w:cs="Arial"/>
          <w:sz w:val="22"/>
          <w:szCs w:val="22"/>
          <w:lang w:eastAsia="en-AU"/>
        </w:rPr>
        <w:t>.</w:t>
      </w:r>
      <w:r w:rsidRPr="00BA43BF">
        <w:rPr>
          <w:rFonts w:cs="Arial"/>
          <w:spacing w:val="1"/>
          <w:sz w:val="22"/>
          <w:szCs w:val="22"/>
          <w:lang w:eastAsia="en-AU"/>
        </w:rPr>
        <w:t xml:space="preserve"> </w:t>
      </w:r>
      <w:r w:rsidRPr="00BA43BF">
        <w:rPr>
          <w:rFonts w:cs="Arial"/>
          <w:sz w:val="22"/>
          <w:szCs w:val="22"/>
          <w:lang w:eastAsia="en-AU"/>
        </w:rPr>
        <w:t>A</w:t>
      </w:r>
      <w:r w:rsidRPr="00BA43BF">
        <w:rPr>
          <w:rFonts w:cs="Arial"/>
          <w:spacing w:val="-2"/>
          <w:sz w:val="22"/>
          <w:szCs w:val="22"/>
          <w:lang w:eastAsia="en-AU"/>
        </w:rPr>
        <w:t>n</w:t>
      </w:r>
      <w:r w:rsidRPr="00BA43BF">
        <w:rPr>
          <w:rFonts w:cs="Arial"/>
          <w:sz w:val="22"/>
          <w:szCs w:val="22"/>
          <w:lang w:eastAsia="en-AU"/>
        </w:rPr>
        <w:t>tie</w:t>
      </w:r>
      <w:r w:rsidRPr="00BA43BF">
        <w:rPr>
          <w:rFonts w:cs="Arial"/>
          <w:spacing w:val="-4"/>
          <w:sz w:val="22"/>
          <w:szCs w:val="22"/>
          <w:lang w:eastAsia="en-AU"/>
        </w:rPr>
        <w:t>m</w:t>
      </w:r>
      <w:r w:rsidRPr="00BA43BF">
        <w:rPr>
          <w:rFonts w:cs="Arial"/>
          <w:sz w:val="22"/>
          <w:szCs w:val="22"/>
          <w:lang w:eastAsia="en-AU"/>
        </w:rPr>
        <w:t>e</w:t>
      </w:r>
      <w:r w:rsidRPr="00BA43BF">
        <w:rPr>
          <w:rFonts w:cs="Arial"/>
          <w:spacing w:val="-1"/>
          <w:sz w:val="22"/>
          <w:szCs w:val="22"/>
          <w:lang w:eastAsia="en-AU"/>
        </w:rPr>
        <w:t>t</w:t>
      </w:r>
      <w:r w:rsidRPr="00BA43BF">
        <w:rPr>
          <w:rFonts w:cs="Arial"/>
          <w:spacing w:val="1"/>
          <w:sz w:val="22"/>
          <w:szCs w:val="22"/>
          <w:lang w:eastAsia="en-AU"/>
        </w:rPr>
        <w:t>i</w:t>
      </w:r>
      <w:r w:rsidRPr="00BA43BF">
        <w:rPr>
          <w:rFonts w:cs="Arial"/>
          <w:sz w:val="22"/>
          <w:szCs w:val="22"/>
          <w:lang w:eastAsia="en-AU"/>
        </w:rPr>
        <w:t>c</w:t>
      </w:r>
      <w:r w:rsidRPr="00BA43BF">
        <w:rPr>
          <w:rFonts w:cs="Arial"/>
          <w:spacing w:val="1"/>
          <w:sz w:val="22"/>
          <w:szCs w:val="22"/>
          <w:lang w:eastAsia="en-AU"/>
        </w:rPr>
        <w:t xml:space="preserve"> </w:t>
      </w:r>
      <w:r w:rsidRPr="00BA43BF">
        <w:rPr>
          <w:rFonts w:cs="Arial"/>
          <w:spacing w:val="-2"/>
          <w:sz w:val="22"/>
          <w:szCs w:val="22"/>
          <w:lang w:eastAsia="en-AU"/>
        </w:rPr>
        <w:t>p</w:t>
      </w:r>
      <w:r w:rsidRPr="00BA43BF">
        <w:rPr>
          <w:rFonts w:cs="Arial"/>
          <w:spacing w:val="1"/>
          <w:sz w:val="22"/>
          <w:szCs w:val="22"/>
          <w:lang w:eastAsia="en-AU"/>
        </w:rPr>
        <w:t>r</w:t>
      </w:r>
      <w:r w:rsidRPr="00BA43BF">
        <w:rPr>
          <w:rFonts w:cs="Arial"/>
          <w:sz w:val="22"/>
          <w:szCs w:val="22"/>
          <w:lang w:eastAsia="en-AU"/>
        </w:rPr>
        <w:t>o</w:t>
      </w:r>
      <w:r w:rsidRPr="00BA43BF">
        <w:rPr>
          <w:rFonts w:cs="Arial"/>
          <w:spacing w:val="-2"/>
          <w:sz w:val="22"/>
          <w:szCs w:val="22"/>
          <w:lang w:eastAsia="en-AU"/>
        </w:rPr>
        <w:t>p</w:t>
      </w:r>
      <w:r w:rsidRPr="00BA43BF">
        <w:rPr>
          <w:rFonts w:cs="Arial"/>
          <w:sz w:val="22"/>
          <w:szCs w:val="22"/>
          <w:lang w:eastAsia="en-AU"/>
        </w:rPr>
        <w:t>h</w:t>
      </w:r>
      <w:r w:rsidRPr="00BA43BF">
        <w:rPr>
          <w:rFonts w:cs="Arial"/>
          <w:spacing w:val="-2"/>
          <w:sz w:val="22"/>
          <w:szCs w:val="22"/>
          <w:lang w:eastAsia="en-AU"/>
        </w:rPr>
        <w:t>y</w:t>
      </w:r>
      <w:r w:rsidRPr="00BA43BF">
        <w:rPr>
          <w:rFonts w:cs="Arial"/>
          <w:sz w:val="22"/>
          <w:szCs w:val="22"/>
          <w:lang w:eastAsia="en-AU"/>
        </w:rPr>
        <w:t>laxis</w:t>
      </w:r>
      <w:r w:rsidRPr="00BA43BF">
        <w:rPr>
          <w:rFonts w:cs="Arial"/>
          <w:spacing w:val="-2"/>
          <w:sz w:val="22"/>
          <w:szCs w:val="22"/>
          <w:lang w:eastAsia="en-AU"/>
        </w:rPr>
        <w:t xml:space="preserve"> </w:t>
      </w:r>
      <w:r w:rsidRPr="00BA43BF">
        <w:rPr>
          <w:rFonts w:cs="Arial"/>
          <w:sz w:val="22"/>
          <w:szCs w:val="22"/>
          <w:lang w:eastAsia="en-AU"/>
        </w:rPr>
        <w:t>is</w:t>
      </w:r>
      <w:r w:rsidRPr="00BA43BF">
        <w:rPr>
          <w:rFonts w:cs="Arial"/>
          <w:spacing w:val="1"/>
          <w:sz w:val="22"/>
          <w:szCs w:val="22"/>
          <w:lang w:eastAsia="en-AU"/>
        </w:rPr>
        <w:t xml:space="preserve"> </w:t>
      </w:r>
      <w:r w:rsidRPr="00BA43BF">
        <w:rPr>
          <w:rFonts w:cs="Arial"/>
          <w:spacing w:val="-2"/>
          <w:sz w:val="22"/>
          <w:szCs w:val="22"/>
          <w:lang w:eastAsia="en-AU"/>
        </w:rPr>
        <w:t>n</w:t>
      </w:r>
      <w:r w:rsidRPr="00BA43BF">
        <w:rPr>
          <w:rFonts w:cs="Arial"/>
          <w:sz w:val="22"/>
          <w:szCs w:val="22"/>
          <w:lang w:eastAsia="en-AU"/>
        </w:rPr>
        <w:t>ot</w:t>
      </w:r>
      <w:r>
        <w:rPr>
          <w:rFonts w:cs="Arial"/>
          <w:sz w:val="22"/>
          <w:szCs w:val="22"/>
          <w:lang w:eastAsia="en-AU"/>
        </w:rPr>
        <w:t xml:space="preserve"> </w:t>
      </w:r>
      <w:r w:rsidRPr="00BA43BF">
        <w:rPr>
          <w:rFonts w:cs="Arial"/>
          <w:sz w:val="22"/>
          <w:szCs w:val="22"/>
          <w:lang w:eastAsia="en-AU"/>
        </w:rPr>
        <w:t>req</w:t>
      </w:r>
      <w:r w:rsidRPr="00BA43BF">
        <w:rPr>
          <w:rFonts w:cs="Arial"/>
          <w:spacing w:val="-2"/>
          <w:sz w:val="22"/>
          <w:szCs w:val="22"/>
          <w:lang w:eastAsia="en-AU"/>
        </w:rPr>
        <w:t>u</w:t>
      </w:r>
      <w:r w:rsidRPr="00BA43BF">
        <w:rPr>
          <w:rFonts w:cs="Arial"/>
          <w:sz w:val="22"/>
          <w:szCs w:val="22"/>
          <w:lang w:eastAsia="en-AU"/>
        </w:rPr>
        <w:t>ir</w:t>
      </w:r>
      <w:r w:rsidRPr="00BA43BF">
        <w:rPr>
          <w:rFonts w:cs="Arial"/>
          <w:spacing w:val="-2"/>
          <w:sz w:val="22"/>
          <w:szCs w:val="22"/>
          <w:lang w:eastAsia="en-AU"/>
        </w:rPr>
        <w:t>e</w:t>
      </w:r>
      <w:r w:rsidRPr="00BA43BF">
        <w:rPr>
          <w:rFonts w:cs="Arial"/>
          <w:sz w:val="22"/>
          <w:szCs w:val="22"/>
          <w:lang w:eastAsia="en-AU"/>
        </w:rPr>
        <w:t>d.</w:t>
      </w:r>
    </w:p>
    <w:p w14:paraId="457E92A5" w14:textId="77777777" w:rsidR="001F493D" w:rsidRDefault="001F493D" w:rsidP="00C467AE">
      <w:pPr>
        <w:keepNext/>
        <w:keepLines/>
        <w:autoSpaceDE w:val="0"/>
        <w:autoSpaceDN w:val="0"/>
        <w:adjustRightInd w:val="0"/>
        <w:spacing w:after="0"/>
        <w:rPr>
          <w:b/>
          <w:sz w:val="22"/>
          <w:szCs w:val="22"/>
          <w:lang w:val="en-US"/>
        </w:rPr>
      </w:pPr>
    </w:p>
    <w:p w14:paraId="23CC91CC" w14:textId="77777777" w:rsidR="001F493D" w:rsidRDefault="001F493D" w:rsidP="00C467AE">
      <w:pPr>
        <w:keepNext/>
        <w:keepLines/>
        <w:spacing w:after="0"/>
        <w:rPr>
          <w:color w:val="000000"/>
          <w:sz w:val="22"/>
          <w:szCs w:val="22"/>
        </w:rPr>
      </w:pPr>
      <w:r>
        <w:rPr>
          <w:color w:val="000000"/>
          <w:sz w:val="22"/>
          <w:szCs w:val="22"/>
        </w:rPr>
        <w:t>The recommended dose reduction is to 200 mg twice daily (equivalent to a total daily dose of 400 mg). </w:t>
      </w:r>
    </w:p>
    <w:p w14:paraId="7A01F37B" w14:textId="77777777" w:rsidR="001F493D" w:rsidRDefault="001F493D">
      <w:pPr>
        <w:keepNext/>
        <w:keepLines/>
        <w:spacing w:after="0"/>
        <w:rPr>
          <w:color w:val="000000"/>
          <w:sz w:val="22"/>
          <w:szCs w:val="22"/>
        </w:rPr>
      </w:pPr>
    </w:p>
    <w:p w14:paraId="37E6B49D" w14:textId="77777777" w:rsidR="001F493D" w:rsidRDefault="001F493D">
      <w:pPr>
        <w:keepNext/>
        <w:keepLines/>
        <w:spacing w:after="0"/>
        <w:rPr>
          <w:sz w:val="22"/>
          <w:szCs w:val="22"/>
          <w:lang w:val="en-US"/>
        </w:rPr>
      </w:pPr>
      <w:r>
        <w:rPr>
          <w:color w:val="000000"/>
          <w:sz w:val="22"/>
          <w:szCs w:val="22"/>
        </w:rPr>
        <w:t>If a further final dose reduction is required, then reduction to 100 mg twice daily (equivalent to a total daily dose of 200 mg) could be considered.</w:t>
      </w:r>
    </w:p>
    <w:p w14:paraId="28ABB97D" w14:textId="77777777" w:rsidR="001F493D" w:rsidRDefault="001F493D">
      <w:pPr>
        <w:keepNext/>
        <w:keepLines/>
        <w:autoSpaceDE w:val="0"/>
        <w:autoSpaceDN w:val="0"/>
        <w:adjustRightInd w:val="0"/>
        <w:spacing w:after="0"/>
        <w:rPr>
          <w:sz w:val="22"/>
          <w:szCs w:val="22"/>
          <w:lang w:val="en-US"/>
        </w:rPr>
      </w:pPr>
    </w:p>
    <w:p w14:paraId="5EF7AAB4" w14:textId="77777777" w:rsidR="001F493D" w:rsidRDefault="001F493D">
      <w:pPr>
        <w:spacing w:after="120"/>
        <w:rPr>
          <w:b/>
          <w:bCs/>
          <w:sz w:val="22"/>
          <w:szCs w:val="22"/>
          <w:lang w:val="en-US"/>
        </w:rPr>
      </w:pPr>
      <w:r>
        <w:rPr>
          <w:b/>
          <w:bCs/>
          <w:sz w:val="22"/>
          <w:szCs w:val="22"/>
          <w:lang w:val="en-US"/>
        </w:rPr>
        <w:t>Special patient populations</w:t>
      </w:r>
    </w:p>
    <w:p w14:paraId="5E5CA15E" w14:textId="77777777" w:rsidR="001F493D" w:rsidRDefault="001F493D">
      <w:pPr>
        <w:spacing w:after="120"/>
        <w:rPr>
          <w:b/>
          <w:bCs/>
          <w:i/>
          <w:sz w:val="22"/>
          <w:szCs w:val="22"/>
          <w:lang w:val="en-US"/>
        </w:rPr>
      </w:pPr>
      <w:r>
        <w:rPr>
          <w:b/>
          <w:bCs/>
          <w:i/>
          <w:sz w:val="22"/>
          <w:szCs w:val="22"/>
          <w:lang w:val="en-US"/>
        </w:rPr>
        <w:t>Children or adolescents</w:t>
      </w:r>
    </w:p>
    <w:p w14:paraId="22A77528" w14:textId="42AEB089" w:rsidR="001F493D" w:rsidRDefault="001F493D">
      <w:pPr>
        <w:rPr>
          <w:sz w:val="22"/>
          <w:szCs w:val="22"/>
          <w:lang w:val="en-US"/>
        </w:rPr>
      </w:pPr>
      <w:r>
        <w:rPr>
          <w:sz w:val="22"/>
          <w:szCs w:val="22"/>
          <w:lang w:val="en-US"/>
        </w:rPr>
        <w:t xml:space="preserve">LYNPARZA is not indicated for use in paediatric patients, as safety and efficacy of LYNPARZA in children and adolescents have not been established. </w:t>
      </w:r>
    </w:p>
    <w:p w14:paraId="7BA634E4" w14:textId="77777777" w:rsidR="00465AE1" w:rsidRDefault="00465AE1" w:rsidP="00465AE1">
      <w:pPr>
        <w:pStyle w:val="A-Heading2"/>
        <w:rPr>
          <w:rFonts w:cs="Arial"/>
          <w:sz w:val="22"/>
          <w:szCs w:val="22"/>
          <w:lang w:val="en-AU"/>
        </w:rPr>
      </w:pPr>
      <w:r>
        <w:rPr>
          <w:rFonts w:cs="Arial"/>
          <w:sz w:val="22"/>
          <w:szCs w:val="22"/>
          <w:lang w:val="en-AU"/>
        </w:rPr>
        <w:t>Use in men</w:t>
      </w:r>
    </w:p>
    <w:p w14:paraId="0C0A3014" w14:textId="53DBD1D7" w:rsidR="00465AE1" w:rsidRDefault="00465AE1" w:rsidP="00465AE1">
      <w:pPr>
        <w:rPr>
          <w:sz w:val="22"/>
          <w:szCs w:val="22"/>
          <w:lang w:val="en-US"/>
        </w:rPr>
      </w:pPr>
      <w:r>
        <w:rPr>
          <w:rFonts w:cs="Arial"/>
          <w:sz w:val="22"/>
          <w:szCs w:val="22"/>
          <w:lang w:val="en-US"/>
        </w:rPr>
        <w:t>LYNPARZA is not indicated for use in men, as safety and efficacy of LYNPARZA in men have not been established.</w:t>
      </w:r>
    </w:p>
    <w:p w14:paraId="0D46497D" w14:textId="77777777" w:rsidR="001F493D" w:rsidRDefault="001F493D">
      <w:pPr>
        <w:spacing w:after="120"/>
        <w:rPr>
          <w:b/>
          <w:bCs/>
          <w:i/>
          <w:sz w:val="22"/>
          <w:szCs w:val="22"/>
          <w:lang w:val="en-US"/>
        </w:rPr>
      </w:pPr>
      <w:r>
        <w:rPr>
          <w:b/>
          <w:bCs/>
          <w:i/>
          <w:sz w:val="22"/>
          <w:szCs w:val="22"/>
          <w:lang w:val="en-US"/>
        </w:rPr>
        <w:t>Elderly (&gt;65 years)</w:t>
      </w:r>
    </w:p>
    <w:p w14:paraId="5C7DFE99" w14:textId="77777777" w:rsidR="001F493D" w:rsidRDefault="001F493D">
      <w:pPr>
        <w:rPr>
          <w:b/>
          <w:bCs/>
          <w:sz w:val="22"/>
          <w:szCs w:val="22"/>
          <w:lang w:val="en-US"/>
        </w:rPr>
      </w:pPr>
      <w:r>
        <w:rPr>
          <w:sz w:val="22"/>
          <w:szCs w:val="22"/>
          <w:lang w:val="en-US"/>
        </w:rPr>
        <w:t xml:space="preserve">No adjustment in starting dose is required for elderly patients. There is limited clinical data in patients aged 75 or over.  </w:t>
      </w:r>
    </w:p>
    <w:p w14:paraId="689D2AA4" w14:textId="77777777" w:rsidR="001F493D" w:rsidRDefault="001F493D">
      <w:pPr>
        <w:spacing w:after="120"/>
        <w:rPr>
          <w:b/>
          <w:bCs/>
          <w:i/>
          <w:sz w:val="22"/>
          <w:szCs w:val="22"/>
          <w:lang w:val="en-US"/>
        </w:rPr>
      </w:pPr>
      <w:r>
        <w:rPr>
          <w:b/>
          <w:bCs/>
          <w:i/>
          <w:sz w:val="22"/>
          <w:szCs w:val="22"/>
          <w:lang w:val="en-US"/>
        </w:rPr>
        <w:t>Renal impairment</w:t>
      </w:r>
    </w:p>
    <w:p w14:paraId="7079C777" w14:textId="77777777" w:rsidR="001F493D" w:rsidRDefault="001F493D">
      <w:pPr>
        <w:rPr>
          <w:rFonts w:cs="Verdana"/>
          <w:iCs/>
          <w:sz w:val="22"/>
          <w:szCs w:val="22"/>
          <w:lang w:val="en-US"/>
        </w:rPr>
      </w:pPr>
      <w:r>
        <w:rPr>
          <w:rFonts w:cs="Verdana"/>
          <w:iCs/>
          <w:sz w:val="22"/>
          <w:szCs w:val="22"/>
          <w:lang w:val="en-US"/>
        </w:rPr>
        <w:t xml:space="preserve">The </w:t>
      </w:r>
      <w:r>
        <w:rPr>
          <w:sz w:val="22"/>
          <w:szCs w:val="22"/>
        </w:rPr>
        <w:t xml:space="preserve">effect of renal impairment on exposure to </w:t>
      </w:r>
      <w:r>
        <w:rPr>
          <w:sz w:val="22"/>
          <w:szCs w:val="22"/>
          <w:lang w:val="en-US"/>
        </w:rPr>
        <w:t xml:space="preserve">LYNPARZA </w:t>
      </w:r>
      <w:r>
        <w:rPr>
          <w:sz w:val="22"/>
          <w:szCs w:val="22"/>
        </w:rPr>
        <w:t xml:space="preserve">has not been studied. </w:t>
      </w:r>
      <w:r>
        <w:rPr>
          <w:sz w:val="22"/>
          <w:szCs w:val="22"/>
          <w:lang w:val="en-US"/>
        </w:rPr>
        <w:t xml:space="preserve">LYNPARZA </w:t>
      </w:r>
      <w:r>
        <w:rPr>
          <w:rFonts w:cs="Verdana"/>
          <w:iCs/>
          <w:sz w:val="22"/>
          <w:szCs w:val="22"/>
          <w:lang w:val="en-US"/>
        </w:rPr>
        <w:t xml:space="preserve">can be administered in patients with mild renal impairment (creatinine clearance &gt;50 ml/min). </w:t>
      </w:r>
      <w:r>
        <w:rPr>
          <w:sz w:val="22"/>
          <w:szCs w:val="22"/>
          <w:lang w:val="en-US"/>
        </w:rPr>
        <w:t xml:space="preserve"> LYNPARZA</w:t>
      </w:r>
      <w:r>
        <w:rPr>
          <w:rFonts w:cs="Verdana"/>
          <w:iCs/>
          <w:sz w:val="22"/>
          <w:szCs w:val="22"/>
          <w:lang w:val="en-US"/>
        </w:rPr>
        <w:t xml:space="preserve"> is not recommended for use in patients with moderate renal impairment (creatinine clearance &lt;50 ml/min) or severe renal impairment (creatinine clearance &lt;30 ml/min) since there is limited data in such patients and safety and efficacy have not been established. </w:t>
      </w:r>
    </w:p>
    <w:p w14:paraId="0AE62408" w14:textId="77777777" w:rsidR="001F493D" w:rsidRDefault="001F493D">
      <w:pPr>
        <w:spacing w:after="120"/>
        <w:rPr>
          <w:b/>
          <w:bCs/>
          <w:i/>
          <w:sz w:val="22"/>
          <w:szCs w:val="22"/>
          <w:lang w:val="en-US"/>
        </w:rPr>
      </w:pPr>
      <w:r>
        <w:rPr>
          <w:b/>
          <w:bCs/>
          <w:i/>
          <w:sz w:val="22"/>
          <w:szCs w:val="22"/>
          <w:lang w:val="en-US"/>
        </w:rPr>
        <w:t>Hepatic impairment</w:t>
      </w:r>
    </w:p>
    <w:p w14:paraId="3A010DDD" w14:textId="77777777" w:rsidR="001F493D" w:rsidRDefault="001F493D">
      <w:pPr>
        <w:rPr>
          <w:sz w:val="22"/>
          <w:szCs w:val="22"/>
        </w:rPr>
      </w:pPr>
      <w:r>
        <w:rPr>
          <w:sz w:val="22"/>
          <w:szCs w:val="22"/>
        </w:rPr>
        <w:lastRenderedPageBreak/>
        <w:t xml:space="preserve">The effect of hepatic impairment on exposure to </w:t>
      </w:r>
      <w:r>
        <w:rPr>
          <w:sz w:val="22"/>
          <w:szCs w:val="22"/>
          <w:lang w:val="en-US"/>
        </w:rPr>
        <w:t xml:space="preserve">LYNPARZA </w:t>
      </w:r>
      <w:r>
        <w:rPr>
          <w:sz w:val="22"/>
          <w:szCs w:val="22"/>
        </w:rPr>
        <w:t>has not been studied. T</w:t>
      </w:r>
      <w:proofErr w:type="spellStart"/>
      <w:r>
        <w:rPr>
          <w:sz w:val="22"/>
          <w:szCs w:val="22"/>
          <w:lang w:val="en-US"/>
        </w:rPr>
        <w:t>herefore</w:t>
      </w:r>
      <w:proofErr w:type="spellEnd"/>
      <w:r>
        <w:rPr>
          <w:sz w:val="22"/>
          <w:szCs w:val="22"/>
          <w:lang w:val="en-US"/>
        </w:rPr>
        <w:t xml:space="preserve">, LYNPARZA is </w:t>
      </w:r>
      <w:r>
        <w:rPr>
          <w:sz w:val="22"/>
          <w:szCs w:val="22"/>
        </w:rPr>
        <w:t xml:space="preserve">not </w:t>
      </w:r>
      <w:r>
        <w:rPr>
          <w:rFonts w:cs="Verdana"/>
          <w:iCs/>
          <w:sz w:val="22"/>
          <w:szCs w:val="22"/>
          <w:lang w:val="en-US"/>
        </w:rPr>
        <w:t>recommended</w:t>
      </w:r>
      <w:r>
        <w:rPr>
          <w:sz w:val="22"/>
          <w:szCs w:val="22"/>
        </w:rPr>
        <w:t xml:space="preserve"> for use in patients with hepatic impairment </w:t>
      </w:r>
      <w:r>
        <w:rPr>
          <w:sz w:val="22"/>
          <w:szCs w:val="22"/>
          <w:lang w:val="en-US"/>
        </w:rPr>
        <w:t>(serum bilirubin greater than 1.5 times upper limit of normal),</w:t>
      </w:r>
      <w:r>
        <w:rPr>
          <w:sz w:val="22"/>
          <w:szCs w:val="22"/>
        </w:rPr>
        <w:t xml:space="preserve"> as safety and efficacy have not been established.</w:t>
      </w:r>
    </w:p>
    <w:p w14:paraId="557DB1A6" w14:textId="77777777" w:rsidR="001F493D" w:rsidRDefault="001F493D">
      <w:pPr>
        <w:pStyle w:val="A-Single"/>
        <w:keepNext/>
        <w:keepLines/>
        <w:rPr>
          <w:b/>
          <w:i/>
          <w:sz w:val="22"/>
          <w:szCs w:val="22"/>
          <w:lang w:val="en-US"/>
        </w:rPr>
      </w:pPr>
      <w:r>
        <w:rPr>
          <w:b/>
          <w:i/>
          <w:sz w:val="22"/>
          <w:szCs w:val="22"/>
          <w:lang w:val="en-US"/>
        </w:rPr>
        <w:t>Women of childbearing potential</w:t>
      </w:r>
    </w:p>
    <w:p w14:paraId="52150964" w14:textId="77777777" w:rsidR="001F493D" w:rsidRDefault="001F493D">
      <w:pPr>
        <w:rPr>
          <w:iCs/>
          <w:sz w:val="22"/>
          <w:szCs w:val="22"/>
          <w:lang w:val="en-US"/>
        </w:rPr>
      </w:pPr>
      <w:r>
        <w:rPr>
          <w:sz w:val="22"/>
          <w:szCs w:val="22"/>
        </w:rPr>
        <w:t>Women of child-bearing potential must use effective contraception during therapy and for 1 month after receiving the last dose of</w:t>
      </w:r>
      <w:r>
        <w:rPr>
          <w:sz w:val="22"/>
          <w:szCs w:val="22"/>
          <w:lang w:val="en-US"/>
        </w:rPr>
        <w:t xml:space="preserve"> LYNPARZA</w:t>
      </w:r>
      <w:r>
        <w:rPr>
          <w:sz w:val="22"/>
          <w:szCs w:val="22"/>
        </w:rPr>
        <w:t>.</w:t>
      </w:r>
      <w:r>
        <w:rPr>
          <w:iCs/>
          <w:sz w:val="22"/>
          <w:szCs w:val="22"/>
          <w:lang w:val="en-US"/>
        </w:rPr>
        <w:t xml:space="preserve">  Since it cannot be excluded that olaparib may reduce exposure to substrates of CYP3A through enzyme induction, the efficacy of hormonal contraceptives may be reduced if co-administered with LYNPARZA (see PRECAUTIONS).</w:t>
      </w:r>
    </w:p>
    <w:p w14:paraId="0C16243D" w14:textId="77777777" w:rsidR="002E1260" w:rsidRPr="004510CB" w:rsidRDefault="002E1260" w:rsidP="002E1260">
      <w:pPr>
        <w:autoSpaceDE w:val="0"/>
        <w:autoSpaceDN w:val="0"/>
        <w:adjustRightInd w:val="0"/>
        <w:spacing w:after="120"/>
        <w:rPr>
          <w:rFonts w:cs="Arial"/>
          <w:b/>
          <w:i/>
          <w:iCs/>
          <w:sz w:val="22"/>
          <w:szCs w:val="22"/>
          <w:lang w:eastAsia="en-AU"/>
        </w:rPr>
      </w:pPr>
      <w:r w:rsidRPr="004510CB">
        <w:rPr>
          <w:rFonts w:cs="Arial"/>
          <w:b/>
          <w:i/>
          <w:iCs/>
          <w:sz w:val="22"/>
          <w:szCs w:val="22"/>
          <w:lang w:eastAsia="en-AU"/>
        </w:rPr>
        <w:t>Non-Caucasian patients</w:t>
      </w:r>
    </w:p>
    <w:p w14:paraId="4878E2A5" w14:textId="77777777" w:rsidR="00593F3C" w:rsidRDefault="002E1260" w:rsidP="00593F3C">
      <w:pPr>
        <w:autoSpaceDE w:val="0"/>
        <w:autoSpaceDN w:val="0"/>
        <w:adjustRightInd w:val="0"/>
        <w:rPr>
          <w:rFonts w:cs="Arial"/>
          <w:sz w:val="22"/>
          <w:szCs w:val="22"/>
          <w:lang w:eastAsia="en-AU"/>
        </w:rPr>
      </w:pPr>
      <w:r w:rsidRPr="002E1260">
        <w:rPr>
          <w:rFonts w:cs="Arial"/>
          <w:sz w:val="22"/>
          <w:szCs w:val="22"/>
          <w:lang w:eastAsia="en-AU"/>
        </w:rPr>
        <w:t>There are limited clinical data available in non-Caucasian patients. However, no dose adjustment is</w:t>
      </w:r>
      <w:r>
        <w:rPr>
          <w:rFonts w:cs="Arial"/>
          <w:sz w:val="22"/>
          <w:szCs w:val="22"/>
          <w:lang w:eastAsia="en-AU"/>
        </w:rPr>
        <w:t xml:space="preserve"> </w:t>
      </w:r>
      <w:r w:rsidRPr="002E1260">
        <w:rPr>
          <w:rFonts w:cs="Arial"/>
          <w:sz w:val="22"/>
          <w:szCs w:val="22"/>
          <w:lang w:eastAsia="en-AU"/>
        </w:rPr>
        <w:t>required on the basis of ethnicity (see PHARMACOLOGY</w:t>
      </w:r>
      <w:r>
        <w:rPr>
          <w:rFonts w:cs="Arial"/>
          <w:sz w:val="22"/>
          <w:szCs w:val="22"/>
          <w:lang w:eastAsia="en-AU"/>
        </w:rPr>
        <w:t xml:space="preserve"> – Special populations</w:t>
      </w:r>
      <w:r w:rsidRPr="002E1260">
        <w:rPr>
          <w:rFonts w:cs="Arial"/>
          <w:sz w:val="22"/>
          <w:szCs w:val="22"/>
          <w:lang w:eastAsia="en-AU"/>
        </w:rPr>
        <w:t>).</w:t>
      </w:r>
    </w:p>
    <w:p w14:paraId="609BAD67" w14:textId="77777777" w:rsidR="00593F3C" w:rsidRPr="004510CB" w:rsidRDefault="00593F3C" w:rsidP="00593F3C">
      <w:pPr>
        <w:autoSpaceDE w:val="0"/>
        <w:autoSpaceDN w:val="0"/>
        <w:adjustRightInd w:val="0"/>
        <w:spacing w:after="120"/>
        <w:rPr>
          <w:rFonts w:cs="Arial"/>
          <w:b/>
          <w:i/>
          <w:iCs/>
          <w:sz w:val="22"/>
          <w:szCs w:val="22"/>
          <w:lang w:eastAsia="en-AU"/>
        </w:rPr>
      </w:pPr>
      <w:r w:rsidRPr="004510CB">
        <w:rPr>
          <w:rFonts w:cs="Arial"/>
          <w:b/>
          <w:i/>
          <w:iCs/>
          <w:sz w:val="22"/>
          <w:szCs w:val="22"/>
          <w:lang w:eastAsia="en-AU"/>
        </w:rPr>
        <w:t>Patients with performance status 2 to 4</w:t>
      </w:r>
    </w:p>
    <w:p w14:paraId="4F5843F9" w14:textId="77777777" w:rsidR="00593F3C" w:rsidRPr="00593F3C" w:rsidRDefault="00593F3C" w:rsidP="00593F3C">
      <w:pPr>
        <w:autoSpaceDE w:val="0"/>
        <w:autoSpaceDN w:val="0"/>
        <w:adjustRightInd w:val="0"/>
        <w:rPr>
          <w:rFonts w:cs="Arial"/>
          <w:sz w:val="22"/>
          <w:szCs w:val="22"/>
          <w:lang w:eastAsia="en-AU"/>
        </w:rPr>
      </w:pPr>
      <w:r w:rsidRPr="00593F3C">
        <w:rPr>
          <w:rFonts w:cs="Arial"/>
          <w:sz w:val="22"/>
          <w:szCs w:val="22"/>
          <w:lang w:eastAsia="en-AU"/>
        </w:rPr>
        <w:t>There are very limited clinical data available in patients with performance status 2 to 4.</w:t>
      </w:r>
    </w:p>
    <w:p w14:paraId="08349575" w14:textId="77777777" w:rsidR="001F493D" w:rsidRDefault="001F493D">
      <w:pPr>
        <w:pStyle w:val="A-Heading1"/>
        <w:rPr>
          <w:sz w:val="22"/>
          <w:lang w:val="en-AU"/>
        </w:rPr>
      </w:pPr>
      <w:r>
        <w:rPr>
          <w:sz w:val="22"/>
          <w:lang w:val="en-AU"/>
        </w:rPr>
        <w:t>OVERDOSAGE</w:t>
      </w:r>
    </w:p>
    <w:p w14:paraId="64564F7E" w14:textId="77777777" w:rsidR="001F493D" w:rsidRDefault="001F493D">
      <w:pPr>
        <w:rPr>
          <w:sz w:val="22"/>
          <w:szCs w:val="22"/>
        </w:rPr>
      </w:pPr>
      <w:r>
        <w:rPr>
          <w:sz w:val="22"/>
          <w:szCs w:val="22"/>
          <w:lang w:val="en-US"/>
        </w:rPr>
        <w:t>There is no specific treatment in the event of LYNPARZA overdose, and symptoms of overdose are not established. In the event of an overdose, physicians should follow general supportive measures and should treat symptomatically.</w:t>
      </w:r>
    </w:p>
    <w:p w14:paraId="5E347222" w14:textId="77777777" w:rsidR="001F493D" w:rsidRDefault="001F493D">
      <w:pPr>
        <w:rPr>
          <w:sz w:val="22"/>
          <w:szCs w:val="22"/>
        </w:rPr>
      </w:pPr>
      <w:r>
        <w:rPr>
          <w:sz w:val="22"/>
          <w:szCs w:val="22"/>
        </w:rPr>
        <w:t xml:space="preserve">Contact the Poisons Information Centre on 131126 (Australia) for advice on management. </w:t>
      </w:r>
    </w:p>
    <w:p w14:paraId="1D0B68A2" w14:textId="77777777" w:rsidR="001F493D" w:rsidRDefault="001F493D">
      <w:pPr>
        <w:pStyle w:val="A-Heading1"/>
        <w:rPr>
          <w:sz w:val="22"/>
          <w:lang w:val="en-AU"/>
        </w:rPr>
      </w:pPr>
      <w:r>
        <w:rPr>
          <w:sz w:val="22"/>
          <w:lang w:val="en-AU"/>
        </w:rPr>
        <w:t>PRESENTATION AND STORAGE CONDITIONS</w:t>
      </w:r>
    </w:p>
    <w:p w14:paraId="59B9C001" w14:textId="77777777" w:rsidR="001F493D" w:rsidRDefault="001F493D">
      <w:pPr>
        <w:rPr>
          <w:sz w:val="22"/>
          <w:szCs w:val="22"/>
          <w:lang w:val="en-US"/>
        </w:rPr>
      </w:pPr>
      <w:r>
        <w:rPr>
          <w:sz w:val="22"/>
          <w:szCs w:val="22"/>
        </w:rPr>
        <w:t>LYNPARZA 50 mg capsules are white and are marked with “OLAPARIB 50 mg” and the AstraZeneca logo printed in black ink.</w:t>
      </w:r>
    </w:p>
    <w:p w14:paraId="4607C632" w14:textId="77777777" w:rsidR="001F493D" w:rsidRDefault="001F493D">
      <w:pPr>
        <w:rPr>
          <w:sz w:val="22"/>
          <w:szCs w:val="22"/>
          <w:lang w:val="en-US"/>
        </w:rPr>
      </w:pPr>
      <w:r>
        <w:rPr>
          <w:sz w:val="22"/>
          <w:szCs w:val="22"/>
          <w:lang w:val="en-US"/>
        </w:rPr>
        <w:t xml:space="preserve">LYNPARZA is supplied in cartons containing four HDPE </w:t>
      </w:r>
      <w:r>
        <w:rPr>
          <w:sz w:val="22"/>
          <w:szCs w:val="22"/>
        </w:rPr>
        <w:t xml:space="preserve">plastic </w:t>
      </w:r>
      <w:r>
        <w:rPr>
          <w:sz w:val="22"/>
          <w:szCs w:val="22"/>
          <w:lang w:val="en-US"/>
        </w:rPr>
        <w:t xml:space="preserve">bottles. Each bottle contains 112 capsules.  </w:t>
      </w:r>
    </w:p>
    <w:p w14:paraId="334B5238" w14:textId="77777777" w:rsidR="001F493D" w:rsidRDefault="001F493D">
      <w:pPr>
        <w:pStyle w:val="A-Heading1"/>
        <w:rPr>
          <w:sz w:val="22"/>
          <w:lang w:val="en-AU"/>
        </w:rPr>
      </w:pPr>
      <w:r>
        <w:rPr>
          <w:sz w:val="22"/>
          <w:lang w:val="en-AU"/>
        </w:rPr>
        <w:t>NAME AND ADDRESS OF THE SPONSOR</w:t>
      </w:r>
    </w:p>
    <w:p w14:paraId="6B9DF0F4" w14:textId="77777777" w:rsidR="001F493D" w:rsidRDefault="001F493D">
      <w:pPr>
        <w:rPr>
          <w:sz w:val="22"/>
        </w:rPr>
      </w:pPr>
      <w:r>
        <w:rPr>
          <w:sz w:val="22"/>
        </w:rPr>
        <w:t>AstraZeneca Pty Ltd</w:t>
      </w:r>
      <w:r>
        <w:rPr>
          <w:sz w:val="22"/>
        </w:rPr>
        <w:br/>
        <w:t>ABN 54 009 682 311</w:t>
      </w:r>
      <w:r>
        <w:rPr>
          <w:sz w:val="22"/>
        </w:rPr>
        <w:br/>
        <w:t>Alma Road</w:t>
      </w:r>
      <w:r>
        <w:rPr>
          <w:sz w:val="22"/>
        </w:rPr>
        <w:br/>
        <w:t>NORTH RYDE NSW 2113</w:t>
      </w:r>
    </w:p>
    <w:p w14:paraId="2531ACD7" w14:textId="77777777" w:rsidR="001F493D" w:rsidRDefault="001F493D">
      <w:pPr>
        <w:pStyle w:val="A-Heading1"/>
        <w:rPr>
          <w:sz w:val="22"/>
          <w:lang w:val="en-AU"/>
        </w:rPr>
      </w:pPr>
      <w:r>
        <w:rPr>
          <w:sz w:val="22"/>
          <w:lang w:val="en-AU"/>
        </w:rPr>
        <w:lastRenderedPageBreak/>
        <w:t>POISON SCHEDULE OF THE MEDICINE</w:t>
      </w:r>
    </w:p>
    <w:p w14:paraId="7DC072AB" w14:textId="77777777" w:rsidR="001F493D" w:rsidRDefault="001F493D">
      <w:pPr>
        <w:rPr>
          <w:sz w:val="22"/>
        </w:rPr>
      </w:pPr>
      <w:r>
        <w:rPr>
          <w:sz w:val="22"/>
        </w:rPr>
        <w:t>Schedule 4 – Prescription Only Medicine</w:t>
      </w:r>
    </w:p>
    <w:p w14:paraId="5AFBFDA9" w14:textId="77777777" w:rsidR="001F493D" w:rsidRDefault="001F493D">
      <w:pPr>
        <w:pStyle w:val="A-Heading1"/>
        <w:rPr>
          <w:sz w:val="22"/>
          <w:lang w:val="en-AU"/>
        </w:rPr>
      </w:pPr>
      <w:r>
        <w:rPr>
          <w:sz w:val="22"/>
          <w:lang w:val="en-AU"/>
        </w:rPr>
        <w:t>DATE OF first inclusion in the australian register of therapeutic goods (THE ARTG)</w:t>
      </w:r>
    </w:p>
    <w:p w14:paraId="103F19D5" w14:textId="756F788D" w:rsidR="001F493D" w:rsidRDefault="004C09B4">
      <w:pPr>
        <w:rPr>
          <w:sz w:val="22"/>
        </w:rPr>
      </w:pPr>
      <w:r>
        <w:rPr>
          <w:sz w:val="22"/>
        </w:rPr>
        <w:t>7</w:t>
      </w:r>
      <w:r w:rsidRPr="004C09B4">
        <w:rPr>
          <w:sz w:val="22"/>
          <w:vertAlign w:val="superscript"/>
        </w:rPr>
        <w:t>th</w:t>
      </w:r>
      <w:r>
        <w:rPr>
          <w:sz w:val="22"/>
        </w:rPr>
        <w:t xml:space="preserve"> January 2016</w:t>
      </w:r>
    </w:p>
    <w:p w14:paraId="5FCEC742" w14:textId="77777777" w:rsidR="001F493D" w:rsidRDefault="001F493D">
      <w:pPr>
        <w:pStyle w:val="A-Heading1"/>
        <w:rPr>
          <w:sz w:val="22"/>
          <w:szCs w:val="22"/>
        </w:rPr>
      </w:pPr>
      <w:r>
        <w:rPr>
          <w:sz w:val="22"/>
          <w:szCs w:val="22"/>
        </w:rPr>
        <w:t>date of MOST RECENT amendment</w:t>
      </w:r>
    </w:p>
    <w:p w14:paraId="1ABF28BD" w14:textId="77777777" w:rsidR="001F493D" w:rsidRDefault="001F493D">
      <w:pPr>
        <w:rPr>
          <w:sz w:val="22"/>
          <w:szCs w:val="22"/>
          <w:lang w:val="en-GB"/>
        </w:rPr>
      </w:pPr>
      <w:r>
        <w:rPr>
          <w:sz w:val="22"/>
          <w:szCs w:val="22"/>
          <w:lang w:val="en-GB"/>
        </w:rPr>
        <w:t>N/A</w:t>
      </w:r>
    </w:p>
    <w:p w14:paraId="328A9482" w14:textId="77777777" w:rsidR="001F493D" w:rsidRDefault="001F493D">
      <w:pPr>
        <w:rPr>
          <w:sz w:val="22"/>
          <w:szCs w:val="22"/>
          <w:lang w:val="en-GB"/>
        </w:rPr>
      </w:pPr>
      <w:r>
        <w:rPr>
          <w:rFonts w:cs="Arial"/>
          <w:sz w:val="22"/>
          <w:szCs w:val="22"/>
          <w:lang w:val="en-GB"/>
        </w:rPr>
        <w:t>LYNPARZA™</w:t>
      </w:r>
      <w:r>
        <w:rPr>
          <w:sz w:val="22"/>
          <w:szCs w:val="22"/>
          <w:lang w:val="en-GB"/>
        </w:rPr>
        <w:t xml:space="preserve"> is a trade mark of the AstraZeneca group of companies.</w:t>
      </w:r>
    </w:p>
    <w:p w14:paraId="096FFB66" w14:textId="2A5A9082" w:rsidR="001F493D" w:rsidRDefault="001F493D">
      <w:pPr>
        <w:rPr>
          <w:sz w:val="22"/>
          <w:szCs w:val="22"/>
        </w:rPr>
      </w:pPr>
      <w:r>
        <w:rPr>
          <w:rFonts w:cs="Arial"/>
          <w:sz w:val="22"/>
          <w:szCs w:val="22"/>
          <w:vertAlign w:val="superscript"/>
        </w:rPr>
        <w:t>©</w:t>
      </w:r>
      <w:r>
        <w:rPr>
          <w:rFonts w:cs="Arial"/>
          <w:sz w:val="22"/>
          <w:szCs w:val="22"/>
        </w:rPr>
        <w:t xml:space="preserve"> </w:t>
      </w:r>
      <w:r>
        <w:rPr>
          <w:sz w:val="22"/>
          <w:szCs w:val="22"/>
        </w:rPr>
        <w:t>AstraZeneca 201</w:t>
      </w:r>
      <w:r w:rsidR="00314A40">
        <w:rPr>
          <w:sz w:val="22"/>
          <w:szCs w:val="22"/>
        </w:rPr>
        <w:t>6</w:t>
      </w:r>
    </w:p>
    <w:p w14:paraId="280C2610" w14:textId="77777777" w:rsidR="001F493D" w:rsidRDefault="001F493D">
      <w:pPr>
        <w:rPr>
          <w:sz w:val="22"/>
        </w:rPr>
      </w:pPr>
    </w:p>
    <w:sectPr w:rsidR="001F493D">
      <w:headerReference w:type="default" r:id="rId12"/>
      <w:footerReference w:type="default" r:id="rId13"/>
      <w:pgSz w:w="11909" w:h="16834" w:code="9"/>
      <w:pgMar w:top="1440" w:right="1440" w:bottom="1440" w:left="1440" w:header="731" w:footer="7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52740" w14:textId="77777777" w:rsidR="00433165" w:rsidRDefault="00433165">
      <w:pPr>
        <w:spacing w:after="0" w:line="240" w:lineRule="auto"/>
      </w:pPr>
      <w:r>
        <w:separator/>
      </w:r>
    </w:p>
  </w:endnote>
  <w:endnote w:type="continuationSeparator" w:id="0">
    <w:p w14:paraId="55540AFC" w14:textId="77777777" w:rsidR="00433165" w:rsidRDefault="00433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620B5" w14:textId="77777777" w:rsidR="00A20744" w:rsidRDefault="00A20744">
    <w:pPr>
      <w:pStyle w:val="Footer"/>
      <w:tabs>
        <w:tab w:val="center" w:pos="468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5F2734">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F2734">
      <w:rPr>
        <w:rStyle w:val="PageNumber"/>
        <w:noProof/>
      </w:rPr>
      <w:t>15</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68383" w14:textId="77777777" w:rsidR="00433165" w:rsidRDefault="00433165">
      <w:pPr>
        <w:spacing w:after="0" w:line="240" w:lineRule="auto"/>
      </w:pPr>
      <w:r>
        <w:separator/>
      </w:r>
    </w:p>
  </w:footnote>
  <w:footnote w:type="continuationSeparator" w:id="0">
    <w:p w14:paraId="4E8AAAF9" w14:textId="77777777" w:rsidR="00433165" w:rsidRDefault="00433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00669A" w:rsidRPr="002E7F61" w14:paraId="61CB3381" w14:textId="77777777" w:rsidTr="00F077F2">
      <w:trPr>
        <w:trHeight w:val="590"/>
      </w:trPr>
      <w:tc>
        <w:tcPr>
          <w:tcW w:w="8720" w:type="dxa"/>
          <w:shd w:val="clear" w:color="auto" w:fill="E4F2E0"/>
        </w:tcPr>
        <w:p w14:paraId="6146522B" w14:textId="77777777" w:rsidR="0000669A" w:rsidRPr="002E7F61" w:rsidRDefault="0000669A" w:rsidP="00F077F2">
          <w:pPr>
            <w:pStyle w:val="Footer"/>
            <w:rPr>
              <w:b/>
              <w:sz w:val="18"/>
              <w:szCs w:val="18"/>
            </w:rPr>
          </w:pPr>
          <w:r w:rsidRPr="002E7F61">
            <w:rPr>
              <w:b/>
              <w:sz w:val="18"/>
              <w:szCs w:val="18"/>
            </w:rPr>
            <w:t xml:space="preserve">Attachment 1: Product information </w:t>
          </w:r>
          <w:r w:rsidRPr="006563E5">
            <w:rPr>
              <w:b/>
              <w:sz w:val="18"/>
              <w:szCs w:val="18"/>
            </w:rPr>
            <w:t xml:space="preserve">AusPAR </w:t>
          </w:r>
          <w:proofErr w:type="spellStart"/>
          <w:r w:rsidRPr="006563E5">
            <w:rPr>
              <w:b/>
              <w:sz w:val="18"/>
              <w:szCs w:val="18"/>
            </w:rPr>
            <w:t>Lynparza</w:t>
          </w:r>
          <w:proofErr w:type="spellEnd"/>
          <w:r w:rsidRPr="006563E5">
            <w:rPr>
              <w:b/>
              <w:sz w:val="18"/>
              <w:szCs w:val="18"/>
            </w:rPr>
            <w:t xml:space="preserve"> </w:t>
          </w:r>
          <w:proofErr w:type="spellStart"/>
          <w:r w:rsidRPr="006563E5">
            <w:rPr>
              <w:b/>
              <w:sz w:val="18"/>
              <w:szCs w:val="18"/>
            </w:rPr>
            <w:t>Olaparib</w:t>
          </w:r>
          <w:proofErr w:type="spellEnd"/>
          <w:r w:rsidRPr="006563E5">
            <w:rPr>
              <w:b/>
              <w:sz w:val="18"/>
              <w:szCs w:val="18"/>
            </w:rPr>
            <w:t xml:space="preserve"> AstraZeneca Pty Ltd PM-2014-04684-1-4 Final 11 February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715D712A" w14:textId="77777777" w:rsidR="0000669A" w:rsidRDefault="0000669A">
    <w:pPr>
      <w:pStyle w:val="Header"/>
      <w:rPr>
        <w:rFonts w:cs="Arial"/>
      </w:rPr>
    </w:pPr>
  </w:p>
  <w:p w14:paraId="4DDA429A" w14:textId="77777777" w:rsidR="00A20744" w:rsidRDefault="00A20744">
    <w:pPr>
      <w:pStyle w:val="Header"/>
      <w:rPr>
        <w:rFonts w:cs="Arial"/>
      </w:rPr>
    </w:pPr>
    <w:r>
      <w:rPr>
        <w:rFonts w:cs="Arial"/>
      </w:rPr>
      <w:t>LYNPARZA Product Information</w:t>
    </w:r>
  </w:p>
  <w:p w14:paraId="4939ED41" w14:textId="0F69A4D8" w:rsidR="00A20744" w:rsidRDefault="00FE105A">
    <w:pPr>
      <w:pStyle w:val="Header"/>
      <w:rPr>
        <w:rFonts w:cs="Arial"/>
      </w:rPr>
    </w:pPr>
    <w:r>
      <w:rPr>
        <w:rFonts w:cs="Arial"/>
      </w:rPr>
      <w:t xml:space="preserve">Doc </w:t>
    </w:r>
    <w:r w:rsidR="004C09B4">
      <w:rPr>
        <w:rFonts w:cs="Arial"/>
      </w:rPr>
      <w:t>ID-003097734 v 2</w:t>
    </w:r>
    <w:r>
      <w:rPr>
        <w:rFonts w:cs="Arial"/>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5C0B328"/>
    <w:lvl w:ilvl="0">
      <w:start w:val="1"/>
      <w:numFmt w:val="decimal"/>
      <w:pStyle w:val="Heading1"/>
      <w:lvlText w:val="%1."/>
      <w:lvlJc w:val="left"/>
      <w:pPr>
        <w:tabs>
          <w:tab w:val="num" w:pos="992"/>
        </w:tabs>
        <w:ind w:left="992" w:hanging="992"/>
      </w:pPr>
    </w:lvl>
    <w:lvl w:ilvl="1">
      <w:start w:val="1"/>
      <w:numFmt w:val="decimal"/>
      <w:pStyle w:val="Heading2"/>
      <w:lvlText w:val="%1.%2"/>
      <w:lvlJc w:val="left"/>
      <w:pPr>
        <w:tabs>
          <w:tab w:val="num" w:pos="992"/>
        </w:tabs>
        <w:ind w:left="992" w:hanging="992"/>
      </w:pPr>
    </w:lvl>
    <w:lvl w:ilvl="2">
      <w:start w:val="1"/>
      <w:numFmt w:val="decimal"/>
      <w:pStyle w:val="Heading3"/>
      <w:lvlText w:val="%1.%2.%3"/>
      <w:lvlJc w:val="left"/>
      <w:pPr>
        <w:tabs>
          <w:tab w:val="num" w:pos="992"/>
        </w:tabs>
        <w:ind w:left="992" w:hanging="992"/>
      </w:pPr>
    </w:lvl>
    <w:lvl w:ilvl="3">
      <w:start w:val="1"/>
      <w:numFmt w:val="decimal"/>
      <w:pStyle w:val="Heading4"/>
      <w:lvlText w:val="%1.%2.%3.%4"/>
      <w:lvlJc w:val="left"/>
      <w:pPr>
        <w:tabs>
          <w:tab w:val="num" w:pos="992"/>
        </w:tabs>
        <w:ind w:left="992" w:hanging="992"/>
      </w:pPr>
    </w:lvl>
    <w:lvl w:ilvl="4">
      <w:start w:val="1"/>
      <w:numFmt w:val="lowerLetter"/>
      <w:lvlText w:val="%5)"/>
      <w:lvlJc w:val="left"/>
      <w:pPr>
        <w:tabs>
          <w:tab w:val="num" w:pos="992"/>
        </w:tabs>
        <w:ind w:left="992" w:hanging="992"/>
      </w:pPr>
    </w:lvl>
    <w:lvl w:ilvl="5">
      <w:start w:val="1"/>
      <w:numFmt w:val="lowerRoman"/>
      <w:lvlText w:val="%6)"/>
      <w:lvlJc w:val="left"/>
      <w:pPr>
        <w:tabs>
          <w:tab w:val="num" w:pos="992"/>
        </w:tabs>
        <w:ind w:left="992" w:hanging="992"/>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16F579E8"/>
    <w:multiLevelType w:val="hybridMultilevel"/>
    <w:tmpl w:val="30FCA1D4"/>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19A62659"/>
    <w:multiLevelType w:val="singleLevel"/>
    <w:tmpl w:val="030A11AC"/>
    <w:lvl w:ilvl="0">
      <w:start w:val="1"/>
      <w:numFmt w:val="bullet"/>
      <w:pStyle w:val="A-ListSubsidiary"/>
      <w:lvlText w:val=""/>
      <w:lvlJc w:val="left"/>
      <w:pPr>
        <w:tabs>
          <w:tab w:val="num" w:pos="1987"/>
        </w:tabs>
        <w:ind w:left="1987" w:hanging="993"/>
      </w:pPr>
      <w:rPr>
        <w:rFonts w:ascii="Symbol" w:hAnsi="Symbol" w:hint="default"/>
      </w:rPr>
    </w:lvl>
  </w:abstractNum>
  <w:abstractNum w:abstractNumId="3">
    <w:nsid w:val="21976621"/>
    <w:multiLevelType w:val="hybridMultilevel"/>
    <w:tmpl w:val="B12A378C"/>
    <w:lvl w:ilvl="0" w:tplc="0B0C3ED8">
      <w:start w:val="1"/>
      <w:numFmt w:val="lowerRoman"/>
      <w:pStyle w:val="A-Listi"/>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5">
    <w:nsid w:val="634103CC"/>
    <w:multiLevelType w:val="hybridMultilevel"/>
    <w:tmpl w:val="A652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58C02A1"/>
    <w:multiLevelType w:val="singleLevel"/>
    <w:tmpl w:val="E7D22186"/>
    <w:lvl w:ilvl="0">
      <w:start w:val="1"/>
      <w:numFmt w:val="upperRoman"/>
      <w:lvlText w:val="%1."/>
      <w:lvlJc w:val="left"/>
      <w:pPr>
        <w:tabs>
          <w:tab w:val="num" w:pos="720"/>
        </w:tabs>
        <w:ind w:left="360" w:hanging="360"/>
      </w:pPr>
    </w:lvl>
  </w:abstractNum>
  <w:abstractNum w:abstractNumId="7">
    <w:nsid w:val="774566F1"/>
    <w:multiLevelType w:val="hybridMultilevel"/>
    <w:tmpl w:val="11F074AA"/>
    <w:lvl w:ilvl="0" w:tplc="9D8A40F8">
      <w:start w:val="1"/>
      <w:numFmt w:val="lowerLetter"/>
      <w:pStyle w:val="A-Lista"/>
      <w:lvlText w:val="(%1)"/>
      <w:lvlJc w:val="left"/>
      <w:pPr>
        <w:tabs>
          <w:tab w:val="num" w:pos="994"/>
        </w:tabs>
        <w:ind w:left="994" w:hanging="9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4"/>
  </w:num>
  <w:num w:numId="4">
    <w:abstractNumId w:val="2"/>
  </w:num>
  <w:num w:numId="5">
    <w:abstractNumId w:val="7"/>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PERA" w:val="1"/>
    <w:docVar w:name="CMC" w:val=" "/>
    <w:docVar w:name="Date" w:val="2000-05-09"/>
    <w:docVar w:name="dlgTitle" w:val="Blanc with TOC"/>
    <w:docVar w:name="dlgTitleFirst" w:val="Aspera "/>
    <w:docVar w:name="TOCLevels" w:val="4"/>
    <w:docVar w:name="Type" w:val="CLIN"/>
    <w:docVar w:name="Version" w:val="97.02.00"/>
  </w:docVars>
  <w:rsids>
    <w:rsidRoot w:val="002B5B91"/>
    <w:rsid w:val="0000669A"/>
    <w:rsid w:val="00037478"/>
    <w:rsid w:val="00090AC2"/>
    <w:rsid w:val="000B3A00"/>
    <w:rsid w:val="000D64C1"/>
    <w:rsid w:val="0010067D"/>
    <w:rsid w:val="0010584F"/>
    <w:rsid w:val="001A3B5F"/>
    <w:rsid w:val="001A43EC"/>
    <w:rsid w:val="001F493D"/>
    <w:rsid w:val="00205AF5"/>
    <w:rsid w:val="00281515"/>
    <w:rsid w:val="00281E41"/>
    <w:rsid w:val="002A6F3C"/>
    <w:rsid w:val="002B5B91"/>
    <w:rsid w:val="002C39A1"/>
    <w:rsid w:val="002E1260"/>
    <w:rsid w:val="002F7CD9"/>
    <w:rsid w:val="0030579C"/>
    <w:rsid w:val="00314A40"/>
    <w:rsid w:val="003A0064"/>
    <w:rsid w:val="00433165"/>
    <w:rsid w:val="00443336"/>
    <w:rsid w:val="00444DF7"/>
    <w:rsid w:val="004510CB"/>
    <w:rsid w:val="00465AE1"/>
    <w:rsid w:val="004C09B4"/>
    <w:rsid w:val="0050498E"/>
    <w:rsid w:val="00515912"/>
    <w:rsid w:val="005634A2"/>
    <w:rsid w:val="00593F3C"/>
    <w:rsid w:val="005F2734"/>
    <w:rsid w:val="00640DC8"/>
    <w:rsid w:val="0064545E"/>
    <w:rsid w:val="006D3CE0"/>
    <w:rsid w:val="00726D44"/>
    <w:rsid w:val="00772C5C"/>
    <w:rsid w:val="007D0E43"/>
    <w:rsid w:val="008B1112"/>
    <w:rsid w:val="008D4157"/>
    <w:rsid w:val="00983B79"/>
    <w:rsid w:val="009944FD"/>
    <w:rsid w:val="009C15EA"/>
    <w:rsid w:val="009E09EB"/>
    <w:rsid w:val="00A05F85"/>
    <w:rsid w:val="00A20744"/>
    <w:rsid w:val="00A70A36"/>
    <w:rsid w:val="00A745C9"/>
    <w:rsid w:val="00AA040B"/>
    <w:rsid w:val="00AA1B2F"/>
    <w:rsid w:val="00AA6F3F"/>
    <w:rsid w:val="00B165E4"/>
    <w:rsid w:val="00B722BA"/>
    <w:rsid w:val="00BA43BF"/>
    <w:rsid w:val="00C33958"/>
    <w:rsid w:val="00C467AE"/>
    <w:rsid w:val="00C6678E"/>
    <w:rsid w:val="00C73506"/>
    <w:rsid w:val="00CE7358"/>
    <w:rsid w:val="00D41737"/>
    <w:rsid w:val="00D87D69"/>
    <w:rsid w:val="00D93AE2"/>
    <w:rsid w:val="00DA12EF"/>
    <w:rsid w:val="00DF3BDF"/>
    <w:rsid w:val="00E21E8C"/>
    <w:rsid w:val="00E62D21"/>
    <w:rsid w:val="00E83311"/>
    <w:rsid w:val="00EC0BAC"/>
    <w:rsid w:val="00F47382"/>
    <w:rsid w:val="00F6395F"/>
    <w:rsid w:val="00F746A0"/>
    <w:rsid w:val="00FE10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B6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C"/>
    <w:pPr>
      <w:spacing w:after="240" w:line="280" w:lineRule="atLeast"/>
    </w:pPr>
    <w:rPr>
      <w:rFonts w:ascii="Arial" w:hAnsi="Arial"/>
      <w:sz w:val="24"/>
      <w:lang w:eastAsia="en-US"/>
    </w:rPr>
  </w:style>
  <w:style w:type="paragraph" w:styleId="Heading1">
    <w:name w:val="heading 1"/>
    <w:next w:val="Normal"/>
    <w:qFormat/>
    <w:pPr>
      <w:keepNext/>
      <w:numPr>
        <w:numId w:val="2"/>
      </w:numPr>
      <w:spacing w:before="480" w:after="240"/>
      <w:outlineLvl w:val="0"/>
    </w:pPr>
    <w:rPr>
      <w:b/>
      <w:caps/>
      <w:sz w:val="28"/>
      <w:lang w:val="en-GB" w:eastAsia="en-US"/>
    </w:rPr>
  </w:style>
  <w:style w:type="paragraph" w:styleId="Heading2">
    <w:name w:val="heading 2"/>
    <w:next w:val="Normal"/>
    <w:qFormat/>
    <w:pPr>
      <w:keepNext/>
      <w:numPr>
        <w:ilvl w:val="1"/>
        <w:numId w:val="2"/>
      </w:numPr>
      <w:spacing w:before="120" w:after="120"/>
      <w:outlineLvl w:val="1"/>
    </w:pPr>
    <w:rPr>
      <w:b/>
      <w:sz w:val="28"/>
      <w:lang w:val="en-GB" w:eastAsia="en-US"/>
    </w:rPr>
  </w:style>
  <w:style w:type="paragraph" w:styleId="Heading3">
    <w:name w:val="heading 3"/>
    <w:next w:val="Normal"/>
    <w:qFormat/>
    <w:pPr>
      <w:keepNext/>
      <w:numPr>
        <w:ilvl w:val="2"/>
        <w:numId w:val="2"/>
      </w:numPr>
      <w:spacing w:after="120"/>
      <w:outlineLvl w:val="2"/>
    </w:pPr>
    <w:rPr>
      <w:i/>
      <w:sz w:val="24"/>
      <w:lang w:val="en-GB" w:eastAsia="en-US"/>
    </w:rPr>
  </w:style>
  <w:style w:type="paragraph" w:styleId="Heading4">
    <w:name w:val="heading 4"/>
    <w:next w:val="Normal"/>
    <w:qFormat/>
    <w:pPr>
      <w:keepNext/>
      <w:numPr>
        <w:ilvl w:val="3"/>
        <w:numId w:val="2"/>
      </w:numPr>
      <w:spacing w:after="120"/>
      <w:outlineLvl w:val="3"/>
    </w:pPr>
    <w:rPr>
      <w:i/>
      <w:sz w:val="24"/>
      <w:lang w:val="en-GB" w:eastAsia="en-US"/>
    </w:rPr>
  </w:style>
  <w:style w:type="paragraph" w:styleId="Heading5">
    <w:name w:val="heading 5"/>
    <w:basedOn w:val="Normal"/>
    <w:next w:val="Normal"/>
    <w:qFormat/>
    <w:pPr>
      <w:keepNext/>
      <w:spacing w:after="120"/>
      <w:outlineLvl w:val="4"/>
    </w:pPr>
    <w:rPr>
      <w:u w:val="single"/>
      <w:lang w:val="en-GB"/>
    </w:rPr>
  </w:style>
  <w:style w:type="paragraph" w:styleId="Heading6">
    <w:name w:val="heading 6"/>
    <w:next w:val="Normal"/>
    <w:qFormat/>
    <w:pPr>
      <w:keepNext/>
      <w:spacing w:after="120"/>
      <w:outlineLvl w:val="5"/>
    </w:pPr>
    <w:rPr>
      <w:b/>
      <w:sz w:val="24"/>
      <w:lang w:val="en-GB" w:eastAsia="en-US"/>
    </w:rPr>
  </w:style>
  <w:style w:type="paragraph" w:styleId="Heading7">
    <w:name w:val="heading 7"/>
    <w:next w:val="Normal"/>
    <w:qFormat/>
    <w:pPr>
      <w:keepNext/>
      <w:spacing w:after="120"/>
      <w:outlineLvl w:val="6"/>
    </w:pPr>
    <w:rPr>
      <w:b/>
      <w:sz w:val="24"/>
      <w:lang w:val="en-GB" w:eastAsia="en-US"/>
    </w:rPr>
  </w:style>
  <w:style w:type="paragraph" w:styleId="Heading8">
    <w:name w:val="heading 8"/>
    <w:next w:val="Normal"/>
    <w:qFormat/>
    <w:pPr>
      <w:keepNext/>
      <w:spacing w:after="120"/>
      <w:outlineLvl w:val="7"/>
    </w:pPr>
    <w:rPr>
      <w:b/>
      <w:sz w:val="24"/>
      <w:lang w:val="en-GB" w:eastAsia="en-US"/>
    </w:rPr>
  </w:style>
  <w:style w:type="paragraph" w:styleId="Heading9">
    <w:name w:val="heading 9"/>
    <w:next w:val="Normal"/>
    <w:qFormat/>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Pr>
      <w:rFonts w:ascii="Arial" w:hAnsi="Arial"/>
      <w:sz w:val="16"/>
      <w:lang w:val="en-GB" w:eastAsia="en-US"/>
    </w:rPr>
  </w:style>
  <w:style w:type="paragraph" w:styleId="Footer">
    <w:name w:val="footer"/>
    <w:link w:val="FooterChar"/>
    <w:rPr>
      <w:rFonts w:ascii="Arial" w:hAnsi="Arial"/>
      <w:sz w:val="16"/>
      <w:lang w:val="en-GB" w:eastAsia="en-US"/>
    </w:rPr>
  </w:style>
  <w:style w:type="paragraph" w:customStyle="1" w:styleId="A-Guided">
    <w:name w:val="A-Guided"/>
    <w:basedOn w:val="Normal"/>
    <w:pPr>
      <w:spacing w:before="60"/>
    </w:pPr>
    <w:rPr>
      <w:lang w:val="en-GB"/>
    </w:rPr>
  </w:style>
  <w:style w:type="paragraph" w:customStyle="1" w:styleId="A-GuidedBold">
    <w:name w:val="A-Guided Bold"/>
    <w:basedOn w:val="Normal"/>
    <w:pPr>
      <w:spacing w:before="60" w:after="120"/>
    </w:pPr>
    <w:rPr>
      <w:b/>
      <w:lang w:val="en-GB"/>
    </w:rPr>
  </w:style>
  <w:style w:type="character" w:customStyle="1" w:styleId="Z-RedHidden">
    <w:name w:val="Z-Red Hidden"/>
    <w:basedOn w:val="DefaultParagraphFont"/>
    <w:rPr>
      <w:rFonts w:ascii="Arial" w:hAnsi="Arial"/>
      <w:vanish/>
      <w:color w:val="FF0000"/>
      <w:sz w:val="16"/>
    </w:rPr>
  </w:style>
  <w:style w:type="paragraph" w:customStyle="1" w:styleId="A-StudyTitle">
    <w:name w:val="A-Study Title"/>
    <w:basedOn w:val="Normal"/>
    <w:pPr>
      <w:spacing w:after="120"/>
      <w:jc w:val="center"/>
    </w:pPr>
    <w:rPr>
      <w:b/>
      <w:sz w:val="32"/>
      <w:lang w:val="en-GB"/>
    </w:rPr>
  </w:style>
  <w:style w:type="paragraph" w:styleId="TOC1">
    <w:name w:val="toc 1"/>
    <w:next w:val="TOC2"/>
    <w:semiHidden/>
    <w:pPr>
      <w:tabs>
        <w:tab w:val="right" w:leader="dot" w:pos="8931"/>
      </w:tabs>
      <w:spacing w:before="120"/>
      <w:ind w:left="994" w:right="864" w:hanging="994"/>
    </w:pPr>
    <w:rPr>
      <w:caps/>
      <w:sz w:val="24"/>
      <w:lang w:val="en-GB" w:eastAsia="en-US"/>
    </w:rPr>
  </w:style>
  <w:style w:type="paragraph" w:styleId="TOC2">
    <w:name w:val="toc 2"/>
    <w:basedOn w:val="TOC1"/>
    <w:next w:val="TOC3"/>
    <w:semiHidden/>
    <w:rPr>
      <w:caps w:val="0"/>
    </w:rPr>
  </w:style>
  <w:style w:type="paragraph" w:styleId="TOC3">
    <w:name w:val="toc 3"/>
    <w:basedOn w:val="TOC1"/>
    <w:next w:val="TOC4"/>
    <w:semiHidden/>
    <w:pPr>
      <w:spacing w:before="0"/>
    </w:pPr>
    <w:rPr>
      <w:caps w:val="0"/>
    </w:rPr>
  </w:style>
  <w:style w:type="paragraph" w:styleId="TOC4">
    <w:name w:val="toc 4"/>
    <w:basedOn w:val="TOC1"/>
    <w:semiHidden/>
    <w:pPr>
      <w:spacing w:before="0"/>
    </w:pPr>
    <w:rPr>
      <w:caps w:val="0"/>
    </w:rPr>
  </w:style>
  <w:style w:type="character" w:styleId="PageNumber">
    <w:name w:val="page number"/>
    <w:basedOn w:val="DefaultParagraphFont"/>
    <w:semiHidden/>
    <w:rPr>
      <w:rFonts w:ascii="Arial" w:hAnsi="Arial"/>
      <w:sz w:val="20"/>
    </w:rPr>
  </w:style>
  <w:style w:type="paragraph" w:customStyle="1" w:styleId="A-TableText">
    <w:name w:val="A-Table Text"/>
    <w:basedOn w:val="Normal"/>
    <w:pPr>
      <w:spacing w:before="60" w:after="60"/>
    </w:pPr>
    <w:rPr>
      <w:sz w:val="22"/>
      <w:lang w:val="en-GB"/>
    </w:rPr>
  </w:style>
  <w:style w:type="paragraph" w:styleId="Caption">
    <w:name w:val="caption"/>
    <w:next w:val="Normal"/>
    <w:qFormat/>
    <w:pPr>
      <w:keepNext/>
      <w:spacing w:after="120" w:line="280" w:lineRule="atLeast"/>
      <w:ind w:left="1418" w:hanging="1418"/>
    </w:pPr>
    <w:rPr>
      <w:b/>
      <w:sz w:val="24"/>
      <w:lang w:val="en-GB" w:eastAsia="en-US"/>
    </w:rPr>
  </w:style>
  <w:style w:type="paragraph" w:styleId="TOC5">
    <w:name w:val="toc 5"/>
    <w:basedOn w:val="TOC1"/>
    <w:next w:val="Normal"/>
    <w:semiHidden/>
    <w:pPr>
      <w:ind w:firstLine="0"/>
    </w:pPr>
  </w:style>
  <w:style w:type="paragraph" w:styleId="TOC6">
    <w:name w:val="toc 6"/>
    <w:basedOn w:val="TOC2"/>
    <w:next w:val="Normal"/>
    <w:semiHidden/>
    <w:pPr>
      <w:ind w:firstLine="0"/>
    </w:pPr>
  </w:style>
  <w:style w:type="paragraph" w:styleId="TOC7">
    <w:name w:val="toc 7"/>
    <w:basedOn w:val="TOC3"/>
    <w:next w:val="Normal"/>
    <w:semiHidden/>
    <w:pPr>
      <w:ind w:firstLine="0"/>
    </w:pPr>
  </w:style>
  <w:style w:type="paragraph" w:styleId="TOC8">
    <w:name w:val="toc 8"/>
    <w:basedOn w:val="TOC4"/>
    <w:next w:val="Normal"/>
    <w:semiHidden/>
    <w:pPr>
      <w:ind w:firstLine="0"/>
    </w:pPr>
  </w:style>
  <w:style w:type="paragraph" w:styleId="TOC9">
    <w:name w:val="toc 9"/>
    <w:basedOn w:val="TOC1"/>
    <w:next w:val="Normal"/>
    <w:semiHidden/>
    <w:pPr>
      <w:ind w:firstLine="0"/>
    </w:pPr>
  </w:style>
  <w:style w:type="paragraph" w:customStyle="1" w:styleId="A-LandscapeFont">
    <w:name w:val="A-Landscape Font"/>
    <w:pPr>
      <w:spacing w:line="280" w:lineRule="atLeast"/>
    </w:pPr>
    <w:rPr>
      <w:rFonts w:ascii="Courier" w:hAnsi="Courier"/>
      <w:sz w:val="16"/>
      <w:lang w:val="en-GB" w:eastAsia="en-US"/>
    </w:rPr>
  </w:style>
  <w:style w:type="paragraph" w:customStyle="1" w:styleId="A-TableHeader">
    <w:name w:val="A-Table Header"/>
    <w:basedOn w:val="Normal"/>
    <w:next w:val="A-TableText"/>
    <w:pPr>
      <w:keepNext/>
      <w:spacing w:before="60" w:after="60"/>
    </w:pPr>
    <w:rPr>
      <w:b/>
      <w:sz w:val="20"/>
      <w:lang w:val="en-GB"/>
    </w:rPr>
  </w:style>
  <w:style w:type="paragraph" w:styleId="TableofFigures">
    <w:name w:val="table of figures"/>
    <w:next w:val="Normal"/>
    <w:semiHidden/>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pPr>
      <w:tabs>
        <w:tab w:val="left" w:pos="1800"/>
      </w:tabs>
      <w:spacing w:after="120"/>
      <w:ind w:left="1800" w:hanging="1800"/>
    </w:pPr>
    <w:rPr>
      <w:b/>
      <w:sz w:val="28"/>
      <w:lang w:val="en-GB"/>
    </w:rPr>
  </w:style>
  <w:style w:type="paragraph" w:customStyle="1" w:styleId="Z-Box">
    <w:name w:val="Z-Box"/>
    <w:basedOn w:val="Normal"/>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Pr>
      <w:lang w:val="en-GB"/>
    </w:rPr>
  </w:style>
  <w:style w:type="paragraph" w:customStyle="1" w:styleId="A-Unnumbered">
    <w:name w:val="A-Unnumbered"/>
    <w:basedOn w:val="Normal"/>
    <w:next w:val="Normal"/>
    <w:pPr>
      <w:keepNext/>
      <w:spacing w:before="480"/>
    </w:pPr>
    <w:rPr>
      <w:b/>
      <w:caps/>
      <w:sz w:val="28"/>
      <w:lang w:val="en-GB"/>
    </w:rPr>
  </w:style>
  <w:style w:type="paragraph" w:customStyle="1" w:styleId="A-Unassigned">
    <w:name w:val="A-Unassigned"/>
    <w:basedOn w:val="Normal"/>
    <w:next w:val="Normal"/>
    <w:pPr>
      <w:keepNext/>
      <w:spacing w:before="120" w:after="120"/>
    </w:pPr>
    <w:rPr>
      <w:b/>
      <w:lang w:val="en-GB"/>
    </w:rPr>
  </w:style>
  <w:style w:type="paragraph" w:customStyle="1" w:styleId="A-ListBullet">
    <w:name w:val="A-List Bullet"/>
    <w:basedOn w:val="Normal"/>
    <w:pPr>
      <w:numPr>
        <w:numId w:val="3"/>
      </w:numPr>
    </w:pPr>
    <w:rPr>
      <w:lang w:val="en-GB"/>
    </w:rPr>
  </w:style>
  <w:style w:type="paragraph" w:customStyle="1" w:styleId="A-ListNumber">
    <w:name w:val="A-List Number"/>
    <w:basedOn w:val="Normal"/>
    <w:pPr>
      <w:tabs>
        <w:tab w:val="left" w:pos="994"/>
      </w:tabs>
      <w:ind w:left="994" w:hanging="994"/>
    </w:pPr>
    <w:rPr>
      <w:lang w:val="en-GB"/>
    </w:rPr>
  </w:style>
  <w:style w:type="paragraph" w:customStyle="1" w:styleId="A-ListSubsidiary">
    <w:name w:val="A-List Subsidiary"/>
    <w:basedOn w:val="Normal"/>
    <w:pPr>
      <w:numPr>
        <w:numId w:val="4"/>
      </w:numPr>
      <w:tabs>
        <w:tab w:val="clear" w:pos="1987"/>
        <w:tab w:val="left" w:pos="1440"/>
      </w:tabs>
      <w:ind w:left="1440" w:hanging="446"/>
    </w:pPr>
    <w:rPr>
      <w:lang w:val="en-GB"/>
    </w:rPr>
  </w:style>
  <w:style w:type="paragraph" w:customStyle="1" w:styleId="A-NormalIndent">
    <w:name w:val="A-Normal Indent"/>
    <w:basedOn w:val="Normal"/>
    <w:next w:val="Normal"/>
    <w:pPr>
      <w:ind w:left="992"/>
    </w:pPr>
    <w:rPr>
      <w:lang w:val="en-GB"/>
    </w:rPr>
  </w:style>
  <w:style w:type="paragraph" w:customStyle="1" w:styleId="A-Lista">
    <w:name w:val="A-List (a)"/>
    <w:basedOn w:val="Normal"/>
    <w:next w:val="Normal"/>
    <w:pPr>
      <w:numPr>
        <w:numId w:val="5"/>
      </w:numPr>
    </w:pPr>
    <w:rPr>
      <w:lang w:val="en-GB"/>
    </w:rPr>
  </w:style>
  <w:style w:type="paragraph" w:customStyle="1" w:styleId="A-Listi">
    <w:name w:val="A-List (i)"/>
    <w:basedOn w:val="Normal"/>
    <w:next w:val="Normal"/>
    <w:pPr>
      <w:numPr>
        <w:numId w:val="6"/>
      </w:numPr>
    </w:pPr>
    <w:rPr>
      <w:lang w:val="en-GB"/>
    </w:rPr>
  </w:style>
  <w:style w:type="paragraph" w:customStyle="1" w:styleId="A-TableTitle">
    <w:name w:val="A-Table Title"/>
    <w:basedOn w:val="Normal"/>
    <w:next w:val="Normal"/>
    <w:pPr>
      <w:keepNext/>
      <w:tabs>
        <w:tab w:val="left" w:pos="1800"/>
      </w:tabs>
      <w:spacing w:after="120"/>
      <w:ind w:left="1800" w:hanging="1800"/>
    </w:pPr>
    <w:rPr>
      <w:b/>
      <w:lang w:val="en-GB"/>
    </w:rPr>
  </w:style>
  <w:style w:type="paragraph" w:customStyle="1" w:styleId="A-FigureTitle">
    <w:name w:val="A-Figure Title"/>
    <w:basedOn w:val="Normal"/>
    <w:next w:val="Normal"/>
    <w:pPr>
      <w:keepNext/>
      <w:tabs>
        <w:tab w:val="left" w:pos="1800"/>
      </w:tabs>
      <w:spacing w:after="120"/>
      <w:ind w:left="1800" w:hanging="1800"/>
    </w:pPr>
    <w:rPr>
      <w:b/>
      <w:lang w:val="en-GB"/>
    </w:rPr>
  </w:style>
  <w:style w:type="paragraph" w:customStyle="1" w:styleId="A-TableFootnoteText">
    <w:name w:val="A-Table Footnote Text"/>
    <w:basedOn w:val="Normal"/>
    <w:next w:val="Normal"/>
    <w:pPr>
      <w:tabs>
        <w:tab w:val="left" w:pos="432"/>
      </w:tabs>
      <w:ind w:left="432" w:hanging="432"/>
    </w:pPr>
    <w:rPr>
      <w:sz w:val="18"/>
      <w:lang w:val="en-GB"/>
    </w:rPr>
  </w:style>
  <w:style w:type="paragraph" w:customStyle="1" w:styleId="Z-LogoHeader">
    <w:name w:val="Z-Logo Header"/>
    <w:basedOn w:val="Header"/>
    <w:pPr>
      <w:spacing w:before="240"/>
    </w:pPr>
  </w:style>
  <w:style w:type="paragraph" w:customStyle="1" w:styleId="Z-Signature">
    <w:name w:val="Z-Signature"/>
    <w:next w:val="Normal"/>
    <w:pPr>
      <w:spacing w:before="360" w:line="280" w:lineRule="atLeast"/>
    </w:pPr>
    <w:rPr>
      <w:sz w:val="24"/>
      <w:lang w:val="en-GB" w:eastAsia="en-US"/>
    </w:rPr>
  </w:style>
  <w:style w:type="paragraph" w:customStyle="1" w:styleId="TocHeaders">
    <w:name w:val="TocHeaders"/>
    <w:next w:val="Normal"/>
    <w:pPr>
      <w:keepNext/>
      <w:spacing w:before="480" w:after="240"/>
      <w:outlineLvl w:val="0"/>
    </w:pPr>
    <w:rPr>
      <w:b/>
      <w:caps/>
      <w:sz w:val="28"/>
      <w:lang w:val="en-GB" w:eastAsia="en-US"/>
    </w:rPr>
  </w:style>
  <w:style w:type="character" w:styleId="Hyperlink">
    <w:name w:val="Hyperlink"/>
    <w:basedOn w:val="DefaultParagraphFont"/>
    <w:semiHidden/>
    <w:rPr>
      <w:color w:val="auto"/>
      <w:u w:val="none"/>
    </w:rPr>
  </w:style>
  <w:style w:type="character" w:styleId="FollowedHyperlink">
    <w:name w:val="FollowedHyperlink"/>
    <w:basedOn w:val="DefaultParagraphFont"/>
    <w:semiHidden/>
    <w:rPr>
      <w:color w:val="auto"/>
      <w:u w:val="none"/>
    </w:rPr>
  </w:style>
  <w:style w:type="paragraph" w:customStyle="1" w:styleId="A-Heading1">
    <w:name w:val="A-Heading 1"/>
    <w:basedOn w:val="Normal"/>
    <w:next w:val="Normal"/>
    <w:pPr>
      <w:keepNext/>
      <w:spacing w:before="480"/>
      <w:outlineLvl w:val="0"/>
    </w:pPr>
    <w:rPr>
      <w:b/>
      <w:caps/>
      <w:lang w:val="en-GB"/>
    </w:rPr>
  </w:style>
  <w:style w:type="paragraph" w:customStyle="1" w:styleId="A-Heading2">
    <w:name w:val="A-Heading 2"/>
    <w:basedOn w:val="Normal"/>
    <w:next w:val="Normal"/>
    <w:pPr>
      <w:keepNext/>
      <w:spacing w:before="120" w:after="120"/>
      <w:outlineLvl w:val="1"/>
    </w:pPr>
    <w:rPr>
      <w:b/>
      <w:lang w:val="en-GB"/>
    </w:rPr>
  </w:style>
  <w:style w:type="paragraph" w:customStyle="1" w:styleId="A-Heading3">
    <w:name w:val="A-Heading 3"/>
    <w:basedOn w:val="Normal"/>
    <w:next w:val="Normal"/>
    <w:pPr>
      <w:keepNext/>
      <w:spacing w:after="120"/>
      <w:outlineLvl w:val="2"/>
    </w:pPr>
    <w:rPr>
      <w:b/>
      <w:i/>
      <w:sz w:val="22"/>
      <w:lang w:val="en-GB"/>
    </w:rPr>
  </w:style>
  <w:style w:type="paragraph" w:customStyle="1" w:styleId="A-Heading4">
    <w:name w:val="A-Heading 4"/>
    <w:basedOn w:val="Normal"/>
    <w:next w:val="Normal"/>
    <w:pPr>
      <w:keepNext/>
      <w:spacing w:after="120"/>
      <w:outlineLvl w:val="3"/>
    </w:pPr>
    <w:rPr>
      <w:i/>
      <w:lang w:val="en-GB"/>
    </w:rPr>
  </w:style>
  <w:style w:type="paragraph" w:customStyle="1" w:styleId="Tableheading">
    <w:name w:val="Table heading"/>
    <w:basedOn w:val="Normal"/>
    <w:pPr>
      <w:spacing w:line="240" w:lineRule="auto"/>
    </w:pPr>
    <w:rPr>
      <w:b/>
      <w:sz w:val="20"/>
      <w:szCs w:val="24"/>
    </w:rPr>
  </w:style>
  <w:style w:type="paragraph" w:styleId="FootnoteText">
    <w:name w:val="footnote text"/>
    <w:next w:val="Normal"/>
    <w:semiHidden/>
    <w:pPr>
      <w:tabs>
        <w:tab w:val="left" w:pos="431"/>
      </w:tabs>
      <w:ind w:left="431" w:hanging="431"/>
    </w:pPr>
    <w:rPr>
      <w:rFonts w:ascii="Arial" w:hAnsi="Arial"/>
      <w:lang w:val="en-GB" w:eastAsia="en-US"/>
    </w:rPr>
  </w:style>
  <w:style w:type="paragraph" w:customStyle="1" w:styleId="Tabletext">
    <w:name w:val="Table text"/>
    <w:basedOn w:val="Normal"/>
    <w:pPr>
      <w:spacing w:line="240" w:lineRule="auto"/>
    </w:pPr>
    <w:rPr>
      <w:sz w:val="20"/>
      <w:szCs w:val="24"/>
    </w:rPr>
  </w:style>
  <w:style w:type="paragraph" w:styleId="DocumentMap">
    <w:name w:val="Document Map"/>
    <w:basedOn w:val="Normal"/>
    <w:semiHidden/>
    <w:pPr>
      <w:shd w:val="clear" w:color="auto" w:fill="000080"/>
    </w:pPr>
    <w:rPr>
      <w:rFonts w:ascii="Tahoma" w:hAnsi="Tahoma" w:cs="Tahoma"/>
    </w:rPr>
  </w:style>
  <w:style w:type="paragraph" w:customStyle="1" w:styleId="USRALblNormal">
    <w:name w:val="USRA Lbl Normal"/>
    <w:pPr>
      <w:ind w:left="720"/>
      <w:jc w:val="both"/>
    </w:pPr>
    <w:rPr>
      <w:sz w:val="24"/>
      <w:lang w:val="en-GB" w:eastAsia="en-US"/>
    </w:rPr>
  </w:style>
  <w:style w:type="paragraph" w:customStyle="1" w:styleId="A-studytitle2">
    <w:name w:val="A-study title 2"/>
    <w:basedOn w:val="A-StudyTitle"/>
    <w:rPr>
      <w:b w:val="0"/>
      <w:sz w:val="24"/>
    </w:rPr>
  </w:style>
  <w:style w:type="paragraph" w:customStyle="1" w:styleId="A-studytitle3">
    <w:name w:val="A-study title 3"/>
    <w:basedOn w:val="A-StudyTitle"/>
    <w:rPr>
      <w:caps/>
      <w:sz w:val="24"/>
    </w:rPr>
  </w:style>
  <w:style w:type="paragraph" w:customStyle="1" w:styleId="A-Heading5">
    <w:name w:val="A-Heading 5"/>
    <w:basedOn w:val="A-Heading4"/>
    <w:rPr>
      <w:i w:val="0"/>
      <w:u w:val="single"/>
    </w:rPr>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0" w:line="240" w:lineRule="atLeast"/>
    </w:pPr>
    <w:rPr>
      <w:sz w:val="18"/>
      <w:szCs w:val="18"/>
    </w:rPr>
  </w:style>
  <w:style w:type="paragraph" w:styleId="BodyText3">
    <w:name w:val="Body Text 3"/>
    <w:basedOn w:val="Normal"/>
    <w:semiHidden/>
    <w:pPr>
      <w:autoSpaceDE w:val="0"/>
      <w:autoSpaceDN w:val="0"/>
      <w:adjustRightInd w:val="0"/>
      <w:spacing w:after="0" w:line="240" w:lineRule="auto"/>
    </w:pPr>
    <w:rPr>
      <w:rFonts w:ascii="Times New Roman" w:hAnsi="Times New Roman"/>
      <w:iCs/>
      <w:color w:val="000000"/>
      <w:szCs w:val="24"/>
      <w:lang w:val="en-GB"/>
    </w:rPr>
  </w:style>
  <w:style w:type="paragraph" w:customStyle="1" w:styleId="BMSBullets">
    <w:name w:val="BMS Bullets"/>
    <w:basedOn w:val="Normal"/>
    <w:pPr>
      <w:tabs>
        <w:tab w:val="num" w:pos="992"/>
      </w:tabs>
      <w:spacing w:after="60" w:line="240" w:lineRule="auto"/>
      <w:ind w:left="992" w:hanging="992"/>
      <w:jc w:val="both"/>
    </w:pPr>
    <w:rPr>
      <w:rFonts w:ascii="Times New Roman" w:hAnsi="Times New Roman"/>
      <w:color w:val="000000"/>
      <w:lang w:val="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 w:val="20"/>
    </w:rPr>
  </w:style>
  <w:style w:type="character" w:customStyle="1" w:styleId="CommentTextChar">
    <w:name w:val="Comment Text Char"/>
    <w:basedOn w:val="DefaultParagraphFont"/>
    <w:semiHidden/>
    <w:rPr>
      <w:rFonts w:ascii="Arial" w:hAnsi="Arial"/>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Arial" w:hAnsi="Arial"/>
      <w:b/>
      <w:bCs/>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customStyle="1" w:styleId="Default">
    <w:name w:val="Default"/>
    <w:pPr>
      <w:autoSpaceDE w:val="0"/>
      <w:autoSpaceDN w:val="0"/>
      <w:adjustRightInd w:val="0"/>
    </w:pPr>
    <w:rPr>
      <w:color w:val="000000"/>
      <w:sz w:val="24"/>
      <w:szCs w:val="24"/>
      <w:lang w:val="sv-SE" w:eastAsia="sv-SE"/>
    </w:rPr>
  </w:style>
  <w:style w:type="paragraph" w:styleId="NormalWeb">
    <w:name w:val="Normal (Web)"/>
    <w:basedOn w:val="Normal"/>
    <w:semiHidden/>
    <w:pPr>
      <w:spacing w:before="100" w:beforeAutospacing="1" w:after="100" w:afterAutospacing="1" w:line="240" w:lineRule="auto"/>
    </w:pPr>
    <w:rPr>
      <w:rFonts w:eastAsia="Arial Unicode MS"/>
      <w:sz w:val="22"/>
      <w:szCs w:val="22"/>
      <w:lang w:val="en-US"/>
    </w:rPr>
  </w:style>
  <w:style w:type="character" w:customStyle="1" w:styleId="FooterChar">
    <w:name w:val="Footer Char"/>
    <w:basedOn w:val="DefaultParagraphFont"/>
    <w:link w:val="Footer"/>
    <w:rsid w:val="0000669A"/>
    <w:rPr>
      <w:rFonts w:ascii="Arial" w:hAnsi="Arial"/>
      <w:sz w:val="16"/>
      <w:lang w:val="en-GB" w:eastAsia="en-US"/>
    </w:rPr>
  </w:style>
  <w:style w:type="table" w:styleId="TableGrid">
    <w:name w:val="Table Grid"/>
    <w:basedOn w:val="TableNormal"/>
    <w:uiPriority w:val="59"/>
    <w:rsid w:val="0000669A"/>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C"/>
    <w:pPr>
      <w:spacing w:after="240" w:line="280" w:lineRule="atLeast"/>
    </w:pPr>
    <w:rPr>
      <w:rFonts w:ascii="Arial" w:hAnsi="Arial"/>
      <w:sz w:val="24"/>
      <w:lang w:eastAsia="en-US"/>
    </w:rPr>
  </w:style>
  <w:style w:type="paragraph" w:styleId="Heading1">
    <w:name w:val="heading 1"/>
    <w:next w:val="Normal"/>
    <w:qFormat/>
    <w:pPr>
      <w:keepNext/>
      <w:numPr>
        <w:numId w:val="2"/>
      </w:numPr>
      <w:spacing w:before="480" w:after="240"/>
      <w:outlineLvl w:val="0"/>
    </w:pPr>
    <w:rPr>
      <w:b/>
      <w:caps/>
      <w:sz w:val="28"/>
      <w:lang w:val="en-GB" w:eastAsia="en-US"/>
    </w:rPr>
  </w:style>
  <w:style w:type="paragraph" w:styleId="Heading2">
    <w:name w:val="heading 2"/>
    <w:next w:val="Normal"/>
    <w:qFormat/>
    <w:pPr>
      <w:keepNext/>
      <w:numPr>
        <w:ilvl w:val="1"/>
        <w:numId w:val="2"/>
      </w:numPr>
      <w:spacing w:before="120" w:after="120"/>
      <w:outlineLvl w:val="1"/>
    </w:pPr>
    <w:rPr>
      <w:b/>
      <w:sz w:val="28"/>
      <w:lang w:val="en-GB" w:eastAsia="en-US"/>
    </w:rPr>
  </w:style>
  <w:style w:type="paragraph" w:styleId="Heading3">
    <w:name w:val="heading 3"/>
    <w:next w:val="Normal"/>
    <w:qFormat/>
    <w:pPr>
      <w:keepNext/>
      <w:numPr>
        <w:ilvl w:val="2"/>
        <w:numId w:val="2"/>
      </w:numPr>
      <w:spacing w:after="120"/>
      <w:outlineLvl w:val="2"/>
    </w:pPr>
    <w:rPr>
      <w:i/>
      <w:sz w:val="24"/>
      <w:lang w:val="en-GB" w:eastAsia="en-US"/>
    </w:rPr>
  </w:style>
  <w:style w:type="paragraph" w:styleId="Heading4">
    <w:name w:val="heading 4"/>
    <w:next w:val="Normal"/>
    <w:qFormat/>
    <w:pPr>
      <w:keepNext/>
      <w:numPr>
        <w:ilvl w:val="3"/>
        <w:numId w:val="2"/>
      </w:numPr>
      <w:spacing w:after="120"/>
      <w:outlineLvl w:val="3"/>
    </w:pPr>
    <w:rPr>
      <w:i/>
      <w:sz w:val="24"/>
      <w:lang w:val="en-GB" w:eastAsia="en-US"/>
    </w:rPr>
  </w:style>
  <w:style w:type="paragraph" w:styleId="Heading5">
    <w:name w:val="heading 5"/>
    <w:basedOn w:val="Normal"/>
    <w:next w:val="Normal"/>
    <w:qFormat/>
    <w:pPr>
      <w:keepNext/>
      <w:spacing w:after="120"/>
      <w:outlineLvl w:val="4"/>
    </w:pPr>
    <w:rPr>
      <w:u w:val="single"/>
      <w:lang w:val="en-GB"/>
    </w:rPr>
  </w:style>
  <w:style w:type="paragraph" w:styleId="Heading6">
    <w:name w:val="heading 6"/>
    <w:next w:val="Normal"/>
    <w:qFormat/>
    <w:pPr>
      <w:keepNext/>
      <w:spacing w:after="120"/>
      <w:outlineLvl w:val="5"/>
    </w:pPr>
    <w:rPr>
      <w:b/>
      <w:sz w:val="24"/>
      <w:lang w:val="en-GB" w:eastAsia="en-US"/>
    </w:rPr>
  </w:style>
  <w:style w:type="paragraph" w:styleId="Heading7">
    <w:name w:val="heading 7"/>
    <w:next w:val="Normal"/>
    <w:qFormat/>
    <w:pPr>
      <w:keepNext/>
      <w:spacing w:after="120"/>
      <w:outlineLvl w:val="6"/>
    </w:pPr>
    <w:rPr>
      <w:b/>
      <w:sz w:val="24"/>
      <w:lang w:val="en-GB" w:eastAsia="en-US"/>
    </w:rPr>
  </w:style>
  <w:style w:type="paragraph" w:styleId="Heading8">
    <w:name w:val="heading 8"/>
    <w:next w:val="Normal"/>
    <w:qFormat/>
    <w:pPr>
      <w:keepNext/>
      <w:spacing w:after="120"/>
      <w:outlineLvl w:val="7"/>
    </w:pPr>
    <w:rPr>
      <w:b/>
      <w:sz w:val="24"/>
      <w:lang w:val="en-GB" w:eastAsia="en-US"/>
    </w:rPr>
  </w:style>
  <w:style w:type="paragraph" w:styleId="Heading9">
    <w:name w:val="heading 9"/>
    <w:next w:val="Normal"/>
    <w:qFormat/>
    <w:pPr>
      <w:keepNext/>
      <w:outlineLvl w:val="8"/>
    </w:pPr>
    <w:rPr>
      <w:b/>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semiHidden/>
    <w:rPr>
      <w:rFonts w:ascii="Arial" w:hAnsi="Arial"/>
      <w:sz w:val="16"/>
      <w:lang w:val="en-GB" w:eastAsia="en-US"/>
    </w:rPr>
  </w:style>
  <w:style w:type="paragraph" w:styleId="Footer">
    <w:name w:val="footer"/>
    <w:link w:val="FooterChar"/>
    <w:rPr>
      <w:rFonts w:ascii="Arial" w:hAnsi="Arial"/>
      <w:sz w:val="16"/>
      <w:lang w:val="en-GB" w:eastAsia="en-US"/>
    </w:rPr>
  </w:style>
  <w:style w:type="paragraph" w:customStyle="1" w:styleId="A-Guided">
    <w:name w:val="A-Guided"/>
    <w:basedOn w:val="Normal"/>
    <w:pPr>
      <w:spacing w:before="60"/>
    </w:pPr>
    <w:rPr>
      <w:lang w:val="en-GB"/>
    </w:rPr>
  </w:style>
  <w:style w:type="paragraph" w:customStyle="1" w:styleId="A-GuidedBold">
    <w:name w:val="A-Guided Bold"/>
    <w:basedOn w:val="Normal"/>
    <w:pPr>
      <w:spacing w:before="60" w:after="120"/>
    </w:pPr>
    <w:rPr>
      <w:b/>
      <w:lang w:val="en-GB"/>
    </w:rPr>
  </w:style>
  <w:style w:type="character" w:customStyle="1" w:styleId="Z-RedHidden">
    <w:name w:val="Z-Red Hidden"/>
    <w:basedOn w:val="DefaultParagraphFont"/>
    <w:rPr>
      <w:rFonts w:ascii="Arial" w:hAnsi="Arial"/>
      <w:vanish/>
      <w:color w:val="FF0000"/>
      <w:sz w:val="16"/>
    </w:rPr>
  </w:style>
  <w:style w:type="paragraph" w:customStyle="1" w:styleId="A-StudyTitle">
    <w:name w:val="A-Study Title"/>
    <w:basedOn w:val="Normal"/>
    <w:pPr>
      <w:spacing w:after="120"/>
      <w:jc w:val="center"/>
    </w:pPr>
    <w:rPr>
      <w:b/>
      <w:sz w:val="32"/>
      <w:lang w:val="en-GB"/>
    </w:rPr>
  </w:style>
  <w:style w:type="paragraph" w:styleId="TOC1">
    <w:name w:val="toc 1"/>
    <w:next w:val="TOC2"/>
    <w:semiHidden/>
    <w:pPr>
      <w:tabs>
        <w:tab w:val="right" w:leader="dot" w:pos="8931"/>
      </w:tabs>
      <w:spacing w:before="120"/>
      <w:ind w:left="994" w:right="864" w:hanging="994"/>
    </w:pPr>
    <w:rPr>
      <w:caps/>
      <w:sz w:val="24"/>
      <w:lang w:val="en-GB" w:eastAsia="en-US"/>
    </w:rPr>
  </w:style>
  <w:style w:type="paragraph" w:styleId="TOC2">
    <w:name w:val="toc 2"/>
    <w:basedOn w:val="TOC1"/>
    <w:next w:val="TOC3"/>
    <w:semiHidden/>
    <w:rPr>
      <w:caps w:val="0"/>
    </w:rPr>
  </w:style>
  <w:style w:type="paragraph" w:styleId="TOC3">
    <w:name w:val="toc 3"/>
    <w:basedOn w:val="TOC1"/>
    <w:next w:val="TOC4"/>
    <w:semiHidden/>
    <w:pPr>
      <w:spacing w:before="0"/>
    </w:pPr>
    <w:rPr>
      <w:caps w:val="0"/>
    </w:rPr>
  </w:style>
  <w:style w:type="paragraph" w:styleId="TOC4">
    <w:name w:val="toc 4"/>
    <w:basedOn w:val="TOC1"/>
    <w:semiHidden/>
    <w:pPr>
      <w:spacing w:before="0"/>
    </w:pPr>
    <w:rPr>
      <w:caps w:val="0"/>
    </w:rPr>
  </w:style>
  <w:style w:type="character" w:styleId="PageNumber">
    <w:name w:val="page number"/>
    <w:basedOn w:val="DefaultParagraphFont"/>
    <w:semiHidden/>
    <w:rPr>
      <w:rFonts w:ascii="Arial" w:hAnsi="Arial"/>
      <w:sz w:val="20"/>
    </w:rPr>
  </w:style>
  <w:style w:type="paragraph" w:customStyle="1" w:styleId="A-TableText">
    <w:name w:val="A-Table Text"/>
    <w:basedOn w:val="Normal"/>
    <w:pPr>
      <w:spacing w:before="60" w:after="60"/>
    </w:pPr>
    <w:rPr>
      <w:sz w:val="22"/>
      <w:lang w:val="en-GB"/>
    </w:rPr>
  </w:style>
  <w:style w:type="paragraph" w:styleId="Caption">
    <w:name w:val="caption"/>
    <w:next w:val="Normal"/>
    <w:qFormat/>
    <w:pPr>
      <w:keepNext/>
      <w:spacing w:after="120" w:line="280" w:lineRule="atLeast"/>
      <w:ind w:left="1418" w:hanging="1418"/>
    </w:pPr>
    <w:rPr>
      <w:b/>
      <w:sz w:val="24"/>
      <w:lang w:val="en-GB" w:eastAsia="en-US"/>
    </w:rPr>
  </w:style>
  <w:style w:type="paragraph" w:styleId="TOC5">
    <w:name w:val="toc 5"/>
    <w:basedOn w:val="TOC1"/>
    <w:next w:val="Normal"/>
    <w:semiHidden/>
    <w:pPr>
      <w:ind w:firstLine="0"/>
    </w:pPr>
  </w:style>
  <w:style w:type="paragraph" w:styleId="TOC6">
    <w:name w:val="toc 6"/>
    <w:basedOn w:val="TOC2"/>
    <w:next w:val="Normal"/>
    <w:semiHidden/>
    <w:pPr>
      <w:ind w:firstLine="0"/>
    </w:pPr>
  </w:style>
  <w:style w:type="paragraph" w:styleId="TOC7">
    <w:name w:val="toc 7"/>
    <w:basedOn w:val="TOC3"/>
    <w:next w:val="Normal"/>
    <w:semiHidden/>
    <w:pPr>
      <w:ind w:firstLine="0"/>
    </w:pPr>
  </w:style>
  <w:style w:type="paragraph" w:styleId="TOC8">
    <w:name w:val="toc 8"/>
    <w:basedOn w:val="TOC4"/>
    <w:next w:val="Normal"/>
    <w:semiHidden/>
    <w:pPr>
      <w:ind w:firstLine="0"/>
    </w:pPr>
  </w:style>
  <w:style w:type="paragraph" w:styleId="TOC9">
    <w:name w:val="toc 9"/>
    <w:basedOn w:val="TOC1"/>
    <w:next w:val="Normal"/>
    <w:semiHidden/>
    <w:pPr>
      <w:ind w:firstLine="0"/>
    </w:pPr>
  </w:style>
  <w:style w:type="paragraph" w:customStyle="1" w:styleId="A-LandscapeFont">
    <w:name w:val="A-Landscape Font"/>
    <w:pPr>
      <w:spacing w:line="280" w:lineRule="atLeast"/>
    </w:pPr>
    <w:rPr>
      <w:rFonts w:ascii="Courier" w:hAnsi="Courier"/>
      <w:sz w:val="16"/>
      <w:lang w:val="en-GB" w:eastAsia="en-US"/>
    </w:rPr>
  </w:style>
  <w:style w:type="paragraph" w:customStyle="1" w:styleId="A-TableHeader">
    <w:name w:val="A-Table Header"/>
    <w:basedOn w:val="Normal"/>
    <w:next w:val="A-TableText"/>
    <w:pPr>
      <w:keepNext/>
      <w:spacing w:before="60" w:after="60"/>
    </w:pPr>
    <w:rPr>
      <w:b/>
      <w:sz w:val="20"/>
      <w:lang w:val="en-GB"/>
    </w:rPr>
  </w:style>
  <w:style w:type="paragraph" w:styleId="TableofFigures">
    <w:name w:val="table of figures"/>
    <w:next w:val="Normal"/>
    <w:semiHidden/>
    <w:pPr>
      <w:tabs>
        <w:tab w:val="left" w:pos="1800"/>
        <w:tab w:val="right" w:leader="dot" w:pos="8928"/>
      </w:tabs>
      <w:spacing w:before="120" w:line="280" w:lineRule="atLeast"/>
      <w:ind w:left="1800" w:right="864" w:hanging="1800"/>
    </w:pPr>
    <w:rPr>
      <w:sz w:val="24"/>
      <w:lang w:val="en-GB" w:eastAsia="en-US"/>
    </w:rPr>
  </w:style>
  <w:style w:type="paragraph" w:customStyle="1" w:styleId="A-AppendixTitle">
    <w:name w:val="A-Appendix Title"/>
    <w:basedOn w:val="Normal"/>
    <w:next w:val="Normal"/>
    <w:pPr>
      <w:tabs>
        <w:tab w:val="left" w:pos="1800"/>
      </w:tabs>
      <w:spacing w:after="120"/>
      <w:ind w:left="1800" w:hanging="1800"/>
    </w:pPr>
    <w:rPr>
      <w:b/>
      <w:sz w:val="28"/>
      <w:lang w:val="en-GB"/>
    </w:rPr>
  </w:style>
  <w:style w:type="paragraph" w:customStyle="1" w:styleId="Z-Box">
    <w:name w:val="Z-Box"/>
    <w:basedOn w:val="Normal"/>
    <w:pPr>
      <w:pBdr>
        <w:top w:val="single" w:sz="6" w:space="0" w:color="auto"/>
        <w:left w:val="single" w:sz="6" w:space="0" w:color="auto"/>
        <w:bottom w:val="single" w:sz="6" w:space="0" w:color="auto"/>
        <w:right w:val="single" w:sz="6" w:space="0" w:color="auto"/>
      </w:pBdr>
      <w:spacing w:before="40" w:after="40"/>
      <w:jc w:val="center"/>
    </w:pPr>
    <w:rPr>
      <w:sz w:val="20"/>
    </w:rPr>
  </w:style>
  <w:style w:type="paragraph" w:customStyle="1" w:styleId="A-Single">
    <w:name w:val="A-Single"/>
    <w:basedOn w:val="Normal"/>
    <w:rPr>
      <w:lang w:val="en-GB"/>
    </w:rPr>
  </w:style>
  <w:style w:type="paragraph" w:customStyle="1" w:styleId="A-Unnumbered">
    <w:name w:val="A-Unnumbered"/>
    <w:basedOn w:val="Normal"/>
    <w:next w:val="Normal"/>
    <w:pPr>
      <w:keepNext/>
      <w:spacing w:before="480"/>
    </w:pPr>
    <w:rPr>
      <w:b/>
      <w:caps/>
      <w:sz w:val="28"/>
      <w:lang w:val="en-GB"/>
    </w:rPr>
  </w:style>
  <w:style w:type="paragraph" w:customStyle="1" w:styleId="A-Unassigned">
    <w:name w:val="A-Unassigned"/>
    <w:basedOn w:val="Normal"/>
    <w:next w:val="Normal"/>
    <w:pPr>
      <w:keepNext/>
      <w:spacing w:before="120" w:after="120"/>
    </w:pPr>
    <w:rPr>
      <w:b/>
      <w:lang w:val="en-GB"/>
    </w:rPr>
  </w:style>
  <w:style w:type="paragraph" w:customStyle="1" w:styleId="A-ListBullet">
    <w:name w:val="A-List Bullet"/>
    <w:basedOn w:val="Normal"/>
    <w:pPr>
      <w:numPr>
        <w:numId w:val="3"/>
      </w:numPr>
    </w:pPr>
    <w:rPr>
      <w:lang w:val="en-GB"/>
    </w:rPr>
  </w:style>
  <w:style w:type="paragraph" w:customStyle="1" w:styleId="A-ListNumber">
    <w:name w:val="A-List Number"/>
    <w:basedOn w:val="Normal"/>
    <w:pPr>
      <w:tabs>
        <w:tab w:val="left" w:pos="994"/>
      </w:tabs>
      <w:ind w:left="994" w:hanging="994"/>
    </w:pPr>
    <w:rPr>
      <w:lang w:val="en-GB"/>
    </w:rPr>
  </w:style>
  <w:style w:type="paragraph" w:customStyle="1" w:styleId="A-ListSubsidiary">
    <w:name w:val="A-List Subsidiary"/>
    <w:basedOn w:val="Normal"/>
    <w:pPr>
      <w:numPr>
        <w:numId w:val="4"/>
      </w:numPr>
      <w:tabs>
        <w:tab w:val="clear" w:pos="1987"/>
        <w:tab w:val="left" w:pos="1440"/>
      </w:tabs>
      <w:ind w:left="1440" w:hanging="446"/>
    </w:pPr>
    <w:rPr>
      <w:lang w:val="en-GB"/>
    </w:rPr>
  </w:style>
  <w:style w:type="paragraph" w:customStyle="1" w:styleId="A-NormalIndent">
    <w:name w:val="A-Normal Indent"/>
    <w:basedOn w:val="Normal"/>
    <w:next w:val="Normal"/>
    <w:pPr>
      <w:ind w:left="992"/>
    </w:pPr>
    <w:rPr>
      <w:lang w:val="en-GB"/>
    </w:rPr>
  </w:style>
  <w:style w:type="paragraph" w:customStyle="1" w:styleId="A-Lista">
    <w:name w:val="A-List (a)"/>
    <w:basedOn w:val="Normal"/>
    <w:next w:val="Normal"/>
    <w:pPr>
      <w:numPr>
        <w:numId w:val="5"/>
      </w:numPr>
    </w:pPr>
    <w:rPr>
      <w:lang w:val="en-GB"/>
    </w:rPr>
  </w:style>
  <w:style w:type="paragraph" w:customStyle="1" w:styleId="A-Listi">
    <w:name w:val="A-List (i)"/>
    <w:basedOn w:val="Normal"/>
    <w:next w:val="Normal"/>
    <w:pPr>
      <w:numPr>
        <w:numId w:val="6"/>
      </w:numPr>
    </w:pPr>
    <w:rPr>
      <w:lang w:val="en-GB"/>
    </w:rPr>
  </w:style>
  <w:style w:type="paragraph" w:customStyle="1" w:styleId="A-TableTitle">
    <w:name w:val="A-Table Title"/>
    <w:basedOn w:val="Normal"/>
    <w:next w:val="Normal"/>
    <w:pPr>
      <w:keepNext/>
      <w:tabs>
        <w:tab w:val="left" w:pos="1800"/>
      </w:tabs>
      <w:spacing w:after="120"/>
      <w:ind w:left="1800" w:hanging="1800"/>
    </w:pPr>
    <w:rPr>
      <w:b/>
      <w:lang w:val="en-GB"/>
    </w:rPr>
  </w:style>
  <w:style w:type="paragraph" w:customStyle="1" w:styleId="A-FigureTitle">
    <w:name w:val="A-Figure Title"/>
    <w:basedOn w:val="Normal"/>
    <w:next w:val="Normal"/>
    <w:pPr>
      <w:keepNext/>
      <w:tabs>
        <w:tab w:val="left" w:pos="1800"/>
      </w:tabs>
      <w:spacing w:after="120"/>
      <w:ind w:left="1800" w:hanging="1800"/>
    </w:pPr>
    <w:rPr>
      <w:b/>
      <w:lang w:val="en-GB"/>
    </w:rPr>
  </w:style>
  <w:style w:type="paragraph" w:customStyle="1" w:styleId="A-TableFootnoteText">
    <w:name w:val="A-Table Footnote Text"/>
    <w:basedOn w:val="Normal"/>
    <w:next w:val="Normal"/>
    <w:pPr>
      <w:tabs>
        <w:tab w:val="left" w:pos="432"/>
      </w:tabs>
      <w:ind w:left="432" w:hanging="432"/>
    </w:pPr>
    <w:rPr>
      <w:sz w:val="18"/>
      <w:lang w:val="en-GB"/>
    </w:rPr>
  </w:style>
  <w:style w:type="paragraph" w:customStyle="1" w:styleId="Z-LogoHeader">
    <w:name w:val="Z-Logo Header"/>
    <w:basedOn w:val="Header"/>
    <w:pPr>
      <w:spacing w:before="240"/>
    </w:pPr>
  </w:style>
  <w:style w:type="paragraph" w:customStyle="1" w:styleId="Z-Signature">
    <w:name w:val="Z-Signature"/>
    <w:next w:val="Normal"/>
    <w:pPr>
      <w:spacing w:before="360" w:line="280" w:lineRule="atLeast"/>
    </w:pPr>
    <w:rPr>
      <w:sz w:val="24"/>
      <w:lang w:val="en-GB" w:eastAsia="en-US"/>
    </w:rPr>
  </w:style>
  <w:style w:type="paragraph" w:customStyle="1" w:styleId="TocHeaders">
    <w:name w:val="TocHeaders"/>
    <w:next w:val="Normal"/>
    <w:pPr>
      <w:keepNext/>
      <w:spacing w:before="480" w:after="240"/>
      <w:outlineLvl w:val="0"/>
    </w:pPr>
    <w:rPr>
      <w:b/>
      <w:caps/>
      <w:sz w:val="28"/>
      <w:lang w:val="en-GB" w:eastAsia="en-US"/>
    </w:rPr>
  </w:style>
  <w:style w:type="character" w:styleId="Hyperlink">
    <w:name w:val="Hyperlink"/>
    <w:basedOn w:val="DefaultParagraphFont"/>
    <w:semiHidden/>
    <w:rPr>
      <w:color w:val="auto"/>
      <w:u w:val="none"/>
    </w:rPr>
  </w:style>
  <w:style w:type="character" w:styleId="FollowedHyperlink">
    <w:name w:val="FollowedHyperlink"/>
    <w:basedOn w:val="DefaultParagraphFont"/>
    <w:semiHidden/>
    <w:rPr>
      <w:color w:val="auto"/>
      <w:u w:val="none"/>
    </w:rPr>
  </w:style>
  <w:style w:type="paragraph" w:customStyle="1" w:styleId="A-Heading1">
    <w:name w:val="A-Heading 1"/>
    <w:basedOn w:val="Normal"/>
    <w:next w:val="Normal"/>
    <w:pPr>
      <w:keepNext/>
      <w:spacing w:before="480"/>
      <w:outlineLvl w:val="0"/>
    </w:pPr>
    <w:rPr>
      <w:b/>
      <w:caps/>
      <w:lang w:val="en-GB"/>
    </w:rPr>
  </w:style>
  <w:style w:type="paragraph" w:customStyle="1" w:styleId="A-Heading2">
    <w:name w:val="A-Heading 2"/>
    <w:basedOn w:val="Normal"/>
    <w:next w:val="Normal"/>
    <w:pPr>
      <w:keepNext/>
      <w:spacing w:before="120" w:after="120"/>
      <w:outlineLvl w:val="1"/>
    </w:pPr>
    <w:rPr>
      <w:b/>
      <w:lang w:val="en-GB"/>
    </w:rPr>
  </w:style>
  <w:style w:type="paragraph" w:customStyle="1" w:styleId="A-Heading3">
    <w:name w:val="A-Heading 3"/>
    <w:basedOn w:val="Normal"/>
    <w:next w:val="Normal"/>
    <w:pPr>
      <w:keepNext/>
      <w:spacing w:after="120"/>
      <w:outlineLvl w:val="2"/>
    </w:pPr>
    <w:rPr>
      <w:b/>
      <w:i/>
      <w:sz w:val="22"/>
      <w:lang w:val="en-GB"/>
    </w:rPr>
  </w:style>
  <w:style w:type="paragraph" w:customStyle="1" w:styleId="A-Heading4">
    <w:name w:val="A-Heading 4"/>
    <w:basedOn w:val="Normal"/>
    <w:next w:val="Normal"/>
    <w:pPr>
      <w:keepNext/>
      <w:spacing w:after="120"/>
      <w:outlineLvl w:val="3"/>
    </w:pPr>
    <w:rPr>
      <w:i/>
      <w:lang w:val="en-GB"/>
    </w:rPr>
  </w:style>
  <w:style w:type="paragraph" w:customStyle="1" w:styleId="Tableheading">
    <w:name w:val="Table heading"/>
    <w:basedOn w:val="Normal"/>
    <w:pPr>
      <w:spacing w:line="240" w:lineRule="auto"/>
    </w:pPr>
    <w:rPr>
      <w:b/>
      <w:sz w:val="20"/>
      <w:szCs w:val="24"/>
    </w:rPr>
  </w:style>
  <w:style w:type="paragraph" w:styleId="FootnoteText">
    <w:name w:val="footnote text"/>
    <w:next w:val="Normal"/>
    <w:semiHidden/>
    <w:pPr>
      <w:tabs>
        <w:tab w:val="left" w:pos="431"/>
      </w:tabs>
      <w:ind w:left="431" w:hanging="431"/>
    </w:pPr>
    <w:rPr>
      <w:rFonts w:ascii="Arial" w:hAnsi="Arial"/>
      <w:lang w:val="en-GB" w:eastAsia="en-US"/>
    </w:rPr>
  </w:style>
  <w:style w:type="paragraph" w:customStyle="1" w:styleId="Tabletext">
    <w:name w:val="Table text"/>
    <w:basedOn w:val="Normal"/>
    <w:pPr>
      <w:spacing w:line="240" w:lineRule="auto"/>
    </w:pPr>
    <w:rPr>
      <w:sz w:val="20"/>
      <w:szCs w:val="24"/>
    </w:rPr>
  </w:style>
  <w:style w:type="paragraph" w:styleId="DocumentMap">
    <w:name w:val="Document Map"/>
    <w:basedOn w:val="Normal"/>
    <w:semiHidden/>
    <w:pPr>
      <w:shd w:val="clear" w:color="auto" w:fill="000080"/>
    </w:pPr>
    <w:rPr>
      <w:rFonts w:ascii="Tahoma" w:hAnsi="Tahoma" w:cs="Tahoma"/>
    </w:rPr>
  </w:style>
  <w:style w:type="paragraph" w:customStyle="1" w:styleId="USRALblNormal">
    <w:name w:val="USRA Lbl Normal"/>
    <w:pPr>
      <w:ind w:left="720"/>
      <w:jc w:val="both"/>
    </w:pPr>
    <w:rPr>
      <w:sz w:val="24"/>
      <w:lang w:val="en-GB" w:eastAsia="en-US"/>
    </w:rPr>
  </w:style>
  <w:style w:type="paragraph" w:customStyle="1" w:styleId="A-studytitle2">
    <w:name w:val="A-study title 2"/>
    <w:basedOn w:val="A-StudyTitle"/>
    <w:rPr>
      <w:b w:val="0"/>
      <w:sz w:val="24"/>
    </w:rPr>
  </w:style>
  <w:style w:type="paragraph" w:customStyle="1" w:styleId="A-studytitle3">
    <w:name w:val="A-study title 3"/>
    <w:basedOn w:val="A-StudyTitle"/>
    <w:rPr>
      <w:caps/>
      <w:sz w:val="24"/>
    </w:rPr>
  </w:style>
  <w:style w:type="paragraph" w:customStyle="1" w:styleId="A-Heading5">
    <w:name w:val="A-Heading 5"/>
    <w:basedOn w:val="A-Heading4"/>
    <w:rPr>
      <w:i w:val="0"/>
      <w:u w:val="single"/>
    </w:rPr>
  </w:style>
  <w:style w:type="character" w:styleId="FootnoteReference">
    <w:name w:val="footnote reference"/>
    <w:basedOn w:val="DefaultParagraphFont"/>
    <w:semiHidden/>
    <w:rPr>
      <w:vertAlign w:val="superscript"/>
    </w:rPr>
  </w:style>
  <w:style w:type="paragraph" w:styleId="BodyText">
    <w:name w:val="Body Text"/>
    <w:basedOn w:val="Normal"/>
    <w:semiHidden/>
    <w:pPr>
      <w:spacing w:after="0" w:line="240" w:lineRule="atLeast"/>
    </w:pPr>
    <w:rPr>
      <w:sz w:val="18"/>
      <w:szCs w:val="18"/>
    </w:rPr>
  </w:style>
  <w:style w:type="paragraph" w:styleId="BodyText3">
    <w:name w:val="Body Text 3"/>
    <w:basedOn w:val="Normal"/>
    <w:semiHidden/>
    <w:pPr>
      <w:autoSpaceDE w:val="0"/>
      <w:autoSpaceDN w:val="0"/>
      <w:adjustRightInd w:val="0"/>
      <w:spacing w:after="0" w:line="240" w:lineRule="auto"/>
    </w:pPr>
    <w:rPr>
      <w:rFonts w:ascii="Times New Roman" w:hAnsi="Times New Roman"/>
      <w:iCs/>
      <w:color w:val="000000"/>
      <w:szCs w:val="24"/>
      <w:lang w:val="en-GB"/>
    </w:rPr>
  </w:style>
  <w:style w:type="paragraph" w:customStyle="1" w:styleId="BMSBullets">
    <w:name w:val="BMS Bullets"/>
    <w:basedOn w:val="Normal"/>
    <w:pPr>
      <w:tabs>
        <w:tab w:val="num" w:pos="992"/>
      </w:tabs>
      <w:spacing w:after="60" w:line="240" w:lineRule="auto"/>
      <w:ind w:left="992" w:hanging="992"/>
      <w:jc w:val="both"/>
    </w:pPr>
    <w:rPr>
      <w:rFonts w:ascii="Times New Roman" w:hAnsi="Times New Roman"/>
      <w:color w:val="000000"/>
      <w:lang w:val="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 w:val="20"/>
    </w:rPr>
  </w:style>
  <w:style w:type="character" w:customStyle="1" w:styleId="CommentTextChar">
    <w:name w:val="Comment Text Char"/>
    <w:basedOn w:val="DefaultParagraphFont"/>
    <w:semiHidden/>
    <w:rPr>
      <w:rFonts w:ascii="Arial" w:hAnsi="Arial"/>
      <w:lang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Arial" w:hAnsi="Arial"/>
      <w:b/>
      <w:bCs/>
      <w:lang w:eastAsia="en-U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lang w:eastAsia="en-US"/>
    </w:rPr>
  </w:style>
  <w:style w:type="paragraph" w:customStyle="1" w:styleId="Default">
    <w:name w:val="Default"/>
    <w:pPr>
      <w:autoSpaceDE w:val="0"/>
      <w:autoSpaceDN w:val="0"/>
      <w:adjustRightInd w:val="0"/>
    </w:pPr>
    <w:rPr>
      <w:color w:val="000000"/>
      <w:sz w:val="24"/>
      <w:szCs w:val="24"/>
      <w:lang w:val="sv-SE" w:eastAsia="sv-SE"/>
    </w:rPr>
  </w:style>
  <w:style w:type="paragraph" w:styleId="NormalWeb">
    <w:name w:val="Normal (Web)"/>
    <w:basedOn w:val="Normal"/>
    <w:semiHidden/>
    <w:pPr>
      <w:spacing w:before="100" w:beforeAutospacing="1" w:after="100" w:afterAutospacing="1" w:line="240" w:lineRule="auto"/>
    </w:pPr>
    <w:rPr>
      <w:rFonts w:eastAsia="Arial Unicode MS"/>
      <w:sz w:val="22"/>
      <w:szCs w:val="22"/>
      <w:lang w:val="en-US"/>
    </w:rPr>
  </w:style>
  <w:style w:type="character" w:customStyle="1" w:styleId="FooterChar">
    <w:name w:val="Footer Char"/>
    <w:basedOn w:val="DefaultParagraphFont"/>
    <w:link w:val="Footer"/>
    <w:rsid w:val="0000669A"/>
    <w:rPr>
      <w:rFonts w:ascii="Arial" w:hAnsi="Arial"/>
      <w:sz w:val="16"/>
      <w:lang w:val="en-GB" w:eastAsia="en-US"/>
    </w:rPr>
  </w:style>
  <w:style w:type="table" w:styleId="TableGrid">
    <w:name w:val="Table Grid"/>
    <w:basedOn w:val="TableNormal"/>
    <w:uiPriority w:val="59"/>
    <w:rsid w:val="0000669A"/>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F6CE8-249D-4295-829A-90A89C322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4178</Words>
  <Characters>24121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Attachment: Product Information: Olaparib</vt:lpstr>
    </vt:vector>
  </TitlesOfParts>
  <Company>AstraZeneca</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Olaparib</dc:title>
  <dc:creator>LACK, Janet</dc:creator>
  <cp:keywords>Version 2.0</cp:keywords>
  <dc:description>Word 2000_x000d_
File Date 16 March 2005</dc:description>
  <cp:lastModifiedBy>LACK, Janet</cp:lastModifiedBy>
  <cp:revision>2</cp:revision>
  <cp:lastPrinted>2015-12-19T01:31:00Z</cp:lastPrinted>
  <dcterms:created xsi:type="dcterms:W3CDTF">2019-05-06T23:11:00Z</dcterms:created>
  <dcterms:modified xsi:type="dcterms:W3CDTF">2019-05-06T23:11:00Z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pVersion">
    <vt:lpwstr>4.0</vt:lpwstr>
  </property>
  <property fmtid="{D5CDD505-2E9C-101B-9397-08002B2CF9AE}" pid="3" name="prpGSDName">
    <vt:lpwstr>GEL Core</vt:lpwstr>
  </property>
  <property fmtid="{D5CDD505-2E9C-101B-9397-08002B2CF9AE}" pid="4" name="prpGSDNo">
    <vt:lpwstr>AstraZeneca</vt:lpwstr>
  </property>
</Properties>
</file>