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4960BBE" w14:textId="77777777" w:rsidTr="00BF1190">
        <w:trPr>
          <w:trHeight w:val="1863"/>
        </w:trPr>
        <w:tc>
          <w:tcPr>
            <w:tcW w:w="3652" w:type="dxa"/>
            <w:tcBorders>
              <w:top w:val="nil"/>
              <w:left w:val="nil"/>
              <w:bottom w:val="nil"/>
              <w:right w:val="nil"/>
            </w:tcBorders>
          </w:tcPr>
          <w:p w14:paraId="0E3D669B" w14:textId="71415765" w:rsidR="008E7846" w:rsidRPr="00096AA7" w:rsidRDefault="0018749A" w:rsidP="00096AA7">
            <w:pPr>
              <w:rPr>
                <w:rFonts w:ascii="Arial" w:hAnsi="Arial" w:cs="Arial"/>
                <w:b/>
                <w:color w:val="002C47"/>
                <w:sz w:val="36"/>
                <w:szCs w:val="36"/>
              </w:rPr>
            </w:pPr>
            <w:r>
              <w:rPr>
                <w:rFonts w:ascii="Arial" w:hAnsi="Arial" w:cs="Arial"/>
                <w:b/>
                <w:color w:val="002C47"/>
                <w:sz w:val="36"/>
                <w:szCs w:val="36"/>
              </w:rPr>
              <w:t xml:space="preserve">April </w:t>
            </w:r>
            <w:r w:rsidR="0043466A">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307BD68" w14:textId="77777777" w:rsidTr="0032583B">
        <w:trPr>
          <w:trHeight w:val="868"/>
        </w:trPr>
        <w:tc>
          <w:tcPr>
            <w:tcW w:w="9079" w:type="dxa"/>
          </w:tcPr>
          <w:p w14:paraId="6B4D6425" w14:textId="77777777" w:rsidR="0032583B" w:rsidRPr="00A964D1" w:rsidRDefault="0032583B" w:rsidP="0043466A">
            <w:pPr>
              <w:pStyle w:val="Title"/>
              <w:rPr>
                <w:color w:val="FFFFFF" w:themeColor="background1"/>
              </w:rPr>
            </w:pPr>
            <w:r w:rsidRPr="00A964D1">
              <w:rPr>
                <w:color w:val="FFFFFF" w:themeColor="background1"/>
              </w:rPr>
              <w:t xml:space="preserve">Australian Public Assessment Report for </w:t>
            </w:r>
            <w:proofErr w:type="spellStart"/>
            <w:r w:rsidR="0043466A">
              <w:rPr>
                <w:color w:val="FFFFFF" w:themeColor="background1"/>
              </w:rPr>
              <w:t>O</w:t>
            </w:r>
            <w:r w:rsidR="0043466A" w:rsidRPr="0043466A">
              <w:rPr>
                <w:color w:val="FFFFFF" w:themeColor="background1"/>
              </w:rPr>
              <w:t>malizumab</w:t>
            </w:r>
            <w:proofErr w:type="spellEnd"/>
          </w:p>
        </w:tc>
      </w:tr>
      <w:tr w:rsidR="0032583B" w:rsidRPr="00B64760" w14:paraId="508DAE22" w14:textId="77777777" w:rsidTr="0032583B">
        <w:tc>
          <w:tcPr>
            <w:tcW w:w="9079" w:type="dxa"/>
          </w:tcPr>
          <w:p w14:paraId="2AF9E9DE" w14:textId="77777777" w:rsidR="0032583B" w:rsidRPr="008E7846" w:rsidRDefault="0043466A" w:rsidP="00460036">
            <w:pPr>
              <w:pStyle w:val="Subtitle"/>
              <w:rPr>
                <w:color w:val="FFFFFF" w:themeColor="background1"/>
              </w:rPr>
            </w:pPr>
            <w:r>
              <w:rPr>
                <w:color w:val="FFFFFF" w:themeColor="background1"/>
              </w:rPr>
              <w:t xml:space="preserve">Proprietary Product Name: </w:t>
            </w:r>
            <w:proofErr w:type="spellStart"/>
            <w:r>
              <w:rPr>
                <w:color w:val="FFFFFF" w:themeColor="background1"/>
              </w:rPr>
              <w:t>Xolair</w:t>
            </w:r>
            <w:proofErr w:type="spellEnd"/>
          </w:p>
        </w:tc>
      </w:tr>
      <w:tr w:rsidR="0032583B" w:rsidRPr="00B64760" w14:paraId="4555702E" w14:textId="77777777" w:rsidTr="0032583B">
        <w:trPr>
          <w:trHeight w:val="486"/>
        </w:trPr>
        <w:tc>
          <w:tcPr>
            <w:tcW w:w="9079" w:type="dxa"/>
          </w:tcPr>
          <w:p w14:paraId="665E28F0" w14:textId="77777777" w:rsidR="0032583B" w:rsidRPr="008E7846" w:rsidRDefault="0043466A" w:rsidP="0043466A">
            <w:pPr>
              <w:pStyle w:val="Subtitle"/>
              <w:rPr>
                <w:color w:val="FFFFFF" w:themeColor="background1"/>
              </w:rPr>
            </w:pPr>
            <w:r>
              <w:rPr>
                <w:color w:val="FFFFFF" w:themeColor="background1"/>
              </w:rPr>
              <w:t xml:space="preserve">Sponsor: </w:t>
            </w:r>
            <w:r w:rsidRPr="0043466A">
              <w:rPr>
                <w:color w:val="FFFFFF" w:themeColor="background1"/>
              </w:rPr>
              <w:t>Novartis Pharmaceuticals Australia</w:t>
            </w:r>
            <w:r>
              <w:rPr>
                <w:color w:val="FFFFFF" w:themeColor="background1"/>
              </w:rPr>
              <w:t xml:space="preserve"> Pty Ltd</w:t>
            </w:r>
          </w:p>
        </w:tc>
      </w:tr>
    </w:tbl>
    <w:p w14:paraId="79BD6B40" w14:textId="77777777" w:rsidR="008E7846" w:rsidRPr="0085156D" w:rsidRDefault="008E7846" w:rsidP="0085156D">
      <w:r w:rsidRPr="0085156D">
        <w:br w:type="page"/>
      </w:r>
    </w:p>
    <w:p w14:paraId="72C86E95" w14:textId="77777777" w:rsidR="008E7846" w:rsidRPr="001F6CBA" w:rsidRDefault="008E7846" w:rsidP="008E7846">
      <w:pPr>
        <w:pStyle w:val="NonTOCHeading2"/>
      </w:pPr>
      <w:r w:rsidRPr="001F6CBA">
        <w:lastRenderedPageBreak/>
        <w:t>About the Therapeutic Goods Administration (TGA)</w:t>
      </w:r>
    </w:p>
    <w:p w14:paraId="0E473F8B"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E5D833F"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480FA3A"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30C63F4"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D635C29" w14:textId="4845968E"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57D36689" w14:textId="77777777" w:rsidR="008E7846" w:rsidRDefault="008E7846" w:rsidP="00875A6B">
      <w:pPr>
        <w:pStyle w:val="NonTOCHeading2"/>
      </w:pPr>
      <w:r>
        <w:t>About AusPARs</w:t>
      </w:r>
    </w:p>
    <w:p w14:paraId="64118736"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F7CFC9C" w14:textId="77777777" w:rsidR="008E7846" w:rsidRDefault="008E7846" w:rsidP="008E7846">
      <w:pPr>
        <w:pStyle w:val="ListBullet"/>
        <w:numPr>
          <w:ilvl w:val="0"/>
          <w:numId w:val="3"/>
        </w:numPr>
        <w:ind w:left="357" w:hanging="357"/>
      </w:pPr>
      <w:r>
        <w:t>AusPARs are prepared and published by the TGA.</w:t>
      </w:r>
    </w:p>
    <w:p w14:paraId="48F3A5EB"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4630F985"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FE1324A"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5D532BF4" w14:textId="77777777" w:rsidR="00924482" w:rsidRPr="00DF1D7F" w:rsidRDefault="00924482" w:rsidP="00F54B65">
      <w:pPr>
        <w:pStyle w:val="LegalSubheading"/>
        <w:spacing w:before="3120"/>
      </w:pPr>
      <w:r w:rsidRPr="00DF1D7F">
        <w:t>Copyright</w:t>
      </w:r>
    </w:p>
    <w:p w14:paraId="5ACA1F22" w14:textId="30AD9157"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14:paraId="17193FFC"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EB857DA" w14:textId="77777777" w:rsidR="0089635C" w:rsidRPr="0089635C" w:rsidRDefault="0089635C" w:rsidP="0010788A">
          <w:pPr>
            <w:pStyle w:val="Contents"/>
          </w:pPr>
          <w:r w:rsidRPr="0010788A">
            <w:t>Con</w:t>
          </w:r>
          <w:bookmarkStart w:id="2" w:name="_GoBack"/>
          <w:bookmarkEnd w:id="2"/>
          <w:r w:rsidRPr="0010788A">
            <w:t>tents</w:t>
          </w:r>
        </w:p>
        <w:p w14:paraId="67BEE27E" w14:textId="1166A34C" w:rsidR="003B6C97"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71188730" w:history="1">
            <w:r w:rsidR="003B6C97" w:rsidRPr="001C035B">
              <w:rPr>
                <w:rStyle w:val="Hyperlink"/>
                <w:noProof/>
              </w:rPr>
              <w:t>List of abbreviations</w:t>
            </w:r>
            <w:r w:rsidR="003B6C97">
              <w:rPr>
                <w:noProof/>
                <w:webHidden/>
              </w:rPr>
              <w:tab/>
            </w:r>
            <w:r w:rsidR="003B6C97">
              <w:rPr>
                <w:noProof/>
                <w:webHidden/>
              </w:rPr>
              <w:fldChar w:fldCharType="begin"/>
            </w:r>
            <w:r w:rsidR="003B6C97">
              <w:rPr>
                <w:noProof/>
                <w:webHidden/>
              </w:rPr>
              <w:instrText xml:space="preserve"> PAGEREF _Toc71188730 \h </w:instrText>
            </w:r>
            <w:r w:rsidR="003B6C97">
              <w:rPr>
                <w:noProof/>
                <w:webHidden/>
              </w:rPr>
            </w:r>
            <w:r w:rsidR="003B6C97">
              <w:rPr>
                <w:noProof/>
                <w:webHidden/>
              </w:rPr>
              <w:fldChar w:fldCharType="separate"/>
            </w:r>
            <w:r w:rsidR="003B6C97">
              <w:rPr>
                <w:noProof/>
                <w:webHidden/>
              </w:rPr>
              <w:t>4</w:t>
            </w:r>
            <w:r w:rsidR="003B6C97">
              <w:rPr>
                <w:noProof/>
                <w:webHidden/>
              </w:rPr>
              <w:fldChar w:fldCharType="end"/>
            </w:r>
          </w:hyperlink>
        </w:p>
        <w:p w14:paraId="2103E400" w14:textId="7EBB2DB4" w:rsidR="003B6C97" w:rsidRDefault="003B6C97">
          <w:pPr>
            <w:pStyle w:val="TOC1"/>
            <w:rPr>
              <w:rFonts w:asciiTheme="minorHAnsi" w:eastAsiaTheme="minorEastAsia" w:hAnsiTheme="minorHAnsi" w:cstheme="minorBidi"/>
              <w:b w:val="0"/>
              <w:noProof/>
              <w:sz w:val="22"/>
              <w:lang w:eastAsia="en-AU"/>
            </w:rPr>
          </w:pPr>
          <w:hyperlink w:anchor="_Toc71188731" w:history="1">
            <w:r w:rsidRPr="001C035B">
              <w:rPr>
                <w:rStyle w:val="Hyperlink"/>
                <w:noProof/>
              </w:rPr>
              <w:t>I. Introduction to product submission</w:t>
            </w:r>
            <w:r>
              <w:rPr>
                <w:noProof/>
                <w:webHidden/>
              </w:rPr>
              <w:tab/>
            </w:r>
            <w:r>
              <w:rPr>
                <w:noProof/>
                <w:webHidden/>
              </w:rPr>
              <w:fldChar w:fldCharType="begin"/>
            </w:r>
            <w:r>
              <w:rPr>
                <w:noProof/>
                <w:webHidden/>
              </w:rPr>
              <w:instrText xml:space="preserve"> PAGEREF _Toc71188731 \h </w:instrText>
            </w:r>
            <w:r>
              <w:rPr>
                <w:noProof/>
                <w:webHidden/>
              </w:rPr>
            </w:r>
            <w:r>
              <w:rPr>
                <w:noProof/>
                <w:webHidden/>
              </w:rPr>
              <w:fldChar w:fldCharType="separate"/>
            </w:r>
            <w:r>
              <w:rPr>
                <w:noProof/>
                <w:webHidden/>
              </w:rPr>
              <w:t>6</w:t>
            </w:r>
            <w:r>
              <w:rPr>
                <w:noProof/>
                <w:webHidden/>
              </w:rPr>
              <w:fldChar w:fldCharType="end"/>
            </w:r>
          </w:hyperlink>
        </w:p>
        <w:p w14:paraId="2D4EA0E1" w14:textId="18DB2C10" w:rsidR="003B6C97" w:rsidRDefault="003B6C97">
          <w:pPr>
            <w:pStyle w:val="TOC2"/>
            <w:rPr>
              <w:rFonts w:asciiTheme="minorHAnsi" w:eastAsiaTheme="minorEastAsia" w:hAnsiTheme="minorHAnsi" w:cstheme="minorBidi"/>
              <w:b w:val="0"/>
              <w:noProof/>
              <w:sz w:val="22"/>
              <w:lang w:eastAsia="en-AU"/>
            </w:rPr>
          </w:pPr>
          <w:hyperlink w:anchor="_Toc71188732" w:history="1">
            <w:r w:rsidRPr="001C035B">
              <w:rPr>
                <w:rStyle w:val="Hyperlink"/>
                <w:noProof/>
                <w:lang w:eastAsia="en-AU"/>
              </w:rPr>
              <w:t>Submission details</w:t>
            </w:r>
            <w:r>
              <w:rPr>
                <w:noProof/>
                <w:webHidden/>
              </w:rPr>
              <w:tab/>
            </w:r>
            <w:r>
              <w:rPr>
                <w:noProof/>
                <w:webHidden/>
              </w:rPr>
              <w:fldChar w:fldCharType="begin"/>
            </w:r>
            <w:r>
              <w:rPr>
                <w:noProof/>
                <w:webHidden/>
              </w:rPr>
              <w:instrText xml:space="preserve"> PAGEREF _Toc71188732 \h </w:instrText>
            </w:r>
            <w:r>
              <w:rPr>
                <w:noProof/>
                <w:webHidden/>
              </w:rPr>
            </w:r>
            <w:r>
              <w:rPr>
                <w:noProof/>
                <w:webHidden/>
              </w:rPr>
              <w:fldChar w:fldCharType="separate"/>
            </w:r>
            <w:r>
              <w:rPr>
                <w:noProof/>
                <w:webHidden/>
              </w:rPr>
              <w:t>6</w:t>
            </w:r>
            <w:r>
              <w:rPr>
                <w:noProof/>
                <w:webHidden/>
              </w:rPr>
              <w:fldChar w:fldCharType="end"/>
            </w:r>
          </w:hyperlink>
        </w:p>
        <w:p w14:paraId="3C7E9927" w14:textId="3C1A8B9D" w:rsidR="003B6C97" w:rsidRDefault="003B6C97">
          <w:pPr>
            <w:pStyle w:val="TOC2"/>
            <w:rPr>
              <w:rFonts w:asciiTheme="minorHAnsi" w:eastAsiaTheme="minorEastAsia" w:hAnsiTheme="minorHAnsi" w:cstheme="minorBidi"/>
              <w:b w:val="0"/>
              <w:noProof/>
              <w:sz w:val="22"/>
              <w:lang w:eastAsia="en-AU"/>
            </w:rPr>
          </w:pPr>
          <w:hyperlink w:anchor="_Toc71188733" w:history="1">
            <w:r w:rsidRPr="001C035B">
              <w:rPr>
                <w:rStyle w:val="Hyperlink"/>
                <w:noProof/>
              </w:rPr>
              <w:t>Product background</w:t>
            </w:r>
            <w:r>
              <w:rPr>
                <w:noProof/>
                <w:webHidden/>
              </w:rPr>
              <w:tab/>
            </w:r>
            <w:r>
              <w:rPr>
                <w:noProof/>
                <w:webHidden/>
              </w:rPr>
              <w:fldChar w:fldCharType="begin"/>
            </w:r>
            <w:r>
              <w:rPr>
                <w:noProof/>
                <w:webHidden/>
              </w:rPr>
              <w:instrText xml:space="preserve"> PAGEREF _Toc71188733 \h </w:instrText>
            </w:r>
            <w:r>
              <w:rPr>
                <w:noProof/>
                <w:webHidden/>
              </w:rPr>
            </w:r>
            <w:r>
              <w:rPr>
                <w:noProof/>
                <w:webHidden/>
              </w:rPr>
              <w:fldChar w:fldCharType="separate"/>
            </w:r>
            <w:r>
              <w:rPr>
                <w:noProof/>
                <w:webHidden/>
              </w:rPr>
              <w:t>7</w:t>
            </w:r>
            <w:r>
              <w:rPr>
                <w:noProof/>
                <w:webHidden/>
              </w:rPr>
              <w:fldChar w:fldCharType="end"/>
            </w:r>
          </w:hyperlink>
        </w:p>
        <w:p w14:paraId="5FC63699" w14:textId="2C39F742" w:rsidR="003B6C97" w:rsidRDefault="003B6C97">
          <w:pPr>
            <w:pStyle w:val="TOC2"/>
            <w:rPr>
              <w:rFonts w:asciiTheme="minorHAnsi" w:eastAsiaTheme="minorEastAsia" w:hAnsiTheme="minorHAnsi" w:cstheme="minorBidi"/>
              <w:b w:val="0"/>
              <w:noProof/>
              <w:sz w:val="22"/>
              <w:lang w:eastAsia="en-AU"/>
            </w:rPr>
          </w:pPr>
          <w:hyperlink w:anchor="_Toc71188734" w:history="1">
            <w:r w:rsidRPr="001C035B">
              <w:rPr>
                <w:rStyle w:val="Hyperlink"/>
                <w:noProof/>
              </w:rPr>
              <w:t>Regulatory status</w:t>
            </w:r>
            <w:r>
              <w:rPr>
                <w:noProof/>
                <w:webHidden/>
              </w:rPr>
              <w:tab/>
            </w:r>
            <w:r>
              <w:rPr>
                <w:noProof/>
                <w:webHidden/>
              </w:rPr>
              <w:fldChar w:fldCharType="begin"/>
            </w:r>
            <w:r>
              <w:rPr>
                <w:noProof/>
                <w:webHidden/>
              </w:rPr>
              <w:instrText xml:space="preserve"> PAGEREF _Toc71188734 \h </w:instrText>
            </w:r>
            <w:r>
              <w:rPr>
                <w:noProof/>
                <w:webHidden/>
              </w:rPr>
            </w:r>
            <w:r>
              <w:rPr>
                <w:noProof/>
                <w:webHidden/>
              </w:rPr>
              <w:fldChar w:fldCharType="separate"/>
            </w:r>
            <w:r>
              <w:rPr>
                <w:noProof/>
                <w:webHidden/>
              </w:rPr>
              <w:t>9</w:t>
            </w:r>
            <w:r>
              <w:rPr>
                <w:noProof/>
                <w:webHidden/>
              </w:rPr>
              <w:fldChar w:fldCharType="end"/>
            </w:r>
          </w:hyperlink>
        </w:p>
        <w:p w14:paraId="522965B8" w14:textId="14015CD7" w:rsidR="003B6C97" w:rsidRDefault="003B6C97">
          <w:pPr>
            <w:pStyle w:val="TOC2"/>
            <w:rPr>
              <w:rFonts w:asciiTheme="minorHAnsi" w:eastAsiaTheme="minorEastAsia" w:hAnsiTheme="minorHAnsi" w:cstheme="minorBidi"/>
              <w:b w:val="0"/>
              <w:noProof/>
              <w:sz w:val="22"/>
              <w:lang w:eastAsia="en-AU"/>
            </w:rPr>
          </w:pPr>
          <w:hyperlink w:anchor="_Toc71188735" w:history="1">
            <w:r w:rsidRPr="001C035B">
              <w:rPr>
                <w:rStyle w:val="Hyperlink"/>
                <w:noProof/>
              </w:rPr>
              <w:t>Product Information</w:t>
            </w:r>
            <w:r>
              <w:rPr>
                <w:noProof/>
                <w:webHidden/>
              </w:rPr>
              <w:tab/>
            </w:r>
            <w:r>
              <w:rPr>
                <w:noProof/>
                <w:webHidden/>
              </w:rPr>
              <w:fldChar w:fldCharType="begin"/>
            </w:r>
            <w:r>
              <w:rPr>
                <w:noProof/>
                <w:webHidden/>
              </w:rPr>
              <w:instrText xml:space="preserve"> PAGEREF _Toc71188735 \h </w:instrText>
            </w:r>
            <w:r>
              <w:rPr>
                <w:noProof/>
                <w:webHidden/>
              </w:rPr>
            </w:r>
            <w:r>
              <w:rPr>
                <w:noProof/>
                <w:webHidden/>
              </w:rPr>
              <w:fldChar w:fldCharType="separate"/>
            </w:r>
            <w:r>
              <w:rPr>
                <w:noProof/>
                <w:webHidden/>
              </w:rPr>
              <w:t>11</w:t>
            </w:r>
            <w:r>
              <w:rPr>
                <w:noProof/>
                <w:webHidden/>
              </w:rPr>
              <w:fldChar w:fldCharType="end"/>
            </w:r>
          </w:hyperlink>
        </w:p>
        <w:p w14:paraId="19303164" w14:textId="64369D56" w:rsidR="003B6C97" w:rsidRDefault="003B6C97">
          <w:pPr>
            <w:pStyle w:val="TOC1"/>
            <w:rPr>
              <w:rFonts w:asciiTheme="minorHAnsi" w:eastAsiaTheme="minorEastAsia" w:hAnsiTheme="minorHAnsi" w:cstheme="minorBidi"/>
              <w:b w:val="0"/>
              <w:noProof/>
              <w:sz w:val="22"/>
              <w:lang w:eastAsia="en-AU"/>
            </w:rPr>
          </w:pPr>
          <w:hyperlink w:anchor="_Toc71188736" w:history="1">
            <w:r w:rsidRPr="001C035B">
              <w:rPr>
                <w:rStyle w:val="Hyperlink"/>
                <w:noProof/>
              </w:rPr>
              <w:t>II. Registration timeline</w:t>
            </w:r>
            <w:r>
              <w:rPr>
                <w:noProof/>
                <w:webHidden/>
              </w:rPr>
              <w:tab/>
            </w:r>
            <w:r>
              <w:rPr>
                <w:noProof/>
                <w:webHidden/>
              </w:rPr>
              <w:fldChar w:fldCharType="begin"/>
            </w:r>
            <w:r>
              <w:rPr>
                <w:noProof/>
                <w:webHidden/>
              </w:rPr>
              <w:instrText xml:space="preserve"> PAGEREF _Toc71188736 \h </w:instrText>
            </w:r>
            <w:r>
              <w:rPr>
                <w:noProof/>
                <w:webHidden/>
              </w:rPr>
            </w:r>
            <w:r>
              <w:rPr>
                <w:noProof/>
                <w:webHidden/>
              </w:rPr>
              <w:fldChar w:fldCharType="separate"/>
            </w:r>
            <w:r>
              <w:rPr>
                <w:noProof/>
                <w:webHidden/>
              </w:rPr>
              <w:t>11</w:t>
            </w:r>
            <w:r>
              <w:rPr>
                <w:noProof/>
                <w:webHidden/>
              </w:rPr>
              <w:fldChar w:fldCharType="end"/>
            </w:r>
          </w:hyperlink>
        </w:p>
        <w:p w14:paraId="68E3923B" w14:textId="6DA120E5" w:rsidR="003B6C97" w:rsidRDefault="003B6C97">
          <w:pPr>
            <w:pStyle w:val="TOC1"/>
            <w:rPr>
              <w:rFonts w:asciiTheme="minorHAnsi" w:eastAsiaTheme="minorEastAsia" w:hAnsiTheme="minorHAnsi" w:cstheme="minorBidi"/>
              <w:b w:val="0"/>
              <w:noProof/>
              <w:sz w:val="22"/>
              <w:lang w:eastAsia="en-AU"/>
            </w:rPr>
          </w:pPr>
          <w:hyperlink w:anchor="_Toc71188737" w:history="1">
            <w:r w:rsidRPr="001C035B">
              <w:rPr>
                <w:rStyle w:val="Hyperlink"/>
                <w:noProof/>
              </w:rPr>
              <w:t>III. Submission overview and risk/benefit assessment</w:t>
            </w:r>
            <w:r>
              <w:rPr>
                <w:noProof/>
                <w:webHidden/>
              </w:rPr>
              <w:tab/>
            </w:r>
            <w:r>
              <w:rPr>
                <w:noProof/>
                <w:webHidden/>
              </w:rPr>
              <w:fldChar w:fldCharType="begin"/>
            </w:r>
            <w:r>
              <w:rPr>
                <w:noProof/>
                <w:webHidden/>
              </w:rPr>
              <w:instrText xml:space="preserve"> PAGEREF _Toc71188737 \h </w:instrText>
            </w:r>
            <w:r>
              <w:rPr>
                <w:noProof/>
                <w:webHidden/>
              </w:rPr>
            </w:r>
            <w:r>
              <w:rPr>
                <w:noProof/>
                <w:webHidden/>
              </w:rPr>
              <w:fldChar w:fldCharType="separate"/>
            </w:r>
            <w:r>
              <w:rPr>
                <w:noProof/>
                <w:webHidden/>
              </w:rPr>
              <w:t>12</w:t>
            </w:r>
            <w:r>
              <w:rPr>
                <w:noProof/>
                <w:webHidden/>
              </w:rPr>
              <w:fldChar w:fldCharType="end"/>
            </w:r>
          </w:hyperlink>
        </w:p>
        <w:p w14:paraId="7D6DD784" w14:textId="49B86467" w:rsidR="003B6C97" w:rsidRDefault="003B6C97">
          <w:pPr>
            <w:pStyle w:val="TOC2"/>
            <w:rPr>
              <w:rFonts w:asciiTheme="minorHAnsi" w:eastAsiaTheme="minorEastAsia" w:hAnsiTheme="minorHAnsi" w:cstheme="minorBidi"/>
              <w:b w:val="0"/>
              <w:noProof/>
              <w:sz w:val="22"/>
              <w:lang w:eastAsia="en-AU"/>
            </w:rPr>
          </w:pPr>
          <w:hyperlink w:anchor="_Toc71188738" w:history="1">
            <w:r w:rsidRPr="001C035B">
              <w:rPr>
                <w:rStyle w:val="Hyperlink"/>
                <w:noProof/>
              </w:rPr>
              <w:t>Quality</w:t>
            </w:r>
            <w:r>
              <w:rPr>
                <w:noProof/>
                <w:webHidden/>
              </w:rPr>
              <w:tab/>
            </w:r>
            <w:r>
              <w:rPr>
                <w:noProof/>
                <w:webHidden/>
              </w:rPr>
              <w:fldChar w:fldCharType="begin"/>
            </w:r>
            <w:r>
              <w:rPr>
                <w:noProof/>
                <w:webHidden/>
              </w:rPr>
              <w:instrText xml:space="preserve"> PAGEREF _Toc71188738 \h </w:instrText>
            </w:r>
            <w:r>
              <w:rPr>
                <w:noProof/>
                <w:webHidden/>
              </w:rPr>
            </w:r>
            <w:r>
              <w:rPr>
                <w:noProof/>
                <w:webHidden/>
              </w:rPr>
              <w:fldChar w:fldCharType="separate"/>
            </w:r>
            <w:r>
              <w:rPr>
                <w:noProof/>
                <w:webHidden/>
              </w:rPr>
              <w:t>12</w:t>
            </w:r>
            <w:r>
              <w:rPr>
                <w:noProof/>
                <w:webHidden/>
              </w:rPr>
              <w:fldChar w:fldCharType="end"/>
            </w:r>
          </w:hyperlink>
        </w:p>
        <w:p w14:paraId="79F1ED58" w14:textId="6C3F57C2" w:rsidR="003B6C97" w:rsidRDefault="003B6C97">
          <w:pPr>
            <w:pStyle w:val="TOC2"/>
            <w:rPr>
              <w:rFonts w:asciiTheme="minorHAnsi" w:eastAsiaTheme="minorEastAsia" w:hAnsiTheme="minorHAnsi" w:cstheme="minorBidi"/>
              <w:b w:val="0"/>
              <w:noProof/>
              <w:sz w:val="22"/>
              <w:lang w:eastAsia="en-AU"/>
            </w:rPr>
          </w:pPr>
          <w:hyperlink w:anchor="_Toc71188739" w:history="1">
            <w:r w:rsidRPr="001C035B">
              <w:rPr>
                <w:rStyle w:val="Hyperlink"/>
                <w:noProof/>
              </w:rPr>
              <w:t>Nonclinical</w:t>
            </w:r>
            <w:r>
              <w:rPr>
                <w:noProof/>
                <w:webHidden/>
              </w:rPr>
              <w:tab/>
            </w:r>
            <w:r>
              <w:rPr>
                <w:noProof/>
                <w:webHidden/>
              </w:rPr>
              <w:fldChar w:fldCharType="begin"/>
            </w:r>
            <w:r>
              <w:rPr>
                <w:noProof/>
                <w:webHidden/>
              </w:rPr>
              <w:instrText xml:space="preserve"> PAGEREF _Toc71188739 \h </w:instrText>
            </w:r>
            <w:r>
              <w:rPr>
                <w:noProof/>
                <w:webHidden/>
              </w:rPr>
            </w:r>
            <w:r>
              <w:rPr>
                <w:noProof/>
                <w:webHidden/>
              </w:rPr>
              <w:fldChar w:fldCharType="separate"/>
            </w:r>
            <w:r>
              <w:rPr>
                <w:noProof/>
                <w:webHidden/>
              </w:rPr>
              <w:t>12</w:t>
            </w:r>
            <w:r>
              <w:rPr>
                <w:noProof/>
                <w:webHidden/>
              </w:rPr>
              <w:fldChar w:fldCharType="end"/>
            </w:r>
          </w:hyperlink>
        </w:p>
        <w:p w14:paraId="512B35B0" w14:textId="01D2E1DD" w:rsidR="003B6C97" w:rsidRDefault="003B6C97">
          <w:pPr>
            <w:pStyle w:val="TOC2"/>
            <w:rPr>
              <w:rFonts w:asciiTheme="minorHAnsi" w:eastAsiaTheme="minorEastAsia" w:hAnsiTheme="minorHAnsi" w:cstheme="minorBidi"/>
              <w:b w:val="0"/>
              <w:noProof/>
              <w:sz w:val="22"/>
              <w:lang w:eastAsia="en-AU"/>
            </w:rPr>
          </w:pPr>
          <w:hyperlink w:anchor="_Toc71188740" w:history="1">
            <w:r w:rsidRPr="001C035B">
              <w:rPr>
                <w:rStyle w:val="Hyperlink"/>
                <w:noProof/>
              </w:rPr>
              <w:t>Clinical</w:t>
            </w:r>
            <w:r>
              <w:rPr>
                <w:noProof/>
                <w:webHidden/>
              </w:rPr>
              <w:tab/>
            </w:r>
            <w:r>
              <w:rPr>
                <w:noProof/>
                <w:webHidden/>
              </w:rPr>
              <w:fldChar w:fldCharType="begin"/>
            </w:r>
            <w:r>
              <w:rPr>
                <w:noProof/>
                <w:webHidden/>
              </w:rPr>
              <w:instrText xml:space="preserve"> PAGEREF _Toc71188740 \h </w:instrText>
            </w:r>
            <w:r>
              <w:rPr>
                <w:noProof/>
                <w:webHidden/>
              </w:rPr>
            </w:r>
            <w:r>
              <w:rPr>
                <w:noProof/>
                <w:webHidden/>
              </w:rPr>
              <w:fldChar w:fldCharType="separate"/>
            </w:r>
            <w:r>
              <w:rPr>
                <w:noProof/>
                <w:webHidden/>
              </w:rPr>
              <w:t>13</w:t>
            </w:r>
            <w:r>
              <w:rPr>
                <w:noProof/>
                <w:webHidden/>
              </w:rPr>
              <w:fldChar w:fldCharType="end"/>
            </w:r>
          </w:hyperlink>
        </w:p>
        <w:p w14:paraId="01B7905C" w14:textId="3CD51C7A" w:rsidR="003B6C97" w:rsidRDefault="003B6C97">
          <w:pPr>
            <w:pStyle w:val="TOC2"/>
            <w:rPr>
              <w:rFonts w:asciiTheme="minorHAnsi" w:eastAsiaTheme="minorEastAsia" w:hAnsiTheme="minorHAnsi" w:cstheme="minorBidi"/>
              <w:b w:val="0"/>
              <w:noProof/>
              <w:sz w:val="22"/>
              <w:lang w:eastAsia="en-AU"/>
            </w:rPr>
          </w:pPr>
          <w:hyperlink w:anchor="_Toc71188741" w:history="1">
            <w:r w:rsidRPr="001C035B">
              <w:rPr>
                <w:rStyle w:val="Hyperlink"/>
                <w:noProof/>
                <w:lang w:eastAsia="en-AU"/>
              </w:rPr>
              <w:t>Risk management plan</w:t>
            </w:r>
            <w:r>
              <w:rPr>
                <w:noProof/>
                <w:webHidden/>
              </w:rPr>
              <w:tab/>
            </w:r>
            <w:r>
              <w:rPr>
                <w:noProof/>
                <w:webHidden/>
              </w:rPr>
              <w:fldChar w:fldCharType="begin"/>
            </w:r>
            <w:r>
              <w:rPr>
                <w:noProof/>
                <w:webHidden/>
              </w:rPr>
              <w:instrText xml:space="preserve"> PAGEREF _Toc71188741 \h </w:instrText>
            </w:r>
            <w:r>
              <w:rPr>
                <w:noProof/>
                <w:webHidden/>
              </w:rPr>
            </w:r>
            <w:r>
              <w:rPr>
                <w:noProof/>
                <w:webHidden/>
              </w:rPr>
              <w:fldChar w:fldCharType="separate"/>
            </w:r>
            <w:r>
              <w:rPr>
                <w:noProof/>
                <w:webHidden/>
              </w:rPr>
              <w:t>19</w:t>
            </w:r>
            <w:r>
              <w:rPr>
                <w:noProof/>
                <w:webHidden/>
              </w:rPr>
              <w:fldChar w:fldCharType="end"/>
            </w:r>
          </w:hyperlink>
        </w:p>
        <w:p w14:paraId="7A29D0B7" w14:textId="12ED05E0" w:rsidR="003B6C97" w:rsidRDefault="003B6C97">
          <w:pPr>
            <w:pStyle w:val="TOC2"/>
            <w:rPr>
              <w:rFonts w:asciiTheme="minorHAnsi" w:eastAsiaTheme="minorEastAsia" w:hAnsiTheme="minorHAnsi" w:cstheme="minorBidi"/>
              <w:b w:val="0"/>
              <w:noProof/>
              <w:sz w:val="22"/>
              <w:lang w:eastAsia="en-AU"/>
            </w:rPr>
          </w:pPr>
          <w:hyperlink w:anchor="_Toc71188742" w:history="1">
            <w:r w:rsidRPr="001C035B">
              <w:rPr>
                <w:rStyle w:val="Hyperlink"/>
                <w:noProof/>
              </w:rPr>
              <w:t>Risk-benefit analysis</w:t>
            </w:r>
            <w:r>
              <w:rPr>
                <w:noProof/>
                <w:webHidden/>
              </w:rPr>
              <w:tab/>
            </w:r>
            <w:r>
              <w:rPr>
                <w:noProof/>
                <w:webHidden/>
              </w:rPr>
              <w:fldChar w:fldCharType="begin"/>
            </w:r>
            <w:r>
              <w:rPr>
                <w:noProof/>
                <w:webHidden/>
              </w:rPr>
              <w:instrText xml:space="preserve"> PAGEREF _Toc71188742 \h </w:instrText>
            </w:r>
            <w:r>
              <w:rPr>
                <w:noProof/>
                <w:webHidden/>
              </w:rPr>
            </w:r>
            <w:r>
              <w:rPr>
                <w:noProof/>
                <w:webHidden/>
              </w:rPr>
              <w:fldChar w:fldCharType="separate"/>
            </w:r>
            <w:r>
              <w:rPr>
                <w:noProof/>
                <w:webHidden/>
              </w:rPr>
              <w:t>19</w:t>
            </w:r>
            <w:r>
              <w:rPr>
                <w:noProof/>
                <w:webHidden/>
              </w:rPr>
              <w:fldChar w:fldCharType="end"/>
            </w:r>
          </w:hyperlink>
        </w:p>
        <w:p w14:paraId="3138FEA2" w14:textId="17584B64" w:rsidR="003B6C97" w:rsidRDefault="003B6C97">
          <w:pPr>
            <w:pStyle w:val="TOC2"/>
            <w:rPr>
              <w:rFonts w:asciiTheme="minorHAnsi" w:eastAsiaTheme="minorEastAsia" w:hAnsiTheme="minorHAnsi" w:cstheme="minorBidi"/>
              <w:b w:val="0"/>
              <w:noProof/>
              <w:sz w:val="22"/>
              <w:lang w:eastAsia="en-AU"/>
            </w:rPr>
          </w:pPr>
          <w:hyperlink w:anchor="_Toc71188743" w:history="1">
            <w:r w:rsidRPr="001C035B">
              <w:rPr>
                <w:rStyle w:val="Hyperlink"/>
                <w:noProof/>
              </w:rPr>
              <w:t>Outcome</w:t>
            </w:r>
            <w:r>
              <w:rPr>
                <w:noProof/>
                <w:webHidden/>
              </w:rPr>
              <w:tab/>
            </w:r>
            <w:r>
              <w:rPr>
                <w:noProof/>
                <w:webHidden/>
              </w:rPr>
              <w:fldChar w:fldCharType="begin"/>
            </w:r>
            <w:r>
              <w:rPr>
                <w:noProof/>
                <w:webHidden/>
              </w:rPr>
              <w:instrText xml:space="preserve"> PAGEREF _Toc71188743 \h </w:instrText>
            </w:r>
            <w:r>
              <w:rPr>
                <w:noProof/>
                <w:webHidden/>
              </w:rPr>
            </w:r>
            <w:r>
              <w:rPr>
                <w:noProof/>
                <w:webHidden/>
              </w:rPr>
              <w:fldChar w:fldCharType="separate"/>
            </w:r>
            <w:r>
              <w:rPr>
                <w:noProof/>
                <w:webHidden/>
              </w:rPr>
              <w:t>29</w:t>
            </w:r>
            <w:r>
              <w:rPr>
                <w:noProof/>
                <w:webHidden/>
              </w:rPr>
              <w:fldChar w:fldCharType="end"/>
            </w:r>
          </w:hyperlink>
        </w:p>
        <w:p w14:paraId="728D6AE2" w14:textId="5E033A39" w:rsidR="003B6C97" w:rsidRDefault="003B6C97">
          <w:pPr>
            <w:pStyle w:val="TOC1"/>
            <w:rPr>
              <w:rFonts w:asciiTheme="minorHAnsi" w:eastAsiaTheme="minorEastAsia" w:hAnsiTheme="minorHAnsi" w:cstheme="minorBidi"/>
              <w:b w:val="0"/>
              <w:noProof/>
              <w:sz w:val="22"/>
              <w:lang w:eastAsia="en-AU"/>
            </w:rPr>
          </w:pPr>
          <w:hyperlink w:anchor="_Toc71188744" w:history="1">
            <w:r w:rsidRPr="001C035B">
              <w:rPr>
                <w:rStyle w:val="Hyperlink"/>
                <w:noProof/>
              </w:rPr>
              <w:t>Attachment 1. Product Information</w:t>
            </w:r>
            <w:r>
              <w:rPr>
                <w:noProof/>
                <w:webHidden/>
              </w:rPr>
              <w:tab/>
            </w:r>
            <w:r>
              <w:rPr>
                <w:noProof/>
                <w:webHidden/>
              </w:rPr>
              <w:fldChar w:fldCharType="begin"/>
            </w:r>
            <w:r>
              <w:rPr>
                <w:noProof/>
                <w:webHidden/>
              </w:rPr>
              <w:instrText xml:space="preserve"> PAGEREF _Toc71188744 \h </w:instrText>
            </w:r>
            <w:r>
              <w:rPr>
                <w:noProof/>
                <w:webHidden/>
              </w:rPr>
            </w:r>
            <w:r>
              <w:rPr>
                <w:noProof/>
                <w:webHidden/>
              </w:rPr>
              <w:fldChar w:fldCharType="separate"/>
            </w:r>
            <w:r>
              <w:rPr>
                <w:noProof/>
                <w:webHidden/>
              </w:rPr>
              <w:t>30</w:t>
            </w:r>
            <w:r>
              <w:rPr>
                <w:noProof/>
                <w:webHidden/>
              </w:rPr>
              <w:fldChar w:fldCharType="end"/>
            </w:r>
          </w:hyperlink>
        </w:p>
        <w:p w14:paraId="1789E83D" w14:textId="2FF1BBD0" w:rsidR="003A7F6C" w:rsidRPr="00B811C6" w:rsidRDefault="00C525A2" w:rsidP="00B811C6">
          <w:pPr>
            <w:pStyle w:val="TOC2"/>
          </w:pPr>
          <w:r>
            <w:fldChar w:fldCharType="end"/>
          </w:r>
        </w:p>
      </w:sdtContent>
    </w:sdt>
    <w:bookmarkStart w:id="3" w:name="_Toc314842482" w:displacedByCustomXml="prev"/>
    <w:p w14:paraId="209F3059" w14:textId="77777777" w:rsidR="00FD119B" w:rsidRDefault="00FD119B">
      <w:pPr>
        <w:spacing w:before="0" w:after="200" w:line="0" w:lineRule="auto"/>
      </w:pPr>
      <w:r>
        <w:br w:type="page"/>
      </w:r>
    </w:p>
    <w:p w14:paraId="160E850D" w14:textId="77777777" w:rsidR="00C52E24" w:rsidRPr="00C52E24" w:rsidRDefault="00324E45" w:rsidP="000121B2">
      <w:pPr>
        <w:pStyle w:val="Heading2"/>
      </w:pPr>
      <w:bookmarkStart w:id="4" w:name="_Toc351716269"/>
      <w:bookmarkStart w:id="5" w:name="_Toc351718881"/>
      <w:bookmarkStart w:id="6" w:name="_Toc355338616"/>
      <w:bookmarkStart w:id="7" w:name="_Toc356306144"/>
      <w:bookmarkStart w:id="8" w:name="_Toc71188730"/>
      <w:r>
        <w:t>List of</w:t>
      </w:r>
      <w:r w:rsidR="00FD119B" w:rsidRPr="00FD119B">
        <w:t xml:space="preserve"> abbreviations</w:t>
      </w:r>
      <w:bookmarkEnd w:id="4"/>
      <w:bookmarkEnd w:id="5"/>
      <w:bookmarkEnd w:id="6"/>
      <w:bookmarkEnd w:id="7"/>
      <w:bookmarkEnd w:id="8"/>
    </w:p>
    <w:tbl>
      <w:tblPr>
        <w:tblStyle w:val="TableTGAblue"/>
        <w:tblW w:w="5000" w:type="pct"/>
        <w:tblLook w:val="04A0" w:firstRow="1" w:lastRow="0" w:firstColumn="1" w:lastColumn="0" w:noHBand="0" w:noVBand="1"/>
      </w:tblPr>
      <w:tblGrid>
        <w:gridCol w:w="1896"/>
        <w:gridCol w:w="6598"/>
      </w:tblGrid>
      <w:tr w:rsidR="00E028C9" w:rsidRPr="00FD119B" w14:paraId="5E0485D9" w14:textId="77777777" w:rsidTr="002A5B76">
        <w:trPr>
          <w:cnfStyle w:val="100000000000" w:firstRow="1" w:lastRow="0" w:firstColumn="0" w:lastColumn="0" w:oddVBand="0" w:evenVBand="0" w:oddHBand="0" w:evenHBand="0" w:firstRowFirstColumn="0" w:firstRowLastColumn="0" w:lastRowFirstColumn="0" w:lastRowLastColumn="0"/>
        </w:trPr>
        <w:tc>
          <w:tcPr>
            <w:tcW w:w="1116" w:type="pct"/>
            <w:tcBorders>
              <w:top w:val="single" w:sz="4" w:space="0" w:color="auto"/>
              <w:left w:val="single" w:sz="4" w:space="0" w:color="auto"/>
              <w:bottom w:val="single" w:sz="4" w:space="0" w:color="auto"/>
              <w:right w:val="single" w:sz="4" w:space="0" w:color="auto"/>
            </w:tcBorders>
          </w:tcPr>
          <w:p w14:paraId="6EC2F37E" w14:textId="77777777" w:rsidR="00E028C9" w:rsidRPr="00FD119B" w:rsidRDefault="00E028C9" w:rsidP="0018749A">
            <w:pPr>
              <w:keepNext w:val="0"/>
              <w:ind w:left="173" w:right="173"/>
              <w:rPr>
                <w:szCs w:val="22"/>
                <w:lang w:eastAsia="en-US"/>
              </w:rPr>
            </w:pPr>
            <w:r w:rsidRPr="00FD119B">
              <w:rPr>
                <w:szCs w:val="22"/>
                <w:lang w:eastAsia="en-US"/>
              </w:rPr>
              <w:t>Abbreviation</w:t>
            </w:r>
          </w:p>
        </w:tc>
        <w:tc>
          <w:tcPr>
            <w:tcW w:w="3884" w:type="pct"/>
            <w:tcBorders>
              <w:top w:val="single" w:sz="4" w:space="0" w:color="auto"/>
              <w:left w:val="single" w:sz="4" w:space="0" w:color="auto"/>
              <w:bottom w:val="single" w:sz="4" w:space="0" w:color="auto"/>
              <w:right w:val="single" w:sz="4" w:space="0" w:color="auto"/>
            </w:tcBorders>
          </w:tcPr>
          <w:p w14:paraId="48040A1B" w14:textId="77777777" w:rsidR="00E028C9" w:rsidRPr="00FD119B" w:rsidRDefault="00E028C9" w:rsidP="0018749A">
            <w:pPr>
              <w:keepNext w:val="0"/>
              <w:ind w:left="173" w:right="173"/>
              <w:rPr>
                <w:szCs w:val="22"/>
                <w:lang w:eastAsia="en-US"/>
              </w:rPr>
            </w:pPr>
            <w:r w:rsidRPr="00FD119B">
              <w:rPr>
                <w:szCs w:val="22"/>
                <w:lang w:eastAsia="en-US"/>
              </w:rPr>
              <w:t>Meaning</w:t>
            </w:r>
          </w:p>
        </w:tc>
      </w:tr>
      <w:tr w:rsidR="00E028C9" w:rsidRPr="00FD119B" w14:paraId="7CE80D0C" w14:textId="77777777" w:rsidTr="002A5B76">
        <w:tc>
          <w:tcPr>
            <w:tcW w:w="1116" w:type="pct"/>
            <w:tcBorders>
              <w:top w:val="single" w:sz="4" w:space="0" w:color="auto"/>
            </w:tcBorders>
          </w:tcPr>
          <w:p w14:paraId="6E8FC014" w14:textId="77777777" w:rsidR="00E028C9" w:rsidRPr="00FD119B" w:rsidRDefault="00E028C9" w:rsidP="0018749A">
            <w:pPr>
              <w:ind w:left="173" w:right="173"/>
            </w:pPr>
            <w:r>
              <w:t>ACM</w:t>
            </w:r>
          </w:p>
        </w:tc>
        <w:tc>
          <w:tcPr>
            <w:tcW w:w="3884" w:type="pct"/>
            <w:tcBorders>
              <w:top w:val="single" w:sz="4" w:space="0" w:color="auto"/>
            </w:tcBorders>
          </w:tcPr>
          <w:p w14:paraId="1BC8AED6" w14:textId="77777777" w:rsidR="00E028C9" w:rsidRPr="00FD119B" w:rsidRDefault="00E028C9" w:rsidP="0018749A">
            <w:pPr>
              <w:ind w:left="173" w:right="173"/>
            </w:pPr>
            <w:r w:rsidRPr="00460036">
              <w:t>Advisory Committee on Medicines</w:t>
            </w:r>
          </w:p>
        </w:tc>
      </w:tr>
      <w:tr w:rsidR="00E028C9" w:rsidRPr="00FD119B" w14:paraId="43137407" w14:textId="77777777" w:rsidTr="002A5B76">
        <w:tc>
          <w:tcPr>
            <w:tcW w:w="1116" w:type="pct"/>
          </w:tcPr>
          <w:p w14:paraId="6D49863C" w14:textId="77777777" w:rsidR="00E028C9" w:rsidRDefault="00E028C9" w:rsidP="0018749A">
            <w:pPr>
              <w:ind w:left="173" w:right="173"/>
            </w:pPr>
            <w:r>
              <w:t>AE</w:t>
            </w:r>
          </w:p>
        </w:tc>
        <w:tc>
          <w:tcPr>
            <w:tcW w:w="3884" w:type="pct"/>
          </w:tcPr>
          <w:p w14:paraId="38AF95D2" w14:textId="77777777" w:rsidR="00E028C9" w:rsidRDefault="00E028C9" w:rsidP="0018749A">
            <w:pPr>
              <w:ind w:left="173" w:right="173"/>
            </w:pPr>
            <w:r>
              <w:t>Adverse event</w:t>
            </w:r>
          </w:p>
        </w:tc>
      </w:tr>
      <w:tr w:rsidR="00E028C9" w:rsidRPr="00FD119B" w14:paraId="6F4705AD" w14:textId="77777777" w:rsidTr="002A5B76">
        <w:tc>
          <w:tcPr>
            <w:tcW w:w="1116" w:type="pct"/>
          </w:tcPr>
          <w:p w14:paraId="5C57091B" w14:textId="77777777" w:rsidR="00E028C9" w:rsidRDefault="00E028C9" w:rsidP="0018749A">
            <w:pPr>
              <w:ind w:left="173" w:right="173"/>
            </w:pPr>
            <w:r>
              <w:t>AERD</w:t>
            </w:r>
          </w:p>
        </w:tc>
        <w:tc>
          <w:tcPr>
            <w:tcW w:w="3884" w:type="pct"/>
          </w:tcPr>
          <w:p w14:paraId="1205457A" w14:textId="77777777" w:rsidR="00E028C9" w:rsidRDefault="00E028C9" w:rsidP="0018749A">
            <w:pPr>
              <w:ind w:left="173" w:right="173"/>
            </w:pPr>
            <w:r>
              <w:t>Aspirin exacerbated respiratory disease</w:t>
            </w:r>
          </w:p>
        </w:tc>
      </w:tr>
      <w:tr w:rsidR="00E028C9" w:rsidRPr="00FD119B" w14:paraId="6764F831" w14:textId="77777777" w:rsidTr="002A5B76">
        <w:tc>
          <w:tcPr>
            <w:tcW w:w="1116" w:type="pct"/>
          </w:tcPr>
          <w:p w14:paraId="12B1AC12" w14:textId="77777777" w:rsidR="00E028C9" w:rsidRDefault="00E028C9" w:rsidP="0018749A">
            <w:pPr>
              <w:ind w:left="173" w:right="173"/>
            </w:pPr>
            <w:r>
              <w:t>ARS</w:t>
            </w:r>
          </w:p>
        </w:tc>
        <w:tc>
          <w:tcPr>
            <w:tcW w:w="3884" w:type="pct"/>
          </w:tcPr>
          <w:p w14:paraId="4522E982" w14:textId="1692E902" w:rsidR="00E028C9" w:rsidRDefault="00E028C9" w:rsidP="0018749A">
            <w:pPr>
              <w:ind w:left="173" w:right="173"/>
            </w:pPr>
            <w:r>
              <w:t>A</w:t>
            </w:r>
            <w:r w:rsidRPr="0016349F">
              <w:t>nterior rhinorrh</w:t>
            </w:r>
            <w:r w:rsidR="0018749A">
              <w:t>o</w:t>
            </w:r>
            <w:r w:rsidRPr="0016349F">
              <w:t>ea</w:t>
            </w:r>
          </w:p>
        </w:tc>
      </w:tr>
      <w:tr w:rsidR="00E028C9" w:rsidRPr="00FD119B" w14:paraId="541290DD" w14:textId="77777777" w:rsidTr="002A5B76">
        <w:tc>
          <w:tcPr>
            <w:tcW w:w="1116" w:type="pct"/>
          </w:tcPr>
          <w:p w14:paraId="27925315" w14:textId="77777777" w:rsidR="00E028C9" w:rsidRPr="00FD119B" w:rsidRDefault="00E028C9" w:rsidP="0018749A">
            <w:pPr>
              <w:ind w:left="173" w:right="173"/>
            </w:pPr>
            <w:r>
              <w:t>ARTG</w:t>
            </w:r>
          </w:p>
        </w:tc>
        <w:tc>
          <w:tcPr>
            <w:tcW w:w="3884" w:type="pct"/>
          </w:tcPr>
          <w:p w14:paraId="338A19F5" w14:textId="77777777" w:rsidR="00E028C9" w:rsidRPr="00FD119B" w:rsidRDefault="00E028C9" w:rsidP="0018749A">
            <w:pPr>
              <w:ind w:left="173" w:right="173"/>
            </w:pPr>
            <w:r w:rsidRPr="00460036">
              <w:t>Australian Register of Therapeutic Goods</w:t>
            </w:r>
          </w:p>
        </w:tc>
      </w:tr>
      <w:tr w:rsidR="00E028C9" w:rsidRPr="00FD119B" w14:paraId="41AB800B" w14:textId="77777777" w:rsidTr="002A5B76">
        <w:tc>
          <w:tcPr>
            <w:tcW w:w="1116" w:type="pct"/>
          </w:tcPr>
          <w:p w14:paraId="674C455A" w14:textId="77777777" w:rsidR="00E028C9" w:rsidRPr="00FD119B" w:rsidRDefault="00E028C9" w:rsidP="0018749A">
            <w:pPr>
              <w:ind w:left="173" w:right="173"/>
              <w:rPr>
                <w:color w:val="auto"/>
                <w:szCs w:val="22"/>
                <w:lang w:eastAsia="en-US"/>
              </w:rPr>
            </w:pPr>
            <w:r>
              <w:rPr>
                <w:color w:val="auto"/>
                <w:szCs w:val="22"/>
                <w:lang w:eastAsia="en-US"/>
              </w:rPr>
              <w:t>AusPAR</w:t>
            </w:r>
          </w:p>
        </w:tc>
        <w:tc>
          <w:tcPr>
            <w:tcW w:w="3884" w:type="pct"/>
          </w:tcPr>
          <w:p w14:paraId="740D6A14" w14:textId="77777777" w:rsidR="00E028C9" w:rsidRPr="00FD119B" w:rsidRDefault="00E028C9" w:rsidP="0018749A">
            <w:pPr>
              <w:ind w:left="173" w:right="173"/>
              <w:rPr>
                <w:color w:val="auto"/>
                <w:szCs w:val="22"/>
                <w:lang w:eastAsia="en-US"/>
              </w:rPr>
            </w:pPr>
            <w:r>
              <w:t>Australian Public Assessment Report</w:t>
            </w:r>
          </w:p>
        </w:tc>
      </w:tr>
      <w:tr w:rsidR="00E028C9" w:rsidRPr="00FD119B" w14:paraId="362A8A83" w14:textId="77777777" w:rsidTr="002A5B76">
        <w:tc>
          <w:tcPr>
            <w:tcW w:w="1116" w:type="pct"/>
          </w:tcPr>
          <w:p w14:paraId="6B860D65" w14:textId="77777777" w:rsidR="00E028C9" w:rsidRDefault="00E028C9" w:rsidP="0018749A">
            <w:pPr>
              <w:ind w:left="173" w:right="173"/>
            </w:pPr>
            <w:r>
              <w:t>CI</w:t>
            </w:r>
          </w:p>
        </w:tc>
        <w:tc>
          <w:tcPr>
            <w:tcW w:w="3884" w:type="pct"/>
          </w:tcPr>
          <w:p w14:paraId="10BCCDA9" w14:textId="77777777" w:rsidR="00E028C9" w:rsidRDefault="00E028C9" w:rsidP="0018749A">
            <w:pPr>
              <w:ind w:left="173" w:right="173"/>
            </w:pPr>
            <w:r>
              <w:t>Confidence interval</w:t>
            </w:r>
          </w:p>
        </w:tc>
      </w:tr>
      <w:tr w:rsidR="00E028C9" w:rsidRPr="00FD119B" w14:paraId="46096FC0" w14:textId="77777777" w:rsidTr="002A5B76">
        <w:tc>
          <w:tcPr>
            <w:tcW w:w="1116" w:type="pct"/>
          </w:tcPr>
          <w:p w14:paraId="19108D52" w14:textId="77777777" w:rsidR="00E028C9" w:rsidRDefault="00E028C9" w:rsidP="0018749A">
            <w:pPr>
              <w:ind w:left="173" w:right="173"/>
            </w:pPr>
            <w:r>
              <w:t>CRS</w:t>
            </w:r>
          </w:p>
        </w:tc>
        <w:tc>
          <w:tcPr>
            <w:tcW w:w="3884" w:type="pct"/>
          </w:tcPr>
          <w:p w14:paraId="2B0A5270" w14:textId="77777777" w:rsidR="00E028C9" w:rsidRDefault="00E028C9" w:rsidP="0018749A">
            <w:pPr>
              <w:ind w:left="173" w:right="173"/>
            </w:pPr>
            <w:r w:rsidRPr="000F3690">
              <w:t xml:space="preserve">Chronic </w:t>
            </w:r>
            <w:proofErr w:type="spellStart"/>
            <w:r w:rsidRPr="000F3690">
              <w:t>rhinosinusitis</w:t>
            </w:r>
            <w:proofErr w:type="spellEnd"/>
          </w:p>
        </w:tc>
      </w:tr>
      <w:tr w:rsidR="00E028C9" w:rsidRPr="00FD119B" w14:paraId="663C4AF4" w14:textId="77777777" w:rsidTr="002A5B76">
        <w:tc>
          <w:tcPr>
            <w:tcW w:w="1116" w:type="pct"/>
          </w:tcPr>
          <w:p w14:paraId="7310E327" w14:textId="77777777" w:rsidR="00E028C9" w:rsidRDefault="00E028C9" w:rsidP="0018749A">
            <w:pPr>
              <w:ind w:left="173" w:right="173"/>
            </w:pPr>
            <w:proofErr w:type="spellStart"/>
            <w:r>
              <w:t>CRSsNP</w:t>
            </w:r>
            <w:proofErr w:type="spellEnd"/>
          </w:p>
        </w:tc>
        <w:tc>
          <w:tcPr>
            <w:tcW w:w="3884" w:type="pct"/>
          </w:tcPr>
          <w:p w14:paraId="69E7372B" w14:textId="77777777" w:rsidR="00E028C9" w:rsidRDefault="00E028C9" w:rsidP="0018749A">
            <w:pPr>
              <w:ind w:left="173" w:right="173"/>
            </w:pPr>
            <w:r w:rsidRPr="000F3690">
              <w:t xml:space="preserve">Chronic </w:t>
            </w:r>
            <w:proofErr w:type="spellStart"/>
            <w:r w:rsidRPr="000F3690">
              <w:t>rhinosinusitis</w:t>
            </w:r>
            <w:proofErr w:type="spellEnd"/>
            <w:r w:rsidRPr="000F3690">
              <w:t xml:space="preserve"> without nasal polyps</w:t>
            </w:r>
          </w:p>
        </w:tc>
      </w:tr>
      <w:tr w:rsidR="00E028C9" w:rsidRPr="00FD119B" w14:paraId="4D8B9812" w14:textId="77777777" w:rsidTr="002A5B76">
        <w:tc>
          <w:tcPr>
            <w:tcW w:w="1116" w:type="pct"/>
          </w:tcPr>
          <w:p w14:paraId="321466C8" w14:textId="77777777" w:rsidR="00E028C9" w:rsidRDefault="00E028C9" w:rsidP="0018749A">
            <w:pPr>
              <w:ind w:left="173" w:right="173"/>
            </w:pPr>
            <w:proofErr w:type="spellStart"/>
            <w:r>
              <w:t>CRSwNP</w:t>
            </w:r>
            <w:proofErr w:type="spellEnd"/>
          </w:p>
        </w:tc>
        <w:tc>
          <w:tcPr>
            <w:tcW w:w="3884" w:type="pct"/>
          </w:tcPr>
          <w:p w14:paraId="53B7CEF6" w14:textId="77777777" w:rsidR="00E028C9" w:rsidRDefault="00E028C9" w:rsidP="0018749A">
            <w:pPr>
              <w:ind w:left="173" w:right="173"/>
            </w:pPr>
            <w:r w:rsidRPr="000F3690">
              <w:t xml:space="preserve">Chronic </w:t>
            </w:r>
            <w:proofErr w:type="spellStart"/>
            <w:r w:rsidRPr="000F3690">
              <w:t>rhinosinusitis</w:t>
            </w:r>
            <w:proofErr w:type="spellEnd"/>
            <w:r w:rsidRPr="000F3690">
              <w:t xml:space="preserve"> with nasal polyps</w:t>
            </w:r>
          </w:p>
        </w:tc>
      </w:tr>
      <w:tr w:rsidR="00E028C9" w:rsidRPr="00FD119B" w14:paraId="1D20D330" w14:textId="77777777" w:rsidTr="002A5B76">
        <w:tc>
          <w:tcPr>
            <w:tcW w:w="1116" w:type="pct"/>
          </w:tcPr>
          <w:p w14:paraId="7F55C92C" w14:textId="77777777" w:rsidR="00E028C9" w:rsidRDefault="00E028C9" w:rsidP="0018749A">
            <w:pPr>
              <w:ind w:left="173" w:right="173"/>
            </w:pPr>
            <w:r>
              <w:t>CSU</w:t>
            </w:r>
          </w:p>
        </w:tc>
        <w:tc>
          <w:tcPr>
            <w:tcW w:w="3884" w:type="pct"/>
          </w:tcPr>
          <w:p w14:paraId="191386A3" w14:textId="77777777" w:rsidR="00E028C9" w:rsidRDefault="00E028C9" w:rsidP="0018749A">
            <w:pPr>
              <w:ind w:left="173" w:right="173"/>
            </w:pPr>
            <w:r>
              <w:t xml:space="preserve">Chronic spontaneous </w:t>
            </w:r>
            <w:proofErr w:type="spellStart"/>
            <w:r>
              <w:t>u</w:t>
            </w:r>
            <w:r w:rsidRPr="00B245FB">
              <w:t>rticaria</w:t>
            </w:r>
            <w:proofErr w:type="spellEnd"/>
          </w:p>
        </w:tc>
      </w:tr>
      <w:tr w:rsidR="00E028C9" w:rsidRPr="00FD119B" w14:paraId="77115938" w14:textId="77777777" w:rsidTr="002A5B76">
        <w:tc>
          <w:tcPr>
            <w:tcW w:w="1116" w:type="pct"/>
          </w:tcPr>
          <w:p w14:paraId="0F52A637" w14:textId="77777777" w:rsidR="00E028C9" w:rsidRDefault="00E028C9" w:rsidP="0018749A">
            <w:pPr>
              <w:ind w:left="173" w:right="173"/>
            </w:pPr>
            <w:r>
              <w:t>CT</w:t>
            </w:r>
          </w:p>
        </w:tc>
        <w:tc>
          <w:tcPr>
            <w:tcW w:w="3884" w:type="pct"/>
          </w:tcPr>
          <w:p w14:paraId="70BF5449" w14:textId="05A1DA21" w:rsidR="00E028C9" w:rsidRDefault="00E028C9" w:rsidP="0018749A">
            <w:pPr>
              <w:ind w:left="173" w:right="173"/>
            </w:pPr>
            <w:r>
              <w:t>C</w:t>
            </w:r>
            <w:r w:rsidRPr="000F3690">
              <w:t>omputeri</w:t>
            </w:r>
            <w:r w:rsidR="0018749A">
              <w:t>s</w:t>
            </w:r>
            <w:r w:rsidRPr="000F3690">
              <w:t>ed tomography</w:t>
            </w:r>
          </w:p>
        </w:tc>
      </w:tr>
      <w:tr w:rsidR="00E028C9" w:rsidRPr="00FD119B" w14:paraId="72CBF0BE" w14:textId="77777777" w:rsidTr="002A5B76">
        <w:tc>
          <w:tcPr>
            <w:tcW w:w="1116" w:type="pct"/>
          </w:tcPr>
          <w:p w14:paraId="6F98BE57" w14:textId="77777777" w:rsidR="00E028C9" w:rsidRDefault="00E028C9" w:rsidP="0018749A">
            <w:pPr>
              <w:ind w:left="173" w:right="173"/>
            </w:pPr>
            <w:r>
              <w:t>EMA</w:t>
            </w:r>
          </w:p>
        </w:tc>
        <w:tc>
          <w:tcPr>
            <w:tcW w:w="3884" w:type="pct"/>
          </w:tcPr>
          <w:p w14:paraId="51CAF954" w14:textId="1C5136C3" w:rsidR="00E028C9" w:rsidRDefault="00E028C9" w:rsidP="0018749A">
            <w:pPr>
              <w:ind w:left="173" w:right="173"/>
            </w:pPr>
            <w:r w:rsidRPr="0016349F">
              <w:t>European Medicines Agency</w:t>
            </w:r>
            <w:r w:rsidR="0018749A">
              <w:t xml:space="preserve"> (European Union)</w:t>
            </w:r>
          </w:p>
        </w:tc>
      </w:tr>
      <w:tr w:rsidR="00E028C9" w:rsidRPr="00FD119B" w14:paraId="22AE2CF1" w14:textId="77777777" w:rsidTr="002A5B76">
        <w:tc>
          <w:tcPr>
            <w:tcW w:w="1116" w:type="pct"/>
          </w:tcPr>
          <w:p w14:paraId="14DF9213" w14:textId="77777777" w:rsidR="00E028C9" w:rsidRDefault="00E028C9" w:rsidP="0018749A">
            <w:pPr>
              <w:ind w:left="173" w:right="173"/>
            </w:pPr>
            <w:proofErr w:type="spellStart"/>
            <w:r w:rsidRPr="00507505">
              <w:t>FcεRI</w:t>
            </w:r>
            <w:proofErr w:type="spellEnd"/>
          </w:p>
        </w:tc>
        <w:tc>
          <w:tcPr>
            <w:tcW w:w="3884" w:type="pct"/>
          </w:tcPr>
          <w:p w14:paraId="5FF3AFDA" w14:textId="200E7644" w:rsidR="00E028C9" w:rsidRDefault="00E028C9" w:rsidP="0018749A">
            <w:pPr>
              <w:ind w:left="173" w:right="173"/>
            </w:pPr>
            <w:r>
              <w:t>H</w:t>
            </w:r>
            <w:r w:rsidRPr="00507505">
              <w:t>igh-affinity</w:t>
            </w:r>
            <w:r>
              <w:t xml:space="preserve"> Fc region of </w:t>
            </w:r>
            <w:r w:rsidR="0018749A">
              <w:t xml:space="preserve">immunoglobulin </w:t>
            </w:r>
            <w:r w:rsidRPr="00507505">
              <w:t>E receptor</w:t>
            </w:r>
          </w:p>
        </w:tc>
      </w:tr>
      <w:tr w:rsidR="00E028C9" w:rsidRPr="00FD119B" w14:paraId="59F12459" w14:textId="77777777" w:rsidTr="002A5B76">
        <w:tc>
          <w:tcPr>
            <w:tcW w:w="1116" w:type="pct"/>
          </w:tcPr>
          <w:p w14:paraId="0EFEDEDD" w14:textId="77777777" w:rsidR="00E028C9" w:rsidRDefault="00E028C9" w:rsidP="0018749A">
            <w:pPr>
              <w:ind w:left="173" w:right="173"/>
            </w:pPr>
            <w:r>
              <w:t>FDA</w:t>
            </w:r>
          </w:p>
        </w:tc>
        <w:tc>
          <w:tcPr>
            <w:tcW w:w="3884" w:type="pct"/>
          </w:tcPr>
          <w:p w14:paraId="62B8786F" w14:textId="77777777" w:rsidR="00E028C9" w:rsidRDefault="00E028C9" w:rsidP="0018749A">
            <w:pPr>
              <w:ind w:left="173" w:right="173"/>
            </w:pPr>
            <w:r w:rsidRPr="00A91C23">
              <w:t>Food and Drug Administration</w:t>
            </w:r>
            <w:r>
              <w:t xml:space="preserve"> (United States of America)</w:t>
            </w:r>
          </w:p>
        </w:tc>
      </w:tr>
      <w:tr w:rsidR="00E028C9" w:rsidRPr="00FD119B" w14:paraId="5590A3DF" w14:textId="77777777" w:rsidTr="002A5B76">
        <w:tc>
          <w:tcPr>
            <w:tcW w:w="1116" w:type="pct"/>
          </w:tcPr>
          <w:p w14:paraId="4429B23E" w14:textId="77777777" w:rsidR="00E028C9" w:rsidRDefault="00E028C9" w:rsidP="0018749A">
            <w:pPr>
              <w:ind w:left="173" w:right="173"/>
            </w:pPr>
            <w:proofErr w:type="spellStart"/>
            <w:r>
              <w:t>IgE</w:t>
            </w:r>
            <w:proofErr w:type="spellEnd"/>
          </w:p>
        </w:tc>
        <w:tc>
          <w:tcPr>
            <w:tcW w:w="3884" w:type="pct"/>
          </w:tcPr>
          <w:p w14:paraId="0EA7C72C" w14:textId="77777777" w:rsidR="00E028C9" w:rsidRDefault="00E028C9" w:rsidP="0018749A">
            <w:pPr>
              <w:ind w:left="173" w:right="173"/>
            </w:pPr>
            <w:r>
              <w:t>Immunoglobulin E</w:t>
            </w:r>
          </w:p>
        </w:tc>
      </w:tr>
      <w:tr w:rsidR="00E028C9" w:rsidRPr="00FD119B" w14:paraId="32485F4F" w14:textId="77777777" w:rsidTr="002A5B76">
        <w:tc>
          <w:tcPr>
            <w:tcW w:w="1116" w:type="pct"/>
          </w:tcPr>
          <w:p w14:paraId="641F3628" w14:textId="77777777" w:rsidR="00E028C9" w:rsidRDefault="00E028C9" w:rsidP="0018749A">
            <w:pPr>
              <w:ind w:left="173" w:right="173"/>
            </w:pPr>
            <w:r>
              <w:t>IL</w:t>
            </w:r>
          </w:p>
        </w:tc>
        <w:tc>
          <w:tcPr>
            <w:tcW w:w="3884" w:type="pct"/>
          </w:tcPr>
          <w:p w14:paraId="1C6D905F" w14:textId="77777777" w:rsidR="00E028C9" w:rsidRPr="00531852" w:rsidRDefault="00E028C9" w:rsidP="0018749A">
            <w:pPr>
              <w:ind w:left="173" w:right="173"/>
            </w:pPr>
            <w:r>
              <w:t>Interleukin</w:t>
            </w:r>
          </w:p>
        </w:tc>
      </w:tr>
      <w:tr w:rsidR="00E028C9" w:rsidRPr="00FD119B" w14:paraId="014DB5A5" w14:textId="77777777" w:rsidTr="002A5B76">
        <w:tc>
          <w:tcPr>
            <w:tcW w:w="1116" w:type="pct"/>
          </w:tcPr>
          <w:p w14:paraId="6F5E5560" w14:textId="77777777" w:rsidR="00E028C9" w:rsidRDefault="00E028C9" w:rsidP="0018749A">
            <w:pPr>
              <w:ind w:left="173" w:right="173"/>
            </w:pPr>
            <w:r>
              <w:t>NCS</w:t>
            </w:r>
          </w:p>
        </w:tc>
        <w:tc>
          <w:tcPr>
            <w:tcW w:w="3884" w:type="pct"/>
          </w:tcPr>
          <w:p w14:paraId="10FE27E8" w14:textId="3C8C9B2D" w:rsidR="00E028C9" w:rsidRDefault="00E028C9" w:rsidP="0018749A">
            <w:pPr>
              <w:ind w:left="173" w:right="173"/>
            </w:pPr>
            <w:r>
              <w:t>N</w:t>
            </w:r>
            <w:r w:rsidRPr="00507505">
              <w:t xml:space="preserve">asal </w:t>
            </w:r>
            <w:r w:rsidR="002D23BC">
              <w:t>C</w:t>
            </w:r>
            <w:r w:rsidRPr="00507505">
              <w:t xml:space="preserve">ongestion </w:t>
            </w:r>
            <w:r w:rsidR="002D23BC">
              <w:t>S</w:t>
            </w:r>
            <w:r w:rsidRPr="00507505">
              <w:t>core</w:t>
            </w:r>
          </w:p>
        </w:tc>
      </w:tr>
      <w:tr w:rsidR="00E028C9" w:rsidRPr="00FD119B" w14:paraId="00DDF7FE" w14:textId="77777777" w:rsidTr="002A5B76">
        <w:tc>
          <w:tcPr>
            <w:tcW w:w="1116" w:type="pct"/>
          </w:tcPr>
          <w:p w14:paraId="1D3E1D90" w14:textId="77777777" w:rsidR="00E028C9" w:rsidRDefault="00E028C9" w:rsidP="0018749A">
            <w:pPr>
              <w:ind w:left="173" w:right="173"/>
            </w:pPr>
            <w:r>
              <w:t>NPS</w:t>
            </w:r>
          </w:p>
        </w:tc>
        <w:tc>
          <w:tcPr>
            <w:tcW w:w="3884" w:type="pct"/>
          </w:tcPr>
          <w:p w14:paraId="7300CDA4" w14:textId="53F957C0" w:rsidR="00E028C9" w:rsidRDefault="00E028C9" w:rsidP="0018749A">
            <w:pPr>
              <w:ind w:left="173" w:right="173"/>
            </w:pPr>
            <w:r>
              <w:t xml:space="preserve">Nasal </w:t>
            </w:r>
            <w:r w:rsidR="002D23BC">
              <w:t>P</w:t>
            </w:r>
            <w:r>
              <w:t xml:space="preserve">olyp </w:t>
            </w:r>
            <w:r w:rsidR="002D23BC">
              <w:t>S</w:t>
            </w:r>
            <w:r w:rsidRPr="00507505">
              <w:t>core</w:t>
            </w:r>
          </w:p>
        </w:tc>
      </w:tr>
      <w:tr w:rsidR="00E028C9" w:rsidRPr="00FD119B" w14:paraId="619D8D64" w14:textId="77777777" w:rsidTr="002A5B76">
        <w:tc>
          <w:tcPr>
            <w:tcW w:w="1116" w:type="pct"/>
          </w:tcPr>
          <w:p w14:paraId="7DC5B565" w14:textId="77777777" w:rsidR="00E028C9" w:rsidRDefault="00E028C9" w:rsidP="0018749A">
            <w:pPr>
              <w:ind w:left="173" w:right="173"/>
            </w:pPr>
            <w:r>
              <w:t>PD</w:t>
            </w:r>
          </w:p>
        </w:tc>
        <w:tc>
          <w:tcPr>
            <w:tcW w:w="3884" w:type="pct"/>
          </w:tcPr>
          <w:p w14:paraId="24CCD895" w14:textId="77777777" w:rsidR="00E028C9" w:rsidRDefault="00E028C9" w:rsidP="0018749A">
            <w:pPr>
              <w:ind w:left="173" w:right="173"/>
            </w:pPr>
            <w:r>
              <w:t>P</w:t>
            </w:r>
            <w:r w:rsidRPr="00507505">
              <w:t>harmacodynamic</w:t>
            </w:r>
            <w:r>
              <w:t>(</w:t>
            </w:r>
            <w:r w:rsidRPr="00507505">
              <w:t>s</w:t>
            </w:r>
            <w:r>
              <w:t>)</w:t>
            </w:r>
          </w:p>
        </w:tc>
      </w:tr>
      <w:tr w:rsidR="00E028C9" w:rsidRPr="00FD119B" w14:paraId="198C7704" w14:textId="77777777" w:rsidTr="002A5B76">
        <w:tc>
          <w:tcPr>
            <w:tcW w:w="1116" w:type="pct"/>
          </w:tcPr>
          <w:p w14:paraId="7446172E" w14:textId="77777777" w:rsidR="00E028C9" w:rsidRDefault="00E028C9" w:rsidP="0018749A">
            <w:pPr>
              <w:ind w:left="173" w:right="173"/>
            </w:pPr>
            <w:r>
              <w:t>PI</w:t>
            </w:r>
          </w:p>
        </w:tc>
        <w:tc>
          <w:tcPr>
            <w:tcW w:w="3884" w:type="pct"/>
          </w:tcPr>
          <w:p w14:paraId="3FF44875" w14:textId="77777777" w:rsidR="00E028C9" w:rsidRDefault="00E028C9" w:rsidP="0018749A">
            <w:pPr>
              <w:ind w:left="173" w:right="173"/>
            </w:pPr>
            <w:r>
              <w:t>Product Information</w:t>
            </w:r>
          </w:p>
        </w:tc>
      </w:tr>
      <w:tr w:rsidR="00E028C9" w:rsidRPr="00FD119B" w14:paraId="759FDB01" w14:textId="77777777" w:rsidTr="002A5B76">
        <w:tc>
          <w:tcPr>
            <w:tcW w:w="1116" w:type="pct"/>
          </w:tcPr>
          <w:p w14:paraId="3CBE8502" w14:textId="77777777" w:rsidR="00E028C9" w:rsidRDefault="00E028C9" w:rsidP="0018749A">
            <w:pPr>
              <w:ind w:left="173" w:right="173"/>
            </w:pPr>
            <w:r>
              <w:t>PK</w:t>
            </w:r>
          </w:p>
        </w:tc>
        <w:tc>
          <w:tcPr>
            <w:tcW w:w="3884" w:type="pct"/>
          </w:tcPr>
          <w:p w14:paraId="74016C2C" w14:textId="1FA850C5" w:rsidR="00E028C9" w:rsidRDefault="00E028C9" w:rsidP="0018749A">
            <w:pPr>
              <w:ind w:left="173" w:right="173"/>
            </w:pPr>
            <w:r>
              <w:t>Pharm</w:t>
            </w:r>
            <w:r w:rsidR="002D23BC">
              <w:t>a</w:t>
            </w:r>
            <w:r>
              <w:t>cokinetic(s)</w:t>
            </w:r>
          </w:p>
        </w:tc>
      </w:tr>
      <w:tr w:rsidR="00E028C9" w:rsidRPr="00FD119B" w14:paraId="59936C2B" w14:textId="77777777" w:rsidTr="002A5B76">
        <w:tc>
          <w:tcPr>
            <w:tcW w:w="1116" w:type="pct"/>
          </w:tcPr>
          <w:p w14:paraId="643B72C2" w14:textId="77777777" w:rsidR="00E028C9" w:rsidRDefault="00E028C9" w:rsidP="0018749A">
            <w:pPr>
              <w:ind w:left="173" w:right="173"/>
            </w:pPr>
            <w:r>
              <w:t>PSUR</w:t>
            </w:r>
          </w:p>
        </w:tc>
        <w:tc>
          <w:tcPr>
            <w:tcW w:w="3884" w:type="pct"/>
          </w:tcPr>
          <w:p w14:paraId="57AE6CDE" w14:textId="77777777" w:rsidR="00E028C9" w:rsidRDefault="00E028C9" w:rsidP="0018749A">
            <w:pPr>
              <w:ind w:left="173" w:right="173"/>
            </w:pPr>
            <w:r>
              <w:t>Periodic Safety Update Report</w:t>
            </w:r>
          </w:p>
        </w:tc>
      </w:tr>
      <w:tr w:rsidR="00E028C9" w:rsidRPr="00FD119B" w14:paraId="302097E5" w14:textId="77777777" w:rsidTr="002A5B76">
        <w:tc>
          <w:tcPr>
            <w:tcW w:w="1116" w:type="pct"/>
          </w:tcPr>
          <w:p w14:paraId="07A9A091" w14:textId="77777777" w:rsidR="00E028C9" w:rsidRDefault="00E028C9" w:rsidP="0018749A">
            <w:pPr>
              <w:ind w:left="173" w:right="173"/>
            </w:pPr>
            <w:r w:rsidRPr="00216D12">
              <w:t>Q2W</w:t>
            </w:r>
          </w:p>
        </w:tc>
        <w:tc>
          <w:tcPr>
            <w:tcW w:w="3884" w:type="pct"/>
          </w:tcPr>
          <w:p w14:paraId="11818038" w14:textId="77777777" w:rsidR="00E028C9" w:rsidRDefault="00E028C9" w:rsidP="0018749A">
            <w:pPr>
              <w:ind w:left="173" w:right="173"/>
            </w:pPr>
            <w:r>
              <w:t>E</w:t>
            </w:r>
            <w:r w:rsidRPr="0016349F">
              <w:t>very 2 weeks</w:t>
            </w:r>
          </w:p>
        </w:tc>
      </w:tr>
      <w:tr w:rsidR="00E028C9" w:rsidRPr="00FD119B" w14:paraId="3ACE930E" w14:textId="77777777" w:rsidTr="002A5B76">
        <w:tc>
          <w:tcPr>
            <w:tcW w:w="1116" w:type="pct"/>
          </w:tcPr>
          <w:p w14:paraId="6D7004D4" w14:textId="77777777" w:rsidR="00E028C9" w:rsidRDefault="00E028C9" w:rsidP="0018749A">
            <w:pPr>
              <w:ind w:left="173" w:right="173"/>
            </w:pPr>
            <w:r>
              <w:t>Q4W</w:t>
            </w:r>
          </w:p>
        </w:tc>
        <w:tc>
          <w:tcPr>
            <w:tcW w:w="3884" w:type="pct"/>
          </w:tcPr>
          <w:p w14:paraId="7D7634A5" w14:textId="77777777" w:rsidR="00E028C9" w:rsidRDefault="00E028C9" w:rsidP="0018749A">
            <w:pPr>
              <w:ind w:left="173" w:right="173"/>
            </w:pPr>
            <w:r>
              <w:t>Every 4 weeks</w:t>
            </w:r>
          </w:p>
        </w:tc>
      </w:tr>
      <w:tr w:rsidR="00E028C9" w:rsidRPr="00FD119B" w14:paraId="026A4635" w14:textId="77777777" w:rsidTr="002A5B76">
        <w:tc>
          <w:tcPr>
            <w:tcW w:w="1116" w:type="pct"/>
          </w:tcPr>
          <w:p w14:paraId="21EC5655" w14:textId="77777777" w:rsidR="00E028C9" w:rsidRDefault="00E028C9" w:rsidP="0018749A">
            <w:pPr>
              <w:ind w:left="173" w:right="173"/>
            </w:pPr>
            <w:r>
              <w:t>QOL</w:t>
            </w:r>
          </w:p>
        </w:tc>
        <w:tc>
          <w:tcPr>
            <w:tcW w:w="3884" w:type="pct"/>
          </w:tcPr>
          <w:p w14:paraId="02B8B0FB" w14:textId="77777777" w:rsidR="00E028C9" w:rsidRDefault="00E028C9" w:rsidP="0018749A">
            <w:pPr>
              <w:ind w:left="173" w:right="173"/>
            </w:pPr>
            <w:r>
              <w:t>Quality of life</w:t>
            </w:r>
          </w:p>
        </w:tc>
      </w:tr>
      <w:tr w:rsidR="00E028C9" w:rsidRPr="00FD119B" w14:paraId="13910033" w14:textId="77777777" w:rsidTr="002A5B76">
        <w:tc>
          <w:tcPr>
            <w:tcW w:w="1116" w:type="pct"/>
          </w:tcPr>
          <w:p w14:paraId="42141B80" w14:textId="77777777" w:rsidR="00E028C9" w:rsidRDefault="00E028C9" w:rsidP="0018749A">
            <w:pPr>
              <w:ind w:left="173" w:right="173"/>
            </w:pPr>
            <w:r>
              <w:t>SAE</w:t>
            </w:r>
          </w:p>
        </w:tc>
        <w:tc>
          <w:tcPr>
            <w:tcW w:w="3884" w:type="pct"/>
          </w:tcPr>
          <w:p w14:paraId="186FC97A" w14:textId="77777777" w:rsidR="00E028C9" w:rsidRDefault="00E028C9" w:rsidP="0018749A">
            <w:pPr>
              <w:ind w:left="173" w:right="173"/>
            </w:pPr>
            <w:r w:rsidRPr="00531852">
              <w:t>Serious adverse event</w:t>
            </w:r>
          </w:p>
        </w:tc>
      </w:tr>
      <w:tr w:rsidR="00E028C9" w:rsidRPr="00FD119B" w14:paraId="1E631DF7" w14:textId="77777777" w:rsidTr="002A5B76">
        <w:tc>
          <w:tcPr>
            <w:tcW w:w="1116" w:type="pct"/>
          </w:tcPr>
          <w:p w14:paraId="3CC164D1" w14:textId="77777777" w:rsidR="00E028C9" w:rsidRDefault="00E028C9" w:rsidP="0018749A">
            <w:pPr>
              <w:ind w:left="173" w:right="173"/>
            </w:pPr>
            <w:r>
              <w:t>SD</w:t>
            </w:r>
          </w:p>
        </w:tc>
        <w:tc>
          <w:tcPr>
            <w:tcW w:w="3884" w:type="pct"/>
          </w:tcPr>
          <w:p w14:paraId="624579EB" w14:textId="77777777" w:rsidR="00E028C9" w:rsidRDefault="00E028C9" w:rsidP="0018749A">
            <w:pPr>
              <w:ind w:left="173" w:right="173"/>
            </w:pPr>
            <w:r>
              <w:t>Standard deviation</w:t>
            </w:r>
          </w:p>
        </w:tc>
      </w:tr>
      <w:tr w:rsidR="00E028C9" w:rsidRPr="00FD119B" w14:paraId="06F7DAF0" w14:textId="77777777" w:rsidTr="002A5B76">
        <w:tc>
          <w:tcPr>
            <w:tcW w:w="1116" w:type="pct"/>
          </w:tcPr>
          <w:p w14:paraId="5B814E4B" w14:textId="77777777" w:rsidR="00E028C9" w:rsidRDefault="00E028C9" w:rsidP="0018749A">
            <w:pPr>
              <w:ind w:left="173" w:right="173"/>
            </w:pPr>
            <w:r>
              <w:t>SFU</w:t>
            </w:r>
          </w:p>
        </w:tc>
        <w:tc>
          <w:tcPr>
            <w:tcW w:w="3884" w:type="pct"/>
          </w:tcPr>
          <w:p w14:paraId="0AA56A9E" w14:textId="77777777" w:rsidR="00E028C9" w:rsidRDefault="00E028C9" w:rsidP="0018749A">
            <w:pPr>
              <w:ind w:left="173" w:right="173"/>
            </w:pPr>
            <w:r>
              <w:t>Safety follow up</w:t>
            </w:r>
          </w:p>
        </w:tc>
      </w:tr>
      <w:tr w:rsidR="00E028C9" w:rsidRPr="00FD119B" w14:paraId="434A748F" w14:textId="77777777" w:rsidTr="002A5B76">
        <w:tc>
          <w:tcPr>
            <w:tcW w:w="1116" w:type="pct"/>
          </w:tcPr>
          <w:p w14:paraId="6D96CAC1" w14:textId="77777777" w:rsidR="00E028C9" w:rsidRDefault="00E028C9" w:rsidP="0018749A">
            <w:pPr>
              <w:ind w:left="173" w:right="173"/>
            </w:pPr>
            <w:r>
              <w:t>SNOT-22</w:t>
            </w:r>
          </w:p>
        </w:tc>
        <w:tc>
          <w:tcPr>
            <w:tcW w:w="3884" w:type="pct"/>
          </w:tcPr>
          <w:p w14:paraId="4CED3657" w14:textId="1897EA33" w:rsidR="00E028C9" w:rsidRDefault="00E028C9" w:rsidP="0018749A">
            <w:pPr>
              <w:ind w:left="173" w:right="173"/>
            </w:pPr>
            <w:r>
              <w:t>Sino</w:t>
            </w:r>
            <w:r w:rsidR="002D23BC">
              <w:noBreakHyphen/>
              <w:t>N</w:t>
            </w:r>
            <w:r>
              <w:t xml:space="preserve">asal </w:t>
            </w:r>
            <w:r w:rsidR="002D23BC">
              <w:t>O</w:t>
            </w:r>
            <w:r>
              <w:t xml:space="preserve">utcome </w:t>
            </w:r>
            <w:r w:rsidR="002D23BC">
              <w:t>T</w:t>
            </w:r>
            <w:r w:rsidRPr="0016349F">
              <w:t>est-22</w:t>
            </w:r>
          </w:p>
        </w:tc>
      </w:tr>
      <w:tr w:rsidR="00E028C9" w:rsidRPr="00FD119B" w14:paraId="2D72EFF4" w14:textId="77777777" w:rsidTr="002A5B76">
        <w:tc>
          <w:tcPr>
            <w:tcW w:w="1116" w:type="pct"/>
          </w:tcPr>
          <w:p w14:paraId="1A665A55" w14:textId="77777777" w:rsidR="00E028C9" w:rsidRDefault="00E028C9" w:rsidP="0018749A">
            <w:pPr>
              <w:ind w:left="173" w:right="173"/>
            </w:pPr>
            <w:r>
              <w:t>SSS</w:t>
            </w:r>
          </w:p>
        </w:tc>
        <w:tc>
          <w:tcPr>
            <w:tcW w:w="3884" w:type="pct"/>
          </w:tcPr>
          <w:p w14:paraId="63A43430" w14:textId="074C9EB7" w:rsidR="00E028C9" w:rsidRDefault="00E028C9" w:rsidP="0018749A">
            <w:pPr>
              <w:ind w:left="173" w:right="173"/>
            </w:pPr>
            <w:r>
              <w:t xml:space="preserve">Sense of </w:t>
            </w:r>
            <w:r w:rsidR="002D23BC">
              <w:t>S</w:t>
            </w:r>
            <w:r>
              <w:t xml:space="preserve">mell </w:t>
            </w:r>
            <w:r w:rsidR="002D23BC">
              <w:t>S</w:t>
            </w:r>
            <w:r>
              <w:t>core</w:t>
            </w:r>
          </w:p>
        </w:tc>
      </w:tr>
      <w:tr w:rsidR="00E028C9" w:rsidRPr="00FD119B" w14:paraId="2D8F31D0" w14:textId="77777777" w:rsidTr="002A5B76">
        <w:tc>
          <w:tcPr>
            <w:tcW w:w="1116" w:type="pct"/>
          </w:tcPr>
          <w:p w14:paraId="2D6C274D" w14:textId="77777777" w:rsidR="00E028C9" w:rsidRPr="00FD119B" w:rsidRDefault="00E028C9" w:rsidP="0018749A">
            <w:pPr>
              <w:ind w:left="173" w:right="173"/>
              <w:rPr>
                <w:color w:val="auto"/>
                <w:szCs w:val="22"/>
                <w:lang w:eastAsia="en-US"/>
              </w:rPr>
            </w:pPr>
            <w:r>
              <w:rPr>
                <w:color w:val="auto"/>
                <w:szCs w:val="22"/>
                <w:lang w:eastAsia="en-US"/>
              </w:rPr>
              <w:t>TGA</w:t>
            </w:r>
          </w:p>
        </w:tc>
        <w:tc>
          <w:tcPr>
            <w:tcW w:w="3884" w:type="pct"/>
          </w:tcPr>
          <w:p w14:paraId="292C8FA3" w14:textId="77777777" w:rsidR="00E028C9" w:rsidRPr="00FD119B" w:rsidRDefault="00E028C9" w:rsidP="0018749A">
            <w:pPr>
              <w:ind w:left="173" w:right="173"/>
              <w:rPr>
                <w:color w:val="auto"/>
                <w:szCs w:val="22"/>
                <w:lang w:eastAsia="en-US"/>
              </w:rPr>
            </w:pPr>
            <w:r w:rsidRPr="001F6CBA">
              <w:t>Therapeutic Goods Administration</w:t>
            </w:r>
          </w:p>
        </w:tc>
      </w:tr>
      <w:tr w:rsidR="00E028C9" w:rsidRPr="00FD119B" w14:paraId="3613D792" w14:textId="77777777" w:rsidTr="002A5B76">
        <w:tc>
          <w:tcPr>
            <w:tcW w:w="1116" w:type="pct"/>
          </w:tcPr>
          <w:p w14:paraId="6976CAFB" w14:textId="77777777" w:rsidR="00E028C9" w:rsidRDefault="00E028C9" w:rsidP="0018749A">
            <w:pPr>
              <w:ind w:left="173" w:right="173"/>
            </w:pPr>
            <w:r>
              <w:t>TNSS</w:t>
            </w:r>
          </w:p>
        </w:tc>
        <w:tc>
          <w:tcPr>
            <w:tcW w:w="3884" w:type="pct"/>
          </w:tcPr>
          <w:p w14:paraId="0D55F7E6" w14:textId="10EE0522" w:rsidR="00E028C9" w:rsidRDefault="00E028C9" w:rsidP="0018749A">
            <w:pPr>
              <w:ind w:left="173" w:right="173"/>
            </w:pPr>
            <w:r>
              <w:t xml:space="preserve">Total </w:t>
            </w:r>
            <w:r w:rsidR="002D23BC">
              <w:t>N</w:t>
            </w:r>
            <w:r>
              <w:t xml:space="preserve">asal </w:t>
            </w:r>
            <w:r w:rsidR="002D23BC">
              <w:t>S</w:t>
            </w:r>
            <w:r>
              <w:t xml:space="preserve">ymptom </w:t>
            </w:r>
            <w:r w:rsidR="002D23BC">
              <w:t>S</w:t>
            </w:r>
            <w:r>
              <w:t>core</w:t>
            </w:r>
          </w:p>
        </w:tc>
      </w:tr>
      <w:tr w:rsidR="00E028C9" w:rsidRPr="00FD119B" w14:paraId="6C56829F" w14:textId="77777777" w:rsidTr="002A5B76">
        <w:tc>
          <w:tcPr>
            <w:tcW w:w="1116" w:type="pct"/>
          </w:tcPr>
          <w:p w14:paraId="3241CB8A" w14:textId="77777777" w:rsidR="00E028C9" w:rsidRDefault="00E028C9" w:rsidP="0018749A">
            <w:pPr>
              <w:ind w:left="173" w:right="173"/>
            </w:pPr>
            <w:r>
              <w:t>UPSIT</w:t>
            </w:r>
          </w:p>
        </w:tc>
        <w:tc>
          <w:tcPr>
            <w:tcW w:w="3884" w:type="pct"/>
          </w:tcPr>
          <w:p w14:paraId="212A3C42" w14:textId="3BC127BA" w:rsidR="00E028C9" w:rsidRDefault="00E028C9" w:rsidP="002D23BC">
            <w:pPr>
              <w:ind w:left="173" w:right="173"/>
            </w:pPr>
            <w:r>
              <w:t xml:space="preserve">University of Pennsylvania </w:t>
            </w:r>
            <w:r w:rsidR="002D23BC">
              <w:t>Smell I</w:t>
            </w:r>
            <w:r>
              <w:t xml:space="preserve">dentification </w:t>
            </w:r>
            <w:r w:rsidR="002D23BC">
              <w:t>T</w:t>
            </w:r>
            <w:r w:rsidRPr="0016349F">
              <w:t>est</w:t>
            </w:r>
          </w:p>
        </w:tc>
      </w:tr>
    </w:tbl>
    <w:p w14:paraId="59C0F6D1" w14:textId="77777777" w:rsidR="00FD119B" w:rsidRDefault="00FD119B" w:rsidP="00FD119B"/>
    <w:p w14:paraId="5AC996A7"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2A55FA3" w14:textId="77777777" w:rsidR="008E7846" w:rsidRDefault="00F53C07" w:rsidP="008E7846">
      <w:pPr>
        <w:pStyle w:val="Heading2"/>
      </w:pPr>
      <w:bookmarkStart w:id="9" w:name="_Toc71188731"/>
      <w:r>
        <w:t>I.</w:t>
      </w:r>
      <w:r w:rsidR="008E7846">
        <w:t xml:space="preserve"> Introduction to product submission</w:t>
      </w:r>
      <w:bookmarkEnd w:id="0"/>
      <w:bookmarkEnd w:id="3"/>
      <w:bookmarkEnd w:id="9"/>
    </w:p>
    <w:p w14:paraId="1D5290F6" w14:textId="77777777" w:rsidR="008E7846" w:rsidRDefault="008E7846" w:rsidP="008E7846">
      <w:pPr>
        <w:pStyle w:val="Heading3"/>
        <w:rPr>
          <w:lang w:eastAsia="en-AU"/>
        </w:rPr>
      </w:pPr>
      <w:bookmarkStart w:id="10" w:name="_Toc247691502"/>
      <w:bookmarkStart w:id="11" w:name="_Toc314842483"/>
      <w:bookmarkStart w:id="12" w:name="_Toc71188732"/>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7A7BDBA9" w14:textId="77777777" w:rsidTr="003735BC">
        <w:tc>
          <w:tcPr>
            <w:tcW w:w="2907" w:type="dxa"/>
          </w:tcPr>
          <w:p w14:paraId="038FEF4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3DC6E2F" w14:textId="77777777" w:rsidR="008E7846" w:rsidRPr="003D1E62" w:rsidRDefault="000121B2" w:rsidP="000121B2">
            <w:r>
              <w:t>Extension of indication</w:t>
            </w:r>
          </w:p>
        </w:tc>
      </w:tr>
      <w:tr w:rsidR="00460036" w:rsidRPr="003D1E62" w14:paraId="05787447" w14:textId="77777777" w:rsidTr="003735BC">
        <w:tc>
          <w:tcPr>
            <w:tcW w:w="2907" w:type="dxa"/>
          </w:tcPr>
          <w:p w14:paraId="7CA6D362" w14:textId="77777777" w:rsidR="00460036" w:rsidRPr="003D1E62" w:rsidRDefault="00460036" w:rsidP="000121B2">
            <w:pPr>
              <w:rPr>
                <w:i/>
              </w:rPr>
            </w:pPr>
            <w:r w:rsidRPr="00460036">
              <w:rPr>
                <w:i/>
              </w:rPr>
              <w:t>Prod</w:t>
            </w:r>
            <w:r w:rsidR="000121B2">
              <w:rPr>
                <w:i/>
              </w:rPr>
              <w:t>uct name</w:t>
            </w:r>
            <w:r w:rsidRPr="00460036">
              <w:rPr>
                <w:i/>
              </w:rPr>
              <w:t>:</w:t>
            </w:r>
          </w:p>
        </w:tc>
        <w:tc>
          <w:tcPr>
            <w:tcW w:w="6307" w:type="dxa"/>
          </w:tcPr>
          <w:p w14:paraId="27085382" w14:textId="77777777" w:rsidR="00460036" w:rsidRPr="003D1E62" w:rsidRDefault="000121B2" w:rsidP="001B5C90">
            <w:proofErr w:type="spellStart"/>
            <w:r>
              <w:t>Xolair</w:t>
            </w:r>
            <w:proofErr w:type="spellEnd"/>
          </w:p>
        </w:tc>
      </w:tr>
      <w:tr w:rsidR="00460036" w:rsidRPr="003D1E62" w14:paraId="49775AEB" w14:textId="77777777" w:rsidTr="003735BC">
        <w:tc>
          <w:tcPr>
            <w:tcW w:w="2907" w:type="dxa"/>
          </w:tcPr>
          <w:p w14:paraId="7911774B" w14:textId="77777777" w:rsidR="00460036" w:rsidRPr="003D1E62" w:rsidRDefault="000121B2" w:rsidP="003D1E62">
            <w:pPr>
              <w:rPr>
                <w:i/>
              </w:rPr>
            </w:pPr>
            <w:r>
              <w:rPr>
                <w:i/>
              </w:rPr>
              <w:t>Active ingredient</w:t>
            </w:r>
            <w:r w:rsidR="00460036" w:rsidRPr="00460036">
              <w:rPr>
                <w:i/>
              </w:rPr>
              <w:t>:</w:t>
            </w:r>
          </w:p>
        </w:tc>
        <w:tc>
          <w:tcPr>
            <w:tcW w:w="6307" w:type="dxa"/>
          </w:tcPr>
          <w:p w14:paraId="2E1A7E98" w14:textId="77777777" w:rsidR="00460036" w:rsidRPr="003D1E62" w:rsidRDefault="000121B2" w:rsidP="000121B2">
            <w:proofErr w:type="spellStart"/>
            <w:r>
              <w:t>Omalizumab</w:t>
            </w:r>
            <w:proofErr w:type="spellEnd"/>
          </w:p>
        </w:tc>
      </w:tr>
      <w:tr w:rsidR="008E7846" w:rsidRPr="003D1E62" w14:paraId="1D18360D" w14:textId="77777777" w:rsidTr="003735BC">
        <w:tc>
          <w:tcPr>
            <w:tcW w:w="2907" w:type="dxa"/>
          </w:tcPr>
          <w:p w14:paraId="02E7D113" w14:textId="77777777" w:rsidR="008E7846" w:rsidRPr="003D1E62" w:rsidRDefault="008E7846" w:rsidP="003D1E62">
            <w:r w:rsidRPr="003D1E62">
              <w:rPr>
                <w:i/>
              </w:rPr>
              <w:t>Decision</w:t>
            </w:r>
            <w:r w:rsidRPr="003D1E62">
              <w:t>:</w:t>
            </w:r>
          </w:p>
        </w:tc>
        <w:tc>
          <w:tcPr>
            <w:tcW w:w="6307" w:type="dxa"/>
          </w:tcPr>
          <w:p w14:paraId="124C885E" w14:textId="77777777" w:rsidR="008E7846" w:rsidRPr="003D1E62" w:rsidRDefault="000121B2" w:rsidP="000121B2">
            <w:r>
              <w:t>Approved</w:t>
            </w:r>
          </w:p>
        </w:tc>
      </w:tr>
      <w:tr w:rsidR="008E7846" w:rsidRPr="003D1E62" w14:paraId="3652AC1F" w14:textId="77777777" w:rsidTr="003735BC">
        <w:tc>
          <w:tcPr>
            <w:tcW w:w="2907" w:type="dxa"/>
          </w:tcPr>
          <w:p w14:paraId="44DE482B"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E838359" w14:textId="77777777" w:rsidR="008E7846" w:rsidRPr="003D1E62" w:rsidRDefault="000121B2" w:rsidP="001B5C90">
            <w:r>
              <w:t>12 March 2021</w:t>
            </w:r>
          </w:p>
        </w:tc>
      </w:tr>
      <w:tr w:rsidR="00ED2922" w:rsidRPr="003D1E62" w14:paraId="240C6643" w14:textId="77777777" w:rsidTr="003735BC">
        <w:tc>
          <w:tcPr>
            <w:tcW w:w="2907" w:type="dxa"/>
          </w:tcPr>
          <w:p w14:paraId="1CA20358" w14:textId="77777777" w:rsidR="00ED2922" w:rsidRPr="00441C3F" w:rsidRDefault="00ED2922" w:rsidP="001B5C90">
            <w:pPr>
              <w:rPr>
                <w:i/>
              </w:rPr>
            </w:pPr>
            <w:r w:rsidRPr="00441C3F">
              <w:rPr>
                <w:i/>
              </w:rPr>
              <w:t>Date of entry onto ARTG</w:t>
            </w:r>
            <w:r w:rsidR="00500337">
              <w:rPr>
                <w:i/>
              </w:rPr>
              <w:t>:</w:t>
            </w:r>
          </w:p>
        </w:tc>
        <w:tc>
          <w:tcPr>
            <w:tcW w:w="6307" w:type="dxa"/>
          </w:tcPr>
          <w:p w14:paraId="0E6717E5" w14:textId="12B39901" w:rsidR="00ED2922" w:rsidRPr="00A21C1F" w:rsidRDefault="00A21C1F" w:rsidP="00A21C1F">
            <w:pPr>
              <w:rPr>
                <w:i/>
              </w:rPr>
            </w:pPr>
            <w:r>
              <w:t>18 March 2021</w:t>
            </w:r>
          </w:p>
        </w:tc>
      </w:tr>
      <w:tr w:rsidR="00500337" w:rsidRPr="003D1E62" w14:paraId="355543C9" w14:textId="77777777" w:rsidTr="003735BC">
        <w:tc>
          <w:tcPr>
            <w:tcW w:w="2907" w:type="dxa"/>
          </w:tcPr>
          <w:p w14:paraId="0ABBE96A" w14:textId="77777777" w:rsidR="00500337" w:rsidRPr="00441C3F" w:rsidRDefault="005772E7" w:rsidP="001B5C90">
            <w:pPr>
              <w:rPr>
                <w:i/>
              </w:rPr>
            </w:pPr>
            <w:r>
              <w:rPr>
                <w:i/>
              </w:rPr>
              <w:t>ARTG numbers</w:t>
            </w:r>
            <w:r w:rsidR="00500337">
              <w:rPr>
                <w:i/>
              </w:rPr>
              <w:t>:</w:t>
            </w:r>
          </w:p>
        </w:tc>
        <w:tc>
          <w:tcPr>
            <w:tcW w:w="6307" w:type="dxa"/>
          </w:tcPr>
          <w:p w14:paraId="65F64F83" w14:textId="77777777" w:rsidR="00500337" w:rsidRPr="00E606C2" w:rsidRDefault="00E606C2" w:rsidP="00EC463D">
            <w:pPr>
              <w:rPr>
                <w:highlight w:val="yellow"/>
              </w:rPr>
            </w:pPr>
            <w:r w:rsidRPr="00E606C2">
              <w:t>115399, 201124, 82744, 201126</w:t>
            </w:r>
          </w:p>
        </w:tc>
      </w:tr>
      <w:tr w:rsidR="003735BC" w:rsidRPr="003D1E62" w14:paraId="05BC5D8A" w14:textId="77777777" w:rsidTr="003735BC">
        <w:tc>
          <w:tcPr>
            <w:tcW w:w="2907" w:type="dxa"/>
          </w:tcPr>
          <w:p w14:paraId="23163EC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27731A15" w14:textId="77777777" w:rsidR="003735BC" w:rsidRPr="00487162" w:rsidRDefault="00E606C2" w:rsidP="003735BC">
            <w:r>
              <w:t>No</w:t>
            </w:r>
          </w:p>
        </w:tc>
      </w:tr>
      <w:tr w:rsidR="008E7846" w:rsidRPr="00487162" w14:paraId="0733F3E2" w14:textId="77777777" w:rsidTr="00BF1190">
        <w:tc>
          <w:tcPr>
            <w:tcW w:w="2907" w:type="dxa"/>
          </w:tcPr>
          <w:p w14:paraId="61ED352D"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41DDD02" w14:textId="77777777" w:rsidR="00E606C2" w:rsidRDefault="00E606C2" w:rsidP="00E606C2">
            <w:r>
              <w:t>Novartis Pharmaceuticals Australia Pty Limited</w:t>
            </w:r>
          </w:p>
          <w:p w14:paraId="68B47183" w14:textId="77777777" w:rsidR="00E606C2" w:rsidRDefault="00E606C2" w:rsidP="00E606C2">
            <w:r>
              <w:t>54 Waterloo Road</w:t>
            </w:r>
          </w:p>
          <w:p w14:paraId="6D739BFC" w14:textId="77777777" w:rsidR="008E7846" w:rsidRPr="00487162" w:rsidRDefault="00E606C2" w:rsidP="00E606C2">
            <w:r>
              <w:t>Macquarie Park NSW 2113</w:t>
            </w:r>
          </w:p>
        </w:tc>
      </w:tr>
      <w:tr w:rsidR="008E7846" w:rsidRPr="00487162" w14:paraId="3C8CEFDA" w14:textId="77777777" w:rsidTr="00BF1190">
        <w:tc>
          <w:tcPr>
            <w:tcW w:w="2907" w:type="dxa"/>
          </w:tcPr>
          <w:p w14:paraId="6F1FD6C7" w14:textId="77777777" w:rsidR="008E7846" w:rsidRPr="00487162" w:rsidRDefault="001B5C90" w:rsidP="005772E7">
            <w:pPr>
              <w:rPr>
                <w:i/>
              </w:rPr>
            </w:pPr>
            <w:r>
              <w:rPr>
                <w:i/>
              </w:rPr>
              <w:t>Dose form</w:t>
            </w:r>
            <w:r w:rsidR="005772E7">
              <w:rPr>
                <w:i/>
              </w:rPr>
              <w:t>s</w:t>
            </w:r>
            <w:r>
              <w:rPr>
                <w:i/>
              </w:rPr>
              <w:t>:</w:t>
            </w:r>
          </w:p>
        </w:tc>
        <w:tc>
          <w:tcPr>
            <w:tcW w:w="6307" w:type="dxa"/>
          </w:tcPr>
          <w:p w14:paraId="337F7A8B" w14:textId="77777777" w:rsidR="008E7846" w:rsidRPr="00487162" w:rsidRDefault="005772E7" w:rsidP="00E45619">
            <w:r>
              <w:t>Solution for injection in pre-filled syringe and powder for injection vial with diluent</w:t>
            </w:r>
          </w:p>
        </w:tc>
      </w:tr>
      <w:tr w:rsidR="008E7846" w:rsidRPr="00487162" w14:paraId="267E80AC" w14:textId="77777777" w:rsidTr="00BF1190">
        <w:tc>
          <w:tcPr>
            <w:tcW w:w="2907" w:type="dxa"/>
          </w:tcPr>
          <w:p w14:paraId="05DA515F" w14:textId="77777777" w:rsidR="008E7846" w:rsidRPr="00487162" w:rsidRDefault="005772E7" w:rsidP="005772E7">
            <w:pPr>
              <w:rPr>
                <w:i/>
              </w:rPr>
            </w:pPr>
            <w:r>
              <w:rPr>
                <w:i/>
              </w:rPr>
              <w:t>Strength</w:t>
            </w:r>
            <w:r w:rsidR="00324E45">
              <w:rPr>
                <w:i/>
              </w:rPr>
              <w:t>s:</w:t>
            </w:r>
          </w:p>
        </w:tc>
        <w:tc>
          <w:tcPr>
            <w:tcW w:w="6307" w:type="dxa"/>
          </w:tcPr>
          <w:p w14:paraId="23704E74" w14:textId="77777777" w:rsidR="008E7846" w:rsidRPr="00487162" w:rsidRDefault="005772E7" w:rsidP="00E45619">
            <w:r>
              <w:t>75 mg and 150 mg</w:t>
            </w:r>
          </w:p>
        </w:tc>
      </w:tr>
      <w:tr w:rsidR="008E7846" w:rsidRPr="00487162" w14:paraId="14B6CEAB" w14:textId="77777777" w:rsidTr="00BF1190">
        <w:tc>
          <w:tcPr>
            <w:tcW w:w="2907" w:type="dxa"/>
          </w:tcPr>
          <w:p w14:paraId="5E1B19BA" w14:textId="77777777" w:rsidR="008E7846" w:rsidRPr="00487162" w:rsidRDefault="008E7846" w:rsidP="005772E7">
            <w:pPr>
              <w:rPr>
                <w:i/>
              </w:rPr>
            </w:pPr>
            <w:r w:rsidRPr="00487162">
              <w:rPr>
                <w:i/>
              </w:rPr>
              <w:t>Container</w:t>
            </w:r>
            <w:r w:rsidR="005772E7">
              <w:rPr>
                <w:i/>
              </w:rPr>
              <w:t>s</w:t>
            </w:r>
            <w:r w:rsidRPr="00487162">
              <w:rPr>
                <w:i/>
              </w:rPr>
              <w:t>:</w:t>
            </w:r>
          </w:p>
        </w:tc>
        <w:tc>
          <w:tcPr>
            <w:tcW w:w="6307" w:type="dxa"/>
          </w:tcPr>
          <w:p w14:paraId="50B6ED34" w14:textId="77777777" w:rsidR="008E7846" w:rsidRPr="00487162" w:rsidRDefault="005772E7" w:rsidP="00E45619">
            <w:r>
              <w:t>Pre-filled syringe and vial</w:t>
            </w:r>
          </w:p>
        </w:tc>
      </w:tr>
      <w:tr w:rsidR="008E7846" w:rsidRPr="00487162" w14:paraId="06B992C3" w14:textId="77777777" w:rsidTr="00BF1190">
        <w:tc>
          <w:tcPr>
            <w:tcW w:w="2907" w:type="dxa"/>
          </w:tcPr>
          <w:p w14:paraId="44232361" w14:textId="77777777" w:rsidR="008E7846" w:rsidRPr="00487162" w:rsidRDefault="00330374" w:rsidP="00E45619">
            <w:pPr>
              <w:rPr>
                <w:i/>
              </w:rPr>
            </w:pPr>
            <w:r>
              <w:rPr>
                <w:i/>
              </w:rPr>
              <w:t>Pack sizes</w:t>
            </w:r>
            <w:r w:rsidR="008E7846" w:rsidRPr="00487162">
              <w:rPr>
                <w:i/>
              </w:rPr>
              <w:t>:</w:t>
            </w:r>
          </w:p>
        </w:tc>
        <w:tc>
          <w:tcPr>
            <w:tcW w:w="6307" w:type="dxa"/>
          </w:tcPr>
          <w:p w14:paraId="13110EFE" w14:textId="77777777" w:rsidR="00330374" w:rsidRDefault="00330374" w:rsidP="00E45619">
            <w:r>
              <w:t>Pre-filled syringe: 1, 4 and 10</w:t>
            </w:r>
          </w:p>
          <w:p w14:paraId="1078D615" w14:textId="03CE0009" w:rsidR="00330374" w:rsidRPr="00487162" w:rsidRDefault="00330374" w:rsidP="00330374">
            <w:r>
              <w:t xml:space="preserve">Powder for injection: 1 active vial and </w:t>
            </w:r>
            <w:r w:rsidR="0018749A">
              <w:t>1</w:t>
            </w:r>
            <w:r>
              <w:t xml:space="preserve"> diluent ampoule</w:t>
            </w:r>
          </w:p>
        </w:tc>
      </w:tr>
      <w:tr w:rsidR="008E7846" w:rsidRPr="00487162" w14:paraId="4213BD57" w14:textId="77777777" w:rsidTr="00BF1190">
        <w:tc>
          <w:tcPr>
            <w:tcW w:w="2907" w:type="dxa"/>
          </w:tcPr>
          <w:p w14:paraId="183FFFF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A4C226A" w14:textId="77777777" w:rsidR="00330374" w:rsidRPr="00C87429" w:rsidRDefault="00330374" w:rsidP="00330374">
            <w:pPr>
              <w:rPr>
                <w:rFonts w:eastAsia="MS Mincho"/>
                <w:b/>
                <w:i/>
                <w:lang w:eastAsia="ja-JP"/>
              </w:rPr>
            </w:pPr>
            <w:r w:rsidRPr="00C87429">
              <w:rPr>
                <w:rFonts w:eastAsia="MS Mincho"/>
                <w:b/>
                <w:i/>
                <w:lang w:eastAsia="ja-JP"/>
              </w:rPr>
              <w:t xml:space="preserve">Chronic </w:t>
            </w:r>
            <w:proofErr w:type="spellStart"/>
            <w:r w:rsidRPr="00C87429">
              <w:rPr>
                <w:rFonts w:eastAsia="MS Mincho"/>
                <w:b/>
                <w:i/>
                <w:lang w:eastAsia="ja-JP"/>
              </w:rPr>
              <w:t>rhinosinusitis</w:t>
            </w:r>
            <w:proofErr w:type="spellEnd"/>
            <w:r w:rsidRPr="00C87429">
              <w:rPr>
                <w:rFonts w:eastAsia="MS Mincho"/>
                <w:b/>
                <w:i/>
                <w:lang w:eastAsia="ja-JP"/>
              </w:rPr>
              <w:t xml:space="preserve"> with nasal polyps (</w:t>
            </w:r>
            <w:proofErr w:type="spellStart"/>
            <w:r w:rsidRPr="00C87429">
              <w:rPr>
                <w:rFonts w:eastAsia="MS Mincho"/>
                <w:b/>
                <w:i/>
                <w:lang w:eastAsia="ja-JP"/>
              </w:rPr>
              <w:t>CRSwNP</w:t>
            </w:r>
            <w:proofErr w:type="spellEnd"/>
            <w:r w:rsidRPr="00C87429">
              <w:rPr>
                <w:rFonts w:eastAsia="MS Mincho"/>
                <w:b/>
                <w:i/>
                <w:lang w:eastAsia="ja-JP"/>
              </w:rPr>
              <w:t>)</w:t>
            </w:r>
          </w:p>
          <w:p w14:paraId="05D11B5F" w14:textId="382465A6" w:rsidR="008E7846" w:rsidRPr="00487162" w:rsidRDefault="00330374" w:rsidP="00330374">
            <w:pPr>
              <w:rPr>
                <w:rFonts w:eastAsia="MS Mincho"/>
                <w:lang w:eastAsia="ja-JP"/>
              </w:rPr>
            </w:pPr>
            <w:proofErr w:type="spellStart"/>
            <w:r w:rsidRPr="00C87429">
              <w:rPr>
                <w:rFonts w:eastAsia="MS Mincho"/>
                <w:i/>
                <w:lang w:eastAsia="ja-JP"/>
              </w:rPr>
              <w:t>Xolair</w:t>
            </w:r>
            <w:proofErr w:type="spellEnd"/>
            <w:r w:rsidRPr="00C87429">
              <w:rPr>
                <w:rFonts w:eastAsia="MS Mincho"/>
                <w:i/>
                <w:lang w:eastAsia="ja-JP"/>
              </w:rPr>
              <w:t xml:space="preserve"> is indicated as add‐on treatment in adult patients (18 years of age and above) for the treatment of severe </w:t>
            </w:r>
            <w:proofErr w:type="spellStart"/>
            <w:r w:rsidRPr="00C87429">
              <w:rPr>
                <w:rFonts w:eastAsia="MS Mincho"/>
                <w:i/>
                <w:lang w:eastAsia="ja-JP"/>
              </w:rPr>
              <w:t>CRSwNP</w:t>
            </w:r>
            <w:proofErr w:type="spellEnd"/>
            <w:r w:rsidRPr="00C87429">
              <w:rPr>
                <w:rFonts w:eastAsia="MS Mincho"/>
                <w:i/>
                <w:lang w:eastAsia="ja-JP"/>
              </w:rPr>
              <w:t xml:space="preserve"> with inadequate response to intranasal corticosteroids. Recommended dosing is determined by serum immunoglobulin E levels and body weight corresponding to the recommended dose range in the Product Information (see Section 4.2 dose and method of administration</w:t>
            </w:r>
            <w:r w:rsidR="0024441B" w:rsidRPr="00C87429">
              <w:rPr>
                <w:rFonts w:eastAsia="MS Mincho"/>
                <w:i/>
                <w:lang w:eastAsia="ja-JP"/>
              </w:rPr>
              <w:t>)</w:t>
            </w:r>
            <w:r w:rsidRPr="00C87429">
              <w:rPr>
                <w:rFonts w:eastAsia="MS Mincho"/>
                <w:i/>
                <w:lang w:eastAsia="ja-JP"/>
              </w:rPr>
              <w:t>.</w:t>
            </w:r>
          </w:p>
        </w:tc>
      </w:tr>
      <w:tr w:rsidR="008E7846" w:rsidRPr="00487162" w14:paraId="0BBDBA16" w14:textId="77777777" w:rsidTr="00BF1190">
        <w:tc>
          <w:tcPr>
            <w:tcW w:w="2907" w:type="dxa"/>
          </w:tcPr>
          <w:p w14:paraId="0A53846E" w14:textId="77777777" w:rsidR="008E7846" w:rsidRPr="00487162" w:rsidRDefault="00330374" w:rsidP="00E45619">
            <w:pPr>
              <w:rPr>
                <w:i/>
              </w:rPr>
            </w:pPr>
            <w:r>
              <w:rPr>
                <w:i/>
              </w:rPr>
              <w:t>Route</w:t>
            </w:r>
            <w:r w:rsidR="008E7846" w:rsidRPr="00487162">
              <w:rPr>
                <w:i/>
              </w:rPr>
              <w:t xml:space="preserve"> of administration:</w:t>
            </w:r>
          </w:p>
        </w:tc>
        <w:tc>
          <w:tcPr>
            <w:tcW w:w="6307" w:type="dxa"/>
          </w:tcPr>
          <w:p w14:paraId="410C30ED" w14:textId="77777777" w:rsidR="008E7846" w:rsidRPr="00487162" w:rsidRDefault="00330374" w:rsidP="00E45619">
            <w:r>
              <w:t>Subcutaneous</w:t>
            </w:r>
          </w:p>
        </w:tc>
      </w:tr>
      <w:tr w:rsidR="008E7846" w:rsidRPr="00487162" w14:paraId="5DE9FB91" w14:textId="77777777" w:rsidTr="00BF1190">
        <w:tc>
          <w:tcPr>
            <w:tcW w:w="2907" w:type="dxa"/>
          </w:tcPr>
          <w:p w14:paraId="08988422" w14:textId="77777777" w:rsidR="008E7846" w:rsidRPr="00487162" w:rsidRDefault="008E7846" w:rsidP="00E45619">
            <w:pPr>
              <w:rPr>
                <w:i/>
              </w:rPr>
            </w:pPr>
            <w:r w:rsidRPr="00487162">
              <w:rPr>
                <w:i/>
              </w:rPr>
              <w:t>Dosage:</w:t>
            </w:r>
          </w:p>
        </w:tc>
        <w:tc>
          <w:tcPr>
            <w:tcW w:w="6307" w:type="dxa"/>
          </w:tcPr>
          <w:p w14:paraId="5E11D149" w14:textId="77777777" w:rsidR="00330374" w:rsidRDefault="00330374" w:rsidP="00330374">
            <w:proofErr w:type="spellStart"/>
            <w:r>
              <w:t>Xolair</w:t>
            </w:r>
            <w:proofErr w:type="spellEnd"/>
            <w:r>
              <w:t xml:space="preserve"> treatment for chronic </w:t>
            </w:r>
            <w:proofErr w:type="spellStart"/>
            <w:r>
              <w:t>rhinosinusitis</w:t>
            </w:r>
            <w:proofErr w:type="spellEnd"/>
            <w:r>
              <w:t xml:space="preserve"> with nasal polyps (</w:t>
            </w:r>
            <w:proofErr w:type="spellStart"/>
            <w:r>
              <w:t>CRSwNP</w:t>
            </w:r>
            <w:proofErr w:type="spellEnd"/>
            <w:r>
              <w:t xml:space="preserve">) should be initiated by specialists experienced in the diagnosis and treatment of </w:t>
            </w:r>
            <w:proofErr w:type="spellStart"/>
            <w:r>
              <w:t>CRSwNP</w:t>
            </w:r>
            <w:proofErr w:type="spellEnd"/>
            <w:r>
              <w:t>.</w:t>
            </w:r>
          </w:p>
          <w:p w14:paraId="6C96BB8D" w14:textId="47230C24" w:rsidR="00330374" w:rsidRDefault="00330374" w:rsidP="00330374">
            <w:r>
              <w:t xml:space="preserve">Dosing for asthma and </w:t>
            </w:r>
            <w:proofErr w:type="spellStart"/>
            <w:r>
              <w:t>CRSwNP</w:t>
            </w:r>
            <w:proofErr w:type="spellEnd"/>
            <w:r>
              <w:t xml:space="preserve"> follows the same dosing principles. The appropriate dose and dosing frequency of </w:t>
            </w:r>
            <w:proofErr w:type="spellStart"/>
            <w:r>
              <w:t>Xolair</w:t>
            </w:r>
            <w:proofErr w:type="spellEnd"/>
            <w:r>
              <w:t xml:space="preserve"> for these conditions is determined by baseline immunoglobulin</w:t>
            </w:r>
            <w:r w:rsidR="0018749A">
              <w:t> </w:t>
            </w:r>
            <w:r>
              <w:t>E (</w:t>
            </w:r>
            <w:proofErr w:type="spellStart"/>
            <w:r>
              <w:t>IgE</w:t>
            </w:r>
            <w:proofErr w:type="spellEnd"/>
            <w:r>
              <w:t xml:space="preserve">) (IU/mL), measured before the start of treatment, and body weight (kg). Prior to initial dosing, patients should have their </w:t>
            </w:r>
            <w:proofErr w:type="spellStart"/>
            <w:r>
              <w:t>IgE</w:t>
            </w:r>
            <w:proofErr w:type="spellEnd"/>
            <w:r>
              <w:t xml:space="preserve"> level determined by any commercial serum total </w:t>
            </w:r>
            <w:proofErr w:type="spellStart"/>
            <w:r>
              <w:t>IgE</w:t>
            </w:r>
            <w:proofErr w:type="spellEnd"/>
            <w:r>
              <w:t xml:space="preserve"> assay for their dose assignment.</w:t>
            </w:r>
          </w:p>
          <w:p w14:paraId="6DA60ED9" w14:textId="56AF5691" w:rsidR="008E7846" w:rsidRDefault="00330374" w:rsidP="00330374">
            <w:r>
              <w:t xml:space="preserve">Based on these measurements 75 to 600 mg of </w:t>
            </w:r>
            <w:proofErr w:type="spellStart"/>
            <w:r>
              <w:t>Xolair</w:t>
            </w:r>
            <w:proofErr w:type="spellEnd"/>
            <w:r>
              <w:t xml:space="preserve"> in 1 to 4 injections may be needed for each administration. See Table 1 for dose determination in allergic asthma and </w:t>
            </w:r>
            <w:proofErr w:type="spellStart"/>
            <w:r>
              <w:t>CRSwNP</w:t>
            </w:r>
            <w:proofErr w:type="spellEnd"/>
            <w:r>
              <w:t xml:space="preserve"> and Tables 2 and 3 for dose conversion charts in </w:t>
            </w:r>
            <w:r w:rsidR="0018749A">
              <w:t xml:space="preserve">the </w:t>
            </w:r>
            <w:r>
              <w:t>Product Information.</w:t>
            </w:r>
          </w:p>
          <w:p w14:paraId="16949A23" w14:textId="77777777" w:rsidR="00460036" w:rsidRPr="00487162" w:rsidRDefault="00460036" w:rsidP="00E45619">
            <w:r w:rsidRPr="00460036">
              <w:t>For further information regarding dosage, refer to the Product Information.</w:t>
            </w:r>
          </w:p>
        </w:tc>
      </w:tr>
      <w:tr w:rsidR="00460036" w:rsidRPr="00487162" w14:paraId="7F1DA16C" w14:textId="77777777" w:rsidTr="00BF1190">
        <w:tc>
          <w:tcPr>
            <w:tcW w:w="2907" w:type="dxa"/>
          </w:tcPr>
          <w:p w14:paraId="7464D51F" w14:textId="77777777" w:rsidR="00460036" w:rsidRPr="00487162" w:rsidRDefault="00460036" w:rsidP="00E45619">
            <w:pPr>
              <w:rPr>
                <w:i/>
              </w:rPr>
            </w:pPr>
            <w:r w:rsidRPr="00460036">
              <w:rPr>
                <w:i/>
              </w:rPr>
              <w:t>Pregnancy category</w:t>
            </w:r>
            <w:r>
              <w:rPr>
                <w:i/>
              </w:rPr>
              <w:t>:</w:t>
            </w:r>
          </w:p>
        </w:tc>
        <w:tc>
          <w:tcPr>
            <w:tcW w:w="6307" w:type="dxa"/>
          </w:tcPr>
          <w:p w14:paraId="5B50F23B" w14:textId="77777777" w:rsidR="00460036" w:rsidRDefault="00330374" w:rsidP="00330374">
            <w:r>
              <w:t>B1</w:t>
            </w:r>
          </w:p>
          <w:p w14:paraId="4B69B7E5" w14:textId="77777777" w:rsidR="00330374" w:rsidRDefault="00330374" w:rsidP="00330374">
            <w:r>
              <w:t>Drugs which have been taken by only a limited number of pregnant women and women of childbearing age, without an increase in the frequency of malformation or other direct or indirect harmful effects on the human fetus having been observed.</w:t>
            </w:r>
          </w:p>
          <w:p w14:paraId="31C0ACB3" w14:textId="77777777" w:rsidR="00330374" w:rsidRDefault="00330374" w:rsidP="00330374">
            <w:r>
              <w:t>Studies in animals have not shown evidence of an increased occurrence of fetal damage.</w:t>
            </w:r>
          </w:p>
          <w:p w14:paraId="47AE2711"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330374">
              <w:t>ces in your State or Territory.</w:t>
            </w:r>
          </w:p>
        </w:tc>
      </w:tr>
    </w:tbl>
    <w:p w14:paraId="2EC69BCE" w14:textId="77777777" w:rsidR="008E7846" w:rsidRDefault="008E7846" w:rsidP="008E7846">
      <w:pPr>
        <w:pStyle w:val="Heading3"/>
      </w:pPr>
      <w:bookmarkStart w:id="13" w:name="_Toc247691503"/>
      <w:bookmarkStart w:id="14" w:name="_Toc314842484"/>
      <w:bookmarkStart w:id="15" w:name="_Toc71188733"/>
      <w:r>
        <w:t>Product background</w:t>
      </w:r>
      <w:bookmarkEnd w:id="13"/>
      <w:bookmarkEnd w:id="14"/>
      <w:bookmarkEnd w:id="15"/>
    </w:p>
    <w:p w14:paraId="1453F326" w14:textId="77777777" w:rsidR="008E7846" w:rsidRDefault="00250271" w:rsidP="00940A89">
      <w:r w:rsidRPr="00250271">
        <w:t>This AusPA</w:t>
      </w:r>
      <w:r w:rsidR="00330374">
        <w:t xml:space="preserve">R describes the application by Novartis Pharmaceuticals Australia Pty Ltd (the sponsor) to register </w:t>
      </w:r>
      <w:proofErr w:type="spellStart"/>
      <w:r w:rsidR="00330374">
        <w:t>Xolair</w:t>
      </w:r>
      <w:proofErr w:type="spellEnd"/>
      <w:r w:rsidR="00330374">
        <w:t xml:space="preserve"> (</w:t>
      </w:r>
      <w:proofErr w:type="spellStart"/>
      <w:r w:rsidR="00330374">
        <w:t>omalizumab</w:t>
      </w:r>
      <w:proofErr w:type="spellEnd"/>
      <w:r w:rsidR="00330374">
        <w:t xml:space="preserve">) 75 mg, 150 mg, </w:t>
      </w:r>
      <w:r w:rsidR="00D5442A">
        <w:t>solution for injection in pre-filled syringe and powder for injection vial with diluent</w:t>
      </w:r>
      <w:r w:rsidR="00D5442A" w:rsidRPr="00250271">
        <w:t xml:space="preserve"> </w:t>
      </w:r>
      <w:r w:rsidRPr="00250271">
        <w:t>for the following extension of indications</w:t>
      </w:r>
      <w:r w:rsidR="00CF5DAD">
        <w:t>:</w:t>
      </w:r>
    </w:p>
    <w:p w14:paraId="73A3ACF4" w14:textId="77777777" w:rsidR="004E4964" w:rsidRPr="004E4964" w:rsidRDefault="004E4964" w:rsidP="004E4964">
      <w:pPr>
        <w:ind w:left="720"/>
        <w:rPr>
          <w:b/>
          <w:i/>
        </w:rPr>
      </w:pPr>
      <w:r w:rsidRPr="004E4964">
        <w:rPr>
          <w:b/>
          <w:i/>
        </w:rPr>
        <w:t>Nasal Polyps</w:t>
      </w:r>
    </w:p>
    <w:p w14:paraId="692EF6A9" w14:textId="77777777" w:rsidR="00ED2922" w:rsidRPr="004E4964" w:rsidRDefault="004E4964" w:rsidP="004E4964">
      <w:pPr>
        <w:ind w:left="720"/>
        <w:rPr>
          <w:i/>
        </w:rPr>
      </w:pPr>
      <w:proofErr w:type="spellStart"/>
      <w:r w:rsidRPr="004E4964">
        <w:rPr>
          <w:i/>
        </w:rPr>
        <w:t>Xolair</w:t>
      </w:r>
      <w:proofErr w:type="spellEnd"/>
      <w:r w:rsidRPr="004E4964">
        <w:rPr>
          <w:i/>
        </w:rPr>
        <w:t xml:space="preserve"> is indicated for adults (18 years of age and above) for the treatment of nasal polyps with inadequate response to intranasal corticosteroids.</w:t>
      </w:r>
    </w:p>
    <w:p w14:paraId="49B9B27F" w14:textId="58101198" w:rsidR="001956A7" w:rsidRDefault="001956A7" w:rsidP="001956A7">
      <w:r>
        <w:t>Nasal polyps develop as outgrowths of the nasal and paranasal sinus mucosa.</w:t>
      </w:r>
      <w:r w:rsidRPr="0018749A">
        <w:rPr>
          <w:rStyle w:val="FootnoteReference"/>
        </w:rPr>
        <w:footnoteReference w:id="2"/>
      </w:r>
      <w:r w:rsidRPr="002A5B76">
        <w:rPr>
          <w:vertAlign w:val="superscript"/>
        </w:rPr>
        <w:t>,</w:t>
      </w:r>
      <w:bookmarkStart w:id="16" w:name="_Ref67057493"/>
      <w:r>
        <w:rPr>
          <w:rStyle w:val="FootnoteReference"/>
        </w:rPr>
        <w:footnoteReference w:id="3"/>
      </w:r>
      <w:bookmarkEnd w:id="16"/>
      <w:r>
        <w:t xml:space="preserve"> They are known to be associated with conditions such as asthma, infection, bronchiectasis, cystic fibrosis, granulomatous diseases, </w:t>
      </w:r>
      <w:proofErr w:type="spellStart"/>
      <w:r>
        <w:t>vasculitides</w:t>
      </w:r>
      <w:proofErr w:type="spellEnd"/>
      <w:r>
        <w:t>, immunodeficiency, ciliary dysfunction and aspirin sensitivity.</w:t>
      </w:r>
      <w:r>
        <w:fldChar w:fldCharType="begin"/>
      </w:r>
      <w:r>
        <w:instrText xml:space="preserve"> NOTEREF _Ref67057493 \f \h </w:instrText>
      </w:r>
      <w:r>
        <w:fldChar w:fldCharType="separate"/>
      </w:r>
      <w:r w:rsidR="000E4669" w:rsidRPr="000E4669">
        <w:rPr>
          <w:rStyle w:val="FootnoteReference"/>
        </w:rPr>
        <w:t>3</w:t>
      </w:r>
      <w:r>
        <w:fldChar w:fldCharType="end"/>
      </w:r>
      <w:r>
        <w:t xml:space="preserve"> Malignancies of the nasal mucosa and congenital abnormalities may also present as ‘polyps’. There is a higher prevalence of nasal polyps in some subsets of patients: approximately 45% in patients with adult-onset asthma and approximately 30% in patien</w:t>
      </w:r>
      <w:r w:rsidR="004F1187">
        <w:t xml:space="preserve">ts with chronic </w:t>
      </w:r>
      <w:proofErr w:type="spellStart"/>
      <w:r w:rsidR="004F1187">
        <w:t>rhinosinusitis</w:t>
      </w:r>
      <w:proofErr w:type="spellEnd"/>
      <w:r>
        <w:t>.</w:t>
      </w:r>
      <w:r>
        <w:rPr>
          <w:rStyle w:val="FootnoteReference"/>
        </w:rPr>
        <w:footnoteReference w:id="4"/>
      </w:r>
      <w:r>
        <w:t xml:space="preserve"> Presentation usually occurs in adults older than 20 years. They are uncommon in children under 10 years old but may be the presenting feature of cystic fibrosis.</w:t>
      </w:r>
    </w:p>
    <w:p w14:paraId="74018AB3" w14:textId="660907DC" w:rsidR="001956A7" w:rsidRDefault="001956A7" w:rsidP="001956A7">
      <w:r>
        <w:t xml:space="preserve">Nasal polyps, regardless of cause, may cause a range of symptoms including watery rhinorrhoea, post-nasal drip, loss of sense of smell, nasal obstruction and sleep disorder. Their presence is confirmed by anterior and posterior </w:t>
      </w:r>
      <w:proofErr w:type="spellStart"/>
      <w:r>
        <w:t>rhinoscopy</w:t>
      </w:r>
      <w:proofErr w:type="spellEnd"/>
      <w:r>
        <w:t xml:space="preserve"> at which single or multiple </w:t>
      </w:r>
      <w:proofErr w:type="spellStart"/>
      <w:r>
        <w:t>polypoid</w:t>
      </w:r>
      <w:proofErr w:type="spellEnd"/>
      <w:r>
        <w:t xml:space="preserve"> masses, arising most frequently from the middle meatus and prolapsing into the nasal cavity, may be seen. </w:t>
      </w:r>
      <w:r w:rsidR="006B750C">
        <w:t>Computerised tomography (</w:t>
      </w:r>
      <w:r>
        <w:t>CT</w:t>
      </w:r>
      <w:r w:rsidR="006B750C">
        <w:t>)</w:t>
      </w:r>
      <w:r>
        <w:t xml:space="preserve"> scanning of the nasal cavities and paranasal sinuses may be performed to determine the extent of the disease. Differential diagnoses include congenital anomalies, benign or malignant tumours, and polyps associated with underlying conditions as listed above.</w:t>
      </w:r>
    </w:p>
    <w:p w14:paraId="7A32E9B0" w14:textId="74D7441E" w:rsidR="001956A7" w:rsidRPr="00BB5F05" w:rsidRDefault="001956A7" w:rsidP="002A5B76">
      <w:pPr>
        <w:pStyle w:val="Heading4"/>
      </w:pPr>
      <w:r w:rsidRPr="00BB5F05">
        <w:t xml:space="preserve">Chronic </w:t>
      </w:r>
      <w:proofErr w:type="spellStart"/>
      <w:r w:rsidRPr="00BB5F05">
        <w:t>rhinosinusitis</w:t>
      </w:r>
      <w:proofErr w:type="spellEnd"/>
      <w:r w:rsidRPr="00BB5F05">
        <w:t xml:space="preserve"> with nasal polyps</w:t>
      </w:r>
    </w:p>
    <w:p w14:paraId="0E3BFE1A" w14:textId="42370CCB" w:rsidR="001956A7" w:rsidRDefault="001956A7" w:rsidP="001956A7">
      <w:pPr>
        <w:pStyle w:val="FigureTitle"/>
      </w:pPr>
      <w:r w:rsidRPr="001956A7">
        <w:t xml:space="preserve">Figure </w:t>
      </w:r>
      <w:r>
        <w:fldChar w:fldCharType="begin"/>
      </w:r>
      <w:r>
        <w:instrText>SEQ Figure \* ARABIC</w:instrText>
      </w:r>
      <w:r>
        <w:fldChar w:fldCharType="separate"/>
      </w:r>
      <w:r w:rsidR="000E4669">
        <w:rPr>
          <w:noProof/>
        </w:rPr>
        <w:t>1</w:t>
      </w:r>
      <w:r>
        <w:fldChar w:fldCharType="end"/>
      </w:r>
      <w:r>
        <w:t xml:space="preserve">: </w:t>
      </w:r>
      <w:r w:rsidRPr="001956A7">
        <w:t xml:space="preserve">Definition of </w:t>
      </w:r>
      <w:r w:rsidR="006B750C">
        <w:t>c</w:t>
      </w:r>
      <w:r w:rsidRPr="001956A7">
        <w:t xml:space="preserve">hronic </w:t>
      </w:r>
      <w:proofErr w:type="spellStart"/>
      <w:r w:rsidR="006B750C">
        <w:t>r</w:t>
      </w:r>
      <w:r w:rsidRPr="001956A7">
        <w:t>hinosinusitis</w:t>
      </w:r>
      <w:proofErr w:type="spellEnd"/>
    </w:p>
    <w:tbl>
      <w:tblPr>
        <w:tblStyle w:val="TableGrid"/>
        <w:tblW w:w="0" w:type="auto"/>
        <w:tblLook w:val="04A0" w:firstRow="1" w:lastRow="0" w:firstColumn="1" w:lastColumn="0" w:noHBand="0" w:noVBand="1"/>
      </w:tblPr>
      <w:tblGrid>
        <w:gridCol w:w="8494"/>
      </w:tblGrid>
      <w:tr w:rsidR="006B750C" w14:paraId="766DB3AD" w14:textId="77777777" w:rsidTr="008E2D9D">
        <w:trPr>
          <w:trHeight w:val="982"/>
        </w:trPr>
        <w:tc>
          <w:tcPr>
            <w:tcW w:w="8494" w:type="dxa"/>
          </w:tcPr>
          <w:p w14:paraId="2747F39E" w14:textId="77777777" w:rsidR="006B750C" w:rsidRDefault="006B750C" w:rsidP="006B750C">
            <w:r>
              <w:t xml:space="preserve">Term: Chronic </w:t>
            </w:r>
            <w:proofErr w:type="spellStart"/>
            <w:r>
              <w:t>rhinosinusitis</w:t>
            </w:r>
            <w:proofErr w:type="spellEnd"/>
          </w:p>
          <w:p w14:paraId="0E59C6BF" w14:textId="77777777" w:rsidR="006B750C" w:rsidRDefault="006B750C" w:rsidP="006B750C">
            <w:r>
              <w:t>Definition:</w:t>
            </w:r>
          </w:p>
          <w:p w14:paraId="252A58C4" w14:textId="77777777" w:rsidR="006B750C" w:rsidRDefault="006B750C" w:rsidP="004F1187">
            <w:r>
              <w:t>Twelve weeks or longer of two or more of the following signs and symptoms:</w:t>
            </w:r>
          </w:p>
          <w:p w14:paraId="649C26B3" w14:textId="77777777" w:rsidR="006B750C" w:rsidRDefault="006B750C" w:rsidP="004F1187">
            <w:pPr>
              <w:pStyle w:val="ListBullet"/>
            </w:pPr>
            <w:r>
              <w:t>mucopurulent drainage (anterior. posterior, or both),</w:t>
            </w:r>
          </w:p>
          <w:p w14:paraId="55859684" w14:textId="00D5EA6B" w:rsidR="006B750C" w:rsidRDefault="004F1187" w:rsidP="004F1187">
            <w:pPr>
              <w:pStyle w:val="ListBullet"/>
            </w:pPr>
            <w:r>
              <w:t>nasal obstruction (congestion);</w:t>
            </w:r>
          </w:p>
          <w:p w14:paraId="00EC189A" w14:textId="44F6CEA6" w:rsidR="006B750C" w:rsidRDefault="004F1187" w:rsidP="004F1187">
            <w:pPr>
              <w:pStyle w:val="ListBullet"/>
            </w:pPr>
            <w:r>
              <w:t>facial pain-pressure-fullness; o</w:t>
            </w:r>
            <w:r w:rsidR="006B750C">
              <w:t>r</w:t>
            </w:r>
          </w:p>
          <w:p w14:paraId="58C92BBB" w14:textId="77777777" w:rsidR="004F1187" w:rsidRDefault="004F1187" w:rsidP="004F1187">
            <w:pPr>
              <w:pStyle w:val="ListBullet"/>
            </w:pPr>
            <w:r>
              <w:t>decreased sense of smell.</w:t>
            </w:r>
          </w:p>
          <w:p w14:paraId="42C3F436" w14:textId="77777777" w:rsidR="004F1187" w:rsidRDefault="004F1187" w:rsidP="006B750C">
            <w:r w:rsidRPr="004F1187">
              <w:rPr>
                <w:i/>
              </w:rPr>
              <w:t>and</w:t>
            </w:r>
            <w:r w:rsidR="006B750C">
              <w:t xml:space="preserve"> inflammation is documented by one or mo</w:t>
            </w:r>
            <w:r>
              <w:t>re of the following findings:</w:t>
            </w:r>
          </w:p>
          <w:p w14:paraId="0BB10933" w14:textId="77777777" w:rsidR="004F1187" w:rsidRDefault="006B750C" w:rsidP="004F1187">
            <w:pPr>
              <w:pStyle w:val="ListBullet"/>
            </w:pPr>
            <w:r>
              <w:t xml:space="preserve">purulent (not clear) mucus or </w:t>
            </w:r>
            <w:proofErr w:type="spellStart"/>
            <w:r>
              <w:t>edema</w:t>
            </w:r>
            <w:proofErr w:type="spellEnd"/>
            <w:r>
              <w:t xml:space="preserve"> in the middle meatu</w:t>
            </w:r>
            <w:r w:rsidR="004F1187">
              <w:t>s or anterior ethmoid region;</w:t>
            </w:r>
          </w:p>
          <w:p w14:paraId="6E09DC0D" w14:textId="77777777" w:rsidR="004F1187" w:rsidRDefault="006B750C" w:rsidP="004F1187">
            <w:pPr>
              <w:pStyle w:val="ListBullet"/>
            </w:pPr>
            <w:r>
              <w:t>polyps in nasal cavity</w:t>
            </w:r>
            <w:r w:rsidR="004F1187">
              <w:t xml:space="preserve"> or the middle meatus, and/or</w:t>
            </w:r>
          </w:p>
          <w:p w14:paraId="41ABC9E8" w14:textId="29C7B8D0" w:rsidR="006B750C" w:rsidRDefault="006B750C" w:rsidP="004F1187">
            <w:pPr>
              <w:pStyle w:val="ListBullet"/>
            </w:pPr>
            <w:r>
              <w:t>radiographic imaging showing inflammation of the paranasal sinuses.</w:t>
            </w:r>
          </w:p>
        </w:tc>
      </w:tr>
    </w:tbl>
    <w:p w14:paraId="5EC42849" w14:textId="2A6D594C" w:rsidR="001956A7" w:rsidRDefault="001956A7" w:rsidP="006B750C">
      <w:r w:rsidRPr="006B750C">
        <w:t>Chronic</w:t>
      </w:r>
      <w:r>
        <w:t xml:space="preserve"> </w:t>
      </w:r>
      <w:proofErr w:type="spellStart"/>
      <w:r>
        <w:t>rhinosinusitis</w:t>
      </w:r>
      <w:proofErr w:type="spellEnd"/>
      <w:r>
        <w:t xml:space="preserve"> has been defined as the presence of both subjective and objective evidence of </w:t>
      </w:r>
      <w:proofErr w:type="spellStart"/>
      <w:r>
        <w:t>sinonasal</w:t>
      </w:r>
      <w:proofErr w:type="spellEnd"/>
      <w:r>
        <w:t xml:space="preserve"> inflammation that lasts for greater than 12 weeks duration. Symptoms include anterior or posterior rhinorrhoea, nasal congestion, </w:t>
      </w:r>
      <w:proofErr w:type="spellStart"/>
      <w:r>
        <w:t>hyposmia</w:t>
      </w:r>
      <w:proofErr w:type="spellEnd"/>
      <w:r>
        <w:t xml:space="preserve"> and/or facial pressure or pain. Approximately 30% of patients with </w:t>
      </w:r>
      <w:r w:rsidR="004F1187">
        <w:t>c</w:t>
      </w:r>
      <w:r w:rsidR="004F1187" w:rsidRPr="006B750C">
        <w:t>hronic</w:t>
      </w:r>
      <w:r w:rsidR="004F1187">
        <w:t xml:space="preserve"> </w:t>
      </w:r>
      <w:proofErr w:type="spellStart"/>
      <w:r w:rsidR="004F1187">
        <w:t>rhinosinusitis</w:t>
      </w:r>
      <w:proofErr w:type="spellEnd"/>
      <w:r>
        <w:t xml:space="preserve"> are found to have nasal polyps, with these described as </w:t>
      </w:r>
      <w:r w:rsidR="007028FB">
        <w:rPr>
          <w:i/>
          <w:iCs/>
        </w:rPr>
        <w:t>‘</w:t>
      </w:r>
      <w:r w:rsidRPr="00806089">
        <w:rPr>
          <w:i/>
          <w:iCs/>
        </w:rPr>
        <w:t>inflammatory lesions that project into the nasal airway, are typically bilateral, and o</w:t>
      </w:r>
      <w:r w:rsidR="007028FB">
        <w:rPr>
          <w:i/>
          <w:iCs/>
        </w:rPr>
        <w:t>riginate from the ethmoid sinus’</w:t>
      </w:r>
      <w:r w:rsidRPr="00806089">
        <w:rPr>
          <w:i/>
          <w:iCs/>
        </w:rPr>
        <w:t>.</w:t>
      </w:r>
      <w:r>
        <w:t xml:space="preserve"> Patients with nasal polyps may have more severe symptoms than those without nasal polyps, although there is considerable overlap.</w:t>
      </w:r>
      <w:r w:rsidRPr="003B1314">
        <w:rPr>
          <w:rStyle w:val="FootnoteReference"/>
        </w:rPr>
        <w:footnoteReference w:id="5"/>
      </w:r>
      <w:r w:rsidR="004F1187">
        <w:rPr>
          <w:rStyle w:val="FootnoteReference"/>
        </w:rPr>
        <w:t>,</w:t>
      </w:r>
      <w:r w:rsidRPr="003B1314">
        <w:rPr>
          <w:rStyle w:val="FootnoteReference"/>
        </w:rPr>
        <w:footnoteReference w:id="6"/>
      </w:r>
    </w:p>
    <w:p w14:paraId="264A6C23" w14:textId="465EBCE0" w:rsidR="001956A7" w:rsidRDefault="001956A7" w:rsidP="001956A7">
      <w:r>
        <w:t xml:space="preserve">Patients with </w:t>
      </w:r>
      <w:r w:rsidR="004F1187">
        <w:t>c</w:t>
      </w:r>
      <w:r w:rsidR="004F1187" w:rsidRPr="006B750C">
        <w:t>hronic</w:t>
      </w:r>
      <w:r w:rsidR="004F1187">
        <w:t xml:space="preserve"> </w:t>
      </w:r>
      <w:proofErr w:type="spellStart"/>
      <w:r w:rsidR="004F1187">
        <w:t>rhinosinusitis</w:t>
      </w:r>
      <w:proofErr w:type="spellEnd"/>
      <w:r w:rsidR="004F1187">
        <w:t xml:space="preserve"> with nasal polyps</w:t>
      </w:r>
      <w:r>
        <w:t xml:space="preserve"> usually present in middle age, with the age at diagnosis ranging from 40 to 60 years. The condition is more common in males. There is a recognised association between </w:t>
      </w:r>
      <w:r w:rsidR="004F1187">
        <w:t>c</w:t>
      </w:r>
      <w:r w:rsidR="004F1187" w:rsidRPr="006B750C">
        <w:t>hronic</w:t>
      </w:r>
      <w:r w:rsidR="004F1187">
        <w:t xml:space="preserve"> </w:t>
      </w:r>
      <w:proofErr w:type="spellStart"/>
      <w:r w:rsidR="004F1187">
        <w:t>rhinosinusitis</w:t>
      </w:r>
      <w:proofErr w:type="spellEnd"/>
      <w:r w:rsidR="004F1187">
        <w:t xml:space="preserve"> with nasal polyps</w:t>
      </w:r>
      <w:r>
        <w:t xml:space="preserve"> and asthma, </w:t>
      </w:r>
      <w:r w:rsidR="007028FB">
        <w:t xml:space="preserve">with an asthma prevalence of 26 to </w:t>
      </w:r>
      <w:r>
        <w:t xml:space="preserve">48% in these patients. Although there is an association between </w:t>
      </w:r>
      <w:r w:rsidR="004F1187">
        <w:t>c</w:t>
      </w:r>
      <w:r w:rsidR="004F1187" w:rsidRPr="006B750C">
        <w:t>hronic</w:t>
      </w:r>
      <w:r w:rsidR="004F1187">
        <w:t xml:space="preserve"> </w:t>
      </w:r>
      <w:proofErr w:type="spellStart"/>
      <w:r w:rsidR="004F1187">
        <w:t>rhinosinusitis</w:t>
      </w:r>
      <w:proofErr w:type="spellEnd"/>
      <w:r>
        <w:t xml:space="preserve"> and allergic rhinitis (with prevalence of 40</w:t>
      </w:r>
      <w:r w:rsidR="004F1187">
        <w:t>%</w:t>
      </w:r>
      <w:r>
        <w:t xml:space="preserve"> to 84% in adults with </w:t>
      </w:r>
      <w:r w:rsidR="004F1187">
        <w:t>c</w:t>
      </w:r>
      <w:r w:rsidR="004F1187" w:rsidRPr="006B750C">
        <w:t>hronic</w:t>
      </w:r>
      <w:r w:rsidR="004F1187">
        <w:t xml:space="preserve"> </w:t>
      </w:r>
      <w:proofErr w:type="spellStart"/>
      <w:r w:rsidR="004F1187">
        <w:t>rhinosinusitis</w:t>
      </w:r>
      <w:proofErr w:type="spellEnd"/>
      <w:r>
        <w:t xml:space="preserve">) this does not appear to hold for patients with </w:t>
      </w:r>
      <w:r w:rsidR="004F1187">
        <w:t>c</w:t>
      </w:r>
      <w:r w:rsidR="004F1187" w:rsidRPr="006B750C">
        <w:t>hronic</w:t>
      </w:r>
      <w:r w:rsidR="004F1187">
        <w:t xml:space="preserve"> </w:t>
      </w:r>
      <w:proofErr w:type="spellStart"/>
      <w:r w:rsidR="004F1187">
        <w:t>rhinosinusitis</w:t>
      </w:r>
      <w:proofErr w:type="spellEnd"/>
      <w:r w:rsidR="004F1187">
        <w:t xml:space="preserve"> with nasal polyps</w:t>
      </w:r>
      <w:r>
        <w:t xml:space="preserve">. Approximately 10% of patients with </w:t>
      </w:r>
      <w:r w:rsidR="004F1187">
        <w:t>c</w:t>
      </w:r>
      <w:r w:rsidR="004F1187" w:rsidRPr="006B750C">
        <w:t>hronic</w:t>
      </w:r>
      <w:r w:rsidR="004F1187">
        <w:t xml:space="preserve"> </w:t>
      </w:r>
      <w:proofErr w:type="spellStart"/>
      <w:r w:rsidR="004F1187">
        <w:t>rhinosinusitis</w:t>
      </w:r>
      <w:proofErr w:type="spellEnd"/>
      <w:r w:rsidR="004F1187">
        <w:t xml:space="preserve"> with nasal polyps</w:t>
      </w:r>
      <w:r>
        <w:t xml:space="preserve"> and asthma also have </w:t>
      </w:r>
      <w:r w:rsidR="004F1187">
        <w:t>a</w:t>
      </w:r>
      <w:r>
        <w:t>spirin</w:t>
      </w:r>
      <w:r w:rsidR="004F1187">
        <w:noBreakHyphen/>
        <w:t>e</w:t>
      </w:r>
      <w:r>
        <w:t xml:space="preserve">xacerbated </w:t>
      </w:r>
      <w:r w:rsidR="004F1187">
        <w:t>r</w:t>
      </w:r>
      <w:r>
        <w:t xml:space="preserve">espiratory </w:t>
      </w:r>
      <w:r w:rsidR="004F1187">
        <w:t>d</w:t>
      </w:r>
      <w:r>
        <w:t>isease (AERD).</w:t>
      </w:r>
    </w:p>
    <w:p w14:paraId="1023389C" w14:textId="5B99B7BC" w:rsidR="001956A7" w:rsidRDefault="001956A7" w:rsidP="001956A7">
      <w:r>
        <w:t xml:space="preserve">Chronic </w:t>
      </w:r>
      <w:proofErr w:type="spellStart"/>
      <w:r>
        <w:t>rhinosinusitis</w:t>
      </w:r>
      <w:proofErr w:type="spellEnd"/>
      <w:r>
        <w:t>, with or without nasal polyps, is considered a chronic inflammatory condition with an unclear aetiology. According to the 201</w:t>
      </w:r>
      <w:r w:rsidR="008B6354">
        <w:t>6</w:t>
      </w:r>
      <w:r>
        <w:t xml:space="preserve"> review article by Stevens et al</w:t>
      </w:r>
      <w:r w:rsidR="004F1187">
        <w:t>.</w:t>
      </w:r>
      <w:r>
        <w:t>, c</w:t>
      </w:r>
      <w:r w:rsidRPr="006A16AB">
        <w:t xml:space="preserve">urrent theories as to aetiology </w:t>
      </w:r>
      <w:r>
        <w:t>hypothesise</w:t>
      </w:r>
      <w:r w:rsidRPr="006A16AB">
        <w:t xml:space="preserve"> that </w:t>
      </w:r>
      <w:r w:rsidR="007028FB">
        <w:t>‘</w:t>
      </w:r>
      <w:r w:rsidRPr="0011455E">
        <w:rPr>
          <w:i/>
          <w:iCs/>
        </w:rPr>
        <w:t xml:space="preserve">an impaired </w:t>
      </w:r>
      <w:proofErr w:type="spellStart"/>
      <w:r w:rsidRPr="0011455E">
        <w:rPr>
          <w:i/>
          <w:iCs/>
        </w:rPr>
        <w:t>sinonasal</w:t>
      </w:r>
      <w:proofErr w:type="spellEnd"/>
      <w:r w:rsidRPr="0011455E">
        <w:rPr>
          <w:i/>
          <w:iCs/>
        </w:rPr>
        <w:t xml:space="preserve"> epithelial barrier could lead to increased exposures to inhaled pathogens, antigens and particulates that, in the setting of a dysregulated host immune response, could promote chronic inflammation</w:t>
      </w:r>
      <w:r w:rsidR="007028FB">
        <w:t>’</w:t>
      </w:r>
      <w:r w:rsidRPr="006A16AB">
        <w:t>.</w:t>
      </w:r>
      <w:r w:rsidR="008B6354">
        <w:rPr>
          <w:rStyle w:val="FootnoteReference"/>
        </w:rPr>
        <w:footnoteReference w:id="7"/>
      </w:r>
      <w:r w:rsidRPr="006A16AB">
        <w:t xml:space="preserve"> </w:t>
      </w:r>
      <w:r>
        <w:t xml:space="preserve">Patients with </w:t>
      </w:r>
      <w:r w:rsidR="008B6354">
        <w:t xml:space="preserve">chronic </w:t>
      </w:r>
      <w:proofErr w:type="spellStart"/>
      <w:r w:rsidR="008B6354">
        <w:t>rhinosinusitis</w:t>
      </w:r>
      <w:proofErr w:type="spellEnd"/>
      <w:r>
        <w:t xml:space="preserve"> may be considered as having two phenotypes according to whether nasal polyps are present and the type of inflammation.</w:t>
      </w:r>
      <w:r>
        <w:rPr>
          <w:rStyle w:val="FootnoteReference"/>
        </w:rPr>
        <w:footnoteReference w:id="8"/>
      </w:r>
      <w:r>
        <w:t xml:space="preserve"> Chronic </w:t>
      </w:r>
      <w:proofErr w:type="spellStart"/>
      <w:r>
        <w:t>rhinosinusitis</w:t>
      </w:r>
      <w:proofErr w:type="spellEnd"/>
      <w:r>
        <w:t xml:space="preserve"> </w:t>
      </w:r>
      <w:r w:rsidRPr="002A5B76">
        <w:rPr>
          <w:i/>
        </w:rPr>
        <w:t>without</w:t>
      </w:r>
      <w:r>
        <w:t xml:space="preserve"> nasal polyps (</w:t>
      </w:r>
      <w:proofErr w:type="spellStart"/>
      <w:r>
        <w:t>CRSsNP</w:t>
      </w:r>
      <w:proofErr w:type="spellEnd"/>
      <w:r>
        <w:t xml:space="preserve">) is characterised by </w:t>
      </w:r>
      <w:r w:rsidR="008B6354">
        <w:t>t</w:t>
      </w:r>
      <w:r w:rsidR="00905339">
        <w:t>ype I</w:t>
      </w:r>
      <w:r>
        <w:t xml:space="preserve"> inflammation</w:t>
      </w:r>
      <w:r w:rsidR="008B6354">
        <w:t>,</w:t>
      </w:r>
      <w:r>
        <w:t xml:space="preserve"> and </w:t>
      </w:r>
      <w:r w:rsidR="008B6354">
        <w:t xml:space="preserve">chronic </w:t>
      </w:r>
      <w:proofErr w:type="spellStart"/>
      <w:r w:rsidR="008B6354">
        <w:t>rhinosinusitis</w:t>
      </w:r>
      <w:proofErr w:type="spellEnd"/>
      <w:r w:rsidR="008B6354">
        <w:t xml:space="preserve"> </w:t>
      </w:r>
      <w:r w:rsidR="008B6354" w:rsidRPr="002A5B76">
        <w:rPr>
          <w:i/>
        </w:rPr>
        <w:t>with</w:t>
      </w:r>
      <w:r w:rsidR="008B6354">
        <w:t xml:space="preserve"> nasal polyps (</w:t>
      </w:r>
      <w:proofErr w:type="spellStart"/>
      <w:r>
        <w:t>CRSwNP</w:t>
      </w:r>
      <w:proofErr w:type="spellEnd"/>
      <w:r w:rsidR="008B6354">
        <w:t>),</w:t>
      </w:r>
      <w:r>
        <w:t xml:space="preserve"> in Western countries</w:t>
      </w:r>
      <w:r w:rsidR="008B6354">
        <w:t>,</w:t>
      </w:r>
      <w:r>
        <w:t xml:space="preserve"> is characterised by </w:t>
      </w:r>
      <w:r w:rsidR="008B6354">
        <w:t>t</w:t>
      </w:r>
      <w:r>
        <w:t>ype II (</w:t>
      </w:r>
      <w:r w:rsidR="008B6354">
        <w:t>or immunoglobulin E (</w:t>
      </w:r>
      <w:proofErr w:type="spellStart"/>
      <w:r>
        <w:t>IgE</w:t>
      </w:r>
      <w:proofErr w:type="spellEnd"/>
      <w:r w:rsidR="008B6354">
        <w:t>)-</w:t>
      </w:r>
      <w:r>
        <w:t xml:space="preserve">mediated) inflammation and tissue eosinophilia. </w:t>
      </w:r>
      <w:r w:rsidRPr="006A16AB">
        <w:t xml:space="preserve">A number of studies have found increased levels of a </w:t>
      </w:r>
      <w:r>
        <w:t xml:space="preserve">wide </w:t>
      </w:r>
      <w:r w:rsidRPr="006A16AB">
        <w:t xml:space="preserve">variety of inflammatory mediators and immune system cells in the tissues of patients with </w:t>
      </w:r>
      <w:r w:rsidR="008B6354">
        <w:t xml:space="preserve">chronic </w:t>
      </w:r>
      <w:proofErr w:type="spellStart"/>
      <w:r w:rsidR="008B6354">
        <w:t>rhinosinusitis</w:t>
      </w:r>
      <w:proofErr w:type="spellEnd"/>
      <w:r w:rsidR="008B6354">
        <w:t xml:space="preserve"> with nasal polyps</w:t>
      </w:r>
      <w:r w:rsidRPr="006A16AB">
        <w:t>. The initiating event(s) and sustaining processes are unclear.</w:t>
      </w:r>
      <w:r>
        <w:t xml:space="preserve"> Possible triggers may be allergens associated with fungi or bacteria, especially </w:t>
      </w:r>
      <w:r w:rsidR="008B6354" w:rsidRPr="003878E8">
        <w:rPr>
          <w:i/>
        </w:rPr>
        <w:t>S</w:t>
      </w:r>
      <w:r w:rsidR="008B6354">
        <w:rPr>
          <w:i/>
        </w:rPr>
        <w:t>taphylococcus</w:t>
      </w:r>
      <w:r w:rsidRPr="003878E8">
        <w:rPr>
          <w:i/>
        </w:rPr>
        <w:t xml:space="preserve"> aureus</w:t>
      </w:r>
      <w:r>
        <w:t xml:space="preserve"> enterotoxins, viruses, and environmental factors. This division of phenotypes does not, however, hold for patients with </w:t>
      </w:r>
      <w:r w:rsidR="008B6354">
        <w:t xml:space="preserve">chronic </w:t>
      </w:r>
      <w:proofErr w:type="spellStart"/>
      <w:r w:rsidR="008B6354">
        <w:t>rhinosinusitis</w:t>
      </w:r>
      <w:proofErr w:type="spellEnd"/>
      <w:r w:rsidR="008B6354">
        <w:t xml:space="preserve"> with </w:t>
      </w:r>
      <w:proofErr w:type="spellStart"/>
      <w:r w:rsidR="008B6354">
        <w:t>nasap</w:t>
      </w:r>
      <w:proofErr w:type="spellEnd"/>
      <w:r w:rsidR="008B6354">
        <w:t xml:space="preserve"> polyps</w:t>
      </w:r>
      <w:r>
        <w:t xml:space="preserve"> in Asia as these patients tend to have a mixed inflammatory picture without increased tissue eosinophilia.</w:t>
      </w:r>
      <w:r w:rsidRPr="00A35C37">
        <w:rPr>
          <w:rStyle w:val="FootnoteReference"/>
        </w:rPr>
        <w:t xml:space="preserve"> </w:t>
      </w:r>
      <w:r>
        <w:rPr>
          <w:rStyle w:val="FootnoteReference"/>
        </w:rPr>
        <w:footnoteReference w:id="9"/>
      </w:r>
      <w:r>
        <w:t xml:space="preserve"> </w:t>
      </w:r>
    </w:p>
    <w:p w14:paraId="323F6D7F" w14:textId="57A4F08A" w:rsidR="003878E8" w:rsidRDefault="003878E8" w:rsidP="003878E8">
      <w:r>
        <w:t xml:space="preserve">Intranasal and systemic/oral corticosteroids remain the mainstay of treatment of </w:t>
      </w:r>
      <w:r w:rsidR="008B6354">
        <w:t xml:space="preserve">chronic </w:t>
      </w:r>
      <w:proofErr w:type="spellStart"/>
      <w:r w:rsidR="008B6354">
        <w:t>rhinosinusitis</w:t>
      </w:r>
      <w:proofErr w:type="spellEnd"/>
      <w:r w:rsidR="008B6354">
        <w:t xml:space="preserve"> with </w:t>
      </w:r>
      <w:proofErr w:type="spellStart"/>
      <w:r w:rsidR="008B6354">
        <w:t>nasap</w:t>
      </w:r>
      <w:proofErr w:type="spellEnd"/>
      <w:r w:rsidR="008B6354">
        <w:t xml:space="preserve"> polyps</w:t>
      </w:r>
      <w:r>
        <w:t xml:space="preserve">, but many patients fail to achieve complete therapeutic benefit with these medications and resort to </w:t>
      </w:r>
      <w:r w:rsidR="008B6354">
        <w:t>f</w:t>
      </w:r>
      <w:r>
        <w:t xml:space="preserve">unctional </w:t>
      </w:r>
      <w:r w:rsidR="008B6354">
        <w:t>e</w:t>
      </w:r>
      <w:r>
        <w:t xml:space="preserve">ndoscopic </w:t>
      </w:r>
      <w:r w:rsidR="008B6354">
        <w:t>s</w:t>
      </w:r>
      <w:r>
        <w:t xml:space="preserve">inus </w:t>
      </w:r>
      <w:r w:rsidR="008B6354">
        <w:t>s</w:t>
      </w:r>
      <w:r>
        <w:t xml:space="preserve">urgery and other complex sinus surgery. Although </w:t>
      </w:r>
      <w:r w:rsidR="008B6354">
        <w:t>surgery</w:t>
      </w:r>
      <w:r>
        <w:t xml:space="preserve"> and intranasal and oral corticosteroids are useful and often effective in reducing the size of nasal polyps and associated symptoms, many patients do not respond sufficiently and/or polyps return rapidly after medication withdrawal or within months or years following surgery.</w:t>
      </w:r>
    </w:p>
    <w:p w14:paraId="46587D26" w14:textId="1CB75D6B" w:rsidR="003878E8" w:rsidRPr="001956A7" w:rsidRDefault="003878E8" w:rsidP="001956A7">
      <w:proofErr w:type="spellStart"/>
      <w:r>
        <w:t>Omalizumab</w:t>
      </w:r>
      <w:proofErr w:type="spellEnd"/>
      <w:r>
        <w:t xml:space="preserve"> is a recombinant DNA-derived humanised monoclonal antibody that selectively binds to human</w:t>
      </w:r>
      <w:r w:rsidR="008B6354">
        <w:t xml:space="preserve"> </w:t>
      </w:r>
      <w:proofErr w:type="spellStart"/>
      <w:r>
        <w:t>IgE</w:t>
      </w:r>
      <w:proofErr w:type="spellEnd"/>
      <w:r>
        <w:t>. The antibody is a</w:t>
      </w:r>
      <w:r w:rsidR="000B112D">
        <w:t xml:space="preserve"> humanised immunoglobulin G1</w:t>
      </w:r>
      <w:r>
        <w:t xml:space="preserve"> kappa </w:t>
      </w:r>
      <w:r w:rsidR="000B112D">
        <w:t xml:space="preserve">monoclonal antibody </w:t>
      </w:r>
      <w:r>
        <w:t xml:space="preserve">that contains human framework regions with the complementary-determining regions of a humanised murine antibody that binds to </w:t>
      </w:r>
      <w:proofErr w:type="spellStart"/>
      <w:r>
        <w:t>IgE</w:t>
      </w:r>
      <w:proofErr w:type="spellEnd"/>
      <w:r>
        <w:t xml:space="preserve">. </w:t>
      </w:r>
      <w:proofErr w:type="spellStart"/>
      <w:r>
        <w:t>Omalizumab</w:t>
      </w:r>
      <w:proofErr w:type="spellEnd"/>
      <w:r>
        <w:t xml:space="preserve"> selectively binds to human </w:t>
      </w:r>
      <w:proofErr w:type="spellStart"/>
      <w:r>
        <w:t>IgE</w:t>
      </w:r>
      <w:proofErr w:type="spellEnd"/>
      <w:r>
        <w:t xml:space="preserve"> at the same site as the high affinity </w:t>
      </w:r>
      <w:proofErr w:type="spellStart"/>
      <w:r>
        <w:t>IgE</w:t>
      </w:r>
      <w:proofErr w:type="spellEnd"/>
      <w:r>
        <w:t xml:space="preserve"> receptor (</w:t>
      </w:r>
      <w:proofErr w:type="spellStart"/>
      <w:r>
        <w:t>FcεRI</w:t>
      </w:r>
      <w:proofErr w:type="spellEnd"/>
      <w:r>
        <w:t xml:space="preserve">), thereby reducing surface </w:t>
      </w:r>
      <w:proofErr w:type="spellStart"/>
      <w:r>
        <w:t>IgE</w:t>
      </w:r>
      <w:proofErr w:type="spellEnd"/>
      <w:r>
        <w:t xml:space="preserve"> on basophils and mast cells and reducing ba</w:t>
      </w:r>
      <w:r w:rsidR="007028FB">
        <w:t xml:space="preserve">sophil and mast cell triggered </w:t>
      </w:r>
      <w:r w:rsidR="000B112D">
        <w:t>t</w:t>
      </w:r>
      <w:r w:rsidR="00905339">
        <w:t>ype II</w:t>
      </w:r>
      <w:r>
        <w:t xml:space="preserve"> inflammation.</w:t>
      </w:r>
    </w:p>
    <w:p w14:paraId="4BC5F6BE" w14:textId="77777777" w:rsidR="00006FAB" w:rsidRDefault="00386150" w:rsidP="003878E8">
      <w:pPr>
        <w:pStyle w:val="Heading3"/>
      </w:pPr>
      <w:bookmarkStart w:id="17" w:name="_Toc314842485"/>
      <w:bookmarkStart w:id="18" w:name="_Toc247691504"/>
      <w:bookmarkStart w:id="19" w:name="_Toc71188734"/>
      <w:r>
        <w:t>Regulatory s</w:t>
      </w:r>
      <w:r w:rsidR="008E7846">
        <w:t>tatus</w:t>
      </w:r>
      <w:bookmarkStart w:id="20" w:name="_Toc247691505"/>
      <w:bookmarkStart w:id="21" w:name="_Toc314842486"/>
      <w:bookmarkEnd w:id="17"/>
      <w:bookmarkEnd w:id="18"/>
      <w:bookmarkEnd w:id="19"/>
    </w:p>
    <w:p w14:paraId="36EE215F" w14:textId="01F91F8D" w:rsidR="00352163" w:rsidRDefault="00352163" w:rsidP="00006FAB">
      <w:r>
        <w:t xml:space="preserve">The product received initial registration on the Australian Register of Therapeutic Goods (ARTG) </w:t>
      </w:r>
      <w:r w:rsidR="000B112D">
        <w:t>o</w:t>
      </w:r>
      <w:r>
        <w:t>n 13 June2002 for use in moderate allergic asthma. It was registered for use in severe allergic asthma in 2005</w:t>
      </w:r>
      <w:r w:rsidR="000B112D">
        <w:t>,</w:t>
      </w:r>
      <w:r>
        <w:t xml:space="preserve"> </w:t>
      </w:r>
      <w:r w:rsidR="00055FC5">
        <w:t>and extended to be used in the paediatric population in 2016 as follow</w:t>
      </w:r>
      <w:r w:rsidR="000B112D">
        <w:t>s</w:t>
      </w:r>
      <w:r>
        <w:t>:</w:t>
      </w:r>
    </w:p>
    <w:p w14:paraId="7601F745" w14:textId="77777777" w:rsidR="00116EBC" w:rsidRPr="0055155F" w:rsidRDefault="00116EBC" w:rsidP="006A7869">
      <w:pPr>
        <w:pageBreakBefore/>
        <w:ind w:left="720"/>
        <w:rPr>
          <w:b/>
          <w:i/>
        </w:rPr>
      </w:pPr>
      <w:r w:rsidRPr="0055155F">
        <w:rPr>
          <w:b/>
          <w:i/>
        </w:rPr>
        <w:t>Allergic Asthma</w:t>
      </w:r>
    </w:p>
    <w:p w14:paraId="4477FB7E" w14:textId="77777777" w:rsidR="00116EBC" w:rsidRPr="0055155F" w:rsidRDefault="00116EBC" w:rsidP="00116EBC">
      <w:pPr>
        <w:ind w:left="720"/>
        <w:rPr>
          <w:i/>
        </w:rPr>
      </w:pPr>
      <w:r w:rsidRPr="0055155F">
        <w:rPr>
          <w:i/>
        </w:rPr>
        <w:t>Children 6 to &lt; 12 years of age</w:t>
      </w:r>
    </w:p>
    <w:p w14:paraId="49F7DA21" w14:textId="77777777" w:rsidR="00116EBC" w:rsidRPr="0055155F" w:rsidRDefault="00116EBC" w:rsidP="00116EBC">
      <w:pPr>
        <w:ind w:left="720"/>
        <w:rPr>
          <w:i/>
        </w:rPr>
      </w:pPr>
      <w:r w:rsidRPr="0055155F">
        <w:rPr>
          <w:i/>
        </w:rPr>
        <w:t>In children aged 6 to &lt;</w:t>
      </w:r>
      <w:r>
        <w:rPr>
          <w:i/>
        </w:rPr>
        <w:t xml:space="preserve"> </w:t>
      </w:r>
      <w:r w:rsidRPr="0055155F">
        <w:rPr>
          <w:i/>
        </w:rPr>
        <w:t xml:space="preserve">12 years, </w:t>
      </w:r>
      <w:proofErr w:type="spellStart"/>
      <w:r w:rsidRPr="0055155F">
        <w:rPr>
          <w:i/>
        </w:rPr>
        <w:t>Xolair</w:t>
      </w:r>
      <w:proofErr w:type="spellEnd"/>
      <w:r w:rsidRPr="0055155F">
        <w:rPr>
          <w:i/>
        </w:rPr>
        <w:t xml:space="preserve"> is indicated as add‐on therapy to improve asthma control in patients with severe allergic asthma who have documented exacerbations despite daily high dose inhaled corticosteroids, and who have immunoglobulin E levels corresponding to the recommended dose range (see Table 1 in Section 4.2 </w:t>
      </w:r>
      <w:r>
        <w:rPr>
          <w:i/>
        </w:rPr>
        <w:t>dose and method of administration</w:t>
      </w:r>
      <w:r w:rsidRPr="0055155F">
        <w:rPr>
          <w:i/>
        </w:rPr>
        <w:t>).</w:t>
      </w:r>
    </w:p>
    <w:p w14:paraId="4477F729" w14:textId="77777777" w:rsidR="00116EBC" w:rsidRPr="0055155F" w:rsidRDefault="00116EBC" w:rsidP="00116EBC">
      <w:pPr>
        <w:ind w:left="720"/>
        <w:rPr>
          <w:i/>
        </w:rPr>
      </w:pPr>
      <w:r w:rsidRPr="0055155F">
        <w:rPr>
          <w:i/>
        </w:rPr>
        <w:t>Adults and adolescents ≥ 12 years of age</w:t>
      </w:r>
    </w:p>
    <w:p w14:paraId="4951AB32" w14:textId="77777777" w:rsidR="00116EBC" w:rsidRDefault="00116EBC" w:rsidP="00116EBC">
      <w:pPr>
        <w:ind w:left="720"/>
        <w:rPr>
          <w:i/>
        </w:rPr>
      </w:pPr>
      <w:proofErr w:type="spellStart"/>
      <w:r w:rsidRPr="0055155F">
        <w:rPr>
          <w:i/>
        </w:rPr>
        <w:t>Xolair</w:t>
      </w:r>
      <w:proofErr w:type="spellEnd"/>
      <w:r w:rsidRPr="0055155F">
        <w:rPr>
          <w:i/>
        </w:rPr>
        <w:t xml:space="preserve"> is indicated for the management of adult and adolescent patients with moderate to severe allergic asthma, who are already being treated with inhaled steroids, and who have serum immunoglobulin E levels corresponding to the recommended dose range (see Table 1 in Section 4.2 </w:t>
      </w:r>
      <w:r>
        <w:rPr>
          <w:i/>
        </w:rPr>
        <w:t>dose and method of administration</w:t>
      </w:r>
      <w:r w:rsidRPr="0055155F">
        <w:rPr>
          <w:i/>
        </w:rPr>
        <w:t>)</w:t>
      </w:r>
    </w:p>
    <w:p w14:paraId="2B7A0D73" w14:textId="56995E44" w:rsidR="00352163" w:rsidRPr="00352163" w:rsidRDefault="00352163" w:rsidP="00352163">
      <w:r>
        <w:t xml:space="preserve">A new strength was registered in </w:t>
      </w:r>
      <w:r w:rsidR="003F3B46">
        <w:t xml:space="preserve">10 </w:t>
      </w:r>
      <w:r>
        <w:t xml:space="preserve">January 2006 and a new presentation was included on </w:t>
      </w:r>
      <w:r w:rsidR="003F3B46">
        <w:t>19</w:t>
      </w:r>
      <w:r>
        <w:t xml:space="preserve"> August 2013.</w:t>
      </w:r>
    </w:p>
    <w:p w14:paraId="49AE085D" w14:textId="79BEE592" w:rsidR="00006FAB" w:rsidRDefault="00116EBC" w:rsidP="00116EBC">
      <w:pPr>
        <w:pStyle w:val="Instructions"/>
        <w:rPr>
          <w:i w:val="0"/>
          <w:color w:val="auto"/>
        </w:rPr>
      </w:pPr>
      <w:r w:rsidRPr="00116EBC">
        <w:rPr>
          <w:i w:val="0"/>
          <w:color w:val="auto"/>
        </w:rPr>
        <w:t xml:space="preserve">The TGA approved </w:t>
      </w:r>
      <w:r>
        <w:rPr>
          <w:i w:val="0"/>
          <w:color w:val="auto"/>
        </w:rPr>
        <w:t xml:space="preserve">an extension of indication for </w:t>
      </w:r>
      <w:proofErr w:type="spellStart"/>
      <w:r>
        <w:rPr>
          <w:i w:val="0"/>
          <w:color w:val="auto"/>
        </w:rPr>
        <w:t>Xolair</w:t>
      </w:r>
      <w:proofErr w:type="spellEnd"/>
      <w:r w:rsidRPr="00116EBC">
        <w:rPr>
          <w:i w:val="0"/>
          <w:color w:val="auto"/>
        </w:rPr>
        <w:t xml:space="preserve"> on</w:t>
      </w:r>
      <w:r w:rsidR="00352163">
        <w:rPr>
          <w:i w:val="0"/>
          <w:color w:val="auto"/>
        </w:rPr>
        <w:t xml:space="preserve"> 6 November 2014</w:t>
      </w:r>
      <w:r>
        <w:rPr>
          <w:i w:val="0"/>
          <w:color w:val="auto"/>
        </w:rPr>
        <w:t>, for the following indication:</w:t>
      </w:r>
    </w:p>
    <w:p w14:paraId="347ED645" w14:textId="77777777" w:rsidR="00116EBC" w:rsidRPr="0055155F" w:rsidRDefault="00116EBC" w:rsidP="00116EBC">
      <w:pPr>
        <w:ind w:left="720"/>
        <w:rPr>
          <w:b/>
          <w:i/>
        </w:rPr>
      </w:pPr>
      <w:r w:rsidRPr="0055155F">
        <w:rPr>
          <w:b/>
          <w:i/>
        </w:rPr>
        <w:t xml:space="preserve">Chronic Spontaneous </w:t>
      </w:r>
      <w:proofErr w:type="spellStart"/>
      <w:r w:rsidRPr="0055155F">
        <w:rPr>
          <w:b/>
          <w:i/>
        </w:rPr>
        <w:t>Urticaria</w:t>
      </w:r>
      <w:proofErr w:type="spellEnd"/>
      <w:r w:rsidRPr="0055155F">
        <w:rPr>
          <w:b/>
          <w:i/>
        </w:rPr>
        <w:t xml:space="preserve"> (CSU)</w:t>
      </w:r>
    </w:p>
    <w:p w14:paraId="4FDA10EA" w14:textId="2C0DF25C" w:rsidR="00116EBC" w:rsidRPr="00116EBC" w:rsidRDefault="00116EBC" w:rsidP="00116EBC">
      <w:pPr>
        <w:ind w:left="720"/>
        <w:rPr>
          <w:i/>
        </w:rPr>
      </w:pPr>
      <w:proofErr w:type="spellStart"/>
      <w:r w:rsidRPr="0055155F">
        <w:rPr>
          <w:i/>
        </w:rPr>
        <w:t>Xolair</w:t>
      </w:r>
      <w:proofErr w:type="spellEnd"/>
      <w:r w:rsidRPr="0055155F">
        <w:rPr>
          <w:i/>
        </w:rPr>
        <w:t xml:space="preserve"> is indicated for adults and adolescents (12 years of age and above) with chronic spontaneous </w:t>
      </w:r>
      <w:proofErr w:type="spellStart"/>
      <w:r w:rsidRPr="0055155F">
        <w:rPr>
          <w:i/>
        </w:rPr>
        <w:t>urticaria</w:t>
      </w:r>
      <w:proofErr w:type="spellEnd"/>
      <w:r w:rsidRPr="0055155F">
        <w:rPr>
          <w:i/>
        </w:rPr>
        <w:t xml:space="preserve"> who remain symptomatic desp</w:t>
      </w:r>
      <w:r>
        <w:rPr>
          <w:i/>
        </w:rPr>
        <w:t>ite H1 antihistamine treatment.</w:t>
      </w:r>
    </w:p>
    <w:p w14:paraId="3483B080" w14:textId="5948E4DC" w:rsidR="00006FAB" w:rsidRDefault="00006FAB" w:rsidP="00006FAB">
      <w:r>
        <w:t>At the time the TGA considered this application, similar application</w:t>
      </w:r>
      <w:r w:rsidR="000B112D">
        <w:t>s</w:t>
      </w:r>
      <w:r>
        <w:t xml:space="preserve"> had been approved </w:t>
      </w:r>
      <w:r w:rsidR="00740C9D">
        <w:t xml:space="preserve">in </w:t>
      </w:r>
      <w:r w:rsidR="000B112D">
        <w:t xml:space="preserve">the </w:t>
      </w:r>
      <w:r w:rsidR="00740C9D">
        <w:t xml:space="preserve">European Union on 31 July 2020, </w:t>
      </w:r>
      <w:r w:rsidR="000B112D">
        <w:t xml:space="preserve">the </w:t>
      </w:r>
      <w:r w:rsidR="00740C9D">
        <w:t>United States of America (USA) on 30</w:t>
      </w:r>
      <w:r w:rsidR="000B112D">
        <w:t> </w:t>
      </w:r>
      <w:r w:rsidR="00740C9D">
        <w:t xml:space="preserve">November 2020 and </w:t>
      </w:r>
      <w:r w:rsidR="000B112D">
        <w:t xml:space="preserve">in </w:t>
      </w:r>
      <w:r w:rsidR="00740C9D">
        <w:t xml:space="preserve">Singapore on 15 December 2020. </w:t>
      </w:r>
      <w:r w:rsidR="000B112D">
        <w:t xml:space="preserve">A similar application was also </w:t>
      </w:r>
      <w:r w:rsidR="005D0FF3">
        <w:t>under consideration in Canada (submitted in August 2020)</w:t>
      </w:r>
      <w:r w:rsidR="000B112D">
        <w:t>.</w:t>
      </w:r>
    </w:p>
    <w:p w14:paraId="3B16FABD" w14:textId="41F4819E" w:rsidR="00324E45" w:rsidRPr="00F0146F" w:rsidRDefault="00324E45" w:rsidP="00324E45">
      <w:pPr>
        <w:pStyle w:val="TableTitle"/>
      </w:pPr>
      <w:r>
        <w:t xml:space="preserve">Table </w:t>
      </w:r>
      <w:r>
        <w:fldChar w:fldCharType="begin"/>
      </w:r>
      <w:r>
        <w:instrText>SEQ Table \* ARABIC</w:instrText>
      </w:r>
      <w:r>
        <w:fldChar w:fldCharType="separate"/>
      </w:r>
      <w:r w:rsidR="000E4669">
        <w:rPr>
          <w:noProof/>
        </w:rPr>
        <w:t>1</w:t>
      </w:r>
      <w:r>
        <w:fldChar w:fldCharType="end"/>
      </w:r>
      <w:r w:rsidR="00352163">
        <w:t>: Foreign</w:t>
      </w:r>
      <w:r w:rsidR="00164FAB">
        <w:t xml:space="preserve"> regulatory status of chronic </w:t>
      </w:r>
      <w:proofErr w:type="spellStart"/>
      <w:r w:rsidR="00164FAB">
        <w:t>rhinosinusitis</w:t>
      </w:r>
      <w:proofErr w:type="spellEnd"/>
      <w:r w:rsidR="00164FAB">
        <w:t xml:space="preserve"> with nasal polyps i</w:t>
      </w:r>
      <w:r w:rsidR="00164FAB" w:rsidRPr="00164FAB">
        <w:t>ndication</w:t>
      </w:r>
    </w:p>
    <w:tbl>
      <w:tblPr>
        <w:tblStyle w:val="TableTGAblue"/>
        <w:tblW w:w="8695" w:type="dxa"/>
        <w:tblLayout w:type="fixed"/>
        <w:tblLook w:val="04A0" w:firstRow="1" w:lastRow="0" w:firstColumn="1" w:lastColumn="0" w:noHBand="0" w:noVBand="1"/>
      </w:tblPr>
      <w:tblGrid>
        <w:gridCol w:w="2065"/>
        <w:gridCol w:w="1980"/>
        <w:gridCol w:w="2160"/>
        <w:gridCol w:w="2490"/>
      </w:tblGrid>
      <w:tr w:rsidR="00164FAB" w14:paraId="4D336851" w14:textId="77777777" w:rsidTr="002A5B76">
        <w:trPr>
          <w:cnfStyle w:val="100000000000" w:firstRow="1" w:lastRow="0" w:firstColumn="0" w:lastColumn="0" w:oddVBand="0" w:evenVBand="0" w:oddHBand="0" w:evenHBand="0" w:firstRowFirstColumn="0" w:firstRowLastColumn="0" w:lastRowFirstColumn="0" w:lastRowLastColumn="0"/>
        </w:trPr>
        <w:tc>
          <w:tcPr>
            <w:tcW w:w="2065" w:type="dxa"/>
            <w:tcBorders>
              <w:top w:val="single" w:sz="4" w:space="0" w:color="auto"/>
              <w:left w:val="single" w:sz="4" w:space="0" w:color="auto"/>
              <w:bottom w:val="single" w:sz="4" w:space="0" w:color="auto"/>
              <w:right w:val="single" w:sz="4" w:space="0" w:color="auto"/>
            </w:tcBorders>
          </w:tcPr>
          <w:p w14:paraId="7B9DEF23" w14:textId="77777777" w:rsidR="00006FAB" w:rsidRDefault="00006FAB" w:rsidP="00006FAB">
            <w:pPr>
              <w:ind w:left="0" w:right="0"/>
            </w:pPr>
            <w:r>
              <w:t>Region</w:t>
            </w:r>
          </w:p>
        </w:tc>
        <w:tc>
          <w:tcPr>
            <w:tcW w:w="1980" w:type="dxa"/>
            <w:tcBorders>
              <w:top w:val="single" w:sz="4" w:space="0" w:color="auto"/>
              <w:left w:val="single" w:sz="4" w:space="0" w:color="auto"/>
              <w:bottom w:val="single" w:sz="4" w:space="0" w:color="auto"/>
              <w:right w:val="single" w:sz="4" w:space="0" w:color="auto"/>
            </w:tcBorders>
          </w:tcPr>
          <w:p w14:paraId="74EC00AE" w14:textId="77777777" w:rsidR="00006FAB" w:rsidRDefault="00006FAB" w:rsidP="00006FAB">
            <w:pPr>
              <w:ind w:left="0" w:right="0"/>
            </w:pPr>
            <w:r>
              <w:t>Submission date</w:t>
            </w:r>
          </w:p>
        </w:tc>
        <w:tc>
          <w:tcPr>
            <w:tcW w:w="2160" w:type="dxa"/>
            <w:tcBorders>
              <w:top w:val="single" w:sz="4" w:space="0" w:color="auto"/>
              <w:left w:val="single" w:sz="4" w:space="0" w:color="auto"/>
              <w:bottom w:val="single" w:sz="4" w:space="0" w:color="auto"/>
              <w:right w:val="single" w:sz="4" w:space="0" w:color="auto"/>
            </w:tcBorders>
          </w:tcPr>
          <w:p w14:paraId="1CE313DE" w14:textId="77777777" w:rsidR="00006FAB" w:rsidRDefault="00006FAB" w:rsidP="00006FAB">
            <w:pPr>
              <w:ind w:left="0" w:right="0"/>
            </w:pPr>
            <w:r>
              <w:t>Status</w:t>
            </w:r>
          </w:p>
        </w:tc>
        <w:tc>
          <w:tcPr>
            <w:tcW w:w="2490" w:type="dxa"/>
            <w:tcBorders>
              <w:top w:val="single" w:sz="4" w:space="0" w:color="auto"/>
              <w:left w:val="single" w:sz="4" w:space="0" w:color="auto"/>
              <w:bottom w:val="single" w:sz="4" w:space="0" w:color="auto"/>
              <w:right w:val="single" w:sz="4" w:space="0" w:color="auto"/>
            </w:tcBorders>
          </w:tcPr>
          <w:p w14:paraId="4E7DDA7A" w14:textId="77777777" w:rsidR="00006FAB" w:rsidRDefault="00006FAB" w:rsidP="00006FAB">
            <w:pPr>
              <w:ind w:left="0" w:right="0"/>
            </w:pPr>
            <w:r>
              <w:t>Approved indications</w:t>
            </w:r>
          </w:p>
        </w:tc>
      </w:tr>
      <w:tr w:rsidR="00164FAB" w14:paraId="380148CC" w14:textId="77777777" w:rsidTr="002A5B76">
        <w:tc>
          <w:tcPr>
            <w:tcW w:w="2065" w:type="dxa"/>
            <w:tcBorders>
              <w:top w:val="single" w:sz="4" w:space="0" w:color="auto"/>
            </w:tcBorders>
          </w:tcPr>
          <w:p w14:paraId="4835B7C7" w14:textId="34F3750A" w:rsidR="00164FAB" w:rsidRDefault="00164FAB" w:rsidP="00006FAB">
            <w:pPr>
              <w:ind w:left="0" w:right="0"/>
            </w:pPr>
            <w:r>
              <w:t>European Union</w:t>
            </w:r>
            <w:r w:rsidR="000B112D">
              <w:t xml:space="preserve"> (via </w:t>
            </w:r>
            <w:r>
              <w:t>Centralised Procedure</w:t>
            </w:r>
            <w:r w:rsidR="000B112D">
              <w:t>)</w:t>
            </w:r>
          </w:p>
        </w:tc>
        <w:tc>
          <w:tcPr>
            <w:tcW w:w="1980" w:type="dxa"/>
            <w:tcBorders>
              <w:top w:val="single" w:sz="4" w:space="0" w:color="auto"/>
            </w:tcBorders>
          </w:tcPr>
          <w:p w14:paraId="4FD82AA7" w14:textId="6070D335" w:rsidR="00006FAB" w:rsidRDefault="00164FAB" w:rsidP="00006FAB">
            <w:pPr>
              <w:ind w:left="0" w:right="0"/>
            </w:pPr>
            <w:r>
              <w:t>November 2019</w:t>
            </w:r>
          </w:p>
        </w:tc>
        <w:tc>
          <w:tcPr>
            <w:tcW w:w="2160" w:type="dxa"/>
            <w:tcBorders>
              <w:top w:val="single" w:sz="4" w:space="0" w:color="auto"/>
            </w:tcBorders>
          </w:tcPr>
          <w:p w14:paraId="32E92EF2" w14:textId="7ADDD0CE" w:rsidR="00006FAB" w:rsidRDefault="00164FAB" w:rsidP="00006FAB">
            <w:pPr>
              <w:ind w:left="0" w:right="0"/>
            </w:pPr>
            <w:r>
              <w:t>Approved on 31</w:t>
            </w:r>
            <w:r w:rsidR="000B112D">
              <w:t> </w:t>
            </w:r>
            <w:r>
              <w:t>July 2020</w:t>
            </w:r>
          </w:p>
        </w:tc>
        <w:tc>
          <w:tcPr>
            <w:tcW w:w="2490" w:type="dxa"/>
            <w:tcBorders>
              <w:top w:val="single" w:sz="4" w:space="0" w:color="auto"/>
            </w:tcBorders>
          </w:tcPr>
          <w:p w14:paraId="395381E4" w14:textId="77777777" w:rsidR="00164FAB" w:rsidRPr="00164FAB" w:rsidRDefault="00164FAB" w:rsidP="00164FAB">
            <w:pPr>
              <w:ind w:left="0"/>
              <w:rPr>
                <w:i/>
              </w:rPr>
            </w:pPr>
            <w:r w:rsidRPr="00164FAB">
              <w:rPr>
                <w:i/>
              </w:rPr>
              <w:t xml:space="preserve">Chronic </w:t>
            </w:r>
            <w:proofErr w:type="spellStart"/>
            <w:r w:rsidRPr="00164FAB">
              <w:rPr>
                <w:i/>
              </w:rPr>
              <w:t>rhinosinusitis</w:t>
            </w:r>
            <w:proofErr w:type="spellEnd"/>
            <w:r w:rsidRPr="00164FAB">
              <w:rPr>
                <w:i/>
              </w:rPr>
              <w:t xml:space="preserve"> with nasal polyps (</w:t>
            </w:r>
            <w:proofErr w:type="spellStart"/>
            <w:r w:rsidRPr="00164FAB">
              <w:rPr>
                <w:i/>
              </w:rPr>
              <w:t>CRSwNP</w:t>
            </w:r>
            <w:proofErr w:type="spellEnd"/>
            <w:r w:rsidRPr="00164FAB">
              <w:rPr>
                <w:i/>
              </w:rPr>
              <w:t>)</w:t>
            </w:r>
          </w:p>
          <w:p w14:paraId="36BAD16E" w14:textId="6D60F676" w:rsidR="00006FAB" w:rsidRDefault="00164FAB" w:rsidP="00164FAB">
            <w:pPr>
              <w:ind w:left="0"/>
            </w:pPr>
            <w:proofErr w:type="spellStart"/>
            <w:r w:rsidRPr="00164FAB">
              <w:rPr>
                <w:i/>
              </w:rPr>
              <w:t>Xolair</w:t>
            </w:r>
            <w:proofErr w:type="spellEnd"/>
            <w:r w:rsidRPr="00164FAB">
              <w:rPr>
                <w:i/>
              </w:rPr>
              <w:t xml:space="preserve"> is indicated as an add-on therapy with intranasal corticosteroids (INC) for the treatment of adults (18 years and above) with severe </w:t>
            </w:r>
            <w:proofErr w:type="spellStart"/>
            <w:r w:rsidRPr="00164FAB">
              <w:rPr>
                <w:i/>
              </w:rPr>
              <w:t>CRSwNP</w:t>
            </w:r>
            <w:proofErr w:type="spellEnd"/>
            <w:r w:rsidRPr="00164FAB">
              <w:rPr>
                <w:i/>
              </w:rPr>
              <w:t xml:space="preserve"> for whom therapy with INC does not provide adequate disease control</w:t>
            </w:r>
            <w:r>
              <w:t>.</w:t>
            </w:r>
          </w:p>
        </w:tc>
      </w:tr>
      <w:tr w:rsidR="00164FAB" w14:paraId="37E0414E" w14:textId="77777777" w:rsidTr="002A5B76">
        <w:trPr>
          <w:cantSplit/>
        </w:trPr>
        <w:tc>
          <w:tcPr>
            <w:tcW w:w="2065" w:type="dxa"/>
          </w:tcPr>
          <w:p w14:paraId="245279CD" w14:textId="68C98499" w:rsidR="00006FAB" w:rsidRDefault="00164FAB" w:rsidP="00006FAB">
            <w:pPr>
              <w:ind w:left="0" w:right="0"/>
            </w:pPr>
            <w:r>
              <w:t>United States of America</w:t>
            </w:r>
          </w:p>
        </w:tc>
        <w:tc>
          <w:tcPr>
            <w:tcW w:w="1980" w:type="dxa"/>
          </w:tcPr>
          <w:p w14:paraId="0B177016" w14:textId="57D803A6" w:rsidR="00006FAB" w:rsidRDefault="00164FAB" w:rsidP="00006FAB">
            <w:pPr>
              <w:ind w:left="0" w:right="0"/>
            </w:pPr>
            <w:r>
              <w:t>September 2019</w:t>
            </w:r>
          </w:p>
        </w:tc>
        <w:tc>
          <w:tcPr>
            <w:tcW w:w="2160" w:type="dxa"/>
          </w:tcPr>
          <w:p w14:paraId="1D33C1D4" w14:textId="2AA05650" w:rsidR="00164FAB" w:rsidRDefault="00164FAB" w:rsidP="00006FAB">
            <w:pPr>
              <w:ind w:left="0" w:right="0"/>
            </w:pPr>
            <w:r>
              <w:t xml:space="preserve">Approved </w:t>
            </w:r>
            <w:r w:rsidR="000B112D">
              <w:t xml:space="preserve">on </w:t>
            </w:r>
            <w:r>
              <w:t>30</w:t>
            </w:r>
            <w:r w:rsidR="000B112D">
              <w:t> </w:t>
            </w:r>
            <w:r>
              <w:t>November 2020</w:t>
            </w:r>
          </w:p>
        </w:tc>
        <w:tc>
          <w:tcPr>
            <w:tcW w:w="2490" w:type="dxa"/>
          </w:tcPr>
          <w:p w14:paraId="659FA094" w14:textId="37F7CAAB" w:rsidR="00006FAB" w:rsidRPr="00164FAB" w:rsidRDefault="00164FAB" w:rsidP="00164FAB">
            <w:pPr>
              <w:ind w:left="0"/>
              <w:rPr>
                <w:i/>
              </w:rPr>
            </w:pPr>
            <w:proofErr w:type="spellStart"/>
            <w:r w:rsidRPr="00164FAB">
              <w:rPr>
                <w:i/>
              </w:rPr>
              <w:t>Xolair</w:t>
            </w:r>
            <w:proofErr w:type="spellEnd"/>
            <w:r w:rsidRPr="00164FAB">
              <w:rPr>
                <w:i/>
              </w:rPr>
              <w:t xml:space="preserve"> is indicated for add-on maintenance treatment of nasal polyps in adult patients 18 years of age and older with inadequate response to nasal corticosteroids.</w:t>
            </w:r>
          </w:p>
        </w:tc>
      </w:tr>
      <w:tr w:rsidR="00164FAB" w14:paraId="30EE8A63" w14:textId="77777777" w:rsidTr="002A5B76">
        <w:tc>
          <w:tcPr>
            <w:tcW w:w="2065" w:type="dxa"/>
          </w:tcPr>
          <w:p w14:paraId="2A59DCCB" w14:textId="12DEB563" w:rsidR="00164FAB" w:rsidRDefault="00164FAB" w:rsidP="00164FAB">
            <w:pPr>
              <w:ind w:left="0"/>
            </w:pPr>
            <w:r>
              <w:t>Singapore</w:t>
            </w:r>
          </w:p>
        </w:tc>
        <w:tc>
          <w:tcPr>
            <w:tcW w:w="1980" w:type="dxa"/>
          </w:tcPr>
          <w:p w14:paraId="5478284B" w14:textId="0E453766" w:rsidR="00164FAB" w:rsidRDefault="00164FAB" w:rsidP="00164FAB">
            <w:pPr>
              <w:ind w:left="0"/>
            </w:pPr>
            <w:r>
              <w:t>January 2020</w:t>
            </w:r>
          </w:p>
        </w:tc>
        <w:tc>
          <w:tcPr>
            <w:tcW w:w="2160" w:type="dxa"/>
          </w:tcPr>
          <w:p w14:paraId="20AEA934" w14:textId="641C0F0E" w:rsidR="00164FAB" w:rsidRDefault="00164FAB" w:rsidP="00164FAB">
            <w:pPr>
              <w:ind w:left="0"/>
            </w:pPr>
            <w:r>
              <w:t xml:space="preserve">Approved </w:t>
            </w:r>
            <w:r w:rsidR="00FE688D">
              <w:t xml:space="preserve">on </w:t>
            </w:r>
            <w:r>
              <w:t>15</w:t>
            </w:r>
            <w:r w:rsidR="00FE688D">
              <w:t> </w:t>
            </w:r>
            <w:r>
              <w:t>December 2020</w:t>
            </w:r>
          </w:p>
        </w:tc>
        <w:tc>
          <w:tcPr>
            <w:tcW w:w="2490" w:type="dxa"/>
          </w:tcPr>
          <w:p w14:paraId="756F5910" w14:textId="77777777" w:rsidR="00164FAB" w:rsidRPr="00164FAB" w:rsidRDefault="00164FAB" w:rsidP="00164FAB">
            <w:pPr>
              <w:ind w:left="0"/>
              <w:rPr>
                <w:i/>
              </w:rPr>
            </w:pPr>
            <w:r w:rsidRPr="00164FAB">
              <w:rPr>
                <w:i/>
              </w:rPr>
              <w:t xml:space="preserve">Chronic </w:t>
            </w:r>
            <w:proofErr w:type="spellStart"/>
            <w:r w:rsidRPr="00164FAB">
              <w:rPr>
                <w:i/>
              </w:rPr>
              <w:t>rhinosinusitis</w:t>
            </w:r>
            <w:proofErr w:type="spellEnd"/>
            <w:r w:rsidRPr="00164FAB">
              <w:rPr>
                <w:i/>
              </w:rPr>
              <w:t xml:space="preserve"> with nasal polyps (</w:t>
            </w:r>
            <w:proofErr w:type="spellStart"/>
            <w:r w:rsidRPr="00164FAB">
              <w:rPr>
                <w:i/>
              </w:rPr>
              <w:t>CRSwNP</w:t>
            </w:r>
            <w:proofErr w:type="spellEnd"/>
            <w:r w:rsidRPr="00164FAB">
              <w:rPr>
                <w:i/>
              </w:rPr>
              <w:t>)</w:t>
            </w:r>
          </w:p>
          <w:p w14:paraId="679DEF34" w14:textId="4AA1ACBD" w:rsidR="00164FAB" w:rsidRPr="00164FAB" w:rsidRDefault="00164FAB" w:rsidP="00164FAB">
            <w:pPr>
              <w:ind w:left="0"/>
              <w:rPr>
                <w:i/>
              </w:rPr>
            </w:pPr>
            <w:proofErr w:type="spellStart"/>
            <w:r w:rsidRPr="00164FAB">
              <w:rPr>
                <w:i/>
              </w:rPr>
              <w:t>Xolair</w:t>
            </w:r>
            <w:proofErr w:type="spellEnd"/>
            <w:r w:rsidRPr="00164FAB">
              <w:rPr>
                <w:i/>
              </w:rPr>
              <w:t xml:space="preserve"> is indicated as an add-on therapy to intranasal co</w:t>
            </w:r>
            <w:r>
              <w:rPr>
                <w:i/>
              </w:rPr>
              <w:t xml:space="preserve">rticosteroids for the treatment </w:t>
            </w:r>
            <w:r w:rsidRPr="00164FAB">
              <w:rPr>
                <w:i/>
              </w:rPr>
              <w:t xml:space="preserve">of </w:t>
            </w:r>
            <w:proofErr w:type="spellStart"/>
            <w:r w:rsidRPr="00164FAB">
              <w:rPr>
                <w:i/>
              </w:rPr>
              <w:t>CRSwNP</w:t>
            </w:r>
            <w:proofErr w:type="spellEnd"/>
            <w:r w:rsidRPr="00164FAB">
              <w:rPr>
                <w:i/>
              </w:rPr>
              <w:t xml:space="preserve"> in adults (18 years of age and above) with inadequate response</w:t>
            </w:r>
            <w:r>
              <w:rPr>
                <w:i/>
              </w:rPr>
              <w:t xml:space="preserve"> to </w:t>
            </w:r>
            <w:r w:rsidRPr="00164FAB">
              <w:rPr>
                <w:i/>
              </w:rPr>
              <w:t>intranasal corticosteroids.</w:t>
            </w:r>
          </w:p>
        </w:tc>
      </w:tr>
      <w:tr w:rsidR="00164FAB" w14:paraId="2F9BBFDE" w14:textId="77777777" w:rsidTr="002A5B76">
        <w:tc>
          <w:tcPr>
            <w:tcW w:w="2065" w:type="dxa"/>
          </w:tcPr>
          <w:p w14:paraId="4C32F75B" w14:textId="2D343DC6" w:rsidR="00164FAB" w:rsidRDefault="005D0FF3" w:rsidP="00164FAB">
            <w:pPr>
              <w:ind w:left="0"/>
            </w:pPr>
            <w:r>
              <w:t>Canada</w:t>
            </w:r>
          </w:p>
        </w:tc>
        <w:tc>
          <w:tcPr>
            <w:tcW w:w="1980" w:type="dxa"/>
          </w:tcPr>
          <w:p w14:paraId="5A483C9E" w14:textId="4832AC4C" w:rsidR="00164FAB" w:rsidRDefault="005D0FF3" w:rsidP="00164FAB">
            <w:pPr>
              <w:ind w:left="0"/>
            </w:pPr>
            <w:r>
              <w:t>August 2020</w:t>
            </w:r>
          </w:p>
        </w:tc>
        <w:tc>
          <w:tcPr>
            <w:tcW w:w="2160" w:type="dxa"/>
          </w:tcPr>
          <w:p w14:paraId="204A5C15" w14:textId="5B08B181" w:rsidR="00164FAB" w:rsidRDefault="005D0FF3" w:rsidP="00164FAB">
            <w:pPr>
              <w:ind w:left="0"/>
            </w:pPr>
            <w:r>
              <w:t>Under consideration</w:t>
            </w:r>
          </w:p>
        </w:tc>
        <w:tc>
          <w:tcPr>
            <w:tcW w:w="2490" w:type="dxa"/>
          </w:tcPr>
          <w:p w14:paraId="5FBB4D92" w14:textId="778E9028" w:rsidR="00164FAB" w:rsidRPr="00164FAB" w:rsidRDefault="005D0FF3" w:rsidP="00164FAB">
            <w:pPr>
              <w:ind w:left="0"/>
            </w:pPr>
            <w:r>
              <w:t>Under consideration</w:t>
            </w:r>
          </w:p>
        </w:tc>
      </w:tr>
    </w:tbl>
    <w:p w14:paraId="31362A9F" w14:textId="77777777" w:rsidR="008E7846" w:rsidRDefault="008E7846" w:rsidP="00940A89">
      <w:pPr>
        <w:pStyle w:val="Heading3"/>
      </w:pPr>
      <w:bookmarkStart w:id="22" w:name="_Toc71188735"/>
      <w:r>
        <w:t>Product Information</w:t>
      </w:r>
      <w:bookmarkEnd w:id="20"/>
      <w:bookmarkEnd w:id="21"/>
      <w:bookmarkEnd w:id="22"/>
    </w:p>
    <w:p w14:paraId="060DF513" w14:textId="5C1D5600"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607F8F2D" w14:textId="77777777" w:rsidR="00500337" w:rsidRDefault="00500337" w:rsidP="00500337">
      <w:pPr>
        <w:pStyle w:val="Heading2"/>
      </w:pPr>
      <w:bookmarkStart w:id="25" w:name="_Toc504480011"/>
      <w:bookmarkStart w:id="26" w:name="_Toc71188736"/>
      <w:r>
        <w:t>II. Registration timeline</w:t>
      </w:r>
      <w:bookmarkEnd w:id="25"/>
      <w:bookmarkEnd w:id="26"/>
    </w:p>
    <w:p w14:paraId="18A490CF" w14:textId="77777777" w:rsidR="00500337" w:rsidRDefault="00500337" w:rsidP="00500337">
      <w:r>
        <w:t>The following table captures the key steps and dates for this application and which are detailed and discussed in this AusPAR.</w:t>
      </w:r>
    </w:p>
    <w:p w14:paraId="7C541868" w14:textId="1A6AB756" w:rsidR="00500337" w:rsidRPr="00377BD4" w:rsidRDefault="00343B3D" w:rsidP="00FE688D">
      <w:pPr>
        <w:pStyle w:val="TableTitle"/>
      </w:pPr>
      <w:r w:rsidRPr="00343B3D">
        <w:t xml:space="preserve">Table </w:t>
      </w:r>
      <w:r>
        <w:fldChar w:fldCharType="begin"/>
      </w:r>
      <w:r>
        <w:instrText>SEQ Table \* ARABIC</w:instrText>
      </w:r>
      <w:r>
        <w:fldChar w:fldCharType="separate"/>
      </w:r>
      <w:r w:rsidR="000E4669">
        <w:rPr>
          <w:noProof/>
        </w:rPr>
        <w:t>2</w:t>
      </w:r>
      <w:r>
        <w:fldChar w:fldCharType="end"/>
      </w:r>
      <w:r w:rsidR="00006FAB">
        <w:t>:</w:t>
      </w:r>
      <w:r w:rsidR="006A58A8" w:rsidRPr="006A58A8">
        <w:t xml:space="preserve"> Timeline for Submission PM-20</w:t>
      </w:r>
      <w:r w:rsidR="002C11E5">
        <w:t>19-05980-1-5</w:t>
      </w:r>
    </w:p>
    <w:tbl>
      <w:tblPr>
        <w:tblStyle w:val="TableTGAblue"/>
        <w:tblW w:w="0" w:type="auto"/>
        <w:tblLook w:val="04A0" w:firstRow="1" w:lastRow="0" w:firstColumn="1" w:lastColumn="0" w:noHBand="0" w:noVBand="1"/>
      </w:tblPr>
      <w:tblGrid>
        <w:gridCol w:w="5807"/>
        <w:gridCol w:w="2687"/>
      </w:tblGrid>
      <w:tr w:rsidR="00500337" w14:paraId="61C9598F" w14:textId="77777777" w:rsidTr="006A7869">
        <w:trPr>
          <w:cnfStyle w:val="100000000000" w:firstRow="1" w:lastRow="0" w:firstColumn="0" w:lastColumn="0" w:oddVBand="0" w:evenVBand="0" w:oddHBand="0" w:evenHBand="0" w:firstRowFirstColumn="0" w:firstRowLastColumn="0" w:lastRowFirstColumn="0" w:lastRowLastColumn="0"/>
          <w:cantSplit/>
        </w:trPr>
        <w:tc>
          <w:tcPr>
            <w:tcW w:w="5807" w:type="dxa"/>
            <w:tcBorders>
              <w:top w:val="single" w:sz="4" w:space="0" w:color="auto"/>
              <w:left w:val="single" w:sz="4" w:space="0" w:color="auto"/>
              <w:bottom w:val="single" w:sz="4" w:space="0" w:color="auto"/>
              <w:right w:val="single" w:sz="4" w:space="0" w:color="auto"/>
            </w:tcBorders>
          </w:tcPr>
          <w:p w14:paraId="41394B5C" w14:textId="77777777" w:rsidR="00500337" w:rsidRDefault="00500337">
            <w:pPr>
              <w:ind w:left="0" w:right="0"/>
            </w:pPr>
            <w:r>
              <w:t>Description</w:t>
            </w:r>
          </w:p>
        </w:tc>
        <w:tc>
          <w:tcPr>
            <w:tcW w:w="2687" w:type="dxa"/>
            <w:tcBorders>
              <w:top w:val="single" w:sz="4" w:space="0" w:color="auto"/>
              <w:left w:val="single" w:sz="4" w:space="0" w:color="auto"/>
              <w:bottom w:val="single" w:sz="4" w:space="0" w:color="auto"/>
              <w:right w:val="single" w:sz="4" w:space="0" w:color="auto"/>
            </w:tcBorders>
          </w:tcPr>
          <w:p w14:paraId="4E0CF2BF" w14:textId="77777777" w:rsidR="00500337" w:rsidRDefault="00500337">
            <w:pPr>
              <w:ind w:left="0" w:right="0"/>
            </w:pPr>
            <w:r>
              <w:t>Date</w:t>
            </w:r>
          </w:p>
        </w:tc>
      </w:tr>
      <w:tr w:rsidR="00500337" w14:paraId="6BFB1193" w14:textId="77777777" w:rsidTr="006A7869">
        <w:tc>
          <w:tcPr>
            <w:tcW w:w="5807" w:type="dxa"/>
            <w:tcBorders>
              <w:top w:val="single" w:sz="4" w:space="0" w:color="auto"/>
            </w:tcBorders>
          </w:tcPr>
          <w:p w14:paraId="047DAA6E" w14:textId="77777777" w:rsidR="00500337" w:rsidRDefault="00500337" w:rsidP="006A7869">
            <w:pPr>
              <w:ind w:left="0" w:right="0"/>
            </w:pPr>
            <w:r>
              <w:t>Submission dossier accepted and first round evaluation commenced</w:t>
            </w:r>
          </w:p>
        </w:tc>
        <w:tc>
          <w:tcPr>
            <w:tcW w:w="2687" w:type="dxa"/>
            <w:tcBorders>
              <w:top w:val="single" w:sz="4" w:space="0" w:color="auto"/>
            </w:tcBorders>
          </w:tcPr>
          <w:p w14:paraId="63FFEB84" w14:textId="77777777" w:rsidR="00500337" w:rsidRDefault="002C11E5" w:rsidP="002A5B76">
            <w:pPr>
              <w:keepNext/>
              <w:ind w:left="0" w:right="0"/>
            </w:pPr>
            <w:r>
              <w:t>31 January 2020</w:t>
            </w:r>
          </w:p>
        </w:tc>
      </w:tr>
      <w:tr w:rsidR="00500337" w14:paraId="18CFC4BB" w14:textId="77777777" w:rsidTr="006A7869">
        <w:tc>
          <w:tcPr>
            <w:tcW w:w="5807" w:type="dxa"/>
          </w:tcPr>
          <w:p w14:paraId="19DE2074" w14:textId="77777777" w:rsidR="00500337" w:rsidRDefault="00500337" w:rsidP="006A7869">
            <w:pPr>
              <w:ind w:left="0" w:right="0"/>
            </w:pPr>
            <w:r>
              <w:t>First round evaluation completed</w:t>
            </w:r>
          </w:p>
        </w:tc>
        <w:tc>
          <w:tcPr>
            <w:tcW w:w="2687" w:type="dxa"/>
          </w:tcPr>
          <w:p w14:paraId="798FB2EA" w14:textId="77777777" w:rsidR="00500337" w:rsidRDefault="002C11E5" w:rsidP="002A5B76">
            <w:pPr>
              <w:keepNext/>
              <w:ind w:left="0" w:right="0"/>
            </w:pPr>
            <w:r>
              <w:t>30 June 2020</w:t>
            </w:r>
          </w:p>
        </w:tc>
      </w:tr>
      <w:tr w:rsidR="00500337" w14:paraId="7168B156" w14:textId="77777777" w:rsidTr="006A7869">
        <w:tc>
          <w:tcPr>
            <w:tcW w:w="5807" w:type="dxa"/>
          </w:tcPr>
          <w:p w14:paraId="75BAE803" w14:textId="77777777" w:rsidR="00500337" w:rsidRDefault="00500337" w:rsidP="00500337">
            <w:pPr>
              <w:ind w:left="0" w:right="0"/>
            </w:pPr>
            <w:r>
              <w:t>Sponsor provides responses on questions raised in first round evaluation</w:t>
            </w:r>
          </w:p>
        </w:tc>
        <w:tc>
          <w:tcPr>
            <w:tcW w:w="2687" w:type="dxa"/>
          </w:tcPr>
          <w:p w14:paraId="1E63B021" w14:textId="77777777" w:rsidR="00500337" w:rsidRDefault="002C11E5" w:rsidP="00500337">
            <w:pPr>
              <w:ind w:left="0" w:right="0"/>
            </w:pPr>
            <w:r>
              <w:t>2 November 2020</w:t>
            </w:r>
          </w:p>
        </w:tc>
      </w:tr>
      <w:tr w:rsidR="00500337" w14:paraId="51FC6A18" w14:textId="77777777" w:rsidTr="006A7869">
        <w:tc>
          <w:tcPr>
            <w:tcW w:w="5807" w:type="dxa"/>
          </w:tcPr>
          <w:p w14:paraId="586817CB" w14:textId="77777777" w:rsidR="00500337" w:rsidRDefault="00500337" w:rsidP="00500337">
            <w:pPr>
              <w:ind w:left="0" w:right="0"/>
            </w:pPr>
            <w:r>
              <w:t>Second round evaluation completed</w:t>
            </w:r>
          </w:p>
        </w:tc>
        <w:tc>
          <w:tcPr>
            <w:tcW w:w="2687" w:type="dxa"/>
          </w:tcPr>
          <w:p w14:paraId="2C65A1C9" w14:textId="77777777" w:rsidR="00500337" w:rsidRDefault="002C11E5" w:rsidP="00500337">
            <w:pPr>
              <w:ind w:left="0" w:right="0"/>
            </w:pPr>
            <w:r>
              <w:t>25 November 2020</w:t>
            </w:r>
          </w:p>
        </w:tc>
      </w:tr>
      <w:tr w:rsidR="00500337" w14:paraId="1AB63911" w14:textId="77777777" w:rsidTr="006A7869">
        <w:tc>
          <w:tcPr>
            <w:tcW w:w="5807" w:type="dxa"/>
          </w:tcPr>
          <w:p w14:paraId="5B7EFEE6" w14:textId="77777777" w:rsidR="00500337" w:rsidRDefault="00324E45" w:rsidP="002C11E5">
            <w:pPr>
              <w:ind w:left="0" w:right="0"/>
            </w:pPr>
            <w:r>
              <w:t xml:space="preserve">Delegate’s Overall benefit-risk assessment </w:t>
            </w:r>
            <w:r w:rsidRPr="002C11E5">
              <w:rPr>
                <w:color w:val="auto"/>
              </w:rPr>
              <w:t xml:space="preserve">and request for Advisory </w:t>
            </w:r>
            <w:r w:rsidR="002C11E5" w:rsidRPr="002C11E5">
              <w:rPr>
                <w:color w:val="auto"/>
              </w:rPr>
              <w:t>Committee advice</w:t>
            </w:r>
          </w:p>
        </w:tc>
        <w:tc>
          <w:tcPr>
            <w:tcW w:w="2687" w:type="dxa"/>
          </w:tcPr>
          <w:p w14:paraId="320591C6" w14:textId="77777777" w:rsidR="00500337" w:rsidRDefault="002C11E5" w:rsidP="00500337">
            <w:pPr>
              <w:ind w:left="0" w:right="0"/>
            </w:pPr>
            <w:r>
              <w:t>4 January 2021</w:t>
            </w:r>
          </w:p>
        </w:tc>
      </w:tr>
      <w:tr w:rsidR="00500337" w14:paraId="5CCF727B" w14:textId="77777777" w:rsidTr="006A7869">
        <w:tc>
          <w:tcPr>
            <w:tcW w:w="5807" w:type="dxa"/>
          </w:tcPr>
          <w:p w14:paraId="5BB7F660" w14:textId="77777777" w:rsidR="00500337" w:rsidRDefault="00500337" w:rsidP="00500337">
            <w:pPr>
              <w:ind w:left="0" w:right="0"/>
            </w:pPr>
            <w:r>
              <w:t>Sponsor’s pre-Advisory Committee response</w:t>
            </w:r>
          </w:p>
        </w:tc>
        <w:tc>
          <w:tcPr>
            <w:tcW w:w="2687" w:type="dxa"/>
          </w:tcPr>
          <w:p w14:paraId="3B73995E" w14:textId="77777777" w:rsidR="00500337" w:rsidRDefault="002C11E5" w:rsidP="00500337">
            <w:pPr>
              <w:ind w:left="0" w:right="0"/>
            </w:pPr>
            <w:r>
              <w:t>19 January 2021</w:t>
            </w:r>
          </w:p>
        </w:tc>
      </w:tr>
      <w:tr w:rsidR="00500337" w14:paraId="10061A76" w14:textId="77777777" w:rsidTr="006A7869">
        <w:tc>
          <w:tcPr>
            <w:tcW w:w="5807" w:type="dxa"/>
          </w:tcPr>
          <w:p w14:paraId="1D67AF87" w14:textId="77777777" w:rsidR="00500337" w:rsidRDefault="00500337" w:rsidP="00500337">
            <w:pPr>
              <w:ind w:left="0" w:right="0"/>
            </w:pPr>
            <w:r>
              <w:t>Advisory Committee meeting</w:t>
            </w:r>
          </w:p>
        </w:tc>
        <w:tc>
          <w:tcPr>
            <w:tcW w:w="2687" w:type="dxa"/>
          </w:tcPr>
          <w:p w14:paraId="2DC59587" w14:textId="77777777" w:rsidR="00500337" w:rsidRDefault="002C11E5" w:rsidP="00500337">
            <w:pPr>
              <w:ind w:left="0" w:right="0"/>
            </w:pPr>
            <w:r>
              <w:t>4 and 5 February 2021</w:t>
            </w:r>
          </w:p>
        </w:tc>
      </w:tr>
      <w:tr w:rsidR="00500337" w14:paraId="4A902ECD" w14:textId="77777777" w:rsidTr="006A7869">
        <w:tc>
          <w:tcPr>
            <w:tcW w:w="5807" w:type="dxa"/>
          </w:tcPr>
          <w:p w14:paraId="5531E01B" w14:textId="77777777" w:rsidR="00500337" w:rsidRDefault="00500337" w:rsidP="00500337">
            <w:pPr>
              <w:ind w:left="0" w:right="0"/>
            </w:pPr>
            <w:r>
              <w:t>Registration decision (Outcome)</w:t>
            </w:r>
          </w:p>
        </w:tc>
        <w:tc>
          <w:tcPr>
            <w:tcW w:w="2687" w:type="dxa"/>
          </w:tcPr>
          <w:p w14:paraId="756F5155" w14:textId="77777777" w:rsidR="00500337" w:rsidRDefault="002C11E5" w:rsidP="00500337">
            <w:pPr>
              <w:ind w:left="0" w:right="0"/>
            </w:pPr>
            <w:r>
              <w:t>12 March 2021</w:t>
            </w:r>
          </w:p>
        </w:tc>
      </w:tr>
      <w:tr w:rsidR="00500337" w14:paraId="43820691" w14:textId="77777777" w:rsidTr="006A7869">
        <w:tc>
          <w:tcPr>
            <w:tcW w:w="5807" w:type="dxa"/>
          </w:tcPr>
          <w:p w14:paraId="1860514E" w14:textId="77777777" w:rsidR="00500337" w:rsidRDefault="00500337" w:rsidP="00500337">
            <w:pPr>
              <w:ind w:left="0" w:right="0"/>
            </w:pPr>
            <w:r>
              <w:t xml:space="preserve">Completion of administrative activities and registration on </w:t>
            </w:r>
            <w:r w:rsidR="00006FAB">
              <w:t xml:space="preserve">the </w:t>
            </w:r>
            <w:r>
              <w:t>ARTG</w:t>
            </w:r>
          </w:p>
        </w:tc>
        <w:tc>
          <w:tcPr>
            <w:tcW w:w="2687" w:type="dxa"/>
          </w:tcPr>
          <w:p w14:paraId="421BE737" w14:textId="77777777" w:rsidR="00500337" w:rsidRDefault="002C11E5" w:rsidP="00500337">
            <w:pPr>
              <w:ind w:left="0" w:right="0"/>
            </w:pPr>
            <w:r w:rsidRPr="00A21C1F">
              <w:t>18 March 2021</w:t>
            </w:r>
          </w:p>
        </w:tc>
      </w:tr>
      <w:tr w:rsidR="00500337" w14:paraId="09E903EB" w14:textId="77777777" w:rsidTr="006A7869">
        <w:tc>
          <w:tcPr>
            <w:tcW w:w="5807" w:type="dxa"/>
          </w:tcPr>
          <w:p w14:paraId="6E42BD7E" w14:textId="77777777" w:rsidR="00500337" w:rsidRDefault="00500337" w:rsidP="00500337">
            <w:pPr>
              <w:ind w:left="0" w:right="0"/>
            </w:pPr>
            <w:r>
              <w:t>Number of working days from submission dossier acceptance to registration decision*</w:t>
            </w:r>
          </w:p>
        </w:tc>
        <w:tc>
          <w:tcPr>
            <w:tcW w:w="2687" w:type="dxa"/>
          </w:tcPr>
          <w:p w14:paraId="116C7C4B" w14:textId="77777777" w:rsidR="00500337" w:rsidRDefault="002C11E5" w:rsidP="00500337">
            <w:pPr>
              <w:ind w:left="0" w:right="0"/>
            </w:pPr>
            <w:r>
              <w:t>187</w:t>
            </w:r>
          </w:p>
        </w:tc>
      </w:tr>
    </w:tbl>
    <w:p w14:paraId="6D8F7E0B" w14:textId="77777777" w:rsidR="00FE688D" w:rsidRDefault="00500337" w:rsidP="0080141F">
      <w:pPr>
        <w:pStyle w:val="TableDescription"/>
      </w:pPr>
      <w:r>
        <w:t>*</w:t>
      </w:r>
      <w:r w:rsidR="00BF3774" w:rsidRPr="00BF3774">
        <w:t xml:space="preserve">Statutory </w:t>
      </w:r>
      <w:r>
        <w:t>timeframe for standard applications is 2</w:t>
      </w:r>
      <w:r w:rsidR="00BF3774">
        <w:t>55</w:t>
      </w:r>
      <w:r>
        <w:t xml:space="preserve"> working days</w:t>
      </w:r>
      <w:bookmarkStart w:id="27" w:name="_Toc196046504"/>
      <w:bookmarkStart w:id="28" w:name="_Toc247691527"/>
      <w:bookmarkStart w:id="29" w:name="_Toc314842510"/>
      <w:bookmarkStart w:id="30" w:name="_Toc163441390"/>
      <w:bookmarkEnd w:id="1"/>
      <w:bookmarkEnd w:id="23"/>
      <w:bookmarkEnd w:id="24"/>
    </w:p>
    <w:p w14:paraId="4B480A77" w14:textId="473C40D1" w:rsidR="008E7846" w:rsidRPr="00792A32" w:rsidRDefault="00456765" w:rsidP="002A5B76">
      <w:pPr>
        <w:pStyle w:val="Heading2"/>
      </w:pPr>
      <w:bookmarkStart w:id="31" w:name="_Toc71188737"/>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1"/>
    </w:p>
    <w:p w14:paraId="25C644A2" w14:textId="77777777" w:rsidR="00006FAB" w:rsidRDefault="00006FAB" w:rsidP="00006FAB">
      <w:bookmarkStart w:id="32" w:name="_Toc247691528"/>
      <w:r>
        <w:t>The submission was summarised in the following Delegate’s overview and recommendations.</w:t>
      </w:r>
    </w:p>
    <w:p w14:paraId="4243C6AE" w14:textId="77777777" w:rsidR="008E7846" w:rsidRDefault="008E7846" w:rsidP="008E7846">
      <w:pPr>
        <w:pStyle w:val="Heading3"/>
      </w:pPr>
      <w:bookmarkStart w:id="33" w:name="_Toc314842511"/>
      <w:bookmarkStart w:id="34" w:name="_Toc71188738"/>
      <w:r>
        <w:t>Quality</w:t>
      </w:r>
      <w:bookmarkEnd w:id="32"/>
      <w:bookmarkEnd w:id="33"/>
      <w:bookmarkEnd w:id="34"/>
    </w:p>
    <w:p w14:paraId="3D29D428" w14:textId="77777777" w:rsidR="00E45619" w:rsidRDefault="00006FAB" w:rsidP="00006FAB">
      <w:r>
        <w:t>There was no requirement for a quality evaluation in a submission of this type.</w:t>
      </w:r>
    </w:p>
    <w:p w14:paraId="08BCDF4C" w14:textId="77777777" w:rsidR="008E7846" w:rsidRDefault="008E7846" w:rsidP="008E7846">
      <w:pPr>
        <w:pStyle w:val="Heading3"/>
      </w:pPr>
      <w:bookmarkStart w:id="35" w:name="_Toc314842512"/>
      <w:bookmarkStart w:id="36" w:name="_Toc71188739"/>
      <w:r>
        <w:t>Nonclinical</w:t>
      </w:r>
      <w:bookmarkEnd w:id="35"/>
      <w:bookmarkEnd w:id="36"/>
    </w:p>
    <w:p w14:paraId="0C746DC2" w14:textId="6117EB25" w:rsidR="00E63990" w:rsidRPr="00E63990" w:rsidRDefault="00E63990" w:rsidP="00E63990">
      <w:bookmarkStart w:id="37" w:name="_Toc247691530"/>
      <w:bookmarkStart w:id="38" w:name="_Toc314842513"/>
      <w:r>
        <w:t xml:space="preserve">During </w:t>
      </w:r>
      <w:r w:rsidRPr="00E63990">
        <w:t xml:space="preserve">the evaluation, in response </w:t>
      </w:r>
      <w:r>
        <w:t>to recommendations made by the clinical e</w:t>
      </w:r>
      <w:r w:rsidRPr="00E63990">
        <w:t>valuator, the wording of the proposed indication was revised</w:t>
      </w:r>
      <w:r w:rsidR="00FE688D">
        <w:t xml:space="preserve"> to the following</w:t>
      </w:r>
      <w:r w:rsidRPr="00E63990">
        <w:t>:</w:t>
      </w:r>
    </w:p>
    <w:p w14:paraId="17116DEC" w14:textId="77777777" w:rsidR="00E63990" w:rsidRDefault="00E63990" w:rsidP="00E63990">
      <w:pPr>
        <w:ind w:left="720"/>
        <w:rPr>
          <w:i/>
        </w:rPr>
      </w:pPr>
      <w:proofErr w:type="spellStart"/>
      <w:r w:rsidRPr="00E63990">
        <w:rPr>
          <w:i/>
        </w:rPr>
        <w:t>Xolair</w:t>
      </w:r>
      <w:proofErr w:type="spellEnd"/>
      <w:r w:rsidRPr="00E63990">
        <w:rPr>
          <w:i/>
        </w:rPr>
        <w:t xml:space="preserve"> is indicated as add-on treatment in adult patients (18 years of age and above) for the treatment of </w:t>
      </w:r>
      <w:proofErr w:type="spellStart"/>
      <w:r w:rsidRPr="00E63990">
        <w:rPr>
          <w:i/>
        </w:rPr>
        <w:t>CRSwNP</w:t>
      </w:r>
      <w:proofErr w:type="spellEnd"/>
      <w:r w:rsidRPr="00E63990">
        <w:rPr>
          <w:i/>
        </w:rPr>
        <w:t xml:space="preserve"> [Chronic </w:t>
      </w:r>
      <w:proofErr w:type="spellStart"/>
      <w:r w:rsidRPr="00E63990">
        <w:rPr>
          <w:i/>
        </w:rPr>
        <w:t>rhinosinusitis</w:t>
      </w:r>
      <w:proofErr w:type="spellEnd"/>
      <w:r w:rsidRPr="00E63990">
        <w:rPr>
          <w:i/>
        </w:rPr>
        <w:t xml:space="preserve"> with nasal polyps] with inadequate response to intranasal corticosteroids and who have serum immunoglobulin E levels corresponding to the recommended dose range </w:t>
      </w:r>
      <w:r>
        <w:rPr>
          <w:i/>
        </w:rPr>
        <w:t>(see Dosage and Administration)</w:t>
      </w:r>
    </w:p>
    <w:p w14:paraId="3D7B516C" w14:textId="42F6539F" w:rsidR="00E63990" w:rsidRPr="00E63990" w:rsidRDefault="00E63990" w:rsidP="00E63990">
      <w:pPr>
        <w:rPr>
          <w:i/>
        </w:rPr>
      </w:pPr>
      <w:r>
        <w:t>A</w:t>
      </w:r>
      <w:r w:rsidRPr="00E63990">
        <w:t xml:space="preserve"> separate set of dosing instructions for the </w:t>
      </w:r>
      <w:r w:rsidR="00FE688D">
        <w:t>chr</w:t>
      </w:r>
      <w:r w:rsidR="004C0CFB">
        <w:t xml:space="preserve">onic </w:t>
      </w:r>
      <w:proofErr w:type="spellStart"/>
      <w:r w:rsidR="004C0CFB">
        <w:t>rhinosinusitis</w:t>
      </w:r>
      <w:proofErr w:type="spellEnd"/>
      <w:r w:rsidR="004C0CFB">
        <w:t xml:space="preserve"> with nasal</w:t>
      </w:r>
      <w:r w:rsidR="00FE688D">
        <w:t xml:space="preserve"> polyps</w:t>
      </w:r>
      <w:r w:rsidRPr="00E63990">
        <w:t xml:space="preserve"> indication was removed from the proposed </w:t>
      </w:r>
      <w:r w:rsidR="00FE688D">
        <w:t>PI</w:t>
      </w:r>
      <w:r w:rsidRPr="00E63990">
        <w:t xml:space="preserve"> document so that dose levels now match those approved for allergic asthma.</w:t>
      </w:r>
    </w:p>
    <w:p w14:paraId="61A91D0C" w14:textId="5C1A9273" w:rsidR="00E63990" w:rsidRDefault="00E63990" w:rsidP="00E63990">
      <w:pPr>
        <w:rPr>
          <w:b/>
          <w:bCs/>
        </w:rPr>
      </w:pPr>
      <w:r w:rsidRPr="00E63990">
        <w:t xml:space="preserve">With the maximum recommended clinical dose now unchanged, </w:t>
      </w:r>
      <w:r w:rsidR="00FE688D">
        <w:t xml:space="preserve">the </w:t>
      </w:r>
      <w:r w:rsidRPr="00E63990">
        <w:t xml:space="preserve">revised nonclinical risk assessment is no longer required. No nonclinical data specifically relating to efficacy in the proposed new indication were submitted (in the current application or previous ones). This is acceptable; </w:t>
      </w:r>
      <w:r w:rsidR="00FE688D">
        <w:t xml:space="preserve">the </w:t>
      </w:r>
      <w:r w:rsidRPr="00E63990">
        <w:t>efficacy assessment for the new indication will rely on clinical data only.</w:t>
      </w:r>
    </w:p>
    <w:p w14:paraId="336AD833" w14:textId="35B7A7B2" w:rsidR="008E7846" w:rsidRDefault="008E7846" w:rsidP="00E63990">
      <w:pPr>
        <w:pStyle w:val="Heading3"/>
      </w:pPr>
      <w:bookmarkStart w:id="39" w:name="_Toc71188740"/>
      <w:r>
        <w:t>Clinical</w:t>
      </w:r>
      <w:bookmarkEnd w:id="37"/>
      <w:bookmarkEnd w:id="38"/>
      <w:bookmarkEnd w:id="39"/>
    </w:p>
    <w:p w14:paraId="24F4F95E" w14:textId="2CE93069" w:rsidR="007B6132" w:rsidRDefault="00006FAB" w:rsidP="00366E37">
      <w:bookmarkStart w:id="40" w:name="_Toc314842514"/>
      <w:r w:rsidRPr="00006FAB">
        <w:t>The clinical dossier consisted</w:t>
      </w:r>
      <w:r w:rsidR="00366E37">
        <w:t xml:space="preserve"> of</w:t>
      </w:r>
      <w:r w:rsidR="00FE688D">
        <w:t>:</w:t>
      </w:r>
    </w:p>
    <w:p w14:paraId="650F40A5" w14:textId="29706272" w:rsidR="00366E37" w:rsidRPr="00366E37" w:rsidRDefault="00FE688D" w:rsidP="00366E37">
      <w:pPr>
        <w:pStyle w:val="ListBullet"/>
      </w:pPr>
      <w:r>
        <w:t>t</w:t>
      </w:r>
      <w:r w:rsidR="00366E37" w:rsidRPr="00366E37">
        <w:t>wo pivotal Phase III studies, Study GA39688 and Study GA39855</w:t>
      </w:r>
      <w:r>
        <w:t>;</w:t>
      </w:r>
    </w:p>
    <w:p w14:paraId="152FEE4F" w14:textId="57966807" w:rsidR="00366E37" w:rsidRDefault="00FE688D" w:rsidP="00366E37">
      <w:pPr>
        <w:pStyle w:val="ListBullet"/>
      </w:pPr>
      <w:r>
        <w:t xml:space="preserve">safety </w:t>
      </w:r>
      <w:r w:rsidR="00366E37">
        <w:t>data from an interim analysis of a Phase I</w:t>
      </w:r>
      <w:r w:rsidR="00055FC5">
        <w:t>I</w:t>
      </w:r>
      <w:r w:rsidR="00366E37">
        <w:t>I open label extension study, Study WA40169</w:t>
      </w:r>
      <w:r>
        <w:t>;</w:t>
      </w:r>
    </w:p>
    <w:p w14:paraId="6AD6038B" w14:textId="771BB8F1" w:rsidR="00366E37" w:rsidRDefault="00FE688D" w:rsidP="00366E37">
      <w:pPr>
        <w:pStyle w:val="ListBullet"/>
      </w:pPr>
      <w:r>
        <w:t xml:space="preserve">an </w:t>
      </w:r>
      <w:r w:rsidR="00C87429">
        <w:t>exposure-response and free</w:t>
      </w:r>
      <w:r>
        <w:noBreakHyphen/>
      </w:r>
      <w:proofErr w:type="spellStart"/>
      <w:r w:rsidR="00C87429">
        <w:t>IgE</w:t>
      </w:r>
      <w:proofErr w:type="spellEnd"/>
      <w:r w:rsidR="00C87429">
        <w:t xml:space="preserve"> </w:t>
      </w:r>
      <w:r w:rsidR="00366E37">
        <w:t xml:space="preserve">response analysis of </w:t>
      </w:r>
      <w:proofErr w:type="spellStart"/>
      <w:r w:rsidR="00366E37">
        <w:t>omalizumab</w:t>
      </w:r>
      <w:proofErr w:type="spellEnd"/>
      <w:r w:rsidR="00366E37">
        <w:t xml:space="preserve"> in nasal polyps</w:t>
      </w:r>
      <w:r>
        <w:t>; and</w:t>
      </w:r>
    </w:p>
    <w:p w14:paraId="2F52EA34" w14:textId="65AB6F67" w:rsidR="00366E37" w:rsidRDefault="00FE688D" w:rsidP="00366E37">
      <w:pPr>
        <w:pStyle w:val="ListBullet"/>
      </w:pPr>
      <w:r>
        <w:t>a</w:t>
      </w:r>
      <w:r w:rsidR="00366E37" w:rsidRPr="00366E37">
        <w:t xml:space="preserve"> prospective observational study of the use of </w:t>
      </w:r>
      <w:proofErr w:type="spellStart"/>
      <w:r w:rsidR="00366E37" w:rsidRPr="00366E37">
        <w:t>omalizumab</w:t>
      </w:r>
      <w:proofErr w:type="spellEnd"/>
      <w:r w:rsidR="00366E37" w:rsidRPr="00366E37">
        <w:t xml:space="preserve"> in pregnant women, the EXPECT </w:t>
      </w:r>
      <w:r w:rsidR="00366E37">
        <w:t>trial</w:t>
      </w:r>
      <w:r>
        <w:t>,</w:t>
      </w:r>
      <w:r w:rsidR="00366E37">
        <w:t xml:space="preserve"> for the PI</w:t>
      </w:r>
      <w:r w:rsidR="00366E37" w:rsidRPr="00366E37">
        <w:t xml:space="preserve"> update</w:t>
      </w:r>
      <w:r>
        <w:t>.</w:t>
      </w:r>
    </w:p>
    <w:p w14:paraId="1AEF865D" w14:textId="77777777" w:rsidR="00366E37" w:rsidRDefault="00366E37" w:rsidP="00366E37">
      <w:pPr>
        <w:pStyle w:val="Heading4"/>
      </w:pPr>
      <w:r>
        <w:t>Pharmacology</w:t>
      </w:r>
    </w:p>
    <w:p w14:paraId="72025D79" w14:textId="77777777" w:rsidR="00366E37" w:rsidRDefault="00366E37" w:rsidP="00366E37">
      <w:pPr>
        <w:pStyle w:val="Heading5"/>
      </w:pPr>
      <w:r>
        <w:t>Pharmacokinetics</w:t>
      </w:r>
    </w:p>
    <w:p w14:paraId="29E65CBB" w14:textId="1522070D" w:rsidR="00FE688D" w:rsidRDefault="00366E37" w:rsidP="00190A6E">
      <w:r>
        <w:t xml:space="preserve">There </w:t>
      </w:r>
      <w:r w:rsidR="00FE688D">
        <w:t>are</w:t>
      </w:r>
      <w:r>
        <w:t xml:space="preserve"> limited </w:t>
      </w:r>
      <w:r w:rsidR="00190A6E">
        <w:t>pharmacokinetics (</w:t>
      </w:r>
      <w:r>
        <w:t>PK</w:t>
      </w:r>
      <w:r w:rsidR="00190A6E">
        <w:t>)</w:t>
      </w:r>
      <w:r>
        <w:t xml:space="preserve"> investigations of the use of </w:t>
      </w:r>
      <w:proofErr w:type="spellStart"/>
      <w:r>
        <w:t>omalizumab</w:t>
      </w:r>
      <w:proofErr w:type="spellEnd"/>
      <w:r>
        <w:t xml:space="preserve"> in the treatment of patients with </w:t>
      </w:r>
      <w:r w:rsidR="00FE688D">
        <w:t xml:space="preserve">chronic </w:t>
      </w:r>
      <w:proofErr w:type="spellStart"/>
      <w:r w:rsidR="00FE688D">
        <w:t>rhinosinusitis</w:t>
      </w:r>
      <w:proofErr w:type="spellEnd"/>
      <w:r w:rsidR="00FE688D">
        <w:t xml:space="preserve"> with nasal polyps</w:t>
      </w:r>
      <w:r>
        <w:t xml:space="preserve">. Although exposure-response </w:t>
      </w:r>
      <w:r w:rsidR="00190A6E">
        <w:t>analyses were conducted in the P</w:t>
      </w:r>
      <w:r>
        <w:t>hase III studies, there were uncertainties about the appropriate posology for the newly proposed indication.</w:t>
      </w:r>
    </w:p>
    <w:p w14:paraId="5FC8D3EE" w14:textId="4C48385B" w:rsidR="00366E37" w:rsidRDefault="00366E37" w:rsidP="00190A6E">
      <w:r>
        <w:t xml:space="preserve">Overall, the </w:t>
      </w:r>
      <w:r w:rsidR="00FE688D">
        <w:t xml:space="preserve">PK </w:t>
      </w:r>
      <w:r>
        <w:t xml:space="preserve">and </w:t>
      </w:r>
      <w:r w:rsidR="00FE688D">
        <w:t>pharmacodynamics (PD)</w:t>
      </w:r>
      <w:r>
        <w:t xml:space="preserve"> effect of </w:t>
      </w:r>
      <w:proofErr w:type="spellStart"/>
      <w:r>
        <w:t>omalizumab</w:t>
      </w:r>
      <w:proofErr w:type="spellEnd"/>
      <w:r>
        <w:t xml:space="preserve"> appears to be adequately characterised and does not appear to be different in subjects with nasal polyps compared to subjects with allergic asthma (this has been adequately reflected in the PI).</w:t>
      </w:r>
    </w:p>
    <w:p w14:paraId="36773DBC" w14:textId="77777777" w:rsidR="00366E37" w:rsidRDefault="00366E37" w:rsidP="00542203">
      <w:pPr>
        <w:pStyle w:val="Heading5"/>
      </w:pPr>
      <w:r>
        <w:t>Pharmacodynamics</w:t>
      </w:r>
    </w:p>
    <w:p w14:paraId="17881AD5" w14:textId="41F633E0" w:rsidR="00366E37" w:rsidRDefault="00366E37" w:rsidP="00190A6E">
      <w:r>
        <w:t xml:space="preserve">The </w:t>
      </w:r>
      <w:r w:rsidR="00190A6E">
        <w:t>PD</w:t>
      </w:r>
      <w:r>
        <w:t xml:space="preserve"> data from the two clinical studies demonstrate that </w:t>
      </w:r>
      <w:proofErr w:type="spellStart"/>
      <w:r>
        <w:t>omalizumab</w:t>
      </w:r>
      <w:proofErr w:type="spellEnd"/>
      <w:r>
        <w:t xml:space="preserve"> dosing according to the dosing table using baseline </w:t>
      </w:r>
      <w:proofErr w:type="spellStart"/>
      <w:r>
        <w:t>IgE</w:t>
      </w:r>
      <w:proofErr w:type="spellEnd"/>
      <w:r>
        <w:t xml:space="preserve"> level and body weight was effective in reducing free </w:t>
      </w:r>
      <w:proofErr w:type="spellStart"/>
      <w:r>
        <w:t>IgE</w:t>
      </w:r>
      <w:proofErr w:type="spellEnd"/>
      <w:r>
        <w:t xml:space="preserve"> serum concentration during treatment. Using the proposed posology (based on weight and baseline </w:t>
      </w:r>
      <w:proofErr w:type="spellStart"/>
      <w:r>
        <w:t>IgE</w:t>
      </w:r>
      <w:proofErr w:type="spellEnd"/>
      <w:r>
        <w:t xml:space="preserve">), free </w:t>
      </w:r>
      <w:proofErr w:type="spellStart"/>
      <w:r>
        <w:t>IgE</w:t>
      </w:r>
      <w:proofErr w:type="spellEnd"/>
      <w:r>
        <w:t xml:space="preserve"> suppression at 24 weeks was achieved in 93</w:t>
      </w:r>
      <w:r w:rsidR="00190A6E">
        <w:t>.0% of the subjects on active. S</w:t>
      </w:r>
      <w:r>
        <w:t xml:space="preserve">light positive trend between </w:t>
      </w:r>
      <w:proofErr w:type="spellStart"/>
      <w:r>
        <w:t>omalizumab</w:t>
      </w:r>
      <w:proofErr w:type="spellEnd"/>
      <w:r>
        <w:t xml:space="preserve"> concentration and </w:t>
      </w:r>
      <w:r w:rsidR="00271407">
        <w:t>Nasal Polyp Score (NPS)</w:t>
      </w:r>
      <w:r>
        <w:t xml:space="preserve"> response is observed with the lowest concentration </w:t>
      </w:r>
      <w:proofErr w:type="spellStart"/>
      <w:r>
        <w:t>tertile</w:t>
      </w:r>
      <w:proofErr w:type="spellEnd"/>
      <w:r>
        <w:t xml:space="preserve"> group, however, a clear trend betwee</w:t>
      </w:r>
      <w:r w:rsidR="00190A6E">
        <w:t>n the W</w:t>
      </w:r>
      <w:r>
        <w:t xml:space="preserve">eek 24 </w:t>
      </w:r>
      <w:proofErr w:type="spellStart"/>
      <w:r>
        <w:t>omalizumab</w:t>
      </w:r>
      <w:proofErr w:type="spellEnd"/>
      <w:r>
        <w:t xml:space="preserve"> concentration, or</w:t>
      </w:r>
      <w:r w:rsidR="00190A6E">
        <w:t xml:space="preserve"> free </w:t>
      </w:r>
      <w:proofErr w:type="spellStart"/>
      <w:r w:rsidR="00190A6E">
        <w:t>IgE</w:t>
      </w:r>
      <w:proofErr w:type="spellEnd"/>
      <w:r w:rsidR="00190A6E">
        <w:t>, and the change from B</w:t>
      </w:r>
      <w:r>
        <w:t>aseline in efficacy endpoints is not observed.</w:t>
      </w:r>
    </w:p>
    <w:p w14:paraId="5B7A266F" w14:textId="77777777" w:rsidR="00366E37" w:rsidRDefault="00366E37" w:rsidP="00190A6E">
      <w:pPr>
        <w:pStyle w:val="Heading4"/>
      </w:pPr>
      <w:r>
        <w:t>Efficacy</w:t>
      </w:r>
    </w:p>
    <w:p w14:paraId="78214DFB" w14:textId="3FB22EFC" w:rsidR="00366E37" w:rsidRDefault="00190A6E" w:rsidP="00190A6E">
      <w:r>
        <w:t>The clinical development p</w:t>
      </w:r>
      <w:r w:rsidR="00366E37">
        <w:t xml:space="preserve">lan for the proposed indication of the treatment of patients with </w:t>
      </w:r>
      <w:r w:rsidR="00271407">
        <w:t xml:space="preserve">chronic </w:t>
      </w:r>
      <w:proofErr w:type="spellStart"/>
      <w:r w:rsidR="00271407">
        <w:t>rhinosinusitis</w:t>
      </w:r>
      <w:proofErr w:type="spellEnd"/>
      <w:r w:rsidR="00271407">
        <w:t xml:space="preserve"> with nasal polyps</w:t>
      </w:r>
      <w:r w:rsidR="00366E37">
        <w:t xml:space="preserve"> did not include dose finding studies. Only one dosing regimen (the regimen approved by the </w:t>
      </w:r>
      <w:r w:rsidR="00552A73" w:rsidRPr="0016349F">
        <w:t>European Medicines Agency</w:t>
      </w:r>
      <w:r w:rsidR="00552A73">
        <w:t xml:space="preserve"> (</w:t>
      </w:r>
      <w:r w:rsidR="00366E37">
        <w:t>EMA</w:t>
      </w:r>
      <w:r w:rsidR="00552A73">
        <w:t>)</w:t>
      </w:r>
      <w:r w:rsidR="00366E37">
        <w:t xml:space="preserve"> for use in </w:t>
      </w:r>
      <w:r>
        <w:t>severe asthma) was used in the two</w:t>
      </w:r>
      <w:r w:rsidR="00366E37">
        <w:t xml:space="preserve"> clinical studies. Since the P</w:t>
      </w:r>
      <w:r w:rsidR="0022000B">
        <w:t xml:space="preserve">hase </w:t>
      </w:r>
      <w:r w:rsidR="00366E37">
        <w:t xml:space="preserve">III studies were to be conducted in adult patients and nasal polyps rarely occurs in patients less than 18 years of age, the posology of </w:t>
      </w:r>
      <w:proofErr w:type="spellStart"/>
      <w:r w:rsidR="00366E37">
        <w:t>omalizumab</w:t>
      </w:r>
      <w:proofErr w:type="spellEnd"/>
      <w:r w:rsidR="00366E37">
        <w:t xml:space="preserve"> used in these two nasal polyp studies was adopted from the allergic asthma dosing table by excluding cells of which the bodyweight is less than 30 kg.</w:t>
      </w:r>
    </w:p>
    <w:p w14:paraId="5C516235" w14:textId="55CA2D58" w:rsidR="00271407" w:rsidRDefault="00271407" w:rsidP="002A5B76">
      <w:pPr>
        <w:pStyle w:val="Heading5"/>
      </w:pPr>
      <w:r>
        <w:t>Study GA39688 and Study 39855</w:t>
      </w:r>
    </w:p>
    <w:p w14:paraId="30B99856" w14:textId="3AA88658" w:rsidR="00366E37" w:rsidRDefault="00366E37" w:rsidP="00190A6E">
      <w:r>
        <w:t>Studies GA39688 a</w:t>
      </w:r>
      <w:r w:rsidR="00190A6E">
        <w:t xml:space="preserve">nd GA39855 were replicate Phase </w:t>
      </w:r>
      <w:r w:rsidR="0022000B">
        <w:t>III, randomis</w:t>
      </w:r>
      <w:r>
        <w:t>ed, multicentre, double-blind, placebo-controlled, clinical studies that were conducted in parallel with identical study designs</w:t>
      </w:r>
      <w:r w:rsidR="002220BA">
        <w:t xml:space="preserve"> (</w:t>
      </w:r>
      <w:r w:rsidR="00271407">
        <w:t xml:space="preserve">as shown in </w:t>
      </w:r>
      <w:r w:rsidR="002220BA">
        <w:fldChar w:fldCharType="begin"/>
      </w:r>
      <w:r w:rsidR="002220BA">
        <w:instrText xml:space="preserve"> REF _Ref67642777 \h </w:instrText>
      </w:r>
      <w:r w:rsidR="002220BA">
        <w:fldChar w:fldCharType="separate"/>
      </w:r>
      <w:r w:rsidR="000E4669" w:rsidRPr="00216D12">
        <w:t xml:space="preserve">Figure </w:t>
      </w:r>
      <w:r w:rsidR="000E4669">
        <w:rPr>
          <w:noProof/>
        </w:rPr>
        <w:t>2</w:t>
      </w:r>
      <w:r w:rsidR="002220BA">
        <w:fldChar w:fldCharType="end"/>
      </w:r>
      <w:r w:rsidR="00271407">
        <w:t>, below</w:t>
      </w:r>
      <w:r w:rsidR="002220BA">
        <w:t>)</w:t>
      </w:r>
      <w:r>
        <w:t>. They were conducted concurrently across different sites in 15 countries across Europe and North America. Each study was designed to enrol approximately 120 adult patients with nasal polyps who had an inadequate response to standard of care treatments (daily treatment with intr</w:t>
      </w:r>
      <w:r w:rsidR="00190A6E">
        <w:t>anasal corticosteroid therapy).</w:t>
      </w:r>
    </w:p>
    <w:p w14:paraId="5B15E259" w14:textId="1F63D37A" w:rsidR="00366E37" w:rsidRDefault="00216D12" w:rsidP="00216D12">
      <w:pPr>
        <w:pStyle w:val="FigureTitle"/>
      </w:pPr>
      <w:bookmarkStart w:id="41" w:name="_Ref67642777"/>
      <w:r w:rsidRPr="00216D12">
        <w:t xml:space="preserve">Figure </w:t>
      </w:r>
      <w:r>
        <w:fldChar w:fldCharType="begin"/>
      </w:r>
      <w:r>
        <w:instrText>SEQ Figure \* ARABIC</w:instrText>
      </w:r>
      <w:r>
        <w:fldChar w:fldCharType="separate"/>
      </w:r>
      <w:r w:rsidR="000E4669">
        <w:rPr>
          <w:noProof/>
        </w:rPr>
        <w:t>2</w:t>
      </w:r>
      <w:r>
        <w:fldChar w:fldCharType="end"/>
      </w:r>
      <w:bookmarkEnd w:id="41"/>
      <w:r w:rsidRPr="00216D12">
        <w:t>:</w:t>
      </w:r>
      <w:r>
        <w:t xml:space="preserve"> S</w:t>
      </w:r>
      <w:r w:rsidRPr="008C2099">
        <w:t>tudies GA39688 and GA39855</w:t>
      </w:r>
      <w:r>
        <w:t xml:space="preserve"> study design</w:t>
      </w:r>
    </w:p>
    <w:p w14:paraId="719958A1" w14:textId="77777777" w:rsidR="00216D12" w:rsidRDefault="00216D12" w:rsidP="00216D12">
      <w:r w:rsidRPr="008C2099">
        <w:rPr>
          <w:rFonts w:asciiTheme="minorHAnsi" w:hAnsiTheme="minorHAnsi"/>
          <w:noProof/>
          <w:lang w:eastAsia="en-AU"/>
        </w:rPr>
        <w:drawing>
          <wp:inline distT="0" distB="0" distL="0" distR="0" wp14:anchorId="6C845121" wp14:editId="7721E4BA">
            <wp:extent cx="5072933" cy="1712839"/>
            <wp:effectExtent l="0" t="0" r="0" b="1905"/>
            <wp:docPr id="7" name="Picture 7" descr="Studies GA39688 and GA39855 study design. The treatment period is 24 weeks with a 5 week run in period. Participants are randomised at ratio of 1:1. Omalizumabe and placebo group are treated twice a week or four times per week. Endoscopy is performed during screening visit and 4, 8, 16 and 24 weeks during treatment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62" t="3844" r="15289" b="8196"/>
                    <a:stretch/>
                  </pic:blipFill>
                  <pic:spPr bwMode="auto">
                    <a:xfrm>
                      <a:off x="0" y="0"/>
                      <a:ext cx="5084234" cy="1716655"/>
                    </a:xfrm>
                    <a:prstGeom prst="rect">
                      <a:avLst/>
                    </a:prstGeom>
                    <a:noFill/>
                    <a:ln>
                      <a:noFill/>
                    </a:ln>
                    <a:extLst>
                      <a:ext uri="{53640926-AAD7-44D8-BBD7-CCE9431645EC}">
                        <a14:shadowObscured xmlns:a14="http://schemas.microsoft.com/office/drawing/2010/main"/>
                      </a:ext>
                    </a:extLst>
                  </pic:spPr>
                </pic:pic>
              </a:graphicData>
            </a:graphic>
          </wp:inline>
        </w:drawing>
      </w:r>
    </w:p>
    <w:p w14:paraId="22EA12B3" w14:textId="77777777" w:rsidR="00216D12" w:rsidRDefault="00216D12" w:rsidP="006A7869">
      <w:pPr>
        <w:pStyle w:val="FigureDescription"/>
      </w:pPr>
      <w:r w:rsidRPr="00216D12">
        <w:t xml:space="preserve">1°EP = co-primary end point; Q2W = every 2 weeks; Q4W = every 4 weeks; SFU = safety follow-up; </w:t>
      </w:r>
      <w:proofErr w:type="spellStart"/>
      <w:r w:rsidRPr="00216D12">
        <w:t>wk</w:t>
      </w:r>
      <w:proofErr w:type="spellEnd"/>
      <w:r w:rsidRPr="00216D12">
        <w:t xml:space="preserve"> = week. Note: All patients were treated during the entire study with intranasal corticosteroids (mometasone nasal spray) as background therapy.</w:t>
      </w:r>
    </w:p>
    <w:p w14:paraId="08DC1A66" w14:textId="195F1B21" w:rsidR="00216D12" w:rsidRPr="00271407" w:rsidRDefault="00271407" w:rsidP="00271407">
      <w:r>
        <w:t>The c</w:t>
      </w:r>
      <w:r w:rsidR="00216D12" w:rsidRPr="00271407">
        <w:t>o-primary efficacy endpoints</w:t>
      </w:r>
      <w:r>
        <w:t xml:space="preserve"> were</w:t>
      </w:r>
      <w:r w:rsidR="00216D12" w:rsidRPr="00271407">
        <w:t>:</w:t>
      </w:r>
    </w:p>
    <w:p w14:paraId="7EED6576" w14:textId="6B90BCBC" w:rsidR="00216D12" w:rsidRDefault="00216D12" w:rsidP="00216D12">
      <w:pPr>
        <w:pStyle w:val="ListBullet"/>
      </w:pPr>
      <w:r>
        <w:t xml:space="preserve">the change </w:t>
      </w:r>
      <w:r w:rsidR="007028FB">
        <w:t>from Baseline</w:t>
      </w:r>
      <w:r>
        <w:t xml:space="preserve"> at Week 24 in Nasal Polyp Score (NPS)</w:t>
      </w:r>
      <w:r w:rsidR="008E2D9D">
        <w:t>; and</w:t>
      </w:r>
    </w:p>
    <w:p w14:paraId="745A58B9" w14:textId="4AFAB847" w:rsidR="00216D12" w:rsidRDefault="00216D12" w:rsidP="00216D12">
      <w:pPr>
        <w:pStyle w:val="ListBullet"/>
      </w:pPr>
      <w:r>
        <w:t xml:space="preserve">the change </w:t>
      </w:r>
      <w:r w:rsidR="007028FB">
        <w:t>from Baseline</w:t>
      </w:r>
      <w:r>
        <w:t xml:space="preserve"> at Week 24 in average daily Nasal Congestion Score (NCS), averaged over the prior 7 days</w:t>
      </w:r>
      <w:r w:rsidR="008E2D9D">
        <w:t>.</w:t>
      </w:r>
    </w:p>
    <w:p w14:paraId="490AB0F6" w14:textId="5E67F407" w:rsidR="00216D12" w:rsidRDefault="008E2D9D" w:rsidP="00216D12">
      <w:r>
        <w:t xml:space="preserve">The </w:t>
      </w:r>
      <w:r w:rsidR="00216D12">
        <w:t xml:space="preserve">Nasal </w:t>
      </w:r>
      <w:r>
        <w:t>P</w:t>
      </w:r>
      <w:r w:rsidR="00216D12">
        <w:t xml:space="preserve">olyp </w:t>
      </w:r>
      <w:r>
        <w:t>S</w:t>
      </w:r>
      <w:r w:rsidR="00216D12">
        <w:t xml:space="preserve">core is </w:t>
      </w:r>
      <w:r>
        <w:t>performed</w:t>
      </w:r>
      <w:r w:rsidR="00216D12">
        <w:t xml:space="preserve"> with intranasal endoscopy</w:t>
      </w:r>
      <w:r>
        <w:t>,</w:t>
      </w:r>
      <w:r w:rsidR="00216D12">
        <w:t xml:space="preserve"> and </w:t>
      </w:r>
      <w:r>
        <w:t xml:space="preserve">the </w:t>
      </w:r>
      <w:r w:rsidR="00216D12">
        <w:t xml:space="preserve">right and left </w:t>
      </w:r>
      <w:r>
        <w:t>nostrils</w:t>
      </w:r>
      <w:r w:rsidR="00216D12">
        <w:t xml:space="preserve"> are assessed separately on a scale from 0 to 4 (total maximum 8).</w:t>
      </w:r>
    </w:p>
    <w:p w14:paraId="3A339BAB" w14:textId="21680668" w:rsidR="00216D12" w:rsidRDefault="008E2D9D" w:rsidP="00216D12">
      <w:r>
        <w:t>The n</w:t>
      </w:r>
      <w:r w:rsidR="00216D12">
        <w:t>asal congestion score (0 to 3) is based on daily patient reports using the mean value of the last 7 days.</w:t>
      </w:r>
    </w:p>
    <w:p w14:paraId="68E7C1D7" w14:textId="56649F82" w:rsidR="00216D12" w:rsidRPr="00271407" w:rsidRDefault="00271407" w:rsidP="00271407">
      <w:r w:rsidRPr="00271407">
        <w:t>The s</w:t>
      </w:r>
      <w:r w:rsidR="00216D12" w:rsidRPr="00271407">
        <w:t xml:space="preserve">econdary </w:t>
      </w:r>
      <w:r w:rsidRPr="00271407">
        <w:t>e</w:t>
      </w:r>
      <w:r w:rsidR="00216D12" w:rsidRPr="00271407">
        <w:t xml:space="preserve">fficacy </w:t>
      </w:r>
      <w:r w:rsidRPr="00271407">
        <w:t>e</w:t>
      </w:r>
      <w:r w:rsidR="00216D12" w:rsidRPr="00271407">
        <w:t>ndpoints</w:t>
      </w:r>
      <w:r w:rsidRPr="00271407">
        <w:t xml:space="preserve"> included</w:t>
      </w:r>
      <w:r w:rsidR="00216D12" w:rsidRPr="00271407">
        <w:t>:</w:t>
      </w:r>
    </w:p>
    <w:p w14:paraId="43EDE539" w14:textId="76E4A448" w:rsidR="00271407" w:rsidRDefault="00216D12" w:rsidP="00216D12">
      <w:pPr>
        <w:pStyle w:val="ListBullet"/>
      </w:pPr>
      <w:r>
        <w:t xml:space="preserve">change </w:t>
      </w:r>
      <w:r w:rsidR="007028FB">
        <w:t>from Baseline to W</w:t>
      </w:r>
      <w:r>
        <w:t>eek 24 in</w:t>
      </w:r>
      <w:r w:rsidR="008E2D9D">
        <w:t xml:space="preserve"> the</w:t>
      </w:r>
      <w:r>
        <w:t>:</w:t>
      </w:r>
    </w:p>
    <w:p w14:paraId="4AF5DAE2" w14:textId="4A1440D8" w:rsidR="00271407" w:rsidRDefault="008E2D9D" w:rsidP="002A5B76">
      <w:pPr>
        <w:pStyle w:val="ListBullet2"/>
      </w:pPr>
      <w:r>
        <w:t>a</w:t>
      </w:r>
      <w:r w:rsidR="00216D12">
        <w:t xml:space="preserve">verage </w:t>
      </w:r>
      <w:r>
        <w:t>d</w:t>
      </w:r>
      <w:r w:rsidR="00216D12">
        <w:t>aily Total Nasal Symptom Score (TNSS)</w:t>
      </w:r>
      <w:r>
        <w:t>;</w:t>
      </w:r>
    </w:p>
    <w:p w14:paraId="22FD4C48" w14:textId="674BDEC5" w:rsidR="00271407" w:rsidRDefault="008E2D9D" w:rsidP="002A5B76">
      <w:pPr>
        <w:pStyle w:val="ListBullet2"/>
      </w:pPr>
      <w:r>
        <w:t>a</w:t>
      </w:r>
      <w:r w:rsidR="00216D12">
        <w:t>verage daily sense of smell;</w:t>
      </w:r>
    </w:p>
    <w:p w14:paraId="791CCAFE" w14:textId="3A325881" w:rsidR="00271407" w:rsidRDefault="008E2D9D" w:rsidP="002A5B76">
      <w:pPr>
        <w:pStyle w:val="ListBullet2"/>
      </w:pPr>
      <w:r>
        <w:t>a</w:t>
      </w:r>
      <w:r w:rsidR="00216D12">
        <w:t xml:space="preserve">verage daily </w:t>
      </w:r>
      <w:r>
        <w:t>p</w:t>
      </w:r>
      <w:r w:rsidR="00216D12">
        <w:t xml:space="preserve">osterior and </w:t>
      </w:r>
      <w:r>
        <w:t>a</w:t>
      </w:r>
      <w:r w:rsidR="00216D12">
        <w:t>nterior rhinorrhoea score;</w:t>
      </w:r>
    </w:p>
    <w:p w14:paraId="09F12BF8" w14:textId="765A68F9" w:rsidR="00271407" w:rsidRDefault="008E2D9D" w:rsidP="002A5B76">
      <w:pPr>
        <w:pStyle w:val="ListBullet2"/>
      </w:pPr>
      <w:r>
        <w:t xml:space="preserve">health related quality of </w:t>
      </w:r>
      <w:proofErr w:type="spellStart"/>
      <w:r>
        <w:t>life</w:t>
      </w:r>
      <w:r w:rsidR="00216D12">
        <w:t>according</w:t>
      </w:r>
      <w:proofErr w:type="spellEnd"/>
      <w:r w:rsidR="00216D12">
        <w:t xml:space="preserve"> to the </w:t>
      </w:r>
      <w:r>
        <w:t>Sino-Nasal Outcome Test-22 (</w:t>
      </w:r>
      <w:r w:rsidR="00216D12">
        <w:t>SNOT-22</w:t>
      </w:r>
      <w:r>
        <w:t>);</w:t>
      </w:r>
    </w:p>
    <w:p w14:paraId="05F09B99" w14:textId="494322D2" w:rsidR="008E2D9D" w:rsidRDefault="00216D12" w:rsidP="002A5B76">
      <w:pPr>
        <w:pStyle w:val="ListBullet2"/>
      </w:pPr>
      <w:r>
        <w:t>Asthma Quality of Life Questionnaire (</w:t>
      </w:r>
      <w:r w:rsidR="008E2D9D">
        <w:t xml:space="preserve">AQLQ, </w:t>
      </w:r>
      <w:r>
        <w:t>in patients with asthma co</w:t>
      </w:r>
      <w:r w:rsidR="008E2D9D">
        <w:noBreakHyphen/>
      </w:r>
      <w:r>
        <w:t>morbidity);</w:t>
      </w:r>
      <w:r w:rsidR="008E2D9D">
        <w:t xml:space="preserve"> and</w:t>
      </w:r>
    </w:p>
    <w:p w14:paraId="1E044354" w14:textId="34602FDA" w:rsidR="00216D12" w:rsidRDefault="00216D12" w:rsidP="002A5B76">
      <w:pPr>
        <w:pStyle w:val="ListBullet2"/>
      </w:pPr>
      <w:r>
        <w:t>University of Pennsylvania Smell Identification Test (UPSIT).</w:t>
      </w:r>
    </w:p>
    <w:p w14:paraId="2497A869" w14:textId="7DF8A2C3" w:rsidR="00216D12" w:rsidRDefault="00216D12" w:rsidP="00216D12">
      <w:pPr>
        <w:pStyle w:val="ListBullet"/>
      </w:pPr>
      <w:r>
        <w:t xml:space="preserve">change </w:t>
      </w:r>
      <w:r w:rsidR="007028FB">
        <w:t>from Baseline</w:t>
      </w:r>
      <w:r>
        <w:t xml:space="preserve"> to Week 16 in the co-primary end-points</w:t>
      </w:r>
      <w:r w:rsidR="008E2D9D">
        <w:t>;</w:t>
      </w:r>
    </w:p>
    <w:p w14:paraId="62C1C320" w14:textId="77777777" w:rsidR="008E2D9D" w:rsidRDefault="00216D12" w:rsidP="00216D12">
      <w:pPr>
        <w:pStyle w:val="ListBullet"/>
      </w:pPr>
      <w:r>
        <w:t xml:space="preserve">reduction in need for surgery; </w:t>
      </w:r>
      <w:r w:rsidR="008E2D9D">
        <w:t>and</w:t>
      </w:r>
    </w:p>
    <w:p w14:paraId="69249524" w14:textId="747C61D3" w:rsidR="00216D12" w:rsidRDefault="00216D12" w:rsidP="00216D12">
      <w:pPr>
        <w:pStyle w:val="ListBullet"/>
      </w:pPr>
      <w:r>
        <w:t>requirement for rescue treatments</w:t>
      </w:r>
    </w:p>
    <w:p w14:paraId="3B7A6D7B" w14:textId="66064411" w:rsidR="00216D12" w:rsidRDefault="00216D12" w:rsidP="00216D12">
      <w:r>
        <w:t>A planned total of 120 patients were to be enrolled. The sample size of 120 patients (102</w:t>
      </w:r>
      <w:r w:rsidR="008E2D9D">
        <w:t> </w:t>
      </w:r>
      <w:r>
        <w:t xml:space="preserve">patients divided by 0.85 assuming a 15% early withdrawal rate) provided at least 85% power to independently detect both a 0.56-point difference between treatment groups in change </w:t>
      </w:r>
      <w:r w:rsidR="007028FB">
        <w:t>from Baseline</w:t>
      </w:r>
      <w:r>
        <w:t xml:space="preserve"> at Week 24 in the average daily </w:t>
      </w:r>
      <w:r w:rsidR="008E2D9D">
        <w:t>Nasal Congestion Score</w:t>
      </w:r>
      <w:r>
        <w:t xml:space="preserve"> (assuming standard deviation (SD) = 0.75) and a 1.50-point difference between treatment groups in change </w:t>
      </w:r>
      <w:r w:rsidR="007028FB">
        <w:t>from Baseline</w:t>
      </w:r>
      <w:r>
        <w:t xml:space="preserve"> at Week 24 in N</w:t>
      </w:r>
      <w:r w:rsidR="008E2D9D">
        <w:t>asal Polyp Score</w:t>
      </w:r>
      <w:r>
        <w:t xml:space="preserve"> (assuming SD = 2.0).</w:t>
      </w:r>
    </w:p>
    <w:p w14:paraId="62C6D4A2" w14:textId="18F6613B" w:rsidR="00216D12" w:rsidRDefault="00216D12" w:rsidP="00216D12">
      <w:r>
        <w:t xml:space="preserve">As the changes </w:t>
      </w:r>
      <w:r w:rsidR="007028FB">
        <w:t>from Baseline</w:t>
      </w:r>
      <w:r>
        <w:t xml:space="preserve"> to Week 24 in N</w:t>
      </w:r>
      <w:r w:rsidR="008E2D9D">
        <w:t xml:space="preserve">asal </w:t>
      </w:r>
      <w:r>
        <w:t>P</w:t>
      </w:r>
      <w:r w:rsidR="008E2D9D">
        <w:t xml:space="preserve">olyp </w:t>
      </w:r>
      <w:r>
        <w:t>S</w:t>
      </w:r>
      <w:r w:rsidR="008E2D9D">
        <w:t>core</w:t>
      </w:r>
      <w:r>
        <w:t xml:space="preserve"> and the average daily N</w:t>
      </w:r>
      <w:r w:rsidR="008E2D9D">
        <w:t xml:space="preserve">asal </w:t>
      </w:r>
      <w:r>
        <w:t>C</w:t>
      </w:r>
      <w:r w:rsidR="008E2D9D">
        <w:t xml:space="preserve">ongestion </w:t>
      </w:r>
      <w:proofErr w:type="spellStart"/>
      <w:r>
        <w:t>S</w:t>
      </w:r>
      <w:r w:rsidR="008E2D9D">
        <w:t>score</w:t>
      </w:r>
      <w:proofErr w:type="spellEnd"/>
      <w:r>
        <w:t xml:space="preserve"> were co-primary endpoints, both null hypotheses for these endpoints had to be rejected, with parameter estimates showing a significant benefit of </w:t>
      </w:r>
      <w:proofErr w:type="spellStart"/>
      <w:r>
        <w:t>omalizumab</w:t>
      </w:r>
      <w:proofErr w:type="spellEnd"/>
      <w:r>
        <w:t xml:space="preserve"> over placebo, for the study to be deemed positive.</w:t>
      </w:r>
    </w:p>
    <w:p w14:paraId="00D8399A" w14:textId="1A55AB45" w:rsidR="00216D12" w:rsidRDefault="00216D12" w:rsidP="00216D12">
      <w:pPr>
        <w:pStyle w:val="FigureTitle"/>
      </w:pPr>
      <w:r w:rsidRPr="00216D12">
        <w:t xml:space="preserve">Figure </w:t>
      </w:r>
      <w:r>
        <w:fldChar w:fldCharType="begin"/>
      </w:r>
      <w:r>
        <w:instrText>SEQ Figure \* ARABIC</w:instrText>
      </w:r>
      <w:r>
        <w:fldChar w:fldCharType="separate"/>
      </w:r>
      <w:r w:rsidR="000E4669">
        <w:rPr>
          <w:noProof/>
        </w:rPr>
        <w:t>3</w:t>
      </w:r>
      <w:r>
        <w:fldChar w:fldCharType="end"/>
      </w:r>
      <w:r>
        <w:t xml:space="preserve">: </w:t>
      </w:r>
      <w:r w:rsidR="008E2D9D">
        <w:t xml:space="preserve">Studies GA39688 and GA39855 </w:t>
      </w:r>
      <w:r>
        <w:t xml:space="preserve">Patient </w:t>
      </w:r>
      <w:r w:rsidR="008E2D9D">
        <w:t>d</w:t>
      </w:r>
      <w:r>
        <w:t xml:space="preserve">isposition </w:t>
      </w:r>
      <w:r w:rsidR="008E2D9D">
        <w:t>f</w:t>
      </w:r>
      <w:r>
        <w:t xml:space="preserve">lowchart of </w:t>
      </w:r>
      <w:r w:rsidR="008E2D9D">
        <w:t>individual studies (f</w:t>
      </w:r>
      <w:r>
        <w:t xml:space="preserve">ull </w:t>
      </w:r>
      <w:r w:rsidR="008E2D9D">
        <w:t>a</w:t>
      </w:r>
      <w:r>
        <w:t xml:space="preserve">nalysis </w:t>
      </w:r>
      <w:r w:rsidR="008E2D9D">
        <w:t>s</w:t>
      </w:r>
      <w:r>
        <w:t>et</w:t>
      </w:r>
      <w:r w:rsidR="008E2D9D">
        <w:t xml:space="preserve"> population</w:t>
      </w:r>
      <w:r>
        <w:t xml:space="preserve">), and </w:t>
      </w:r>
      <w:r w:rsidR="008E2D9D">
        <w:t xml:space="preserve">combined studies </w:t>
      </w:r>
      <w:r>
        <w:t>(</w:t>
      </w:r>
      <w:r w:rsidR="008E2D9D">
        <w:t>p</w:t>
      </w:r>
      <w:r>
        <w:t xml:space="preserve">ooled </w:t>
      </w:r>
      <w:r w:rsidR="008E2D9D">
        <w:t>f</w:t>
      </w:r>
      <w:r>
        <w:t xml:space="preserve">ull </w:t>
      </w:r>
      <w:r w:rsidR="008E2D9D">
        <w:t>a</w:t>
      </w:r>
      <w:r>
        <w:t xml:space="preserve">nalysis </w:t>
      </w:r>
      <w:r w:rsidR="008E2D9D">
        <w:t>s</w:t>
      </w:r>
      <w:r>
        <w:t>et</w:t>
      </w:r>
      <w:r w:rsidR="008E2D9D">
        <w:t xml:space="preserve"> population</w:t>
      </w:r>
      <w:r>
        <w:t>)</w:t>
      </w:r>
    </w:p>
    <w:p w14:paraId="022667E5" w14:textId="77777777" w:rsidR="00216D12" w:rsidRDefault="006C3E08" w:rsidP="006A7869">
      <w:r w:rsidRPr="00407DDF">
        <w:rPr>
          <w:noProof/>
          <w:lang w:eastAsia="en-AU"/>
        </w:rPr>
        <w:drawing>
          <wp:inline distT="0" distB="0" distL="0" distR="0" wp14:anchorId="69DD1316" wp14:editId="4AFFC698">
            <wp:extent cx="4436828" cy="3299791"/>
            <wp:effectExtent l="0" t="0" r="1905" b="0"/>
            <wp:docPr id="16" name="Picture 16" descr="Patient Disposition Flowchart of Studies GA39688 and GA39855. A total of 265 patients were randomised into Study GA39688 (n = 138) and Study GA39855 (n = 127). For Study GA39688, 66 patients are randomly assigned to placebo and 72 patients are randomly  assigned to omalizumab. For Study GA39855, 65 patients were randomly assigned to placebo while 62 patients are randomly assigned to omalizumab group.  For Study GA 39688, 2 patients from placebo and 3 patients from omailzumab group discontinued. For Study GA39855., 2 patients from placebo and 4 patients from omalizumab group discontinued.64 pateint from placebo and 69 patients from omalizumab for Study GA39688 completed the study. 63 patients from placebo and 58 patients from omalizumab for Study GA 39855 completed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16" t="8964" r="2330" b="13522"/>
                    <a:stretch/>
                  </pic:blipFill>
                  <pic:spPr bwMode="auto">
                    <a:xfrm>
                      <a:off x="0" y="0"/>
                      <a:ext cx="4440653" cy="3302636"/>
                    </a:xfrm>
                    <a:prstGeom prst="rect">
                      <a:avLst/>
                    </a:prstGeom>
                    <a:ln>
                      <a:noFill/>
                    </a:ln>
                    <a:extLst>
                      <a:ext uri="{53640926-AAD7-44D8-BBD7-CCE9431645EC}">
                        <a14:shadowObscured xmlns:a14="http://schemas.microsoft.com/office/drawing/2010/main"/>
                      </a:ext>
                    </a:extLst>
                  </pic:spPr>
                </pic:pic>
              </a:graphicData>
            </a:graphic>
          </wp:inline>
        </w:drawing>
      </w:r>
    </w:p>
    <w:p w14:paraId="166C7058" w14:textId="77777777" w:rsidR="00216D12" w:rsidRDefault="00216D12" w:rsidP="006A7869">
      <w:pPr>
        <w:pStyle w:val="FigureDescription"/>
      </w:pPr>
      <w:proofErr w:type="spellStart"/>
      <w:r>
        <w:t>a</w:t>
      </w:r>
      <w:proofErr w:type="spellEnd"/>
      <w:r>
        <w:t xml:space="preserve"> All discontinued as per patient’s wish.</w:t>
      </w:r>
    </w:p>
    <w:p w14:paraId="591EAF20" w14:textId="77777777" w:rsidR="00216D12" w:rsidRDefault="00216D12" w:rsidP="006A7869">
      <w:pPr>
        <w:pStyle w:val="FigureDescription"/>
      </w:pPr>
      <w:r>
        <w:t>b All discontinued as per patient’s wish, except for 1 patient in Study GA39688 who was withdrawn by the physician</w:t>
      </w:r>
    </w:p>
    <w:p w14:paraId="0931574D" w14:textId="5DA35F81" w:rsidR="00216D12" w:rsidRDefault="00216D12" w:rsidP="00216D12">
      <w:r w:rsidRPr="00216D12">
        <w:t xml:space="preserve">Demographics </w:t>
      </w:r>
      <w:r w:rsidR="007028FB">
        <w:t>at Baseline</w:t>
      </w:r>
      <w:r w:rsidRPr="00216D12">
        <w:t xml:space="preserve"> were generally similar between Studies GA39688 and GA39855, and between treatment </w:t>
      </w:r>
      <w:r w:rsidR="002220BA">
        <w:t>arms within each study.</w:t>
      </w:r>
    </w:p>
    <w:p w14:paraId="44EED9B9" w14:textId="0C3B1373" w:rsidR="00216D12" w:rsidRDefault="00343B3D" w:rsidP="007163BC">
      <w:pPr>
        <w:pStyle w:val="TableTitle"/>
      </w:pPr>
      <w:r w:rsidRPr="00343B3D">
        <w:t xml:space="preserve">Table </w:t>
      </w:r>
      <w:r>
        <w:fldChar w:fldCharType="begin"/>
      </w:r>
      <w:r>
        <w:instrText>SEQ Table \* ARABIC</w:instrText>
      </w:r>
      <w:r>
        <w:fldChar w:fldCharType="separate"/>
      </w:r>
      <w:r w:rsidR="000E4669">
        <w:rPr>
          <w:noProof/>
        </w:rPr>
        <w:t>3</w:t>
      </w:r>
      <w:r>
        <w:fldChar w:fldCharType="end"/>
      </w:r>
      <w:r w:rsidR="00216D12">
        <w:t xml:space="preserve">: </w:t>
      </w:r>
      <w:r w:rsidR="00281936" w:rsidRPr="00216D12">
        <w:t xml:space="preserve">Studies GA39688 and GA39855 </w:t>
      </w:r>
      <w:r w:rsidR="00216D12" w:rsidRPr="00216D12">
        <w:t xml:space="preserve">Baseline </w:t>
      </w:r>
      <w:r w:rsidR="00281936">
        <w:t>d</w:t>
      </w:r>
      <w:r w:rsidR="00216D12" w:rsidRPr="00216D12">
        <w:t xml:space="preserve">isease </w:t>
      </w:r>
      <w:r w:rsidR="00281936">
        <w:t>c</w:t>
      </w:r>
      <w:r w:rsidR="00216D12" w:rsidRPr="00216D12">
        <w:t>haracteristics</w:t>
      </w:r>
      <w:r w:rsidR="00281936">
        <w:t xml:space="preserve"> for the individual studies</w:t>
      </w:r>
      <w:r w:rsidR="00216D12" w:rsidRPr="00216D12">
        <w:t xml:space="preserve"> (</w:t>
      </w:r>
      <w:r w:rsidR="00281936">
        <w:t>f</w:t>
      </w:r>
      <w:r w:rsidR="00216D12" w:rsidRPr="00216D12">
        <w:t xml:space="preserve">ull </w:t>
      </w:r>
      <w:r w:rsidR="00281936">
        <w:t>a</w:t>
      </w:r>
      <w:r w:rsidR="00216D12" w:rsidRPr="00216D12">
        <w:t xml:space="preserve">nalysis </w:t>
      </w:r>
      <w:r w:rsidR="00281936">
        <w:t>s</w:t>
      </w:r>
      <w:r w:rsidR="00216D12" w:rsidRPr="00216D12">
        <w:t>et</w:t>
      </w:r>
      <w:r w:rsidR="00281936">
        <w:t xml:space="preserve"> population</w:t>
      </w:r>
      <w:r w:rsidR="00216D12" w:rsidRPr="00216D12">
        <w:t xml:space="preserve">), and </w:t>
      </w:r>
      <w:r w:rsidR="00281936">
        <w:t>combined studies</w:t>
      </w:r>
      <w:r w:rsidR="00216D12" w:rsidRPr="00216D12">
        <w:t xml:space="preserve"> (</w:t>
      </w:r>
      <w:r w:rsidR="00281936">
        <w:t>p</w:t>
      </w:r>
      <w:r w:rsidR="00216D12" w:rsidRPr="00216D12">
        <w:t xml:space="preserve">ooled </w:t>
      </w:r>
      <w:r w:rsidR="00281936">
        <w:t>f</w:t>
      </w:r>
      <w:r w:rsidR="00216D12" w:rsidRPr="00216D12">
        <w:t xml:space="preserve">ull </w:t>
      </w:r>
      <w:r w:rsidR="00281936">
        <w:t>a</w:t>
      </w:r>
      <w:r w:rsidR="00216D12" w:rsidRPr="00216D12">
        <w:t xml:space="preserve">nalysis </w:t>
      </w:r>
      <w:r w:rsidR="00281936">
        <w:t>s</w:t>
      </w:r>
      <w:r w:rsidR="00216D12" w:rsidRPr="00216D12">
        <w:t>et</w:t>
      </w:r>
      <w:r w:rsidR="00281936">
        <w:t xml:space="preserve"> population</w:t>
      </w:r>
      <w:r w:rsidR="00216D12" w:rsidRPr="00216D12">
        <w:t>)</w:t>
      </w:r>
    </w:p>
    <w:p w14:paraId="1A236341" w14:textId="77777777" w:rsidR="00216D12" w:rsidRDefault="00415219" w:rsidP="006A7869">
      <w:r w:rsidRPr="00415219">
        <w:rPr>
          <w:noProof/>
          <w:lang w:eastAsia="en-AU"/>
        </w:rPr>
        <w:drawing>
          <wp:inline distT="0" distB="0" distL="0" distR="0" wp14:anchorId="592E6D06" wp14:editId="0622AA82">
            <wp:extent cx="5331460" cy="3609892"/>
            <wp:effectExtent l="0" t="0" r="2540" b="0"/>
            <wp:docPr id="1" name="Picture 1" descr="Baseline Disease Characteristics: Studies GA39688 and GA39855 (Full Analysis Sets), and Overall (Poole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47" t="748" b="18995"/>
                    <a:stretch/>
                  </pic:blipFill>
                  <pic:spPr bwMode="auto">
                    <a:xfrm>
                      <a:off x="0" y="0"/>
                      <a:ext cx="5332713" cy="3610740"/>
                    </a:xfrm>
                    <a:prstGeom prst="rect">
                      <a:avLst/>
                    </a:prstGeom>
                    <a:ln>
                      <a:noFill/>
                    </a:ln>
                    <a:extLst>
                      <a:ext uri="{53640926-AAD7-44D8-BBD7-CCE9431645EC}">
                        <a14:shadowObscured xmlns:a14="http://schemas.microsoft.com/office/drawing/2010/main"/>
                      </a:ext>
                    </a:extLst>
                  </pic:spPr>
                </pic:pic>
              </a:graphicData>
            </a:graphic>
          </wp:inline>
        </w:drawing>
      </w:r>
    </w:p>
    <w:p w14:paraId="5AA36E4F" w14:textId="0A3E197D" w:rsidR="00415219" w:rsidRPr="006A7869" w:rsidRDefault="00415219" w:rsidP="006A7869">
      <w:pPr>
        <w:pStyle w:val="TableDescription"/>
      </w:pPr>
      <w:r w:rsidRPr="006A7869">
        <w:t xml:space="preserve">ARS = anterior </w:t>
      </w:r>
      <w:r w:rsidR="00281936" w:rsidRPr="006A7869">
        <w:t>rhinorrhoea score</w:t>
      </w:r>
      <w:r w:rsidRPr="006A7869">
        <w:t xml:space="preserve">; NCS = </w:t>
      </w:r>
      <w:r w:rsidR="00281936" w:rsidRPr="006A7869">
        <w:t>N</w:t>
      </w:r>
      <w:r w:rsidRPr="006A7869">
        <w:t xml:space="preserve">asal </w:t>
      </w:r>
      <w:r w:rsidR="00281936" w:rsidRPr="006A7869">
        <w:t>C</w:t>
      </w:r>
      <w:r w:rsidRPr="006A7869">
        <w:t xml:space="preserve">ongestion </w:t>
      </w:r>
      <w:r w:rsidR="00281936" w:rsidRPr="006A7869">
        <w:t>S</w:t>
      </w:r>
      <w:r w:rsidRPr="006A7869">
        <w:t xml:space="preserve">core; NPS = </w:t>
      </w:r>
      <w:r w:rsidR="00281936" w:rsidRPr="006A7869">
        <w:t>N</w:t>
      </w:r>
      <w:r w:rsidRPr="006A7869">
        <w:t xml:space="preserve">asal </w:t>
      </w:r>
      <w:r w:rsidR="00281936" w:rsidRPr="006A7869">
        <w:t>P</w:t>
      </w:r>
      <w:r w:rsidRPr="006A7869">
        <w:t xml:space="preserve">olyp </w:t>
      </w:r>
      <w:r w:rsidR="00281936" w:rsidRPr="006A7869">
        <w:t>S</w:t>
      </w:r>
      <w:r w:rsidRPr="006A7869">
        <w:t xml:space="preserve">core; PRS = posterior </w:t>
      </w:r>
      <w:r w:rsidR="00281936" w:rsidRPr="006A7869">
        <w:t>rhinorrhoea</w:t>
      </w:r>
      <w:r w:rsidRPr="006A7869">
        <w:t xml:space="preserve"> score; SNOT</w:t>
      </w:r>
      <w:r w:rsidR="00281936" w:rsidRPr="006A7869">
        <w:noBreakHyphen/>
        <w:t>22</w:t>
      </w:r>
      <w:r w:rsidRPr="006A7869">
        <w:t xml:space="preserve"> = </w:t>
      </w:r>
      <w:r w:rsidR="00281936" w:rsidRPr="006A7869">
        <w:t>S</w:t>
      </w:r>
      <w:r w:rsidRPr="006A7869">
        <w:t>in</w:t>
      </w:r>
      <w:r w:rsidR="00281936" w:rsidRPr="006A7869">
        <w:t>o</w:t>
      </w:r>
      <w:r w:rsidRPr="006A7869">
        <w:t>-</w:t>
      </w:r>
      <w:r w:rsidR="00281936" w:rsidRPr="006A7869">
        <w:t>N</w:t>
      </w:r>
      <w:r w:rsidRPr="006A7869">
        <w:t xml:space="preserve">asal </w:t>
      </w:r>
      <w:r w:rsidR="00281936" w:rsidRPr="006A7869">
        <w:t>O</w:t>
      </w:r>
      <w:r w:rsidRPr="006A7869">
        <w:t xml:space="preserve">utcome </w:t>
      </w:r>
      <w:r w:rsidR="00281936" w:rsidRPr="006A7869">
        <w:t>T</w:t>
      </w:r>
      <w:r w:rsidRPr="006A7869">
        <w:t xml:space="preserve">est 22; SSS = </w:t>
      </w:r>
      <w:r w:rsidR="00281936" w:rsidRPr="006A7869">
        <w:t>S</w:t>
      </w:r>
      <w:r w:rsidRPr="006A7869">
        <w:t xml:space="preserve">ense of </w:t>
      </w:r>
      <w:r w:rsidR="00281936" w:rsidRPr="006A7869">
        <w:t>S</w:t>
      </w:r>
      <w:r w:rsidRPr="006A7869">
        <w:t xml:space="preserve">mell </w:t>
      </w:r>
      <w:r w:rsidR="00281936" w:rsidRPr="006A7869">
        <w:t>S</w:t>
      </w:r>
      <w:r w:rsidRPr="006A7869">
        <w:t xml:space="preserve">core; TNSS = </w:t>
      </w:r>
      <w:r w:rsidR="00281936" w:rsidRPr="006A7869">
        <w:t>T</w:t>
      </w:r>
      <w:r w:rsidRPr="006A7869">
        <w:t xml:space="preserve">otal </w:t>
      </w:r>
      <w:r w:rsidR="00281936" w:rsidRPr="006A7869">
        <w:t>N</w:t>
      </w:r>
      <w:r w:rsidRPr="006A7869">
        <w:t xml:space="preserve">asal </w:t>
      </w:r>
      <w:r w:rsidR="00281936" w:rsidRPr="006A7869">
        <w:t>S</w:t>
      </w:r>
      <w:r w:rsidRPr="006A7869">
        <w:t xml:space="preserve">ymptom </w:t>
      </w:r>
      <w:r w:rsidR="00281936" w:rsidRPr="006A7869">
        <w:t>S</w:t>
      </w:r>
      <w:r w:rsidRPr="006A7869">
        <w:t xml:space="preserve">core; UPSIT = University of </w:t>
      </w:r>
      <w:r w:rsidR="00281936" w:rsidRPr="006A7869">
        <w:t>Pennsylvania Smell Identification Test.</w:t>
      </w:r>
    </w:p>
    <w:p w14:paraId="4ACBA14B" w14:textId="7BDE6CE1" w:rsidR="00415219" w:rsidRPr="006A7869" w:rsidRDefault="00415219" w:rsidP="006A7869">
      <w:pPr>
        <w:pStyle w:val="TableDescription"/>
      </w:pPr>
      <w:r w:rsidRPr="006A7869">
        <w:t>a</w:t>
      </w:r>
      <w:r w:rsidR="00281936" w:rsidRPr="006A7869">
        <w:t>)</w:t>
      </w:r>
      <w:r w:rsidRPr="006A7869">
        <w:t xml:space="preserve"> </w:t>
      </w:r>
      <w:r w:rsidR="00281936" w:rsidRPr="006A7869">
        <w:t>a</w:t>
      </w:r>
      <w:r w:rsidR="00343B3D" w:rsidRPr="006A7869">
        <w:t>t or relative to randomis</w:t>
      </w:r>
      <w:r w:rsidRPr="006A7869">
        <w:t>ation</w:t>
      </w:r>
      <w:r w:rsidR="00281936" w:rsidRPr="006A7869">
        <w:t>.</w:t>
      </w:r>
    </w:p>
    <w:p w14:paraId="00F796DD" w14:textId="1F03EDA6" w:rsidR="00415219" w:rsidRPr="006A7869" w:rsidRDefault="00415219" w:rsidP="006A7869">
      <w:pPr>
        <w:pStyle w:val="TableDescription"/>
      </w:pPr>
      <w:r w:rsidRPr="006A7869">
        <w:t>b</w:t>
      </w:r>
      <w:r w:rsidR="00281936" w:rsidRPr="006A7869">
        <w:t>)</w:t>
      </w:r>
      <w:r w:rsidRPr="006A7869">
        <w:t xml:space="preserve"> </w:t>
      </w:r>
      <w:r w:rsidR="00281936" w:rsidRPr="006A7869">
        <w:t>t</w:t>
      </w:r>
      <w:r w:rsidRPr="006A7869">
        <w:t>he last assessment on or before the date of randomisation</w:t>
      </w:r>
      <w:r w:rsidR="00281936" w:rsidRPr="006A7869">
        <w:t>.</w:t>
      </w:r>
    </w:p>
    <w:p w14:paraId="35633CE1" w14:textId="02EB5BBC" w:rsidR="00415219" w:rsidRPr="006A7869" w:rsidRDefault="00415219" w:rsidP="006A7869">
      <w:pPr>
        <w:pStyle w:val="TableDescription"/>
      </w:pPr>
      <w:r w:rsidRPr="006A7869">
        <w:t>c</w:t>
      </w:r>
      <w:r w:rsidR="00281936" w:rsidRPr="006A7869">
        <w:t>)</w:t>
      </w:r>
      <w:r w:rsidRPr="006A7869">
        <w:t xml:space="preserve"> Baseline was defined as the average of the daily values recorded during the 7-day interval ending on the latest day prior to randomisation such that the prior 7-day interval includes a recorded value on at least 4 of the 7 days of that interval.</w:t>
      </w:r>
    </w:p>
    <w:p w14:paraId="3B235E1B" w14:textId="3CB46051" w:rsidR="00415219" w:rsidRPr="006A7869" w:rsidRDefault="00415219" w:rsidP="006A7869">
      <w:pPr>
        <w:pStyle w:val="TableDescription"/>
      </w:pPr>
      <w:r w:rsidRPr="006A7869">
        <w:t>d</w:t>
      </w:r>
      <w:r w:rsidR="00281936" w:rsidRPr="006A7869">
        <w:t>)</w:t>
      </w:r>
      <w:r w:rsidRPr="006A7869">
        <w:t xml:space="preserve"> </w:t>
      </w:r>
      <w:r w:rsidR="00281936" w:rsidRPr="006A7869">
        <w:t>r</w:t>
      </w:r>
      <w:r w:rsidRPr="006A7869">
        <w:t xml:space="preserve">elative to first study visit (Day-35). No patients used </w:t>
      </w:r>
      <w:r w:rsidR="00281936" w:rsidRPr="006A7869">
        <w:t>systemic corticosteroids</w:t>
      </w:r>
      <w:r w:rsidRPr="006A7869">
        <w:t xml:space="preserve"> or had nasal surgery between the first study visit and randomisation.</w:t>
      </w:r>
    </w:p>
    <w:p w14:paraId="56DDF2FF" w14:textId="6EDFD266" w:rsidR="00415219" w:rsidRPr="006A7869" w:rsidRDefault="00415219" w:rsidP="006A7869">
      <w:pPr>
        <w:pStyle w:val="TableDescription"/>
      </w:pPr>
      <w:r w:rsidRPr="006A7869">
        <w:t>e</w:t>
      </w:r>
      <w:r w:rsidR="00281936" w:rsidRPr="006A7869">
        <w:t>)</w:t>
      </w:r>
      <w:r w:rsidRPr="006A7869">
        <w:t xml:space="preserve"> </w:t>
      </w:r>
      <w:r w:rsidR="00281936" w:rsidRPr="006A7869">
        <w:t>a</w:t>
      </w:r>
      <w:r w:rsidRPr="006A7869">
        <w:t xml:space="preserve"> history of asthma at screening and having used medication for asthma or with a prescription for asthma medication in the last 12 months. </w:t>
      </w:r>
    </w:p>
    <w:p w14:paraId="1BBFFB87" w14:textId="77777777" w:rsidR="00343B3D" w:rsidRDefault="00415219" w:rsidP="006A7869">
      <w:pPr>
        <w:pStyle w:val="TableDescription"/>
      </w:pPr>
      <w:r w:rsidRPr="006A7869">
        <w:t xml:space="preserve">Percentages for asthma severity </w:t>
      </w:r>
      <w:r w:rsidR="00343B3D" w:rsidRPr="006A7869">
        <w:t>are based on the number of patients with asthma</w:t>
      </w:r>
    </w:p>
    <w:p w14:paraId="2F212A2F" w14:textId="77777777" w:rsidR="00343B3D" w:rsidRDefault="00343B3D" w:rsidP="002A5B76">
      <w:pPr>
        <w:pStyle w:val="Heading6"/>
      </w:pPr>
      <w:r>
        <w:t>Results</w:t>
      </w:r>
    </w:p>
    <w:p w14:paraId="265C1322" w14:textId="35722EC9" w:rsidR="00343B3D" w:rsidRPr="00C27FF8" w:rsidRDefault="00343B3D" w:rsidP="002A5B76">
      <w:pPr>
        <w:pStyle w:val="Heading7"/>
      </w:pPr>
      <w:r w:rsidRPr="002A5B76">
        <w:rPr>
          <w:sz w:val="22"/>
        </w:rPr>
        <w:t>Co-primary endpoints</w:t>
      </w:r>
    </w:p>
    <w:p w14:paraId="1E70CFEA" w14:textId="6FC898FF" w:rsidR="007163BC" w:rsidRDefault="002220BA" w:rsidP="00343B3D">
      <w:r>
        <w:t xml:space="preserve">In both </w:t>
      </w:r>
      <w:r w:rsidR="00281936">
        <w:t xml:space="preserve">of the </w:t>
      </w:r>
      <w:r>
        <w:t>pivotal</w:t>
      </w:r>
      <w:r w:rsidR="00281936">
        <w:t>,</w:t>
      </w:r>
      <w:r>
        <w:t xml:space="preserve"> Phase </w:t>
      </w:r>
      <w:r w:rsidR="00343B3D">
        <w:t xml:space="preserve">III </w:t>
      </w:r>
      <w:r w:rsidR="00281936">
        <w:t>S</w:t>
      </w:r>
      <w:r w:rsidR="00343B3D">
        <w:t xml:space="preserve">tudies GA39688 and GA39855, the co-primary endpoints of the changes </w:t>
      </w:r>
      <w:r w:rsidR="007028FB">
        <w:t>from Baseline</w:t>
      </w:r>
      <w:r w:rsidR="00343B3D">
        <w:t xml:space="preserve"> at Week 24 in N</w:t>
      </w:r>
      <w:r w:rsidR="00281936">
        <w:t>asal Polyp Score</w:t>
      </w:r>
      <w:r w:rsidR="00343B3D">
        <w:t xml:space="preserve"> and the average daily N</w:t>
      </w:r>
      <w:r w:rsidR="00281936">
        <w:t xml:space="preserve">asal </w:t>
      </w:r>
      <w:r w:rsidR="00343B3D">
        <w:t>C</w:t>
      </w:r>
      <w:r w:rsidR="00281936">
        <w:t xml:space="preserve">ongestion </w:t>
      </w:r>
      <w:r w:rsidR="00343B3D">
        <w:t>S</w:t>
      </w:r>
      <w:r w:rsidR="00281936">
        <w:t>core</w:t>
      </w:r>
      <w:r w:rsidR="00343B3D">
        <w:t xml:space="preserve"> were met. For each of the co-primary endpoints, the between-treatment difference in the adjusted mean changes at Week 24 was statistically significant in favour of </w:t>
      </w:r>
      <w:proofErr w:type="spellStart"/>
      <w:r w:rsidR="00343B3D">
        <w:t>omalizumab</w:t>
      </w:r>
      <w:proofErr w:type="spellEnd"/>
      <w:r w:rsidR="00343B3D">
        <w:t>.</w:t>
      </w:r>
    </w:p>
    <w:p w14:paraId="5EE2A977" w14:textId="70F0C7C5" w:rsidR="00343B3D" w:rsidRPr="007163BC" w:rsidRDefault="00343B3D" w:rsidP="002A5B76">
      <w:pPr>
        <w:pStyle w:val="TableTitle"/>
        <w:keepLines/>
      </w:pPr>
      <w:r w:rsidRPr="007163BC">
        <w:t xml:space="preserve">Table </w:t>
      </w:r>
      <w:r w:rsidRPr="007163BC">
        <w:fldChar w:fldCharType="begin"/>
      </w:r>
      <w:r w:rsidRPr="007163BC">
        <w:instrText>SEQ Table \* ARABIC</w:instrText>
      </w:r>
      <w:r w:rsidRPr="007163BC">
        <w:fldChar w:fldCharType="separate"/>
      </w:r>
      <w:r w:rsidR="007163BC">
        <w:rPr>
          <w:noProof/>
        </w:rPr>
        <w:t>4</w:t>
      </w:r>
      <w:r w:rsidRPr="007163BC">
        <w:fldChar w:fldCharType="end"/>
      </w:r>
      <w:r w:rsidRPr="007163BC">
        <w:t xml:space="preserve">: </w:t>
      </w:r>
      <w:r w:rsidR="00281936" w:rsidRPr="007163BC">
        <w:t xml:space="preserve">Studies GA39688 and GA39855 </w:t>
      </w:r>
      <w:r w:rsidRPr="007163BC">
        <w:t xml:space="preserve">Absolute </w:t>
      </w:r>
      <w:r w:rsidR="00281936" w:rsidRPr="007163BC">
        <w:t>c</w:t>
      </w:r>
      <w:r w:rsidRPr="007163BC">
        <w:t xml:space="preserve">hange </w:t>
      </w:r>
      <w:r w:rsidR="007028FB" w:rsidRPr="007163BC">
        <w:t>from Baseline</w:t>
      </w:r>
      <w:r w:rsidRPr="007163BC">
        <w:t xml:space="preserve"> at Week 24 in the Nasal Polyp Score (</w:t>
      </w:r>
      <w:r w:rsidR="00281936" w:rsidRPr="007163BC">
        <w:t>c</w:t>
      </w:r>
      <w:r w:rsidRPr="007163BC">
        <w:t>o-</w:t>
      </w:r>
      <w:r w:rsidR="00281936" w:rsidRPr="007163BC">
        <w:t>p</w:t>
      </w:r>
      <w:r w:rsidRPr="007163BC">
        <w:t xml:space="preserve">rimary </w:t>
      </w:r>
      <w:r w:rsidR="00281936" w:rsidRPr="007163BC">
        <w:t>e</w:t>
      </w:r>
      <w:r w:rsidRPr="007163BC">
        <w:t>ndpoint) for</w:t>
      </w:r>
      <w:r w:rsidR="00281936" w:rsidRPr="007163BC">
        <w:t xml:space="preserve"> the individual studies</w:t>
      </w:r>
      <w:r w:rsidRPr="007163BC">
        <w:t>(</w:t>
      </w:r>
      <w:r w:rsidR="00281936" w:rsidRPr="007163BC">
        <w:t>f</w:t>
      </w:r>
      <w:r w:rsidRPr="007163BC">
        <w:t xml:space="preserve">ull </w:t>
      </w:r>
      <w:r w:rsidR="00281936" w:rsidRPr="00323FA1">
        <w:t>a</w:t>
      </w:r>
      <w:r w:rsidRPr="001E4607">
        <w:t xml:space="preserve">nalysis </w:t>
      </w:r>
      <w:r w:rsidR="00281936" w:rsidRPr="007163BC">
        <w:t>s</w:t>
      </w:r>
      <w:r w:rsidRPr="007163BC">
        <w:t>et</w:t>
      </w:r>
      <w:r w:rsidR="00281936" w:rsidRPr="007163BC">
        <w:t xml:space="preserve"> populations</w:t>
      </w:r>
      <w:r w:rsidRPr="007163BC">
        <w:t xml:space="preserve">), and </w:t>
      </w:r>
      <w:r w:rsidR="00281936" w:rsidRPr="007163BC">
        <w:t>combined studies</w:t>
      </w:r>
      <w:r w:rsidRPr="007163BC">
        <w:t xml:space="preserve"> (</w:t>
      </w:r>
      <w:r w:rsidR="00281936" w:rsidRPr="007163BC">
        <w:t>p</w:t>
      </w:r>
      <w:r w:rsidRPr="007163BC">
        <w:t xml:space="preserve">ooled </w:t>
      </w:r>
      <w:r w:rsidR="00281936" w:rsidRPr="007163BC">
        <w:t>f</w:t>
      </w:r>
      <w:r w:rsidRPr="007163BC">
        <w:t xml:space="preserve">ull </w:t>
      </w:r>
      <w:r w:rsidR="00281936" w:rsidRPr="007163BC">
        <w:t>a</w:t>
      </w:r>
      <w:r w:rsidRPr="007163BC">
        <w:t xml:space="preserve">nalysis </w:t>
      </w:r>
      <w:r w:rsidR="00281936" w:rsidRPr="007163BC">
        <w:t>s</w:t>
      </w:r>
      <w:r w:rsidRPr="007163BC">
        <w:t>et</w:t>
      </w:r>
      <w:r w:rsidR="00281936" w:rsidRPr="007163BC">
        <w:t xml:space="preserve"> population</w:t>
      </w:r>
      <w:r w:rsidRPr="007163BC">
        <w:t>)</w:t>
      </w:r>
    </w:p>
    <w:p w14:paraId="388C18A4" w14:textId="77777777" w:rsidR="00343B3D" w:rsidRDefault="00343B3D" w:rsidP="006A7869">
      <w:r w:rsidRPr="00BE74AB">
        <w:rPr>
          <w:noProof/>
          <w:lang w:eastAsia="en-AU"/>
        </w:rPr>
        <w:drawing>
          <wp:inline distT="0" distB="0" distL="0" distR="0" wp14:anchorId="1876069F" wp14:editId="19052139">
            <wp:extent cx="5147875" cy="1965278"/>
            <wp:effectExtent l="0" t="0" r="0" b="0"/>
            <wp:docPr id="10" name="Picture 10" descr="Absolute Change from Baseline at Week 24 in the Nasal Polyp Score (Co-Primary Endpoint) for Studies GA39688 and GA39855 (Full Analysis Sets), and Overall (Poole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1054" b="16736"/>
                    <a:stretch/>
                  </pic:blipFill>
                  <pic:spPr bwMode="auto">
                    <a:xfrm>
                      <a:off x="0" y="0"/>
                      <a:ext cx="5154289" cy="1967727"/>
                    </a:xfrm>
                    <a:prstGeom prst="rect">
                      <a:avLst/>
                    </a:prstGeom>
                    <a:noFill/>
                    <a:ln>
                      <a:noFill/>
                    </a:ln>
                    <a:extLst>
                      <a:ext uri="{53640926-AAD7-44D8-BBD7-CCE9431645EC}">
                        <a14:shadowObscured xmlns:a14="http://schemas.microsoft.com/office/drawing/2010/main"/>
                      </a:ext>
                    </a:extLst>
                  </pic:spPr>
                </pic:pic>
              </a:graphicData>
            </a:graphic>
          </wp:inline>
        </w:drawing>
      </w:r>
    </w:p>
    <w:p w14:paraId="55EF0FF0" w14:textId="1D48399F" w:rsidR="007163BC" w:rsidRPr="007163BC" w:rsidRDefault="00343B3D" w:rsidP="006A7869">
      <w:pPr>
        <w:pStyle w:val="TableDescription"/>
      </w:pPr>
      <w:proofErr w:type="spellStart"/>
      <w:r>
        <w:t>Adj</w:t>
      </w:r>
      <w:proofErr w:type="spellEnd"/>
      <w:r>
        <w:t xml:space="preserve"> = adjusted; CI = confidence interval; SE = standard error</w:t>
      </w:r>
    </w:p>
    <w:p w14:paraId="40D6D456" w14:textId="4D7B964E" w:rsidR="00343B3D" w:rsidRDefault="00343B3D" w:rsidP="00343B3D">
      <w:pPr>
        <w:pStyle w:val="TableTitle"/>
      </w:pPr>
      <w:r>
        <w:t xml:space="preserve">Table </w:t>
      </w:r>
      <w:r>
        <w:fldChar w:fldCharType="begin"/>
      </w:r>
      <w:r>
        <w:instrText>SEQ Table \* ARABIC</w:instrText>
      </w:r>
      <w:r>
        <w:fldChar w:fldCharType="separate"/>
      </w:r>
      <w:r w:rsidR="000E4669">
        <w:rPr>
          <w:noProof/>
        </w:rPr>
        <w:t>5</w:t>
      </w:r>
      <w:r>
        <w:fldChar w:fldCharType="end"/>
      </w:r>
      <w:r>
        <w:t xml:space="preserve">: </w:t>
      </w:r>
      <w:r w:rsidR="007163BC" w:rsidRPr="00DB141F">
        <w:t xml:space="preserve">Studies GA39688 and GA39855 </w:t>
      </w:r>
      <w:r w:rsidRPr="00DB141F">
        <w:t xml:space="preserve">Absolute </w:t>
      </w:r>
      <w:r w:rsidR="007163BC">
        <w:t>c</w:t>
      </w:r>
      <w:r w:rsidRPr="00DB141F">
        <w:t xml:space="preserve">hange </w:t>
      </w:r>
      <w:r w:rsidR="007028FB">
        <w:t>from Baseline</w:t>
      </w:r>
      <w:r w:rsidRPr="00DB141F">
        <w:t xml:space="preserve"> at Week 24 in </w:t>
      </w:r>
      <w:r w:rsidR="007163BC">
        <w:t>a</w:t>
      </w:r>
      <w:r w:rsidRPr="00DB141F">
        <w:t xml:space="preserve">verage </w:t>
      </w:r>
      <w:r w:rsidR="007163BC">
        <w:t>d</w:t>
      </w:r>
      <w:r w:rsidRPr="00DB141F">
        <w:t>aily Nasal Congestion Score (</w:t>
      </w:r>
      <w:r w:rsidR="007163BC">
        <w:t>c</w:t>
      </w:r>
      <w:r w:rsidRPr="00DB141F">
        <w:t>o-</w:t>
      </w:r>
      <w:r w:rsidR="007163BC">
        <w:t>p</w:t>
      </w:r>
      <w:r w:rsidRPr="00DB141F">
        <w:t xml:space="preserve">rimary </w:t>
      </w:r>
      <w:r w:rsidR="007163BC">
        <w:t>e</w:t>
      </w:r>
      <w:r w:rsidRPr="00DB141F">
        <w:t>ndpoint)</w:t>
      </w:r>
      <w:r w:rsidR="007163BC">
        <w:t xml:space="preserve"> for the individual studies</w:t>
      </w:r>
      <w:r w:rsidRPr="00DB141F">
        <w:t xml:space="preserve"> (</w:t>
      </w:r>
      <w:r w:rsidR="007163BC">
        <w:t>f</w:t>
      </w:r>
      <w:r w:rsidRPr="00DB141F">
        <w:t xml:space="preserve">ull </w:t>
      </w:r>
      <w:r w:rsidR="007163BC">
        <w:t>a</w:t>
      </w:r>
      <w:r w:rsidRPr="00DB141F">
        <w:t xml:space="preserve">nalysis </w:t>
      </w:r>
      <w:r w:rsidR="007163BC">
        <w:t>s</w:t>
      </w:r>
      <w:r w:rsidRPr="00DB141F">
        <w:t>et</w:t>
      </w:r>
      <w:r w:rsidR="007163BC">
        <w:t xml:space="preserve"> populations</w:t>
      </w:r>
      <w:r w:rsidRPr="00DB141F">
        <w:t xml:space="preserve">), and </w:t>
      </w:r>
      <w:r w:rsidR="007163BC">
        <w:t>combined studies</w:t>
      </w:r>
      <w:r w:rsidRPr="00DB141F">
        <w:t xml:space="preserve"> (</w:t>
      </w:r>
      <w:r w:rsidR="007163BC">
        <w:t>p</w:t>
      </w:r>
      <w:r w:rsidRPr="00DB141F">
        <w:t xml:space="preserve">ooled </w:t>
      </w:r>
      <w:r w:rsidR="007163BC">
        <w:t>f</w:t>
      </w:r>
      <w:r w:rsidRPr="00DB141F">
        <w:t xml:space="preserve">ull </w:t>
      </w:r>
      <w:r w:rsidR="007163BC">
        <w:t>a</w:t>
      </w:r>
      <w:r w:rsidRPr="00DB141F">
        <w:t xml:space="preserve">nalysis </w:t>
      </w:r>
      <w:r w:rsidR="007163BC">
        <w:t>s</w:t>
      </w:r>
      <w:r w:rsidRPr="00DB141F">
        <w:t>et</w:t>
      </w:r>
      <w:r w:rsidR="007163BC">
        <w:t xml:space="preserve"> population</w:t>
      </w:r>
      <w:r w:rsidRPr="00DB141F">
        <w:t>)</w:t>
      </w:r>
    </w:p>
    <w:p w14:paraId="0C9CCC79" w14:textId="77777777" w:rsidR="00343B3D" w:rsidRPr="00BD40C9" w:rsidRDefault="00343B3D" w:rsidP="00343B3D">
      <w:r>
        <w:rPr>
          <w:rFonts w:asciiTheme="minorHAnsi" w:hAnsiTheme="minorHAnsi"/>
          <w:b/>
          <w:noProof/>
          <w:lang w:eastAsia="en-AU"/>
        </w:rPr>
        <w:drawing>
          <wp:inline distT="0" distB="0" distL="0" distR="0" wp14:anchorId="350A907F" wp14:editId="6516F2A7">
            <wp:extent cx="5001905" cy="2276321"/>
            <wp:effectExtent l="0" t="0" r="8255" b="0"/>
            <wp:docPr id="14" name="Picture 14" descr="Absolute Change from Baseline at Week 24 in Average Daily Nasal Congestion Score (Co-Primary Endpoint): Studies GA39688 and GA39855 (Full Analysis Sets), and Overall (Poole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2106" b="16395"/>
                    <a:stretch/>
                  </pic:blipFill>
                  <pic:spPr bwMode="auto">
                    <a:xfrm>
                      <a:off x="0" y="0"/>
                      <a:ext cx="5008222" cy="2279196"/>
                    </a:xfrm>
                    <a:prstGeom prst="rect">
                      <a:avLst/>
                    </a:prstGeom>
                    <a:noFill/>
                    <a:ln>
                      <a:noFill/>
                    </a:ln>
                    <a:extLst>
                      <a:ext uri="{53640926-AAD7-44D8-BBD7-CCE9431645EC}">
                        <a14:shadowObscured xmlns:a14="http://schemas.microsoft.com/office/drawing/2010/main"/>
                      </a:ext>
                    </a:extLst>
                  </pic:spPr>
                </pic:pic>
              </a:graphicData>
            </a:graphic>
          </wp:inline>
        </w:drawing>
      </w:r>
    </w:p>
    <w:p w14:paraId="765D00A4" w14:textId="77777777" w:rsidR="00343B3D" w:rsidRDefault="00343B3D" w:rsidP="00343B3D">
      <w:pPr>
        <w:pStyle w:val="TableDescription"/>
      </w:pPr>
      <w:proofErr w:type="spellStart"/>
      <w:r>
        <w:t>Adj</w:t>
      </w:r>
      <w:proofErr w:type="spellEnd"/>
      <w:r>
        <w:t xml:space="preserve"> = adjusted; CI = confidence interval; SE = standard error</w:t>
      </w:r>
    </w:p>
    <w:p w14:paraId="68EE86BE" w14:textId="0796B940" w:rsidR="00343B3D" w:rsidRDefault="00343B3D" w:rsidP="00343B3D">
      <w:r>
        <w:t xml:space="preserve">There are no established limits for clinically relevant effect for these endpoints, but the sponsor used a 0.56-point difference for </w:t>
      </w:r>
      <w:r w:rsidR="007163BC">
        <w:t>the Nasal Congestion Score</w:t>
      </w:r>
      <w:r>
        <w:t xml:space="preserve"> and 1.50 for </w:t>
      </w:r>
      <w:r w:rsidR="007163BC">
        <w:t>the Nasal Polyp Score</w:t>
      </w:r>
      <w:r>
        <w:t xml:space="preserve"> as </w:t>
      </w:r>
      <w:r w:rsidR="007163BC">
        <w:t xml:space="preserve">the </w:t>
      </w:r>
      <w:r>
        <w:t xml:space="preserve">basis for their samples size calculations. These differences were not achieved. However, </w:t>
      </w:r>
      <w:proofErr w:type="spellStart"/>
      <w:r>
        <w:t>omalizumab</w:t>
      </w:r>
      <w:proofErr w:type="spellEnd"/>
      <w:r>
        <w:t xml:space="preserve"> was statistically significantly better than placebo in both pivotal studies and both co-primary endpoints. The sponsor presented literature data from relevant published studies, describing the use of </w:t>
      </w:r>
      <w:r w:rsidR="007163BC">
        <w:t>intranasal corticosteroids</w:t>
      </w:r>
      <w:r>
        <w:t xml:space="preserve"> (placebo as comparator in the majority of studies) or biologics (placebo as comparator) where these endpoints were applied. Although results should be interpreted with caution as there are differences in study designs and included populations, the effect as recorded by </w:t>
      </w:r>
      <w:r w:rsidR="007163BC">
        <w:t>Nasal Polyp Score</w:t>
      </w:r>
      <w:r>
        <w:t xml:space="preserve"> and N</w:t>
      </w:r>
      <w:r w:rsidR="007163BC">
        <w:t>asal Congestion Score</w:t>
      </w:r>
      <w:r>
        <w:t xml:space="preserve"> appears to be of similar magnitude as in publications describing patients responding to intranasal corticosteroids which is deemed clinically relevant. Comparison to other biologics is more difficult due to the smaller number of studies and heterogeneity of publications. Furthermore, biologics acts through different pathways in the inflammatory cascade.</w:t>
      </w:r>
    </w:p>
    <w:p w14:paraId="21B407E8" w14:textId="5A839CEC" w:rsidR="00343B3D" w:rsidRPr="00C27FF8" w:rsidRDefault="007163BC" w:rsidP="002A5B76">
      <w:pPr>
        <w:pStyle w:val="Heading7"/>
      </w:pPr>
      <w:r w:rsidRPr="002A5B76">
        <w:rPr>
          <w:sz w:val="22"/>
        </w:rPr>
        <w:t xml:space="preserve">Secondary </w:t>
      </w:r>
      <w:r w:rsidR="00343B3D" w:rsidRPr="002A5B76">
        <w:rPr>
          <w:sz w:val="22"/>
        </w:rPr>
        <w:t>efficacy outcomes</w:t>
      </w:r>
    </w:p>
    <w:p w14:paraId="12A023CE" w14:textId="51856DBE" w:rsidR="00343B3D" w:rsidRDefault="00343B3D" w:rsidP="00343B3D">
      <w:r>
        <w:t>There were two separate and distinct sets of secondary endpoints with differen</w:t>
      </w:r>
      <w:r w:rsidR="000462AF">
        <w:t xml:space="preserve">t </w:t>
      </w:r>
      <w:r w:rsidR="00905339">
        <w:t>Type I</w:t>
      </w:r>
      <w:r>
        <w:t xml:space="preserve"> error control testing hierarchy to</w:t>
      </w:r>
      <w:r w:rsidR="000462AF">
        <w:t xml:space="preserve"> accommodate different prioritis</w:t>
      </w:r>
      <w:r>
        <w:t xml:space="preserve">ations of secondary endpoints for </w:t>
      </w:r>
      <w:r w:rsidR="007163BC">
        <w:t xml:space="preserve">the </w:t>
      </w:r>
      <w:r>
        <w:t xml:space="preserve">EMA and </w:t>
      </w:r>
      <w:r w:rsidR="007163BC">
        <w:t xml:space="preserve">US </w:t>
      </w:r>
      <w:r w:rsidR="00552A73" w:rsidRPr="00552A73">
        <w:t xml:space="preserve">Food and Drug Administration </w:t>
      </w:r>
      <w:r w:rsidR="00552A73">
        <w:t>(</w:t>
      </w:r>
      <w:r>
        <w:t>FDA</w:t>
      </w:r>
      <w:r w:rsidR="00552A73">
        <w:t>)</w:t>
      </w:r>
      <w:r>
        <w:t>. Some pooled data for specific end-points was included in these analyses.</w:t>
      </w:r>
    </w:p>
    <w:p w14:paraId="248A451E" w14:textId="0627E287" w:rsidR="00542203" w:rsidRDefault="00542203" w:rsidP="008677EF">
      <w:pPr>
        <w:pStyle w:val="TableTitle"/>
      </w:pPr>
      <w:r w:rsidRPr="008677EF">
        <w:t xml:space="preserve">Table </w:t>
      </w:r>
      <w:r>
        <w:fldChar w:fldCharType="begin"/>
      </w:r>
      <w:r>
        <w:instrText>SEQ Table \* ARABIC</w:instrText>
      </w:r>
      <w:r>
        <w:fldChar w:fldCharType="separate"/>
      </w:r>
      <w:r w:rsidR="000E4669">
        <w:rPr>
          <w:noProof/>
        </w:rPr>
        <w:t>6</w:t>
      </w:r>
      <w:r>
        <w:fldChar w:fldCharType="end"/>
      </w:r>
      <w:r>
        <w:t>: Secondary end</w:t>
      </w:r>
      <w:r w:rsidR="00552A73">
        <w:t xml:space="preserve">-points analysis for </w:t>
      </w:r>
      <w:r w:rsidR="00F71A3F">
        <w:t xml:space="preserve">the United States </w:t>
      </w:r>
      <w:r w:rsidR="00552A73" w:rsidRPr="00552A73">
        <w:t>Food and Drug Administration</w:t>
      </w:r>
      <w:r w:rsidR="00552A73">
        <w:t xml:space="preserve"> and </w:t>
      </w:r>
      <w:r w:rsidR="00552A73" w:rsidRPr="0016349F">
        <w:t>European Medicines Agency</w:t>
      </w:r>
      <w:r>
        <w:t xml:space="preserve"> requirements</w:t>
      </w:r>
    </w:p>
    <w:p w14:paraId="678A5AF9" w14:textId="77777777" w:rsidR="00542203" w:rsidRDefault="00542203" w:rsidP="00343B3D">
      <w:r>
        <w:rPr>
          <w:noProof/>
          <w:lang w:eastAsia="en-AU"/>
        </w:rPr>
        <w:drawing>
          <wp:inline distT="0" distB="0" distL="0" distR="0" wp14:anchorId="1132DEBC" wp14:editId="5B88A0F1">
            <wp:extent cx="5400040" cy="6712583"/>
            <wp:effectExtent l="0" t="0" r="0" b="0"/>
            <wp:docPr id="2" name="Picture 2" descr="Secondary end-points analysis for Food and Drug Administration and European Medicines Agenc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400040" cy="6712583"/>
                    </a:xfrm>
                    <a:prstGeom prst="rect">
                      <a:avLst/>
                    </a:prstGeom>
                  </pic:spPr>
                </pic:pic>
              </a:graphicData>
            </a:graphic>
          </wp:inline>
        </w:drawing>
      </w:r>
    </w:p>
    <w:p w14:paraId="41D102CF" w14:textId="2AB02E04" w:rsidR="00542203" w:rsidRDefault="00F71A3F" w:rsidP="00343B3D">
      <w:r>
        <w:t>Nasal Polyp Score</w:t>
      </w:r>
      <w:r w:rsidRPr="00542203">
        <w:t xml:space="preserve"> </w:t>
      </w:r>
      <w:r w:rsidR="00542203" w:rsidRPr="00542203">
        <w:t>and N</w:t>
      </w:r>
      <w:r>
        <w:t xml:space="preserve">asal </w:t>
      </w:r>
      <w:r w:rsidR="00542203" w:rsidRPr="00542203">
        <w:t>C</w:t>
      </w:r>
      <w:r>
        <w:t xml:space="preserve">ongestion </w:t>
      </w:r>
      <w:proofErr w:type="spellStart"/>
      <w:r w:rsidR="00542203" w:rsidRPr="00542203">
        <w:t>S</w:t>
      </w:r>
      <w:r>
        <w:t>score</w:t>
      </w:r>
      <w:proofErr w:type="spellEnd"/>
      <w:r w:rsidR="00542203" w:rsidRPr="00542203">
        <w:t xml:space="preserve">: There were no significant differences in the treatment effect between any pre-specified subgroup and its complementary group, as indicated by overlapping 95% CIs for respective estimated between-treatment difference </w:t>
      </w:r>
      <w:r w:rsidR="004C0CFB">
        <w:t xml:space="preserve">within subgroups. </w:t>
      </w:r>
      <w:r w:rsidR="00542203" w:rsidRPr="00542203">
        <w:t>The results for the subgroups is consistent with the result for all patients.</w:t>
      </w:r>
    </w:p>
    <w:p w14:paraId="0A659ED0" w14:textId="77777777" w:rsidR="00542203" w:rsidRDefault="00542203" w:rsidP="00542203">
      <w:pPr>
        <w:pStyle w:val="Heading4"/>
      </w:pPr>
      <w:r>
        <w:t>Safety</w:t>
      </w:r>
    </w:p>
    <w:p w14:paraId="778A3C58" w14:textId="1D1ED913" w:rsidR="00542203" w:rsidRDefault="00542203" w:rsidP="00542203">
      <w:r>
        <w:t>The safety database for the new indication consists of data from the two pivotal clinical trials</w:t>
      </w:r>
      <w:r w:rsidR="00F71A3F">
        <w:t>, Studies</w:t>
      </w:r>
      <w:r>
        <w:t xml:space="preserve"> GA39688 and GA39855. Both studies had identical inclusion and exclusion criteria, study assessments, and safety endpoints; therefore, pooling of safety data is considered acceptable. Supportive data from an in</w:t>
      </w:r>
      <w:r w:rsidR="000462AF">
        <w:t>terim analysis of the ongoing, open label extension</w:t>
      </w:r>
      <w:r w:rsidR="00F71A3F">
        <w:t xml:space="preserve"> S</w:t>
      </w:r>
      <w:r>
        <w:t>tudy WA40169</w:t>
      </w:r>
      <w:r w:rsidR="00F71A3F">
        <w:t>,</w:t>
      </w:r>
      <w:r>
        <w:t xml:space="preserve"> are also included.</w:t>
      </w:r>
    </w:p>
    <w:p w14:paraId="0D39F14F" w14:textId="16E362B9" w:rsidR="00542203" w:rsidRDefault="00542203" w:rsidP="00542203">
      <w:r>
        <w:t xml:space="preserve">In the two pivotal studies, a total of 135 patients received </w:t>
      </w:r>
      <w:proofErr w:type="spellStart"/>
      <w:r>
        <w:t>omalizumab</w:t>
      </w:r>
      <w:proofErr w:type="spellEnd"/>
      <w:r>
        <w:t xml:space="preserve">, and 130 patients received placebo. A total of 249 patients from the completed pivotal studies enrolled into the </w:t>
      </w:r>
      <w:r w:rsidR="00F71A3F">
        <w:t>open label extension S</w:t>
      </w:r>
      <w:r w:rsidR="000462AF">
        <w:t xml:space="preserve">tudy WA40169 and started open </w:t>
      </w:r>
      <w:r>
        <w:t xml:space="preserve">label </w:t>
      </w:r>
      <w:proofErr w:type="spellStart"/>
      <w:r>
        <w:t>omalizumab</w:t>
      </w:r>
      <w:proofErr w:type="spellEnd"/>
      <w:r>
        <w:t xml:space="preserve"> treatment (parent study drug treatment received: </w:t>
      </w:r>
      <w:proofErr w:type="spellStart"/>
      <w:r>
        <w:t>omalizumab</w:t>
      </w:r>
      <w:proofErr w:type="spellEnd"/>
      <w:r>
        <w:t xml:space="preserve"> 124, placebo 125). The safety database presented with this application is considered to be relatively small. Considering the relative similarity between the patient population with nasal polyps and the patient population with allergic asthma, it is considered acceptable to extrapolate the safety from the existing safety database (pre and post-approval).</w:t>
      </w:r>
    </w:p>
    <w:p w14:paraId="02EB2890" w14:textId="43ACEE0A" w:rsidR="00542203" w:rsidRDefault="000462AF" w:rsidP="00542203">
      <w:r>
        <w:t>In the two parent studies, adverse event (AE) r</w:t>
      </w:r>
      <w:r w:rsidR="00542203">
        <w:t xml:space="preserve">ates were overall similar in the placebo and </w:t>
      </w:r>
      <w:proofErr w:type="spellStart"/>
      <w:r w:rsidR="00542203">
        <w:t>omalizumab</w:t>
      </w:r>
      <w:proofErr w:type="spellEnd"/>
      <w:r w:rsidR="00542203">
        <w:t xml:space="preserve"> arm with the majority of AEs having mild or moderate intensity. Those AEs that were reported in numerically greater numbers in the </w:t>
      </w:r>
      <w:proofErr w:type="spellStart"/>
      <w:r w:rsidR="00542203">
        <w:t>omalizumab</w:t>
      </w:r>
      <w:proofErr w:type="spellEnd"/>
      <w:r w:rsidR="00542203">
        <w:t xml:space="preserve"> arm (headache, injection site reaction, arthralgia, dizziness, and upper abdominal pain) are consistent with the known safety profile of </w:t>
      </w:r>
      <w:proofErr w:type="spellStart"/>
      <w:r w:rsidR="00542203">
        <w:t>omalizumab</w:t>
      </w:r>
      <w:proofErr w:type="spellEnd"/>
      <w:r w:rsidR="00542203">
        <w:t xml:space="preserve">. Treatment with </w:t>
      </w:r>
      <w:proofErr w:type="spellStart"/>
      <w:r w:rsidR="00542203">
        <w:t>omalizumab</w:t>
      </w:r>
      <w:proofErr w:type="spellEnd"/>
      <w:r w:rsidR="00542203">
        <w:t xml:space="preserve"> was not associated with any increase risk compared to placebo of severe AEs, </w:t>
      </w:r>
      <w:r>
        <w:t>s</w:t>
      </w:r>
      <w:r w:rsidRPr="000462AF">
        <w:t>erious adverse event</w:t>
      </w:r>
      <w:r w:rsidR="00F71A3F">
        <w:t>s</w:t>
      </w:r>
      <w:r w:rsidRPr="000462AF">
        <w:t xml:space="preserve"> </w:t>
      </w:r>
      <w:r>
        <w:t>(SAE)</w:t>
      </w:r>
      <w:r w:rsidR="00542203">
        <w:t xml:space="preserve"> and adverse events of special interest. No patient died in these two studies and there were no clinically relevant changes in clinical laboratory evaluations or vital signs in either treatment arm.</w:t>
      </w:r>
    </w:p>
    <w:p w14:paraId="127FCD05" w14:textId="2873C4F8" w:rsidR="00542203" w:rsidRPr="00343B3D" w:rsidRDefault="00542203" w:rsidP="00343B3D">
      <w:r>
        <w:t xml:space="preserve">Safety results as reported in the interim analysis from the </w:t>
      </w:r>
      <w:r w:rsidR="00F71A3F">
        <w:t>open label extension</w:t>
      </w:r>
      <w:r>
        <w:t xml:space="preserve"> study were consistent with the results reported for the parent studies.</w:t>
      </w:r>
    </w:p>
    <w:p w14:paraId="4BE8EED7" w14:textId="77777777" w:rsidR="007B6132" w:rsidRDefault="007B6132" w:rsidP="00555280">
      <w:pPr>
        <w:pStyle w:val="Heading4"/>
      </w:pPr>
      <w:r w:rsidRPr="007B6132">
        <w:t>Clinical evaluator’s recommendation</w:t>
      </w:r>
    </w:p>
    <w:p w14:paraId="421F9D86" w14:textId="77777777" w:rsidR="00366E37" w:rsidRPr="00366E37" w:rsidRDefault="00366E37" w:rsidP="00366E37">
      <w:r w:rsidRPr="00366E37">
        <w:t xml:space="preserve">The clinical evaluator has recommended approval of </w:t>
      </w:r>
      <w:proofErr w:type="spellStart"/>
      <w:r w:rsidRPr="00366E37">
        <w:t>X</w:t>
      </w:r>
      <w:r>
        <w:t>olair</w:t>
      </w:r>
      <w:proofErr w:type="spellEnd"/>
      <w:r>
        <w:t xml:space="preserve"> (</w:t>
      </w:r>
      <w:proofErr w:type="spellStart"/>
      <w:r>
        <w:t>omalizumab</w:t>
      </w:r>
      <w:proofErr w:type="spellEnd"/>
      <w:r>
        <w:t xml:space="preserve">) </w:t>
      </w:r>
      <w:r w:rsidRPr="00366E37">
        <w:t>for the proposed indication and dosage regimens.</w:t>
      </w:r>
    </w:p>
    <w:p w14:paraId="51EAFB57" w14:textId="77777777" w:rsidR="008E7846" w:rsidRDefault="00386150" w:rsidP="007B6132">
      <w:pPr>
        <w:pStyle w:val="Heading3"/>
        <w:rPr>
          <w:lang w:eastAsia="en-AU"/>
        </w:rPr>
      </w:pPr>
      <w:bookmarkStart w:id="42" w:name="_Toc71188741"/>
      <w:r>
        <w:rPr>
          <w:lang w:eastAsia="en-AU"/>
        </w:rPr>
        <w:t>Risk m</w:t>
      </w:r>
      <w:r w:rsidR="008E7846">
        <w:rPr>
          <w:lang w:eastAsia="en-AU"/>
        </w:rPr>
        <w:t xml:space="preserve">anagement </w:t>
      </w:r>
      <w:r>
        <w:rPr>
          <w:lang w:eastAsia="en-AU"/>
        </w:rPr>
        <w:t>p</w:t>
      </w:r>
      <w:r w:rsidR="008E7846">
        <w:rPr>
          <w:lang w:eastAsia="en-AU"/>
        </w:rPr>
        <w:t>lan</w:t>
      </w:r>
      <w:bookmarkEnd w:id="40"/>
      <w:bookmarkEnd w:id="42"/>
    </w:p>
    <w:p w14:paraId="3EB91465" w14:textId="77777777" w:rsidR="008E7846" w:rsidRDefault="007D53B6" w:rsidP="007D53B6">
      <w:r>
        <w:t>There was no requirement for a risk management plan evaluation for a submission of this type.</w:t>
      </w:r>
      <w:r>
        <w:rPr>
          <w:rStyle w:val="FootnoteReference"/>
        </w:rPr>
        <w:footnoteReference w:id="10"/>
      </w:r>
    </w:p>
    <w:p w14:paraId="5D502DB9" w14:textId="77777777" w:rsidR="008E7846" w:rsidRDefault="00AA0ED0" w:rsidP="008E7846">
      <w:pPr>
        <w:pStyle w:val="Heading3"/>
      </w:pPr>
      <w:bookmarkStart w:id="43" w:name="_Toc247691531"/>
      <w:bookmarkStart w:id="44" w:name="_Toc314842515"/>
      <w:bookmarkStart w:id="45" w:name="_Toc196046505"/>
      <w:bookmarkStart w:id="46" w:name="_Toc196046949"/>
      <w:bookmarkStart w:id="47" w:name="_Toc71188742"/>
      <w:r>
        <w:t>Risk-benefit a</w:t>
      </w:r>
      <w:r w:rsidR="008E7846">
        <w:t>nalysis</w:t>
      </w:r>
      <w:bookmarkEnd w:id="43"/>
      <w:bookmarkEnd w:id="44"/>
      <w:bookmarkEnd w:id="47"/>
    </w:p>
    <w:p w14:paraId="67F6F389" w14:textId="77777777" w:rsidR="00D23139" w:rsidRDefault="007D53B6" w:rsidP="00D23139">
      <w:pPr>
        <w:pStyle w:val="Heading4"/>
      </w:pPr>
      <w:r>
        <w:t>Delegate’s considerations</w:t>
      </w:r>
    </w:p>
    <w:p w14:paraId="07E9CD1A" w14:textId="77777777" w:rsidR="00542203" w:rsidRDefault="00542203" w:rsidP="00542203">
      <w:r>
        <w:t>The Delegate makes a decision under the therapeutic goods act in relation to quality, safety and efficacy.</w:t>
      </w:r>
    </w:p>
    <w:p w14:paraId="2F6E1B5D" w14:textId="77777777" w:rsidR="00542203" w:rsidRDefault="00542203" w:rsidP="00542203">
      <w:r>
        <w:t>In relation to quality:</w:t>
      </w:r>
    </w:p>
    <w:p w14:paraId="2E1C8C1D" w14:textId="00F249B1" w:rsidR="00542203" w:rsidRDefault="000462AF" w:rsidP="00542203">
      <w:r>
        <w:t>The nonc</w:t>
      </w:r>
      <w:r w:rsidR="00542203">
        <w:t xml:space="preserve">linical evaluator has confirmed that there are no other outstanding issues. The proposed </w:t>
      </w:r>
      <w:r>
        <w:t>PI</w:t>
      </w:r>
      <w:r w:rsidR="00542203">
        <w:t xml:space="preserve"> document is acceptable.</w:t>
      </w:r>
    </w:p>
    <w:p w14:paraId="1837F966" w14:textId="77777777" w:rsidR="00542203" w:rsidRDefault="00542203" w:rsidP="00542203">
      <w:r>
        <w:t>In relation to efficacy:</w:t>
      </w:r>
    </w:p>
    <w:p w14:paraId="36676EC2" w14:textId="6A0AD78F" w:rsidR="009F25CB" w:rsidRDefault="00542203" w:rsidP="00542203">
      <w:r>
        <w:t>In support of this new indication application, the sponsor c</w:t>
      </w:r>
      <w:r w:rsidR="000462AF">
        <w:t xml:space="preserve">onducted two identical pivotal Phase </w:t>
      </w:r>
      <w:r>
        <w:t>III, randomi</w:t>
      </w:r>
      <w:r w:rsidR="00F71A3F">
        <w:t>s</w:t>
      </w:r>
      <w:r>
        <w:t xml:space="preserve">ed, multicentre, double-blind, placebo-controlled clinical studies to assess the efficacy and safety of </w:t>
      </w:r>
      <w:proofErr w:type="spellStart"/>
      <w:r>
        <w:t>omalizumab</w:t>
      </w:r>
      <w:proofErr w:type="spellEnd"/>
      <w:r>
        <w:t xml:space="preserve"> </w:t>
      </w:r>
      <w:r w:rsidR="000462AF">
        <w:t>in patients with nasal polyps (S</w:t>
      </w:r>
      <w:r>
        <w:t>tudies</w:t>
      </w:r>
      <w:r w:rsidR="00F71A3F">
        <w:t> </w:t>
      </w:r>
      <w:r>
        <w:t>GA39688 and GA39855). The studies length was 24 weeks, with a 5-week run-in period and a 4-week safety follow-up period. Nevertheless,</w:t>
      </w:r>
      <w:r w:rsidR="000462AF">
        <w:t xml:space="preserve"> the sponsor has conducted the p</w:t>
      </w:r>
      <w:r>
        <w:t>olyp studies for 24 weeks and has initiated an open</w:t>
      </w:r>
      <w:r w:rsidR="000462AF">
        <w:t xml:space="preserve">-label extension </w:t>
      </w:r>
      <w:r w:rsidR="00F71A3F">
        <w:t>S</w:t>
      </w:r>
      <w:r w:rsidR="000462AF">
        <w:t>tudy WA40169,</w:t>
      </w:r>
      <w:r>
        <w:t xml:space="preserve"> with safety as primary objective.</w:t>
      </w:r>
    </w:p>
    <w:p w14:paraId="3910E4DD" w14:textId="1544E194" w:rsidR="00542203" w:rsidRDefault="000462AF" w:rsidP="00542203">
      <w:r>
        <w:t xml:space="preserve">Although exposure </w:t>
      </w:r>
      <w:r w:rsidR="00542203">
        <w:t xml:space="preserve">response </w:t>
      </w:r>
      <w:r>
        <w:t>analyses were conducted in the P</w:t>
      </w:r>
      <w:r w:rsidR="00542203">
        <w:t xml:space="preserve">hase III studies, there were uncertainties about the appropriate posology for the newly proposed indication. Overall, the </w:t>
      </w:r>
      <w:r>
        <w:t>PK</w:t>
      </w:r>
      <w:r w:rsidR="00542203">
        <w:t xml:space="preserve"> and </w:t>
      </w:r>
      <w:r>
        <w:t>PD</w:t>
      </w:r>
      <w:r w:rsidR="00542203">
        <w:t xml:space="preserve"> effect of </w:t>
      </w:r>
      <w:proofErr w:type="spellStart"/>
      <w:r w:rsidR="00542203">
        <w:t>omalizumab</w:t>
      </w:r>
      <w:proofErr w:type="spellEnd"/>
      <w:r w:rsidR="00542203">
        <w:t xml:space="preserve"> has been adequately characterised and does not appear to be different in subjects with nasal polyps compared to subjects with allergic asthma. Based on the current knowledge about the pathophysiology of </w:t>
      </w:r>
      <w:r w:rsidR="00F71A3F">
        <w:t xml:space="preserve">chronic </w:t>
      </w:r>
      <w:proofErr w:type="spellStart"/>
      <w:r w:rsidR="00F71A3F">
        <w:t>rhinosinusitis</w:t>
      </w:r>
      <w:proofErr w:type="spellEnd"/>
      <w:r w:rsidR="00F71A3F">
        <w:t xml:space="preserve"> with nasal polyps </w:t>
      </w:r>
      <w:r w:rsidR="00542203">
        <w:t xml:space="preserve">and its similarity to allergic asthma, and similar mechanism of action of </w:t>
      </w:r>
      <w:proofErr w:type="spellStart"/>
      <w:r w:rsidR="00542203">
        <w:t>omalizumab</w:t>
      </w:r>
      <w:proofErr w:type="spellEnd"/>
      <w:r w:rsidR="00542203">
        <w:t xml:space="preserve">, it appears reasonable that the same dosing regimen can be chosen for both allergic asthma and </w:t>
      </w:r>
      <w:r w:rsidR="00766986">
        <w:t xml:space="preserve">chronic </w:t>
      </w:r>
      <w:proofErr w:type="spellStart"/>
      <w:r w:rsidR="00766986">
        <w:t>rhinosinusitis</w:t>
      </w:r>
      <w:proofErr w:type="spellEnd"/>
      <w:r w:rsidR="00766986">
        <w:t xml:space="preserve"> with nasal polyps</w:t>
      </w:r>
      <w:r w:rsidR="00542203">
        <w:t>. The description of mechanism of action in the new indication in section</w:t>
      </w:r>
      <w:r w:rsidR="00766986">
        <w:t> </w:t>
      </w:r>
      <w:r w:rsidR="00542203">
        <w:t>5.1 as well as the dosing regimen pro</w:t>
      </w:r>
      <w:r w:rsidR="009F25CB">
        <w:t>posed in section 4.2 of the PI.</w:t>
      </w:r>
    </w:p>
    <w:p w14:paraId="5828CAB3" w14:textId="71901BD6" w:rsidR="009F25CB" w:rsidRDefault="000462AF" w:rsidP="00542203">
      <w:r>
        <w:t>There were two</w:t>
      </w:r>
      <w:r w:rsidR="0007616B">
        <w:t xml:space="preserve"> co-primary endpoints</w:t>
      </w:r>
      <w:r w:rsidR="00766986">
        <w:t>;</w:t>
      </w:r>
      <w:r w:rsidR="0007616B">
        <w:t xml:space="preserve"> that is</w:t>
      </w:r>
      <w:r w:rsidR="00766986">
        <w:t>,</w:t>
      </w:r>
      <w:r w:rsidR="0007616B">
        <w:t xml:space="preserve"> change in </w:t>
      </w:r>
      <w:r w:rsidR="00766986">
        <w:t>Nasal Polyp Score</w:t>
      </w:r>
      <w:r w:rsidR="00542203">
        <w:t xml:space="preserve"> and change in 7-day average of daily </w:t>
      </w:r>
      <w:r w:rsidR="0007616B">
        <w:t>N</w:t>
      </w:r>
      <w:r w:rsidR="00766986">
        <w:t xml:space="preserve">asal </w:t>
      </w:r>
      <w:r w:rsidR="0007616B">
        <w:t>C</w:t>
      </w:r>
      <w:r w:rsidR="00766986">
        <w:t xml:space="preserve">ongestion </w:t>
      </w:r>
      <w:r w:rsidR="0007616B">
        <w:t>S</w:t>
      </w:r>
      <w:r w:rsidR="00766986">
        <w:t>core</w:t>
      </w:r>
      <w:r w:rsidR="007028FB">
        <w:t xml:space="preserve"> at W</w:t>
      </w:r>
      <w:r w:rsidR="00542203">
        <w:t>eek 24. This approach appears reasonable as change in nasal polyp size on its own is not considered sufficient but adding an endpoint evaluating the impact of symptoms is of importance in measurin</w:t>
      </w:r>
      <w:r w:rsidR="009F25CB">
        <w:t xml:space="preserve">g </w:t>
      </w:r>
      <w:r w:rsidR="0007616B">
        <w:t>outcomes in nasal polyposis.</w:t>
      </w:r>
    </w:p>
    <w:p w14:paraId="2FF51BC1" w14:textId="1B915AC3" w:rsidR="00542203" w:rsidRDefault="00542203" w:rsidP="00542203">
      <w:r>
        <w:t xml:space="preserve">Both studies met their primary objectives and demonstrated that </w:t>
      </w:r>
      <w:proofErr w:type="spellStart"/>
      <w:r>
        <w:t>omalizumab</w:t>
      </w:r>
      <w:proofErr w:type="spellEnd"/>
      <w:r>
        <w:t xml:space="preserve"> was statistically more effective in the treatment of nasal polyps compared with placebo in patients with inadequate response to intranasal corticosteroids and who were on background intranasal mometasone therapy. Subgroup analyses showed no relevant differenc</w:t>
      </w:r>
      <w:r w:rsidR="0007616B">
        <w:t>es in the co-primary endpoints.</w:t>
      </w:r>
    </w:p>
    <w:p w14:paraId="69369613" w14:textId="7DE8072F" w:rsidR="00542203" w:rsidRDefault="00542203" w:rsidP="00542203">
      <w:r>
        <w:t xml:space="preserve">There appears to be no consistently applied definition of disease severity in </w:t>
      </w:r>
      <w:r w:rsidR="00766986">
        <w:t xml:space="preserve">chronic </w:t>
      </w:r>
      <w:proofErr w:type="spellStart"/>
      <w:r w:rsidR="00766986">
        <w:t>rhinosinusitis</w:t>
      </w:r>
      <w:proofErr w:type="spellEnd"/>
      <w:r w:rsidR="00766986">
        <w:t xml:space="preserve"> with nasal polyps</w:t>
      </w:r>
      <w:r>
        <w:t>. Severe disease may be defined by the treatment interventions required such as prior polyp surgery or systemic steroid treatment or it may be defined by scoring systems such as the N</w:t>
      </w:r>
      <w:r w:rsidR="00766986">
        <w:t>asal Polyp Score</w:t>
      </w:r>
      <w:r>
        <w:t xml:space="preserve"> and </w:t>
      </w:r>
      <w:r w:rsidR="00766986">
        <w:t>the Sino-Nasal Outcome Test-22</w:t>
      </w:r>
      <w:r>
        <w:t xml:space="preserve"> or by the presence of comorbid allergic asthma. The studies investigating the use of biologics in the treatment of </w:t>
      </w:r>
      <w:r w:rsidR="00766986">
        <w:t xml:space="preserve">chronic </w:t>
      </w:r>
      <w:proofErr w:type="spellStart"/>
      <w:r w:rsidR="00766986">
        <w:t>rhinosinusitis</w:t>
      </w:r>
      <w:proofErr w:type="spellEnd"/>
      <w:r w:rsidR="00766986">
        <w:t xml:space="preserve"> with nasal polyps </w:t>
      </w:r>
      <w:r>
        <w:t xml:space="preserve">have sought to investigate patients with severe </w:t>
      </w:r>
      <w:r w:rsidR="00766986">
        <w:t xml:space="preserve">disease </w:t>
      </w:r>
      <w:r>
        <w:t>but have used different definitions</w:t>
      </w:r>
      <w:r w:rsidR="00766986">
        <w:t>.</w:t>
      </w:r>
    </w:p>
    <w:p w14:paraId="6E28445F" w14:textId="4C45D45F" w:rsidR="00542203" w:rsidRDefault="00542203" w:rsidP="00542203">
      <w:r>
        <w:t xml:space="preserve">Although results should be interpreted with caution as there are differences in study designs and included populations, comparison of the baseline disease characteristics tables in the published studies show that, on the basis of prior surgery and systemic corticosteroid use, populations with more severe disease were investigated in the </w:t>
      </w:r>
      <w:proofErr w:type="spellStart"/>
      <w:r>
        <w:t>mepolizumab</w:t>
      </w:r>
      <w:proofErr w:type="spellEnd"/>
      <w:r>
        <w:t xml:space="preserve"> and </w:t>
      </w:r>
      <w:proofErr w:type="spellStart"/>
      <w:r>
        <w:t>dupilumab</w:t>
      </w:r>
      <w:proofErr w:type="spellEnd"/>
      <w:r>
        <w:t xml:space="preserve"> studies. However, the mean </w:t>
      </w:r>
      <w:r w:rsidR="00766986">
        <w:t>Nasal Polyp Score</w:t>
      </w:r>
      <w:r>
        <w:t xml:space="preserve"> and </w:t>
      </w:r>
      <w:r w:rsidR="00766986">
        <w:t>Sino-Nasal Outcome-22 scores</w:t>
      </w:r>
      <w:r>
        <w:t xml:space="preserve"> indicate similar disease severity across the studies.</w:t>
      </w:r>
    </w:p>
    <w:p w14:paraId="19D3D8D1" w14:textId="74E3D383" w:rsidR="009F25CB" w:rsidRDefault="009F25CB" w:rsidP="008677EF">
      <w:pPr>
        <w:pStyle w:val="TableTitle"/>
      </w:pPr>
      <w:r w:rsidRPr="009F25CB">
        <w:t xml:space="preserve">Table </w:t>
      </w:r>
      <w:r>
        <w:fldChar w:fldCharType="begin"/>
      </w:r>
      <w:r>
        <w:instrText>SEQ Table \* ARABIC</w:instrText>
      </w:r>
      <w:r>
        <w:fldChar w:fldCharType="separate"/>
      </w:r>
      <w:r w:rsidR="000E4669">
        <w:rPr>
          <w:noProof/>
        </w:rPr>
        <w:t>7</w:t>
      </w:r>
      <w:r>
        <w:fldChar w:fldCharType="end"/>
      </w:r>
      <w:r>
        <w:t xml:space="preserve">: </w:t>
      </w:r>
      <w:r w:rsidRPr="009F25CB">
        <w:t>Baseline disease character</w:t>
      </w:r>
      <w:r w:rsidR="00904D5C">
        <w:t>istics of patients enrolled in randomised controlled trial</w:t>
      </w:r>
      <w:r w:rsidRPr="009F25CB">
        <w:t xml:space="preserve"> investigating the use of biologics in severe </w:t>
      </w:r>
      <w:r w:rsidR="00766986">
        <w:t xml:space="preserve">chronic </w:t>
      </w:r>
      <w:proofErr w:type="spellStart"/>
      <w:r w:rsidR="00766986">
        <w:t>rhinosinusitis</w:t>
      </w:r>
      <w:proofErr w:type="spellEnd"/>
      <w:r w:rsidR="00766986">
        <w:t xml:space="preserve"> with nasal polyps </w:t>
      </w:r>
    </w:p>
    <w:tbl>
      <w:tblPr>
        <w:tblStyle w:val="TableTGAblue"/>
        <w:tblW w:w="5000" w:type="pct"/>
        <w:tblLook w:val="04A0" w:firstRow="1" w:lastRow="0" w:firstColumn="1" w:lastColumn="0" w:noHBand="0" w:noVBand="1"/>
      </w:tblPr>
      <w:tblGrid>
        <w:gridCol w:w="2599"/>
        <w:gridCol w:w="1982"/>
        <w:gridCol w:w="2075"/>
        <w:gridCol w:w="1828"/>
      </w:tblGrid>
      <w:tr w:rsidR="009F25CB" w:rsidRPr="00D93F67" w14:paraId="23D9A70D" w14:textId="77777777" w:rsidTr="00D305AF">
        <w:trPr>
          <w:cnfStyle w:val="100000000000" w:firstRow="1" w:lastRow="0" w:firstColumn="0" w:lastColumn="0" w:oddVBand="0" w:evenVBand="0" w:oddHBand="0" w:evenHBand="0" w:firstRowFirstColumn="0" w:firstRowLastColumn="0" w:lastRowFirstColumn="0" w:lastRowLastColumn="0"/>
          <w:trHeight w:val="476"/>
        </w:trPr>
        <w:tc>
          <w:tcPr>
            <w:tcW w:w="1532" w:type="pct"/>
          </w:tcPr>
          <w:p w14:paraId="6F317768" w14:textId="77777777" w:rsidR="009F25CB" w:rsidRPr="00D93F67" w:rsidRDefault="009F25CB" w:rsidP="00904D5C">
            <w:pPr>
              <w:pStyle w:val="TableTitle"/>
            </w:pPr>
          </w:p>
        </w:tc>
        <w:tc>
          <w:tcPr>
            <w:tcW w:w="1168" w:type="pct"/>
            <w:hideMark/>
          </w:tcPr>
          <w:p w14:paraId="57BEB46F" w14:textId="77777777" w:rsidR="009F25CB" w:rsidRPr="00904D5C" w:rsidRDefault="009F25CB" w:rsidP="00904D5C">
            <w:pPr>
              <w:pStyle w:val="TableTitle"/>
              <w:rPr>
                <w:b/>
              </w:rPr>
            </w:pPr>
            <w:proofErr w:type="spellStart"/>
            <w:r w:rsidRPr="00904D5C">
              <w:rPr>
                <w:b/>
              </w:rPr>
              <w:t>Omalizumab</w:t>
            </w:r>
            <w:proofErr w:type="spellEnd"/>
            <w:r w:rsidRPr="00904D5C">
              <w:rPr>
                <w:rStyle w:val="FootnoteReference"/>
                <w:rFonts w:ascii="Calibri" w:hAnsi="Calibri" w:cs="Calibri"/>
                <w:b/>
              </w:rPr>
              <w:footnoteReference w:id="11"/>
            </w:r>
          </w:p>
        </w:tc>
        <w:tc>
          <w:tcPr>
            <w:tcW w:w="1223" w:type="pct"/>
            <w:hideMark/>
          </w:tcPr>
          <w:p w14:paraId="4A1CF6A4" w14:textId="77777777" w:rsidR="009F25CB" w:rsidRPr="00904D5C" w:rsidRDefault="009F25CB" w:rsidP="00904D5C">
            <w:pPr>
              <w:pStyle w:val="TableTitle"/>
              <w:rPr>
                <w:b/>
              </w:rPr>
            </w:pPr>
            <w:r w:rsidRPr="00904D5C">
              <w:rPr>
                <w:b/>
              </w:rPr>
              <w:t>Mepolizumab</w:t>
            </w:r>
            <w:r w:rsidRPr="00904D5C">
              <w:rPr>
                <w:rStyle w:val="FootnoteReference"/>
                <w:rFonts w:ascii="Calibri" w:hAnsi="Calibri" w:cs="Calibri"/>
                <w:b/>
              </w:rPr>
              <w:footnoteReference w:id="12"/>
            </w:r>
          </w:p>
        </w:tc>
        <w:tc>
          <w:tcPr>
            <w:tcW w:w="1077" w:type="pct"/>
            <w:hideMark/>
          </w:tcPr>
          <w:p w14:paraId="542ED622" w14:textId="77777777" w:rsidR="009F25CB" w:rsidRPr="00904D5C" w:rsidRDefault="009F25CB" w:rsidP="00904D5C">
            <w:pPr>
              <w:pStyle w:val="TableTitle"/>
              <w:rPr>
                <w:b/>
              </w:rPr>
            </w:pPr>
            <w:proofErr w:type="spellStart"/>
            <w:r w:rsidRPr="00904D5C">
              <w:rPr>
                <w:b/>
              </w:rPr>
              <w:t>Dupilumab</w:t>
            </w:r>
            <w:proofErr w:type="spellEnd"/>
            <w:r w:rsidRPr="00904D5C">
              <w:rPr>
                <w:rStyle w:val="FootnoteReference"/>
                <w:rFonts w:ascii="Calibri" w:hAnsi="Calibri" w:cs="Calibri"/>
                <w:b/>
              </w:rPr>
              <w:footnoteReference w:id="13"/>
            </w:r>
          </w:p>
        </w:tc>
      </w:tr>
      <w:tr w:rsidR="009F25CB" w:rsidRPr="00D93F67" w14:paraId="0B2095AD" w14:textId="77777777" w:rsidTr="00D305AF">
        <w:tc>
          <w:tcPr>
            <w:tcW w:w="1532" w:type="pct"/>
            <w:hideMark/>
          </w:tcPr>
          <w:p w14:paraId="6FEA693F" w14:textId="2B1F877B" w:rsidR="009F25CB" w:rsidRPr="00904D5C" w:rsidRDefault="009F25CB" w:rsidP="006A7869">
            <w:pPr>
              <w:pStyle w:val="TableTitle"/>
              <w:keepNext w:val="0"/>
              <w:rPr>
                <w:b w:val="0"/>
              </w:rPr>
            </w:pPr>
            <w:r w:rsidRPr="00904D5C">
              <w:rPr>
                <w:b w:val="0"/>
              </w:rPr>
              <w:t>Mean N</w:t>
            </w:r>
            <w:r w:rsidR="00766986">
              <w:rPr>
                <w:b w:val="0"/>
              </w:rPr>
              <w:t>asal Poly Score</w:t>
            </w:r>
          </w:p>
        </w:tc>
        <w:tc>
          <w:tcPr>
            <w:tcW w:w="1168" w:type="pct"/>
            <w:hideMark/>
          </w:tcPr>
          <w:p w14:paraId="0ED499B0" w14:textId="77777777" w:rsidR="009F25CB" w:rsidRPr="00904D5C" w:rsidRDefault="009F25CB" w:rsidP="006A7869">
            <w:pPr>
              <w:pStyle w:val="TableTitle"/>
              <w:keepNext w:val="0"/>
              <w:rPr>
                <w:b w:val="0"/>
              </w:rPr>
            </w:pPr>
            <w:r w:rsidRPr="00904D5C">
              <w:rPr>
                <w:b w:val="0"/>
              </w:rPr>
              <w:t>~ 6</w:t>
            </w:r>
          </w:p>
        </w:tc>
        <w:tc>
          <w:tcPr>
            <w:tcW w:w="1223" w:type="pct"/>
            <w:hideMark/>
          </w:tcPr>
          <w:p w14:paraId="0D18BBE6" w14:textId="77777777" w:rsidR="009F25CB" w:rsidRPr="00904D5C" w:rsidRDefault="009F25CB" w:rsidP="006A7869">
            <w:pPr>
              <w:pStyle w:val="TableTitle"/>
              <w:keepNext w:val="0"/>
              <w:rPr>
                <w:b w:val="0"/>
              </w:rPr>
            </w:pPr>
            <w:r w:rsidRPr="00904D5C">
              <w:rPr>
                <w:b w:val="0"/>
              </w:rPr>
              <w:t>~6</w:t>
            </w:r>
          </w:p>
        </w:tc>
        <w:tc>
          <w:tcPr>
            <w:tcW w:w="1077" w:type="pct"/>
            <w:hideMark/>
          </w:tcPr>
          <w:p w14:paraId="08ED1A8F" w14:textId="77777777" w:rsidR="009F25CB" w:rsidRPr="00904D5C" w:rsidRDefault="009F25CB" w:rsidP="006A7869">
            <w:pPr>
              <w:pStyle w:val="TableTitle"/>
              <w:keepNext w:val="0"/>
              <w:rPr>
                <w:b w:val="0"/>
              </w:rPr>
            </w:pPr>
            <w:r w:rsidRPr="00904D5C">
              <w:rPr>
                <w:b w:val="0"/>
              </w:rPr>
              <w:t>~6</w:t>
            </w:r>
          </w:p>
        </w:tc>
      </w:tr>
      <w:tr w:rsidR="009F25CB" w:rsidRPr="00D93F67" w14:paraId="6220BE00" w14:textId="77777777" w:rsidTr="00D305AF">
        <w:tc>
          <w:tcPr>
            <w:tcW w:w="1532" w:type="pct"/>
            <w:hideMark/>
          </w:tcPr>
          <w:p w14:paraId="7C1ACA63" w14:textId="5F6E8B69" w:rsidR="009F25CB" w:rsidRPr="00904D5C" w:rsidRDefault="009F25CB" w:rsidP="006A7869">
            <w:pPr>
              <w:pStyle w:val="TableTitle"/>
              <w:keepNext w:val="0"/>
              <w:rPr>
                <w:b w:val="0"/>
              </w:rPr>
            </w:pPr>
            <w:r w:rsidRPr="00904D5C">
              <w:rPr>
                <w:b w:val="0"/>
              </w:rPr>
              <w:t>Mean S</w:t>
            </w:r>
            <w:r w:rsidR="00766986">
              <w:rPr>
                <w:b w:val="0"/>
              </w:rPr>
              <w:t>ino-</w:t>
            </w:r>
            <w:r w:rsidRPr="00904D5C">
              <w:rPr>
                <w:b w:val="0"/>
              </w:rPr>
              <w:t>N</w:t>
            </w:r>
            <w:r w:rsidR="00766986">
              <w:rPr>
                <w:b w:val="0"/>
              </w:rPr>
              <w:t>asal Outcome Test</w:t>
            </w:r>
            <w:r w:rsidRPr="00904D5C">
              <w:rPr>
                <w:b w:val="0"/>
              </w:rPr>
              <w:t>-22</w:t>
            </w:r>
            <w:r w:rsidR="00766986">
              <w:rPr>
                <w:b w:val="0"/>
              </w:rPr>
              <w:t xml:space="preserve"> score</w:t>
            </w:r>
          </w:p>
        </w:tc>
        <w:tc>
          <w:tcPr>
            <w:tcW w:w="1168" w:type="pct"/>
            <w:hideMark/>
          </w:tcPr>
          <w:p w14:paraId="2AD32F2D" w14:textId="77777777" w:rsidR="009F25CB" w:rsidRPr="00904D5C" w:rsidRDefault="009F25CB" w:rsidP="006A7869">
            <w:pPr>
              <w:pStyle w:val="TableTitle"/>
              <w:keepNext w:val="0"/>
              <w:rPr>
                <w:b w:val="0"/>
              </w:rPr>
            </w:pPr>
            <w:r w:rsidRPr="00904D5C">
              <w:rPr>
                <w:b w:val="0"/>
              </w:rPr>
              <w:t>~ 60</w:t>
            </w:r>
          </w:p>
        </w:tc>
        <w:tc>
          <w:tcPr>
            <w:tcW w:w="1223" w:type="pct"/>
            <w:hideMark/>
          </w:tcPr>
          <w:p w14:paraId="02C5AAE4" w14:textId="77777777" w:rsidR="009F25CB" w:rsidRPr="00904D5C" w:rsidRDefault="009F25CB" w:rsidP="006A7869">
            <w:pPr>
              <w:pStyle w:val="TableTitle"/>
              <w:keepNext w:val="0"/>
              <w:rPr>
                <w:b w:val="0"/>
              </w:rPr>
            </w:pPr>
            <w:r w:rsidRPr="00904D5C">
              <w:rPr>
                <w:b w:val="0"/>
              </w:rPr>
              <w:t>~50</w:t>
            </w:r>
          </w:p>
        </w:tc>
        <w:tc>
          <w:tcPr>
            <w:tcW w:w="1077" w:type="pct"/>
            <w:hideMark/>
          </w:tcPr>
          <w:p w14:paraId="7439A2A0" w14:textId="77777777" w:rsidR="009F25CB" w:rsidRPr="00904D5C" w:rsidRDefault="009F25CB" w:rsidP="006A7869">
            <w:pPr>
              <w:pStyle w:val="TableTitle"/>
              <w:keepNext w:val="0"/>
              <w:rPr>
                <w:b w:val="0"/>
              </w:rPr>
            </w:pPr>
            <w:r w:rsidRPr="00904D5C">
              <w:rPr>
                <w:b w:val="0"/>
              </w:rPr>
              <w:t>~ 50</w:t>
            </w:r>
          </w:p>
        </w:tc>
      </w:tr>
      <w:tr w:rsidR="009F25CB" w:rsidRPr="00D93F67" w14:paraId="229E9AEF" w14:textId="77777777" w:rsidTr="00D305AF">
        <w:tc>
          <w:tcPr>
            <w:tcW w:w="1532" w:type="pct"/>
            <w:hideMark/>
          </w:tcPr>
          <w:p w14:paraId="1D25E9BB" w14:textId="77777777" w:rsidR="009F25CB" w:rsidRPr="00904D5C" w:rsidRDefault="009F25CB" w:rsidP="006A7869">
            <w:pPr>
              <w:pStyle w:val="TableTitle"/>
              <w:keepNext w:val="0"/>
              <w:rPr>
                <w:b w:val="0"/>
              </w:rPr>
            </w:pPr>
            <w:r w:rsidRPr="00904D5C">
              <w:rPr>
                <w:b w:val="0"/>
              </w:rPr>
              <w:t>Previous systemic corticosteroids (%)</w:t>
            </w:r>
          </w:p>
        </w:tc>
        <w:tc>
          <w:tcPr>
            <w:tcW w:w="1168" w:type="pct"/>
            <w:hideMark/>
          </w:tcPr>
          <w:p w14:paraId="52847BB5" w14:textId="77777777" w:rsidR="009F25CB" w:rsidRPr="00904D5C" w:rsidRDefault="009F25CB" w:rsidP="006A7869">
            <w:pPr>
              <w:pStyle w:val="TableTitle"/>
              <w:keepNext w:val="0"/>
              <w:rPr>
                <w:b w:val="0"/>
              </w:rPr>
            </w:pPr>
            <w:r w:rsidRPr="00904D5C">
              <w:rPr>
                <w:b w:val="0"/>
              </w:rPr>
              <w:t>12-30%</w:t>
            </w:r>
          </w:p>
        </w:tc>
        <w:tc>
          <w:tcPr>
            <w:tcW w:w="1223" w:type="pct"/>
            <w:hideMark/>
          </w:tcPr>
          <w:p w14:paraId="3F8AA140" w14:textId="77777777" w:rsidR="009F25CB" w:rsidRPr="00904D5C" w:rsidRDefault="009F25CB" w:rsidP="006A7869">
            <w:pPr>
              <w:pStyle w:val="TableTitle"/>
              <w:keepNext w:val="0"/>
              <w:rPr>
                <w:b w:val="0"/>
              </w:rPr>
            </w:pPr>
            <w:r w:rsidRPr="00904D5C">
              <w:rPr>
                <w:b w:val="0"/>
              </w:rPr>
              <w:t>NR</w:t>
            </w:r>
          </w:p>
        </w:tc>
        <w:tc>
          <w:tcPr>
            <w:tcW w:w="1077" w:type="pct"/>
            <w:hideMark/>
          </w:tcPr>
          <w:p w14:paraId="4458ED91" w14:textId="77777777" w:rsidR="009F25CB" w:rsidRPr="00904D5C" w:rsidRDefault="009F25CB" w:rsidP="006A7869">
            <w:pPr>
              <w:pStyle w:val="TableTitle"/>
              <w:keepNext w:val="0"/>
              <w:rPr>
                <w:b w:val="0"/>
              </w:rPr>
            </w:pPr>
            <w:r w:rsidRPr="00904D5C">
              <w:rPr>
                <w:b w:val="0"/>
              </w:rPr>
              <w:t>64-80%</w:t>
            </w:r>
          </w:p>
        </w:tc>
      </w:tr>
      <w:tr w:rsidR="009F25CB" w:rsidRPr="00D93F67" w14:paraId="4256B77C" w14:textId="77777777" w:rsidTr="00D305AF">
        <w:tc>
          <w:tcPr>
            <w:tcW w:w="1532" w:type="pct"/>
            <w:hideMark/>
          </w:tcPr>
          <w:p w14:paraId="39AA92B3" w14:textId="77777777" w:rsidR="009F25CB" w:rsidRPr="00904D5C" w:rsidRDefault="009F25CB" w:rsidP="006A7869">
            <w:pPr>
              <w:pStyle w:val="TableTitle"/>
              <w:keepNext w:val="0"/>
              <w:rPr>
                <w:b w:val="0"/>
              </w:rPr>
            </w:pPr>
            <w:r w:rsidRPr="00904D5C">
              <w:rPr>
                <w:b w:val="0"/>
              </w:rPr>
              <w:t>Previous polyp surgery (%)</w:t>
            </w:r>
          </w:p>
        </w:tc>
        <w:tc>
          <w:tcPr>
            <w:tcW w:w="1168" w:type="pct"/>
            <w:hideMark/>
          </w:tcPr>
          <w:p w14:paraId="5FCAA8A1" w14:textId="77777777" w:rsidR="009F25CB" w:rsidRPr="00904D5C" w:rsidRDefault="009F25CB" w:rsidP="006A7869">
            <w:pPr>
              <w:pStyle w:val="TableTitle"/>
              <w:keepNext w:val="0"/>
              <w:rPr>
                <w:b w:val="0"/>
              </w:rPr>
            </w:pPr>
            <w:r w:rsidRPr="00904D5C">
              <w:rPr>
                <w:b w:val="0"/>
              </w:rPr>
              <w:t>~ 60</w:t>
            </w:r>
          </w:p>
        </w:tc>
        <w:tc>
          <w:tcPr>
            <w:tcW w:w="1223" w:type="pct"/>
            <w:hideMark/>
          </w:tcPr>
          <w:p w14:paraId="7CB40CE4" w14:textId="77777777" w:rsidR="009F25CB" w:rsidRPr="00904D5C" w:rsidRDefault="009F25CB" w:rsidP="006A7869">
            <w:pPr>
              <w:pStyle w:val="TableTitle"/>
              <w:keepNext w:val="0"/>
              <w:rPr>
                <w:b w:val="0"/>
              </w:rPr>
            </w:pPr>
            <w:r w:rsidRPr="00904D5C">
              <w:rPr>
                <w:b w:val="0"/>
              </w:rPr>
              <w:t>100</w:t>
            </w:r>
          </w:p>
        </w:tc>
        <w:tc>
          <w:tcPr>
            <w:tcW w:w="1077" w:type="pct"/>
            <w:hideMark/>
          </w:tcPr>
          <w:p w14:paraId="225F6FF4" w14:textId="77777777" w:rsidR="009F25CB" w:rsidRPr="00904D5C" w:rsidRDefault="009F25CB" w:rsidP="006A7869">
            <w:pPr>
              <w:pStyle w:val="TableTitle"/>
              <w:keepNext w:val="0"/>
              <w:rPr>
                <w:b w:val="0"/>
              </w:rPr>
            </w:pPr>
            <w:r w:rsidRPr="00904D5C">
              <w:rPr>
                <w:b w:val="0"/>
              </w:rPr>
              <w:t>50-60</w:t>
            </w:r>
          </w:p>
        </w:tc>
      </w:tr>
      <w:tr w:rsidR="009F25CB" w:rsidRPr="00D93F67" w14:paraId="5F74CB5C" w14:textId="77777777" w:rsidTr="00D305AF">
        <w:tc>
          <w:tcPr>
            <w:tcW w:w="1532" w:type="pct"/>
            <w:hideMark/>
          </w:tcPr>
          <w:p w14:paraId="13C9F3B4" w14:textId="77777777" w:rsidR="009F25CB" w:rsidRPr="00904D5C" w:rsidRDefault="009F25CB" w:rsidP="006A7869">
            <w:pPr>
              <w:pStyle w:val="TableTitle"/>
              <w:keepNext w:val="0"/>
              <w:rPr>
                <w:b w:val="0"/>
              </w:rPr>
            </w:pPr>
            <w:r w:rsidRPr="00904D5C">
              <w:rPr>
                <w:b w:val="0"/>
              </w:rPr>
              <w:t>Comorbid asthma (%)</w:t>
            </w:r>
          </w:p>
        </w:tc>
        <w:tc>
          <w:tcPr>
            <w:tcW w:w="1168" w:type="pct"/>
            <w:hideMark/>
          </w:tcPr>
          <w:p w14:paraId="45970A32" w14:textId="77777777" w:rsidR="009F25CB" w:rsidRPr="00904D5C" w:rsidRDefault="009F25CB" w:rsidP="006A7869">
            <w:pPr>
              <w:pStyle w:val="TableTitle"/>
              <w:keepNext w:val="0"/>
              <w:rPr>
                <w:b w:val="0"/>
              </w:rPr>
            </w:pPr>
            <w:r w:rsidRPr="00904D5C">
              <w:rPr>
                <w:b w:val="0"/>
              </w:rPr>
              <w:t>48-61</w:t>
            </w:r>
          </w:p>
        </w:tc>
        <w:tc>
          <w:tcPr>
            <w:tcW w:w="1223" w:type="pct"/>
            <w:hideMark/>
          </w:tcPr>
          <w:p w14:paraId="4E6EF6C8" w14:textId="77777777" w:rsidR="009F25CB" w:rsidRPr="00904D5C" w:rsidRDefault="009F25CB" w:rsidP="006A7869">
            <w:pPr>
              <w:pStyle w:val="TableTitle"/>
              <w:keepNext w:val="0"/>
              <w:rPr>
                <w:b w:val="0"/>
              </w:rPr>
            </w:pPr>
            <w:r w:rsidRPr="00904D5C">
              <w:rPr>
                <w:b w:val="0"/>
              </w:rPr>
              <w:t>75-80</w:t>
            </w:r>
          </w:p>
        </w:tc>
        <w:tc>
          <w:tcPr>
            <w:tcW w:w="1077" w:type="pct"/>
            <w:hideMark/>
          </w:tcPr>
          <w:p w14:paraId="11FE2F99" w14:textId="77777777" w:rsidR="009F25CB" w:rsidRPr="00904D5C" w:rsidRDefault="009F25CB" w:rsidP="006A7869">
            <w:pPr>
              <w:pStyle w:val="TableTitle"/>
              <w:keepNext w:val="0"/>
              <w:rPr>
                <w:b w:val="0"/>
              </w:rPr>
            </w:pPr>
            <w:r w:rsidRPr="00904D5C">
              <w:rPr>
                <w:b w:val="0"/>
              </w:rPr>
              <w:t>57-63</w:t>
            </w:r>
          </w:p>
        </w:tc>
      </w:tr>
      <w:tr w:rsidR="009F25CB" w:rsidRPr="00D93F67" w14:paraId="0B20A3A7" w14:textId="77777777" w:rsidTr="00D305AF">
        <w:tc>
          <w:tcPr>
            <w:tcW w:w="5000" w:type="pct"/>
            <w:gridSpan w:val="4"/>
          </w:tcPr>
          <w:p w14:paraId="1EAA6CE7" w14:textId="77777777" w:rsidR="009F25CB" w:rsidRPr="00904D5C" w:rsidRDefault="009F25CB" w:rsidP="006A7869">
            <w:pPr>
              <w:pStyle w:val="TableTitle"/>
              <w:keepNext w:val="0"/>
              <w:rPr>
                <w:b w:val="0"/>
                <w:i/>
                <w:sz w:val="18"/>
                <w:szCs w:val="18"/>
              </w:rPr>
            </w:pPr>
            <w:r w:rsidRPr="00904D5C">
              <w:rPr>
                <w:b w:val="0"/>
                <w:i/>
                <w:sz w:val="18"/>
                <w:szCs w:val="18"/>
              </w:rPr>
              <w:t>Numbers represent ranges or approximation of numbers as extracted by the evaluator from the baseline disease characteristics tables in the related publications</w:t>
            </w:r>
          </w:p>
        </w:tc>
      </w:tr>
    </w:tbl>
    <w:p w14:paraId="3DF47393" w14:textId="40BD4C1C" w:rsidR="0097179D" w:rsidRDefault="0097179D" w:rsidP="0097179D">
      <w:r>
        <w:t>On review of the applicant’s materials and other literature, the Delegate think</w:t>
      </w:r>
      <w:r w:rsidR="00766986">
        <w:t>s</w:t>
      </w:r>
      <w:r>
        <w:t xml:space="preserve"> that those patients with </w:t>
      </w:r>
      <w:r w:rsidR="00766986">
        <w:t xml:space="preserve">chronic </w:t>
      </w:r>
      <w:proofErr w:type="spellStart"/>
      <w:r w:rsidR="00766986">
        <w:t>rhinosinusitis</w:t>
      </w:r>
      <w:proofErr w:type="spellEnd"/>
      <w:r w:rsidR="00766986">
        <w:t xml:space="preserve"> with nasal polyps </w:t>
      </w:r>
      <w:r>
        <w:t xml:space="preserve">who enrolled in the replicate </w:t>
      </w:r>
      <w:proofErr w:type="spellStart"/>
      <w:r>
        <w:t>omalizumab</w:t>
      </w:r>
      <w:proofErr w:type="spellEnd"/>
      <w:r>
        <w:t xml:space="preserve"> studies s</w:t>
      </w:r>
      <w:r w:rsidR="00FE53AA">
        <w:t>hould be considered as having ‘severe’</w:t>
      </w:r>
      <w:r>
        <w:t xml:space="preserve"> disease based on baseline severity scores.</w:t>
      </w:r>
    </w:p>
    <w:p w14:paraId="38AC8984" w14:textId="2945D45B" w:rsidR="0097179D" w:rsidRDefault="0097179D" w:rsidP="0097179D">
      <w:r>
        <w:t>For the secondary endpoints</w:t>
      </w:r>
      <w:r w:rsidR="00766986">
        <w:t>,</w:t>
      </w:r>
      <w:r>
        <w:t xml:space="preserve"> </w:t>
      </w:r>
      <w:r w:rsidR="00766986">
        <w:t>Total Nasal Symptom Score</w:t>
      </w:r>
      <w:r>
        <w:t>, S</w:t>
      </w:r>
      <w:r w:rsidR="00766986">
        <w:t>ino-Nasal Outcome Test-22 score, and University of Philadelphia Smell Identification Test scores</w:t>
      </w:r>
      <w:r>
        <w:t xml:space="preserve">, </w:t>
      </w:r>
      <w:proofErr w:type="spellStart"/>
      <w:r>
        <w:t>omalizumab</w:t>
      </w:r>
      <w:proofErr w:type="spellEnd"/>
      <w:r>
        <w:t xml:space="preserve"> showed improvement compared to placebo (p-value of &lt;</w:t>
      </w:r>
      <w:r w:rsidR="00FE53AA">
        <w:t> </w:t>
      </w:r>
      <w:r>
        <w:t>0.05 in both studies).</w:t>
      </w:r>
    </w:p>
    <w:p w14:paraId="63A56125" w14:textId="6924B2AC" w:rsidR="0097179D" w:rsidRDefault="0097179D" w:rsidP="0097179D">
      <w:r>
        <w:t>In relation to safety:</w:t>
      </w:r>
    </w:p>
    <w:p w14:paraId="5A8CA3A1" w14:textId="54A77A9F" w:rsidR="0097179D" w:rsidRDefault="0097179D" w:rsidP="0097179D">
      <w:r>
        <w:t xml:space="preserve">The overall safety profile as recorded from the two pivotal </w:t>
      </w:r>
      <w:r w:rsidR="00FE53AA">
        <w:t>Studies</w:t>
      </w:r>
      <w:r>
        <w:t xml:space="preserve"> GA39688 and GA39855 supports the known safety profile of </w:t>
      </w:r>
      <w:proofErr w:type="spellStart"/>
      <w:r>
        <w:t>Xolair</w:t>
      </w:r>
      <w:proofErr w:type="spellEnd"/>
      <w:r>
        <w:t xml:space="preserve"> in its currently approved indications. The longer-term safety data will be available from the ongoing </w:t>
      </w:r>
      <w:r w:rsidR="00766986">
        <w:t>open label extension</w:t>
      </w:r>
      <w:r>
        <w:t xml:space="preserve"> study.</w:t>
      </w:r>
    </w:p>
    <w:p w14:paraId="44FE460D" w14:textId="77777777" w:rsidR="0097179D" w:rsidRDefault="0097179D" w:rsidP="0097179D">
      <w:pPr>
        <w:pStyle w:val="Heading4"/>
      </w:pPr>
      <w:r w:rsidRPr="00D23139">
        <w:t>Proposed action</w:t>
      </w:r>
    </w:p>
    <w:p w14:paraId="079D15CC" w14:textId="2E2F5604" w:rsidR="0097179D" w:rsidRDefault="0097179D" w:rsidP="0097179D">
      <w:r>
        <w:t xml:space="preserve">Chronic </w:t>
      </w:r>
      <w:proofErr w:type="spellStart"/>
      <w:r>
        <w:t>rhinosinu</w:t>
      </w:r>
      <w:r w:rsidR="00FE53AA">
        <w:t>sitis</w:t>
      </w:r>
      <w:proofErr w:type="spellEnd"/>
      <w:r w:rsidR="00FE53AA">
        <w:t xml:space="preserve"> with nasal polyps</w:t>
      </w:r>
      <w:r>
        <w:t xml:space="preserve"> is a h</w:t>
      </w:r>
      <w:r w:rsidR="00FE53AA">
        <w:t>eterogeneous disease characteris</w:t>
      </w:r>
      <w:r>
        <w:t>ed by inflammation of the nose and paranasal sinuses, tissue oedema, nasal obstruction, and increased mucus production causing symptoms including nasal congestion/obstruction, loss of sense of smell, and rhinorrhoea. Nasal polyposis is not a potential fatal condition, but severe polyposis can contribute to symptoms and conditions associated with a substantial impact on quality of life and health.</w:t>
      </w:r>
    </w:p>
    <w:p w14:paraId="06F24558" w14:textId="6907EF33" w:rsidR="0097179D" w:rsidRDefault="00FE53AA" w:rsidP="0097179D">
      <w:r>
        <w:t xml:space="preserve">Although exposure </w:t>
      </w:r>
      <w:r w:rsidR="0097179D">
        <w:t xml:space="preserve">response </w:t>
      </w:r>
      <w:r w:rsidR="005C6EDC">
        <w:t>analyses were conducted in the P</w:t>
      </w:r>
      <w:r w:rsidR="0097179D">
        <w:t xml:space="preserve">hase III studies, there were uncertainties about the appropriate posology for the newly proposed indication. Overall, the pharmacokinetics and pharmacodynamics effect of </w:t>
      </w:r>
      <w:proofErr w:type="spellStart"/>
      <w:r w:rsidR="0097179D">
        <w:t>omalizumab</w:t>
      </w:r>
      <w:proofErr w:type="spellEnd"/>
      <w:r w:rsidR="0097179D">
        <w:t xml:space="preserve"> has been adequately characterised and does not appear to be different in subjects with nasal polyps compared to subjects with allergic asthma (this has been adequately reflected in the PI). Based on the current knowledge about the pathophysiology of </w:t>
      </w:r>
      <w:r w:rsidR="00766986">
        <w:t xml:space="preserve">chronic </w:t>
      </w:r>
      <w:proofErr w:type="spellStart"/>
      <w:r w:rsidR="00766986">
        <w:t>rhinosinusitis</w:t>
      </w:r>
      <w:proofErr w:type="spellEnd"/>
      <w:r w:rsidR="00766986">
        <w:t xml:space="preserve"> with nasal polyps</w:t>
      </w:r>
      <w:r w:rsidR="0097179D">
        <w:t xml:space="preserve"> and its similarity to allergic asthma, and similar mechanism of action of </w:t>
      </w:r>
      <w:proofErr w:type="spellStart"/>
      <w:r w:rsidR="0097179D">
        <w:t>omalizumab</w:t>
      </w:r>
      <w:proofErr w:type="spellEnd"/>
      <w:r w:rsidR="0097179D">
        <w:t xml:space="preserve">, it appears reasonable that the same dosing regimen can be chosen for both allergic asthma and </w:t>
      </w:r>
      <w:r w:rsidR="00766986">
        <w:t xml:space="preserve">chronic </w:t>
      </w:r>
      <w:proofErr w:type="spellStart"/>
      <w:r w:rsidR="00766986">
        <w:t>rhinosinusitis</w:t>
      </w:r>
      <w:proofErr w:type="spellEnd"/>
      <w:r w:rsidR="00766986">
        <w:t xml:space="preserve"> with nasal polyps,</w:t>
      </w:r>
      <w:r w:rsidR="0097179D">
        <w:t xml:space="preserve"> although advice is sought from the committee regarding this issues.</w:t>
      </w:r>
    </w:p>
    <w:p w14:paraId="4FABB541" w14:textId="1A72422C" w:rsidR="0097179D" w:rsidRDefault="0097179D" w:rsidP="0097179D">
      <w:r>
        <w:t xml:space="preserve">Therapeutic </w:t>
      </w:r>
      <w:r w:rsidR="00F154EB">
        <w:t>i</w:t>
      </w:r>
      <w:r>
        <w:t xml:space="preserve">ndication proposed (Post </w:t>
      </w:r>
      <w:r w:rsidR="005C6EDC">
        <w:t>TGA questions</w:t>
      </w:r>
      <w:r>
        <w:t>):</w:t>
      </w:r>
    </w:p>
    <w:p w14:paraId="0955687E" w14:textId="07DD57F6" w:rsidR="0097179D" w:rsidRDefault="0097179D" w:rsidP="002A5B76">
      <w:pPr>
        <w:ind w:left="720"/>
      </w:pPr>
      <w:r w:rsidRPr="005C6EDC">
        <w:rPr>
          <w:i/>
        </w:rPr>
        <w:t xml:space="preserve">Chronic </w:t>
      </w:r>
      <w:proofErr w:type="spellStart"/>
      <w:r w:rsidRPr="005C6EDC">
        <w:rPr>
          <w:i/>
        </w:rPr>
        <w:t>rhinosinusitis</w:t>
      </w:r>
      <w:proofErr w:type="spellEnd"/>
      <w:r w:rsidRPr="005C6EDC">
        <w:rPr>
          <w:i/>
        </w:rPr>
        <w:t xml:space="preserve"> with nasal polyps (</w:t>
      </w:r>
      <w:proofErr w:type="spellStart"/>
      <w:r w:rsidRPr="005C6EDC">
        <w:rPr>
          <w:i/>
        </w:rPr>
        <w:t>CRSwNP</w:t>
      </w:r>
      <w:proofErr w:type="spellEnd"/>
      <w:r w:rsidRPr="005C6EDC">
        <w:rPr>
          <w:i/>
        </w:rPr>
        <w:t xml:space="preserve">): </w:t>
      </w:r>
      <w:proofErr w:type="spellStart"/>
      <w:r w:rsidRPr="005C6EDC">
        <w:rPr>
          <w:i/>
        </w:rPr>
        <w:t>Xolair</w:t>
      </w:r>
      <w:proofErr w:type="spellEnd"/>
      <w:r w:rsidRPr="005C6EDC">
        <w:rPr>
          <w:i/>
        </w:rPr>
        <w:t xml:space="preserve"> is indicated as add-on treatment in adult patients (18 years of age and above) for the treatment of </w:t>
      </w:r>
      <w:proofErr w:type="spellStart"/>
      <w:r w:rsidRPr="005C6EDC">
        <w:rPr>
          <w:i/>
        </w:rPr>
        <w:t>CRSwNP</w:t>
      </w:r>
      <w:proofErr w:type="spellEnd"/>
      <w:r w:rsidRPr="005C6EDC">
        <w:rPr>
          <w:i/>
        </w:rPr>
        <w:t xml:space="preserve"> with inadequate response to intranasal corticosteroids and who have serum immunoglobulin E levels corresponding</w:t>
      </w:r>
      <w:r w:rsidR="005C6EDC" w:rsidRPr="005C6EDC">
        <w:rPr>
          <w:i/>
        </w:rPr>
        <w:t xml:space="preserve"> to the recommended dose range</w:t>
      </w:r>
    </w:p>
    <w:p w14:paraId="2C965023" w14:textId="7F39EA4D" w:rsidR="0097179D" w:rsidRDefault="0097179D" w:rsidP="0097179D">
      <w:r>
        <w:t xml:space="preserve">The Delegate thinks that those patients with </w:t>
      </w:r>
      <w:r w:rsidR="00F154EB">
        <w:t xml:space="preserve">chronic </w:t>
      </w:r>
      <w:proofErr w:type="spellStart"/>
      <w:r w:rsidR="00F154EB">
        <w:t>rhinosinusitis</w:t>
      </w:r>
      <w:proofErr w:type="spellEnd"/>
      <w:r w:rsidR="00F154EB">
        <w:t xml:space="preserve"> with nasal polyps</w:t>
      </w:r>
      <w:r>
        <w:t xml:space="preserve"> who enrolled in the replicate</w:t>
      </w:r>
      <w:r w:rsidR="00F154EB">
        <w:t>d</w:t>
      </w:r>
      <w:r>
        <w:t xml:space="preserve"> </w:t>
      </w:r>
      <w:proofErr w:type="spellStart"/>
      <w:r>
        <w:t>omalizumab</w:t>
      </w:r>
      <w:proofErr w:type="spellEnd"/>
      <w:r>
        <w:t xml:space="preserve"> studies </w:t>
      </w:r>
      <w:r w:rsidR="00292E4A">
        <w:t>should be considered as having ‘</w:t>
      </w:r>
      <w:r w:rsidR="00292E4A" w:rsidRPr="005C6EDC">
        <w:rPr>
          <w:i/>
        </w:rPr>
        <w:t>severe</w:t>
      </w:r>
      <w:r w:rsidR="00292E4A">
        <w:t>’</w:t>
      </w:r>
      <w:r>
        <w:t xml:space="preserve"> disease based on baseline severity scores and this should b</w:t>
      </w:r>
      <w:r w:rsidR="00292E4A">
        <w:t xml:space="preserve">e reflected in the indication, </w:t>
      </w:r>
      <w:r w:rsidR="00292E4A" w:rsidRPr="005C6EDC">
        <w:t>‘</w:t>
      </w:r>
      <w:r w:rsidRPr="005C6EDC">
        <w:rPr>
          <w:i/>
        </w:rPr>
        <w:t xml:space="preserve">…for </w:t>
      </w:r>
      <w:r w:rsidR="00292E4A" w:rsidRPr="005C6EDC">
        <w:rPr>
          <w:i/>
        </w:rPr>
        <w:t xml:space="preserve">the treatment of severe </w:t>
      </w:r>
      <w:proofErr w:type="spellStart"/>
      <w:r w:rsidR="00292E4A" w:rsidRPr="005C6EDC">
        <w:rPr>
          <w:i/>
        </w:rPr>
        <w:t>CRSwNP</w:t>
      </w:r>
      <w:proofErr w:type="spellEnd"/>
      <w:r w:rsidR="00292E4A" w:rsidRPr="005C6EDC">
        <w:rPr>
          <w:i/>
        </w:rPr>
        <w:t>…</w:t>
      </w:r>
      <w:r w:rsidR="00292E4A">
        <w:t>’</w:t>
      </w:r>
      <w:r>
        <w:t>- although advice is sought from the committee regarding the wording of the indication.</w:t>
      </w:r>
    </w:p>
    <w:p w14:paraId="7E32E6F3" w14:textId="0854ADCD" w:rsidR="009F25CB" w:rsidRPr="00542203" w:rsidRDefault="0097179D" w:rsidP="0097179D">
      <w:r>
        <w:t>Based on the above poin</w:t>
      </w:r>
      <w:r w:rsidR="003655C5">
        <w:t>ts, the D</w:t>
      </w:r>
      <w:r>
        <w:t xml:space="preserve">elegate considers the benefit-risk of </w:t>
      </w:r>
      <w:proofErr w:type="spellStart"/>
      <w:r>
        <w:t>X</w:t>
      </w:r>
      <w:r w:rsidR="003655C5">
        <w:t>olair</w:t>
      </w:r>
      <w:proofErr w:type="spellEnd"/>
      <w:r w:rsidR="003655C5">
        <w:t xml:space="preserve"> </w:t>
      </w:r>
      <w:r>
        <w:t xml:space="preserve">in the proposed indication, for the treatment of severe </w:t>
      </w:r>
      <w:proofErr w:type="spellStart"/>
      <w:r>
        <w:t>CRSwNP</w:t>
      </w:r>
      <w:proofErr w:type="spellEnd"/>
      <w:r>
        <w:t xml:space="preserve"> (indication </w:t>
      </w:r>
      <w:r w:rsidR="003655C5">
        <w:t xml:space="preserve">wording to be finalised post </w:t>
      </w:r>
      <w:r w:rsidR="003655C5" w:rsidRPr="00456765">
        <w:rPr>
          <w:bCs/>
        </w:rPr>
        <w:t>Advisory Committee on Medicines</w:t>
      </w:r>
      <w:r w:rsidR="003655C5">
        <w:rPr>
          <w:bCs/>
        </w:rPr>
        <w:t>(ACM)</w:t>
      </w:r>
      <w:r>
        <w:t>), as favourable although advice is sought from the committee regarding the specific issues raised above.</w:t>
      </w:r>
    </w:p>
    <w:p w14:paraId="568AFD7D" w14:textId="77777777" w:rsidR="007D53B6" w:rsidRDefault="007D53B6" w:rsidP="007D53B6">
      <w:pPr>
        <w:pStyle w:val="Heading4"/>
      </w:pPr>
      <w:r>
        <w:t xml:space="preserve">Questions for </w:t>
      </w:r>
      <w:r w:rsidR="00744121">
        <w:t xml:space="preserve">the </w:t>
      </w:r>
      <w:r>
        <w:t>sponsor</w:t>
      </w:r>
    </w:p>
    <w:p w14:paraId="2D2B9182" w14:textId="00F59ABA" w:rsidR="00744121" w:rsidRDefault="00744121" w:rsidP="00744121">
      <w:r>
        <w:t>The sponsor provided the following response to questions from the Delegate.</w:t>
      </w:r>
    </w:p>
    <w:p w14:paraId="693D8126" w14:textId="65536498" w:rsidR="005C6EDC" w:rsidRPr="002A5B76" w:rsidRDefault="005C6EDC" w:rsidP="00F154EB">
      <w:pPr>
        <w:pStyle w:val="Numberbullet0"/>
        <w:rPr>
          <w:b/>
          <w:i/>
        </w:rPr>
      </w:pPr>
      <w:r w:rsidRPr="002A5B76">
        <w:rPr>
          <w:b/>
          <w:i/>
        </w:rPr>
        <w:t xml:space="preserve">The Clinical Development Plan for the proposed indication of the treatment of patients with </w:t>
      </w:r>
      <w:r w:rsidR="00F154EB" w:rsidRPr="00F154EB">
        <w:rPr>
          <w:b/>
          <w:i/>
        </w:rPr>
        <w:t xml:space="preserve">chronic </w:t>
      </w:r>
      <w:proofErr w:type="spellStart"/>
      <w:r w:rsidR="00F154EB" w:rsidRPr="00F154EB">
        <w:rPr>
          <w:b/>
          <w:i/>
        </w:rPr>
        <w:t>rhinosinusitis</w:t>
      </w:r>
      <w:proofErr w:type="spellEnd"/>
      <w:r w:rsidR="00F154EB" w:rsidRPr="00F154EB">
        <w:rPr>
          <w:b/>
          <w:i/>
        </w:rPr>
        <w:t xml:space="preserve"> with nasal polyps</w:t>
      </w:r>
      <w:r w:rsidRPr="002A5B76">
        <w:rPr>
          <w:b/>
          <w:i/>
        </w:rPr>
        <w:t xml:space="preserve"> did not include dose finding studies. Only one dosing regimen (the regimen approved by the </w:t>
      </w:r>
      <w:r w:rsidR="00F154EB">
        <w:rPr>
          <w:b/>
          <w:i/>
        </w:rPr>
        <w:t>European Medicines Agency</w:t>
      </w:r>
      <w:r w:rsidR="00F154EB" w:rsidRPr="002A5B76">
        <w:rPr>
          <w:b/>
          <w:i/>
        </w:rPr>
        <w:t xml:space="preserve"> </w:t>
      </w:r>
      <w:r w:rsidRPr="002A5B76">
        <w:rPr>
          <w:b/>
          <w:i/>
        </w:rPr>
        <w:t xml:space="preserve">for use in severe asthma) was used in the 2 clinical studies based on current knowledge about the pathophysiology of nasal </w:t>
      </w:r>
      <w:r w:rsidR="00F154EB">
        <w:t xml:space="preserve">chronic </w:t>
      </w:r>
      <w:proofErr w:type="spellStart"/>
      <w:r w:rsidR="00F154EB">
        <w:t>rhinosinusitis</w:t>
      </w:r>
      <w:proofErr w:type="spellEnd"/>
      <w:r w:rsidR="00F154EB">
        <w:t xml:space="preserve"> with nasal polyps</w:t>
      </w:r>
      <w:r w:rsidR="00701F1E">
        <w:t xml:space="preserve"> </w:t>
      </w:r>
      <w:r w:rsidRPr="002A5B76">
        <w:rPr>
          <w:b/>
          <w:i/>
        </w:rPr>
        <w:t xml:space="preserve">and its similarity to allergic asthma, and similar mechanism of action of </w:t>
      </w:r>
      <w:proofErr w:type="spellStart"/>
      <w:r w:rsidRPr="002A5B76">
        <w:rPr>
          <w:b/>
          <w:i/>
        </w:rPr>
        <w:t>omalizumab</w:t>
      </w:r>
      <w:proofErr w:type="spellEnd"/>
      <w:r w:rsidRPr="002A5B76">
        <w:rPr>
          <w:b/>
          <w:i/>
        </w:rPr>
        <w:t>.</w:t>
      </w:r>
    </w:p>
    <w:p w14:paraId="6D639CB2" w14:textId="043AAE1B" w:rsidR="005C6EDC" w:rsidRDefault="005C6EDC" w:rsidP="005C6EDC">
      <w:r>
        <w:t xml:space="preserve">As previously discussed in our application and acknowledged by the TGA clinical evaluator, the pathophysiology of </w:t>
      </w:r>
      <w:r w:rsidR="00F154EB">
        <w:t xml:space="preserve">chronic </w:t>
      </w:r>
      <w:proofErr w:type="spellStart"/>
      <w:r w:rsidR="00F154EB">
        <w:t>rhinosinusitis</w:t>
      </w:r>
      <w:proofErr w:type="spellEnd"/>
      <w:r w:rsidR="00F154EB">
        <w:t xml:space="preserve"> with nasal polyps</w:t>
      </w:r>
      <w:r>
        <w:t xml:space="preserve"> and allergic asthma intersects and thus the proposed ‘</w:t>
      </w:r>
      <w:r w:rsidRPr="002A5B76">
        <w:rPr>
          <w:i/>
        </w:rPr>
        <w:t xml:space="preserve">use of the dosing tables for the treatment of severe allergic asthma in the studies investigating </w:t>
      </w:r>
      <w:proofErr w:type="spellStart"/>
      <w:r w:rsidRPr="002A5B76">
        <w:rPr>
          <w:i/>
        </w:rPr>
        <w:t>omalizumab</w:t>
      </w:r>
      <w:proofErr w:type="spellEnd"/>
      <w:r w:rsidRPr="002A5B76">
        <w:rPr>
          <w:i/>
        </w:rPr>
        <w:t xml:space="preserve"> in the treatment of </w:t>
      </w:r>
      <w:proofErr w:type="spellStart"/>
      <w:r w:rsidRPr="002A5B76">
        <w:rPr>
          <w:i/>
        </w:rPr>
        <w:t>CRSwNP</w:t>
      </w:r>
      <w:proofErr w:type="spellEnd"/>
      <w:r w:rsidRPr="002A5B76">
        <w:rPr>
          <w:i/>
        </w:rPr>
        <w:t xml:space="preserve"> is not unreasonable’</w:t>
      </w:r>
      <w:r>
        <w:t xml:space="preserve">. Patients with </w:t>
      </w:r>
      <w:r w:rsidR="00F154EB">
        <w:t xml:space="preserve">chronic </w:t>
      </w:r>
      <w:proofErr w:type="spellStart"/>
      <w:r w:rsidR="00F154EB">
        <w:t>rhinosinusitis</w:t>
      </w:r>
      <w:proofErr w:type="spellEnd"/>
      <w:r w:rsidR="00F154EB">
        <w:t xml:space="preserve"> with nasal polyps</w:t>
      </w:r>
      <w:r>
        <w:t xml:space="preserve"> and most patients with asthma share a common </w:t>
      </w:r>
      <w:proofErr w:type="spellStart"/>
      <w:r>
        <w:t>IgE</w:t>
      </w:r>
      <w:proofErr w:type="spellEnd"/>
      <w:r>
        <w:t xml:space="preserve">-associated </w:t>
      </w:r>
      <w:r w:rsidR="00F154EB">
        <w:t>t</w:t>
      </w:r>
      <w:r w:rsidR="00905339">
        <w:t>ype II</w:t>
      </w:r>
      <w:r>
        <w:t xml:space="preserve"> inflammatory response, characterised by elevated levels of interleukin</w:t>
      </w:r>
      <w:r w:rsidR="00F154EB">
        <w:t>s</w:t>
      </w:r>
      <w:r>
        <w:t xml:space="preserve"> (IL)</w:t>
      </w:r>
      <w:r w:rsidR="00F154EB">
        <w:t xml:space="preserve"> IL-</w:t>
      </w:r>
      <w:r>
        <w:t xml:space="preserve">4, </w:t>
      </w:r>
      <w:r w:rsidR="00F154EB">
        <w:t>-IL-</w:t>
      </w:r>
      <w:r w:rsidR="003655C5">
        <w:t xml:space="preserve">5, </w:t>
      </w:r>
      <w:r w:rsidR="00F154EB">
        <w:t>and IL--</w:t>
      </w:r>
      <w:r w:rsidR="003655C5">
        <w:t>13</w:t>
      </w:r>
      <w:r w:rsidR="00F154EB">
        <w:t>;</w:t>
      </w:r>
      <w:r w:rsidR="003655C5">
        <w:t xml:space="preserve"> eosinophils</w:t>
      </w:r>
      <w:r w:rsidR="00F154EB">
        <w:t>;</w:t>
      </w:r>
      <w:r w:rsidR="003655C5">
        <w:t xml:space="preserve"> T</w:t>
      </w:r>
      <w:r w:rsidR="00F154EB">
        <w:t>-</w:t>
      </w:r>
      <w:r w:rsidR="003655C5">
        <w:t xml:space="preserve">helper 2 cells, and </w:t>
      </w:r>
      <w:r w:rsidR="00F154EB">
        <w:t>t</w:t>
      </w:r>
      <w:r w:rsidR="003655C5">
        <w:t>ype II</w:t>
      </w:r>
      <w:r>
        <w:t xml:space="preserve"> innate lymphoid c</w:t>
      </w:r>
      <w:r w:rsidR="003655C5">
        <w:t>ells. In fact</w:t>
      </w:r>
      <w:r w:rsidR="00F154EB">
        <w:t>,</w:t>
      </w:r>
      <w:r w:rsidR="003655C5">
        <w:t xml:space="preserve"> approximately 20% to </w:t>
      </w:r>
      <w:r>
        <w:t>30% of patients with asthma have nasal polyps, particularly those patients with severe asthma or aspirin-exacerbated respiratory disease.</w:t>
      </w:r>
    </w:p>
    <w:p w14:paraId="558D7639" w14:textId="02DCF6CC" w:rsidR="005C6EDC" w:rsidRDefault="005C6EDC" w:rsidP="005C6EDC">
      <w:r>
        <w:t>Apart from the overlapping dise</w:t>
      </w:r>
      <w:r w:rsidR="003655C5">
        <w:t xml:space="preserve">ase pathophysiology and shared </w:t>
      </w:r>
      <w:r w:rsidR="00F154EB">
        <w:t>t</w:t>
      </w:r>
      <w:r w:rsidR="003655C5">
        <w:t>ype II</w:t>
      </w:r>
      <w:r>
        <w:t xml:space="preserve"> inflammation pathway between asthma and nasal polyposis, the following considerations support the adoption of the asthma dosing table for </w:t>
      </w:r>
      <w:r w:rsidR="00F154EB">
        <w:t xml:space="preserve">chronic </w:t>
      </w:r>
      <w:proofErr w:type="spellStart"/>
      <w:r w:rsidR="00F154EB">
        <w:t>rhinosinusitis</w:t>
      </w:r>
      <w:proofErr w:type="spellEnd"/>
      <w:r w:rsidR="00F154EB">
        <w:t xml:space="preserve"> with nasal polyps :</w:t>
      </w:r>
    </w:p>
    <w:p w14:paraId="467B74AF" w14:textId="7D948526" w:rsidR="005C6EDC" w:rsidRDefault="005C6EDC" w:rsidP="005C6EDC">
      <w:pPr>
        <w:pStyle w:val="ListBullet"/>
      </w:pPr>
      <w:r>
        <w:t xml:space="preserve">A series of proof-of-concept studies for nasal polyps successfully used the baseline </w:t>
      </w:r>
      <w:proofErr w:type="spellStart"/>
      <w:r>
        <w:t>IgE</w:t>
      </w:r>
      <w:proofErr w:type="spellEnd"/>
      <w:r>
        <w:t xml:space="preserve"> and body </w:t>
      </w:r>
      <w:r w:rsidR="00232422">
        <w:t>weight-based posology (</w:t>
      </w:r>
      <w:r w:rsidR="00F154EB">
        <w:t xml:space="preserve">see </w:t>
      </w:r>
      <w:r w:rsidR="00232422">
        <w:fldChar w:fldCharType="begin"/>
      </w:r>
      <w:r w:rsidR="00232422">
        <w:instrText xml:space="preserve"> REF _Ref67402529 \h </w:instrText>
      </w:r>
      <w:r w:rsidR="00232422">
        <w:fldChar w:fldCharType="separate"/>
      </w:r>
      <w:r w:rsidR="000E4669" w:rsidRPr="00D259F7">
        <w:t xml:space="preserve">Table </w:t>
      </w:r>
      <w:r w:rsidR="000E4669">
        <w:rPr>
          <w:noProof/>
        </w:rPr>
        <w:t>8</w:t>
      </w:r>
      <w:r w:rsidR="00232422">
        <w:fldChar w:fldCharType="end"/>
      </w:r>
      <w:r w:rsidR="00F154EB">
        <w:t>, below</w:t>
      </w:r>
      <w:r>
        <w:t>).</w:t>
      </w:r>
    </w:p>
    <w:p w14:paraId="64379E92" w14:textId="4388C1CA" w:rsidR="005C6EDC" w:rsidRDefault="005C6EDC" w:rsidP="005C6EDC">
      <w:pPr>
        <w:pStyle w:val="ListBullet"/>
      </w:pPr>
      <w:r>
        <w:t xml:space="preserve">The observed PK and PD profiles of </w:t>
      </w:r>
      <w:proofErr w:type="spellStart"/>
      <w:r>
        <w:t>omalizumab</w:t>
      </w:r>
      <w:proofErr w:type="spellEnd"/>
      <w:r>
        <w:t xml:space="preserve"> in patients with nasal polyps were adequately predicted using the established population PK/PD model that was used for asthma patients. More importantly, </w:t>
      </w:r>
      <w:proofErr w:type="spellStart"/>
      <w:r>
        <w:t>omalizumab</w:t>
      </w:r>
      <w:proofErr w:type="spellEnd"/>
      <w:r>
        <w:t xml:space="preserve"> demonstrated comparatively effective free </w:t>
      </w:r>
      <w:proofErr w:type="spellStart"/>
      <w:r>
        <w:t>IgE</w:t>
      </w:r>
      <w:proofErr w:type="spellEnd"/>
      <w:r>
        <w:t xml:space="preserve"> suppression in patients with nasal polyps. By following the baseline </w:t>
      </w:r>
      <w:proofErr w:type="spellStart"/>
      <w:r>
        <w:t>IgE</w:t>
      </w:r>
      <w:proofErr w:type="spellEnd"/>
      <w:r>
        <w:t xml:space="preserve"> and body weight-based posology used in asthma patients, </w:t>
      </w:r>
      <w:proofErr w:type="spellStart"/>
      <w:r>
        <w:t>omalizumab</w:t>
      </w:r>
      <w:proofErr w:type="spellEnd"/>
      <w:r>
        <w:t xml:space="preserve"> showed consistent free </w:t>
      </w:r>
      <w:proofErr w:type="spellStart"/>
      <w:r>
        <w:t>IgE</w:t>
      </w:r>
      <w:proofErr w:type="spellEnd"/>
      <w:r>
        <w:t xml:space="preserve"> inhibition across the entire nasal polyp patient population. Disease demographics had no meaningful impact on the PK/PD of </w:t>
      </w:r>
      <w:proofErr w:type="spellStart"/>
      <w:r>
        <w:t>omalizumab</w:t>
      </w:r>
      <w:proofErr w:type="spellEnd"/>
      <w:r>
        <w:t>.</w:t>
      </w:r>
    </w:p>
    <w:p w14:paraId="0A28BE30" w14:textId="510247D2" w:rsidR="005C6EDC" w:rsidRDefault="005C6EDC" w:rsidP="00D259F7">
      <w:pPr>
        <w:pStyle w:val="ListBullet"/>
      </w:pPr>
      <w:r>
        <w:t>Analyses of exposure/</w:t>
      </w:r>
      <w:proofErr w:type="spellStart"/>
      <w:r>
        <w:t>IgE</w:t>
      </w:r>
      <w:proofErr w:type="spellEnd"/>
      <w:r>
        <w:t xml:space="preserve">-clinical efficacy response relationships as well as the covariate effect on these relationship curves provided general support to the use of the baseline </w:t>
      </w:r>
      <w:proofErr w:type="spellStart"/>
      <w:r>
        <w:t>IgE</w:t>
      </w:r>
      <w:proofErr w:type="spellEnd"/>
      <w:r>
        <w:t xml:space="preserve"> and body weight</w:t>
      </w:r>
      <w:r w:rsidR="00F154EB">
        <w:t xml:space="preserve"> </w:t>
      </w:r>
      <w:r>
        <w:t xml:space="preserve">based posology. There was no clear or consistent trend between the </w:t>
      </w:r>
      <w:proofErr w:type="spellStart"/>
      <w:r>
        <w:t>omalizumab</w:t>
      </w:r>
      <w:proofErr w:type="spellEnd"/>
      <w:r>
        <w:t xml:space="preserve"> or free </w:t>
      </w:r>
      <w:proofErr w:type="spellStart"/>
      <w:r>
        <w:t>IgE</w:t>
      </w:r>
      <w:proofErr w:type="spellEnd"/>
      <w:r>
        <w:t xml:space="preserve"> levels and the clinical response with most of the clinical endpoints at Week 24. These results support the benefit of using an individualised dosing algorithm, which accounted for the effect of covariate factors (baseline </w:t>
      </w:r>
      <w:proofErr w:type="spellStart"/>
      <w:r>
        <w:t>IgE</w:t>
      </w:r>
      <w:proofErr w:type="spellEnd"/>
      <w:r>
        <w:t xml:space="preserve"> and body weight) into the adjustment of</w:t>
      </w:r>
      <w:r w:rsidR="00D259F7">
        <w:t xml:space="preserve"> the </w:t>
      </w:r>
      <w:proofErr w:type="spellStart"/>
      <w:r w:rsidR="00D259F7">
        <w:t>omalizumab</w:t>
      </w:r>
      <w:proofErr w:type="spellEnd"/>
      <w:r w:rsidR="00D259F7">
        <w:t xml:space="preserve"> dosage for each </w:t>
      </w:r>
      <w:r>
        <w:t>patient. This posology is further supported by the fact that covar</w:t>
      </w:r>
      <w:r w:rsidR="00D259F7">
        <w:t xml:space="preserve">iates of different demographics </w:t>
      </w:r>
      <w:r>
        <w:t>had no clear impact on the clinical response of the drug</w:t>
      </w:r>
      <w:r w:rsidR="00D259F7">
        <w:t>.</w:t>
      </w:r>
    </w:p>
    <w:p w14:paraId="739B92EF" w14:textId="417849FF" w:rsidR="00D259F7" w:rsidRPr="00D259F7" w:rsidRDefault="00D259F7" w:rsidP="00D259F7">
      <w:pPr>
        <w:pStyle w:val="TableTitle"/>
      </w:pPr>
      <w:bookmarkStart w:id="48" w:name="_Ref67402529"/>
      <w:r w:rsidRPr="00D259F7">
        <w:t xml:space="preserve">Table </w:t>
      </w:r>
      <w:r>
        <w:fldChar w:fldCharType="begin"/>
      </w:r>
      <w:r>
        <w:instrText>SEQ Table \* ARABIC</w:instrText>
      </w:r>
      <w:r>
        <w:fldChar w:fldCharType="separate"/>
      </w:r>
      <w:r w:rsidR="000E4669">
        <w:rPr>
          <w:noProof/>
        </w:rPr>
        <w:t>8</w:t>
      </w:r>
      <w:r>
        <w:fldChar w:fldCharType="end"/>
      </w:r>
      <w:bookmarkEnd w:id="48"/>
      <w:r>
        <w:t xml:space="preserve">: Baseline </w:t>
      </w:r>
      <w:proofErr w:type="spellStart"/>
      <w:r>
        <w:t>IgE</w:t>
      </w:r>
      <w:proofErr w:type="spellEnd"/>
      <w:r>
        <w:t xml:space="preserve"> and </w:t>
      </w:r>
      <w:proofErr w:type="spellStart"/>
      <w:r>
        <w:t>omalizumab</w:t>
      </w:r>
      <w:proofErr w:type="spellEnd"/>
      <w:r>
        <w:t xml:space="preserve"> </w:t>
      </w:r>
      <w:proofErr w:type="spellStart"/>
      <w:r>
        <w:t>posologies</w:t>
      </w:r>
      <w:proofErr w:type="spellEnd"/>
      <w:r>
        <w:t xml:space="preserve"> in independent investigator studies of patients with nasal polyps</w:t>
      </w:r>
    </w:p>
    <w:p w14:paraId="5377C0D8" w14:textId="65BED1D6" w:rsidR="00D259F7" w:rsidRDefault="00D259F7" w:rsidP="00D259F7">
      <w:r w:rsidRPr="00D259F7">
        <w:rPr>
          <w:noProof/>
          <w:lang w:eastAsia="en-AU"/>
        </w:rPr>
        <w:drawing>
          <wp:inline distT="0" distB="0" distL="0" distR="0" wp14:anchorId="0DD8695E" wp14:editId="0BB13316">
            <wp:extent cx="5071351" cy="2872596"/>
            <wp:effectExtent l="0" t="0" r="0" b="4445"/>
            <wp:docPr id="3" name="Picture 3" descr="Baseline IgE and omalizumab posologies in independent investigator studies of patients with nasal poly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11133" r="4245"/>
                    <a:stretch/>
                  </pic:blipFill>
                  <pic:spPr bwMode="auto">
                    <a:xfrm>
                      <a:off x="0" y="0"/>
                      <a:ext cx="5087449" cy="2881715"/>
                    </a:xfrm>
                    <a:prstGeom prst="rect">
                      <a:avLst/>
                    </a:prstGeom>
                    <a:noFill/>
                    <a:ln>
                      <a:noFill/>
                    </a:ln>
                    <a:extLst>
                      <a:ext uri="{53640926-AAD7-44D8-BBD7-CCE9431645EC}">
                        <a14:shadowObscured xmlns:a14="http://schemas.microsoft.com/office/drawing/2010/main"/>
                      </a:ext>
                    </a:extLst>
                  </pic:spPr>
                </pic:pic>
              </a:graphicData>
            </a:graphic>
          </wp:inline>
        </w:drawing>
      </w:r>
    </w:p>
    <w:p w14:paraId="6484E1DF" w14:textId="2F4EAD13" w:rsidR="00D259F7" w:rsidRDefault="00D259F7" w:rsidP="00D259F7">
      <w:r>
        <w:t>In summary, the similarities in disease pathophysiology between asthma and</w:t>
      </w:r>
      <w:r w:rsidR="00F154EB" w:rsidRPr="00F154EB">
        <w:t xml:space="preserve"> </w:t>
      </w:r>
      <w:r w:rsidR="00F154EB">
        <w:t xml:space="preserve">chronic </w:t>
      </w:r>
      <w:proofErr w:type="spellStart"/>
      <w:r w:rsidR="00F154EB">
        <w:t>rhinosinusitis</w:t>
      </w:r>
      <w:proofErr w:type="spellEnd"/>
      <w:r w:rsidR="00F154EB">
        <w:t xml:space="preserve"> with nasal polyps </w:t>
      </w:r>
      <w:r>
        <w:t xml:space="preserve">including high co-morbidity, the use of dosing table in </w:t>
      </w:r>
      <w:r w:rsidR="00F154EB">
        <w:t xml:space="preserve">chronic </w:t>
      </w:r>
      <w:proofErr w:type="spellStart"/>
      <w:r w:rsidR="00F154EB">
        <w:t>rhinosinusitis</w:t>
      </w:r>
      <w:proofErr w:type="spellEnd"/>
      <w:r w:rsidR="00F154EB">
        <w:t xml:space="preserve"> with nasal polyps</w:t>
      </w:r>
      <w:r>
        <w:t xml:space="preserve"> proof-of-concept studies, the clinical characteristics of </w:t>
      </w:r>
      <w:proofErr w:type="spellStart"/>
      <w:r>
        <w:t>omalizumab</w:t>
      </w:r>
      <w:proofErr w:type="spellEnd"/>
      <w:r>
        <w:t xml:space="preserve"> PK/PD together with the </w:t>
      </w:r>
      <w:proofErr w:type="spellStart"/>
      <w:r>
        <w:t>favorable</w:t>
      </w:r>
      <w:proofErr w:type="spellEnd"/>
      <w:r>
        <w:t xml:space="preserve"> benefit/risk profile in </w:t>
      </w:r>
      <w:r w:rsidR="00F154EB">
        <w:t xml:space="preserve">chronic </w:t>
      </w:r>
      <w:proofErr w:type="spellStart"/>
      <w:r w:rsidR="00F154EB">
        <w:t>rhinosinusitis</w:t>
      </w:r>
      <w:proofErr w:type="spellEnd"/>
      <w:r w:rsidR="00F154EB">
        <w:t xml:space="preserve"> with nasal polyps</w:t>
      </w:r>
      <w:r>
        <w:t xml:space="preserve">, strongly support the adoption of the </w:t>
      </w:r>
      <w:proofErr w:type="spellStart"/>
      <w:r>
        <w:t>IgE</w:t>
      </w:r>
      <w:proofErr w:type="spellEnd"/>
      <w:r>
        <w:t xml:space="preserve">-based dosing table for </w:t>
      </w:r>
      <w:proofErr w:type="spellStart"/>
      <w:r>
        <w:t>omalizumab</w:t>
      </w:r>
      <w:proofErr w:type="spellEnd"/>
      <w:r>
        <w:t xml:space="preserve"> for the treatment of </w:t>
      </w:r>
      <w:r w:rsidR="00F154EB">
        <w:t xml:space="preserve">chronic </w:t>
      </w:r>
      <w:proofErr w:type="spellStart"/>
      <w:r w:rsidR="00F154EB">
        <w:t>rhinosinusitis</w:t>
      </w:r>
      <w:proofErr w:type="spellEnd"/>
      <w:r w:rsidR="00F154EB">
        <w:t xml:space="preserve"> with nasal polyps</w:t>
      </w:r>
      <w:r>
        <w:t>.</w:t>
      </w:r>
    </w:p>
    <w:p w14:paraId="12F5AA49" w14:textId="09F340D2" w:rsidR="00D259F7" w:rsidRDefault="00D259F7" w:rsidP="00D259F7">
      <w:pPr>
        <w:pStyle w:val="Numberbullet0"/>
        <w:rPr>
          <w:b/>
          <w:i/>
        </w:rPr>
      </w:pPr>
      <w:r w:rsidRPr="00D259F7">
        <w:rPr>
          <w:b/>
          <w:i/>
        </w:rPr>
        <w:t xml:space="preserve">There appears to be no consistently applied definition of disease severity in </w:t>
      </w:r>
      <w:r w:rsidR="00F154EB" w:rsidRPr="002A5B76">
        <w:rPr>
          <w:b/>
          <w:i/>
        </w:rPr>
        <w:t xml:space="preserve">chronic </w:t>
      </w:r>
      <w:proofErr w:type="spellStart"/>
      <w:r w:rsidR="00F154EB" w:rsidRPr="002A5B76">
        <w:rPr>
          <w:b/>
          <w:i/>
        </w:rPr>
        <w:t>rhinosinusitis</w:t>
      </w:r>
      <w:proofErr w:type="spellEnd"/>
      <w:r w:rsidR="00F154EB" w:rsidRPr="002A5B76">
        <w:rPr>
          <w:b/>
          <w:i/>
        </w:rPr>
        <w:t xml:space="preserve"> with nasal polyps</w:t>
      </w:r>
      <w:r w:rsidRPr="00D259F7">
        <w:rPr>
          <w:b/>
          <w:i/>
        </w:rPr>
        <w:t xml:space="preserve">. </w:t>
      </w:r>
      <w:r w:rsidRPr="00D259F7">
        <w:rPr>
          <w:rFonts w:eastAsiaTheme="minorHAnsi"/>
          <w:b/>
          <w:bCs/>
          <w:i/>
          <w:iCs/>
        </w:rPr>
        <w:t xml:space="preserve">However, the patients with </w:t>
      </w:r>
      <w:r w:rsidR="00F154EB" w:rsidRPr="002A5B76">
        <w:rPr>
          <w:b/>
          <w:i/>
        </w:rPr>
        <w:t xml:space="preserve">chronic </w:t>
      </w:r>
      <w:proofErr w:type="spellStart"/>
      <w:r w:rsidR="00F154EB" w:rsidRPr="002A5B76">
        <w:rPr>
          <w:b/>
          <w:i/>
        </w:rPr>
        <w:t>rhinosinusitis</w:t>
      </w:r>
      <w:proofErr w:type="spellEnd"/>
      <w:r w:rsidR="00F154EB" w:rsidRPr="002A5B76">
        <w:rPr>
          <w:b/>
          <w:i/>
        </w:rPr>
        <w:t xml:space="preserve"> with nasal polyps</w:t>
      </w:r>
      <w:r w:rsidR="00F154EB">
        <w:t xml:space="preserve"> </w:t>
      </w:r>
      <w:r w:rsidRPr="00D259F7">
        <w:rPr>
          <w:rFonts w:eastAsiaTheme="minorHAnsi"/>
          <w:b/>
          <w:bCs/>
          <w:i/>
          <w:iCs/>
        </w:rPr>
        <w:t>who enrolled in the replicate</w:t>
      </w:r>
      <w:r w:rsidR="00F154EB">
        <w:rPr>
          <w:rFonts w:eastAsiaTheme="minorHAnsi"/>
          <w:b/>
          <w:bCs/>
          <w:i/>
          <w:iCs/>
        </w:rPr>
        <w:t>d</w:t>
      </w:r>
      <w:r w:rsidRPr="00D259F7">
        <w:rPr>
          <w:rFonts w:eastAsiaTheme="minorHAnsi"/>
          <w:b/>
          <w:bCs/>
          <w:i/>
          <w:iCs/>
        </w:rPr>
        <w:t xml:space="preserve"> </w:t>
      </w:r>
      <w:proofErr w:type="spellStart"/>
      <w:r w:rsidRPr="00D259F7">
        <w:rPr>
          <w:rFonts w:eastAsiaTheme="minorHAnsi"/>
          <w:b/>
          <w:bCs/>
          <w:i/>
          <w:iCs/>
        </w:rPr>
        <w:t>omalizumab</w:t>
      </w:r>
      <w:proofErr w:type="spellEnd"/>
      <w:r w:rsidRPr="00D259F7">
        <w:rPr>
          <w:rFonts w:eastAsiaTheme="minorHAnsi"/>
          <w:b/>
          <w:bCs/>
          <w:i/>
          <w:iCs/>
        </w:rPr>
        <w:t xml:space="preserve"> studies appear to </w:t>
      </w:r>
      <w:r>
        <w:rPr>
          <w:rFonts w:eastAsiaTheme="minorHAnsi"/>
          <w:b/>
          <w:bCs/>
          <w:i/>
          <w:iCs/>
        </w:rPr>
        <w:t>have ‘severe’</w:t>
      </w:r>
      <w:r w:rsidRPr="00D259F7">
        <w:rPr>
          <w:rFonts w:eastAsiaTheme="minorHAnsi"/>
          <w:b/>
          <w:bCs/>
          <w:i/>
          <w:iCs/>
        </w:rPr>
        <w:t xml:space="preserve"> disease based on baseline severity scores. This is not reflected in the</w:t>
      </w:r>
      <w:r w:rsidR="00F154EB">
        <w:rPr>
          <w:rFonts w:eastAsiaTheme="minorHAnsi"/>
          <w:b/>
          <w:bCs/>
          <w:i/>
          <w:iCs/>
        </w:rPr>
        <w:t xml:space="preserve"> Product Information</w:t>
      </w:r>
      <w:r w:rsidRPr="00D259F7">
        <w:rPr>
          <w:rFonts w:eastAsiaTheme="minorHAnsi"/>
          <w:b/>
          <w:bCs/>
          <w:i/>
          <w:iCs/>
        </w:rPr>
        <w:t>.</w:t>
      </w:r>
    </w:p>
    <w:p w14:paraId="11E751A8" w14:textId="2D1D43AA" w:rsidR="00D259F7" w:rsidRDefault="00F154EB" w:rsidP="00D259F7">
      <w:r>
        <w:t xml:space="preserve">The sponsor </w:t>
      </w:r>
      <w:r w:rsidR="00D259F7">
        <w:t xml:space="preserve">agrees with the Delegate that there is no consistently applied definition of disease severity amongst prescribers for </w:t>
      </w:r>
      <w:r>
        <w:t xml:space="preserve">chronic </w:t>
      </w:r>
      <w:proofErr w:type="spellStart"/>
      <w:r>
        <w:t>rhinosinusitis</w:t>
      </w:r>
      <w:proofErr w:type="spellEnd"/>
      <w:r>
        <w:t xml:space="preserve"> with nasal polyps </w:t>
      </w:r>
      <w:r w:rsidR="00D259F7">
        <w:t xml:space="preserve">and also acknowledges that the patient population included in the pivotal replicate studies were significantly affected by the condition as determined by their baseline disease characteristics. These baseline characteristics are already described in the clinical trials section of the PI and thus should aid prescribers to identify patients who might benefit from </w:t>
      </w:r>
      <w:proofErr w:type="spellStart"/>
      <w:r w:rsidR="00D259F7">
        <w:t>omalizumab</w:t>
      </w:r>
      <w:proofErr w:type="spellEnd"/>
      <w:r w:rsidR="00D259F7">
        <w:t xml:space="preserve"> treatment.</w:t>
      </w:r>
    </w:p>
    <w:p w14:paraId="339EDF13" w14:textId="4462128A" w:rsidR="00D259F7" w:rsidRDefault="00D259F7" w:rsidP="00D259F7">
      <w:r>
        <w:t xml:space="preserve">In Australia, some physicians define severe </w:t>
      </w:r>
      <w:r w:rsidR="00F154EB">
        <w:t xml:space="preserve">chronic </w:t>
      </w:r>
      <w:proofErr w:type="spellStart"/>
      <w:r w:rsidR="00F154EB">
        <w:t>rhinosinusitis</w:t>
      </w:r>
      <w:proofErr w:type="spellEnd"/>
      <w:r w:rsidR="00F154EB">
        <w:t xml:space="preserve"> with nasal polyps </w:t>
      </w:r>
      <w:r>
        <w:t xml:space="preserve">as patients with inadequate response to prior surgery or prior use of systemic corticosteroids, whilst others assess severity on baseline </w:t>
      </w:r>
      <w:r w:rsidR="00F154EB">
        <w:t>N</w:t>
      </w:r>
      <w:r>
        <w:t xml:space="preserve">asal </w:t>
      </w:r>
      <w:r w:rsidR="00F154EB">
        <w:t>P</w:t>
      </w:r>
      <w:r>
        <w:t xml:space="preserve">olyps </w:t>
      </w:r>
      <w:r w:rsidR="00F154EB">
        <w:t>S</w:t>
      </w:r>
      <w:r>
        <w:t xml:space="preserve">core, Lund-Mackay Score, </w:t>
      </w:r>
      <w:r w:rsidR="00F154EB">
        <w:t>N</w:t>
      </w:r>
      <w:r>
        <w:t xml:space="preserve">asal </w:t>
      </w:r>
      <w:r w:rsidR="00F154EB">
        <w:t>C</w:t>
      </w:r>
      <w:r>
        <w:t xml:space="preserve">ongestion </w:t>
      </w:r>
      <w:r w:rsidR="00F154EB">
        <w:t>S</w:t>
      </w:r>
      <w:r>
        <w:t>core</w:t>
      </w:r>
      <w:r w:rsidR="00F154EB">
        <w:t>,</w:t>
      </w:r>
      <w:r>
        <w:t xml:space="preserve">, </w:t>
      </w:r>
      <w:r w:rsidR="00F154EB">
        <w:t>S</w:t>
      </w:r>
      <w:r>
        <w:t>ino-</w:t>
      </w:r>
      <w:r w:rsidR="00F154EB">
        <w:t>N</w:t>
      </w:r>
      <w:r>
        <w:t xml:space="preserve">asal </w:t>
      </w:r>
      <w:r w:rsidR="00F154EB">
        <w:t>O</w:t>
      </w:r>
      <w:r>
        <w:t xml:space="preserve">utcome </w:t>
      </w:r>
      <w:r w:rsidR="00F154EB">
        <w:t>T</w:t>
      </w:r>
      <w:r>
        <w:t xml:space="preserve">est results or lack of responsiveness to standard therapies. To exemplify the heterogeneity of views amongst the local </w:t>
      </w:r>
      <w:proofErr w:type="spellStart"/>
      <w:r>
        <w:t>omalizumab</w:t>
      </w:r>
      <w:proofErr w:type="spellEnd"/>
      <w:r>
        <w:t xml:space="preserve"> prescribi</w:t>
      </w:r>
      <w:r w:rsidR="00504BE0">
        <w:t xml:space="preserve">ng community, please see </w:t>
      </w:r>
      <w:r w:rsidR="00504BE0">
        <w:fldChar w:fldCharType="begin"/>
      </w:r>
      <w:r w:rsidR="00504BE0">
        <w:instrText xml:space="preserve"> REF _Ref67485559 \h </w:instrText>
      </w:r>
      <w:r w:rsidR="00504BE0">
        <w:fldChar w:fldCharType="separate"/>
      </w:r>
      <w:r w:rsidR="000E4669" w:rsidRPr="00D259F7">
        <w:t xml:space="preserve">Table </w:t>
      </w:r>
      <w:r w:rsidR="000E4669">
        <w:rPr>
          <w:noProof/>
        </w:rPr>
        <w:t>9</w:t>
      </w:r>
      <w:r w:rsidR="00504BE0">
        <w:fldChar w:fldCharType="end"/>
      </w:r>
      <w:r w:rsidR="00F154EB">
        <w:t xml:space="preserve"> (shown below)</w:t>
      </w:r>
      <w:r>
        <w:t xml:space="preserve">, which provides a sample of feedback from various local prescribers. Physicians who assess severity based solely on recurrent nasal polyposis following polypectomy would fail to capture a subset of patients who are in need of a biologic treatment to treat their </w:t>
      </w:r>
      <w:r w:rsidR="00F154EB">
        <w:t xml:space="preserve">chronic </w:t>
      </w:r>
      <w:proofErr w:type="spellStart"/>
      <w:r w:rsidR="00F154EB">
        <w:t>rhinosinusitis</w:t>
      </w:r>
      <w:proofErr w:type="spellEnd"/>
      <w:r w:rsidR="00F154EB">
        <w:t xml:space="preserve"> with nasal polyps</w:t>
      </w:r>
      <w:r>
        <w:t>. It is important to note that prior surgery or prior use of systemic corticosteroids were not actual inclusion criteria for the pivotal trials.</w:t>
      </w:r>
    </w:p>
    <w:p w14:paraId="2C2436D8" w14:textId="016E0BC2" w:rsidR="00D259F7" w:rsidRDefault="00D259F7" w:rsidP="00D259F7">
      <w:r>
        <w:t xml:space="preserve">Availability of a safe, efficacious biological treatment is important for Australian </w:t>
      </w:r>
      <w:r w:rsidR="00E02B19">
        <w:t xml:space="preserve">chronic </w:t>
      </w:r>
      <w:proofErr w:type="spellStart"/>
      <w:r w:rsidR="00E02B19">
        <w:t>rhinosinusitis</w:t>
      </w:r>
      <w:proofErr w:type="spellEnd"/>
      <w:r w:rsidR="00E02B19">
        <w:t xml:space="preserve"> with nasal polyps </w:t>
      </w:r>
      <w:r>
        <w:t xml:space="preserve">patients as it provides an alternative to endoscopic sinus surgery and systemic corticosteroid therapies. The former is an invasive option and often results in reoccurrence of the nasal polyps and the latter is troubled with adverse effects after long-term treatment. For those local prescriber’s who consider </w:t>
      </w:r>
      <w:proofErr w:type="spellStart"/>
      <w:r>
        <w:t>omalizumab</w:t>
      </w:r>
      <w:proofErr w:type="spellEnd"/>
      <w:r>
        <w:t xml:space="preserve"> should be used post-surgery and/or post systemic corticosteroid use, this belief is actually not supported by the evidence provided in our application. Subgroup analysis was performed using the pooled data from the pivotal studies for the co-primary endpoints of change </w:t>
      </w:r>
      <w:r w:rsidR="007028FB">
        <w:t>from Baseline</w:t>
      </w:r>
      <w:r>
        <w:t xml:space="preserve"> at Week 24 in N</w:t>
      </w:r>
      <w:r w:rsidR="00E02B19">
        <w:t xml:space="preserve">asal </w:t>
      </w:r>
      <w:r>
        <w:t>P</w:t>
      </w:r>
      <w:r w:rsidR="00E02B19">
        <w:t xml:space="preserve">olyp </w:t>
      </w:r>
      <w:r>
        <w:t>S</w:t>
      </w:r>
      <w:r w:rsidR="00E02B19">
        <w:t>core</w:t>
      </w:r>
      <w:r>
        <w:t xml:space="preserve"> and change </w:t>
      </w:r>
      <w:r w:rsidR="007028FB">
        <w:t>from Baseline</w:t>
      </w:r>
      <w:r>
        <w:t xml:space="preserve"> at Week 24 in average daily N</w:t>
      </w:r>
      <w:r w:rsidR="00E02B19">
        <w:t xml:space="preserve">asal </w:t>
      </w:r>
      <w:r>
        <w:t>C</w:t>
      </w:r>
      <w:r w:rsidR="00E02B19">
        <w:t xml:space="preserve">ongestion </w:t>
      </w:r>
      <w:r>
        <w:t>S</w:t>
      </w:r>
      <w:r w:rsidR="00E02B19">
        <w:t>core</w:t>
      </w:r>
      <w:r>
        <w:t xml:space="preserve">. The subgroup analysis looked at the baseline disease factors such as prior </w:t>
      </w:r>
      <w:proofErr w:type="spellStart"/>
      <w:r>
        <w:t>sinonasal</w:t>
      </w:r>
      <w:proofErr w:type="spellEnd"/>
      <w:r>
        <w:t xml:space="preserve"> surgery or use of systemic corticosteroids within the prior 12 months. Importantly, there was no notable difference in the treatment effect between patients with or without prior </w:t>
      </w:r>
      <w:proofErr w:type="spellStart"/>
      <w:r>
        <w:t>sinonasal</w:t>
      </w:r>
      <w:proofErr w:type="spellEnd"/>
      <w:r>
        <w:t xml:space="preserve"> surgery as well as patients with or without prior use of systemic corticosteroids as indicated by the overlapping 95% CIs. Whilst it is acknowledged that prior surgery and/or prior use of systemic corticosteroids were potentially predictive for NCS outcomes, there was no clear suggestion of these factors predicting response for the NPS outcome. Furthermore, it is important to note that the be</w:t>
      </w:r>
      <w:r w:rsidR="007028FB">
        <w:t>tween-treatment differences at W</w:t>
      </w:r>
      <w:r>
        <w:t xml:space="preserve">eek 24 favoured </w:t>
      </w:r>
      <w:proofErr w:type="spellStart"/>
      <w:r>
        <w:t>omalizumab</w:t>
      </w:r>
      <w:proofErr w:type="spellEnd"/>
      <w:r>
        <w:t xml:space="preserve"> in all the subgroups. Overall, the results of the subgroup analyses presented are consistent with those seen in the overall population.</w:t>
      </w:r>
    </w:p>
    <w:p w14:paraId="41A5ACC3" w14:textId="08DCB3B7" w:rsidR="00D259F7" w:rsidRDefault="00D259F7" w:rsidP="00B66306">
      <w:pPr>
        <w:pStyle w:val="TableTitle"/>
      </w:pPr>
      <w:bookmarkStart w:id="49" w:name="_Ref67485559"/>
      <w:r w:rsidRPr="00D259F7">
        <w:t xml:space="preserve">Table </w:t>
      </w:r>
      <w:r>
        <w:fldChar w:fldCharType="begin"/>
      </w:r>
      <w:r>
        <w:instrText>SEQ Table \* ARABIC</w:instrText>
      </w:r>
      <w:r>
        <w:fldChar w:fldCharType="separate"/>
      </w:r>
      <w:r w:rsidR="000E4669">
        <w:rPr>
          <w:noProof/>
        </w:rPr>
        <w:t>9</w:t>
      </w:r>
      <w:r>
        <w:fldChar w:fldCharType="end"/>
      </w:r>
      <w:bookmarkEnd w:id="49"/>
      <w:r>
        <w:t xml:space="preserve">: </w:t>
      </w:r>
      <w:r w:rsidRPr="00D259F7">
        <w:t xml:space="preserve">Australian </w:t>
      </w:r>
      <w:proofErr w:type="spellStart"/>
      <w:r w:rsidRPr="00D259F7">
        <w:t>omalizumab</w:t>
      </w:r>
      <w:proofErr w:type="spellEnd"/>
      <w:r w:rsidRPr="00D259F7">
        <w:t xml:space="preserve"> prescriber feedback</w:t>
      </w:r>
    </w:p>
    <w:p w14:paraId="2D212D26" w14:textId="2227FF4B" w:rsidR="003B6C97" w:rsidRDefault="003B6C97" w:rsidP="001468E4">
      <w:r>
        <w:rPr>
          <w:noProof/>
        </w:rPr>
        <w:drawing>
          <wp:inline distT="0" distB="0" distL="0" distR="0" wp14:anchorId="7379973E" wp14:editId="00743FCD">
            <wp:extent cx="4874150" cy="5224873"/>
            <wp:effectExtent l="0" t="0" r="3175" b="0"/>
            <wp:docPr id="18" name="Picture 18" descr="Table 9: Australian omalizumab prescriber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80526" cy="5231707"/>
                    </a:xfrm>
                    <a:prstGeom prst="rect">
                      <a:avLst/>
                    </a:prstGeom>
                  </pic:spPr>
                </pic:pic>
              </a:graphicData>
            </a:graphic>
          </wp:inline>
        </w:drawing>
      </w:r>
    </w:p>
    <w:p w14:paraId="2C2D3E2A" w14:textId="582890FA" w:rsidR="001468E4" w:rsidRDefault="001468E4" w:rsidP="001468E4">
      <w:r>
        <w:t xml:space="preserve">Lastly, it is important to note that while differences in trial design preclude direct comparisons across the </w:t>
      </w:r>
      <w:proofErr w:type="spellStart"/>
      <w:r>
        <w:t>dupilumab</w:t>
      </w:r>
      <w:proofErr w:type="spellEnd"/>
      <w:r>
        <w:t xml:space="preserve"> and </w:t>
      </w:r>
      <w:proofErr w:type="spellStart"/>
      <w:r>
        <w:t>omalizumab</w:t>
      </w:r>
      <w:proofErr w:type="spellEnd"/>
      <w:r>
        <w:t xml:space="preserve"> </w:t>
      </w:r>
      <w:r w:rsidR="007028FB">
        <w:t>Phase III</w:t>
      </w:r>
      <w:r>
        <w:t xml:space="preserve"> trials there are key differences among the patient populations studied including that patients were not required to have prior </w:t>
      </w:r>
      <w:proofErr w:type="spellStart"/>
      <w:r>
        <w:t>sino</w:t>
      </w:r>
      <w:proofErr w:type="spellEnd"/>
      <w:r>
        <w:t xml:space="preserve">-nasal surgery or prior systemic corticosteroid usage for inclusion in the </w:t>
      </w:r>
      <w:proofErr w:type="spellStart"/>
      <w:r>
        <w:t>omalizumab</w:t>
      </w:r>
      <w:proofErr w:type="spellEnd"/>
      <w:r>
        <w:t xml:space="preserve"> </w:t>
      </w:r>
      <w:r w:rsidR="007028FB">
        <w:t>Phase III</w:t>
      </w:r>
      <w:r>
        <w:t xml:space="preserve"> trials. The reported use of systemic corticosteroids in the preceding two years was 74% in the overall </w:t>
      </w:r>
      <w:proofErr w:type="spellStart"/>
      <w:r>
        <w:t>dupilumab</w:t>
      </w:r>
      <w:proofErr w:type="spellEnd"/>
      <w:r>
        <w:t xml:space="preserve"> population; and 22% in the overall </w:t>
      </w:r>
      <w:proofErr w:type="spellStart"/>
      <w:r>
        <w:t>omalizumab</w:t>
      </w:r>
      <w:proofErr w:type="spellEnd"/>
      <w:r>
        <w:t xml:space="preserve"> population in the previous year. In addition, despite similar levels of asthma comorbidity, there were potentially higher levels of asthma severity among the Phase III </w:t>
      </w:r>
      <w:proofErr w:type="spellStart"/>
      <w:r>
        <w:t>dupilumab</w:t>
      </w:r>
      <w:proofErr w:type="spellEnd"/>
      <w:r>
        <w:t xml:space="preserve"> trials. Overall, this suggests that </w:t>
      </w:r>
      <w:proofErr w:type="spellStart"/>
      <w:r>
        <w:t>dupilumab</w:t>
      </w:r>
      <w:proofErr w:type="spellEnd"/>
      <w:r>
        <w:t xml:space="preserve"> enrolled patients may display a more severe form of the disease compared to </w:t>
      </w:r>
      <w:proofErr w:type="spellStart"/>
      <w:r>
        <w:t>omalizumab</w:t>
      </w:r>
      <w:proofErr w:type="spellEnd"/>
      <w:r>
        <w:t xml:space="preserve"> enrolled patients. These relative differences should also translate into the wording of the indications keeping the </w:t>
      </w:r>
      <w:proofErr w:type="spellStart"/>
      <w:r>
        <w:t>omalizumab</w:t>
      </w:r>
      <w:proofErr w:type="spellEnd"/>
      <w:r>
        <w:t xml:space="preserve"> indication naive of the word ‘severe’.</w:t>
      </w:r>
    </w:p>
    <w:p w14:paraId="346247C9" w14:textId="15244463" w:rsidR="001468E4" w:rsidRDefault="001468E4" w:rsidP="001468E4">
      <w:r>
        <w:t>In conclusion</w:t>
      </w:r>
      <w:r w:rsidR="00B45A10">
        <w:t>,</w:t>
      </w:r>
      <w:r>
        <w:t xml:space="preserve"> </w:t>
      </w:r>
      <w:r w:rsidR="00B45A10">
        <w:t>the sponsor</w:t>
      </w:r>
      <w:r>
        <w:t xml:space="preserve"> believes that its proposed indication which specifies ‘patients with inadequate response to intranasal corticosteroids’ already appropriately captures the patient population, as defined by patients who are unresponsive to conventional topical therapies. This is less confusing, reflects trial conditions and focuses on a stepwise approach to therapy in line with the current Australian clinical practice.</w:t>
      </w:r>
    </w:p>
    <w:p w14:paraId="5F902838" w14:textId="2B605079" w:rsidR="001468E4" w:rsidRDefault="001468E4" w:rsidP="003B6C97">
      <w:pPr>
        <w:pStyle w:val="Numberbullet0"/>
        <w:pageBreakBefore/>
        <w:rPr>
          <w:b/>
          <w:i/>
        </w:rPr>
      </w:pPr>
      <w:r w:rsidRPr="001468E4">
        <w:rPr>
          <w:b/>
          <w:i/>
        </w:rPr>
        <w:t xml:space="preserve">There are no established limits for clinically relevant effect for the co-primary endpoints of </w:t>
      </w:r>
      <w:r w:rsidR="00B45A10">
        <w:rPr>
          <w:b/>
          <w:i/>
        </w:rPr>
        <w:t xml:space="preserve">Nasal Polyp Score </w:t>
      </w:r>
      <w:r w:rsidRPr="001468E4">
        <w:rPr>
          <w:b/>
          <w:i/>
        </w:rPr>
        <w:t>and N</w:t>
      </w:r>
      <w:r w:rsidR="00B45A10">
        <w:rPr>
          <w:b/>
          <w:i/>
        </w:rPr>
        <w:t xml:space="preserve">asal </w:t>
      </w:r>
      <w:r w:rsidRPr="001468E4">
        <w:rPr>
          <w:b/>
          <w:i/>
        </w:rPr>
        <w:t>C</w:t>
      </w:r>
      <w:r w:rsidR="00B45A10">
        <w:rPr>
          <w:b/>
          <w:i/>
        </w:rPr>
        <w:t xml:space="preserve">ongestion </w:t>
      </w:r>
      <w:proofErr w:type="spellStart"/>
      <w:r w:rsidRPr="001468E4">
        <w:rPr>
          <w:b/>
          <w:i/>
        </w:rPr>
        <w:t>S</w:t>
      </w:r>
      <w:r w:rsidR="00B45A10">
        <w:rPr>
          <w:b/>
          <w:i/>
        </w:rPr>
        <w:t>score</w:t>
      </w:r>
      <w:proofErr w:type="spellEnd"/>
      <w:r w:rsidRPr="001468E4">
        <w:rPr>
          <w:b/>
          <w:i/>
        </w:rPr>
        <w:t xml:space="preserve">. However, </w:t>
      </w:r>
      <w:proofErr w:type="spellStart"/>
      <w:r w:rsidRPr="001468E4">
        <w:rPr>
          <w:b/>
          <w:i/>
        </w:rPr>
        <w:t>omalizumab</w:t>
      </w:r>
      <w:proofErr w:type="spellEnd"/>
      <w:r w:rsidRPr="001468E4">
        <w:rPr>
          <w:b/>
          <w:i/>
        </w:rPr>
        <w:t xml:space="preserve"> was statistically significantly better than placebo in both pivotal studies and both co-primary endpoints</w:t>
      </w:r>
      <w:r>
        <w:rPr>
          <w:b/>
          <w:i/>
        </w:rPr>
        <w:t>.</w:t>
      </w:r>
    </w:p>
    <w:p w14:paraId="799AD017" w14:textId="14E94A50" w:rsidR="001468E4" w:rsidRDefault="00B45A10" w:rsidP="001468E4">
      <w:r>
        <w:t xml:space="preserve">The sponsor </w:t>
      </w:r>
      <w:r w:rsidR="001468E4">
        <w:t xml:space="preserve">acknowledges that no thresholds of meaningful change (between-groups difference or individual-patient responder definitions) have been established to date for the co-primary endpoints </w:t>
      </w:r>
      <w:r>
        <w:t xml:space="preserve">Nasal Polyp Score </w:t>
      </w:r>
      <w:r w:rsidR="001468E4">
        <w:t xml:space="preserve">and </w:t>
      </w:r>
      <w:r>
        <w:t>Nasal Congestion Score</w:t>
      </w:r>
      <w:r w:rsidR="001468E4">
        <w:t>.</w:t>
      </w:r>
    </w:p>
    <w:p w14:paraId="2348975C" w14:textId="7BD834DA" w:rsidR="001468E4" w:rsidRDefault="00504BE0" w:rsidP="001468E4">
      <w:r>
        <w:t>As pointed out by the D</w:t>
      </w:r>
      <w:r w:rsidR="001468E4">
        <w:t xml:space="preserve">elegate a 0.56-point difference for </w:t>
      </w:r>
      <w:r w:rsidR="00B45A10">
        <w:t xml:space="preserve">Nasal Congestion Score </w:t>
      </w:r>
      <w:r w:rsidR="001468E4">
        <w:t xml:space="preserve">and 1.50 for </w:t>
      </w:r>
      <w:r w:rsidR="00B45A10">
        <w:t xml:space="preserve">Nasal Polyp Score </w:t>
      </w:r>
      <w:r w:rsidR="001468E4">
        <w:t>was used as basis for the samples size calculations. While it is acknowledged that the observed results in the pivotal Phase III studies were comparatively smaller than those chosen for the sample size calculation, it should be noted that these estimates were used solely to determine sample size and power calculations; and not because they were deemed to be thresholds of clinical relevance or the expected effect in the Phase III studies. Most importantly, the observed treatment effects were all statistically significant at 5% significance level.</w:t>
      </w:r>
    </w:p>
    <w:p w14:paraId="78CC0EE8" w14:textId="30707F84" w:rsidR="001468E4" w:rsidRDefault="001468E4" w:rsidP="001468E4">
      <w:r>
        <w:t xml:space="preserve">It is worth noting that, unlike the </w:t>
      </w:r>
      <w:r w:rsidR="007028FB">
        <w:t>Phase II</w:t>
      </w:r>
      <w:r>
        <w:t xml:space="preserve"> proof of concept study, </w:t>
      </w:r>
      <w:proofErr w:type="spellStart"/>
      <w:r>
        <w:t>omalizumab</w:t>
      </w:r>
      <w:proofErr w:type="spellEnd"/>
      <w:r>
        <w:t xml:space="preserve"> efficacy in the </w:t>
      </w:r>
      <w:r w:rsidR="007028FB">
        <w:t>Phase III</w:t>
      </w:r>
      <w:r>
        <w:t xml:space="preserve"> studies was shown on top of daily background therapy with intranasal corticosteroids and that asthma comorbidity (a condition associated with nasal polyp severity) was only reported by 57% of the patients.</w:t>
      </w:r>
    </w:p>
    <w:p w14:paraId="68BD9197" w14:textId="69E55638" w:rsidR="001468E4" w:rsidRDefault="001468E4" w:rsidP="001468E4">
      <w:r>
        <w:t xml:space="preserve">In order to establish meaningful change thresholds for </w:t>
      </w:r>
      <w:r w:rsidR="00B45A10">
        <w:t xml:space="preserve">Nasal Polyp Score </w:t>
      </w:r>
      <w:r>
        <w:t xml:space="preserve">and </w:t>
      </w:r>
      <w:r w:rsidR="00B45A10">
        <w:t>Nasal Congestion Score</w:t>
      </w:r>
      <w:r>
        <w:t xml:space="preserve"> and provide context to the results of the two nasal polyp pivotal studies, a post-hoc analysis was conducted to determine the </w:t>
      </w:r>
      <w:r w:rsidR="00B45A10">
        <w:t>meaningful change thresholds</w:t>
      </w:r>
      <w:r>
        <w:t xml:space="preserve"> and minimal important difference</w:t>
      </w:r>
      <w:r w:rsidR="00701F1E">
        <w:t xml:space="preserve"> </w:t>
      </w:r>
      <w:r>
        <w:t xml:space="preserve">for the co-primary endpoints </w:t>
      </w:r>
      <w:r w:rsidR="00B45A10">
        <w:t xml:space="preserve">Nasal Polyp Score </w:t>
      </w:r>
      <w:r>
        <w:t xml:space="preserve">and </w:t>
      </w:r>
      <w:r w:rsidR="00B45A10">
        <w:t xml:space="preserve">Nasal Congestion Score </w:t>
      </w:r>
      <w:r>
        <w:t xml:space="preserve">with the support of the data from the secondary endpoint, </w:t>
      </w:r>
      <w:r w:rsidR="00B45A10">
        <w:t xml:space="preserve">the </w:t>
      </w:r>
      <w:r>
        <w:t>S</w:t>
      </w:r>
      <w:r w:rsidR="00B45A10">
        <w:t>ino-</w:t>
      </w:r>
      <w:r>
        <w:t>N</w:t>
      </w:r>
      <w:r w:rsidR="00B45A10">
        <w:t xml:space="preserve">asal </w:t>
      </w:r>
      <w:r>
        <w:t>O</w:t>
      </w:r>
      <w:r w:rsidR="00B45A10">
        <w:t xml:space="preserve">utcome </w:t>
      </w:r>
      <w:r>
        <w:t>T</w:t>
      </w:r>
      <w:r w:rsidR="00B45A10">
        <w:t>test</w:t>
      </w:r>
      <w:r>
        <w:t xml:space="preserve">-22, a validated disease-specific health related quality of life instrument, where </w:t>
      </w:r>
      <w:proofErr w:type="spellStart"/>
      <w:r>
        <w:t>omalizumab</w:t>
      </w:r>
      <w:proofErr w:type="spellEnd"/>
      <w:r>
        <w:t xml:space="preserve"> led to significant and substantial improvements in </w:t>
      </w:r>
      <w:r w:rsidR="00B45A10">
        <w:t xml:space="preserve">quality of life </w:t>
      </w:r>
      <w:r>
        <w:t xml:space="preserve">in both studies. The </w:t>
      </w:r>
      <w:proofErr w:type="spellStart"/>
      <w:r>
        <w:t>S</w:t>
      </w:r>
      <w:r w:rsidR="00B45A10">
        <w:t>Sino</w:t>
      </w:r>
      <w:proofErr w:type="spellEnd"/>
      <w:r w:rsidR="00B45A10">
        <w:t xml:space="preserve">-Nasal Outcome Test-22 </w:t>
      </w:r>
      <w:r>
        <w:t xml:space="preserve">has a commonly accepted </w:t>
      </w:r>
      <w:r w:rsidR="00B45A10">
        <w:t xml:space="preserve">minimal important difference </w:t>
      </w:r>
      <w:r>
        <w:t xml:space="preserve">of 8.9 points. The full </w:t>
      </w:r>
      <w:r w:rsidRPr="002A5B76">
        <w:rPr>
          <w:i/>
        </w:rPr>
        <w:t>post-hoc</w:t>
      </w:r>
      <w:r>
        <w:t xml:space="preserve"> analysis report was provided in </w:t>
      </w:r>
      <w:r w:rsidR="00504BE0">
        <w:t>our response to the clinical evaluation report</w:t>
      </w:r>
      <w:r>
        <w:t xml:space="preserve"> </w:t>
      </w:r>
      <w:r w:rsidR="00B45A10">
        <w:t>[</w:t>
      </w:r>
      <w:r w:rsidR="00504BE0">
        <w:t>not shown here</w:t>
      </w:r>
      <w:r w:rsidR="00B45A10">
        <w:t>]</w:t>
      </w:r>
      <w:r>
        <w:t>. A summary of the results is provided below for convenience.</w:t>
      </w:r>
    </w:p>
    <w:p w14:paraId="1D8BAC80" w14:textId="5387F878" w:rsidR="001468E4" w:rsidRDefault="001468E4" w:rsidP="001468E4">
      <w:r>
        <w:t xml:space="preserve">Anchor-based methods were used to define </w:t>
      </w:r>
      <w:r w:rsidR="00B45A10">
        <w:t xml:space="preserve">the meaningful change thresholds </w:t>
      </w:r>
      <w:r>
        <w:t xml:space="preserve">and </w:t>
      </w:r>
      <w:r w:rsidR="00B45A10">
        <w:t>minimal important differences</w:t>
      </w:r>
      <w:r>
        <w:t>. Correlations were calculated between the N</w:t>
      </w:r>
      <w:r w:rsidR="00B45A10">
        <w:t>asal Polyp Score</w:t>
      </w:r>
      <w:r>
        <w:t xml:space="preserve"> and N</w:t>
      </w:r>
      <w:r w:rsidR="00B45A10">
        <w:t xml:space="preserve">asal </w:t>
      </w:r>
      <w:r>
        <w:t>C</w:t>
      </w:r>
      <w:r w:rsidR="00B45A10">
        <w:t xml:space="preserve">ongestion </w:t>
      </w:r>
      <w:r>
        <w:t>S</w:t>
      </w:r>
      <w:r w:rsidR="00B45A10">
        <w:t>core</w:t>
      </w:r>
      <w:r>
        <w:t xml:space="preserve"> and the following variables to determine the most appropriate anchors: </w:t>
      </w:r>
      <w:r w:rsidR="00B45A10">
        <w:t xml:space="preserve">the </w:t>
      </w:r>
      <w:r>
        <w:t>S</w:t>
      </w:r>
      <w:r w:rsidR="00B45A10">
        <w:t xml:space="preserve">ino-Nasal </w:t>
      </w:r>
      <w:r>
        <w:t>O</w:t>
      </w:r>
      <w:r w:rsidR="00B45A10">
        <w:t xml:space="preserve">utcome </w:t>
      </w:r>
      <w:r>
        <w:t>T</w:t>
      </w:r>
      <w:r w:rsidR="00B45A10">
        <w:t>est</w:t>
      </w:r>
      <w:r>
        <w:t>-22</w:t>
      </w:r>
      <w:r w:rsidR="00B45A10">
        <w:t>.</w:t>
      </w:r>
    </w:p>
    <w:p w14:paraId="21E4ED23" w14:textId="271CDA84" w:rsidR="001468E4" w:rsidRDefault="001468E4" w:rsidP="001468E4">
      <w:r>
        <w:t xml:space="preserve">Total score, and Sino-Nasal Symptoms Subscale (SNOT-22 SNSS) score (proposed based on prior published exploratory analysis. To determine the anchor-based meaningful change, patients were grouped by change in disease severity on the identified anchors. Patients were classified into response groups depending on their level of change over the course of the study (improvement, no change/worsening based on previously identified </w:t>
      </w:r>
      <w:r w:rsidR="00B45A10">
        <w:t>meaningful change thresholds and minimal important differences</w:t>
      </w:r>
      <w:r w:rsidR="00B45A10" w:rsidDel="00B45A10">
        <w:t xml:space="preserve"> </w:t>
      </w:r>
      <w:r>
        <w:t>associated with the anchor). For the N</w:t>
      </w:r>
      <w:r w:rsidR="00B45A10">
        <w:t xml:space="preserve">asal </w:t>
      </w:r>
      <w:r>
        <w:t>P</w:t>
      </w:r>
      <w:r w:rsidR="00B45A10">
        <w:t xml:space="preserve">olyp </w:t>
      </w:r>
      <w:r>
        <w:t>S</w:t>
      </w:r>
      <w:r w:rsidR="00B45A10">
        <w:t>core</w:t>
      </w:r>
      <w:r>
        <w:t xml:space="preserve">, the ‘much improved’ group provided the best separation between the curves, according to both </w:t>
      </w:r>
      <w:r w:rsidR="00B45A10">
        <w:t xml:space="preserve">the </w:t>
      </w:r>
      <w:r>
        <w:t>SNOT- 22 and SNOT-22 SNSS, for each study separately and combined. For the N</w:t>
      </w:r>
      <w:r w:rsidR="00B45A10">
        <w:t xml:space="preserve">asal </w:t>
      </w:r>
      <w:r>
        <w:t>C</w:t>
      </w:r>
      <w:r w:rsidR="00B45A10">
        <w:t xml:space="preserve">ongestion </w:t>
      </w:r>
      <w:r>
        <w:t>S</w:t>
      </w:r>
      <w:r w:rsidR="00B45A10">
        <w:t>core</w:t>
      </w:r>
      <w:r>
        <w:t xml:space="preserve">, there was sufficient separation between the ‘improved’ group and ‘no change’ groups, particularly </w:t>
      </w:r>
      <w:r w:rsidR="00B45A10">
        <w:t>in Study </w:t>
      </w:r>
      <w:r>
        <w:t>GA39855, for both</w:t>
      </w:r>
      <w:r w:rsidR="00B45A10">
        <w:t xml:space="preserve"> </w:t>
      </w:r>
      <w:r>
        <w:t xml:space="preserve">SNOT-22 and SNOT-22 SNSS. These groups were thus used to estimate the mean </w:t>
      </w:r>
      <w:r w:rsidR="00B45A10">
        <w:t xml:space="preserve">Nasal Polyp Score </w:t>
      </w:r>
      <w:r>
        <w:t>and N</w:t>
      </w:r>
      <w:r w:rsidR="00B45A10">
        <w:t xml:space="preserve">asal </w:t>
      </w:r>
      <w:r>
        <w:t>C</w:t>
      </w:r>
      <w:r w:rsidR="00B45A10">
        <w:t xml:space="preserve">ongestion </w:t>
      </w:r>
      <w:r>
        <w:t>S</w:t>
      </w:r>
      <w:r w:rsidR="00323FA1">
        <w:t>core</w:t>
      </w:r>
      <w:r>
        <w:t xml:space="preserve"> change scores associated with meaningful improvement (to estimate the </w:t>
      </w:r>
      <w:r w:rsidR="001E4607">
        <w:t>meaningful change thresholds</w:t>
      </w:r>
      <w:r>
        <w:t xml:space="preserve">), and to estimate the mean difference between patients that improved and those that did not (to estimate the </w:t>
      </w:r>
      <w:r w:rsidR="001E4607">
        <w:t>minimal important differences</w:t>
      </w:r>
      <w:r>
        <w:t>).</w:t>
      </w:r>
    </w:p>
    <w:p w14:paraId="5A5F1EFC" w14:textId="4E518469" w:rsidR="001468E4" w:rsidRDefault="001468E4" w:rsidP="001468E4">
      <w:r>
        <w:t xml:space="preserve">For the </w:t>
      </w:r>
      <w:r w:rsidR="00C27FF8">
        <w:t>Nasal Polyps Score</w:t>
      </w:r>
      <w:r>
        <w:t xml:space="preserve">, a within-patient </w:t>
      </w:r>
      <w:r w:rsidR="00C27FF8">
        <w:t>meaningful change threshold</w:t>
      </w:r>
      <w:r>
        <w:t xml:space="preserve"> was identified to be -1.0, meaning that a chang</w:t>
      </w:r>
      <w:r w:rsidR="00504BE0">
        <w:t xml:space="preserve">e in one category of the </w:t>
      </w:r>
      <w:r w:rsidR="00C27FF8">
        <w:t>Nasal Polyps Score</w:t>
      </w:r>
      <w:r w:rsidR="00504BE0">
        <w:t xml:space="preserve"> (0 to </w:t>
      </w:r>
      <w:r>
        <w:t xml:space="preserve">8 rating scale) (an 11% change) is meaningful for an individual patient. This is consistent with the mean change of the ‘much improved’ groups for both SNOT-22 and SNOT-22 SNSS, in each study separately and combined. The between-groups </w:t>
      </w:r>
      <w:r w:rsidR="00C27FF8">
        <w:t>minimal important difference</w:t>
      </w:r>
      <w:r>
        <w:t xml:space="preserve"> was estimated to be -0.5. This is consistent with the differences in mean group change between the ‘improved vs no change’ groups in each study separately and </w:t>
      </w:r>
      <w:proofErr w:type="spellStart"/>
      <w:r>
        <w:t>combined,and</w:t>
      </w:r>
      <w:proofErr w:type="spellEnd"/>
      <w:r>
        <w:t xml:space="preserve"> is larger than/the same as the distribut</w:t>
      </w:r>
      <w:r w:rsidR="00504BE0">
        <w:t>ion-based estimates (range 0.47 to</w:t>
      </w:r>
      <w:r>
        <w:t xml:space="preserve"> 0.50 for each study separately and combined).</w:t>
      </w:r>
    </w:p>
    <w:p w14:paraId="2D3E2033" w14:textId="755BFEF0" w:rsidR="001468E4" w:rsidRDefault="001468E4" w:rsidP="001468E4">
      <w:r>
        <w:t xml:space="preserve">For the </w:t>
      </w:r>
      <w:r w:rsidR="00C27FF8">
        <w:t>Nasal Congestion Score</w:t>
      </w:r>
      <w:r>
        <w:t xml:space="preserve">, a within-patient </w:t>
      </w:r>
      <w:r w:rsidR="00C27FF8">
        <w:t>meaningful change threshold</w:t>
      </w:r>
      <w:r>
        <w:t xml:space="preserve"> was identified to be -0.5, meaning that a change of -0.5 in the weekly aver</w:t>
      </w:r>
      <w:r w:rsidR="00504BE0">
        <w:t xml:space="preserve">age </w:t>
      </w:r>
      <w:r w:rsidR="00C27FF8">
        <w:t>Nasal Congestion Score</w:t>
      </w:r>
      <w:r w:rsidR="00504BE0">
        <w:t xml:space="preserve"> (0 to </w:t>
      </w:r>
      <w:r>
        <w:t xml:space="preserve">3 rating scale) (a 12.5% change) is deemed meaningful for an individual patient. This is consistent with the mean change of the ‘improved’ groups for both the SNOT-22 and SNOT-22 SNSS, in each study separately and combined. The between-groups </w:t>
      </w:r>
      <w:r w:rsidR="00C27FF8">
        <w:t>minimal important difference</w:t>
      </w:r>
      <w:r>
        <w:t xml:space="preserve"> was estimated to </w:t>
      </w:r>
      <w:r w:rsidR="00232422">
        <w:t>be -0.35 (</w:t>
      </w:r>
      <w:r w:rsidR="00232422">
        <w:fldChar w:fldCharType="begin"/>
      </w:r>
      <w:r w:rsidR="00232422">
        <w:instrText xml:space="preserve"> REF _Ref67402496 \h </w:instrText>
      </w:r>
      <w:r w:rsidR="00232422">
        <w:fldChar w:fldCharType="separate"/>
      </w:r>
      <w:r w:rsidR="000E4669" w:rsidRPr="001468E4">
        <w:t xml:space="preserve">Table </w:t>
      </w:r>
      <w:r w:rsidR="000E4669">
        <w:rPr>
          <w:noProof/>
        </w:rPr>
        <w:t>10</w:t>
      </w:r>
      <w:r w:rsidR="00232422">
        <w:fldChar w:fldCharType="end"/>
      </w:r>
      <w:r>
        <w:t>). This is consistent with the differences in mean group change between the ‘improved versus no change’ in each study separately and combined (range -0.1 to -0.5), and larger than/the same as the distribut</w:t>
      </w:r>
      <w:r w:rsidR="00504BE0">
        <w:t xml:space="preserve">ion-based estimates (range 0.32 to </w:t>
      </w:r>
      <w:r>
        <w:t>0.35 for each study separately and combined).</w:t>
      </w:r>
    </w:p>
    <w:p w14:paraId="20EA9B4B" w14:textId="162FD153" w:rsidR="001468E4" w:rsidRDefault="001468E4" w:rsidP="001468E4">
      <w:pPr>
        <w:pStyle w:val="TableTitle"/>
      </w:pPr>
      <w:bookmarkStart w:id="50" w:name="_Ref67402496"/>
      <w:r w:rsidRPr="001468E4">
        <w:t xml:space="preserve">Table </w:t>
      </w:r>
      <w:r>
        <w:fldChar w:fldCharType="begin"/>
      </w:r>
      <w:r>
        <w:instrText>SEQ Table \* ARABIC</w:instrText>
      </w:r>
      <w:r>
        <w:fldChar w:fldCharType="separate"/>
      </w:r>
      <w:r w:rsidR="000E4669">
        <w:rPr>
          <w:noProof/>
        </w:rPr>
        <w:t>10</w:t>
      </w:r>
      <w:r>
        <w:fldChar w:fldCharType="end"/>
      </w:r>
      <w:bookmarkEnd w:id="50"/>
      <w:r>
        <w:t xml:space="preserve">: Final estimates of </w:t>
      </w:r>
      <w:r w:rsidR="00C27FF8">
        <w:t xml:space="preserve">meaningful change threshold </w:t>
      </w:r>
      <w:r>
        <w:t xml:space="preserve">and </w:t>
      </w:r>
      <w:r w:rsidR="00C27FF8">
        <w:t>minimal important difference</w:t>
      </w:r>
      <w:r>
        <w:t xml:space="preserve"> for the </w:t>
      </w:r>
      <w:r w:rsidR="00C27FF8">
        <w:t>Nasal Polyps Score</w:t>
      </w:r>
      <w:r>
        <w:t xml:space="preserve"> and </w:t>
      </w:r>
      <w:r w:rsidR="00C27FF8">
        <w:t>Nasal Congestion Score</w:t>
      </w:r>
      <w:r>
        <w:t xml:space="preserve"> (pooled data)</w:t>
      </w:r>
    </w:p>
    <w:p w14:paraId="2373F021" w14:textId="37742C26" w:rsidR="001468E4" w:rsidRDefault="001468E4" w:rsidP="001468E4">
      <w:r w:rsidRPr="001468E4">
        <w:rPr>
          <w:noProof/>
          <w:lang w:eastAsia="en-AU"/>
        </w:rPr>
        <w:drawing>
          <wp:inline distT="0" distB="0" distL="0" distR="0" wp14:anchorId="15CFA2BC" wp14:editId="2BDD5695">
            <wp:extent cx="5333119" cy="885190"/>
            <wp:effectExtent l="0" t="0" r="1270" b="0"/>
            <wp:docPr id="8" name="Picture 8" descr="Final estimates of MCR and MID for the NPS and NCS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1548" r="1231"/>
                    <a:stretch/>
                  </pic:blipFill>
                  <pic:spPr bwMode="auto">
                    <a:xfrm>
                      <a:off x="0" y="0"/>
                      <a:ext cx="5333535" cy="885259"/>
                    </a:xfrm>
                    <a:prstGeom prst="rect">
                      <a:avLst/>
                    </a:prstGeom>
                    <a:ln>
                      <a:noFill/>
                    </a:ln>
                    <a:extLst>
                      <a:ext uri="{53640926-AAD7-44D8-BBD7-CCE9431645EC}">
                        <a14:shadowObscured xmlns:a14="http://schemas.microsoft.com/office/drawing/2010/main"/>
                      </a:ext>
                    </a:extLst>
                  </pic:spPr>
                </pic:pic>
              </a:graphicData>
            </a:graphic>
          </wp:inline>
        </w:drawing>
      </w:r>
    </w:p>
    <w:p w14:paraId="7ECE7090" w14:textId="09A27CF6" w:rsidR="001468E4" w:rsidRDefault="00232422" w:rsidP="00232422">
      <w:r>
        <w:t xml:space="preserve">The estimates of </w:t>
      </w:r>
      <w:r w:rsidR="00C27FF8">
        <w:t>meaningful change threshold</w:t>
      </w:r>
      <w:r>
        <w:t xml:space="preserve"> were used in </w:t>
      </w:r>
      <w:proofErr w:type="spellStart"/>
      <w:r>
        <w:t>unblinded</w:t>
      </w:r>
      <w:proofErr w:type="spellEnd"/>
      <w:r>
        <w:t xml:space="preserve"> responder analyses to compare the proportions of patients in each study group achieving a meaningful improvement on both the </w:t>
      </w:r>
      <w:r w:rsidR="00C27FF8">
        <w:t>Nasal Polyps Score</w:t>
      </w:r>
      <w:r>
        <w:t xml:space="preserve"> and </w:t>
      </w:r>
      <w:r w:rsidR="00C27FF8">
        <w:t>Nasal Congestion Score</w:t>
      </w:r>
      <w:r>
        <w:t xml:space="preserve">. These results are presented in </w:t>
      </w:r>
      <w:r>
        <w:fldChar w:fldCharType="begin"/>
      </w:r>
      <w:r>
        <w:instrText xml:space="preserve"> REF _Ref67402486 \h </w:instrText>
      </w:r>
      <w:r>
        <w:fldChar w:fldCharType="separate"/>
      </w:r>
      <w:r w:rsidR="000E4669" w:rsidRPr="00232422">
        <w:t xml:space="preserve">Table </w:t>
      </w:r>
      <w:r w:rsidR="000E4669">
        <w:rPr>
          <w:noProof/>
        </w:rPr>
        <w:t>11</w:t>
      </w:r>
      <w:r>
        <w:fldChar w:fldCharType="end"/>
      </w:r>
      <w:r>
        <w:t xml:space="preserve">. Overall, around twice as many patients achieved a meaningful change in the </w:t>
      </w:r>
      <w:r w:rsidR="00C27FF8">
        <w:t>Nasal Polyps Score</w:t>
      </w:r>
      <w:r>
        <w:t xml:space="preserve"> in the </w:t>
      </w:r>
      <w:proofErr w:type="spellStart"/>
      <w:r>
        <w:t>omalizumab</w:t>
      </w:r>
      <w:proofErr w:type="spellEnd"/>
      <w:r>
        <w:t xml:space="preserve"> group as in the placebo group, with highly statistically significant differences between the treatment groups. The cumulative distribution function plots for the pooled studies are displayed in </w:t>
      </w:r>
      <w:r>
        <w:fldChar w:fldCharType="begin"/>
      </w:r>
      <w:r>
        <w:instrText xml:space="preserve"> REF _Ref67402669 \h </w:instrText>
      </w:r>
      <w:r>
        <w:fldChar w:fldCharType="separate"/>
      </w:r>
      <w:r w:rsidR="000E4669" w:rsidRPr="00232422">
        <w:t xml:space="preserve">Figure </w:t>
      </w:r>
      <w:r w:rsidR="000E4669">
        <w:rPr>
          <w:noProof/>
        </w:rPr>
        <w:t>4</w:t>
      </w:r>
      <w:r>
        <w:fldChar w:fldCharType="end"/>
      </w:r>
      <w:r>
        <w:t xml:space="preserve">. Similarly, around twice as many patients achieved a meaningful change in the </w:t>
      </w:r>
      <w:r w:rsidR="00C27FF8">
        <w:t>Nasal Congestion Score</w:t>
      </w:r>
      <w:r>
        <w:t xml:space="preserve"> in the </w:t>
      </w:r>
      <w:proofErr w:type="spellStart"/>
      <w:r>
        <w:t>omalizumab</w:t>
      </w:r>
      <w:proofErr w:type="spellEnd"/>
      <w:r>
        <w:t xml:space="preserve"> group as in the placebo group, with highly statistically significant differences between the treatment groups. The </w:t>
      </w:r>
      <w:r w:rsidR="00C27FF8">
        <w:t>cumulative distribution function</w:t>
      </w:r>
      <w:r w:rsidR="00C27FF8" w:rsidDel="00C27FF8">
        <w:t xml:space="preserve"> </w:t>
      </w:r>
      <w:r>
        <w:t xml:space="preserve">plots for the pooled studies are displayed in </w:t>
      </w:r>
      <w:r>
        <w:fldChar w:fldCharType="begin"/>
      </w:r>
      <w:r>
        <w:instrText xml:space="preserve"> REF _Ref67402677 \h </w:instrText>
      </w:r>
      <w:r>
        <w:fldChar w:fldCharType="separate"/>
      </w:r>
      <w:r w:rsidR="000E4669" w:rsidRPr="00232422">
        <w:t xml:space="preserve">Figure </w:t>
      </w:r>
      <w:r w:rsidR="000E4669">
        <w:rPr>
          <w:noProof/>
        </w:rPr>
        <w:t>5</w:t>
      </w:r>
      <w:r>
        <w:fldChar w:fldCharType="end"/>
      </w:r>
      <w:r>
        <w:t>.</w:t>
      </w:r>
    </w:p>
    <w:p w14:paraId="66E0CB59" w14:textId="3C3EDDA1" w:rsidR="00232422" w:rsidRDefault="00232422" w:rsidP="00232422">
      <w:pPr>
        <w:pStyle w:val="TableTitle"/>
      </w:pPr>
      <w:bookmarkStart w:id="51" w:name="_Ref67402486"/>
      <w:r w:rsidRPr="00232422">
        <w:t xml:space="preserve">Table </w:t>
      </w:r>
      <w:r>
        <w:fldChar w:fldCharType="begin"/>
      </w:r>
      <w:r>
        <w:instrText>SEQ Table \* ARABIC</w:instrText>
      </w:r>
      <w:r>
        <w:fldChar w:fldCharType="separate"/>
      </w:r>
      <w:r w:rsidR="000E4669">
        <w:rPr>
          <w:noProof/>
        </w:rPr>
        <w:t>11</w:t>
      </w:r>
      <w:r>
        <w:fldChar w:fldCharType="end"/>
      </w:r>
      <w:bookmarkEnd w:id="51"/>
      <w:r w:rsidRPr="00232422">
        <w:t>:</w:t>
      </w:r>
      <w:r>
        <w:t xml:space="preserve"> </w:t>
      </w:r>
      <w:r w:rsidRPr="00232422">
        <w:t xml:space="preserve">Proportion of patients achieving </w:t>
      </w:r>
      <w:r w:rsidR="00C27FF8">
        <w:t>minimal important difference</w:t>
      </w:r>
      <w:r w:rsidRPr="00232422">
        <w:t xml:space="preserve"> for the </w:t>
      </w:r>
      <w:r w:rsidR="00C27FF8">
        <w:t>Nasal Polyps Score</w:t>
      </w:r>
      <w:r w:rsidRPr="00232422">
        <w:t xml:space="preserve"> and </w:t>
      </w:r>
      <w:r w:rsidR="00C27FF8">
        <w:t>Nasal Congestion Score</w:t>
      </w:r>
      <w:r w:rsidRPr="00232422">
        <w:t xml:space="preserve"> (pooled data)</w:t>
      </w:r>
    </w:p>
    <w:p w14:paraId="4870FB50" w14:textId="45B44845" w:rsidR="00232422" w:rsidRDefault="00232422" w:rsidP="00232422">
      <w:r>
        <w:rPr>
          <w:noProof/>
          <w:lang w:eastAsia="en-AU"/>
        </w:rPr>
        <w:drawing>
          <wp:inline distT="0" distB="0" distL="0" distR="0" wp14:anchorId="5422549E" wp14:editId="1E4C1542">
            <wp:extent cx="5400040" cy="619760"/>
            <wp:effectExtent l="0" t="0" r="0" b="8890"/>
            <wp:docPr id="9" name="Picture 9" descr="Proportion of patients achieving MID for the NPS and NCS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5400040" cy="619760"/>
                    </a:xfrm>
                    <a:prstGeom prst="rect">
                      <a:avLst/>
                    </a:prstGeom>
                  </pic:spPr>
                </pic:pic>
              </a:graphicData>
            </a:graphic>
          </wp:inline>
        </w:drawing>
      </w:r>
    </w:p>
    <w:p w14:paraId="7F719093" w14:textId="72A5711F" w:rsidR="00232422" w:rsidRDefault="00232422" w:rsidP="00232422">
      <w:r>
        <w:t xml:space="preserve">Summary - Post-hoc analysis: </w:t>
      </w:r>
      <w:r w:rsidR="00C27FF8">
        <w:t>meaningful change threshold</w:t>
      </w:r>
      <w:r>
        <w:t xml:space="preserve"> and </w:t>
      </w:r>
      <w:r w:rsidR="00C27FF8">
        <w:t>minimal important difference</w:t>
      </w:r>
      <w:r>
        <w:t xml:space="preserve"> for </w:t>
      </w:r>
      <w:r w:rsidR="00C27FF8">
        <w:t>Nasal Congestion Score</w:t>
      </w:r>
      <w:r>
        <w:t xml:space="preserve"> and </w:t>
      </w:r>
      <w:r w:rsidR="00C27FF8">
        <w:t>Nasal Polyps Score</w:t>
      </w:r>
    </w:p>
    <w:p w14:paraId="3E7747AE" w14:textId="51F591C7" w:rsidR="00232422" w:rsidRDefault="00232422" w:rsidP="00232422">
      <w:r>
        <w:t xml:space="preserve">The estimated </w:t>
      </w:r>
      <w:r w:rsidR="00C27FF8">
        <w:t>meaningful change threshold</w:t>
      </w:r>
      <w:r>
        <w:t xml:space="preserve">s and </w:t>
      </w:r>
      <w:r w:rsidR="00C27FF8">
        <w:t>minimal important difference</w:t>
      </w:r>
      <w:r>
        <w:t xml:space="preserve">s were consistent across the pivotal studies and across different methodological approaches. The use of a nasal polyp-specific measure (the SNOT-22 or SNOT-22 SNSS) supports the relevance of the estimated thresholds. In both studies, around twice as many patients in the </w:t>
      </w:r>
      <w:proofErr w:type="spellStart"/>
      <w:r>
        <w:t>omalizumab</w:t>
      </w:r>
      <w:proofErr w:type="spellEnd"/>
      <w:r>
        <w:t xml:space="preserve"> arm as in the placebo arm achieved a change that would have been perceived as meaningful.</w:t>
      </w:r>
    </w:p>
    <w:p w14:paraId="30455A08" w14:textId="1332E260" w:rsidR="00232422" w:rsidRDefault="00232422" w:rsidP="00232422">
      <w:r>
        <w:t xml:space="preserve">In summary, the totality of the evidence based on the post-hoc analysis for </w:t>
      </w:r>
      <w:r w:rsidR="00C27FF8">
        <w:t>meaningful change threshold</w:t>
      </w:r>
      <w:r>
        <w:t xml:space="preserve"> and </w:t>
      </w:r>
      <w:r w:rsidR="00C27FF8">
        <w:t>minimal important difference</w:t>
      </w:r>
      <w:r>
        <w:t xml:space="preserve"> for </w:t>
      </w:r>
      <w:r w:rsidR="00C27FF8">
        <w:t>Nasal Congestion Score</w:t>
      </w:r>
      <w:r>
        <w:t xml:space="preserve"> and </w:t>
      </w:r>
      <w:r w:rsidR="00C27FF8">
        <w:t>Nasal Polyps Score</w:t>
      </w:r>
      <w:r>
        <w:t xml:space="preserve"> showed a meaningful change (improvement for the patient) and statistical significance between treatment groups and these results are considered clinically meaningful.</w:t>
      </w:r>
    </w:p>
    <w:p w14:paraId="37C01E55" w14:textId="222326E9" w:rsidR="00232422" w:rsidRDefault="00232422" w:rsidP="00232422">
      <w:pPr>
        <w:pStyle w:val="FigureTitle"/>
      </w:pPr>
      <w:bookmarkStart w:id="52" w:name="_Ref67402669"/>
      <w:r w:rsidRPr="00232422">
        <w:t xml:space="preserve">Figure </w:t>
      </w:r>
      <w:r>
        <w:fldChar w:fldCharType="begin"/>
      </w:r>
      <w:r>
        <w:instrText>SEQ Figure \* ARABIC</w:instrText>
      </w:r>
      <w:r>
        <w:fldChar w:fldCharType="separate"/>
      </w:r>
      <w:r w:rsidR="000E4669">
        <w:rPr>
          <w:noProof/>
        </w:rPr>
        <w:t>4</w:t>
      </w:r>
      <w:r>
        <w:fldChar w:fldCharType="end"/>
      </w:r>
      <w:bookmarkEnd w:id="52"/>
      <w:r>
        <w:t xml:space="preserve">: </w:t>
      </w:r>
      <w:r w:rsidR="00F122E2">
        <w:t>C</w:t>
      </w:r>
      <w:r w:rsidR="00F122E2" w:rsidRPr="00284495">
        <w:t>umulative distribution function</w:t>
      </w:r>
      <w:r w:rsidRPr="00232422">
        <w:t xml:space="preserve">s of </w:t>
      </w:r>
      <w:r w:rsidR="00C27FF8">
        <w:t>Nasal Polyps Score</w:t>
      </w:r>
      <w:r w:rsidRPr="00232422">
        <w:t xml:space="preserve"> improvement by treatment group (pooled data)</w:t>
      </w:r>
    </w:p>
    <w:p w14:paraId="45688E23" w14:textId="711B8848" w:rsidR="00232422" w:rsidRDefault="00232422" w:rsidP="00232422">
      <w:r w:rsidRPr="00232422">
        <w:rPr>
          <w:noProof/>
          <w:lang w:eastAsia="en-AU"/>
        </w:rPr>
        <w:drawing>
          <wp:inline distT="0" distB="0" distL="0" distR="0" wp14:anchorId="15B0B846" wp14:editId="4B175023">
            <wp:extent cx="5400040" cy="2853536"/>
            <wp:effectExtent l="0" t="0" r="0" b="4445"/>
            <wp:docPr id="11" name="Picture 11" descr="Cumulative distribution functions of NPS improvement by treatment group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853536"/>
                    </a:xfrm>
                    <a:prstGeom prst="rect">
                      <a:avLst/>
                    </a:prstGeom>
                    <a:noFill/>
                    <a:ln>
                      <a:noFill/>
                    </a:ln>
                  </pic:spPr>
                </pic:pic>
              </a:graphicData>
            </a:graphic>
          </wp:inline>
        </w:drawing>
      </w:r>
    </w:p>
    <w:p w14:paraId="484835CE" w14:textId="39988EAA" w:rsidR="00232422" w:rsidRDefault="00232422" w:rsidP="00232422">
      <w:pPr>
        <w:pStyle w:val="FigureTitle"/>
      </w:pPr>
      <w:bookmarkStart w:id="53" w:name="_Ref67402677"/>
      <w:r w:rsidRPr="00232422">
        <w:t xml:space="preserve">Figure </w:t>
      </w:r>
      <w:r>
        <w:fldChar w:fldCharType="begin"/>
      </w:r>
      <w:r>
        <w:instrText>SEQ Figure \* ARABIC</w:instrText>
      </w:r>
      <w:r>
        <w:fldChar w:fldCharType="separate"/>
      </w:r>
      <w:r w:rsidR="000E4669">
        <w:rPr>
          <w:noProof/>
        </w:rPr>
        <w:t>5</w:t>
      </w:r>
      <w:r>
        <w:fldChar w:fldCharType="end"/>
      </w:r>
      <w:bookmarkEnd w:id="53"/>
      <w:r w:rsidR="00F122E2">
        <w:t>: C</w:t>
      </w:r>
      <w:r w:rsidR="00F122E2" w:rsidRPr="00284495">
        <w:t>umulative distribution function</w:t>
      </w:r>
      <w:r w:rsidR="00F122E2">
        <w:t>s</w:t>
      </w:r>
      <w:r>
        <w:t xml:space="preserve"> of </w:t>
      </w:r>
      <w:r w:rsidR="00C27FF8">
        <w:t>Nasal Congestion Score</w:t>
      </w:r>
      <w:r>
        <w:t xml:space="preserve"> improvement by treatment group (pooled data)</w:t>
      </w:r>
    </w:p>
    <w:p w14:paraId="3C52F020" w14:textId="64749973" w:rsidR="00232422" w:rsidRPr="00232422" w:rsidRDefault="00232422" w:rsidP="00232422">
      <w:r w:rsidRPr="00232422">
        <w:rPr>
          <w:noProof/>
          <w:lang w:eastAsia="en-AU"/>
        </w:rPr>
        <w:drawing>
          <wp:inline distT="0" distB="0" distL="0" distR="0" wp14:anchorId="0EF33146" wp14:editId="604D05AE">
            <wp:extent cx="5400040" cy="2850021"/>
            <wp:effectExtent l="0" t="0" r="0" b="7620"/>
            <wp:docPr id="12" name="Picture 12" descr="Cumulative distribution functions of NCS improvement by treatment group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850021"/>
                    </a:xfrm>
                    <a:prstGeom prst="rect">
                      <a:avLst/>
                    </a:prstGeom>
                    <a:noFill/>
                    <a:ln>
                      <a:noFill/>
                    </a:ln>
                  </pic:spPr>
                </pic:pic>
              </a:graphicData>
            </a:graphic>
          </wp:inline>
        </w:drawing>
      </w:r>
    </w:p>
    <w:p w14:paraId="1953E499" w14:textId="55378BDD" w:rsidR="008E7846" w:rsidRDefault="008E7846" w:rsidP="007D53B6">
      <w:pPr>
        <w:pStyle w:val="Heading4"/>
      </w:pPr>
      <w:r>
        <w:t xml:space="preserve">Advisory Committee </w:t>
      </w:r>
      <w:r w:rsidR="007D53B6">
        <w:t>c</w:t>
      </w:r>
      <w:r>
        <w:t>onsiderations</w:t>
      </w:r>
      <w:r w:rsidR="00456765">
        <w:rPr>
          <w:rStyle w:val="FootnoteReference"/>
        </w:rPr>
        <w:footnoteReference w:id="14"/>
      </w:r>
    </w:p>
    <w:p w14:paraId="427590A2" w14:textId="77777777" w:rsidR="00744121" w:rsidRPr="002D23BC" w:rsidRDefault="00744121" w:rsidP="00C27FF8">
      <w:bookmarkStart w:id="54" w:name="_Toc247691532"/>
      <w:bookmarkStart w:id="55" w:name="_Toc314842516"/>
      <w:bookmarkEnd w:id="30"/>
      <w:bookmarkEnd w:id="45"/>
      <w:bookmarkEnd w:id="46"/>
      <w:r w:rsidRPr="00C27FF8">
        <w:t>The Advisory Committee on Medicines (ACM), having considered the evaluations and the Delegate’s overview, as well as the sponsor’s response to these documents, advised the following</w:t>
      </w:r>
      <w:r w:rsidRPr="002D23BC">
        <w:t>.</w:t>
      </w:r>
    </w:p>
    <w:p w14:paraId="333A6288" w14:textId="4A786654" w:rsidR="00744121" w:rsidRDefault="00744121" w:rsidP="00744121">
      <w:pPr>
        <w:pStyle w:val="Heading5"/>
      </w:pPr>
      <w:r>
        <w:t xml:space="preserve">Specific advice to the </w:t>
      </w:r>
      <w:r w:rsidR="003B6C97">
        <w:t>d</w:t>
      </w:r>
      <w:r>
        <w:t>elegate</w:t>
      </w:r>
    </w:p>
    <w:p w14:paraId="69D0803D" w14:textId="586A5FB3" w:rsidR="00232422" w:rsidRPr="00232422" w:rsidRDefault="00232422" w:rsidP="00232422">
      <w:pPr>
        <w:pStyle w:val="Numberbullet0"/>
        <w:numPr>
          <w:ilvl w:val="0"/>
          <w:numId w:val="33"/>
        </w:numPr>
        <w:rPr>
          <w:b/>
          <w:i/>
        </w:rPr>
      </w:pPr>
      <w:r w:rsidRPr="00232422">
        <w:rPr>
          <w:b/>
          <w:i/>
        </w:rPr>
        <w:t xml:space="preserve">Is the change in the co-primary endpoints </w:t>
      </w:r>
      <w:r w:rsidR="00C27FF8">
        <w:rPr>
          <w:b/>
          <w:i/>
        </w:rPr>
        <w:t xml:space="preserve">of </w:t>
      </w:r>
      <w:r w:rsidRPr="00232422">
        <w:rPr>
          <w:b/>
          <w:i/>
        </w:rPr>
        <w:t>N</w:t>
      </w:r>
      <w:r w:rsidR="00C27FF8">
        <w:rPr>
          <w:b/>
          <w:i/>
        </w:rPr>
        <w:t xml:space="preserve">asal </w:t>
      </w:r>
      <w:r w:rsidRPr="00232422">
        <w:rPr>
          <w:b/>
          <w:i/>
        </w:rPr>
        <w:t>P</w:t>
      </w:r>
      <w:r w:rsidR="00C27FF8">
        <w:rPr>
          <w:b/>
          <w:i/>
        </w:rPr>
        <w:t xml:space="preserve">olyps </w:t>
      </w:r>
      <w:r w:rsidRPr="00232422">
        <w:rPr>
          <w:b/>
          <w:i/>
        </w:rPr>
        <w:t>S</w:t>
      </w:r>
      <w:r w:rsidR="00C27FF8">
        <w:rPr>
          <w:b/>
          <w:i/>
        </w:rPr>
        <w:t>core</w:t>
      </w:r>
      <w:r w:rsidRPr="00232422">
        <w:rPr>
          <w:b/>
          <w:i/>
        </w:rPr>
        <w:t xml:space="preserve"> and N</w:t>
      </w:r>
      <w:r w:rsidR="00C27FF8">
        <w:rPr>
          <w:b/>
          <w:i/>
        </w:rPr>
        <w:t xml:space="preserve">asal </w:t>
      </w:r>
      <w:r w:rsidRPr="00232422">
        <w:rPr>
          <w:b/>
          <w:i/>
        </w:rPr>
        <w:t>C</w:t>
      </w:r>
      <w:r w:rsidR="00C27FF8">
        <w:rPr>
          <w:b/>
          <w:i/>
        </w:rPr>
        <w:t xml:space="preserve">ongestion </w:t>
      </w:r>
      <w:r w:rsidRPr="00232422">
        <w:rPr>
          <w:b/>
          <w:i/>
        </w:rPr>
        <w:t>S</w:t>
      </w:r>
      <w:r w:rsidR="00C27FF8">
        <w:rPr>
          <w:b/>
          <w:i/>
        </w:rPr>
        <w:t>core</w:t>
      </w:r>
      <w:r w:rsidRPr="00232422">
        <w:rPr>
          <w:b/>
          <w:i/>
        </w:rPr>
        <w:t xml:space="preserve"> considered clinically significant?</w:t>
      </w:r>
    </w:p>
    <w:p w14:paraId="7ED48B1C" w14:textId="7C859E88" w:rsidR="00232422" w:rsidRDefault="00232422" w:rsidP="00232422">
      <w:r>
        <w:t xml:space="preserve">The ACM was of view that the change in the co-primary endpoints </w:t>
      </w:r>
      <w:r w:rsidR="00C27FF8">
        <w:t>of N</w:t>
      </w:r>
      <w:r>
        <w:t xml:space="preserve">asal </w:t>
      </w:r>
      <w:r w:rsidR="00C27FF8">
        <w:t>P</w:t>
      </w:r>
      <w:r>
        <w:t xml:space="preserve">olyps </w:t>
      </w:r>
      <w:r w:rsidR="00C27FF8">
        <w:t>S</w:t>
      </w:r>
      <w:r>
        <w:t xml:space="preserve">core and </w:t>
      </w:r>
      <w:r w:rsidR="00C27FF8">
        <w:t>N</w:t>
      </w:r>
      <w:r>
        <w:t xml:space="preserve">asal </w:t>
      </w:r>
      <w:r w:rsidR="00C27FF8">
        <w:t>C</w:t>
      </w:r>
      <w:r>
        <w:t xml:space="preserve">ongestion </w:t>
      </w:r>
      <w:r w:rsidR="00C27FF8">
        <w:t>S</w:t>
      </w:r>
      <w:r>
        <w:t>core are of cl</w:t>
      </w:r>
      <w:r w:rsidR="00F122E2">
        <w:t>inical significance.</w:t>
      </w:r>
    </w:p>
    <w:p w14:paraId="2FD3DDD1" w14:textId="4D3D7B77" w:rsidR="00232422" w:rsidRPr="00232422" w:rsidRDefault="00232422" w:rsidP="00232422">
      <w:pPr>
        <w:pStyle w:val="Numberbullet0"/>
        <w:rPr>
          <w:b/>
          <w:i/>
        </w:rPr>
      </w:pPr>
      <w:r w:rsidRPr="00232422">
        <w:rPr>
          <w:b/>
          <w:i/>
        </w:rPr>
        <w:t xml:space="preserve">Is the proposed dosing regimen for </w:t>
      </w:r>
      <w:r w:rsidR="00C27FF8">
        <w:rPr>
          <w:b/>
          <w:i/>
        </w:rPr>
        <w:t xml:space="preserve">chronic </w:t>
      </w:r>
      <w:proofErr w:type="spellStart"/>
      <w:r w:rsidR="00C27FF8">
        <w:rPr>
          <w:b/>
          <w:i/>
        </w:rPr>
        <w:t>rhinosinusitis</w:t>
      </w:r>
      <w:proofErr w:type="spellEnd"/>
      <w:r w:rsidR="00C27FF8">
        <w:rPr>
          <w:b/>
          <w:i/>
        </w:rPr>
        <w:t xml:space="preserve"> </w:t>
      </w:r>
      <w:r w:rsidRPr="00232422">
        <w:rPr>
          <w:b/>
          <w:i/>
        </w:rPr>
        <w:t>w</w:t>
      </w:r>
      <w:r w:rsidR="00C27FF8">
        <w:rPr>
          <w:b/>
          <w:i/>
        </w:rPr>
        <w:t>ith nasal polyps</w:t>
      </w:r>
      <w:r w:rsidRPr="00232422">
        <w:rPr>
          <w:b/>
          <w:i/>
        </w:rPr>
        <w:t xml:space="preserve"> (</w:t>
      </w:r>
      <w:r w:rsidR="00C27FF8">
        <w:rPr>
          <w:b/>
          <w:i/>
        </w:rPr>
        <w:t xml:space="preserve">the </w:t>
      </w:r>
      <w:r w:rsidRPr="00232422">
        <w:rPr>
          <w:b/>
          <w:i/>
        </w:rPr>
        <w:t>same as in severe asthma) appropria</w:t>
      </w:r>
      <w:r>
        <w:rPr>
          <w:b/>
          <w:i/>
        </w:rPr>
        <w:t>te?</w:t>
      </w:r>
    </w:p>
    <w:p w14:paraId="6DF164F4" w14:textId="0CF96ADA" w:rsidR="00232422" w:rsidRDefault="00232422" w:rsidP="00232422">
      <w:r>
        <w:t>The ACM was of view that the proposed dosing regimen is appropriate.</w:t>
      </w:r>
    </w:p>
    <w:p w14:paraId="6CBE9D91" w14:textId="4AB6645D" w:rsidR="00232422" w:rsidRPr="00232422" w:rsidRDefault="00232422" w:rsidP="00232422">
      <w:pPr>
        <w:pStyle w:val="Numberbullet0"/>
        <w:rPr>
          <w:b/>
          <w:i/>
        </w:rPr>
      </w:pPr>
      <w:r w:rsidRPr="00232422">
        <w:rPr>
          <w:b/>
          <w:i/>
        </w:rPr>
        <w:t xml:space="preserve">Should the studied population be considered to represent patients with severe disease based on baseline severity scores and the indication restricted to treatment of severe </w:t>
      </w:r>
      <w:r w:rsidR="00C27FF8">
        <w:rPr>
          <w:b/>
          <w:i/>
        </w:rPr>
        <w:t xml:space="preserve">chronic </w:t>
      </w:r>
      <w:proofErr w:type="spellStart"/>
      <w:r w:rsidR="00C27FF8">
        <w:rPr>
          <w:b/>
          <w:i/>
        </w:rPr>
        <w:t>rhinosinusitis</w:t>
      </w:r>
      <w:proofErr w:type="spellEnd"/>
      <w:r w:rsidR="00C27FF8">
        <w:rPr>
          <w:b/>
          <w:i/>
        </w:rPr>
        <w:t xml:space="preserve"> </w:t>
      </w:r>
      <w:r w:rsidR="00C27FF8" w:rsidRPr="00232422">
        <w:rPr>
          <w:b/>
          <w:i/>
        </w:rPr>
        <w:t>w</w:t>
      </w:r>
      <w:r w:rsidR="00C27FF8">
        <w:rPr>
          <w:b/>
          <w:i/>
        </w:rPr>
        <w:t>ith nasal polyps</w:t>
      </w:r>
      <w:r w:rsidRPr="00232422">
        <w:rPr>
          <w:b/>
          <w:i/>
        </w:rPr>
        <w:t>?</w:t>
      </w:r>
    </w:p>
    <w:p w14:paraId="41CF090F" w14:textId="52351F59" w:rsidR="00232422" w:rsidRDefault="00232422" w:rsidP="00232422">
      <w:r>
        <w:t xml:space="preserve">The ACM was of the view that the studied population represented patients with severe disease based on baseline severity score and to restrict the indication to treatment of severe </w:t>
      </w:r>
      <w:r w:rsidR="00C27FF8">
        <w:t xml:space="preserve">chronic </w:t>
      </w:r>
      <w:proofErr w:type="spellStart"/>
      <w:r w:rsidR="00C27FF8">
        <w:t>rhinosinusitis</w:t>
      </w:r>
      <w:proofErr w:type="spellEnd"/>
      <w:r w:rsidR="00C27FF8">
        <w:t xml:space="preserve"> with nasal</w:t>
      </w:r>
      <w:r w:rsidR="00C27FF8" w:rsidRPr="00C27FF8">
        <w:t xml:space="preserve"> polyps</w:t>
      </w:r>
      <w:r>
        <w:t>.</w:t>
      </w:r>
    </w:p>
    <w:p w14:paraId="18DEF66F" w14:textId="77777777" w:rsidR="00232422" w:rsidRPr="00232422" w:rsidRDefault="00232422" w:rsidP="00232422">
      <w:pPr>
        <w:pStyle w:val="Numberbullet0"/>
        <w:rPr>
          <w:b/>
          <w:i/>
        </w:rPr>
      </w:pPr>
      <w:r w:rsidRPr="00232422">
        <w:rPr>
          <w:b/>
          <w:i/>
        </w:rPr>
        <w:t>Is the wording of the proposed indication appropriate?</w:t>
      </w:r>
    </w:p>
    <w:p w14:paraId="3CA0AD48" w14:textId="77777777" w:rsidR="00232422" w:rsidRDefault="00232422" w:rsidP="00232422">
      <w:r>
        <w:t>The ACM recommended the following indication:</w:t>
      </w:r>
    </w:p>
    <w:p w14:paraId="7B247C64" w14:textId="77777777" w:rsidR="00232422" w:rsidRPr="00232422" w:rsidRDefault="00232422" w:rsidP="00232422">
      <w:pPr>
        <w:ind w:left="720"/>
        <w:rPr>
          <w:i/>
        </w:rPr>
      </w:pPr>
      <w:r w:rsidRPr="00232422">
        <w:rPr>
          <w:i/>
        </w:rPr>
        <w:t xml:space="preserve">Chronic </w:t>
      </w:r>
      <w:proofErr w:type="spellStart"/>
      <w:r w:rsidRPr="00232422">
        <w:rPr>
          <w:i/>
        </w:rPr>
        <w:t>rhinosinusitis</w:t>
      </w:r>
      <w:proofErr w:type="spellEnd"/>
      <w:r w:rsidRPr="00232422">
        <w:rPr>
          <w:i/>
        </w:rPr>
        <w:t xml:space="preserve"> with nasal polyps (</w:t>
      </w:r>
      <w:proofErr w:type="spellStart"/>
      <w:r w:rsidRPr="00232422">
        <w:rPr>
          <w:i/>
        </w:rPr>
        <w:t>CRSwNP</w:t>
      </w:r>
      <w:proofErr w:type="spellEnd"/>
      <w:r w:rsidRPr="00232422">
        <w:rPr>
          <w:i/>
        </w:rPr>
        <w:t>):</w:t>
      </w:r>
    </w:p>
    <w:p w14:paraId="50FCCC58" w14:textId="10242E52" w:rsidR="00232422" w:rsidRPr="00232422" w:rsidRDefault="00232422" w:rsidP="00232422">
      <w:pPr>
        <w:ind w:left="720"/>
        <w:rPr>
          <w:i/>
        </w:rPr>
      </w:pPr>
      <w:proofErr w:type="spellStart"/>
      <w:r w:rsidRPr="00232422">
        <w:rPr>
          <w:i/>
        </w:rPr>
        <w:t>Xolair</w:t>
      </w:r>
      <w:proofErr w:type="spellEnd"/>
      <w:r w:rsidRPr="00232422">
        <w:rPr>
          <w:i/>
        </w:rPr>
        <w:t xml:space="preserve"> is indicated as add-on treatment in adult patients (18 years of age and above) for the treatment of severe </w:t>
      </w:r>
      <w:proofErr w:type="spellStart"/>
      <w:r w:rsidRPr="00232422">
        <w:rPr>
          <w:i/>
        </w:rPr>
        <w:t>CRSwNP</w:t>
      </w:r>
      <w:proofErr w:type="spellEnd"/>
      <w:r w:rsidRPr="00232422">
        <w:rPr>
          <w:i/>
        </w:rPr>
        <w:t xml:space="preserve"> with inadequate response to intranasal corticosteroids. Recommended dosing is determined by </w:t>
      </w:r>
      <w:proofErr w:type="spellStart"/>
      <w:r w:rsidRPr="00232422">
        <w:rPr>
          <w:i/>
        </w:rPr>
        <w:t>IgE</w:t>
      </w:r>
      <w:proofErr w:type="spellEnd"/>
      <w:r w:rsidRPr="00232422">
        <w:rPr>
          <w:i/>
        </w:rPr>
        <w:t xml:space="preserve"> levels and body weight corresponding to the recommended dose range in the PI.</w:t>
      </w:r>
    </w:p>
    <w:p w14:paraId="52FC8783" w14:textId="6DF0969D" w:rsidR="00744121" w:rsidRDefault="00744121" w:rsidP="00232422">
      <w:pPr>
        <w:pStyle w:val="Heading5"/>
      </w:pPr>
      <w:r>
        <w:t>Conclusion</w:t>
      </w:r>
    </w:p>
    <w:p w14:paraId="59677FFE" w14:textId="30605E97" w:rsidR="00232422" w:rsidRDefault="00232422" w:rsidP="00232422">
      <w:r>
        <w:t>The ACM considered this product to have an overall positive benefit-risk profile for the indication:</w:t>
      </w:r>
    </w:p>
    <w:p w14:paraId="72A61C8B" w14:textId="77777777" w:rsidR="00232422" w:rsidRPr="00232422" w:rsidRDefault="00232422" w:rsidP="00232422">
      <w:pPr>
        <w:ind w:left="720"/>
        <w:rPr>
          <w:i/>
        </w:rPr>
      </w:pPr>
      <w:r w:rsidRPr="00232422">
        <w:rPr>
          <w:i/>
        </w:rPr>
        <w:t xml:space="preserve">Chronic </w:t>
      </w:r>
      <w:proofErr w:type="spellStart"/>
      <w:r w:rsidRPr="00232422">
        <w:rPr>
          <w:i/>
        </w:rPr>
        <w:t>rhinosinusitis</w:t>
      </w:r>
      <w:proofErr w:type="spellEnd"/>
      <w:r w:rsidRPr="00232422">
        <w:rPr>
          <w:i/>
        </w:rPr>
        <w:t xml:space="preserve"> with nasal polyps (</w:t>
      </w:r>
      <w:proofErr w:type="spellStart"/>
      <w:r w:rsidRPr="00232422">
        <w:rPr>
          <w:i/>
        </w:rPr>
        <w:t>CRSwNP</w:t>
      </w:r>
      <w:proofErr w:type="spellEnd"/>
      <w:r w:rsidRPr="00232422">
        <w:rPr>
          <w:i/>
        </w:rPr>
        <w:t>):</w:t>
      </w:r>
    </w:p>
    <w:p w14:paraId="76A9EE11" w14:textId="69A20890" w:rsidR="00232422" w:rsidRPr="00232422" w:rsidRDefault="00232422" w:rsidP="00232422">
      <w:pPr>
        <w:ind w:left="720"/>
      </w:pPr>
      <w:proofErr w:type="spellStart"/>
      <w:r w:rsidRPr="00232422">
        <w:rPr>
          <w:i/>
        </w:rPr>
        <w:t>Xolair</w:t>
      </w:r>
      <w:proofErr w:type="spellEnd"/>
      <w:r w:rsidRPr="00232422">
        <w:rPr>
          <w:i/>
        </w:rPr>
        <w:t xml:space="preserve"> is indicated as add-on treatment in adult patients (18 years of age and above) for the treatment of severe </w:t>
      </w:r>
      <w:proofErr w:type="spellStart"/>
      <w:r w:rsidRPr="00232422">
        <w:rPr>
          <w:i/>
        </w:rPr>
        <w:t>CRSwNP</w:t>
      </w:r>
      <w:proofErr w:type="spellEnd"/>
      <w:r w:rsidRPr="00232422">
        <w:rPr>
          <w:i/>
        </w:rPr>
        <w:t xml:space="preserve"> with inadequate response to intranasal corticosteroids. Recommended dosing is determined by </w:t>
      </w:r>
      <w:proofErr w:type="spellStart"/>
      <w:r w:rsidRPr="00232422">
        <w:rPr>
          <w:i/>
        </w:rPr>
        <w:t>IgE</w:t>
      </w:r>
      <w:proofErr w:type="spellEnd"/>
      <w:r w:rsidRPr="00232422">
        <w:rPr>
          <w:i/>
        </w:rPr>
        <w:t xml:space="preserve"> levels and body weight corresponding to the recommended dose range in the PI.</w:t>
      </w:r>
    </w:p>
    <w:p w14:paraId="5D6F6075" w14:textId="77777777" w:rsidR="008E7846" w:rsidRPr="002E238E" w:rsidRDefault="008E7846" w:rsidP="008E7846">
      <w:pPr>
        <w:pStyle w:val="Heading3"/>
      </w:pPr>
      <w:bookmarkStart w:id="56" w:name="_Toc71188743"/>
      <w:r>
        <w:t>Outcome</w:t>
      </w:r>
      <w:bookmarkEnd w:id="54"/>
      <w:bookmarkEnd w:id="55"/>
      <w:bookmarkEnd w:id="56"/>
    </w:p>
    <w:p w14:paraId="556F0B5D" w14:textId="04DD16E3" w:rsidR="0055155F" w:rsidRDefault="00744121" w:rsidP="00744121">
      <w:bookmarkStart w:id="57" w:name="_Toc247691533"/>
      <w:bookmarkStart w:id="58" w:name="_Toc314842517"/>
      <w:r>
        <w:t xml:space="preserve">Based on a review of quality, safety and efficacy, the TGA approved the registration of </w:t>
      </w:r>
      <w:proofErr w:type="spellStart"/>
      <w:r w:rsidR="00232422">
        <w:t>Xol</w:t>
      </w:r>
      <w:r w:rsidR="0055155F">
        <w:t>air</w:t>
      </w:r>
      <w:proofErr w:type="spellEnd"/>
      <w:r w:rsidR="0055155F">
        <w:t xml:space="preserve"> (</w:t>
      </w:r>
      <w:proofErr w:type="spellStart"/>
      <w:r w:rsidR="0055155F">
        <w:t>omalizumab</w:t>
      </w:r>
      <w:proofErr w:type="spellEnd"/>
      <w:r w:rsidRPr="00250271">
        <w:t>)</w:t>
      </w:r>
      <w:r w:rsidR="0055155F" w:rsidRPr="0055155F">
        <w:t xml:space="preserve"> </w:t>
      </w:r>
      <w:r w:rsidR="0055155F">
        <w:t>75 mg, 150 mg, solution for injection in pre-filled syringe and powder for injection vial with diluent</w:t>
      </w:r>
      <w:r>
        <w:t>, for the foll</w:t>
      </w:r>
      <w:r w:rsidR="0055155F">
        <w:t>owing extension of indications:</w:t>
      </w:r>
    </w:p>
    <w:p w14:paraId="035FC4D7" w14:textId="77777777" w:rsidR="0055155F" w:rsidRPr="0055155F" w:rsidRDefault="0055155F" w:rsidP="0055155F">
      <w:pPr>
        <w:ind w:left="720"/>
        <w:rPr>
          <w:b/>
          <w:i/>
        </w:rPr>
      </w:pPr>
      <w:r w:rsidRPr="0055155F">
        <w:rPr>
          <w:b/>
          <w:i/>
        </w:rPr>
        <w:t xml:space="preserve">Chronic </w:t>
      </w:r>
      <w:proofErr w:type="spellStart"/>
      <w:r w:rsidRPr="0055155F">
        <w:rPr>
          <w:b/>
          <w:i/>
        </w:rPr>
        <w:t>rhinosinusitis</w:t>
      </w:r>
      <w:proofErr w:type="spellEnd"/>
      <w:r w:rsidRPr="0055155F">
        <w:rPr>
          <w:b/>
          <w:i/>
        </w:rPr>
        <w:t xml:space="preserve"> with nasal polyps (</w:t>
      </w:r>
      <w:proofErr w:type="spellStart"/>
      <w:r w:rsidRPr="0055155F">
        <w:rPr>
          <w:b/>
          <w:i/>
        </w:rPr>
        <w:t>CRSwNP</w:t>
      </w:r>
      <w:proofErr w:type="spellEnd"/>
      <w:r w:rsidRPr="0055155F">
        <w:rPr>
          <w:b/>
          <w:i/>
        </w:rPr>
        <w:t>)</w:t>
      </w:r>
    </w:p>
    <w:p w14:paraId="3B2FE952" w14:textId="31049DBE" w:rsidR="0055155F" w:rsidRPr="0055155F" w:rsidRDefault="0055155F" w:rsidP="0055155F">
      <w:pPr>
        <w:ind w:left="720"/>
        <w:rPr>
          <w:i/>
        </w:rPr>
      </w:pPr>
      <w:proofErr w:type="spellStart"/>
      <w:r w:rsidRPr="0055155F">
        <w:rPr>
          <w:i/>
        </w:rPr>
        <w:t>Xolair</w:t>
      </w:r>
      <w:proofErr w:type="spellEnd"/>
      <w:r w:rsidRPr="0055155F">
        <w:rPr>
          <w:i/>
        </w:rPr>
        <w:t xml:space="preserve"> is indicated as add‐on treatment in adult patients (18 years of age and above) for the treatment of severe </w:t>
      </w:r>
      <w:proofErr w:type="spellStart"/>
      <w:r w:rsidRPr="0055155F">
        <w:rPr>
          <w:i/>
        </w:rPr>
        <w:t>CRSwNP</w:t>
      </w:r>
      <w:proofErr w:type="spellEnd"/>
      <w:r w:rsidRPr="0055155F">
        <w:rPr>
          <w:i/>
        </w:rPr>
        <w:t xml:space="preserve"> with inadequate response to intranasal corticosteroids.</w:t>
      </w:r>
    </w:p>
    <w:p w14:paraId="57C2D046" w14:textId="4CE6074F" w:rsidR="00744121" w:rsidRDefault="0055155F" w:rsidP="0055155F">
      <w:pPr>
        <w:ind w:left="720"/>
      </w:pPr>
      <w:r w:rsidRPr="0055155F">
        <w:rPr>
          <w:i/>
        </w:rPr>
        <w:t xml:space="preserve">Recommended dosing is determined by serum immunoglobulin E levels and body weight corresponding to the recommended dose range in the Product Information (see Section 4.2 </w:t>
      </w:r>
      <w:r w:rsidR="0024441B">
        <w:rPr>
          <w:i/>
        </w:rPr>
        <w:t>dose and method of administration</w:t>
      </w:r>
      <w:r w:rsidRPr="0055155F">
        <w:rPr>
          <w:i/>
        </w:rPr>
        <w:t>).</w:t>
      </w:r>
    </w:p>
    <w:p w14:paraId="54F59441" w14:textId="77777777" w:rsidR="007D53B6" w:rsidRDefault="007D53B6" w:rsidP="007D53B6">
      <w:r>
        <w:t>As such, the full indications at this time were:</w:t>
      </w:r>
    </w:p>
    <w:p w14:paraId="5ED4CCBE" w14:textId="0DF6C204" w:rsidR="0055155F" w:rsidRPr="0055155F" w:rsidRDefault="0055155F" w:rsidP="0055155F">
      <w:pPr>
        <w:ind w:left="720"/>
        <w:rPr>
          <w:b/>
          <w:i/>
        </w:rPr>
      </w:pPr>
      <w:r w:rsidRPr="0055155F">
        <w:rPr>
          <w:b/>
          <w:i/>
        </w:rPr>
        <w:t>Allergic Asthma</w:t>
      </w:r>
    </w:p>
    <w:p w14:paraId="24BF839F" w14:textId="77777777" w:rsidR="0055155F" w:rsidRPr="0055155F" w:rsidRDefault="0055155F" w:rsidP="0055155F">
      <w:pPr>
        <w:ind w:left="720"/>
        <w:rPr>
          <w:i/>
        </w:rPr>
      </w:pPr>
      <w:r w:rsidRPr="0055155F">
        <w:rPr>
          <w:i/>
        </w:rPr>
        <w:t>Children 6 to &lt; 12 years of age</w:t>
      </w:r>
    </w:p>
    <w:p w14:paraId="45DC48B0" w14:textId="4AD9D6E1" w:rsidR="0055155F" w:rsidRPr="0055155F" w:rsidRDefault="0055155F" w:rsidP="0055155F">
      <w:pPr>
        <w:ind w:left="720"/>
        <w:rPr>
          <w:i/>
        </w:rPr>
      </w:pPr>
      <w:r w:rsidRPr="0055155F">
        <w:rPr>
          <w:i/>
        </w:rPr>
        <w:t>In children aged 6 to &lt;</w:t>
      </w:r>
      <w:r w:rsidR="00F122E2">
        <w:rPr>
          <w:i/>
        </w:rPr>
        <w:t xml:space="preserve"> </w:t>
      </w:r>
      <w:r w:rsidRPr="0055155F">
        <w:rPr>
          <w:i/>
        </w:rPr>
        <w:t xml:space="preserve">12 years, </w:t>
      </w:r>
      <w:proofErr w:type="spellStart"/>
      <w:r w:rsidRPr="0055155F">
        <w:rPr>
          <w:i/>
        </w:rPr>
        <w:t>Xolair</w:t>
      </w:r>
      <w:proofErr w:type="spellEnd"/>
      <w:r w:rsidRPr="0055155F">
        <w:rPr>
          <w:i/>
        </w:rPr>
        <w:t xml:space="preserve"> is indicated as add‐on therapy to improve asthma control in patients with severe allergic asthma who have documented exacerbations despite daily high dose inhaled corticosteroids, and who have immunoglobulin E levels corresponding to the recommended dose range (see Table 1 in Section 4.2 </w:t>
      </w:r>
      <w:r w:rsidR="0024441B">
        <w:rPr>
          <w:i/>
        </w:rPr>
        <w:t>dose and method of administration</w:t>
      </w:r>
      <w:r w:rsidRPr="0055155F">
        <w:rPr>
          <w:i/>
        </w:rPr>
        <w:t>).</w:t>
      </w:r>
    </w:p>
    <w:p w14:paraId="2EDD569D" w14:textId="77777777" w:rsidR="0055155F" w:rsidRPr="0055155F" w:rsidRDefault="0055155F" w:rsidP="0055155F">
      <w:pPr>
        <w:ind w:left="720"/>
        <w:rPr>
          <w:i/>
        </w:rPr>
      </w:pPr>
      <w:r w:rsidRPr="0055155F">
        <w:rPr>
          <w:i/>
        </w:rPr>
        <w:t>Adults and adolescents ≥ 12 years of age</w:t>
      </w:r>
    </w:p>
    <w:p w14:paraId="6C456B7C" w14:textId="29B9628F" w:rsidR="00D23139" w:rsidRDefault="0055155F" w:rsidP="0055155F">
      <w:pPr>
        <w:ind w:left="720"/>
        <w:rPr>
          <w:i/>
        </w:rPr>
      </w:pPr>
      <w:proofErr w:type="spellStart"/>
      <w:r w:rsidRPr="0055155F">
        <w:rPr>
          <w:i/>
        </w:rPr>
        <w:t>Xolair</w:t>
      </w:r>
      <w:proofErr w:type="spellEnd"/>
      <w:r w:rsidRPr="0055155F">
        <w:rPr>
          <w:i/>
        </w:rPr>
        <w:t xml:space="preserve"> is indicated for the management of adult and adolescent patients with moderate to severe allergic asthma, who are already being treated with inhaled steroids, and who have serum immunoglobulin E levels corresponding to the recommended dose range (see Table 1 in Section 4.2 </w:t>
      </w:r>
      <w:r w:rsidR="0024441B">
        <w:rPr>
          <w:i/>
        </w:rPr>
        <w:t>dose and method of administration</w:t>
      </w:r>
      <w:r w:rsidRPr="0055155F">
        <w:rPr>
          <w:i/>
        </w:rPr>
        <w:t>)</w:t>
      </w:r>
    </w:p>
    <w:p w14:paraId="7EC31FC4" w14:textId="77777777" w:rsidR="0055155F" w:rsidRPr="0055155F" w:rsidRDefault="0055155F" w:rsidP="0055155F">
      <w:pPr>
        <w:ind w:left="720"/>
        <w:rPr>
          <w:b/>
          <w:i/>
        </w:rPr>
      </w:pPr>
      <w:r w:rsidRPr="0055155F">
        <w:rPr>
          <w:b/>
          <w:i/>
        </w:rPr>
        <w:t xml:space="preserve">Chronic </w:t>
      </w:r>
      <w:proofErr w:type="spellStart"/>
      <w:r w:rsidRPr="0055155F">
        <w:rPr>
          <w:b/>
          <w:i/>
        </w:rPr>
        <w:t>rhinosinusitis</w:t>
      </w:r>
      <w:proofErr w:type="spellEnd"/>
      <w:r w:rsidRPr="0055155F">
        <w:rPr>
          <w:b/>
          <w:i/>
        </w:rPr>
        <w:t xml:space="preserve"> with nasal polyps (</w:t>
      </w:r>
      <w:proofErr w:type="spellStart"/>
      <w:r w:rsidRPr="0055155F">
        <w:rPr>
          <w:b/>
          <w:i/>
        </w:rPr>
        <w:t>CRSwNP</w:t>
      </w:r>
      <w:proofErr w:type="spellEnd"/>
      <w:r w:rsidRPr="0055155F">
        <w:rPr>
          <w:b/>
          <w:i/>
        </w:rPr>
        <w:t>)</w:t>
      </w:r>
    </w:p>
    <w:p w14:paraId="798BE348" w14:textId="588B5FB0" w:rsidR="0055155F" w:rsidRPr="0055155F" w:rsidRDefault="0055155F" w:rsidP="0055155F">
      <w:pPr>
        <w:ind w:left="720"/>
        <w:rPr>
          <w:i/>
        </w:rPr>
      </w:pPr>
      <w:proofErr w:type="spellStart"/>
      <w:r w:rsidRPr="0055155F">
        <w:rPr>
          <w:i/>
        </w:rPr>
        <w:t>Xolair</w:t>
      </w:r>
      <w:proofErr w:type="spellEnd"/>
      <w:r w:rsidRPr="0055155F">
        <w:rPr>
          <w:i/>
        </w:rPr>
        <w:t xml:space="preserve"> is indicated as add‐on treatment in adult patients (18 years of age and above) for the treatment of severe </w:t>
      </w:r>
      <w:proofErr w:type="spellStart"/>
      <w:r w:rsidRPr="0055155F">
        <w:rPr>
          <w:i/>
        </w:rPr>
        <w:t>CRSwNP</w:t>
      </w:r>
      <w:proofErr w:type="spellEnd"/>
      <w:r w:rsidRPr="0055155F">
        <w:rPr>
          <w:i/>
        </w:rPr>
        <w:t xml:space="preserve"> with inadequate response to intranasal corticosteroids.</w:t>
      </w:r>
    </w:p>
    <w:p w14:paraId="232A2DF5" w14:textId="565FDA52" w:rsidR="0055155F" w:rsidRPr="0055155F" w:rsidRDefault="0055155F" w:rsidP="0055155F">
      <w:pPr>
        <w:ind w:left="720"/>
        <w:rPr>
          <w:i/>
        </w:rPr>
      </w:pPr>
      <w:r w:rsidRPr="0055155F">
        <w:rPr>
          <w:i/>
        </w:rPr>
        <w:t xml:space="preserve">Recommended dosing is determined by serum immunoglobulin E levels and body weight corresponding to the recommended dose range in the Product Information (see Section 4.2 </w:t>
      </w:r>
      <w:r w:rsidR="0024441B">
        <w:rPr>
          <w:i/>
        </w:rPr>
        <w:t>dose and method of administration</w:t>
      </w:r>
      <w:r w:rsidRPr="0055155F">
        <w:rPr>
          <w:i/>
        </w:rPr>
        <w:t>).</w:t>
      </w:r>
    </w:p>
    <w:p w14:paraId="2431CC06" w14:textId="77777777" w:rsidR="0055155F" w:rsidRPr="0055155F" w:rsidRDefault="0055155F" w:rsidP="0055155F">
      <w:pPr>
        <w:ind w:left="720"/>
        <w:rPr>
          <w:b/>
          <w:i/>
        </w:rPr>
      </w:pPr>
      <w:r w:rsidRPr="0055155F">
        <w:rPr>
          <w:b/>
          <w:i/>
        </w:rPr>
        <w:t xml:space="preserve">Chronic Spontaneous </w:t>
      </w:r>
      <w:proofErr w:type="spellStart"/>
      <w:r w:rsidRPr="0055155F">
        <w:rPr>
          <w:b/>
          <w:i/>
        </w:rPr>
        <w:t>Urticaria</w:t>
      </w:r>
      <w:proofErr w:type="spellEnd"/>
      <w:r w:rsidRPr="0055155F">
        <w:rPr>
          <w:b/>
          <w:i/>
        </w:rPr>
        <w:t xml:space="preserve"> (CSU)</w:t>
      </w:r>
    </w:p>
    <w:p w14:paraId="590EE0D1" w14:textId="116EBDA1" w:rsidR="0055155F" w:rsidRPr="0055155F" w:rsidRDefault="0055155F" w:rsidP="0055155F">
      <w:pPr>
        <w:ind w:left="720"/>
        <w:rPr>
          <w:i/>
        </w:rPr>
      </w:pPr>
      <w:proofErr w:type="spellStart"/>
      <w:r w:rsidRPr="0055155F">
        <w:rPr>
          <w:i/>
        </w:rPr>
        <w:t>Xolair</w:t>
      </w:r>
      <w:proofErr w:type="spellEnd"/>
      <w:r w:rsidRPr="0055155F">
        <w:rPr>
          <w:i/>
        </w:rPr>
        <w:t xml:space="preserve"> is indicated for adults and adolescents (12 years of age and above) with chronic spontaneous </w:t>
      </w:r>
      <w:proofErr w:type="spellStart"/>
      <w:r w:rsidRPr="0055155F">
        <w:rPr>
          <w:i/>
        </w:rPr>
        <w:t>urticaria</w:t>
      </w:r>
      <w:proofErr w:type="spellEnd"/>
      <w:r w:rsidRPr="0055155F">
        <w:rPr>
          <w:i/>
        </w:rPr>
        <w:t xml:space="preserve"> who remain symptomatic despite H1 antihistamine treatment.</w:t>
      </w:r>
    </w:p>
    <w:p w14:paraId="3E396723" w14:textId="77777777" w:rsidR="00D23139" w:rsidRPr="00D23139" w:rsidRDefault="00D23139" w:rsidP="00D23139">
      <w:pPr>
        <w:pStyle w:val="Heading4"/>
      </w:pPr>
      <w:r w:rsidRPr="00D23139">
        <w:t>Specific conditions of registration applying to these goods</w:t>
      </w:r>
    </w:p>
    <w:p w14:paraId="7EEEC39D" w14:textId="45C844DF" w:rsidR="0055155F" w:rsidRDefault="0055155F" w:rsidP="0055155F">
      <w:pPr>
        <w:pStyle w:val="ListBullet"/>
      </w:pPr>
      <w:r>
        <w:t>This approval does not impose any requirement for the submission of Periodic Safety Update reports</w:t>
      </w:r>
      <w:r w:rsidR="00F122E2">
        <w:t xml:space="preserve"> (PSUR)</w:t>
      </w:r>
      <w:r>
        <w:t>. The sponsor should note that it is a requirement that all existing requirements for the submission of PSURs as a consequence of the initial registration or subsequent changes must be completed.</w:t>
      </w:r>
    </w:p>
    <w:p w14:paraId="42C29F45" w14:textId="4C1A2EBC" w:rsidR="0055155F" w:rsidRDefault="0055155F" w:rsidP="0055155F">
      <w:pPr>
        <w:pStyle w:val="ListBullet"/>
        <w:rPr>
          <w:lang w:eastAsia="en-AU"/>
        </w:rPr>
      </w:pPr>
      <w:r w:rsidRPr="00FC35F5">
        <w:rPr>
          <w:lang w:eastAsia="en-AU"/>
        </w:rPr>
        <w:t>For all injectable products the Product Information must be included with the product as a package insert.</w:t>
      </w:r>
    </w:p>
    <w:p w14:paraId="6CC1F69D" w14:textId="77777777" w:rsidR="008E7846" w:rsidRDefault="00A80B5B" w:rsidP="00D23139">
      <w:pPr>
        <w:pStyle w:val="Heading2"/>
      </w:pPr>
      <w:bookmarkStart w:id="59" w:name="_Toc71188744"/>
      <w:r>
        <w:t xml:space="preserve">Attachment 1. </w:t>
      </w:r>
      <w:r w:rsidR="008E7846">
        <w:t xml:space="preserve">Product </w:t>
      </w:r>
      <w:r w:rsidR="00AA0ED0">
        <w:t>I</w:t>
      </w:r>
      <w:r w:rsidR="008E7846">
        <w:t>nformation</w:t>
      </w:r>
      <w:bookmarkEnd w:id="57"/>
      <w:bookmarkEnd w:id="58"/>
      <w:bookmarkEnd w:id="59"/>
    </w:p>
    <w:p w14:paraId="586C63CA" w14:textId="56502C31" w:rsidR="00744121" w:rsidRDefault="006136D7" w:rsidP="0055155F">
      <w:pPr>
        <w:rPr>
          <w:lang w:eastAsia="ja-JP"/>
        </w:rPr>
      </w:pPr>
      <w:r w:rsidRPr="002B3624">
        <w:t xml:space="preserve">The </w:t>
      </w:r>
      <w:r>
        <w:t>PI</w:t>
      </w:r>
      <w:r w:rsidRPr="002B3624">
        <w:t xml:space="preserve"> for </w:t>
      </w:r>
      <w:proofErr w:type="spellStart"/>
      <w:r w:rsidR="0055155F">
        <w:t>Xolair</w:t>
      </w:r>
      <w:proofErr w:type="spellEnd"/>
      <w:r w:rsidR="0055155F">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2" w:history="1">
        <w:r w:rsidR="007C6B9B" w:rsidRPr="007C6B9B">
          <w:rPr>
            <w:rStyle w:val="Hyperlink"/>
          </w:rPr>
          <w:t>https://www.tga.gov.au/product-information-pi</w:t>
        </w:r>
      </w:hyperlink>
      <w:r w:rsidR="0055155F">
        <w:t>&gt;.</w:t>
      </w:r>
      <w:r w:rsidR="008E7846" w:rsidRPr="00C80137">
        <w:rPr>
          <w:b/>
        </w:rPr>
        <w:br w:type="page"/>
      </w:r>
    </w:p>
    <w:p w14:paraId="513D2163" w14:textId="77777777" w:rsidR="00C80137" w:rsidRPr="001D043B" w:rsidRDefault="00C80137" w:rsidP="003A7F6C">
      <w:pPr>
        <w:pStyle w:val="TableTitle"/>
        <w:sectPr w:rsidR="00C80137" w:rsidRPr="001D043B" w:rsidSect="00B452CE">
          <w:headerReference w:type="even" r:id="rId33"/>
          <w:headerReference w:type="default" r:id="rId34"/>
          <w:headerReference w:type="first" r:id="rId35"/>
          <w:footerReference w:type="first" r:id="rId3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8B5B657" w14:textId="77777777" w:rsidTr="00A05FA4">
        <w:trPr>
          <w:trHeight w:hRule="exact" w:val="704"/>
        </w:trPr>
        <w:tc>
          <w:tcPr>
            <w:tcW w:w="9175" w:type="dxa"/>
          </w:tcPr>
          <w:p w14:paraId="3136A71C" w14:textId="77777777" w:rsidR="001C32CD" w:rsidRPr="00487162" w:rsidRDefault="001C32CD" w:rsidP="00A05FA4">
            <w:pPr>
              <w:pStyle w:val="TGASignoff"/>
            </w:pPr>
            <w:r w:rsidRPr="00487162">
              <w:t>Therapeutic Goods Administration</w:t>
            </w:r>
          </w:p>
        </w:tc>
      </w:tr>
      <w:tr w:rsidR="001C32CD" w:rsidRPr="004C239D" w14:paraId="57895AD3" w14:textId="77777777" w:rsidTr="00A05FA4">
        <w:trPr>
          <w:trHeight w:val="1221"/>
        </w:trPr>
        <w:tc>
          <w:tcPr>
            <w:tcW w:w="9175" w:type="dxa"/>
            <w:tcMar>
              <w:top w:w="28" w:type="dxa"/>
            </w:tcMar>
          </w:tcPr>
          <w:p w14:paraId="0E20E0EE" w14:textId="77777777" w:rsidR="001C32CD" w:rsidRPr="00487162" w:rsidRDefault="001C32CD" w:rsidP="00A05FA4">
            <w:pPr>
              <w:pStyle w:val="Address"/>
            </w:pPr>
            <w:r w:rsidRPr="00487162">
              <w:t>PO Box 100 Woden ACT 2606 Australia</w:t>
            </w:r>
          </w:p>
          <w:p w14:paraId="1E61BC37" w14:textId="5CBC31AF" w:rsidR="001C32CD" w:rsidRPr="00487162" w:rsidRDefault="001C32CD" w:rsidP="00A05FA4">
            <w:pPr>
              <w:pStyle w:val="Address"/>
            </w:pPr>
            <w:r w:rsidRPr="00487162">
              <w:t xml:space="preserve">Email: </w:t>
            </w:r>
            <w:hyperlink r:id="rId37" w:history="1">
              <w:r w:rsidRPr="004C239D">
                <w:rPr>
                  <w:rStyle w:val="Hyperlink"/>
                </w:rPr>
                <w:t>info@tga.gov.au</w:t>
              </w:r>
            </w:hyperlink>
            <w:r w:rsidR="00C87429">
              <w:t xml:space="preserve"> </w:t>
            </w:r>
            <w:r w:rsidRPr="00487162">
              <w:t>Phone: 1800 020 653</w:t>
            </w:r>
            <w:r w:rsidR="00C87429">
              <w:t xml:space="preserve"> </w:t>
            </w:r>
            <w:r w:rsidRPr="00487162">
              <w:t>Fax: 02 6232 8605</w:t>
            </w:r>
          </w:p>
          <w:p w14:paraId="267E54D6" w14:textId="3ACAF744" w:rsidR="001C32CD" w:rsidRPr="004C239D" w:rsidRDefault="006A7869" w:rsidP="00A05FA4">
            <w:pPr>
              <w:pStyle w:val="Address"/>
              <w:spacing w:line="260" w:lineRule="atLeast"/>
              <w:rPr>
                <w:b/>
                <w:color w:val="0000FF"/>
                <w:u w:val="single"/>
              </w:rPr>
            </w:pPr>
            <w:hyperlink r:id="rId38" w:history="1">
              <w:r w:rsidR="007C6B9B" w:rsidRPr="007C6B9B">
                <w:rPr>
                  <w:rStyle w:val="Hyperlink"/>
                  <w:b/>
                </w:rPr>
                <w:t>https://www.tga.gov.au</w:t>
              </w:r>
            </w:hyperlink>
          </w:p>
        </w:tc>
      </w:tr>
    </w:tbl>
    <w:p w14:paraId="4B6E3CA0" w14:textId="77777777" w:rsidR="00774E1D" w:rsidRPr="008A5E0B" w:rsidRDefault="00774E1D" w:rsidP="004C239D"/>
    <w:sectPr w:rsidR="00774E1D" w:rsidRPr="008A5E0B" w:rsidSect="001C32CD">
      <w:headerReference w:type="even" r:id="rId39"/>
      <w:headerReference w:type="default" r:id="rId40"/>
      <w:footerReference w:type="default" r:id="rId41"/>
      <w:headerReference w:type="first" r:id="rId42"/>
      <w:footerReference w:type="first" r:id="rId43"/>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33A97" w16cex:dateUtc="2021-04-03T08:03:00Z"/>
  <w16cex:commentExtensible w16cex:durableId="25F29EF8" w16cex:dateUtc="2021-03-29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A25F31" w16cid:durableId="2413374F"/>
  <w16cid:commentId w16cid:paraId="71C41094" w16cid:durableId="24133750"/>
  <w16cid:commentId w16cid:paraId="7E13C545" w16cid:durableId="24133A97"/>
  <w16cid:commentId w16cid:paraId="50513761" w16cid:durableId="33B13468"/>
  <w16cid:commentId w16cid:paraId="3A9CAD95" w16cid:durableId="25F29EF8"/>
  <w16cid:commentId w16cid:paraId="0CE65C83" w16cid:durableId="241337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E6B74" w14:textId="77777777" w:rsidR="006A7869" w:rsidRDefault="006A7869" w:rsidP="00C40A36">
      <w:pPr>
        <w:spacing w:after="0"/>
      </w:pPr>
      <w:r>
        <w:separator/>
      </w:r>
    </w:p>
  </w:endnote>
  <w:endnote w:type="continuationSeparator" w:id="0">
    <w:p w14:paraId="4F9FFCE7" w14:textId="77777777" w:rsidR="006A7869" w:rsidRDefault="006A786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98E8E" w14:textId="77777777" w:rsidR="006A7869" w:rsidRDefault="006A78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A7869" w:rsidRPr="00487162" w14:paraId="4ECB5F06" w14:textId="77777777" w:rsidTr="00DB750B">
      <w:trPr>
        <w:trHeight w:val="269"/>
      </w:trPr>
      <w:tc>
        <w:tcPr>
          <w:tcW w:w="7371" w:type="dxa"/>
          <w:tcMar>
            <w:top w:w="142" w:type="dxa"/>
            <w:bottom w:w="0" w:type="dxa"/>
          </w:tcMar>
        </w:tcPr>
        <w:p w14:paraId="2DE9C2B7" w14:textId="74EE6372" w:rsidR="006A7869" w:rsidRPr="00487162" w:rsidRDefault="006A7869" w:rsidP="002A5B76">
          <w:pPr>
            <w:pStyle w:val="Footer"/>
          </w:pPr>
          <w:r w:rsidRPr="00487162">
            <w:t>AusPA</w:t>
          </w:r>
          <w:r>
            <w:t xml:space="preserve">R - </w:t>
          </w:r>
          <w:proofErr w:type="spellStart"/>
          <w:r>
            <w:t>Xolair</w:t>
          </w:r>
          <w:proofErr w:type="spellEnd"/>
          <w:r>
            <w:t xml:space="preserve"> – </w:t>
          </w:r>
          <w:proofErr w:type="spellStart"/>
          <w:r>
            <w:t>omalizumab</w:t>
          </w:r>
          <w:proofErr w:type="spellEnd"/>
          <w:r w:rsidRPr="00460036">
            <w:t xml:space="preserve"> </w:t>
          </w:r>
          <w:r>
            <w:t>– Novartis Pharmaceuticals Australia Pty Ltd PM-2019-05980-1-5</w:t>
          </w:r>
          <w:r>
            <w:br/>
            <w:t>FINAL 15 April  2021</w:t>
          </w:r>
        </w:p>
      </w:tc>
      <w:tc>
        <w:tcPr>
          <w:tcW w:w="1490" w:type="dxa"/>
          <w:tcMar>
            <w:top w:w="142" w:type="dxa"/>
            <w:bottom w:w="0" w:type="dxa"/>
          </w:tcMar>
        </w:tcPr>
        <w:p w14:paraId="7BDFABB6" w14:textId="4D397F5A" w:rsidR="006A7869" w:rsidRPr="00487162" w:rsidRDefault="006A7869" w:rsidP="00DB750B">
          <w:pPr>
            <w:pStyle w:val="Footer"/>
            <w:jc w:val="right"/>
          </w:pPr>
          <w:r w:rsidRPr="00487162">
            <w:t xml:space="preserve">Page </w:t>
          </w:r>
          <w:r>
            <w:fldChar w:fldCharType="begin"/>
          </w:r>
          <w:r>
            <w:instrText xml:space="preserve"> PAGE  \* Arabic </w:instrText>
          </w:r>
          <w:r>
            <w:fldChar w:fldCharType="separate"/>
          </w:r>
          <w:r w:rsidR="003B6C97">
            <w:rPr>
              <w:noProof/>
            </w:rPr>
            <w:t>2</w:t>
          </w:r>
          <w:r>
            <w:fldChar w:fldCharType="end"/>
          </w:r>
          <w:r w:rsidRPr="00487162">
            <w:t xml:space="preserve"> of </w:t>
          </w:r>
          <w:r>
            <w:fldChar w:fldCharType="begin"/>
          </w:r>
          <w:r>
            <w:instrText>NUMPAGES  \* Arabic</w:instrText>
          </w:r>
          <w:r>
            <w:fldChar w:fldCharType="separate"/>
          </w:r>
          <w:r w:rsidR="003B6C97">
            <w:rPr>
              <w:noProof/>
            </w:rPr>
            <w:t>31</w:t>
          </w:r>
          <w:r>
            <w:fldChar w:fldCharType="end"/>
          </w:r>
        </w:p>
      </w:tc>
    </w:tr>
  </w:tbl>
  <w:p w14:paraId="6B095766" w14:textId="77777777" w:rsidR="006A7869" w:rsidRDefault="006A7869"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C96E4" w14:textId="77777777" w:rsidR="006A7869" w:rsidRDefault="006A78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A7869" w:rsidRPr="00487162" w14:paraId="06058612" w14:textId="77777777" w:rsidTr="00E45619">
      <w:trPr>
        <w:trHeight w:val="269"/>
      </w:trPr>
      <w:tc>
        <w:tcPr>
          <w:tcW w:w="4519" w:type="dxa"/>
          <w:tcBorders>
            <w:top w:val="single" w:sz="4" w:space="0" w:color="auto"/>
          </w:tcBorders>
          <w:tcMar>
            <w:top w:w="142" w:type="dxa"/>
            <w:bottom w:w="0" w:type="dxa"/>
          </w:tcMar>
        </w:tcPr>
        <w:p w14:paraId="4522710E" w14:textId="77777777" w:rsidR="006A7869" w:rsidRPr="00487162" w:rsidRDefault="006A7869" w:rsidP="00FE1DEE">
          <w:pPr>
            <w:pStyle w:val="Footer"/>
          </w:pPr>
          <w:r w:rsidRPr="00487162">
            <w:t>Document title, Part #, Section # - Section title</w:t>
          </w:r>
        </w:p>
        <w:p w14:paraId="555804A5" w14:textId="77777777" w:rsidR="006A7869" w:rsidRPr="00487162" w:rsidRDefault="006A7869" w:rsidP="00FE1DEE">
          <w:pPr>
            <w:pStyle w:val="Footer"/>
          </w:pPr>
          <w:r w:rsidRPr="00487162">
            <w:t>V1.0 October 2010</w:t>
          </w:r>
        </w:p>
      </w:tc>
      <w:tc>
        <w:tcPr>
          <w:tcW w:w="4342" w:type="dxa"/>
          <w:tcBorders>
            <w:top w:val="single" w:sz="4" w:space="0" w:color="auto"/>
          </w:tcBorders>
          <w:tcMar>
            <w:top w:w="142" w:type="dxa"/>
            <w:bottom w:w="0" w:type="dxa"/>
          </w:tcMar>
        </w:tcPr>
        <w:p w14:paraId="2CB710A0" w14:textId="77777777" w:rsidR="006A7869" w:rsidRPr="00487162" w:rsidRDefault="006A786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2</w:t>
          </w:r>
          <w:r>
            <w:fldChar w:fldCharType="end"/>
          </w:r>
        </w:p>
      </w:tc>
    </w:tr>
  </w:tbl>
  <w:p w14:paraId="1CF52001" w14:textId="77777777" w:rsidR="006A7869" w:rsidRDefault="006A78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8BBAC" w14:textId="77777777" w:rsidR="006A7869" w:rsidRPr="001C32CD" w:rsidRDefault="006A7869"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A7869" w14:paraId="41BC49E9" w14:textId="77777777" w:rsidTr="0010601F">
      <w:trPr>
        <w:trHeight w:val="108"/>
      </w:trPr>
      <w:tc>
        <w:tcPr>
          <w:tcW w:w="8875" w:type="dxa"/>
          <w:gridSpan w:val="2"/>
          <w:tcBorders>
            <w:bottom w:val="single" w:sz="4" w:space="0" w:color="auto"/>
          </w:tcBorders>
          <w:tcMar>
            <w:right w:w="284" w:type="dxa"/>
          </w:tcMar>
        </w:tcPr>
        <w:p w14:paraId="6A41A301" w14:textId="77777777" w:rsidR="006A7869" w:rsidRDefault="006A7869" w:rsidP="006E08B3">
          <w:pPr>
            <w:pStyle w:val="Heading3"/>
          </w:pPr>
          <w:r>
            <w:t>Copyright</w:t>
          </w:r>
        </w:p>
        <w:p w14:paraId="73175B2A" w14:textId="77777777" w:rsidR="006A7869" w:rsidRDefault="006A7869" w:rsidP="006E08B3">
          <w:r>
            <w:rPr>
              <w:rFonts w:cs="Arial"/>
            </w:rPr>
            <w:t>©</w:t>
          </w:r>
          <w:r>
            <w:t xml:space="preserve"> Commonwealth of Australia [add year]</w:t>
          </w:r>
        </w:p>
        <w:p w14:paraId="6211597C" w14:textId="77777777" w:rsidR="006A7869" w:rsidRDefault="006A7869" w:rsidP="006E08B3"/>
        <w:p w14:paraId="4EA2D45F" w14:textId="77777777" w:rsidR="006A7869" w:rsidRDefault="006A786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7BA10AF" w14:textId="77777777" w:rsidR="006A7869" w:rsidRDefault="006A7869" w:rsidP="006E08B3"/>
        <w:p w14:paraId="181EF10E" w14:textId="77777777" w:rsidR="006A7869" w:rsidRDefault="006A7869" w:rsidP="006E08B3">
          <w:pPr>
            <w:pStyle w:val="Heading3"/>
          </w:pPr>
          <w:r>
            <w:t>Confidentiality</w:t>
          </w:r>
        </w:p>
        <w:p w14:paraId="761253A4" w14:textId="77777777" w:rsidR="006A7869" w:rsidRDefault="006A786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81FA534" w14:textId="77777777" w:rsidR="006A7869" w:rsidRDefault="006A7869" w:rsidP="006E08B3"/>
        <w:p w14:paraId="311181A6" w14:textId="77777777" w:rsidR="006A7869" w:rsidRDefault="006A7869" w:rsidP="006E08B3">
          <w:r>
            <w:t>For submission made by individuals, all personal details, other than your name, will be removed from your submission before it is published on the TGA’s Internet site.</w:t>
          </w:r>
        </w:p>
        <w:p w14:paraId="07A79B45" w14:textId="77777777" w:rsidR="006A7869" w:rsidRDefault="006A7869" w:rsidP="006E08B3"/>
        <w:p w14:paraId="43FC5100" w14:textId="77777777" w:rsidR="006A7869" w:rsidRDefault="006A786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A7869" w14:paraId="09B2E319" w14:textId="77777777" w:rsidTr="0010601F">
      <w:trPr>
        <w:trHeight w:val="417"/>
      </w:trPr>
      <w:tc>
        <w:tcPr>
          <w:tcW w:w="4519" w:type="dxa"/>
          <w:tcBorders>
            <w:top w:val="single" w:sz="4" w:space="0" w:color="auto"/>
          </w:tcBorders>
          <w:tcMar>
            <w:top w:w="142" w:type="dxa"/>
            <w:bottom w:w="0" w:type="dxa"/>
          </w:tcMar>
        </w:tcPr>
        <w:p w14:paraId="6F6C5279" w14:textId="77777777" w:rsidR="006A7869" w:rsidRDefault="006A7869" w:rsidP="006E08B3">
          <w:r>
            <w:t>Document title, Part #, Section # - Section title</w:t>
          </w:r>
        </w:p>
        <w:p w14:paraId="29A4DC34" w14:textId="77777777" w:rsidR="006A7869" w:rsidRDefault="006A7869" w:rsidP="006E08B3">
          <w:r>
            <w:t>V1.0 October 2010</w:t>
          </w:r>
        </w:p>
      </w:tc>
      <w:tc>
        <w:tcPr>
          <w:tcW w:w="4356" w:type="dxa"/>
          <w:tcBorders>
            <w:top w:val="single" w:sz="4" w:space="0" w:color="auto"/>
          </w:tcBorders>
          <w:tcMar>
            <w:top w:w="142" w:type="dxa"/>
            <w:bottom w:w="0" w:type="dxa"/>
          </w:tcMar>
        </w:tcPr>
        <w:p w14:paraId="34A06E43" w14:textId="77777777" w:rsidR="006A7869" w:rsidRDefault="006A786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2</w:t>
          </w:r>
          <w:r>
            <w:fldChar w:fldCharType="end"/>
          </w:r>
          <w:r>
            <w:t xml:space="preserve">  </w:t>
          </w:r>
        </w:p>
      </w:tc>
    </w:tr>
  </w:tbl>
  <w:p w14:paraId="2EBEF8FF" w14:textId="77777777" w:rsidR="006A7869" w:rsidRDefault="006A786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611DD" w14:textId="77777777" w:rsidR="006A7869" w:rsidRDefault="006A7869" w:rsidP="00C40A36">
      <w:pPr>
        <w:spacing w:after="0"/>
      </w:pPr>
      <w:r>
        <w:separator/>
      </w:r>
    </w:p>
  </w:footnote>
  <w:footnote w:type="continuationSeparator" w:id="0">
    <w:p w14:paraId="4734E8F0" w14:textId="77777777" w:rsidR="006A7869" w:rsidRDefault="006A7869" w:rsidP="00C40A36">
      <w:pPr>
        <w:spacing w:after="0"/>
      </w:pPr>
      <w:r>
        <w:continuationSeparator/>
      </w:r>
    </w:p>
  </w:footnote>
  <w:footnote w:id="1">
    <w:p w14:paraId="16617303" w14:textId="77777777" w:rsidR="006A7869" w:rsidRDefault="006A7869">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3385F73B" w14:textId="77777777" w:rsidR="006A7869" w:rsidRDefault="006A7869">
      <w:pPr>
        <w:pStyle w:val="FootnoteText"/>
      </w:pPr>
      <w:r>
        <w:rPr>
          <w:rStyle w:val="FootnoteReference"/>
        </w:rPr>
        <w:footnoteRef/>
      </w:r>
      <w:r>
        <w:t xml:space="preserve"> Newton JR, Ah-See KW. A review of nasal polyposis. </w:t>
      </w:r>
      <w:proofErr w:type="spellStart"/>
      <w:r w:rsidRPr="001956A7">
        <w:rPr>
          <w:i/>
        </w:rPr>
        <w:t>Ther</w:t>
      </w:r>
      <w:proofErr w:type="spellEnd"/>
      <w:r w:rsidRPr="001956A7">
        <w:rPr>
          <w:i/>
        </w:rPr>
        <w:t xml:space="preserve"> </w:t>
      </w:r>
      <w:proofErr w:type="spellStart"/>
      <w:r w:rsidRPr="001956A7">
        <w:rPr>
          <w:i/>
        </w:rPr>
        <w:t>Clin</w:t>
      </w:r>
      <w:proofErr w:type="spellEnd"/>
      <w:r w:rsidRPr="001956A7">
        <w:rPr>
          <w:i/>
        </w:rPr>
        <w:t xml:space="preserve"> Risk </w:t>
      </w:r>
      <w:proofErr w:type="spellStart"/>
      <w:r w:rsidRPr="001956A7">
        <w:rPr>
          <w:i/>
        </w:rPr>
        <w:t>Manag</w:t>
      </w:r>
      <w:proofErr w:type="spellEnd"/>
      <w:r>
        <w:t>. 2008 Apr;4(2):507-12.</w:t>
      </w:r>
    </w:p>
  </w:footnote>
  <w:footnote w:id="3">
    <w:p w14:paraId="356A74AA" w14:textId="77777777" w:rsidR="006A7869" w:rsidRDefault="006A7869">
      <w:pPr>
        <w:pStyle w:val="FootnoteText"/>
      </w:pPr>
      <w:r>
        <w:rPr>
          <w:rStyle w:val="FootnoteReference"/>
        </w:rPr>
        <w:footnoteRef/>
      </w:r>
      <w:r>
        <w:t xml:space="preserve"> </w:t>
      </w:r>
      <w:proofErr w:type="spellStart"/>
      <w:r>
        <w:t>Sedaghat</w:t>
      </w:r>
      <w:proofErr w:type="spellEnd"/>
      <w:r>
        <w:t xml:space="preserve"> A. Chronic </w:t>
      </w:r>
      <w:proofErr w:type="spellStart"/>
      <w:r>
        <w:t>rhinosinusitis</w:t>
      </w:r>
      <w:proofErr w:type="spellEnd"/>
      <w:r>
        <w:t xml:space="preserve">. </w:t>
      </w:r>
      <w:r>
        <w:rPr>
          <w:i/>
          <w:iCs/>
        </w:rPr>
        <w:t>Am Fam Physician.</w:t>
      </w:r>
      <w:r>
        <w:t xml:space="preserve"> 2017 Oct 15;96(8):500-506.</w:t>
      </w:r>
    </w:p>
  </w:footnote>
  <w:footnote w:id="4">
    <w:p w14:paraId="500A7C9E" w14:textId="77777777" w:rsidR="006A7869" w:rsidRDefault="006A7869">
      <w:pPr>
        <w:pStyle w:val="FootnoteText"/>
      </w:pPr>
      <w:r>
        <w:rPr>
          <w:rStyle w:val="FootnoteReference"/>
        </w:rPr>
        <w:footnoteRef/>
      </w:r>
      <w:r>
        <w:t xml:space="preserve"> </w:t>
      </w:r>
      <w:proofErr w:type="spellStart"/>
      <w:r w:rsidRPr="00437E2A">
        <w:t>Passali</w:t>
      </w:r>
      <w:proofErr w:type="spellEnd"/>
      <w:r w:rsidRPr="00437E2A">
        <w:t xml:space="preserve">, </w:t>
      </w:r>
      <w:proofErr w:type="spellStart"/>
      <w:r w:rsidRPr="00437E2A">
        <w:t>Desiderio</w:t>
      </w:r>
      <w:proofErr w:type="spellEnd"/>
      <w:r>
        <w:t>,</w:t>
      </w:r>
      <w:r w:rsidRPr="00437E2A">
        <w:t xml:space="preserve"> </w:t>
      </w:r>
      <w:r>
        <w:t>et al</w:t>
      </w:r>
      <w:r w:rsidRPr="00437E2A">
        <w:t xml:space="preserve">. </w:t>
      </w:r>
      <w:r w:rsidRPr="001956A7">
        <w:rPr>
          <w:i/>
        </w:rPr>
        <w:t>Consensus Conference on Nasal Polyposis</w:t>
      </w:r>
      <w:r w:rsidRPr="00437E2A">
        <w:t xml:space="preserve">. </w:t>
      </w:r>
      <w:proofErr w:type="spellStart"/>
      <w:r w:rsidRPr="00437E2A">
        <w:t>Acta</w:t>
      </w:r>
      <w:proofErr w:type="spellEnd"/>
      <w:r w:rsidRPr="00437E2A">
        <w:t xml:space="preserve"> </w:t>
      </w:r>
      <w:proofErr w:type="spellStart"/>
      <w:r w:rsidRPr="00437E2A">
        <w:t>otorhinolaryngologica</w:t>
      </w:r>
      <w:proofErr w:type="spellEnd"/>
      <w:r w:rsidRPr="00437E2A">
        <w:t xml:space="preserve"> </w:t>
      </w:r>
      <w:proofErr w:type="spellStart"/>
      <w:r w:rsidRPr="00437E2A">
        <w:t>Italica</w:t>
      </w:r>
      <w:proofErr w:type="spellEnd"/>
      <w:r w:rsidRPr="00437E2A">
        <w:t xml:space="preserve"> : </w:t>
      </w:r>
      <w:proofErr w:type="spellStart"/>
      <w:r w:rsidRPr="00437E2A">
        <w:t>organo</w:t>
      </w:r>
      <w:proofErr w:type="spellEnd"/>
      <w:r w:rsidRPr="00437E2A">
        <w:t xml:space="preserve"> </w:t>
      </w:r>
      <w:proofErr w:type="spellStart"/>
      <w:r w:rsidRPr="00437E2A">
        <w:t>ufficiale</w:t>
      </w:r>
      <w:proofErr w:type="spellEnd"/>
      <w:r w:rsidRPr="00437E2A">
        <w:t xml:space="preserve"> </w:t>
      </w:r>
      <w:proofErr w:type="spellStart"/>
      <w:r w:rsidRPr="00437E2A">
        <w:t>della</w:t>
      </w:r>
      <w:proofErr w:type="spellEnd"/>
      <w:r w:rsidRPr="00437E2A">
        <w:t xml:space="preserve"> </w:t>
      </w:r>
      <w:proofErr w:type="spellStart"/>
      <w:r w:rsidRPr="00437E2A">
        <w:t>Società</w:t>
      </w:r>
      <w:proofErr w:type="spellEnd"/>
      <w:r w:rsidRPr="00437E2A">
        <w:t xml:space="preserve"> </w:t>
      </w:r>
      <w:proofErr w:type="spellStart"/>
      <w:r w:rsidRPr="00437E2A">
        <w:t>italiana</w:t>
      </w:r>
      <w:proofErr w:type="spellEnd"/>
      <w:r w:rsidRPr="00437E2A">
        <w:t xml:space="preserve"> di </w:t>
      </w:r>
      <w:proofErr w:type="spellStart"/>
      <w:r w:rsidRPr="00437E2A">
        <w:t>otorinolaringologia</w:t>
      </w:r>
      <w:proofErr w:type="spellEnd"/>
      <w:r w:rsidRPr="00437E2A">
        <w:t xml:space="preserve"> e </w:t>
      </w:r>
      <w:proofErr w:type="spellStart"/>
      <w:r w:rsidRPr="00437E2A">
        <w:t>chirurgia</w:t>
      </w:r>
      <w:proofErr w:type="spellEnd"/>
      <w:r w:rsidRPr="00437E2A">
        <w:t xml:space="preserve"> cervico-facciale.</w:t>
      </w:r>
      <w:r>
        <w:t xml:space="preserve">2004, </w:t>
      </w:r>
      <w:r w:rsidRPr="00437E2A">
        <w:t>24. 3-61.</w:t>
      </w:r>
    </w:p>
  </w:footnote>
  <w:footnote w:id="5">
    <w:p w14:paraId="3D5B9197" w14:textId="77777777" w:rsidR="006A7869" w:rsidRDefault="006A7869" w:rsidP="001956A7">
      <w:pPr>
        <w:pStyle w:val="FootnoteText"/>
      </w:pPr>
      <w:r>
        <w:rPr>
          <w:rStyle w:val="FootnoteReference"/>
        </w:rPr>
        <w:footnoteRef/>
      </w:r>
      <w:r>
        <w:t xml:space="preserve"> Stevens WW, et al. Chronic </w:t>
      </w:r>
      <w:proofErr w:type="spellStart"/>
      <w:r>
        <w:t>Rhinosinusitis</w:t>
      </w:r>
      <w:proofErr w:type="spellEnd"/>
      <w:r>
        <w:t xml:space="preserve"> with Nasal Polyps. </w:t>
      </w:r>
      <w:r>
        <w:rPr>
          <w:i/>
          <w:iCs/>
        </w:rPr>
        <w:t xml:space="preserve">J Allergy </w:t>
      </w:r>
      <w:proofErr w:type="spellStart"/>
      <w:r>
        <w:rPr>
          <w:i/>
          <w:iCs/>
        </w:rPr>
        <w:t>Clin</w:t>
      </w:r>
      <w:proofErr w:type="spellEnd"/>
      <w:r>
        <w:rPr>
          <w:i/>
          <w:iCs/>
        </w:rPr>
        <w:t xml:space="preserve"> </w:t>
      </w:r>
      <w:proofErr w:type="spellStart"/>
      <w:r>
        <w:rPr>
          <w:i/>
          <w:iCs/>
        </w:rPr>
        <w:t>Immunol</w:t>
      </w:r>
      <w:proofErr w:type="spellEnd"/>
      <w:r>
        <w:rPr>
          <w:i/>
          <w:iCs/>
        </w:rPr>
        <w:t xml:space="preserve"> </w:t>
      </w:r>
      <w:proofErr w:type="spellStart"/>
      <w:r>
        <w:rPr>
          <w:i/>
          <w:iCs/>
        </w:rPr>
        <w:t>Pract</w:t>
      </w:r>
      <w:proofErr w:type="spellEnd"/>
      <w:r>
        <w:t>. 2016;4(4):565–572.</w:t>
      </w:r>
    </w:p>
  </w:footnote>
  <w:footnote w:id="6">
    <w:p w14:paraId="7CED1FAC" w14:textId="77777777" w:rsidR="006A7869" w:rsidRDefault="006A7869" w:rsidP="001956A7">
      <w:pPr>
        <w:pStyle w:val="FootnoteText"/>
      </w:pPr>
      <w:r>
        <w:rPr>
          <w:rStyle w:val="FootnoteReference"/>
        </w:rPr>
        <w:footnoteRef/>
      </w:r>
      <w:r>
        <w:t xml:space="preserve"> </w:t>
      </w:r>
      <w:r>
        <w:rPr>
          <w:rStyle w:val="cls-response"/>
        </w:rPr>
        <w:t xml:space="preserve">Rosenfeld, R. M, et al.. Clinical Practice Guideline (Update): Adult Sinusitis. </w:t>
      </w:r>
      <w:r>
        <w:rPr>
          <w:rStyle w:val="cls-response"/>
          <w:i/>
          <w:iCs/>
        </w:rPr>
        <w:t>Otolaryngology–Head and Neck Surgery</w:t>
      </w:r>
      <w:r>
        <w:rPr>
          <w:rStyle w:val="cls-response"/>
        </w:rPr>
        <w:t>, 2015,</w:t>
      </w:r>
      <w:r w:rsidRPr="001956A7">
        <w:rPr>
          <w:rStyle w:val="cls-response"/>
          <w:iCs/>
        </w:rPr>
        <w:t>152</w:t>
      </w:r>
      <w:r>
        <w:rPr>
          <w:rStyle w:val="cls-response"/>
        </w:rPr>
        <w:t>(2_suppl), S1–S39.</w:t>
      </w:r>
    </w:p>
  </w:footnote>
  <w:footnote w:id="7">
    <w:p w14:paraId="7D657F61" w14:textId="0409C72C" w:rsidR="006A7869" w:rsidRPr="002A5B76" w:rsidRDefault="006A7869">
      <w:pPr>
        <w:pStyle w:val="FootnoteText"/>
        <w:rPr>
          <w:lang w:val="en-US"/>
        </w:rPr>
      </w:pPr>
      <w:r>
        <w:rPr>
          <w:rStyle w:val="FootnoteReference"/>
        </w:rPr>
        <w:footnoteRef/>
      </w:r>
      <w:r>
        <w:t xml:space="preserve"> </w:t>
      </w:r>
      <w:r w:rsidRPr="008B6354">
        <w:t xml:space="preserve">Stevens WW, </w:t>
      </w:r>
      <w:proofErr w:type="spellStart"/>
      <w:r w:rsidRPr="008B6354">
        <w:t>Schleimer</w:t>
      </w:r>
      <w:proofErr w:type="spellEnd"/>
      <w:r w:rsidRPr="008B6354">
        <w:t xml:space="preserve"> RP, Kern RC. Chronic </w:t>
      </w:r>
      <w:proofErr w:type="spellStart"/>
      <w:r w:rsidRPr="008B6354">
        <w:t>Rhinosinusitis</w:t>
      </w:r>
      <w:proofErr w:type="spellEnd"/>
      <w:r w:rsidRPr="008B6354">
        <w:t xml:space="preserve"> with Nasal Polyps. J Allergy </w:t>
      </w:r>
      <w:proofErr w:type="spellStart"/>
      <w:r w:rsidRPr="008B6354">
        <w:t>Clin</w:t>
      </w:r>
      <w:proofErr w:type="spellEnd"/>
      <w:r w:rsidRPr="008B6354">
        <w:t xml:space="preserve"> </w:t>
      </w:r>
      <w:proofErr w:type="spellStart"/>
      <w:r w:rsidRPr="008B6354">
        <w:t>Immunol</w:t>
      </w:r>
      <w:proofErr w:type="spellEnd"/>
      <w:r w:rsidRPr="008B6354">
        <w:t xml:space="preserve"> </w:t>
      </w:r>
      <w:proofErr w:type="spellStart"/>
      <w:r w:rsidRPr="008B6354">
        <w:t>Pract</w:t>
      </w:r>
      <w:proofErr w:type="spellEnd"/>
      <w:r w:rsidRPr="008B6354">
        <w:t>. 2016;4(4):565-572</w:t>
      </w:r>
      <w:r>
        <w:t>.</w:t>
      </w:r>
    </w:p>
  </w:footnote>
  <w:footnote w:id="8">
    <w:p w14:paraId="2FE5172D" w14:textId="77777777" w:rsidR="006A7869" w:rsidRDefault="006A7869" w:rsidP="001956A7">
      <w:pPr>
        <w:pStyle w:val="FootnoteText"/>
      </w:pPr>
      <w:r>
        <w:rPr>
          <w:rStyle w:val="FootnoteReference"/>
        </w:rPr>
        <w:footnoteRef/>
      </w:r>
      <w:r>
        <w:t xml:space="preserve"> Kato A. </w:t>
      </w:r>
      <w:r w:rsidRPr="00A35C37">
        <w:rPr>
          <w:rFonts w:asciiTheme="minorHAnsi" w:eastAsia="TimesNewRoman" w:hAnsiTheme="minorHAnsi" w:cs="TimesNewRoman"/>
        </w:rPr>
        <w:t xml:space="preserve">Immunopathology of chronic </w:t>
      </w:r>
      <w:proofErr w:type="spellStart"/>
      <w:r w:rsidRPr="00A35C37">
        <w:rPr>
          <w:rFonts w:asciiTheme="minorHAnsi" w:eastAsia="TimesNewRoman" w:hAnsiTheme="minorHAnsi" w:cs="TimesNewRoman"/>
        </w:rPr>
        <w:t>rhinosinusitis</w:t>
      </w:r>
      <w:proofErr w:type="spellEnd"/>
      <w:r w:rsidRPr="00A35C37">
        <w:rPr>
          <w:rFonts w:asciiTheme="minorHAnsi" w:eastAsia="TimesNewRoman" w:hAnsiTheme="minorHAnsi" w:cs="TimesNewRoman"/>
        </w:rPr>
        <w:t xml:space="preserve">. </w:t>
      </w:r>
      <w:proofErr w:type="spellStart"/>
      <w:r w:rsidRPr="00A35C37">
        <w:rPr>
          <w:rFonts w:asciiTheme="minorHAnsi" w:eastAsia="TimesNewRoman" w:hAnsiTheme="minorHAnsi" w:cs="TimesNewRoman"/>
        </w:rPr>
        <w:t>Allergol</w:t>
      </w:r>
      <w:proofErr w:type="spellEnd"/>
      <w:r w:rsidRPr="00A35C37">
        <w:rPr>
          <w:rFonts w:asciiTheme="minorHAnsi" w:eastAsia="TimesNewRoman" w:hAnsiTheme="minorHAnsi" w:cs="TimesNewRoman"/>
        </w:rPr>
        <w:t xml:space="preserve"> </w:t>
      </w:r>
      <w:proofErr w:type="spellStart"/>
      <w:r w:rsidRPr="00A35C37">
        <w:rPr>
          <w:rFonts w:asciiTheme="minorHAnsi" w:eastAsia="TimesNewRoman" w:hAnsiTheme="minorHAnsi" w:cs="TimesNewRoman"/>
        </w:rPr>
        <w:t>Int</w:t>
      </w:r>
      <w:proofErr w:type="spellEnd"/>
      <w:r w:rsidRPr="00A35C37">
        <w:rPr>
          <w:rFonts w:asciiTheme="minorHAnsi" w:eastAsia="TimesNewRoman" w:hAnsiTheme="minorHAnsi" w:cs="TimesNewRoman"/>
        </w:rPr>
        <w:t>; 64:121</w:t>
      </w:r>
      <w:r>
        <w:rPr>
          <w:rFonts w:asciiTheme="minorHAnsi" w:eastAsia="TimesNewRoman" w:hAnsiTheme="minorHAnsi" w:cs="Symbol"/>
        </w:rPr>
        <w:t>-</w:t>
      </w:r>
      <w:r w:rsidRPr="00A35C37">
        <w:rPr>
          <w:rFonts w:asciiTheme="minorHAnsi" w:eastAsia="TimesNewRoman" w:hAnsiTheme="minorHAnsi" w:cs="TimesNewRoman"/>
        </w:rPr>
        <w:t>30.</w:t>
      </w:r>
      <w:r>
        <w:rPr>
          <w:rFonts w:asciiTheme="minorHAnsi" w:eastAsia="TimesNewRoman" w:hAnsiTheme="minorHAnsi" w:cs="TimesNewRoman"/>
        </w:rPr>
        <w:t xml:space="preserve"> Copy provided by the Applicant.</w:t>
      </w:r>
    </w:p>
  </w:footnote>
  <w:footnote w:id="9">
    <w:p w14:paraId="02B6DF69" w14:textId="77777777" w:rsidR="006A7869" w:rsidRDefault="006A7869" w:rsidP="001956A7">
      <w:pPr>
        <w:pStyle w:val="FootnoteText"/>
      </w:pPr>
      <w:r>
        <w:rPr>
          <w:rStyle w:val="FootnoteReference"/>
        </w:rPr>
        <w:footnoteRef/>
      </w:r>
      <w:r>
        <w:t xml:space="preserve"> </w:t>
      </w:r>
      <w:proofErr w:type="spellStart"/>
      <w:r>
        <w:t>Chaaban</w:t>
      </w:r>
      <w:proofErr w:type="spellEnd"/>
      <w:r>
        <w:t xml:space="preserve"> MR, Walsh EM, Woodworth BA. Epidemiology and differential diagnosis of nasal polyps. </w:t>
      </w:r>
      <w:r>
        <w:rPr>
          <w:i/>
          <w:iCs/>
        </w:rPr>
        <w:t xml:space="preserve">Am J </w:t>
      </w:r>
      <w:proofErr w:type="spellStart"/>
      <w:r>
        <w:rPr>
          <w:i/>
          <w:iCs/>
        </w:rPr>
        <w:t>Rhinol</w:t>
      </w:r>
      <w:proofErr w:type="spellEnd"/>
      <w:r>
        <w:rPr>
          <w:i/>
          <w:iCs/>
        </w:rPr>
        <w:t xml:space="preserve"> Allergy</w:t>
      </w:r>
      <w:r>
        <w:t>. 2013;27(6):473–478. doi:10.2500/ajra.2013.27.3981.</w:t>
      </w:r>
    </w:p>
  </w:footnote>
  <w:footnote w:id="10">
    <w:p w14:paraId="3CA56C40" w14:textId="77777777" w:rsidR="006A7869" w:rsidRDefault="006A7869">
      <w:pPr>
        <w:pStyle w:val="FootnoteText"/>
      </w:pPr>
      <w:r>
        <w:rPr>
          <w:rStyle w:val="FootnoteReference"/>
        </w:rPr>
        <w:footnoteRef/>
      </w:r>
      <w:r>
        <w:t xml:space="preserve"> </w:t>
      </w:r>
      <w:r w:rsidRPr="007D53B6">
        <w:t>The sponsor must still comply with routine product vigilance and risk minimisation requirements.</w:t>
      </w:r>
    </w:p>
  </w:footnote>
  <w:footnote w:id="11">
    <w:p w14:paraId="3136BA6E" w14:textId="77777777" w:rsidR="006A7869" w:rsidRPr="009F25CB" w:rsidRDefault="006A7869" w:rsidP="009F25CB">
      <w:pPr>
        <w:autoSpaceDE w:val="0"/>
        <w:autoSpaceDN w:val="0"/>
        <w:spacing w:before="0" w:after="0" w:line="240" w:lineRule="auto"/>
        <w:rPr>
          <w:rFonts w:ascii="Calibri" w:eastAsia="TimesNewRoman" w:hAnsi="Calibri" w:cs="Calibri"/>
          <w:color w:val="000000"/>
          <w:sz w:val="16"/>
          <w:szCs w:val="16"/>
          <w:lang w:val="en-US"/>
        </w:rPr>
      </w:pPr>
      <w:r>
        <w:rPr>
          <w:rStyle w:val="FootnoteReference"/>
        </w:rPr>
        <w:footnoteRef/>
      </w:r>
      <w:r>
        <w:t xml:space="preserve"> </w:t>
      </w:r>
      <w:proofErr w:type="spellStart"/>
      <w:r w:rsidRPr="001464F1">
        <w:rPr>
          <w:rFonts w:ascii="Calibri" w:eastAsia="TimesNewRoman" w:hAnsi="Calibri" w:cs="Calibri"/>
          <w:color w:val="000000"/>
          <w:sz w:val="16"/>
          <w:szCs w:val="16"/>
          <w:lang w:val="en-US"/>
        </w:rPr>
        <w:t>Gevaert</w:t>
      </w:r>
      <w:proofErr w:type="spellEnd"/>
      <w:r w:rsidRPr="001464F1">
        <w:rPr>
          <w:rFonts w:ascii="Calibri" w:eastAsia="TimesNewRoman" w:hAnsi="Calibri" w:cs="Calibri"/>
          <w:color w:val="000000"/>
          <w:sz w:val="16"/>
          <w:szCs w:val="16"/>
          <w:lang w:val="en-US"/>
        </w:rPr>
        <w:t xml:space="preserve"> P</w:t>
      </w:r>
      <w:r>
        <w:rPr>
          <w:rFonts w:ascii="Calibri" w:eastAsia="TimesNewRoman" w:hAnsi="Calibri" w:cs="Calibri"/>
          <w:color w:val="000000"/>
          <w:sz w:val="16"/>
          <w:szCs w:val="16"/>
          <w:lang w:val="en-US"/>
        </w:rPr>
        <w:t>, et al.</w:t>
      </w:r>
      <w:r w:rsidRPr="001464F1">
        <w:rPr>
          <w:rFonts w:ascii="Calibri" w:eastAsia="TimesNewRoman" w:hAnsi="Calibri" w:cs="Calibri"/>
          <w:color w:val="000000"/>
          <w:sz w:val="16"/>
          <w:szCs w:val="16"/>
          <w:lang w:val="en-US"/>
        </w:rPr>
        <w:t xml:space="preserve"> Efficacy and Safety of </w:t>
      </w:r>
      <w:proofErr w:type="spellStart"/>
      <w:r w:rsidRPr="001464F1">
        <w:rPr>
          <w:rFonts w:ascii="Calibri" w:eastAsia="TimesNewRoman" w:hAnsi="Calibri" w:cs="Calibri"/>
          <w:color w:val="000000"/>
          <w:sz w:val="16"/>
          <w:szCs w:val="16"/>
          <w:lang w:val="en-US"/>
        </w:rPr>
        <w:t>omalizumab</w:t>
      </w:r>
      <w:proofErr w:type="spellEnd"/>
      <w:r w:rsidRPr="001464F1">
        <w:rPr>
          <w:rFonts w:ascii="Calibri" w:eastAsia="TimesNewRoman" w:hAnsi="Calibri" w:cs="Calibri"/>
          <w:color w:val="000000"/>
          <w:sz w:val="16"/>
          <w:szCs w:val="16"/>
          <w:lang w:val="en-US"/>
        </w:rPr>
        <w:t xml:space="preserve"> in nasal polyposis: 2 randomized Phase 3 trials. </w:t>
      </w:r>
      <w:r w:rsidRPr="009F25CB">
        <w:rPr>
          <w:rFonts w:ascii="Calibri" w:eastAsia="TimesNewRoman" w:hAnsi="Calibri" w:cs="Calibri"/>
          <w:i/>
          <w:color w:val="000000"/>
          <w:sz w:val="16"/>
          <w:szCs w:val="16"/>
          <w:lang w:val="en-US"/>
        </w:rPr>
        <w:t xml:space="preserve">J Allergy </w:t>
      </w:r>
      <w:proofErr w:type="spellStart"/>
      <w:r w:rsidRPr="009F25CB">
        <w:rPr>
          <w:rFonts w:ascii="Calibri" w:eastAsia="TimesNewRoman" w:hAnsi="Calibri" w:cs="Calibri"/>
          <w:i/>
          <w:color w:val="000000"/>
          <w:sz w:val="16"/>
          <w:szCs w:val="16"/>
          <w:lang w:val="en-US"/>
        </w:rPr>
        <w:t>Clin</w:t>
      </w:r>
      <w:proofErr w:type="spellEnd"/>
      <w:r w:rsidRPr="009F25CB">
        <w:rPr>
          <w:rFonts w:ascii="Calibri" w:eastAsia="TimesNewRoman" w:hAnsi="Calibri" w:cs="Calibri"/>
          <w:i/>
          <w:color w:val="000000"/>
          <w:sz w:val="16"/>
          <w:szCs w:val="16"/>
          <w:lang w:val="en-US"/>
        </w:rPr>
        <w:t xml:space="preserve"> </w:t>
      </w:r>
      <w:proofErr w:type="spellStart"/>
      <w:r w:rsidRPr="009F25CB">
        <w:rPr>
          <w:rFonts w:ascii="Calibri" w:eastAsia="TimesNewRoman" w:hAnsi="Calibri" w:cs="Calibri"/>
          <w:i/>
          <w:color w:val="000000"/>
          <w:sz w:val="16"/>
          <w:szCs w:val="16"/>
          <w:lang w:val="en-US"/>
        </w:rPr>
        <w:t>Immunol</w:t>
      </w:r>
      <w:proofErr w:type="spellEnd"/>
      <w:r w:rsidRPr="001464F1">
        <w:rPr>
          <w:rFonts w:ascii="Calibri" w:eastAsia="TimesNewRoman" w:hAnsi="Calibri" w:cs="Calibri"/>
          <w:color w:val="000000"/>
          <w:sz w:val="16"/>
          <w:szCs w:val="16"/>
          <w:lang w:val="en-US"/>
        </w:rPr>
        <w:t>;</w:t>
      </w:r>
      <w:r>
        <w:rPr>
          <w:rFonts w:ascii="Calibri" w:eastAsia="TimesNewRoman" w:hAnsi="Calibri" w:cs="Calibri"/>
          <w:color w:val="000000"/>
          <w:sz w:val="16"/>
          <w:szCs w:val="16"/>
          <w:lang w:val="en-US"/>
        </w:rPr>
        <w:t xml:space="preserve"> 2020, </w:t>
      </w:r>
      <w:r w:rsidRPr="001464F1">
        <w:rPr>
          <w:rFonts w:ascii="Calibri" w:eastAsia="TimesNewRoman" w:hAnsi="Calibri" w:cs="Calibri"/>
          <w:color w:val="000000"/>
          <w:sz w:val="16"/>
          <w:szCs w:val="16"/>
          <w:lang w:val="en-US"/>
        </w:rPr>
        <w:t>146:595-605 (published report of Studies GA39688 and GA39855)</w:t>
      </w:r>
    </w:p>
  </w:footnote>
  <w:footnote w:id="12">
    <w:p w14:paraId="1B9ADD03" w14:textId="77777777" w:rsidR="006A7869" w:rsidRPr="009F25CB" w:rsidRDefault="006A7869" w:rsidP="009F25CB">
      <w:pPr>
        <w:spacing w:before="0" w:after="0"/>
        <w:rPr>
          <w:rFonts w:ascii="Calibri" w:hAnsi="Calibri" w:cs="Calibri"/>
          <w:sz w:val="16"/>
          <w:szCs w:val="16"/>
        </w:rPr>
      </w:pPr>
      <w:r>
        <w:rPr>
          <w:rStyle w:val="FootnoteReference"/>
        </w:rPr>
        <w:footnoteRef/>
      </w:r>
      <w:r>
        <w:t xml:space="preserve"> </w:t>
      </w:r>
      <w:proofErr w:type="spellStart"/>
      <w:r w:rsidRPr="001464F1">
        <w:rPr>
          <w:rFonts w:ascii="Calibri" w:hAnsi="Calibri" w:cs="Calibri"/>
          <w:sz w:val="16"/>
          <w:szCs w:val="16"/>
        </w:rPr>
        <w:t>Bachert</w:t>
      </w:r>
      <w:proofErr w:type="spellEnd"/>
      <w:r w:rsidRPr="001464F1">
        <w:rPr>
          <w:rFonts w:ascii="Calibri" w:hAnsi="Calibri" w:cs="Calibri"/>
          <w:sz w:val="16"/>
          <w:szCs w:val="16"/>
        </w:rPr>
        <w:t xml:space="preserve"> C, </w:t>
      </w:r>
      <w:r>
        <w:rPr>
          <w:rFonts w:ascii="Calibri" w:hAnsi="Calibri" w:cs="Calibri"/>
          <w:sz w:val="16"/>
          <w:szCs w:val="16"/>
        </w:rPr>
        <w:t>et al.</w:t>
      </w:r>
      <w:r w:rsidRPr="001464F1">
        <w:rPr>
          <w:rFonts w:ascii="Calibri" w:hAnsi="Calibri" w:cs="Calibri"/>
          <w:sz w:val="16"/>
          <w:szCs w:val="16"/>
        </w:rPr>
        <w:t xml:space="preserve"> Reduced need for surgery in severe nasal polyposis with </w:t>
      </w:r>
      <w:proofErr w:type="spellStart"/>
      <w:r w:rsidRPr="001464F1">
        <w:rPr>
          <w:rFonts w:ascii="Calibri" w:hAnsi="Calibri" w:cs="Calibri"/>
          <w:sz w:val="16"/>
          <w:szCs w:val="16"/>
        </w:rPr>
        <w:t>mepolizumab</w:t>
      </w:r>
      <w:proofErr w:type="spellEnd"/>
      <w:r w:rsidRPr="001464F1">
        <w:rPr>
          <w:rFonts w:ascii="Calibri" w:hAnsi="Calibri" w:cs="Calibri"/>
          <w:sz w:val="16"/>
          <w:szCs w:val="16"/>
        </w:rPr>
        <w:t>: Randomized</w:t>
      </w:r>
      <w:r>
        <w:rPr>
          <w:rFonts w:ascii="Calibri" w:hAnsi="Calibri" w:cs="Calibri"/>
          <w:sz w:val="16"/>
          <w:szCs w:val="16"/>
        </w:rPr>
        <w:t xml:space="preserve"> </w:t>
      </w:r>
      <w:r w:rsidRPr="001464F1">
        <w:rPr>
          <w:rFonts w:ascii="Calibri" w:hAnsi="Calibri" w:cs="Calibri"/>
          <w:sz w:val="16"/>
          <w:szCs w:val="16"/>
        </w:rPr>
        <w:t xml:space="preserve">trial. </w:t>
      </w:r>
      <w:r w:rsidRPr="009F25CB">
        <w:rPr>
          <w:rFonts w:ascii="Calibri" w:hAnsi="Calibri" w:cs="Calibri"/>
          <w:i/>
          <w:sz w:val="16"/>
          <w:szCs w:val="16"/>
        </w:rPr>
        <w:t xml:space="preserve">J Allergy </w:t>
      </w:r>
      <w:proofErr w:type="spellStart"/>
      <w:r w:rsidRPr="009F25CB">
        <w:rPr>
          <w:rFonts w:ascii="Calibri" w:hAnsi="Calibri" w:cs="Calibri"/>
          <w:i/>
          <w:sz w:val="16"/>
          <w:szCs w:val="16"/>
        </w:rPr>
        <w:t>Clin</w:t>
      </w:r>
      <w:proofErr w:type="spellEnd"/>
      <w:r w:rsidRPr="009F25CB">
        <w:rPr>
          <w:rFonts w:ascii="Calibri" w:hAnsi="Calibri" w:cs="Calibri"/>
          <w:i/>
          <w:sz w:val="16"/>
          <w:szCs w:val="16"/>
        </w:rPr>
        <w:t xml:space="preserve"> </w:t>
      </w:r>
      <w:proofErr w:type="spellStart"/>
      <w:r w:rsidRPr="009F25CB">
        <w:rPr>
          <w:rFonts w:ascii="Calibri" w:hAnsi="Calibri" w:cs="Calibri"/>
          <w:i/>
          <w:sz w:val="16"/>
          <w:szCs w:val="16"/>
        </w:rPr>
        <w:t>Immunol</w:t>
      </w:r>
      <w:proofErr w:type="spellEnd"/>
      <w:r w:rsidRPr="001464F1">
        <w:rPr>
          <w:rFonts w:ascii="Calibri" w:hAnsi="Calibri" w:cs="Calibri"/>
          <w:sz w:val="16"/>
          <w:szCs w:val="16"/>
        </w:rPr>
        <w:t>;</w:t>
      </w:r>
      <w:r>
        <w:rPr>
          <w:rFonts w:ascii="Calibri" w:hAnsi="Calibri" w:cs="Calibri"/>
          <w:sz w:val="16"/>
          <w:szCs w:val="16"/>
        </w:rPr>
        <w:t xml:space="preserve"> 2017,</w:t>
      </w:r>
      <w:r w:rsidRPr="001464F1">
        <w:rPr>
          <w:rFonts w:ascii="Calibri" w:hAnsi="Calibri" w:cs="Calibri"/>
          <w:sz w:val="16"/>
          <w:szCs w:val="16"/>
        </w:rPr>
        <w:t>140 (4):1024-1031.e14.</w:t>
      </w:r>
    </w:p>
  </w:footnote>
  <w:footnote w:id="13">
    <w:p w14:paraId="1F1D87C5" w14:textId="77777777" w:rsidR="006A7869" w:rsidRDefault="006A7869">
      <w:pPr>
        <w:pStyle w:val="FootnoteText"/>
      </w:pPr>
      <w:r>
        <w:rPr>
          <w:rStyle w:val="FootnoteReference"/>
        </w:rPr>
        <w:footnoteRef/>
      </w:r>
      <w:r>
        <w:t xml:space="preserve"> </w:t>
      </w:r>
      <w:proofErr w:type="spellStart"/>
      <w:r w:rsidRPr="001464F1">
        <w:rPr>
          <w:rFonts w:ascii="Calibri" w:eastAsia="TimesNewRoman" w:hAnsi="Calibri" w:cs="Calibri"/>
          <w:sz w:val="16"/>
          <w:szCs w:val="16"/>
          <w:lang w:val="en-US"/>
        </w:rPr>
        <w:t>Bachert</w:t>
      </w:r>
      <w:proofErr w:type="spellEnd"/>
      <w:r w:rsidRPr="001464F1">
        <w:rPr>
          <w:rFonts w:ascii="Calibri" w:eastAsia="TimesNewRoman" w:hAnsi="Calibri" w:cs="Calibri"/>
          <w:sz w:val="16"/>
          <w:szCs w:val="16"/>
          <w:lang w:val="en-US"/>
        </w:rPr>
        <w:t xml:space="preserve"> C, </w:t>
      </w:r>
      <w:r>
        <w:rPr>
          <w:rFonts w:ascii="Calibri" w:eastAsia="TimesNewRoman" w:hAnsi="Calibri" w:cs="Calibri"/>
          <w:sz w:val="16"/>
          <w:szCs w:val="16"/>
          <w:lang w:val="en-US"/>
        </w:rPr>
        <w:t>et al.</w:t>
      </w:r>
      <w:r w:rsidRPr="001464F1">
        <w:rPr>
          <w:rFonts w:ascii="Calibri" w:eastAsia="TimesNewRoman" w:hAnsi="Calibri" w:cs="Calibri"/>
          <w:sz w:val="16"/>
          <w:szCs w:val="16"/>
          <w:lang w:val="en-US"/>
        </w:rPr>
        <w:t xml:space="preserve"> </w:t>
      </w:r>
      <w:r w:rsidRPr="001464F1">
        <w:rPr>
          <w:rFonts w:ascii="Calibri" w:eastAsia="TimesNewRoman" w:hAnsi="Calibri" w:cs="Calibri"/>
          <w:color w:val="000000"/>
          <w:sz w:val="16"/>
          <w:szCs w:val="16"/>
          <w:lang w:val="en-US"/>
        </w:rPr>
        <w:t xml:space="preserve">Efficacy and safety of </w:t>
      </w:r>
      <w:proofErr w:type="spellStart"/>
      <w:r w:rsidRPr="001464F1">
        <w:rPr>
          <w:rFonts w:ascii="Calibri" w:eastAsia="TimesNewRoman" w:hAnsi="Calibri" w:cs="Calibri"/>
          <w:color w:val="000000"/>
          <w:sz w:val="16"/>
          <w:szCs w:val="16"/>
          <w:lang w:val="en-US"/>
        </w:rPr>
        <w:t>dupilumab</w:t>
      </w:r>
      <w:proofErr w:type="spellEnd"/>
      <w:r w:rsidRPr="001464F1">
        <w:rPr>
          <w:rFonts w:ascii="Calibri" w:eastAsia="TimesNewRoman" w:hAnsi="Calibri" w:cs="Calibri"/>
          <w:color w:val="000000"/>
          <w:sz w:val="16"/>
          <w:szCs w:val="16"/>
          <w:lang w:val="en-US"/>
        </w:rPr>
        <w:t xml:space="preserve"> in patients with severe chronic </w:t>
      </w:r>
      <w:proofErr w:type="spellStart"/>
      <w:r w:rsidRPr="001464F1">
        <w:rPr>
          <w:rFonts w:ascii="Calibri" w:eastAsia="TimesNewRoman" w:hAnsi="Calibri" w:cs="Calibri"/>
          <w:color w:val="000000"/>
          <w:sz w:val="16"/>
          <w:szCs w:val="16"/>
          <w:lang w:val="en-US"/>
        </w:rPr>
        <w:t>rhinosinusitis</w:t>
      </w:r>
      <w:proofErr w:type="spellEnd"/>
      <w:r w:rsidRPr="001464F1">
        <w:rPr>
          <w:rFonts w:ascii="Calibri" w:eastAsia="TimesNewRoman" w:hAnsi="Calibri" w:cs="Calibri"/>
          <w:color w:val="000000"/>
          <w:sz w:val="16"/>
          <w:szCs w:val="16"/>
          <w:lang w:val="en-US"/>
        </w:rPr>
        <w:t xml:space="preserve"> with nasal polyps (LIBERTY NP SINUS-24 and LIBERTY NP SINUS-52): results from two </w:t>
      </w:r>
      <w:proofErr w:type="spellStart"/>
      <w:r w:rsidRPr="001464F1">
        <w:rPr>
          <w:rFonts w:ascii="Calibri" w:eastAsia="TimesNewRoman" w:hAnsi="Calibri" w:cs="Calibri"/>
          <w:color w:val="000000"/>
          <w:sz w:val="16"/>
          <w:szCs w:val="16"/>
          <w:lang w:val="en-US"/>
        </w:rPr>
        <w:t>multicentre</w:t>
      </w:r>
      <w:proofErr w:type="spellEnd"/>
      <w:r w:rsidRPr="001464F1">
        <w:rPr>
          <w:rFonts w:ascii="Calibri" w:eastAsia="TimesNewRoman" w:hAnsi="Calibri" w:cs="Calibri"/>
          <w:color w:val="000000"/>
          <w:sz w:val="16"/>
          <w:szCs w:val="16"/>
          <w:lang w:val="en-US"/>
        </w:rPr>
        <w:t xml:space="preserve">, </w:t>
      </w:r>
      <w:proofErr w:type="spellStart"/>
      <w:r w:rsidRPr="001464F1">
        <w:rPr>
          <w:rFonts w:ascii="Calibri" w:eastAsia="TimesNewRoman" w:hAnsi="Calibri" w:cs="Calibri"/>
          <w:color w:val="000000"/>
          <w:sz w:val="16"/>
          <w:szCs w:val="16"/>
          <w:lang w:val="en-US"/>
        </w:rPr>
        <w:t>randomised</w:t>
      </w:r>
      <w:proofErr w:type="spellEnd"/>
      <w:r w:rsidRPr="001464F1">
        <w:rPr>
          <w:rFonts w:ascii="Calibri" w:eastAsia="TimesNewRoman" w:hAnsi="Calibri" w:cs="Calibri"/>
          <w:color w:val="000000"/>
          <w:sz w:val="16"/>
          <w:szCs w:val="16"/>
          <w:lang w:val="en-US"/>
        </w:rPr>
        <w:t>, double-blind, placebo-controlled, parall</w:t>
      </w:r>
      <w:r>
        <w:rPr>
          <w:rFonts w:ascii="Calibri" w:eastAsia="TimesNewRoman" w:hAnsi="Calibri" w:cs="Calibri"/>
          <w:color w:val="000000"/>
          <w:sz w:val="16"/>
          <w:szCs w:val="16"/>
          <w:lang w:val="en-US"/>
        </w:rPr>
        <w:t xml:space="preserve">el-group phase 3 trials. Lancet; 2019, </w:t>
      </w:r>
      <w:r w:rsidRPr="001464F1">
        <w:rPr>
          <w:rFonts w:ascii="Calibri" w:eastAsia="TimesNewRoman" w:hAnsi="Calibri" w:cs="Calibri"/>
          <w:color w:val="000000"/>
          <w:sz w:val="16"/>
          <w:szCs w:val="16"/>
          <w:lang w:val="en-US"/>
        </w:rPr>
        <w:t>394 (10209):1638-1650.</w:t>
      </w:r>
    </w:p>
  </w:footnote>
  <w:footnote w:id="14">
    <w:p w14:paraId="4AEE5593" w14:textId="77777777" w:rsidR="006A7869" w:rsidRDefault="006A7869"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455CD68" w14:textId="77777777" w:rsidR="006A7869" w:rsidRPr="00456765" w:rsidRDefault="006A7869"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1ED03" w14:textId="77777777" w:rsidR="006A7869" w:rsidRDefault="006A78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45732" w14:textId="77777777" w:rsidR="006A7869" w:rsidRDefault="006A7869"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05F35" w14:textId="77777777" w:rsidR="006A7869" w:rsidRDefault="006A7869">
    <w:pPr>
      <w:rPr>
        <w:noProof/>
        <w:lang w:eastAsia="en-AU"/>
      </w:rPr>
    </w:pPr>
    <w:r w:rsidRPr="00347824">
      <w:rPr>
        <w:noProof/>
        <w:lang w:eastAsia="en-AU"/>
      </w:rPr>
      <w:drawing>
        <wp:anchor distT="0" distB="0" distL="114300" distR="114300" simplePos="0" relativeHeight="251659264" behindDoc="1" locked="0" layoutInCell="1" allowOverlap="1" wp14:anchorId="42A50D3D" wp14:editId="50F9B354">
          <wp:simplePos x="0" y="0"/>
          <wp:positionH relativeFrom="column">
            <wp:posOffset>-1089660</wp:posOffset>
          </wp:positionH>
          <wp:positionV relativeFrom="paragraph">
            <wp:posOffset>-585470</wp:posOffset>
          </wp:positionV>
          <wp:extent cx="7572375" cy="10706100"/>
          <wp:effectExtent l="19050" t="0" r="0" b="0"/>
          <wp:wrapNone/>
          <wp:docPr id="1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3F16998" w14:textId="77777777" w:rsidR="006A7869" w:rsidRDefault="006A7869"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22356" w14:textId="77777777" w:rsidR="006A7869" w:rsidRDefault="006A78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D8DD" w14:textId="77777777" w:rsidR="006A7869" w:rsidRDefault="006A7869">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3C77E" w14:textId="77777777" w:rsidR="006A7869" w:rsidRDefault="006A7869">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66685" w14:textId="77777777" w:rsidR="006A7869" w:rsidRDefault="006A786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DF414" w14:textId="77777777" w:rsidR="006A7869" w:rsidRDefault="006A7869"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6783F" w14:textId="77777777" w:rsidR="006A7869" w:rsidRDefault="006A7869" w:rsidP="006E08B3">
    <w:r>
      <w:t>Therapeutic Goods Administration</w:t>
    </w:r>
  </w:p>
  <w:p w14:paraId="1D3FC5E1" w14:textId="77777777" w:rsidR="006A7869" w:rsidRDefault="006A7869"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37DC557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11"/>
  </w:num>
  <w:num w:numId="29">
    <w:abstractNumId w:val="6"/>
  </w:num>
  <w:num w:numId="30">
    <w:abstractNumId w:val="8"/>
  </w:num>
  <w:num w:numId="31">
    <w:abstractNumId w:val="4"/>
  </w:num>
  <w:num w:numId="32">
    <w:abstractNumId w:val="10"/>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66A"/>
    <w:rsid w:val="00002031"/>
    <w:rsid w:val="00003377"/>
    <w:rsid w:val="00004734"/>
    <w:rsid w:val="00006B22"/>
    <w:rsid w:val="00006FAB"/>
    <w:rsid w:val="000121B2"/>
    <w:rsid w:val="0001276A"/>
    <w:rsid w:val="000246AE"/>
    <w:rsid w:val="00025C67"/>
    <w:rsid w:val="000311D9"/>
    <w:rsid w:val="00044772"/>
    <w:rsid w:val="0004541C"/>
    <w:rsid w:val="000462AF"/>
    <w:rsid w:val="0005559E"/>
    <w:rsid w:val="00055FC5"/>
    <w:rsid w:val="000604D6"/>
    <w:rsid w:val="000734D8"/>
    <w:rsid w:val="0007616B"/>
    <w:rsid w:val="00077775"/>
    <w:rsid w:val="00090471"/>
    <w:rsid w:val="00096AA7"/>
    <w:rsid w:val="000A3AED"/>
    <w:rsid w:val="000A53B9"/>
    <w:rsid w:val="000B112D"/>
    <w:rsid w:val="000B3532"/>
    <w:rsid w:val="000B3A75"/>
    <w:rsid w:val="000C00C2"/>
    <w:rsid w:val="000C690F"/>
    <w:rsid w:val="000D1295"/>
    <w:rsid w:val="000D391B"/>
    <w:rsid w:val="000D3D6D"/>
    <w:rsid w:val="000D4FC7"/>
    <w:rsid w:val="000E4669"/>
    <w:rsid w:val="000E6196"/>
    <w:rsid w:val="000F4869"/>
    <w:rsid w:val="000F50C8"/>
    <w:rsid w:val="000F5B42"/>
    <w:rsid w:val="000F6E6F"/>
    <w:rsid w:val="000F766B"/>
    <w:rsid w:val="0010601F"/>
    <w:rsid w:val="0010788A"/>
    <w:rsid w:val="00107A31"/>
    <w:rsid w:val="00110EA5"/>
    <w:rsid w:val="00112F56"/>
    <w:rsid w:val="00116EBC"/>
    <w:rsid w:val="00122C2E"/>
    <w:rsid w:val="00124ACD"/>
    <w:rsid w:val="00125318"/>
    <w:rsid w:val="001305A2"/>
    <w:rsid w:val="00133238"/>
    <w:rsid w:val="00133A1B"/>
    <w:rsid w:val="0014197B"/>
    <w:rsid w:val="001447CD"/>
    <w:rsid w:val="001468E4"/>
    <w:rsid w:val="001516B1"/>
    <w:rsid w:val="00154EBB"/>
    <w:rsid w:val="00156316"/>
    <w:rsid w:val="00161181"/>
    <w:rsid w:val="00162D14"/>
    <w:rsid w:val="00163780"/>
    <w:rsid w:val="00164FAB"/>
    <w:rsid w:val="00165389"/>
    <w:rsid w:val="0017693F"/>
    <w:rsid w:val="0018110E"/>
    <w:rsid w:val="00181684"/>
    <w:rsid w:val="00182EA0"/>
    <w:rsid w:val="00183269"/>
    <w:rsid w:val="001843C6"/>
    <w:rsid w:val="001850E0"/>
    <w:rsid w:val="0018749A"/>
    <w:rsid w:val="00190A6E"/>
    <w:rsid w:val="001956A7"/>
    <w:rsid w:val="001A03AF"/>
    <w:rsid w:val="001A2158"/>
    <w:rsid w:val="001A525F"/>
    <w:rsid w:val="001B09F9"/>
    <w:rsid w:val="001B5C90"/>
    <w:rsid w:val="001B6448"/>
    <w:rsid w:val="001C32CD"/>
    <w:rsid w:val="001D2984"/>
    <w:rsid w:val="001E07CF"/>
    <w:rsid w:val="001E4607"/>
    <w:rsid w:val="001E59F1"/>
    <w:rsid w:val="001F2CEE"/>
    <w:rsid w:val="001F49EB"/>
    <w:rsid w:val="001F6CBA"/>
    <w:rsid w:val="00201D4E"/>
    <w:rsid w:val="002076C9"/>
    <w:rsid w:val="00216D12"/>
    <w:rsid w:val="0022000B"/>
    <w:rsid w:val="00220B8A"/>
    <w:rsid w:val="002220BA"/>
    <w:rsid w:val="002257F3"/>
    <w:rsid w:val="00232422"/>
    <w:rsid w:val="00233456"/>
    <w:rsid w:val="002339A5"/>
    <w:rsid w:val="0024441B"/>
    <w:rsid w:val="00250271"/>
    <w:rsid w:val="00251CC1"/>
    <w:rsid w:val="00257848"/>
    <w:rsid w:val="002578E8"/>
    <w:rsid w:val="0027084A"/>
    <w:rsid w:val="00271407"/>
    <w:rsid w:val="00276115"/>
    <w:rsid w:val="00280265"/>
    <w:rsid w:val="00281936"/>
    <w:rsid w:val="00286434"/>
    <w:rsid w:val="00286C59"/>
    <w:rsid w:val="00291957"/>
    <w:rsid w:val="00292E4A"/>
    <w:rsid w:val="002942D1"/>
    <w:rsid w:val="0029501A"/>
    <w:rsid w:val="0029625E"/>
    <w:rsid w:val="002A3721"/>
    <w:rsid w:val="002A5B76"/>
    <w:rsid w:val="002B1638"/>
    <w:rsid w:val="002B3624"/>
    <w:rsid w:val="002C11E5"/>
    <w:rsid w:val="002D0952"/>
    <w:rsid w:val="002D23BC"/>
    <w:rsid w:val="002E40B3"/>
    <w:rsid w:val="002E4C9A"/>
    <w:rsid w:val="002F11F8"/>
    <w:rsid w:val="002F3F56"/>
    <w:rsid w:val="002F44B5"/>
    <w:rsid w:val="002F5122"/>
    <w:rsid w:val="0031098A"/>
    <w:rsid w:val="00311AC0"/>
    <w:rsid w:val="003176FC"/>
    <w:rsid w:val="00323FA1"/>
    <w:rsid w:val="00324E45"/>
    <w:rsid w:val="0032583B"/>
    <w:rsid w:val="00327883"/>
    <w:rsid w:val="00330374"/>
    <w:rsid w:val="00335504"/>
    <w:rsid w:val="00340C18"/>
    <w:rsid w:val="00343B3D"/>
    <w:rsid w:val="003442FD"/>
    <w:rsid w:val="00347824"/>
    <w:rsid w:val="00350567"/>
    <w:rsid w:val="00352163"/>
    <w:rsid w:val="003521E8"/>
    <w:rsid w:val="003655C5"/>
    <w:rsid w:val="00366E37"/>
    <w:rsid w:val="00370CE3"/>
    <w:rsid w:val="003728F3"/>
    <w:rsid w:val="003735BC"/>
    <w:rsid w:val="0037496E"/>
    <w:rsid w:val="00383221"/>
    <w:rsid w:val="00386150"/>
    <w:rsid w:val="003874CE"/>
    <w:rsid w:val="003878E8"/>
    <w:rsid w:val="00390900"/>
    <w:rsid w:val="003A7F6C"/>
    <w:rsid w:val="003B4D60"/>
    <w:rsid w:val="003B6C97"/>
    <w:rsid w:val="003B7E39"/>
    <w:rsid w:val="003C58DC"/>
    <w:rsid w:val="003D1E62"/>
    <w:rsid w:val="003E0B99"/>
    <w:rsid w:val="003E2486"/>
    <w:rsid w:val="003E3208"/>
    <w:rsid w:val="003F0B04"/>
    <w:rsid w:val="003F1934"/>
    <w:rsid w:val="003F3B46"/>
    <w:rsid w:val="0040134E"/>
    <w:rsid w:val="00415219"/>
    <w:rsid w:val="004334C7"/>
    <w:rsid w:val="0043466A"/>
    <w:rsid w:val="00440A2D"/>
    <w:rsid w:val="00441C3F"/>
    <w:rsid w:val="00444D1A"/>
    <w:rsid w:val="0045186A"/>
    <w:rsid w:val="004564A7"/>
    <w:rsid w:val="00456765"/>
    <w:rsid w:val="00460036"/>
    <w:rsid w:val="004617BF"/>
    <w:rsid w:val="00463658"/>
    <w:rsid w:val="004637A0"/>
    <w:rsid w:val="004722CC"/>
    <w:rsid w:val="00490483"/>
    <w:rsid w:val="00491843"/>
    <w:rsid w:val="004936E4"/>
    <w:rsid w:val="00494E60"/>
    <w:rsid w:val="00496DF5"/>
    <w:rsid w:val="00497487"/>
    <w:rsid w:val="004977E7"/>
    <w:rsid w:val="004A2771"/>
    <w:rsid w:val="004A6189"/>
    <w:rsid w:val="004A7390"/>
    <w:rsid w:val="004B7B76"/>
    <w:rsid w:val="004C0CFB"/>
    <w:rsid w:val="004C11D5"/>
    <w:rsid w:val="004C1343"/>
    <w:rsid w:val="004C239D"/>
    <w:rsid w:val="004C2DCA"/>
    <w:rsid w:val="004C4FBE"/>
    <w:rsid w:val="004C61D2"/>
    <w:rsid w:val="004E4964"/>
    <w:rsid w:val="004F0C4A"/>
    <w:rsid w:val="004F0F38"/>
    <w:rsid w:val="004F1187"/>
    <w:rsid w:val="004F47D6"/>
    <w:rsid w:val="00500337"/>
    <w:rsid w:val="00501921"/>
    <w:rsid w:val="00504BE0"/>
    <w:rsid w:val="00530354"/>
    <w:rsid w:val="0053625B"/>
    <w:rsid w:val="00542203"/>
    <w:rsid w:val="005434C6"/>
    <w:rsid w:val="00543B39"/>
    <w:rsid w:val="00546154"/>
    <w:rsid w:val="00550096"/>
    <w:rsid w:val="0055155F"/>
    <w:rsid w:val="00552A73"/>
    <w:rsid w:val="00555280"/>
    <w:rsid w:val="00557B9B"/>
    <w:rsid w:val="00557FF9"/>
    <w:rsid w:val="00562327"/>
    <w:rsid w:val="0057055A"/>
    <w:rsid w:val="005711D5"/>
    <w:rsid w:val="00576378"/>
    <w:rsid w:val="00577130"/>
    <w:rsid w:val="005772E7"/>
    <w:rsid w:val="00577945"/>
    <w:rsid w:val="00577E38"/>
    <w:rsid w:val="00585322"/>
    <w:rsid w:val="005857C6"/>
    <w:rsid w:val="00592F6E"/>
    <w:rsid w:val="00593AD1"/>
    <w:rsid w:val="005A68B6"/>
    <w:rsid w:val="005C5570"/>
    <w:rsid w:val="005C5B66"/>
    <w:rsid w:val="005C6EDC"/>
    <w:rsid w:val="005C79A4"/>
    <w:rsid w:val="005D0FF3"/>
    <w:rsid w:val="005D5442"/>
    <w:rsid w:val="005D7FBB"/>
    <w:rsid w:val="005E4B39"/>
    <w:rsid w:val="005F3FFA"/>
    <w:rsid w:val="00603F32"/>
    <w:rsid w:val="00605AD4"/>
    <w:rsid w:val="006136D7"/>
    <w:rsid w:val="00625A6E"/>
    <w:rsid w:val="00626A9F"/>
    <w:rsid w:val="00632398"/>
    <w:rsid w:val="00640FC3"/>
    <w:rsid w:val="00642020"/>
    <w:rsid w:val="006430EE"/>
    <w:rsid w:val="0065337B"/>
    <w:rsid w:val="0065419D"/>
    <w:rsid w:val="006603BC"/>
    <w:rsid w:val="006604D8"/>
    <w:rsid w:val="00664A5B"/>
    <w:rsid w:val="0066735C"/>
    <w:rsid w:val="006763D2"/>
    <w:rsid w:val="00680C08"/>
    <w:rsid w:val="006818C2"/>
    <w:rsid w:val="006902FC"/>
    <w:rsid w:val="006916A0"/>
    <w:rsid w:val="006931B1"/>
    <w:rsid w:val="006A15C0"/>
    <w:rsid w:val="006A58A8"/>
    <w:rsid w:val="006A7869"/>
    <w:rsid w:val="006B750C"/>
    <w:rsid w:val="006C3E08"/>
    <w:rsid w:val="006C3E2A"/>
    <w:rsid w:val="006C642F"/>
    <w:rsid w:val="006D03E5"/>
    <w:rsid w:val="006D5D3E"/>
    <w:rsid w:val="006E08B3"/>
    <w:rsid w:val="006E3CCB"/>
    <w:rsid w:val="006F1342"/>
    <w:rsid w:val="006F17AC"/>
    <w:rsid w:val="006F25B8"/>
    <w:rsid w:val="006F572E"/>
    <w:rsid w:val="00701F1E"/>
    <w:rsid w:val="007028FB"/>
    <w:rsid w:val="007046D6"/>
    <w:rsid w:val="00705DB0"/>
    <w:rsid w:val="007163BC"/>
    <w:rsid w:val="00722B57"/>
    <w:rsid w:val="00730F8A"/>
    <w:rsid w:val="00735A8C"/>
    <w:rsid w:val="00740C9D"/>
    <w:rsid w:val="0074253D"/>
    <w:rsid w:val="00744121"/>
    <w:rsid w:val="0074429B"/>
    <w:rsid w:val="007615BC"/>
    <w:rsid w:val="00762F05"/>
    <w:rsid w:val="007652FF"/>
    <w:rsid w:val="00766986"/>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841"/>
    <w:rsid w:val="007C1AF7"/>
    <w:rsid w:val="007C6B9B"/>
    <w:rsid w:val="007D4D60"/>
    <w:rsid w:val="007D53B6"/>
    <w:rsid w:val="0080141F"/>
    <w:rsid w:val="00805D27"/>
    <w:rsid w:val="00806DCB"/>
    <w:rsid w:val="00817CFF"/>
    <w:rsid w:val="00821776"/>
    <w:rsid w:val="008321F5"/>
    <w:rsid w:val="00832369"/>
    <w:rsid w:val="00834660"/>
    <w:rsid w:val="00836BC2"/>
    <w:rsid w:val="0085156D"/>
    <w:rsid w:val="00852B28"/>
    <w:rsid w:val="0085641B"/>
    <w:rsid w:val="00857136"/>
    <w:rsid w:val="008677EF"/>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B6354"/>
    <w:rsid w:val="008C159F"/>
    <w:rsid w:val="008C1623"/>
    <w:rsid w:val="008C1850"/>
    <w:rsid w:val="008C51A9"/>
    <w:rsid w:val="008E2D9D"/>
    <w:rsid w:val="008E7846"/>
    <w:rsid w:val="008F02E5"/>
    <w:rsid w:val="008F1CCC"/>
    <w:rsid w:val="008F2967"/>
    <w:rsid w:val="008F6943"/>
    <w:rsid w:val="00902A21"/>
    <w:rsid w:val="00904D5C"/>
    <w:rsid w:val="00905339"/>
    <w:rsid w:val="0091523F"/>
    <w:rsid w:val="00920330"/>
    <w:rsid w:val="009219D7"/>
    <w:rsid w:val="00922D53"/>
    <w:rsid w:val="00923B70"/>
    <w:rsid w:val="00924482"/>
    <w:rsid w:val="00930237"/>
    <w:rsid w:val="00937C17"/>
    <w:rsid w:val="00940A89"/>
    <w:rsid w:val="00941F77"/>
    <w:rsid w:val="00946EA5"/>
    <w:rsid w:val="00960520"/>
    <w:rsid w:val="00963C08"/>
    <w:rsid w:val="0097179D"/>
    <w:rsid w:val="009752A5"/>
    <w:rsid w:val="0098585A"/>
    <w:rsid w:val="009A4CED"/>
    <w:rsid w:val="009A690D"/>
    <w:rsid w:val="009B1D12"/>
    <w:rsid w:val="009B416B"/>
    <w:rsid w:val="009C4BD5"/>
    <w:rsid w:val="009D7B77"/>
    <w:rsid w:val="009E0BB0"/>
    <w:rsid w:val="009E3FBB"/>
    <w:rsid w:val="009F25CB"/>
    <w:rsid w:val="009F7353"/>
    <w:rsid w:val="00A04F85"/>
    <w:rsid w:val="00A05FA4"/>
    <w:rsid w:val="00A102E4"/>
    <w:rsid w:val="00A1219C"/>
    <w:rsid w:val="00A12C42"/>
    <w:rsid w:val="00A1483D"/>
    <w:rsid w:val="00A14DF7"/>
    <w:rsid w:val="00A21C1F"/>
    <w:rsid w:val="00A22D57"/>
    <w:rsid w:val="00A277C2"/>
    <w:rsid w:val="00A3246D"/>
    <w:rsid w:val="00A36FA7"/>
    <w:rsid w:val="00A44DDB"/>
    <w:rsid w:val="00A475B7"/>
    <w:rsid w:val="00A47AF7"/>
    <w:rsid w:val="00A47C3E"/>
    <w:rsid w:val="00A50226"/>
    <w:rsid w:val="00A60BAD"/>
    <w:rsid w:val="00A77F87"/>
    <w:rsid w:val="00A80B5B"/>
    <w:rsid w:val="00A84E36"/>
    <w:rsid w:val="00A91C23"/>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04F5B"/>
    <w:rsid w:val="00B130C5"/>
    <w:rsid w:val="00B13EBD"/>
    <w:rsid w:val="00B21D29"/>
    <w:rsid w:val="00B25034"/>
    <w:rsid w:val="00B33588"/>
    <w:rsid w:val="00B33863"/>
    <w:rsid w:val="00B37D17"/>
    <w:rsid w:val="00B4175E"/>
    <w:rsid w:val="00B41C85"/>
    <w:rsid w:val="00B452CE"/>
    <w:rsid w:val="00B45A10"/>
    <w:rsid w:val="00B54C25"/>
    <w:rsid w:val="00B66306"/>
    <w:rsid w:val="00B76B91"/>
    <w:rsid w:val="00B77EB1"/>
    <w:rsid w:val="00B811C6"/>
    <w:rsid w:val="00B855B0"/>
    <w:rsid w:val="00B92E08"/>
    <w:rsid w:val="00BB5F05"/>
    <w:rsid w:val="00BC3085"/>
    <w:rsid w:val="00BC622A"/>
    <w:rsid w:val="00BE0A78"/>
    <w:rsid w:val="00BE79F0"/>
    <w:rsid w:val="00BF046D"/>
    <w:rsid w:val="00BF1190"/>
    <w:rsid w:val="00BF3774"/>
    <w:rsid w:val="00BF5D04"/>
    <w:rsid w:val="00C009AA"/>
    <w:rsid w:val="00C1164D"/>
    <w:rsid w:val="00C16861"/>
    <w:rsid w:val="00C259FD"/>
    <w:rsid w:val="00C2760F"/>
    <w:rsid w:val="00C27FF8"/>
    <w:rsid w:val="00C346AB"/>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72FF"/>
    <w:rsid w:val="00C80137"/>
    <w:rsid w:val="00C801AF"/>
    <w:rsid w:val="00C80256"/>
    <w:rsid w:val="00C87429"/>
    <w:rsid w:val="00C94CD4"/>
    <w:rsid w:val="00C9747E"/>
    <w:rsid w:val="00CB6BC0"/>
    <w:rsid w:val="00CC1B7C"/>
    <w:rsid w:val="00CC727F"/>
    <w:rsid w:val="00CD1DFA"/>
    <w:rsid w:val="00CF15C3"/>
    <w:rsid w:val="00CF2B6F"/>
    <w:rsid w:val="00CF2F3E"/>
    <w:rsid w:val="00CF58B6"/>
    <w:rsid w:val="00CF5DAD"/>
    <w:rsid w:val="00D0062D"/>
    <w:rsid w:val="00D017ED"/>
    <w:rsid w:val="00D040D3"/>
    <w:rsid w:val="00D04C65"/>
    <w:rsid w:val="00D153D8"/>
    <w:rsid w:val="00D201D2"/>
    <w:rsid w:val="00D224FE"/>
    <w:rsid w:val="00D23139"/>
    <w:rsid w:val="00D259F7"/>
    <w:rsid w:val="00D305AF"/>
    <w:rsid w:val="00D40BB6"/>
    <w:rsid w:val="00D425BB"/>
    <w:rsid w:val="00D453FA"/>
    <w:rsid w:val="00D5442A"/>
    <w:rsid w:val="00D6493E"/>
    <w:rsid w:val="00D7195D"/>
    <w:rsid w:val="00D7301E"/>
    <w:rsid w:val="00D83AE1"/>
    <w:rsid w:val="00D855D4"/>
    <w:rsid w:val="00D902C9"/>
    <w:rsid w:val="00D93466"/>
    <w:rsid w:val="00DA1124"/>
    <w:rsid w:val="00DA64CB"/>
    <w:rsid w:val="00DB06B8"/>
    <w:rsid w:val="00DB6124"/>
    <w:rsid w:val="00DB750B"/>
    <w:rsid w:val="00DB75B7"/>
    <w:rsid w:val="00DC0A2F"/>
    <w:rsid w:val="00DC1948"/>
    <w:rsid w:val="00DC6E02"/>
    <w:rsid w:val="00DD28CD"/>
    <w:rsid w:val="00DE02AE"/>
    <w:rsid w:val="00DE39D1"/>
    <w:rsid w:val="00DF1D7F"/>
    <w:rsid w:val="00DF3F77"/>
    <w:rsid w:val="00DF4BE4"/>
    <w:rsid w:val="00E02382"/>
    <w:rsid w:val="00E028C9"/>
    <w:rsid w:val="00E02B19"/>
    <w:rsid w:val="00E02FB4"/>
    <w:rsid w:val="00E13FC7"/>
    <w:rsid w:val="00E20571"/>
    <w:rsid w:val="00E235F7"/>
    <w:rsid w:val="00E23659"/>
    <w:rsid w:val="00E239D4"/>
    <w:rsid w:val="00E26130"/>
    <w:rsid w:val="00E33D42"/>
    <w:rsid w:val="00E40B22"/>
    <w:rsid w:val="00E44ED1"/>
    <w:rsid w:val="00E45619"/>
    <w:rsid w:val="00E4588F"/>
    <w:rsid w:val="00E46DA3"/>
    <w:rsid w:val="00E51BB1"/>
    <w:rsid w:val="00E55CB0"/>
    <w:rsid w:val="00E6052F"/>
    <w:rsid w:val="00E606C2"/>
    <w:rsid w:val="00E624A5"/>
    <w:rsid w:val="00E63990"/>
    <w:rsid w:val="00E64BA4"/>
    <w:rsid w:val="00E7344E"/>
    <w:rsid w:val="00E82665"/>
    <w:rsid w:val="00EB0798"/>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22E2"/>
    <w:rsid w:val="00F12670"/>
    <w:rsid w:val="00F14B27"/>
    <w:rsid w:val="00F154EB"/>
    <w:rsid w:val="00F1562C"/>
    <w:rsid w:val="00F3148D"/>
    <w:rsid w:val="00F325C5"/>
    <w:rsid w:val="00F32FE0"/>
    <w:rsid w:val="00F35298"/>
    <w:rsid w:val="00F47333"/>
    <w:rsid w:val="00F47E37"/>
    <w:rsid w:val="00F53C07"/>
    <w:rsid w:val="00F54B65"/>
    <w:rsid w:val="00F63DBF"/>
    <w:rsid w:val="00F640B6"/>
    <w:rsid w:val="00F66DF2"/>
    <w:rsid w:val="00F67B87"/>
    <w:rsid w:val="00F71A3F"/>
    <w:rsid w:val="00F80E40"/>
    <w:rsid w:val="00F848D9"/>
    <w:rsid w:val="00F87458"/>
    <w:rsid w:val="00FA5069"/>
    <w:rsid w:val="00FA5B82"/>
    <w:rsid w:val="00FA639E"/>
    <w:rsid w:val="00FC1FCA"/>
    <w:rsid w:val="00FC25E4"/>
    <w:rsid w:val="00FC4EF7"/>
    <w:rsid w:val="00FD0824"/>
    <w:rsid w:val="00FD119B"/>
    <w:rsid w:val="00FD1EDC"/>
    <w:rsid w:val="00FE1DEE"/>
    <w:rsid w:val="00FE53AA"/>
    <w:rsid w:val="00FE688D"/>
    <w:rsid w:val="00FF2126"/>
    <w:rsid w:val="00FF5755"/>
    <w:rsid w:val="00FF69BE"/>
    <w:rsid w:val="00FF7B93"/>
    <w:rsid w:val="0827AD73"/>
    <w:rsid w:val="3C281B9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EE4257"/>
  <w15:docId w15:val="{9A18A847-CECC-4CE8-893D-5479834A6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6A7869"/>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cls-response">
    <w:name w:val="cls-response"/>
    <w:basedOn w:val="DefaultParagraphFont"/>
    <w:rsid w:val="001956A7"/>
  </w:style>
  <w:style w:type="paragraph" w:styleId="ListParagraph">
    <w:name w:val="List Paragraph"/>
    <w:basedOn w:val="Normal"/>
    <w:link w:val="ListParagraphChar"/>
    <w:uiPriority w:val="34"/>
    <w:qFormat/>
    <w:rsid w:val="00343B3D"/>
    <w:pPr>
      <w:adjustRightInd w:val="0"/>
      <w:snapToGrid w:val="0"/>
      <w:spacing w:before="180" w:after="180"/>
      <w:ind w:left="720"/>
      <w:contextualSpacing/>
    </w:pPr>
    <w:rPr>
      <w:rFonts w:eastAsia="MS Mincho"/>
      <w:szCs w:val="20"/>
      <w:lang w:eastAsia="ja-JP"/>
    </w:rPr>
  </w:style>
  <w:style w:type="character" w:customStyle="1" w:styleId="ListParagraphChar">
    <w:name w:val="List Paragraph Char"/>
    <w:basedOn w:val="DefaultParagraphFont"/>
    <w:link w:val="ListParagraph"/>
    <w:uiPriority w:val="34"/>
    <w:rsid w:val="00343B3D"/>
    <w:rPr>
      <w:rFonts w:ascii="Cambria" w:eastAsia="MS Mincho" w:hAnsi="Cambria" w:cs="Times New Roman"/>
      <w:szCs w:val="20"/>
      <w:lang w:eastAsia="ja-JP"/>
    </w:rPr>
  </w:style>
  <w:style w:type="paragraph" w:customStyle="1" w:styleId="Default">
    <w:name w:val="Default"/>
    <w:rsid w:val="00232422"/>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694858">
      <w:bodyDiv w:val="1"/>
      <w:marLeft w:val="0"/>
      <w:marRight w:val="0"/>
      <w:marTop w:val="0"/>
      <w:marBottom w:val="0"/>
      <w:divBdr>
        <w:top w:val="none" w:sz="0" w:space="0" w:color="auto"/>
        <w:left w:val="none" w:sz="0" w:space="0" w:color="auto"/>
        <w:bottom w:val="none" w:sz="0" w:space="0" w:color="auto"/>
        <w:right w:val="none" w:sz="0" w:space="0" w:color="auto"/>
      </w:divBdr>
    </w:div>
    <w:div w:id="144199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5.xml"/><Relationship Id="rId42" Type="http://schemas.openxmlformats.org/officeDocument/2006/relationships/header" Target="header9.xml"/><Relationship Id="rId47"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4.xml"/><Relationship Id="rId38" Type="http://schemas.openxmlformats.org/officeDocument/2006/relationships/hyperlink" Target="https://www.tga.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emf"/><Relationship Id="rId29" Type="http://schemas.openxmlformats.org/officeDocument/2006/relationships/image" Target="media/image11.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png"/><Relationship Id="rId32" Type="http://schemas.openxmlformats.org/officeDocument/2006/relationships/hyperlink" Target="https://www.tga.gov.au/product-information-pi" TargetMode="External"/><Relationship Id="rId37" Type="http://schemas.openxmlformats.org/officeDocument/2006/relationships/hyperlink" Target="mailto:info@tga.gov.au" TargetMode="Externa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header" Target="header6.xml"/><Relationship Id="rId43" Type="http://schemas.openxmlformats.org/officeDocument/2006/relationships/footer" Target="footer6.xml"/><Relationship Id="rId48"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74900\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953A3FEDBAA940AEDEBB9B5B2A164F" ma:contentTypeVersion="12" ma:contentTypeDescription="Create a new document." ma:contentTypeScope="" ma:versionID="32b194d74a10cbf23f844d66bdb52966">
  <xsd:schema xmlns:xsd="http://www.w3.org/2001/XMLSchema" xmlns:xs="http://www.w3.org/2001/XMLSchema" xmlns:p="http://schemas.microsoft.com/office/2006/metadata/properties" xmlns:ns3="a89f2e4e-aaf6-4302-953c-f97c9965bc71" xmlns:ns4="0d3fd50d-2bdc-4136-972c-801907f9e01a" targetNamespace="http://schemas.microsoft.com/office/2006/metadata/properties" ma:root="true" ma:fieldsID="5b8f37e87bb01329ff53a2595a63571b" ns3:_="" ns4:_="">
    <xsd:import namespace="a89f2e4e-aaf6-4302-953c-f97c9965bc71"/>
    <xsd:import namespace="0d3fd50d-2bdc-4136-972c-801907f9e0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f2e4e-aaf6-4302-953c-f97c9965bc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3fd50d-2bdc-4136-972c-801907f9e0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9B1D8-CCD9-4B0A-B86D-D72909A3A5DF}">
  <ds:schemaRefs>
    <ds:schemaRef ds:uri="http://schemas.microsoft.com/sharepoint/v3/contenttype/forms"/>
  </ds:schemaRefs>
</ds:datastoreItem>
</file>

<file path=customXml/itemProps2.xml><?xml version="1.0" encoding="utf-8"?>
<ds:datastoreItem xmlns:ds="http://schemas.openxmlformats.org/officeDocument/2006/customXml" ds:itemID="{10BB7101-CE63-489C-9460-3A0F065B95D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d3fd50d-2bdc-4136-972c-801907f9e01a"/>
    <ds:schemaRef ds:uri="a89f2e4e-aaf6-4302-953c-f97c9965bc71"/>
    <ds:schemaRef ds:uri="http://www.w3.org/XML/1998/namespace"/>
    <ds:schemaRef ds:uri="http://purl.org/dc/dcmitype/"/>
  </ds:schemaRefs>
</ds:datastoreItem>
</file>

<file path=customXml/itemProps3.xml><?xml version="1.0" encoding="utf-8"?>
<ds:datastoreItem xmlns:ds="http://schemas.openxmlformats.org/officeDocument/2006/customXml" ds:itemID="{A5A064E2-5DBA-4F68-8CAB-3AB2C1B7F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f2e4e-aaf6-4302-953c-f97c9965bc71"/>
    <ds:schemaRef ds:uri="0d3fd50d-2bdc-4136-972c-801907f9e0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2466C0-2758-4C46-96F5-868498D3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11</TotalTime>
  <Pages>31</Pages>
  <Words>9222</Words>
  <Characters>52845</Characters>
  <Application>Microsoft Office Word</Application>
  <DocSecurity>0</DocSecurity>
  <Lines>1174</Lines>
  <Paragraphs>682</Paragraphs>
  <ScaleCrop>false</ScaleCrop>
  <HeadingPairs>
    <vt:vector size="2" baseType="variant">
      <vt:variant>
        <vt:lpstr>Title</vt:lpstr>
      </vt:variant>
      <vt:variant>
        <vt:i4>1</vt:i4>
      </vt:variant>
    </vt:vector>
  </HeadingPairs>
  <TitlesOfParts>
    <vt:vector size="1" baseType="lpstr">
      <vt:lpstr>Australian public assessment report for Omalizumab</vt:lpstr>
    </vt:vector>
  </TitlesOfParts>
  <Company>Department of Health Therapeutic Goods Administration</Company>
  <LinksUpToDate>false</LinksUpToDate>
  <CharactersWithSpaces>61385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Omalizumab</dc:title>
  <dc:subject>prescription medicines</dc:subject>
  <dc:creator>Therapeutic Goods Administration</dc:creator>
  <cp:keywords/>
  <cp:lastPrinted>2019-08-14T04:30:00Z</cp:lastPrinted>
  <dcterms:created xsi:type="dcterms:W3CDTF">2021-05-06T00:09:00Z</dcterms:created>
  <dcterms:modified xsi:type="dcterms:W3CDTF">2021-05-06T00:20:00Z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29bff8-5b33-42aa-95d2-28f72e792cb0_Enabled">
    <vt:lpwstr>true</vt:lpwstr>
  </property>
  <property fmtid="{D5CDD505-2E9C-101B-9397-08002B2CF9AE}" pid="3" name="MSIP_Label_4929bff8-5b33-42aa-95d2-28f72e792cb0_SetDate">
    <vt:lpwstr>2021-03-26T00:51:44Z</vt:lpwstr>
  </property>
  <property fmtid="{D5CDD505-2E9C-101B-9397-08002B2CF9AE}" pid="4" name="MSIP_Label_4929bff8-5b33-42aa-95d2-28f72e792cb0_Method">
    <vt:lpwstr>Standard</vt:lpwstr>
  </property>
  <property fmtid="{D5CDD505-2E9C-101B-9397-08002B2CF9AE}" pid="5" name="MSIP_Label_4929bff8-5b33-42aa-95d2-28f72e792cb0_Name">
    <vt:lpwstr>Internal</vt:lpwstr>
  </property>
  <property fmtid="{D5CDD505-2E9C-101B-9397-08002B2CF9AE}" pid="6" name="MSIP_Label_4929bff8-5b33-42aa-95d2-28f72e792cb0_SiteId">
    <vt:lpwstr>f35a6974-607f-47d4-82d7-ff31d7dc53a5</vt:lpwstr>
  </property>
  <property fmtid="{D5CDD505-2E9C-101B-9397-08002B2CF9AE}" pid="7" name="MSIP_Label_4929bff8-5b33-42aa-95d2-28f72e792cb0_ActionId">
    <vt:lpwstr>a7e800fb-9192-4fef-85e7-5729e1c472a0</vt:lpwstr>
  </property>
  <property fmtid="{D5CDD505-2E9C-101B-9397-08002B2CF9AE}" pid="8" name="MSIP_Label_4929bff8-5b33-42aa-95d2-28f72e792cb0_ContentBits">
    <vt:lpwstr>0</vt:lpwstr>
  </property>
  <property fmtid="{D5CDD505-2E9C-101B-9397-08002B2CF9AE}" pid="9" name="ContentTypeId">
    <vt:lpwstr>0x010100FF953A3FEDBAA940AEDEBB9B5B2A164F</vt:lpwstr>
  </property>
</Properties>
</file>